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overflowPunct/>
        <w:topLinePunct w:val="0"/>
        <w:bidi w:val="0"/>
        <w:snapToGrid w:val="0"/>
        <w:spacing w:beforeAutospacing="0" w:afterAutospacing="0" w:line="360" w:lineRule="auto"/>
        <w:jc w:val="center"/>
        <w:textAlignment w:val="auto"/>
        <w:rPr>
          <w:rFonts w:ascii="仿宋" w:hAnsi="仿宋" w:eastAsia="仿宋" w:cs="仿宋_GB2312"/>
          <w:b/>
          <w:color w:val="auto"/>
          <w:sz w:val="24"/>
          <w:highlight w:val="none"/>
        </w:rPr>
      </w:pPr>
    </w:p>
    <w:p>
      <w:pPr>
        <w:kinsoku/>
        <w:wordWrap/>
        <w:overflowPunct/>
        <w:topLinePunct w:val="0"/>
        <w:bidi w:val="0"/>
        <w:snapToGrid w:val="0"/>
        <w:spacing w:beforeAutospacing="0" w:afterAutospacing="0" w:line="360" w:lineRule="auto"/>
        <w:jc w:val="center"/>
        <w:textAlignment w:val="auto"/>
        <w:rPr>
          <w:rFonts w:ascii="仿宋" w:hAnsi="仿宋" w:eastAsia="仿宋" w:cs="仿宋_GB2312"/>
          <w:b/>
          <w:color w:val="auto"/>
          <w:sz w:val="24"/>
          <w:highlight w:val="none"/>
        </w:rPr>
      </w:pPr>
    </w:p>
    <w:p>
      <w:pPr>
        <w:kinsoku/>
        <w:wordWrap/>
        <w:overflowPunct/>
        <w:topLinePunct w:val="0"/>
        <w:bidi w:val="0"/>
        <w:adjustRightInd/>
        <w:snapToGrid w:val="0"/>
        <w:spacing w:beforeAutospacing="0" w:afterAutospacing="0" w:line="360" w:lineRule="auto"/>
        <w:jc w:val="center"/>
        <w:textAlignment w:val="auto"/>
        <w:rPr>
          <w:rFonts w:ascii="仿宋" w:hAnsi="仿宋" w:eastAsia="仿宋" w:cs="仿宋_GB2312"/>
          <w:b/>
          <w:color w:val="auto"/>
          <w:sz w:val="44"/>
          <w:szCs w:val="44"/>
          <w:highlight w:val="none"/>
        </w:rPr>
      </w:pPr>
    </w:p>
    <w:p>
      <w:pPr>
        <w:kinsoku/>
        <w:wordWrap/>
        <w:overflowPunct/>
        <w:topLinePunct w:val="0"/>
        <w:bidi w:val="0"/>
        <w:snapToGrid w:val="0"/>
        <w:spacing w:beforeAutospacing="0" w:afterAutospacing="0" w:line="360" w:lineRule="auto"/>
        <w:jc w:val="center"/>
        <w:textAlignment w:val="auto"/>
        <w:rPr>
          <w:rFonts w:ascii="仿宋" w:hAnsi="仿宋" w:eastAsia="仿宋" w:cs="仿宋_GB2312"/>
          <w:b/>
          <w:color w:val="auto"/>
          <w:sz w:val="44"/>
          <w:szCs w:val="44"/>
          <w:highlight w:val="none"/>
        </w:rPr>
      </w:pPr>
    </w:p>
    <w:p>
      <w:pPr>
        <w:kinsoku/>
        <w:wordWrap/>
        <w:overflowPunct/>
        <w:topLinePunct w:val="0"/>
        <w:bidi w:val="0"/>
        <w:adjustRightInd/>
        <w:snapToGrid w:val="0"/>
        <w:spacing w:beforeAutospacing="0" w:afterAutospacing="0" w:line="360" w:lineRule="auto"/>
        <w:jc w:val="center"/>
        <w:textAlignment w:val="auto"/>
        <w:rPr>
          <w:rFonts w:ascii="仿宋_GB2312" w:hAnsi="仿宋" w:eastAsia="仿宋_GB2312" w:cs="仿宋_GB2312"/>
          <w:b/>
          <w:color w:val="auto"/>
          <w:sz w:val="48"/>
          <w:szCs w:val="48"/>
          <w:highlight w:val="none"/>
        </w:rPr>
      </w:pPr>
    </w:p>
    <w:p>
      <w:pPr>
        <w:kinsoku/>
        <w:wordWrap/>
        <w:overflowPunct/>
        <w:topLinePunct w:val="0"/>
        <w:bidi w:val="0"/>
        <w:adjustRightInd/>
        <w:snapToGrid w:val="0"/>
        <w:spacing w:beforeAutospacing="0" w:afterAutospacing="0" w:line="360" w:lineRule="auto"/>
        <w:jc w:val="center"/>
        <w:textAlignment w:val="auto"/>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杭州市市场监督管理局</w:t>
      </w:r>
    </w:p>
    <w:p>
      <w:pPr>
        <w:kinsoku/>
        <w:wordWrap/>
        <w:overflowPunct/>
        <w:topLinePunct w:val="0"/>
        <w:bidi w:val="0"/>
        <w:adjustRightInd/>
        <w:snapToGrid w:val="0"/>
        <w:spacing w:beforeAutospacing="0" w:afterAutospacing="0" w:line="360" w:lineRule="auto"/>
        <w:jc w:val="center"/>
        <w:textAlignment w:val="auto"/>
        <w:rPr>
          <w:rFonts w:hint="eastAsia" w:ascii="宋体" w:hAnsi="宋体" w:eastAsia="宋体" w:cs="宋体"/>
          <w:color w:val="auto"/>
          <w:sz w:val="44"/>
          <w:szCs w:val="44"/>
          <w:highlight w:val="none"/>
          <w:lang w:eastAsia="zh-CN"/>
        </w:rPr>
      </w:pPr>
      <w:r>
        <w:rPr>
          <w:rFonts w:hint="eastAsia" w:ascii="宋体" w:hAnsi="宋体" w:cs="宋体"/>
          <w:color w:val="auto"/>
          <w:sz w:val="44"/>
          <w:szCs w:val="44"/>
          <w:highlight w:val="none"/>
          <w:lang w:eastAsia="zh-CN"/>
        </w:rPr>
        <w:t>2023年上半年市本级食品生产环节监督抽检</w:t>
      </w:r>
    </w:p>
    <w:p>
      <w:pPr>
        <w:kinsoku/>
        <w:wordWrap/>
        <w:overflowPunct/>
        <w:topLinePunct w:val="0"/>
        <w:bidi w:val="0"/>
        <w:adjustRightInd/>
        <w:snapToGrid w:val="0"/>
        <w:spacing w:beforeAutospacing="0" w:afterAutospacing="0" w:line="360" w:lineRule="auto"/>
        <w:jc w:val="center"/>
        <w:textAlignment w:val="auto"/>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招标文件</w:t>
      </w:r>
    </w:p>
    <w:p>
      <w:pPr>
        <w:kinsoku/>
        <w:wordWrap/>
        <w:overflowPunct/>
        <w:topLinePunct w:val="0"/>
        <w:bidi w:val="0"/>
        <w:adjustRightInd/>
        <w:snapToGrid w:val="0"/>
        <w:spacing w:beforeAutospacing="0" w:afterAutospacing="0" w:line="360" w:lineRule="auto"/>
        <w:jc w:val="center"/>
        <w:textAlignment w:val="auto"/>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cs="宋体"/>
          <w:color w:val="auto"/>
          <w:sz w:val="30"/>
          <w:szCs w:val="30"/>
          <w:highlight w:val="none"/>
          <w:lang w:eastAsia="zh-CN"/>
        </w:rPr>
        <w:t>ZJZN-221032-SJ62</w:t>
      </w:r>
    </w:p>
    <w:p>
      <w:pPr>
        <w:kinsoku/>
        <w:wordWrap/>
        <w:overflowPunct/>
        <w:topLinePunct w:val="0"/>
        <w:bidi w:val="0"/>
        <w:adjustRightInd/>
        <w:snapToGrid w:val="0"/>
        <w:spacing w:beforeAutospacing="0" w:afterAutospacing="0" w:line="360" w:lineRule="auto"/>
        <w:textAlignment w:val="auto"/>
        <w:rPr>
          <w:rFonts w:hint="eastAsia" w:ascii="宋体" w:hAnsi="宋体" w:eastAsia="宋体" w:cs="宋体"/>
          <w:color w:val="auto"/>
          <w:sz w:val="28"/>
          <w:szCs w:val="20"/>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44"/>
          <w:szCs w:val="4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44"/>
          <w:szCs w:val="4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2940" w:leftChars="1400" w:right="2940" w:rightChars="1400"/>
        <w:jc w:val="distribute"/>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杭州市市场监督管理局</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2940" w:leftChars="1400" w:right="2940" w:rightChars="1400"/>
        <w:jc w:val="distribute"/>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浙江中诺招标代理有限公司</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2940" w:leftChars="1400" w:right="2940" w:rightChars="1400"/>
        <w:jc w:val="distribute"/>
        <w:textAlignment w:val="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cs="宋体"/>
          <w:bCs/>
          <w:color w:val="auto"/>
          <w:sz w:val="32"/>
          <w:szCs w:val="32"/>
          <w:highlight w:val="none"/>
          <w:lang w:val="en-US" w:eastAsia="zh-CN"/>
        </w:rPr>
        <w:t>三</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一</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十七</w:t>
      </w:r>
      <w:r>
        <w:rPr>
          <w:rFonts w:hint="eastAsia" w:ascii="宋体" w:hAnsi="宋体" w:eastAsia="宋体" w:cs="宋体"/>
          <w:bCs/>
          <w:color w:val="auto"/>
          <w:sz w:val="32"/>
          <w:szCs w:val="32"/>
          <w:highlight w:val="none"/>
        </w:rPr>
        <w:t>日</w:t>
      </w:r>
    </w:p>
    <w:p>
      <w:pPr>
        <w:kinsoku/>
        <w:wordWrap/>
        <w:overflowPunct/>
        <w:topLinePunct w:val="0"/>
        <w:bidi w:val="0"/>
        <w:snapToGrid w:val="0"/>
        <w:spacing w:beforeAutospacing="0" w:afterAutospacing="0" w:line="360" w:lineRule="auto"/>
        <w:jc w:val="center"/>
        <w:textAlignment w:val="auto"/>
        <w:rPr>
          <w:rFonts w:ascii="仿宋" w:hAnsi="仿宋" w:eastAsia="仿宋" w:cs="仿宋_GB2312"/>
          <w:color w:val="auto"/>
          <w:sz w:val="24"/>
          <w:highlight w:val="none"/>
        </w:rPr>
      </w:pPr>
      <w:r>
        <w:rPr>
          <w:rFonts w:ascii="仿宋" w:hAnsi="仿宋" w:eastAsia="仿宋" w:cs="仿宋_GB2312"/>
          <w:color w:val="auto"/>
          <w:sz w:val="24"/>
          <w:highlight w:val="none"/>
        </w:rPr>
        <w:br w:type="page"/>
      </w:r>
      <w:bookmarkStart w:id="0" w:name="_Hlt67893495"/>
      <w:bookmarkEnd w:id="0"/>
    </w:p>
    <w:p>
      <w:pPr>
        <w:kinsoku/>
        <w:wordWrap/>
        <w:overflowPunct/>
        <w:topLinePunct w:val="0"/>
        <w:bidi w:val="0"/>
        <w:snapToGrid w:val="0"/>
        <w:spacing w:beforeAutospacing="0" w:afterAutospacing="0" w:line="360" w:lineRule="auto"/>
        <w:jc w:val="center"/>
        <w:textAlignment w:val="auto"/>
        <w:rPr>
          <w:rFonts w:ascii="仿宋" w:hAnsi="仿宋" w:eastAsia="仿宋" w:cs="仿宋_GB2312"/>
          <w:color w:val="auto"/>
          <w:sz w:val="2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32"/>
          <w:szCs w:val="32"/>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32"/>
          <w:szCs w:val="32"/>
          <w:highlight w:val="none"/>
        </w:rPr>
      </w:pP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pPr>
        <w:kinsoku/>
        <w:wordWrap/>
        <w:overflowPunct/>
        <w:topLinePunct w:val="0"/>
        <w:bidi w:val="0"/>
        <w:snapToGrid w:val="0"/>
        <w:spacing w:beforeAutospacing="0" w:afterAutospacing="0" w:line="360" w:lineRule="auto"/>
        <w:ind w:firstLine="1280" w:firstLineChars="4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pPr>
        <w:kinsoku/>
        <w:wordWrap/>
        <w:overflowPunct/>
        <w:topLinePunct w:val="0"/>
        <w:bidi w:val="0"/>
        <w:snapToGrid w:val="0"/>
        <w:spacing w:beforeAutospacing="0" w:afterAutospacing="0" w:line="360" w:lineRule="auto"/>
        <w:ind w:firstLine="549" w:firstLineChars="229"/>
        <w:textAlignment w:val="auto"/>
        <w:rPr>
          <w:rFonts w:hint="eastAsia" w:ascii="宋体" w:hAnsi="宋体" w:eastAsia="宋体" w:cs="宋体"/>
          <w:color w:val="auto"/>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bookmarkStart w:id="1" w:name="_Hlt91233176"/>
      <w:bookmarkEnd w:id="1"/>
      <w:bookmarkStart w:id="2" w:name="_Toc91899869"/>
    </w:p>
    <w:bookmarkEnd w:id="2"/>
    <w:p>
      <w:pPr>
        <w:kinsoku/>
        <w:wordWrap/>
        <w:overflowPunct/>
        <w:topLinePunct w:val="0"/>
        <w:bidi w:val="0"/>
        <w:adjustRightInd/>
        <w:snapToGrid w:val="0"/>
        <w:spacing w:beforeAutospacing="0" w:afterAutospacing="0" w:line="360" w:lineRule="auto"/>
        <w:jc w:val="center"/>
        <w:textAlignment w:val="auto"/>
        <w:outlineLvl w:val="0"/>
        <w:rPr>
          <w:rFonts w:hint="eastAsia" w:ascii="宋体" w:hAnsi="宋体" w:eastAsia="宋体" w:cs="宋体"/>
          <w:b/>
          <w:color w:val="auto"/>
          <w:sz w:val="36"/>
          <w:szCs w:val="20"/>
          <w:highlight w:val="none"/>
        </w:r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r>
        <w:rPr>
          <w:rFonts w:hint="eastAsia" w:ascii="宋体" w:hAnsi="宋体" w:eastAsia="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pPr>
        <w:pBdr>
          <w:top w:val="single" w:color="auto" w:sz="4" w:space="1"/>
          <w:left w:val="single" w:color="auto" w:sz="4" w:space="4"/>
          <w:bottom w:val="single" w:color="auto" w:sz="4" w:space="1"/>
          <w:right w:val="single" w:color="auto" w:sz="4" w:space="4"/>
        </w:pBd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杭州市市场监督管理局</w:t>
      </w:r>
      <w:r>
        <w:rPr>
          <w:rFonts w:hint="eastAsia" w:ascii="宋体" w:hAnsi="宋体" w:cs="宋体"/>
          <w:color w:val="auto"/>
          <w:sz w:val="24"/>
          <w:highlight w:val="none"/>
          <w:u w:val="single"/>
          <w:lang w:eastAsia="zh-CN"/>
        </w:rPr>
        <w:t>2023年上半年市本级食品生产环节监督抽检</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"https://www.zcygov.cn/）获取（下载）招标文件，并于2021年"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w:t>
      </w:r>
      <w:r>
        <w:rPr>
          <w:rFonts w:hint="eastAsia" w:ascii="宋体" w:hAnsi="宋体" w:eastAsia="宋体" w:cs="宋体"/>
          <w:bCs/>
          <w:color w:val="auto"/>
          <w:sz w:val="24"/>
          <w:highlight w:val="none"/>
          <w:u w:val="single"/>
        </w:rPr>
        <w:t>00秒</w:t>
      </w:r>
      <w:r>
        <w:rPr>
          <w:rFonts w:hint="eastAsia" w:ascii="宋体" w:hAnsi="宋体" w:eastAsia="宋体" w:cs="宋体"/>
          <w:bCs/>
          <w:color w:val="auto"/>
          <w:sz w:val="24"/>
          <w:highlight w:val="none"/>
          <w:u w:val="singl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pPr>
        <w:kinsoku/>
        <w:wordWrap/>
        <w:overflowPunct/>
        <w:topLinePunct w:val="0"/>
        <w:bidi w:val="0"/>
        <w:snapToGrid w:val="0"/>
        <w:spacing w:beforeAutospacing="0" w:afterAutospacing="0" w:line="360" w:lineRule="auto"/>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一、项目基本情况：</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ZJZN-221032-SJ62</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p>
    <w:p>
      <w:pPr>
        <w:kinsoku/>
        <w:wordWrap/>
        <w:overflowPunct/>
        <w:topLinePunct w:val="0"/>
        <w:bidi w:val="0"/>
        <w:snapToGrid w:val="0"/>
        <w:spacing w:beforeAutospacing="0" w:afterAutospacing="0"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b w:val="0"/>
          <w:bCs/>
          <w:color w:val="auto"/>
          <w:sz w:val="24"/>
          <w:highlight w:val="none"/>
          <w:lang w:val="en-US" w:eastAsia="zh-CN"/>
        </w:rPr>
        <w:t>7260000</w:t>
      </w:r>
    </w:p>
    <w:p>
      <w:pPr>
        <w:kinsoku/>
        <w:wordWrap/>
        <w:overflowPunct/>
        <w:topLinePunct w:val="0"/>
        <w:bidi w:val="0"/>
        <w:snapToGrid w:val="0"/>
        <w:spacing w:beforeAutospacing="0" w:afterAutospacing="0" w:line="360" w:lineRule="auto"/>
        <w:ind w:firstLine="480"/>
        <w:textAlignment w:val="auto"/>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cs="宋体"/>
          <w:b w:val="0"/>
          <w:bCs/>
          <w:color w:val="auto"/>
          <w:sz w:val="24"/>
          <w:highlight w:val="none"/>
          <w:lang w:val="en-US" w:eastAsia="zh-CN"/>
        </w:rPr>
        <w:t>标项一：1220000；标项二：1060000；标项三：1020000；标项四：1010000；标项五：1000000；标项六：980000；标项七：970000</w:t>
      </w:r>
    </w:p>
    <w:p>
      <w:pPr>
        <w:pStyle w:val="5"/>
        <w:kinsoku/>
        <w:wordWrap/>
        <w:overflowPunct/>
        <w:topLinePunct w:val="0"/>
        <w:bidi w:val="0"/>
        <w:snapToGrid w:val="0"/>
        <w:spacing w:beforeAutospacing="0" w:afterAutospacing="0" w:line="360" w:lineRule="auto"/>
        <w:ind w:firstLine="480"/>
        <w:textAlignment w:val="auto"/>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bCs/>
          <w:snapToGrid/>
          <w:color w:val="auto"/>
          <w:kern w:val="2"/>
          <w:sz w:val="24"/>
          <w:szCs w:val="24"/>
          <w:highlight w:val="none"/>
          <w:lang w:eastAsia="zh-CN"/>
        </w:rPr>
        <w:t>杭州市市场监督管理局</w:t>
      </w:r>
      <w:r>
        <w:rPr>
          <w:rFonts w:hint="eastAsia" w:hAnsi="宋体" w:cs="宋体"/>
          <w:bCs/>
          <w:snapToGrid/>
          <w:color w:val="auto"/>
          <w:kern w:val="2"/>
          <w:sz w:val="24"/>
          <w:szCs w:val="24"/>
          <w:highlight w:val="none"/>
          <w:lang w:eastAsia="zh-CN"/>
        </w:rPr>
        <w:t>2023年上半年市本级食品生产环节监督抽检</w:t>
      </w:r>
      <w:r>
        <w:rPr>
          <w:rFonts w:hint="eastAsia" w:ascii="宋体" w:hAnsi="宋体" w:eastAsia="宋体" w:cs="宋体"/>
          <w:bCs/>
          <w:snapToGrid/>
          <w:color w:val="auto"/>
          <w:kern w:val="2"/>
          <w:sz w:val="24"/>
          <w:szCs w:val="24"/>
          <w:highlight w:val="none"/>
        </w:rPr>
        <w:t>主要内容：</w:t>
      </w:r>
    </w:p>
    <w:tbl>
      <w:tblPr>
        <w:tblStyle w:val="62"/>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4182"/>
        <w:gridCol w:w="998"/>
        <w:gridCol w:w="1549"/>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val="en-US" w:eastAsia="zh-CN"/>
              </w:rPr>
              <w:t>拟采购标的</w:t>
            </w:r>
          </w:p>
        </w:tc>
        <w:tc>
          <w:tcPr>
            <w:tcW w:w="2103" w:type="pct"/>
            <w:noWrap w:val="0"/>
            <w:vAlign w:val="center"/>
          </w:tcPr>
          <w:p>
            <w:pPr>
              <w:widowControl/>
              <w:snapToGrid w:val="0"/>
              <w:ind w:left="60" w:right="6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c>
          <w:tcPr>
            <w:tcW w:w="502" w:type="pct"/>
            <w:noWrap w:val="0"/>
            <w:vAlign w:val="center"/>
          </w:tcPr>
          <w:p>
            <w:pPr>
              <w:widowControl/>
              <w:snapToGrid w:val="0"/>
              <w:ind w:left="60" w:right="6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最高限价</w:t>
            </w:r>
          </w:p>
        </w:tc>
        <w:tc>
          <w:tcPr>
            <w:tcW w:w="779" w:type="pct"/>
            <w:noWrap w:val="0"/>
            <w:vAlign w:val="center"/>
          </w:tcPr>
          <w:p>
            <w:pPr>
              <w:widowControl/>
              <w:snapToGrid w:val="0"/>
              <w:ind w:left="60" w:right="6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承检范围</w:t>
            </w:r>
          </w:p>
        </w:tc>
        <w:tc>
          <w:tcPr>
            <w:tcW w:w="983" w:type="pct"/>
            <w:noWrap w:val="0"/>
            <w:vAlign w:val="center"/>
          </w:tcPr>
          <w:p>
            <w:pPr>
              <w:widowControl/>
              <w:snapToGrid w:val="0"/>
              <w:ind w:left="60" w:right="6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103" w:type="pct"/>
            <w:noWrap w:val="0"/>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特殊医学用途配方食品、特殊膳食食品、保健食品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1220000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茶叶及相关制品、蔬菜制品、薯类和膨化食品、食品添加剂</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1060000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糕点、饼干、糖果制品、水产制品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1020000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2103" w:type="pct"/>
            <w:noWrap w:val="0"/>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饮料、酒类、可可及焙烤咖啡产品、食糖、蜂产品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1010000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速冻食品、罐头、水果制品、豆制品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粮食加工品、食用油、油脂及其制品、炒货食品及坚果制品、蛋制品、淀粉及淀粉制品等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980000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调味品、肉制品、方便食品、冷冻饮品等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970000</w:t>
            </w:r>
          </w:p>
        </w:tc>
        <w:tc>
          <w:tcPr>
            <w:tcW w:w="779"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详见招标文件</w:t>
            </w:r>
          </w:p>
        </w:tc>
        <w:tc>
          <w:tcPr>
            <w:tcW w:w="983"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bl>
    <w:p>
      <w:pPr>
        <w:pStyle w:val="5"/>
        <w:kinsoku/>
        <w:wordWrap/>
        <w:overflowPunct/>
        <w:topLinePunct w:val="0"/>
        <w:bidi w:val="0"/>
        <w:snapToGrid w:val="0"/>
        <w:spacing w:beforeAutospacing="0" w:afterAutospacing="0" w:line="360" w:lineRule="auto"/>
        <w:ind w:firstLine="480"/>
        <w:textAlignment w:val="auto"/>
        <w:rPr>
          <w:rFonts w:hint="eastAsia" w:ascii="宋体" w:hAnsi="宋体" w:eastAsia="宋体" w:cs="宋体"/>
          <w:bCs/>
          <w:snapToGrid/>
          <w:color w:val="auto"/>
          <w:kern w:val="2"/>
          <w:sz w:val="24"/>
          <w:szCs w:val="24"/>
          <w:highlight w:val="none"/>
        </w:rPr>
      </w:pPr>
      <w:r>
        <w:rPr>
          <w:rFonts w:hint="eastAsia" w:hAnsi="宋体" w:cs="宋体"/>
          <w:bCs/>
          <w:snapToGrid/>
          <w:color w:val="auto"/>
          <w:kern w:val="2"/>
          <w:sz w:val="24"/>
          <w:szCs w:val="24"/>
          <w:highlight w:val="none"/>
          <w:lang w:val="en-US" w:eastAsia="zh-CN"/>
        </w:rPr>
        <w:t>本</w:t>
      </w:r>
      <w:r>
        <w:rPr>
          <w:rFonts w:hint="eastAsia" w:ascii="宋体" w:hAnsi="宋体" w:eastAsia="宋体" w:cs="宋体"/>
          <w:bCs/>
          <w:snapToGrid/>
          <w:color w:val="auto"/>
          <w:kern w:val="2"/>
          <w:sz w:val="24"/>
          <w:szCs w:val="24"/>
          <w:highlight w:val="none"/>
        </w:rPr>
        <w:t>项目</w:t>
      </w:r>
      <w:r>
        <w:rPr>
          <w:rFonts w:hint="eastAsia" w:hAnsi="宋体" w:cs="宋体"/>
          <w:bCs/>
          <w:snapToGrid/>
          <w:color w:val="auto"/>
          <w:kern w:val="2"/>
          <w:sz w:val="24"/>
          <w:szCs w:val="24"/>
          <w:highlight w:val="none"/>
          <w:lang w:val="en-US" w:eastAsia="zh-CN"/>
        </w:rPr>
        <w:t>根据拟采购标的</w:t>
      </w:r>
      <w:r>
        <w:rPr>
          <w:rFonts w:hint="eastAsia" w:ascii="宋体" w:hAnsi="宋体" w:eastAsia="宋体" w:cs="宋体"/>
          <w:bCs/>
          <w:snapToGrid/>
          <w:color w:val="auto"/>
          <w:kern w:val="2"/>
          <w:sz w:val="24"/>
          <w:szCs w:val="24"/>
          <w:highlight w:val="none"/>
        </w:rPr>
        <w:t>分</w:t>
      </w:r>
      <w:r>
        <w:rPr>
          <w:rFonts w:hint="eastAsia" w:hAnsi="宋体" w:cs="宋体"/>
          <w:bCs/>
          <w:snapToGrid/>
          <w:color w:val="auto"/>
          <w:kern w:val="2"/>
          <w:sz w:val="24"/>
          <w:szCs w:val="24"/>
          <w:highlight w:val="none"/>
          <w:lang w:val="en-US" w:eastAsia="zh-CN"/>
        </w:rPr>
        <w:t>7</w:t>
      </w:r>
      <w:r>
        <w:rPr>
          <w:rFonts w:hint="eastAsia" w:ascii="宋体" w:hAnsi="宋体" w:eastAsia="宋体" w:cs="宋体"/>
          <w:bCs/>
          <w:snapToGrid/>
          <w:color w:val="auto"/>
          <w:kern w:val="2"/>
          <w:sz w:val="24"/>
          <w:szCs w:val="24"/>
          <w:highlight w:val="none"/>
        </w:rPr>
        <w:t>个标项，有效投标人可对一个或多个标项进行选择性投标</w:t>
      </w:r>
    </w:p>
    <w:p>
      <w:pPr>
        <w:pStyle w:val="5"/>
        <w:kinsoku/>
        <w:wordWrap/>
        <w:overflowPunct/>
        <w:topLinePunct w:val="0"/>
        <w:bidi w:val="0"/>
        <w:snapToGrid w:val="0"/>
        <w:spacing w:beforeAutospacing="0" w:afterAutospacing="0" w:line="360" w:lineRule="auto"/>
        <w:ind w:firstLine="480"/>
        <w:textAlignment w:val="auto"/>
        <w:rPr>
          <w:rFonts w:hint="eastAsia" w:ascii="宋体" w:hAnsi="宋体" w:eastAsia="宋体" w:cs="宋体"/>
          <w:bCs/>
          <w:snapToGrid/>
          <w:color w:val="auto"/>
          <w:kern w:val="2"/>
          <w:sz w:val="24"/>
          <w:szCs w:val="24"/>
          <w:highlight w:val="none"/>
        </w:rPr>
      </w:pPr>
      <w:r>
        <w:rPr>
          <w:rFonts w:hint="eastAsia" w:ascii="宋体" w:hAnsi="宋体" w:eastAsia="宋体" w:cs="宋体"/>
          <w:bCs/>
          <w:snapToGrid/>
          <w:color w:val="auto"/>
          <w:kern w:val="2"/>
          <w:sz w:val="24"/>
          <w:szCs w:val="24"/>
          <w:highlight w:val="none"/>
        </w:rPr>
        <w:t>详见招标文件第三部分采购需求。</w:t>
      </w:r>
    </w:p>
    <w:p>
      <w:pPr>
        <w:pStyle w:val="158"/>
        <w:kinsoku/>
        <w:wordWrap/>
        <w:overflowPunct/>
        <w:topLinePunct w:val="0"/>
        <w:bidi w:val="0"/>
        <w:snapToGrid w:val="0"/>
        <w:spacing w:before="0" w:beforeAutospacing="0" w:afterAutospacing="0" w:line="360" w:lineRule="auto"/>
        <w:ind w:firstLine="482"/>
        <w:textAlignment w:val="auto"/>
        <w:outlineLvl w:val="2"/>
        <w:rPr>
          <w:rFonts w:hint="default" w:ascii="宋体" w:hAnsi="宋体" w:eastAsia="宋体" w:cs="宋体"/>
          <w:color w:val="auto"/>
          <w:highlight w:val="none"/>
          <w:lang w:val="en-US" w:eastAsia="zh-CN"/>
        </w:rPr>
      </w:pPr>
      <w:r>
        <w:rPr>
          <w:rFonts w:hint="eastAsia" w:ascii="宋体" w:hAnsi="宋体" w:eastAsia="宋体" w:cs="宋体"/>
          <w:b/>
          <w:color w:val="auto"/>
          <w:highlight w:val="none"/>
        </w:rPr>
        <w:t>合同履约期限：</w:t>
      </w:r>
      <w:r>
        <w:rPr>
          <w:rFonts w:hint="eastAsia" w:ascii="宋体" w:hAnsi="宋体" w:cs="宋体"/>
          <w:b w:val="0"/>
          <w:bCs/>
          <w:color w:val="auto"/>
          <w:highlight w:val="none"/>
          <w:lang w:val="en-US" w:eastAsia="zh-CN"/>
        </w:rPr>
        <w:t>详见采购文件</w:t>
      </w:r>
    </w:p>
    <w:p>
      <w:pPr>
        <w:pStyle w:val="5"/>
        <w:kinsoku/>
        <w:wordWrap/>
        <w:overflowPunct/>
        <w:topLinePunct w:val="0"/>
        <w:bidi w:val="0"/>
        <w:snapToGrid w:val="0"/>
        <w:spacing w:beforeAutospacing="0" w:afterAutospacing="0" w:line="360" w:lineRule="auto"/>
        <w:ind w:firstLine="48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r>
        <w:rPr>
          <w:rFonts w:ascii="MS Gothic" w:hAnsi="MS Gothic" w:eastAsia="MS Gothic" w:cs="Arial"/>
          <w:color w:val="auto"/>
          <w:kern w:val="0"/>
          <w:sz w:val="24"/>
        </w:rPr>
        <w:sym w:font="Wingdings" w:char="00A8"/>
      </w:r>
      <w:r>
        <w:rPr>
          <w:rFonts w:hint="eastAsia" w:ascii="宋体" w:hAnsi="宋体" w:eastAsia="宋体" w:cs="宋体"/>
          <w:b/>
          <w:color w:val="auto"/>
          <w:sz w:val="24"/>
        </w:rPr>
        <w:t>是，</w:t>
      </w:r>
      <w:r>
        <w:rPr>
          <w:rFonts w:ascii="MS Gothic" w:hAnsi="MS Gothic" w:eastAsia="MS Gothic" w:cs="Arial"/>
          <w:color w:val="auto"/>
          <w:kern w:val="0"/>
          <w:sz w:val="24"/>
        </w:rPr>
        <w:sym w:font="Wingdings" w:char="00FE"/>
      </w:r>
      <w:r>
        <w:rPr>
          <w:rFonts w:hint="eastAsia" w:ascii="宋体" w:hAnsi="宋体" w:eastAsia="宋体" w:cs="宋体"/>
          <w:b/>
          <w:color w:val="auto"/>
          <w:sz w:val="24"/>
        </w:rPr>
        <w:t>否</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insoku/>
        <w:wordWrap/>
        <w:overflowPunct/>
        <w:topLinePunct w:val="0"/>
        <w:bidi w:val="0"/>
        <w:snapToGrid w:val="0"/>
        <w:spacing w:beforeAutospacing="0" w:afterAutospacing="0" w:line="360" w:lineRule="auto"/>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2.落实政府采购政策需满足的资格要求：</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无；</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pPr>
        <w:kinsoku/>
        <w:wordWrap/>
        <w:overflowPunct/>
        <w:topLinePunct w:val="0"/>
        <w:bidi w:val="0"/>
        <w:snapToGrid w:val="0"/>
        <w:spacing w:beforeAutospacing="0" w:afterAutospacing="0" w:line="360" w:lineRule="auto"/>
        <w:ind w:firstLine="897" w:firstLineChars="374"/>
        <w:textAlignment w:val="auto"/>
        <w:rPr>
          <w:rFonts w:hint="eastAsia" w:ascii="宋体" w:hAnsi="宋体" w:eastAsia="宋体" w:cs="宋体"/>
          <w:color w:val="auto"/>
          <w:sz w:val="24"/>
          <w:highlight w:val="none"/>
          <w:u w:val="singl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货物全部由符合政策要求的中小企业制造，提供中小企业声明函；</w:t>
      </w:r>
    </w:p>
    <w:p>
      <w:pPr>
        <w:kinsoku/>
        <w:wordWrap/>
        <w:overflowPunct/>
        <w:topLinePunct w:val="0"/>
        <w:bidi w:val="0"/>
        <w:snapToGrid w:val="0"/>
        <w:spacing w:beforeAutospacing="0" w:afterAutospacing="0" w:line="360" w:lineRule="auto"/>
        <w:ind w:firstLine="897" w:firstLineChars="374"/>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货物全部由符合政策要求的小微企业制造，提供中小企业声明函；</w:t>
      </w:r>
    </w:p>
    <w:p>
      <w:pPr>
        <w:kinsoku/>
        <w:wordWrap/>
        <w:overflowPunct/>
        <w:topLinePunct w:val="0"/>
        <w:bidi w:val="0"/>
        <w:snapToGrid w:val="0"/>
        <w:spacing w:beforeAutospacing="0" w:afterAutospacing="0" w:line="360" w:lineRule="auto"/>
        <w:ind w:firstLine="897" w:firstLineChars="374"/>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FE"/>
      </w:r>
      <w:r>
        <w:rPr>
          <w:rFonts w:hint="eastAsia" w:ascii="Wingdings" w:hAnsi="Wingdings" w:eastAsia="宋体" w:cs="宋体"/>
          <w:color w:val="auto"/>
          <w:kern w:val="0"/>
          <w:sz w:val="24"/>
          <w:szCs w:val="24"/>
          <w:highlight w:val="none"/>
          <w:lang w:val="en-US" w:eastAsia="zh-CN" w:bidi="ar-SA"/>
        </w:rPr>
        <w:t>标项五、标项六、标项七</w:t>
      </w:r>
      <w:r>
        <w:rPr>
          <w:rFonts w:hint="eastAsia" w:ascii="宋体" w:hAnsi="宋体" w:eastAsia="宋体" w:cs="宋体"/>
          <w:color w:val="auto"/>
          <w:sz w:val="24"/>
          <w:highlight w:val="none"/>
        </w:rPr>
        <w:t>服务全部由符合政策要求的中小企业承接，提供中小企业声明函；</w:t>
      </w:r>
    </w:p>
    <w:p>
      <w:pPr>
        <w:kinsoku/>
        <w:wordWrap/>
        <w:overflowPunct/>
        <w:topLinePunct w:val="0"/>
        <w:bidi w:val="0"/>
        <w:snapToGrid w:val="0"/>
        <w:spacing w:beforeAutospacing="0" w:afterAutospacing="0" w:line="360" w:lineRule="auto"/>
        <w:ind w:firstLine="897" w:firstLineChars="374"/>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A8"/>
      </w:r>
      <w:r>
        <w:rPr>
          <w:rFonts w:hint="eastAsia" w:ascii="宋体" w:hAnsi="宋体" w:eastAsia="宋体" w:cs="宋体"/>
          <w:color w:val="auto"/>
          <w:sz w:val="24"/>
          <w:highlight w:val="none"/>
        </w:rPr>
        <w:t>服务全部由符合政策要求的小微企业承接，提供中小企业声明函；</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3.本项目的特定资格要求：</w:t>
      </w:r>
      <w:r>
        <w:rPr>
          <w:rFonts w:hint="eastAsia" w:ascii="宋体" w:hAnsi="宋体" w:eastAsia="宋体"/>
          <w:color w:val="auto"/>
          <w:sz w:val="24"/>
          <w:szCs w:val="24"/>
          <w:u w:val="single"/>
        </w:rPr>
        <w:t>符合《浙江省检验机构管理条例》第八条规定：检验机构从事检验服务活动，应当经国家认证认可监督管理部门或者省</w:t>
      </w:r>
      <w:r>
        <w:rPr>
          <w:rFonts w:hint="eastAsia" w:ascii="宋体" w:hAnsi="宋体" w:eastAsia="宋体"/>
          <w:color w:val="auto"/>
          <w:sz w:val="24"/>
          <w:szCs w:val="24"/>
          <w:u w:val="single"/>
          <w:lang w:val="en-US" w:eastAsia="zh-CN"/>
        </w:rPr>
        <w:t>市场监督管理</w:t>
      </w:r>
      <w:r>
        <w:rPr>
          <w:rFonts w:hint="eastAsia" w:ascii="宋体" w:hAnsi="宋体" w:eastAsia="宋体"/>
          <w:color w:val="auto"/>
          <w:sz w:val="24"/>
          <w:szCs w:val="24"/>
          <w:u w:val="single"/>
        </w:rPr>
        <w:t>部门计量认证合格；未经计量认证合格，不得从事检验服务活动</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202</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w:t>
      </w:r>
      <w:r>
        <w:rPr>
          <w:rFonts w:hint="eastAsia" w:ascii="宋体" w:hAnsi="宋体" w:eastAsia="宋体" w:cs="宋体"/>
          <w:bCs/>
          <w:color w:val="auto"/>
          <w:sz w:val="24"/>
          <w:highlight w:val="none"/>
          <w:u w:val="single"/>
        </w:rPr>
        <w:t xml:space="preserve"> </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pPr>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pPr>
        <w:kinsoku/>
        <w:wordWrap/>
        <w:overflowPunct/>
        <w:topLinePunct w:val="0"/>
        <w:bidi w:val="0"/>
        <w:snapToGrid w:val="0"/>
        <w:spacing w:beforeAutospacing="0" w:afterAutospacing="0"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    1.采购人信息</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地    址：</w:t>
      </w:r>
      <w:r>
        <w:rPr>
          <w:rFonts w:hint="eastAsia" w:ascii="宋体" w:hAnsi="宋体" w:eastAsia="宋体" w:cs="宋体"/>
          <w:color w:val="auto"/>
          <w:sz w:val="24"/>
          <w:szCs w:val="24"/>
          <w:highlight w:val="none"/>
        </w:rPr>
        <w:t>杭州市凤起东路109号</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w:t>
      </w:r>
      <w:r>
        <w:rPr>
          <w:rFonts w:hint="eastAsia" w:ascii="宋体" w:hAnsi="宋体" w:cs="宋体"/>
          <w:sz w:val="24"/>
          <w:szCs w:val="24"/>
        </w:rPr>
        <w:t>魏力</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w:t>
      </w:r>
      <w:r>
        <w:rPr>
          <w:rFonts w:hint="eastAsia" w:ascii="宋体" w:hAnsi="宋体" w:cs="宋体"/>
          <w:sz w:val="24"/>
          <w:szCs w:val="24"/>
        </w:rPr>
        <w:t>0571-86438435</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w:t>
      </w:r>
      <w:r>
        <w:rPr>
          <w:rFonts w:hint="eastAsia" w:ascii="宋体" w:hAnsi="宋体" w:eastAsia="宋体" w:cs="仿宋_GB2312"/>
          <w:sz w:val="24"/>
          <w:szCs w:val="24"/>
        </w:rPr>
        <w:t>李建雄</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w:t>
      </w:r>
      <w:r>
        <w:rPr>
          <w:rFonts w:hint="eastAsia" w:ascii="宋体" w:hAnsi="宋体" w:cs="宋体"/>
          <w:sz w:val="24"/>
          <w:szCs w:val="24"/>
        </w:rPr>
        <w:t>0571-</w:t>
      </w:r>
      <w:r>
        <w:rPr>
          <w:rFonts w:hint="eastAsia" w:ascii="宋体" w:hAnsi="宋体" w:eastAsia="宋体" w:cs="仿宋_GB2312"/>
          <w:sz w:val="24"/>
          <w:szCs w:val="24"/>
        </w:rPr>
        <w:t>86948426</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2.采购代理机构信息</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浙江中诺招标代理有限公司</w:t>
      </w:r>
    </w:p>
    <w:p>
      <w:pPr>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szCs w:val="24"/>
          <w:highlight w:val="none"/>
        </w:rPr>
        <w:t>杭州市环城北路141号永通信息广场西写字楼10楼</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传    真：</w:t>
      </w:r>
      <w:r>
        <w:rPr>
          <w:rFonts w:hint="eastAsia" w:ascii="宋体" w:hAnsi="宋体" w:eastAsia="宋体" w:cs="宋体"/>
          <w:color w:val="auto"/>
          <w:sz w:val="24"/>
          <w:highlight w:val="none"/>
          <w:lang w:val="en-US" w:eastAsia="zh-CN"/>
        </w:rPr>
        <w:t>0571-88821402-820</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w:t>
      </w:r>
      <w:r>
        <w:rPr>
          <w:rFonts w:hint="eastAsia" w:ascii="宋体" w:hAnsi="宋体" w:eastAsia="宋体" w:cs="宋体"/>
          <w:snapToGrid w:val="0"/>
          <w:color w:val="auto"/>
          <w:kern w:val="0"/>
          <w:sz w:val="24"/>
          <w:szCs w:val="24"/>
          <w:highlight w:val="none"/>
        </w:rPr>
        <w:t>刘宋斌</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w:t>
      </w:r>
      <w:r>
        <w:rPr>
          <w:rFonts w:hint="eastAsia" w:ascii="宋体" w:hAnsi="宋体" w:eastAsia="宋体" w:cs="宋体"/>
          <w:snapToGrid w:val="0"/>
          <w:color w:val="auto"/>
          <w:kern w:val="0"/>
          <w:sz w:val="24"/>
          <w:szCs w:val="24"/>
          <w:highlight w:val="none"/>
        </w:rPr>
        <w:t>0571-88821402</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w:t>
      </w:r>
      <w:r>
        <w:rPr>
          <w:rFonts w:hint="eastAsia" w:ascii="宋体" w:hAnsi="宋体" w:eastAsia="宋体" w:cs="宋体"/>
          <w:snapToGrid w:val="0"/>
          <w:color w:val="auto"/>
          <w:kern w:val="0"/>
          <w:sz w:val="24"/>
          <w:szCs w:val="24"/>
          <w:highlight w:val="none"/>
        </w:rPr>
        <w:t>李倩</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w:t>
      </w:r>
      <w:r>
        <w:rPr>
          <w:rFonts w:hint="eastAsia" w:ascii="宋体" w:hAnsi="宋体" w:eastAsia="宋体" w:cs="宋体"/>
          <w:snapToGrid w:val="0"/>
          <w:color w:val="auto"/>
          <w:kern w:val="0"/>
          <w:sz w:val="24"/>
          <w:szCs w:val="24"/>
          <w:highlight w:val="none"/>
        </w:rPr>
        <w:t>0571-88821402-802</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    3.同级政府采购监督管理部门</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b w:val="0"/>
          <w:bCs/>
          <w:color w:val="auto"/>
          <w:kern w:val="0"/>
          <w:sz w:val="24"/>
          <w:szCs w:val="24"/>
          <w:highlight w:val="none"/>
        </w:rPr>
        <w:t>杭州市财政局政府采购监管处</w:t>
      </w:r>
      <w:r>
        <w:rPr>
          <w:rFonts w:hint="eastAsia" w:ascii="宋体" w:hAnsi="宋体" w:cs="宋体"/>
          <w:sz w:val="24"/>
        </w:rPr>
        <w:t>/浙江省政府采购行政裁决服务中心（杭州）</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cs="宋体"/>
          <w:sz w:val="24"/>
        </w:rPr>
        <w:t>杭州市上城区四季青街道新业路市民之家G03办公室</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传    真：</w:t>
      </w:r>
      <w:r>
        <w:rPr>
          <w:rFonts w:hint="eastAsia" w:ascii="宋体" w:hAnsi="宋体" w:cs="宋体"/>
          <w:bCs/>
          <w:color w:val="auto"/>
          <w:kern w:val="0"/>
          <w:sz w:val="24"/>
          <w:szCs w:val="24"/>
          <w:highlight w:val="none"/>
          <w:lang w:val="en-US" w:eastAsia="zh-CN"/>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人：</w:t>
      </w:r>
      <w:r>
        <w:rPr>
          <w:rFonts w:hint="eastAsia" w:ascii="宋体" w:hAnsi="宋体" w:cs="宋体"/>
          <w:sz w:val="24"/>
        </w:rPr>
        <w:t>朱女士、王女士</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w:t>
      </w:r>
      <w:r>
        <w:rPr>
          <w:rFonts w:hint="eastAsia" w:ascii="宋体" w:hAnsi="宋体" w:cs="宋体"/>
          <w:sz w:val="24"/>
        </w:rPr>
        <w:t>0571-85252453</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pStyle w:val="32"/>
        <w:kinsoku/>
        <w:wordWrap/>
        <w:overflowPunct/>
        <w:topLinePunct w:val="0"/>
        <w:bidi w:val="0"/>
        <w:snapToGrid w:val="0"/>
        <w:spacing w:beforeAutospacing="0" w:afterAutospacing="0" w:line="360" w:lineRule="auto"/>
        <w:ind w:firstLine="723" w:firstLineChars="200"/>
        <w:jc w:val="center"/>
        <w:textAlignment w:val="auto"/>
        <w:rPr>
          <w:rFonts w:hint="eastAsia" w:ascii="宋体" w:hAnsi="宋体" w:eastAsia="宋体" w:cs="宋体"/>
          <w:b/>
          <w:color w:val="auto"/>
          <w:sz w:val="36"/>
          <w:szCs w:val="20"/>
          <w:highlight w:val="none"/>
        </w:rPr>
      </w:pPr>
      <w:r>
        <w:rPr>
          <w:rFonts w:ascii="仿宋" w:hAnsi="仿宋" w:eastAsia="仿宋" w:cs="仿宋_GB2312"/>
          <w:b/>
          <w:color w:val="auto"/>
          <w:sz w:val="36"/>
          <w:szCs w:val="20"/>
          <w:highlight w:val="none"/>
        </w:rPr>
        <w:br w:type="page"/>
      </w:r>
      <w:r>
        <w:rPr>
          <w:rFonts w:hint="eastAsia" w:ascii="宋体" w:hAnsi="宋体" w:eastAsia="宋体" w:cs="宋体"/>
          <w:b/>
          <w:color w:val="auto"/>
          <w:sz w:val="36"/>
          <w:szCs w:val="20"/>
          <w:highlight w:val="none"/>
        </w:rPr>
        <w:t>第二部分</w:t>
      </w:r>
      <w:bookmarkEnd w:id="7"/>
      <w:r>
        <w:rPr>
          <w:rFonts w:hint="eastAsia" w:ascii="宋体" w:hAnsi="宋体" w:eastAsia="宋体" w:cs="宋体"/>
          <w:b/>
          <w:color w:val="auto"/>
          <w:sz w:val="36"/>
          <w:szCs w:val="20"/>
          <w:highlight w:val="none"/>
        </w:rPr>
        <w:t xml:space="preserve"> 投标人须知</w:t>
      </w:r>
      <w:bookmarkEnd w:id="8"/>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719"/>
        <w:gridCol w:w="1815"/>
        <w:gridCol w:w="72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auto" w:sz="4" w:space="0"/>
              <w:bottom w:val="single" w:color="auto" w:sz="4" w:space="0"/>
              <w:right w:val="single" w:color="auto" w:sz="4" w:space="0"/>
            </w:tcBorders>
            <w:noWrap w:val="0"/>
            <w:vAlign w:val="top"/>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26" w:type="pct"/>
            <w:tcBorders>
              <w:top w:val="single" w:color="000000" w:sz="8" w:space="0"/>
              <w:left w:val="single" w:color="auto" w:sz="4"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26" w:type="pct"/>
            <w:tcBorders>
              <w:top w:val="single" w:color="000000" w:sz="8" w:space="0"/>
              <w:left w:val="single" w:color="auto"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color w:val="auto"/>
                <w:sz w:val="24"/>
                <w:highlight w:val="none"/>
              </w:rPr>
              <w:t>开标一览表（报价表）是报价的唯一载体</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pPr>
              <w:pageBreakBefore w:val="0"/>
              <w:widowControl w:val="0"/>
              <w:kinsoku/>
              <w:wordWrap/>
              <w:overflowPunct/>
              <w:topLinePunct w:val="0"/>
              <w:autoSpaceDE/>
              <w:autoSpaceDN/>
              <w:bidi w:val="0"/>
              <w:snapToGrid w:val="0"/>
              <w:spacing w:beforeAutospacing="0" w:afterAutospacing="0" w:line="240" w:lineRule="auto"/>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pPr>
              <w:pageBreakBefore w:val="0"/>
              <w:widowControl w:val="0"/>
              <w:kinsoku/>
              <w:wordWrap/>
              <w:overflowPunct/>
              <w:topLinePunct w:val="0"/>
              <w:autoSpaceDE/>
              <w:autoSpaceDN/>
              <w:bidi w:val="0"/>
              <w:snapToGrid w:val="0"/>
              <w:spacing w:beforeAutospacing="0" w:afterAutospacing="0" w:line="240" w:lineRule="auto"/>
              <w:jc w:val="left"/>
              <w:textAlignment w:val="auto"/>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rPr>
              <w:t>（1）</w:t>
            </w:r>
            <w:r>
              <w:rPr>
                <w:rFonts w:hint="eastAsia" w:ascii="宋体" w:hAnsi="宋体" w:eastAsia="宋体" w:cs="宋体"/>
                <w:b/>
                <w:bCs/>
                <w:color w:val="auto"/>
                <w:kern w:val="0"/>
                <w:sz w:val="24"/>
                <w:highlight w:val="none"/>
                <w:lang w:val="zh-CN"/>
              </w:rPr>
              <w:t>投标文件出现不是唯一的、有选择性投标报价的；</w:t>
            </w:r>
          </w:p>
          <w:p>
            <w:pPr>
              <w:pageBreakBefore w:val="0"/>
              <w:widowControl w:val="0"/>
              <w:kinsoku/>
              <w:wordWrap/>
              <w:overflowPunct/>
              <w:topLinePunct w:val="0"/>
              <w:autoSpaceDE/>
              <w:autoSpaceDN/>
              <w:bidi w:val="0"/>
              <w:snapToGrid w:val="0"/>
              <w:spacing w:beforeAutospacing="0" w:afterAutospacing="0" w:line="240" w:lineRule="auto"/>
              <w:jc w:val="left"/>
              <w:textAlignment w:val="auto"/>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rPr>
              <w:t>（</w:t>
            </w:r>
            <w:r>
              <w:rPr>
                <w:rFonts w:hint="eastAsia" w:ascii="宋体" w:hAnsi="宋体" w:eastAsia="宋体" w:cs="宋体"/>
                <w:b/>
                <w:bCs/>
                <w:color w:val="auto"/>
                <w:kern w:val="0"/>
                <w:sz w:val="24"/>
                <w:highlight w:val="none"/>
                <w:lang w:val="en-US" w:eastAsia="zh-CN"/>
              </w:rPr>
              <w:t>2</w:t>
            </w:r>
            <w:r>
              <w:rPr>
                <w:rFonts w:hint="eastAsia" w:ascii="宋体" w:hAnsi="宋体" w:eastAsia="宋体" w:cs="宋体"/>
                <w:b/>
                <w:bCs/>
                <w:color w:val="auto"/>
                <w:kern w:val="0"/>
                <w:sz w:val="24"/>
                <w:highlight w:val="none"/>
              </w:rPr>
              <w:t>）</w:t>
            </w:r>
            <w:r>
              <w:rPr>
                <w:rFonts w:hint="eastAsia" w:ascii="宋体" w:hAnsi="宋体" w:eastAsia="宋体" w:cs="宋体"/>
                <w:b/>
                <w:bCs/>
                <w:color w:val="auto"/>
                <w:kern w:val="0"/>
                <w:sz w:val="24"/>
                <w:highlight w:val="none"/>
                <w:lang w:val="zh-CN"/>
              </w:rPr>
              <w:t>投标报价超过招标文件中规定的预算金额或者最高限价的;</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kern w:val="0"/>
                <w:sz w:val="24"/>
                <w:highlight w:val="none"/>
              </w:rPr>
              <w:t>（</w:t>
            </w:r>
            <w:r>
              <w:rPr>
                <w:rFonts w:hint="eastAsia" w:ascii="宋体" w:hAnsi="宋体" w:eastAsia="宋体" w:cs="宋体"/>
                <w:b/>
                <w:bCs/>
                <w:color w:val="auto"/>
                <w:kern w:val="0"/>
                <w:sz w:val="24"/>
                <w:highlight w:val="none"/>
                <w:lang w:val="en-US" w:eastAsia="zh-CN"/>
              </w:rPr>
              <w:t>3</w:t>
            </w:r>
            <w:r>
              <w:rPr>
                <w:rFonts w:hint="eastAsia" w:ascii="宋体" w:hAnsi="宋体" w:eastAsia="宋体" w:cs="宋体"/>
                <w:b/>
                <w:bCs/>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bCs/>
                <w:color w:val="auto"/>
                <w:sz w:val="24"/>
                <w:szCs w:val="21"/>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b/>
                <w:bCs/>
                <w:color w:val="auto"/>
                <w:kern w:val="0"/>
                <w:sz w:val="24"/>
                <w:highlight w:val="none"/>
              </w:rPr>
              <w:t>（</w:t>
            </w:r>
            <w:r>
              <w:rPr>
                <w:rFonts w:hint="eastAsia" w:ascii="宋体" w:hAnsi="宋体" w:eastAsia="宋体" w:cs="宋体"/>
                <w:b/>
                <w:bCs/>
                <w:color w:val="auto"/>
                <w:kern w:val="0"/>
                <w:sz w:val="24"/>
                <w:highlight w:val="none"/>
                <w:lang w:val="en-US" w:eastAsia="zh-CN"/>
              </w:rPr>
              <w:t>4</w:t>
            </w:r>
            <w:r>
              <w:rPr>
                <w:rFonts w:hint="eastAsia" w:ascii="宋体" w:hAnsi="宋体" w:eastAsia="宋体" w:cs="宋体"/>
                <w:b/>
                <w:bCs/>
                <w:color w:val="auto"/>
                <w:kern w:val="0"/>
                <w:sz w:val="24"/>
                <w:highlight w:val="none"/>
              </w:rPr>
              <w:t>）投标人对根据修正原则修正后的报价不确认的</w:t>
            </w:r>
            <w:r>
              <w:rPr>
                <w:rFonts w:hint="eastAsia" w:ascii="宋体" w:hAnsi="宋体" w:eastAsia="宋体" w:cs="宋体"/>
                <w:b/>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26" w:type="pct"/>
            <w:tcBorders>
              <w:top w:val="single" w:color="000000" w:sz="8" w:space="0"/>
              <w:left w:val="single" w:color="auto"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MS Gothic" w:hAnsi="MS Gothic" w:eastAsia="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非主体、非关键性的</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工作分包。</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sym w:font="Wingdings" w:char="00FE"/>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vMerge w:val="restart"/>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26" w:type="pct"/>
            <w:vMerge w:val="restart"/>
            <w:tcBorders>
              <w:top w:val="single" w:color="000000" w:sz="8" w:space="0"/>
              <w:left w:val="single" w:color="auto"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3706" w:type="pct"/>
            <w:tcBorders>
              <w:top w:val="single" w:color="000000" w:sz="8" w:space="0"/>
              <w:left w:val="single" w:color="000000" w:sz="2" w:space="0"/>
              <w:bottom w:val="single" w:color="auto" w:sz="4"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vMerge w:val="continue"/>
            <w:tcBorders>
              <w:left w:val="single" w:color="auto" w:sz="4" w:space="0"/>
              <w:bottom w:val="single" w:color="auto" w:sz="4" w:space="0"/>
              <w:right w:val="single" w:color="auto" w:sz="4" w:space="0"/>
            </w:tcBorders>
            <w:noWrap w:val="0"/>
            <w:vAlign w:val="top"/>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p>
        </w:tc>
        <w:tc>
          <w:tcPr>
            <w:tcW w:w="926" w:type="pct"/>
            <w:vMerge w:val="continue"/>
            <w:tcBorders>
              <w:left w:val="single" w:color="auto"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p>
        </w:tc>
        <w:tc>
          <w:tcPr>
            <w:tcW w:w="3706" w:type="pct"/>
            <w:tcBorders>
              <w:top w:val="single" w:color="auto" w:sz="4"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26" w:type="pct"/>
            <w:tcBorders>
              <w:top w:val="single" w:color="000000" w:sz="8" w:space="0"/>
              <w:left w:val="single" w:color="auto"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szCs w:val="20"/>
                <w:highlight w:val="none"/>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926" w:type="pct"/>
            <w:tcBorders>
              <w:top w:val="single" w:color="000000" w:sz="8" w:space="0"/>
              <w:left w:val="single" w:color="auto"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B要求提供，</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否；☐是，检测机构的要求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☐B组织。</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，讲解演示所用电脑等设备由投标人自备。现场讲解演示人员进场时提供讲解人员名单（加盖公章）及身份证明，否则不得讲解演示。</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kern w:val="0"/>
                <w:sz w:val="24"/>
                <w:highlight w:val="none"/>
              </w:rPr>
              <w:t>本项目不允许采购进口产品。</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采购标的对应的中小企业划分标准所属行业</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特殊医学用途配方食品、特殊膳食食品、保健食品等监督抽检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茶叶及相关制品、蔬菜制品、薯类和膨化食品、食品添加剂等监督抽检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u w:val="single"/>
                <w:lang w:eastAsia="zh-CN"/>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糕点、饼干、糖果制品、水产制品等监督抽检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饮料、酒类、可可及焙烤咖啡产品、食糖、蜂产品等监督抽检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u w:val="single"/>
                <w:lang w:eastAsia="zh-CN"/>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速冻食品、罐头、水果制品、豆制品等监督抽检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粮食加工品、食用油、油脂及其制品、炒货食品及坚果制品、蛋制品、淀粉及淀粉制品等监督抽检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u w:val="single"/>
                <w:lang w:eastAsia="zh-CN"/>
              </w:rPr>
              <w:t>。</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default" w:ascii="宋体" w:hAnsi="宋体" w:eastAsia="宋体" w:cs="宋体"/>
                <w:color w:val="auto"/>
                <w:highlight w:val="none"/>
                <w:lang w:val="en-US" w:eastAsia="zh-CN"/>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7</w:t>
            </w:r>
            <w:r>
              <w:rPr>
                <w:rFonts w:hint="eastAsia" w:ascii="宋体" w:hAnsi="宋体" w:eastAsia="宋体" w:cs="宋体"/>
                <w:color w:val="auto"/>
                <w:kern w:val="0"/>
                <w:sz w:val="24"/>
                <w:highlight w:val="none"/>
              </w:rPr>
              <w:t>）标的：</w:t>
            </w:r>
            <w:r>
              <w:rPr>
                <w:rFonts w:hint="eastAsia" w:ascii="宋体" w:hAnsi="宋体" w:eastAsia="宋体" w:cs="宋体"/>
                <w:color w:val="auto"/>
                <w:kern w:val="0"/>
                <w:sz w:val="24"/>
                <w:highlight w:val="none"/>
                <w:u w:val="single"/>
              </w:rPr>
              <w:t>调味品、肉制品、方便食品、冷冻饮品等监督抽检</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（十六）其他未列明行业</w:t>
            </w:r>
            <w:r>
              <w:rPr>
                <w:rFonts w:hint="eastAsia" w:ascii="宋体" w:hAnsi="宋体" w:eastAsia="宋体" w:cs="宋体"/>
                <w:color w:val="auto"/>
                <w:kern w:val="0"/>
                <w:sz w:val="24"/>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vMerge w:val="restart"/>
            <w:tcBorders>
              <w:top w:val="single" w:color="auto" w:sz="4" w:space="0"/>
              <w:left w:val="single" w:color="000000" w:sz="8"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926" w:type="pct"/>
            <w:vMerge w:val="restart"/>
            <w:tcBorders>
              <w:top w:val="single" w:color="000000" w:sz="8" w:space="0"/>
              <w:left w:val="single" w:color="000000" w:sz="2"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vMerge w:val="continue"/>
            <w:tcBorders>
              <w:left w:val="single" w:color="000000" w:sz="8" w:space="0"/>
              <w:right w:val="single" w:color="000000" w:sz="2" w:space="0"/>
            </w:tcBorders>
            <w:noWrap w:val="0"/>
            <w:vAlign w:val="top"/>
          </w:tcPr>
          <w:p>
            <w:pPr>
              <w:pageBreakBefore w:val="0"/>
              <w:widowControl w:val="0"/>
              <w:kinsoku/>
              <w:wordWrap/>
              <w:overflowPunct/>
              <w:topLinePunct w:val="0"/>
              <w:autoSpaceDE/>
              <w:autoSpaceDN/>
              <w:bidi w:val="0"/>
              <w:snapToGrid w:val="0"/>
              <w:spacing w:beforeAutospacing="0" w:afterAutospacing="0" w:line="240" w:lineRule="auto"/>
              <w:ind w:firstLine="420" w:firstLineChars="200"/>
              <w:textAlignment w:val="auto"/>
              <w:rPr>
                <w:rFonts w:hint="eastAsia" w:ascii="宋体" w:hAnsi="宋体" w:eastAsia="宋体" w:cs="宋体"/>
                <w:color w:val="auto"/>
                <w:highlight w:val="none"/>
              </w:rPr>
            </w:pPr>
          </w:p>
        </w:tc>
        <w:tc>
          <w:tcPr>
            <w:tcW w:w="926" w:type="pct"/>
            <w:vMerge w:val="continue"/>
            <w:tcBorders>
              <w:left w:val="single" w:color="000000" w:sz="2"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color w:val="auto"/>
                <w:highlight w:val="none"/>
              </w:rPr>
            </w:pP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备份投标文件送达地点和签收人员</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Style w:val="32"/>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sz w:val="24"/>
                <w:highlight w:val="none"/>
                <w:u w:val="single"/>
                <w:lang w:val="en-US" w:eastAsia="zh-CN"/>
              </w:rPr>
              <w:t>浙江中诺招标代理有限公司（杭州市环城北路141号永通信息广场西写字楼10楼）</w:t>
            </w:r>
            <w:r>
              <w:rPr>
                <w:rFonts w:hint="eastAsia" w:ascii="宋体" w:hAnsi="宋体" w:eastAsia="宋体" w:cs="宋体"/>
                <w:color w:val="auto"/>
                <w:kern w:val="28"/>
                <w:sz w:val="24"/>
                <w:szCs w:val="24"/>
                <w:highlight w:val="none"/>
              </w:rPr>
              <w:t>；备份投标文件签收人员联系电话：</w:t>
            </w:r>
            <w:r>
              <w:rPr>
                <w:rFonts w:hint="eastAsia" w:ascii="宋体" w:hAnsi="宋体" w:eastAsia="宋体" w:cs="宋体"/>
                <w:color w:val="auto"/>
                <w:kern w:val="28"/>
                <w:sz w:val="24"/>
                <w:szCs w:val="24"/>
                <w:highlight w:val="none"/>
                <w:u w:val="single"/>
              </w:rPr>
              <w:t>刘宋斌</w:t>
            </w:r>
            <w:r>
              <w:rPr>
                <w:rFonts w:hint="eastAsia" w:ascii="宋体" w:hAnsi="宋体" w:eastAsia="宋体" w:cs="宋体"/>
                <w:color w:val="auto"/>
                <w:kern w:val="28"/>
                <w:sz w:val="24"/>
                <w:szCs w:val="24"/>
                <w:highlight w:val="none"/>
                <w:u w:val="single"/>
                <w:lang w:val="en-US" w:eastAsia="zh-CN"/>
              </w:rPr>
              <w:t xml:space="preserve"> </w:t>
            </w:r>
            <w:r>
              <w:rPr>
                <w:rFonts w:hint="eastAsia" w:ascii="宋体" w:hAnsi="宋体" w:eastAsia="宋体" w:cs="宋体"/>
                <w:color w:val="auto"/>
                <w:kern w:val="28"/>
                <w:sz w:val="24"/>
                <w:szCs w:val="24"/>
                <w:highlight w:val="none"/>
                <w:u w:val="single"/>
              </w:rPr>
              <w:t>0571-88821402</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367" w:type="pct"/>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926" w:type="pct"/>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3706" w:type="pct"/>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无</w:t>
            </w:r>
            <w:r>
              <w:rPr>
                <w:rFonts w:hint="eastAsia" w:ascii="宋体" w:hAnsi="宋体" w:eastAsia="宋体"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719" w:type="dxa"/>
            <w:tcBorders>
              <w:top w:val="single" w:color="auto" w:sz="4" w:space="0"/>
              <w:left w:val="single" w:color="000000" w:sz="8" w:space="0"/>
              <w:bottom w:val="single" w:color="auto" w:sz="4" w:space="0"/>
              <w:right w:val="single" w:color="000000" w:sz="2"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color w:val="auto"/>
                <w:sz w:val="24"/>
                <w:highlight w:val="none"/>
              </w:rPr>
            </w:pPr>
            <w:bookmarkStart w:id="10" w:name="_Toc164416483"/>
            <w:bookmarkStart w:id="11" w:name="第三部分"/>
            <w:r>
              <w:rPr>
                <w:rFonts w:hint="eastAsia" w:ascii="宋体" w:hAnsi="宋体" w:cs="宋体"/>
                <w:color w:val="auto"/>
                <w:sz w:val="24"/>
                <w:highlight w:val="none"/>
                <w:lang w:val="en-US" w:eastAsia="zh-CN"/>
              </w:rPr>
              <w:t>14</w:t>
            </w:r>
          </w:p>
        </w:tc>
        <w:tc>
          <w:tcPr>
            <w:tcW w:w="1815" w:type="dxa"/>
            <w:tcBorders>
              <w:top w:val="single" w:color="000000" w:sz="8" w:space="0"/>
              <w:left w:val="single" w:color="000000" w:sz="2"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cs="宋体"/>
                <w:b/>
                <w:color w:val="auto"/>
                <w:sz w:val="24"/>
                <w:lang w:val="en-US" w:eastAsia="zh-CN"/>
              </w:rPr>
              <w:t>采购代理服务费</w:t>
            </w:r>
          </w:p>
        </w:tc>
        <w:tc>
          <w:tcPr>
            <w:tcW w:w="7264" w:type="dxa"/>
            <w:tcBorders>
              <w:top w:val="single" w:color="000000" w:sz="8" w:space="0"/>
              <w:left w:val="single" w:color="000000" w:sz="2" w:space="0"/>
              <w:bottom w:val="single" w:color="000000" w:sz="8" w:space="0"/>
              <w:right w:val="single" w:color="000000" w:sz="8" w:space="0"/>
            </w:tcBorders>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本项目的招标代理服务费由中标供应商支付。</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计费标准：以中标（成交）金额为计费基准，按《计价格［2002］1980号》及《发改办价格［2003］857号》规定的收费标准计取。</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按差额定率累进制计算,具体标准为:</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中标金额为100万元及以下：中标金额×1.5%；</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中标金额为100～500万元：100万×1.5%+(中标金额-100万)×1.1%。</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中标金额为500～1000万元：100万×1.5%+(500万-100万)×1.1%+(中标金额-500万)×0.8%。</w:t>
            </w:r>
          </w:p>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结算方式及时间为：在领取中标通知书时由中标供应商一次性向采购代理机构付清。</w:t>
            </w:r>
          </w:p>
        </w:tc>
      </w:tr>
      <w:bookmarkEnd w:id="9"/>
    </w:tbl>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0" w:firstLineChars="0"/>
        <w:jc w:val="center"/>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pPr>
        <w:keepNext w:val="0"/>
        <w:keepLines w:val="0"/>
        <w:pageBreakBefore w:val="0"/>
        <w:kinsoku/>
        <w:wordWrap/>
        <w:overflowPunct/>
        <w:topLinePunct w:val="0"/>
        <w:bidi w:val="0"/>
        <w:adjustRightInd w:val="0"/>
        <w:snapToGrid w:val="0"/>
        <w:spacing w:beforeAutospacing="0" w:afterAutospacing="0" w:line="360" w:lineRule="auto"/>
        <w:ind w:leftChars="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val="0"/>
        <w:snapToGrid w:val="0"/>
        <w:spacing w:beforeAutospacing="0" w:afterAutospacing="0" w:line="360" w:lineRule="auto"/>
        <w:ind w:leftChars="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“采购机构”系指招标公告中载明的本项目的采购机构。</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2.6“电子交易平台”是指本项目政府采购活动所依托的政府采购云平台（https://www.zcygov.cn/）。</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系指实质性要求条款，“★”系产品采购项目中单一产品或核心产品，“</w:t>
      </w:r>
      <w:r>
        <w:rPr>
          <w:rFonts w:hint="eastAsia" w:ascii="Wingdings" w:hAnsi="Wingdings" w:eastAsia="宋体" w:cs="宋体"/>
          <w:color w:val="auto"/>
          <w:kern w:val="0"/>
          <w:sz w:val="24"/>
          <w:szCs w:val="24"/>
          <w:highlight w:val="none"/>
          <w:lang w:val="en-US" w:eastAsia="zh-CN" w:bidi="ar-SA"/>
        </w:rPr>
        <w:t>þ</w:t>
      </w:r>
      <w:r>
        <w:rPr>
          <w:rFonts w:hint="eastAsia" w:ascii="宋体" w:hAnsi="宋体" w:eastAsia="宋体" w:cs="宋体"/>
          <w:color w:val="auto"/>
          <w:sz w:val="24"/>
          <w:highlight w:val="none"/>
        </w:rPr>
        <w:t>” 系指适用本项目的要求，“</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 系指不适用本项目的要求。</w:t>
      </w:r>
    </w:p>
    <w:p>
      <w:pPr>
        <w:keepNext w:val="0"/>
        <w:keepLines w:val="0"/>
        <w:pageBreakBefore w:val="0"/>
        <w:kinsoku/>
        <w:wordWrap/>
        <w:overflowPunct/>
        <w:topLinePunct w:val="0"/>
        <w:bidi w:val="0"/>
        <w:adjustRightInd w:val="0"/>
        <w:snapToGrid w:val="0"/>
        <w:spacing w:beforeAutospacing="0" w:afterAutospacing="0" w:line="360" w:lineRule="auto"/>
        <w:ind w:leftChars="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3.2.2 修缮、装修类项目采购建材的，采购人应将绿色建筑和绿色建材性能、指标等作为实质性条件纳入招标文件和合同。</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在政府采购活动中，投标人提供的货物、工程或者服务符合下列情形的，享受中小企业扶持政策：</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both"/>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3.3.2.1在货物采购项目中，货物由中小企业制造，即货物由中小企业生产且使用该中小企业商号或者注册商标；</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both"/>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3.3.2.2在工程采购项目中，工程由中小企业承建，即工程施工单位为中小企业；</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both"/>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3.3.2.3在服务采购项目中，服务由中小企业承接，即提供服务的人员为中小企业依照《中华人民共和国劳动合同法》订立劳动合同的从业人员。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both"/>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3.3.3对于未预留份额专门面向中小企业的政府采购货物或服务项目，以及预留份额政府采购货物或服务项目中的非预留部分标项，对小型和微型企业的投标报价给予</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keepNext w:val="0"/>
        <w:keepLines w:val="0"/>
        <w:pageBreakBefore w:val="0"/>
        <w:kinsoku/>
        <w:wordWrap/>
        <w:overflowPunct/>
        <w:topLinePunct w:val="0"/>
        <w:bidi w:val="0"/>
        <w:adjustRightInd w:val="0"/>
        <w:snapToGrid w:val="0"/>
        <w:spacing w:beforeAutospacing="0" w:afterAutospacing="0" w:line="360" w:lineRule="auto"/>
        <w:ind w:leftChars="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4.询问、质疑、投诉</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4.1供应商询问</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Chars="0"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4.2供应商质疑</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4.2</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4.2</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4.2.2.1对招标文件提出质疑的，质疑期限为供应商获得招标文件之日或者招标文件公告期限届满之日起计算。</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4.2.2.2对采购过程提出质疑的，质疑期限为各采购程序环节结束之日起计算。对同一采购程序环节的质疑，供应商须一次性提出。</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4.2.2.3对采购结果提出质疑的，质疑期限自采购结果公告期限届满之日起计算。</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w:t>
      </w:r>
      <w:r>
        <w:rPr>
          <w:rFonts w:hint="eastAsia" w:ascii="宋体" w:hAnsi="宋体" w:eastAsia="宋体" w:cs="宋体"/>
          <w:color w:val="auto"/>
          <w:sz w:val="24"/>
          <w:highlight w:val="none"/>
        </w:rPr>
        <w:t>供应商提出质疑应当提交质疑函和必要的证明材料。质疑函应当包括下列内容：</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4.2.3.1供应商的姓名或者名称、地址、邮编、联系人及联系电话；</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4.2.3.2质疑项目的名称、编号；</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4.2.3.3具体、明确的质疑事项和与质疑事项相关的请求；</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4.2.3.4事实依据；</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4.2.3.5必要的法律依据；</w:t>
      </w:r>
    </w:p>
    <w:p>
      <w:pPr>
        <w:pStyle w:val="32"/>
        <w:keepNext w:val="0"/>
        <w:keepLines w:val="0"/>
        <w:pageBreakBefore w:val="0"/>
        <w:kinsoku/>
        <w:wordWrap/>
        <w:overflowPunct/>
        <w:topLinePunct w:val="0"/>
        <w:bidi w:val="0"/>
        <w:adjustRightInd w:val="0"/>
        <w:snapToGrid w:val="0"/>
        <w:spacing w:beforeAutospacing="0" w:afterAutospacing="0" w:line="360" w:lineRule="auto"/>
        <w:ind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4.2.3.6提出质疑的日期。</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4.2</w:t>
      </w:r>
      <w:r>
        <w:rPr>
          <w:rFonts w:hint="eastAsia" w:ascii="宋体" w:hAnsi="宋体" w:eastAsia="宋体" w:cs="宋体"/>
          <w:color w:val="auto"/>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4.2</w:t>
      </w:r>
      <w:r>
        <w:rPr>
          <w:rFonts w:hint="eastAsia" w:ascii="宋体" w:hAnsi="宋体" w:eastAsia="宋体" w:cs="宋体"/>
          <w:color w:val="auto"/>
          <w:highlight w:val="none"/>
        </w:rPr>
        <w:t>.5询问或者质疑事项可能影响采购结果的，采购人应当暂停签订合同，已经签订合同的，应当中止履行合同。</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4.3供应商投诉</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4.3.</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4.3.3供应商投诉应当有明确的请求和必要的证明材料。</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4.3.5 以联合体形式参加政府采购活动的，其投诉应当由组成联合体的所有供应商共同提出。</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pPr>
        <w:pStyle w:val="888"/>
        <w:keepNext w:val="0"/>
        <w:keepLines w:val="0"/>
        <w:pageBreakBefore w:val="0"/>
        <w:shd w:val="clear" w:color="auto" w:fill="FFFFFF"/>
        <w:kinsoku/>
        <w:wordWrap/>
        <w:overflowPunct/>
        <w:topLinePunct w:val="0"/>
        <w:bidi w:val="0"/>
        <w:adjustRightInd w:val="0"/>
        <w:snapToGrid w:val="0"/>
        <w:spacing w:before="0" w:beforeAutospacing="0" w:after="0" w:afterAutospacing="0" w:line="360" w:lineRule="auto"/>
        <w:ind w:leftChars="0" w:firstLine="480" w:firstLineChars="200"/>
        <w:contextualSpacing/>
        <w:textAlignment w:val="auto"/>
        <w:rPr>
          <w:rFonts w:hint="eastAsia" w:ascii="宋体" w:hAnsi="宋体" w:eastAsia="宋体" w:cs="宋体"/>
          <w:color w:val="auto"/>
          <w:highlight w:val="none"/>
          <w:lang w:eastAsia="zh-CN"/>
        </w:rPr>
      </w:pPr>
      <w:bookmarkStart w:id="404" w:name="_GoBack"/>
      <w:bookmarkEnd w:id="404"/>
    </w:p>
    <w:p>
      <w:pPr>
        <w:kinsoku/>
        <w:wordWrap/>
        <w:overflowPunct/>
        <w:topLinePunct w:val="0"/>
        <w:bidi w:val="0"/>
        <w:adjustRightInd/>
        <w:snapToGrid w:val="0"/>
        <w:spacing w:beforeAutospacing="0" w:afterAutospacing="0" w:line="360" w:lineRule="auto"/>
        <w:jc w:val="center"/>
        <w:textAlignment w:val="auto"/>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二、招标文件的构成、澄清、修改</w:t>
      </w:r>
    </w:p>
    <w:p>
      <w:pPr>
        <w:pStyle w:val="32"/>
        <w:keepNext w:val="0"/>
        <w:keepLines w:val="0"/>
        <w:pageBreakBefore w:val="0"/>
        <w:widowControl w:val="0"/>
        <w:kinsoku/>
        <w:wordWrap/>
        <w:overflowPunct/>
        <w:topLinePunct w:val="0"/>
        <w:bidi w:val="0"/>
        <w:adjustRightInd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pPr>
        <w:pStyle w:val="32"/>
        <w:keepNext w:val="0"/>
        <w:keepLines w:val="0"/>
        <w:pageBreakBefore w:val="0"/>
        <w:widowControl w:val="0"/>
        <w:kinsoku/>
        <w:wordWrap/>
        <w:overflowPunct/>
        <w:topLinePunct w:val="0"/>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pPr>
        <w:pStyle w:val="32"/>
        <w:keepNext w:val="0"/>
        <w:keepLines w:val="0"/>
        <w:pageBreakBefore w:val="0"/>
        <w:widowControl w:val="0"/>
        <w:tabs>
          <w:tab w:val="left" w:pos="840"/>
        </w:tabs>
        <w:kinsoku/>
        <w:wordWrap/>
        <w:overflowPunct/>
        <w:topLinePunct w:val="0"/>
        <w:bidi w:val="0"/>
        <w:adjustRightInd w:val="0"/>
        <w:snapToGrid w:val="0"/>
        <w:spacing w:beforeAutospacing="0" w:afterAutospacing="0" w:line="360" w:lineRule="auto"/>
        <w:ind w:leftChars="20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pPr>
        <w:keepNext w:val="0"/>
        <w:keepLines w:val="0"/>
        <w:pageBreakBefore w:val="0"/>
        <w:widowControl w:val="0"/>
        <w:kinsoku/>
        <w:wordWrap/>
        <w:overflowPunct/>
        <w:topLinePunct w:val="0"/>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pPr>
        <w:pStyle w:val="32"/>
        <w:keepNext w:val="0"/>
        <w:keepLines w:val="0"/>
        <w:pageBreakBefore w:val="0"/>
        <w:widowControl w:val="0"/>
        <w:kinsoku/>
        <w:wordWrap/>
        <w:overflowPunct/>
        <w:topLinePunct w:val="0"/>
        <w:bidi w:val="0"/>
        <w:adjustRightInd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6.招标文件的澄清、修改</w:t>
      </w:r>
    </w:p>
    <w:p>
      <w:pPr>
        <w:pStyle w:val="158"/>
        <w:keepNext w:val="0"/>
        <w:keepLines w:val="0"/>
        <w:pageBreakBefore w:val="0"/>
        <w:widowControl w:val="0"/>
        <w:kinsoku/>
        <w:wordWrap/>
        <w:overflowPunct/>
        <w:topLinePunct w:val="0"/>
        <w:bidi w:val="0"/>
        <w:adjustRightInd w:val="0"/>
        <w:snapToGrid w:val="0"/>
        <w:spacing w:before="0" w:beforeAutospacing="0" w:afterAutospacing="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6.1已获取招标文件的潜在投标人，若有问题需要澄清，应于投标截止时间前，以书面形式向采购机构提出。</w:t>
      </w:r>
    </w:p>
    <w:p>
      <w:pPr>
        <w:pStyle w:val="158"/>
        <w:keepNext w:val="0"/>
        <w:keepLines w:val="0"/>
        <w:pageBreakBefore w:val="0"/>
        <w:widowControl w:val="0"/>
        <w:kinsoku/>
        <w:wordWrap/>
        <w:overflowPunct/>
        <w:topLinePunct w:val="0"/>
        <w:bidi w:val="0"/>
        <w:adjustRightInd w:val="0"/>
        <w:snapToGrid w:val="0"/>
        <w:spacing w:before="0" w:beforeAutospacing="0" w:afterAutospacing="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keepNext w:val="0"/>
        <w:keepLines w:val="0"/>
        <w:pageBreakBefore w:val="0"/>
        <w:widowControl w:val="0"/>
        <w:kinsoku/>
        <w:wordWrap/>
        <w:overflowPunct/>
        <w:topLinePunct w:val="0"/>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pPr>
        <w:kinsoku/>
        <w:wordWrap/>
        <w:overflowPunct/>
        <w:topLinePunct w:val="0"/>
        <w:bidi w:val="0"/>
        <w:adjustRightInd/>
        <w:snapToGrid w:val="0"/>
        <w:spacing w:beforeAutospacing="0" w:afterAutospacing="0"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三、投标</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7.招标文件的获取</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pPr>
        <w:pStyle w:val="32"/>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pPr>
        <w:pStyle w:val="5"/>
        <w:kinsoku/>
        <w:wordWrap/>
        <w:overflowPunct/>
        <w:topLinePunct w:val="0"/>
        <w:bidi w:val="0"/>
        <w:snapToGrid w:val="0"/>
        <w:spacing w:beforeAutospacing="0" w:afterAutospacing="0" w:line="360" w:lineRule="auto"/>
        <w:ind w:firstLine="470"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10.投标文件的语言</w:t>
      </w:r>
    </w:p>
    <w:p>
      <w:pPr>
        <w:kinsoku/>
        <w:wordWrap/>
        <w:overflowPunct/>
        <w:topLinePunct w:val="0"/>
        <w:autoSpaceDE w:val="0"/>
        <w:autoSpaceDN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11.投标文件的组成</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11.1.2落实政府采购政策需满足的资格要求；</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11.1.3本项目的特定资格要求。</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11.2.3联合协议；</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11.2.4分包意向协议；</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11.2.5符合性审查资料；</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11.2.6评标标准相应的商务技术资料；</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pPr>
        <w:kinsoku/>
        <w:wordWrap/>
        <w:overflowPunct/>
        <w:topLinePunct w:val="0"/>
        <w:bidi w:val="0"/>
        <w:snapToGrid w:val="0"/>
        <w:spacing w:beforeAutospacing="0" w:afterAutospacing="0"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11.3.2中小企业声明函。</w:t>
      </w:r>
    </w:p>
    <w:p>
      <w:pPr>
        <w:kinsoku/>
        <w:wordWrap/>
        <w:overflowPunct/>
        <w:topLinePunct w:val="0"/>
        <w:bidi w:val="0"/>
        <w:snapToGrid w:val="0"/>
        <w:spacing w:beforeAutospacing="0" w:afterAutospacing="0" w:line="360" w:lineRule="auto"/>
        <w:ind w:firstLine="723" w:firstLineChars="3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pPr>
        <w:kinsoku/>
        <w:wordWrap/>
        <w:overflowPunct/>
        <w:topLinePunct w:val="0"/>
        <w:bidi w:val="0"/>
        <w:snapToGrid w:val="0"/>
        <w:spacing w:beforeAutospacing="0" w:afterAutospacing="0" w:line="360" w:lineRule="auto"/>
        <w:ind w:firstLine="723" w:firstLineChars="300"/>
        <w:textAlignment w:val="auto"/>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pPr>
        <w:pStyle w:val="158"/>
        <w:kinsoku/>
        <w:wordWrap/>
        <w:overflowPunct/>
        <w:topLinePunct w:val="0"/>
        <w:bidi w:val="0"/>
        <w:snapToGrid w:val="0"/>
        <w:spacing w:before="0" w:beforeAutospacing="0" w:afterAutospacing="0" w:line="360" w:lineRule="auto"/>
        <w:ind w:firstLine="0" w:firstLineChars="0"/>
        <w:textAlignment w:val="auto"/>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2"/>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pPr>
        <w:pStyle w:val="32"/>
        <w:kinsoku/>
        <w:wordWrap/>
        <w:overflowPunct/>
        <w:topLinePunct w:val="0"/>
        <w:bidi w:val="0"/>
        <w:snapToGrid w:val="0"/>
        <w:spacing w:beforeAutospacing="0" w:afterAutospacing="0" w:line="360" w:lineRule="auto"/>
        <w:ind w:firstLine="360" w:firstLineChars="15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但采购人、采购机构不强制或变相强制投标人提交备份投标文件。</w:t>
      </w:r>
    </w:p>
    <w:p>
      <w:pPr>
        <w:pStyle w:val="32"/>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pPr>
        <w:pStyle w:val="32"/>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2"/>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2"/>
        <w:kinsoku/>
        <w:wordWrap/>
        <w:overflowPunct/>
        <w:topLinePunct w:val="0"/>
        <w:bidi w:val="0"/>
        <w:snapToGrid w:val="0"/>
        <w:spacing w:beforeAutospacing="0" w:afterAutospacing="0" w:line="360" w:lineRule="auto"/>
        <w:ind w:firstLine="479" w:firstLine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15.5投标人仅提交备份投标文件，没有在电子交易平台传输递交投标文件的，投标无效。</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pPr>
        <w:pStyle w:val="24"/>
        <w:kinsoku/>
        <w:wordWrap/>
        <w:overflowPunct/>
        <w:topLinePunct w:val="0"/>
        <w:bidi w:val="0"/>
        <w:snapToGrid w:val="0"/>
        <w:spacing w:beforeAutospacing="0" w:afterAutospacing="0" w:line="360" w:lineRule="auto"/>
        <w:ind w:firstLine="360" w:firstLineChars="15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lang w:val="en-US" w:eastAsia="zh-CN"/>
        </w:rPr>
        <w:t>4.2</w:t>
      </w:r>
      <w:r>
        <w:rPr>
          <w:rFonts w:hint="eastAsia" w:ascii="宋体" w:hAnsi="宋体" w:eastAsia="宋体" w:cs="宋体"/>
          <w:color w:val="auto"/>
          <w:highlight w:val="none"/>
        </w:rPr>
        <w:t>项规定</w:t>
      </w:r>
      <w:r>
        <w:rPr>
          <w:rFonts w:hint="eastAsia" w:ascii="宋体" w:hAnsi="宋体" w:eastAsia="宋体" w:cs="宋体"/>
          <w:color w:val="auto"/>
          <w:szCs w:val="21"/>
          <w:highlight w:val="none"/>
        </w:rPr>
        <w:t>的情形之一的，投标无效：</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58"/>
        <w:kinsoku/>
        <w:wordWrap/>
        <w:overflowPunct/>
        <w:topLinePunct w:val="0"/>
        <w:bidi w:val="0"/>
        <w:snapToGrid w:val="0"/>
        <w:spacing w:before="0" w:beforeAutospacing="0" w:afterAutospacing="0" w:line="360" w:lineRule="auto"/>
        <w:ind w:firstLine="643"/>
        <w:textAlignment w:val="auto"/>
        <w:rPr>
          <w:rFonts w:ascii="仿宋_GB2312" w:hAnsi="仿宋" w:eastAsia="仿宋_GB2312" w:cs="仿宋_GB2312"/>
          <w:b/>
          <w:color w:val="auto"/>
          <w:sz w:val="32"/>
          <w:highlight w:val="none"/>
        </w:rPr>
      </w:pPr>
    </w:p>
    <w:p>
      <w:pPr>
        <w:pStyle w:val="158"/>
        <w:keepNext w:val="0"/>
        <w:keepLines w:val="0"/>
        <w:pageBreakBefore w:val="0"/>
        <w:widowControl w:val="0"/>
        <w:kinsoku/>
        <w:wordWrap/>
        <w:overflowPunct/>
        <w:topLinePunct w:val="0"/>
        <w:autoSpaceDE/>
        <w:autoSpaceDN/>
        <w:bidi w:val="0"/>
        <w:adjustRightInd w:val="0"/>
        <w:snapToGrid w:val="0"/>
        <w:spacing w:before="0" w:beforeAutospacing="0" w:afterAutospacing="0" w:line="360" w:lineRule="auto"/>
        <w:ind w:firstLine="0" w:firstLineChars="0"/>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pPr>
        <w:pStyle w:val="556"/>
        <w:kinsoku/>
        <w:wordWrap/>
        <w:overflowPunct/>
        <w:topLinePunct w:val="0"/>
        <w:bidi w:val="0"/>
        <w:snapToGrid w:val="0"/>
        <w:spacing w:before="0" w:beforeAutospacing="0" w:afterAutospacing="0" w:line="360" w:lineRule="auto"/>
        <w:ind w:left="0" w:leftChars="0" w:firstLine="0" w:firstLineChars="0"/>
        <w:contextualSpacing/>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pPr>
        <w:pStyle w:val="556"/>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18.1采购机构按照招标文件规定的时间通过电子交易平台组织开标，所有投标人均应当准时在线参加。投标人不足3家的，不得开标。</w:t>
      </w:r>
    </w:p>
    <w:p>
      <w:pPr>
        <w:pStyle w:val="556"/>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18.2开标时，电子交易平台按开标时间自动提取所有投标文件。采购机构依托电子交易平台发起开始解密指令，投标人按照平台提示和招标文件的规定在半小时内完成在线解密。</w:t>
      </w:r>
    </w:p>
    <w:p>
      <w:pPr>
        <w:pStyle w:val="556"/>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360" w:lineRule="auto"/>
        <w:ind w:left="0" w:firstLine="480" w:firstLineChars="200"/>
        <w:contextualSpacing/>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kinsoku/>
        <w:wordWrap/>
        <w:overflowPunct/>
        <w:topLinePunct w:val="0"/>
        <w:bidi w:val="0"/>
        <w:snapToGrid w:val="0"/>
        <w:spacing w:beforeAutospacing="0" w:afterAutospacing="0" w:line="360" w:lineRule="auto"/>
        <w:jc w:val="left"/>
        <w:textAlignment w:val="auto"/>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19、资格审查</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19.1开标后，采购人或采购机构将依法对投标人的资格进行审查。</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19.2</w:t>
      </w:r>
      <w:r>
        <w:rPr>
          <w:rFonts w:hint="eastAsia" w:ascii="宋体" w:hAnsi="宋体" w:eastAsia="宋体" w:cs="宋体"/>
          <w:color w:val="auto"/>
          <w:sz w:val="24"/>
          <w:highlight w:val="none"/>
        </w:rPr>
        <w:t>采购人或采购机构依据法律法规和招标文件的规定，对投标人的基本资格条件、特定资格条件进行审查。</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19.3投标人未按照招标文件要求提供与</w:t>
      </w:r>
      <w:r>
        <w:rPr>
          <w:rFonts w:hint="eastAsia" w:ascii="宋体" w:hAnsi="宋体" w:eastAsia="宋体" w:cs="宋体"/>
          <w:color w:val="auto"/>
          <w:highlight w:val="none"/>
        </w:rPr>
        <w:t>基本资格条件、特定资格条件相应的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4对未通过资格审查的投标人，采购人或采购机构告知其未通过的原因。</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5合格投标人不足3家的，不再评标。</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pPr>
        <w:pStyle w:val="158"/>
        <w:kinsoku/>
        <w:wordWrap/>
        <w:overflowPunct/>
        <w:topLinePunct w:val="0"/>
        <w:bidi w:val="0"/>
        <w:snapToGrid w:val="0"/>
        <w:spacing w:before="0" w:beforeAutospacing="0" w:after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20.1信用信息查询渠道及截止时间：采购机构将通过“信用中国”网站(www.creditchina.gov.cn)、中国政府采购网(www.ccgp.gov.cn)渠道查询投标人投标截止时间当天的信用记录。</w:t>
      </w:r>
    </w:p>
    <w:p>
      <w:pPr>
        <w:pStyle w:val="158"/>
        <w:kinsoku/>
        <w:wordWrap/>
        <w:overflowPunct/>
        <w:topLinePunct w:val="0"/>
        <w:bidi w:val="0"/>
        <w:snapToGrid w:val="0"/>
        <w:spacing w:before="0" w:beforeAutospacing="0" w:after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pPr>
        <w:pStyle w:val="158"/>
        <w:kinsoku/>
        <w:wordWrap/>
        <w:overflowPunct/>
        <w:topLinePunct w:val="0"/>
        <w:bidi w:val="0"/>
        <w:snapToGrid w:val="0"/>
        <w:spacing w:before="0" w:beforeAutospacing="0" w:afterAutospacing="0" w:line="360" w:lineRule="auto"/>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pPr>
        <w:pStyle w:val="158"/>
        <w:kinsoku/>
        <w:wordWrap/>
        <w:overflowPunct/>
        <w:topLinePunct w:val="0"/>
        <w:bidi w:val="0"/>
        <w:snapToGrid w:val="0"/>
        <w:spacing w:before="0" w:beforeAutospacing="0" w:afterAutospacing="0" w:line="360" w:lineRule="auto"/>
        <w:ind w:firstLine="0" w:firstLineChars="0"/>
        <w:textAlignment w:val="auto"/>
        <w:rPr>
          <w:rFonts w:ascii="仿宋_GB2312" w:hAnsi="仿宋" w:eastAsia="仿宋_GB2312" w:cs="Arial"/>
          <w:color w:val="auto"/>
          <w:kern w:val="0"/>
          <w:szCs w:val="24"/>
          <w:highlight w:val="none"/>
        </w:r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五、评标</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kern w:val="2"/>
          <w:sz w:val="24"/>
          <w:szCs w:val="24"/>
          <w:highlight w:val="none"/>
          <w:lang w:val="en-US" w:eastAsia="zh-CN" w:bidi="ar-SA"/>
        </w:rPr>
      </w:pPr>
      <w:bookmarkStart w:id="12" w:name="_Toc91899903"/>
      <w:r>
        <w:rPr>
          <w:rFonts w:hint="eastAsia" w:ascii="宋体" w:hAnsi="宋体" w:eastAsia="宋体" w:cs="宋体"/>
          <w:b/>
          <w:color w:val="auto"/>
          <w:kern w:val="2"/>
          <w:sz w:val="24"/>
          <w:szCs w:val="24"/>
          <w:highlight w:val="none"/>
          <w:lang w:val="en-US" w:eastAsia="zh-CN" w:bidi="ar-SA"/>
        </w:rPr>
        <w:t>21. 评标方法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本项目采用：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Wingdings" w:hAnsi="Wingdings" w:eastAsia="宋体" w:cs="宋体"/>
          <w:color w:val="auto"/>
          <w:kern w:val="2"/>
          <w:sz w:val="24"/>
          <w:szCs w:val="24"/>
          <w:highlight w:val="none"/>
          <w:lang w:val="en-US" w:eastAsia="zh-CN" w:bidi="ar-SA"/>
        </w:rPr>
        <w:t>þ</w:t>
      </w:r>
      <w:r>
        <w:rPr>
          <w:rFonts w:hint="eastAsia" w:ascii="宋体" w:hAnsi="宋体" w:eastAsia="宋体" w:cs="宋体"/>
          <w:color w:val="auto"/>
          <w:sz w:val="24"/>
          <w:highlight w:val="none"/>
          <w:lang w:val="en-US" w:eastAsia="zh-CN"/>
        </w:rPr>
        <w:t>综合评分法，</w:t>
      </w:r>
      <w:r>
        <w:rPr>
          <w:rFonts w:hint="eastAsia" w:ascii="宋体" w:hAnsi="宋体" w:eastAsia="宋体" w:cs="宋体"/>
          <w:color w:val="auto"/>
          <w:sz w:val="24"/>
          <w:highlight w:val="none"/>
        </w:rPr>
        <w:t>评标委员会将根据招标文件和有关规定，履行评标工作职责，并按照评标</w:t>
      </w:r>
      <w:r>
        <w:rPr>
          <w:rFonts w:hint="eastAsia" w:ascii="宋体" w:hAnsi="宋体" w:eastAsia="宋体" w:cs="宋体"/>
          <w:color w:val="auto"/>
          <w:sz w:val="24"/>
          <w:highlight w:val="none"/>
          <w:lang w:val="en-US" w:eastAsia="zh-CN"/>
        </w:rPr>
        <w:t>办</w:t>
      </w:r>
      <w:r>
        <w:rPr>
          <w:rFonts w:hint="eastAsia" w:ascii="宋体" w:hAnsi="宋体" w:eastAsia="宋体" w:cs="宋体"/>
          <w:color w:val="auto"/>
          <w:sz w:val="24"/>
          <w:highlight w:val="none"/>
        </w:rPr>
        <w:t>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☐最低评标价法，</w:t>
      </w:r>
      <w:r>
        <w:rPr>
          <w:rFonts w:hint="eastAsia" w:ascii="宋体" w:hAnsi="宋体" w:eastAsia="宋体" w:cs="宋体"/>
          <w:color w:val="auto"/>
          <w:sz w:val="24"/>
          <w:highlight w:val="none"/>
        </w:rPr>
        <w:t>评标委员会将根据招标文件和有关规定，履行评标工作职责，并按照评标</w:t>
      </w:r>
      <w:r>
        <w:rPr>
          <w:rFonts w:hint="eastAsia" w:ascii="宋体" w:hAnsi="宋体" w:eastAsia="宋体" w:cs="宋体"/>
          <w:color w:val="auto"/>
          <w:sz w:val="24"/>
          <w:highlight w:val="none"/>
          <w:lang w:val="en-US" w:eastAsia="zh-CN"/>
        </w:rPr>
        <w:t>办</w:t>
      </w:r>
      <w:r>
        <w:rPr>
          <w:rFonts w:hint="eastAsia" w:ascii="宋体" w:hAnsi="宋体" w:eastAsia="宋体" w:cs="宋体"/>
          <w:color w:val="auto"/>
          <w:sz w:val="24"/>
          <w:highlight w:val="none"/>
        </w:rPr>
        <w:t>法，全面衡量各投标人对招标文件的响应情况。对实质上响应招标文件的投标人，</w:t>
      </w:r>
      <w:r>
        <w:rPr>
          <w:rFonts w:hint="eastAsia" w:ascii="宋体" w:hAnsi="宋体" w:eastAsia="宋体" w:cs="宋体"/>
          <w:color w:val="auto"/>
          <w:sz w:val="24"/>
          <w:highlight w:val="none"/>
          <w:lang w:val="en-US" w:eastAsia="zh-CN"/>
        </w:rPr>
        <w:t>按照投标报价由低到高</w:t>
      </w:r>
      <w:r>
        <w:rPr>
          <w:rFonts w:hint="eastAsia" w:ascii="宋体" w:hAnsi="宋体" w:eastAsia="宋体" w:cs="宋体"/>
          <w:color w:val="auto"/>
          <w:sz w:val="24"/>
          <w:highlight w:val="none"/>
        </w:rPr>
        <w:t>排出推荐中标的投标人的先后顺序，并按顺序提出授标建议。</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六、定标</w:t>
      </w:r>
    </w:p>
    <w:p>
      <w:pPr>
        <w:pStyle w:val="24"/>
        <w:kinsoku/>
        <w:wordWrap/>
        <w:overflowPunct/>
        <w:topLinePunct w:val="0"/>
        <w:bidi w:val="0"/>
        <w:snapToGrid w:val="0"/>
        <w:spacing w:beforeAutospacing="0" w:afterAutospacing="0" w:line="360" w:lineRule="auto"/>
        <w:ind w:left="479" w:hanging="479" w:hangingChars="199"/>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采购人将自收到评审报告之日起</w:t>
      </w:r>
      <w:r>
        <w:rPr>
          <w:rFonts w:hint="eastAsia" w:ascii="宋体" w:hAnsi="宋体" w:cs="宋体"/>
          <w:color w:val="auto"/>
          <w:szCs w:val="24"/>
          <w:highlight w:val="none"/>
          <w:lang w:val="en-US" w:eastAsia="zh-CN"/>
        </w:rPr>
        <w:t>2</w:t>
      </w:r>
      <w:r>
        <w:rPr>
          <w:rFonts w:hint="eastAsia" w:ascii="宋体" w:hAnsi="宋体" w:eastAsia="宋体" w:cs="宋体"/>
          <w:color w:val="auto"/>
          <w:szCs w:val="24"/>
          <w:highlight w:val="none"/>
        </w:rPr>
        <w:t>个工作日内通过电子交易平台在评审报告推荐的中标候选人中按顺序确定中标供应商。</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pPr>
        <w:widowControl/>
        <w:shd w:val="clear" w:color="auto" w:fill="FFFFFF"/>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个工作日内，采购机构通过电子交易平台向中标人发出中标通知书，同时编制发布采购结果公告。采购机构也可以以纸质形式进行中标通知。</w:t>
      </w:r>
    </w:p>
    <w:p>
      <w:pPr>
        <w:widowControl/>
        <w:shd w:val="clear" w:color="auto" w:fill="FFFFFF"/>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pPr>
        <w:kinsoku/>
        <w:wordWrap/>
        <w:overflowPunct/>
        <w:topLinePunct w:val="0"/>
        <w:bidi w:val="0"/>
        <w:snapToGrid w:val="0"/>
        <w:spacing w:beforeAutospacing="0" w:afterAutospacing="0" w:line="360" w:lineRule="auto"/>
        <w:ind w:left="120" w:leftChars="57" w:firstLine="482" w:firstLineChars="150"/>
        <w:jc w:val="center"/>
        <w:textAlignment w:val="auto"/>
        <w:rPr>
          <w:rFonts w:ascii="仿宋_GB2312" w:hAnsi="仿宋" w:eastAsia="仿宋_GB2312" w:cs="仿宋_GB2312"/>
          <w:b/>
          <w:color w:val="auto"/>
          <w:sz w:val="32"/>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pPr>
        <w:pStyle w:val="24"/>
        <w:kinsoku/>
        <w:wordWrap/>
        <w:overflowPunct/>
        <w:topLinePunct w:val="0"/>
        <w:bidi w:val="0"/>
        <w:snapToGrid w:val="0"/>
        <w:spacing w:beforeAutospacing="0" w:afterAutospacing="0" w:line="360" w:lineRule="auto"/>
        <w:ind w:left="479" w:hanging="479" w:hangingChars="199"/>
        <w:textAlignment w:val="auto"/>
        <w:rPr>
          <w:rFonts w:hint="eastAsia" w:ascii="宋体" w:hAnsi="宋体" w:eastAsia="宋体" w:cs="宋体"/>
          <w:b/>
          <w:bCs/>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b/>
          <w:bCs/>
          <w:color w:val="auto"/>
          <w:highlight w:val="none"/>
        </w:rPr>
        <w:t>合同主要条款</w:t>
      </w:r>
    </w:p>
    <w:p>
      <w:pPr>
        <w:widowControl/>
        <w:shd w:val="clear" w:color="auto" w:fill="FFFFFF"/>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详见第五部分拟签订的合同文本。</w:t>
      </w:r>
    </w:p>
    <w:p>
      <w:pPr>
        <w:pStyle w:val="24"/>
        <w:kinsoku/>
        <w:wordWrap/>
        <w:overflowPunct/>
        <w:topLinePunct w:val="0"/>
        <w:bidi w:val="0"/>
        <w:snapToGrid w:val="0"/>
        <w:spacing w:beforeAutospacing="0" w:afterAutospacing="0" w:line="360" w:lineRule="auto"/>
        <w:ind w:left="479" w:hanging="479" w:hangingChars="199"/>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pPr>
        <w:widowControl/>
        <w:shd w:val="clear" w:color="auto" w:fill="FFFFFF"/>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pPr>
        <w:pStyle w:val="24"/>
        <w:kinsoku/>
        <w:wordWrap/>
        <w:overflowPunct/>
        <w:topLinePunct w:val="0"/>
        <w:bidi w:val="0"/>
        <w:snapToGrid w:val="0"/>
        <w:spacing w:beforeAutospacing="0" w:afterAutospacing="0" w:line="360" w:lineRule="auto"/>
        <w:ind w:left="479" w:hanging="479" w:hangingChars="199"/>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pPr>
        <w:tabs>
          <w:tab w:val="left" w:pos="0"/>
        </w:tabs>
        <w:kinsoku/>
        <w:wordWrap/>
        <w:overflowPunct/>
        <w:topLinePunct w:val="0"/>
        <w:bidi w:val="0"/>
        <w:snapToGrid w:val="0"/>
        <w:spacing w:beforeAutospacing="0" w:afterAutospacing="0" w:line="360" w:lineRule="auto"/>
        <w:ind w:firstLine="482"/>
        <w:textAlignment w:val="auto"/>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en-US" w:eastAsia="zh-CN"/>
        </w:rPr>
        <w:t xml:space="preserve">26.1 </w:t>
      </w: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%。鼓励和支持供应商以银行、保险公司出具的保函形式提供履约保证金。</w:t>
      </w:r>
      <w:r>
        <w:rPr>
          <w:rFonts w:hint="eastAsia" w:ascii="宋体" w:hAnsi="宋体" w:eastAsia="宋体" w:cs="宋体"/>
          <w:b/>
          <w:color w:val="auto"/>
          <w:sz w:val="24"/>
          <w:highlight w:val="none"/>
        </w:rPr>
        <w:t>采购人不得拒收履约保函。</w:t>
      </w:r>
    </w:p>
    <w:p>
      <w:pPr>
        <w:tabs>
          <w:tab w:val="left" w:pos="0"/>
        </w:tabs>
        <w:kinsoku/>
        <w:wordWrap/>
        <w:overflowPunct/>
        <w:topLinePunct w:val="0"/>
        <w:bidi w:val="0"/>
        <w:snapToGrid w:val="0"/>
        <w:spacing w:beforeAutospacing="0" w:afterAutospacing="0" w:line="360" w:lineRule="auto"/>
        <w:ind w:firstLine="482"/>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val="en-US" w:eastAsia="zh-CN"/>
        </w:rPr>
        <w:t xml:space="preserve">26.2 </w:t>
      </w:r>
      <w:r>
        <w:rPr>
          <w:rFonts w:hint="eastAsia" w:ascii="宋体" w:hAnsi="宋体" w:eastAsia="宋体" w:cs="宋体"/>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hint="eastAsia" w:ascii="宋体" w:hAnsi="宋体" w:cs="宋体"/>
          <w:color w:val="auto"/>
          <w:sz w:val="24"/>
          <w:szCs w:val="20"/>
          <w:highlight w:val="none"/>
          <w:lang w:val="en-US" w:eastAsia="zh-CN"/>
        </w:rPr>
        <w:t>0.5</w:t>
      </w:r>
      <w:r>
        <w:rPr>
          <w:rFonts w:hint="eastAsia" w:ascii="宋体" w:hAnsi="宋体" w:eastAsia="宋体" w:cs="宋体"/>
          <w:color w:val="auto"/>
          <w:sz w:val="24"/>
          <w:szCs w:val="20"/>
          <w:highlight w:val="none"/>
        </w:rPr>
        <w:t>%；评价总分在90分以下或者暂无评分的，收取履约保证金不得高于合同金额</w:t>
      </w:r>
      <w:r>
        <w:rPr>
          <w:rFonts w:hint="eastAsia" w:ascii="宋体" w:hAnsi="宋体" w:cs="宋体"/>
          <w:color w:val="auto"/>
          <w:sz w:val="24"/>
          <w:szCs w:val="20"/>
          <w:highlight w:val="none"/>
          <w:lang w:val="en-US" w:eastAsia="zh-CN"/>
        </w:rPr>
        <w:t>1</w:t>
      </w:r>
      <w:r>
        <w:rPr>
          <w:rFonts w:hint="eastAsia" w:ascii="宋体" w:hAnsi="宋体" w:eastAsia="宋体" w:cs="宋体"/>
          <w:color w:val="auto"/>
          <w:sz w:val="24"/>
          <w:szCs w:val="20"/>
          <w:highlight w:val="none"/>
        </w:rPr>
        <w:t>%。</w:t>
      </w:r>
    </w:p>
    <w:p>
      <w:pPr>
        <w:tabs>
          <w:tab w:val="left" w:pos="0"/>
        </w:tabs>
        <w:kinsoku/>
        <w:wordWrap/>
        <w:overflowPunct/>
        <w:topLinePunct w:val="0"/>
        <w:bidi w:val="0"/>
        <w:snapToGrid w:val="0"/>
        <w:spacing w:beforeAutospacing="0" w:afterAutospacing="0" w:line="360" w:lineRule="auto"/>
        <w:ind w:firstLine="482"/>
        <w:textAlignment w:val="auto"/>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26.3 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b/>
          <w:color w:val="auto"/>
          <w:szCs w:val="24"/>
          <w:highlight w:val="none"/>
        </w:rPr>
        <w:t>7.电子交易活动的中止。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采购过程中出现以下情形，导致电子交易平台无法正常运行，或者无法保证电子交易的公平、公正和安全时，采购机构可中止电子交易活动：</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27.1电子交易平台发生故障而无法登录访问的； </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27.2电子交易平台应用或数据库出现错误，不能进行正常操作的；</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27.3电子交易平台发现严重安全漏洞，有潜在泄密危险的；</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27.4病毒发作导致不能进行正常操作的； </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27.5其他无法保证电子交易的公平、公正和安全的情况。</w:t>
      </w:r>
    </w:p>
    <w:p>
      <w:pPr>
        <w:pStyle w:val="158"/>
        <w:kinsoku/>
        <w:wordWrap/>
        <w:overflowPunct/>
        <w:topLinePunct w:val="0"/>
        <w:bidi w:val="0"/>
        <w:snapToGrid w:val="0"/>
        <w:spacing w:before="0" w:beforeAutospacing="0" w:afterAutospacing="0" w:line="360" w:lineRule="auto"/>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pPr>
        <w:pStyle w:val="24"/>
        <w:kinsoku/>
        <w:wordWrap/>
        <w:overflowPunct/>
        <w:topLinePunct w:val="0"/>
        <w:bidi w:val="0"/>
        <w:snapToGrid w:val="0"/>
        <w:spacing w:beforeAutospacing="0" w:afterAutospacing="0" w:line="360" w:lineRule="auto"/>
        <w:ind w:firstLine="0" w:firstLineChars="0"/>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29.验收</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kinsoku/>
        <w:wordWrap/>
        <w:overflowPunct/>
        <w:topLinePunct w:val="0"/>
        <w:bidi w:val="0"/>
        <w:snapToGrid w:val="0"/>
        <w:spacing w:beforeAutospacing="0" w:afterAutospacing="0" w:line="360" w:lineRule="auto"/>
        <w:ind w:firstLine="480"/>
        <w:textAlignment w:val="auto"/>
        <w:rPr>
          <w:rFonts w:hint="eastAsia" w:ascii="宋体" w:hAnsi="宋体" w:eastAsia="宋体" w:cs="宋体"/>
          <w:color w:val="auto"/>
          <w:kern w:val="0"/>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bookmarkStart w:id="13" w:name="_Hlt68403820"/>
      <w:bookmarkEnd w:id="13"/>
      <w:bookmarkStart w:id="14" w:name="_Hlt68057669"/>
      <w:bookmarkEnd w:id="14"/>
      <w:bookmarkStart w:id="15" w:name="_Hlt68072998"/>
      <w:bookmarkEnd w:id="15"/>
      <w:bookmarkStart w:id="16" w:name="_Hlt75236011"/>
      <w:bookmarkEnd w:id="16"/>
      <w:bookmarkStart w:id="17" w:name="_Hlt74730295"/>
      <w:bookmarkEnd w:id="17"/>
      <w:bookmarkStart w:id="18" w:name="_Hlt74707468"/>
      <w:bookmarkEnd w:id="18"/>
      <w:bookmarkStart w:id="19" w:name="_Hlt75236290"/>
      <w:bookmarkEnd w:id="19"/>
      <w:bookmarkStart w:id="20" w:name="_Hlt74714665"/>
      <w:bookmarkEnd w:id="20"/>
      <w:bookmarkStart w:id="21" w:name="_Hlt75236101"/>
      <w:bookmarkEnd w:id="21"/>
      <w:bookmarkStart w:id="22" w:name="_Hlt74729768"/>
      <w:bookmarkEnd w:id="22"/>
      <w:bookmarkStart w:id="23" w:name="_Hlt68072990"/>
      <w:bookmarkEnd w:id="23"/>
      <w:bookmarkStart w:id="24" w:name="_Hlt68073093"/>
      <w:bookmarkEnd w:id="24"/>
    </w:p>
    <w:bookmarkEnd w:id="10"/>
    <w:bookmarkEnd w:id="11"/>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sz w:val="36"/>
          <w:szCs w:val="36"/>
          <w:highlight w:val="none"/>
        </w:rPr>
      </w:pPr>
      <w:bookmarkStart w:id="25" w:name="第四部分"/>
      <w:r>
        <w:rPr>
          <w:rFonts w:hint="eastAsia" w:ascii="宋体" w:hAnsi="宋体" w:eastAsia="宋体" w:cs="宋体"/>
          <w:b/>
          <w:color w:val="auto"/>
          <w:sz w:val="36"/>
          <w:szCs w:val="36"/>
          <w:highlight w:val="none"/>
        </w:rPr>
        <w:t>第三部分 采购需求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b/>
          <w:bCs/>
          <w:color w:val="auto"/>
          <w:sz w:val="24"/>
          <w:szCs w:val="24"/>
        </w:rPr>
      </w:pPr>
      <w:r>
        <w:rPr>
          <w:rFonts w:hint="eastAsia" w:ascii="宋体" w:hAnsi="宋体" w:eastAsia="宋体"/>
          <w:b/>
          <w:bCs/>
          <w:color w:val="auto"/>
          <w:sz w:val="24"/>
          <w:szCs w:val="24"/>
        </w:rPr>
        <w:t>一、行业分类</w:t>
      </w:r>
    </w:p>
    <w:p>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olor w:val="auto"/>
          <w:szCs w:val="24"/>
          <w:u w:val="single"/>
        </w:rPr>
      </w:pPr>
      <w:r>
        <w:rPr>
          <w:rFonts w:hint="eastAsia" w:ascii="宋体" w:hAnsi="宋体" w:eastAsia="宋体"/>
          <w:color w:val="auto"/>
          <w:szCs w:val="24"/>
        </w:rPr>
        <w:t>根据《关于印发中小企业划型标准规定的通知》（工信部联企业〔2011〕300号），本项目行业分类为</w:t>
      </w:r>
      <w:r>
        <w:rPr>
          <w:rFonts w:hint="eastAsia" w:ascii="宋体" w:hAnsi="宋体" w:eastAsia="宋体"/>
          <w:color w:val="auto"/>
          <w:szCs w:val="24"/>
          <w:u w:val="single"/>
        </w:rPr>
        <w:t>（十六）其他未列明行业</w:t>
      </w:r>
    </w:p>
    <w:p>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olor w:val="auto"/>
          <w:szCs w:val="24"/>
          <w:u w:val="single"/>
        </w:rPr>
      </w:pPr>
      <w:r>
        <w:rPr>
          <w:rFonts w:hint="eastAsia" w:ascii="宋体" w:hAnsi="宋体" w:eastAsia="宋体"/>
          <w:color w:val="auto"/>
          <w:szCs w:val="24"/>
        </w:rPr>
        <w:t>根据《2017国民经济行业分类注释》（网络版）（国统办设管字〔2018〕93号），本项目标的对应国民经济行业分类为</w:t>
      </w:r>
      <w:r>
        <w:rPr>
          <w:rFonts w:hint="eastAsia" w:ascii="宋体" w:hAnsi="宋体" w:eastAsia="宋体"/>
          <w:color w:val="auto"/>
          <w:szCs w:val="24"/>
          <w:u w:val="single"/>
        </w:rPr>
        <w:t>M科学研究和技术服务业——74专业技术服务业——745质检技术服务</w:t>
      </w:r>
    </w:p>
    <w:p>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b w:val="0"/>
          <w:bCs w:val="0"/>
          <w:color w:val="auto"/>
          <w:szCs w:val="24"/>
          <w:u w:val="none"/>
          <w:lang w:val="en-US" w:eastAsia="zh-CN"/>
        </w:rPr>
      </w:pPr>
      <w:r>
        <w:rPr>
          <w:rFonts w:hint="eastAsia" w:ascii="宋体" w:hAnsi="宋体" w:eastAsia="宋体"/>
          <w:b w:val="0"/>
          <w:bCs w:val="0"/>
          <w:color w:val="auto"/>
          <w:szCs w:val="24"/>
          <w:u w:val="none"/>
          <w:lang w:val="en-US" w:eastAsia="zh-CN"/>
        </w:rPr>
        <w:t>供应商可根据工业和信息化部中小企业局《中小企业规模类型自测小程序《中小企业规模类型自测小程序》（http://sme.miit.gov.cn/baosong/appweb/orgScale.html）结合本项目</w:t>
      </w:r>
      <w:r>
        <w:rPr>
          <w:rFonts w:hint="eastAsia" w:ascii="宋体" w:hAnsi="宋体" w:eastAsia="宋体"/>
          <w:color w:val="auto"/>
          <w:szCs w:val="24"/>
        </w:rPr>
        <w:t>标的对应</w:t>
      </w:r>
      <w:r>
        <w:rPr>
          <w:rFonts w:hint="eastAsia" w:ascii="宋体" w:hAnsi="宋体" w:eastAsia="宋体"/>
          <w:b w:val="0"/>
          <w:bCs w:val="0"/>
          <w:color w:val="auto"/>
          <w:szCs w:val="24"/>
          <w:u w:val="none"/>
          <w:lang w:val="en-US" w:eastAsia="zh-CN"/>
        </w:rPr>
        <w:t>行业分类和自身各项指标自测自身企业规模类型。</w:t>
      </w:r>
      <w:r>
        <w:rPr>
          <w:rFonts w:hint="eastAsia" w:ascii="宋体" w:hAnsi="宋体" w:eastAsia="宋体"/>
          <w:b/>
          <w:bCs/>
          <w:color w:val="auto"/>
          <w:szCs w:val="24"/>
          <w:u w:val="single"/>
          <w:lang w:val="en-US" w:eastAsia="zh-CN"/>
        </w:rPr>
        <w:t>如提供符合《</w:t>
      </w:r>
      <w:r>
        <w:rPr>
          <w:rFonts w:ascii="宋体" w:hAnsi="宋体" w:eastAsia="宋体" w:cs="宋体"/>
          <w:b/>
          <w:bCs/>
          <w:color w:val="auto"/>
          <w:sz w:val="24"/>
          <w:szCs w:val="24"/>
          <w:u w:val="single"/>
        </w:rPr>
        <w:t>政府采购促进中小企业发展管理办法</w:t>
      </w:r>
      <w:r>
        <w:rPr>
          <w:rFonts w:hint="eastAsia" w:cs="宋体"/>
          <w:b/>
          <w:bCs/>
          <w:color w:val="auto"/>
          <w:sz w:val="24"/>
          <w:szCs w:val="24"/>
          <w:u w:val="single"/>
          <w:lang w:eastAsia="zh-CN"/>
        </w:rPr>
        <w:t>》（财库〔2020〕46号）</w:t>
      </w:r>
      <w:r>
        <w:rPr>
          <w:rFonts w:hint="eastAsia" w:cs="宋体"/>
          <w:b/>
          <w:bCs/>
          <w:color w:val="auto"/>
          <w:sz w:val="24"/>
          <w:szCs w:val="24"/>
          <w:u w:val="single"/>
          <w:lang w:val="en-US" w:eastAsia="zh-CN"/>
        </w:rPr>
        <w:t>规定的</w:t>
      </w:r>
      <w:r>
        <w:rPr>
          <w:rFonts w:hint="eastAsia" w:ascii="宋体" w:hAnsi="宋体" w:eastAsia="宋体"/>
          <w:b/>
          <w:bCs/>
          <w:color w:val="auto"/>
          <w:szCs w:val="24"/>
          <w:u w:val="single"/>
          <w:lang w:val="en-US" w:eastAsia="zh-CN"/>
        </w:rPr>
        <w:t>小微企业货物、工程或者服务且有意向在本项目中获得价格扣除的投标人，应当提供该办法附件的《中小企业声明函》供评标委员会核实、认定。未提供《中小企业声明函》或经认定填写内容有误的投标人，在专门面向中小企业采购的标项中不被认定为有效供应商；在非预留部分采购标项中不予价格扣除。</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4"/>
          <w:szCs w:val="24"/>
        </w:rPr>
      </w:pPr>
      <w:bookmarkStart w:id="26" w:name="_Toc19132"/>
      <w:r>
        <w:rPr>
          <w:rFonts w:hint="eastAsia" w:ascii="宋体" w:hAnsi="宋体" w:eastAsia="宋体" w:cs="Times New Roman"/>
          <w:b/>
          <w:bCs/>
          <w:color w:val="auto"/>
          <w:sz w:val="24"/>
          <w:szCs w:val="24"/>
          <w:lang w:val="en-US" w:eastAsia="zh-CN"/>
        </w:rPr>
        <w:t>二</w:t>
      </w:r>
      <w:r>
        <w:rPr>
          <w:rFonts w:hint="eastAsia" w:ascii="宋体" w:hAnsi="宋体" w:eastAsia="宋体" w:cs="Times New Roman"/>
          <w:b/>
          <w:bCs/>
          <w:color w:val="auto"/>
          <w:sz w:val="24"/>
          <w:szCs w:val="24"/>
        </w:rPr>
        <w:t>、招标需求</w:t>
      </w:r>
      <w:bookmarkEnd w:id="26"/>
    </w:p>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left"/>
        <w:textAlignment w:val="auto"/>
        <w:rPr>
          <w:rFonts w:hint="eastAsia" w:ascii="宋体" w:hAnsi="宋体" w:cs="宋体"/>
          <w:b/>
          <w:color w:val="auto"/>
          <w:sz w:val="24"/>
          <w:szCs w:val="24"/>
        </w:rPr>
      </w:pPr>
      <w:r>
        <w:rPr>
          <w:rFonts w:hint="eastAsia" w:ascii="宋体" w:hAnsi="宋体" w:cs="宋体"/>
          <w:b/>
          <w:color w:val="auto"/>
          <w:sz w:val="24"/>
          <w:szCs w:val="24"/>
          <w:lang w:eastAsia="zh-CN"/>
        </w:rPr>
        <w:t>（</w:t>
      </w:r>
      <w:r>
        <w:rPr>
          <w:rFonts w:hint="eastAsia" w:ascii="宋体" w:hAnsi="宋体" w:cs="宋体"/>
          <w:b/>
          <w:color w:val="auto"/>
          <w:sz w:val="24"/>
          <w:szCs w:val="24"/>
          <w:lang w:val="en-US" w:eastAsia="zh-CN"/>
        </w:rPr>
        <w:t>一）</w:t>
      </w:r>
      <w:r>
        <w:rPr>
          <w:rFonts w:hint="eastAsia" w:ascii="宋体" w:hAnsi="宋体" w:cs="宋体"/>
          <w:b/>
          <w:color w:val="auto"/>
          <w:sz w:val="24"/>
          <w:szCs w:val="24"/>
        </w:rPr>
        <w:t>项目基本情况</w:t>
      </w:r>
    </w:p>
    <w:tbl>
      <w:tblPr>
        <w:tblStyle w:val="62"/>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4180"/>
        <w:gridCol w:w="998"/>
        <w:gridCol w:w="2334"/>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1" w:type="pct"/>
            <w:noWrap w:val="0"/>
            <w:vAlign w:val="center"/>
          </w:tcPr>
          <w:p>
            <w:pPr>
              <w:widowControl/>
              <w:snapToGrid w:val="0"/>
              <w:ind w:left="60" w:right="6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val="en-US" w:eastAsia="zh-CN"/>
              </w:rPr>
              <w:t>拟采购标的</w:t>
            </w:r>
          </w:p>
        </w:tc>
        <w:tc>
          <w:tcPr>
            <w:tcW w:w="2103" w:type="pct"/>
            <w:noWrap w:val="0"/>
            <w:vAlign w:val="center"/>
          </w:tcPr>
          <w:p>
            <w:pPr>
              <w:widowControl/>
              <w:snapToGrid w:val="0"/>
              <w:ind w:left="60" w:right="6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内容</w:t>
            </w:r>
          </w:p>
        </w:tc>
        <w:tc>
          <w:tcPr>
            <w:tcW w:w="502" w:type="pct"/>
            <w:noWrap w:val="0"/>
            <w:vAlign w:val="center"/>
          </w:tcPr>
          <w:p>
            <w:pPr>
              <w:widowControl/>
              <w:snapToGrid w:val="0"/>
              <w:ind w:left="60" w:right="6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最高限价</w:t>
            </w:r>
          </w:p>
        </w:tc>
        <w:tc>
          <w:tcPr>
            <w:tcW w:w="1174" w:type="pct"/>
            <w:noWrap w:val="0"/>
            <w:vAlign w:val="center"/>
          </w:tcPr>
          <w:p>
            <w:pPr>
              <w:widowControl/>
              <w:snapToGrid w:val="0"/>
              <w:ind w:left="60" w:right="60"/>
              <w:jc w:val="center"/>
              <w:rPr>
                <w:rFonts w:hint="default"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完成期限</w:t>
            </w:r>
          </w:p>
        </w:tc>
        <w:tc>
          <w:tcPr>
            <w:tcW w:w="588" w:type="pct"/>
            <w:noWrap w:val="0"/>
            <w:vAlign w:val="center"/>
          </w:tcPr>
          <w:p>
            <w:pPr>
              <w:widowControl/>
              <w:snapToGrid w:val="0"/>
              <w:ind w:left="60" w:right="60"/>
              <w:jc w:val="center"/>
              <w:rPr>
                <w:rFonts w:hint="default"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103" w:type="pct"/>
            <w:noWrap w:val="0"/>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特殊医学用途配方食品、特殊膳食食品、保健食品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1220000</w:t>
            </w:r>
          </w:p>
        </w:tc>
        <w:tc>
          <w:tcPr>
            <w:tcW w:w="1174" w:type="pct"/>
            <w:noWrap w:val="0"/>
            <w:vAlign w:val="center"/>
          </w:tcPr>
          <w:p>
            <w:pPr>
              <w:widowControl/>
              <w:snapToGrid w:val="0"/>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2023年12月10日前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茶叶及相关制品、蔬菜制品、薯类和膨化食品、食品添加剂</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1060000</w:t>
            </w:r>
          </w:p>
        </w:tc>
        <w:tc>
          <w:tcPr>
            <w:tcW w:w="1174" w:type="pct"/>
            <w:noWrap w:val="0"/>
            <w:vAlign w:val="center"/>
          </w:tcPr>
          <w:p>
            <w:pPr>
              <w:widowControl/>
              <w:snapToGrid w:val="0"/>
              <w:jc w:val="left"/>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糕点、饼干、糖果制品、水产制品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1020000</w:t>
            </w:r>
          </w:p>
        </w:tc>
        <w:tc>
          <w:tcPr>
            <w:tcW w:w="1174"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2103" w:type="pct"/>
            <w:noWrap w:val="0"/>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饮料、酒类、可可及焙烤咖啡产品、食糖、蜂产品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1010000</w:t>
            </w:r>
          </w:p>
        </w:tc>
        <w:tc>
          <w:tcPr>
            <w:tcW w:w="1174"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速冻食品、罐头、水果制品、豆制品</w:t>
            </w:r>
            <w:r>
              <w:rPr>
                <w:rFonts w:hint="eastAsia" w:ascii="宋体" w:hAnsi="宋体" w:eastAsia="宋体" w:cs="宋体"/>
                <w:i w:val="0"/>
                <w:iCs w:val="0"/>
                <w:color w:val="auto"/>
                <w:kern w:val="0"/>
                <w:sz w:val="22"/>
                <w:szCs w:val="22"/>
                <w:u w:val="none"/>
                <w:lang w:val="en-US" w:eastAsia="zh-CN" w:bidi="ar"/>
              </w:rPr>
              <w:t>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1000000</w:t>
            </w:r>
          </w:p>
        </w:tc>
        <w:tc>
          <w:tcPr>
            <w:tcW w:w="1174"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粮食加工品、食用油、油脂及其制品、炒货食品及坚果制品、蛋制品、淀粉及淀粉制品等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980000</w:t>
            </w:r>
          </w:p>
        </w:tc>
        <w:tc>
          <w:tcPr>
            <w:tcW w:w="1174"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noWrap w:val="0"/>
            <w:vAlign w:val="center"/>
          </w:tcPr>
          <w:p>
            <w:pPr>
              <w:widowControl/>
              <w:snapToGrid w:val="0"/>
              <w:ind w:left="60" w:right="60"/>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2103" w:type="pct"/>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调味品、肉制品、方便食品、冷冻饮品等</w:t>
            </w:r>
            <w:r>
              <w:rPr>
                <w:rFonts w:hint="default" w:ascii="宋体" w:hAnsi="宋体" w:eastAsia="宋体" w:cs="宋体"/>
                <w:i w:val="0"/>
                <w:iCs w:val="0"/>
                <w:color w:val="auto"/>
                <w:kern w:val="0"/>
                <w:sz w:val="22"/>
                <w:szCs w:val="22"/>
                <w:u w:val="none"/>
                <w:lang w:val="en-US" w:eastAsia="zh-CN" w:bidi="ar"/>
              </w:rPr>
              <w:t>监督</w:t>
            </w:r>
            <w:r>
              <w:rPr>
                <w:rFonts w:hint="eastAsia" w:ascii="宋体" w:hAnsi="宋体" w:eastAsia="宋体" w:cs="宋体"/>
                <w:i w:val="0"/>
                <w:iCs w:val="0"/>
                <w:color w:val="auto"/>
                <w:kern w:val="0"/>
                <w:sz w:val="22"/>
                <w:szCs w:val="22"/>
                <w:u w:val="none"/>
                <w:lang w:val="en-US" w:eastAsia="zh-CN" w:bidi="ar"/>
              </w:rPr>
              <w:t>抽检</w:t>
            </w:r>
          </w:p>
        </w:tc>
        <w:tc>
          <w:tcPr>
            <w:tcW w:w="502" w:type="pct"/>
            <w:noWrap w:val="0"/>
            <w:vAlign w:val="center"/>
          </w:tcPr>
          <w:p>
            <w:pPr>
              <w:widowControl/>
              <w:snapToGrid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970000</w:t>
            </w:r>
          </w:p>
        </w:tc>
        <w:tc>
          <w:tcPr>
            <w:tcW w:w="1174"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2023年6月30日前</w:t>
            </w:r>
          </w:p>
        </w:tc>
        <w:tc>
          <w:tcPr>
            <w:tcW w:w="588" w:type="pct"/>
            <w:noWrap w:val="0"/>
            <w:vAlign w:val="center"/>
          </w:tcPr>
          <w:p>
            <w:pPr>
              <w:widowControl/>
              <w:snapToGrid w:val="0"/>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专门面向中小企业</w:t>
            </w:r>
          </w:p>
        </w:tc>
      </w:tr>
    </w:tbl>
    <w:p>
      <w:pPr>
        <w:spacing w:line="500" w:lineRule="atLeast"/>
        <w:rPr>
          <w:rFonts w:ascii="宋体" w:hAnsi="宋体" w:eastAsia="宋体"/>
          <w:b/>
          <w:bCs/>
          <w:color w:val="auto"/>
          <w:sz w:val="24"/>
          <w:szCs w:val="24"/>
        </w:rPr>
      </w:pPr>
      <w:r>
        <w:rPr>
          <w:rFonts w:hint="eastAsia" w:ascii="宋体" w:hAnsi="宋体"/>
          <w:b/>
          <w:bCs/>
          <w:color w:val="auto"/>
          <w:sz w:val="24"/>
          <w:szCs w:val="24"/>
          <w:lang w:val="en-US" w:eastAsia="zh-CN"/>
        </w:rPr>
        <w:t>（二）</w:t>
      </w:r>
      <w:r>
        <w:rPr>
          <w:rFonts w:hint="eastAsia" w:ascii="宋体" w:hAnsi="宋体" w:eastAsia="宋体"/>
          <w:b/>
          <w:bCs/>
          <w:color w:val="auto"/>
          <w:sz w:val="24"/>
          <w:szCs w:val="24"/>
        </w:rPr>
        <w:t>项目内容</w:t>
      </w:r>
    </w:p>
    <w:p>
      <w:pPr>
        <w:spacing w:line="500" w:lineRule="atLeast"/>
        <w:ind w:firstLine="480" w:firstLineChars="200"/>
        <w:rPr>
          <w:rFonts w:ascii="宋体" w:hAnsi="宋体" w:eastAsia="宋体"/>
          <w:sz w:val="24"/>
          <w:szCs w:val="24"/>
        </w:rPr>
      </w:pPr>
      <w:r>
        <w:rPr>
          <w:rFonts w:hint="eastAsia" w:ascii="宋体" w:hAnsi="宋体" w:eastAsia="宋体"/>
          <w:sz w:val="24"/>
          <w:szCs w:val="24"/>
        </w:rPr>
        <w:t>抽检品种详见表一。</w:t>
      </w:r>
    </w:p>
    <w:p>
      <w:pPr>
        <w:spacing w:line="500" w:lineRule="atLeast"/>
        <w:rPr>
          <w:rFonts w:ascii="宋体" w:hAnsi="宋体" w:eastAsia="宋体" w:cs="宋体"/>
          <w:b/>
          <w:kern w:val="0"/>
          <w:sz w:val="24"/>
          <w:szCs w:val="24"/>
        </w:rPr>
      </w:pPr>
      <w:r>
        <w:rPr>
          <w:rFonts w:hint="eastAsia" w:ascii="宋体" w:hAnsi="宋体" w:eastAsia="宋体" w:cs="宋体"/>
          <w:b/>
          <w:kern w:val="0"/>
          <w:sz w:val="24"/>
          <w:szCs w:val="24"/>
          <w:lang w:eastAsia="zh-CN"/>
        </w:rPr>
        <w:t>（</w:t>
      </w: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服务要求</w:t>
      </w:r>
    </w:p>
    <w:p>
      <w:pPr>
        <w:pStyle w:val="961"/>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（一）抽查范围及</w:t>
      </w:r>
      <w:r>
        <w:rPr>
          <w:rFonts w:hint="eastAsia" w:ascii="宋体" w:hAnsi="宋体" w:eastAsia="宋体" w:cs="宋体"/>
          <w:b/>
          <w:bCs/>
          <w:kern w:val="0"/>
          <w:sz w:val="24"/>
          <w:szCs w:val="24"/>
        </w:rPr>
        <w:t>实施时间</w:t>
      </w:r>
      <w:r>
        <w:rPr>
          <w:rFonts w:hint="eastAsia" w:ascii="宋体" w:hAnsi="宋体" w:eastAsia="宋体" w:cs="宋体"/>
          <w:b/>
          <w:sz w:val="24"/>
          <w:szCs w:val="24"/>
        </w:rPr>
        <w:t>：</w:t>
      </w:r>
      <w:r>
        <w:rPr>
          <w:rFonts w:hint="eastAsia" w:ascii="宋体" w:hAnsi="宋体" w:eastAsia="宋体" w:cs="宋体"/>
          <w:b w:val="0"/>
          <w:bCs/>
          <w:sz w:val="24"/>
          <w:szCs w:val="24"/>
        </w:rPr>
        <w:t>检测工作应于完成期限前完成，抽样工作应在预留合理检测时间的前提下提前完成</w:t>
      </w:r>
      <w:r>
        <w:rPr>
          <w:rFonts w:hint="eastAsia" w:ascii="宋体" w:hAnsi="宋体" w:eastAsia="宋体" w:cs="宋体"/>
          <w:b w:val="0"/>
          <w:bCs/>
          <w:sz w:val="24"/>
          <w:szCs w:val="24"/>
          <w:lang w:eastAsia="zh-CN"/>
        </w:rPr>
        <w:t>。</w:t>
      </w:r>
      <w:r>
        <w:rPr>
          <w:rFonts w:hint="eastAsia" w:ascii="宋体" w:hAnsi="宋体" w:eastAsia="宋体" w:cs="宋体"/>
          <w:b/>
          <w:sz w:val="24"/>
          <w:szCs w:val="24"/>
        </w:rPr>
        <w:t xml:space="preserve"> </w:t>
      </w:r>
    </w:p>
    <w:p>
      <w:pPr>
        <w:pStyle w:val="961"/>
        <w:adjustRightInd w:val="0"/>
        <w:snapToGrid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（二）服务要求：</w:t>
      </w:r>
    </w:p>
    <w:p>
      <w:pPr>
        <w:pStyle w:val="961"/>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1）抽样要求。</w:t>
      </w:r>
      <w:r>
        <w:rPr>
          <w:rFonts w:hint="eastAsia" w:ascii="宋体" w:hAnsi="宋体" w:eastAsia="宋体" w:cs="宋体"/>
          <w:sz w:val="24"/>
          <w:szCs w:val="24"/>
        </w:rPr>
        <w:t>本次抽样工作严格按照市场监管总局</w:t>
      </w:r>
      <w:r>
        <w:rPr>
          <w:rFonts w:hint="eastAsia" w:ascii="宋体" w:hAnsi="宋体" w:eastAsia="宋体" w:cs="宋体"/>
          <w:b/>
          <w:sz w:val="24"/>
          <w:szCs w:val="24"/>
        </w:rPr>
        <w:t>《食品安全抽样检验管理办法》（15号令）、原食药总局《食品安全监督抽检和风险监测工作规范（2015版）》、《</w:t>
      </w:r>
      <w:r>
        <w:rPr>
          <w:rFonts w:hint="eastAsia" w:ascii="宋体" w:hAnsi="宋体" w:eastAsia="宋体" w:cs="宋体"/>
          <w:b/>
          <w:sz w:val="24"/>
          <w:szCs w:val="24"/>
          <w:lang w:eastAsia="zh-CN"/>
        </w:rPr>
        <w:t>国家食品安全监督抽检实施细则（2022年版）</w:t>
      </w:r>
      <w:r>
        <w:rPr>
          <w:rFonts w:hint="eastAsia" w:ascii="宋体" w:hAnsi="宋体" w:eastAsia="宋体" w:cs="宋体"/>
          <w:b/>
          <w:sz w:val="24"/>
          <w:szCs w:val="24"/>
        </w:rPr>
        <w:t>》</w:t>
      </w:r>
      <w:r>
        <w:rPr>
          <w:rFonts w:hint="eastAsia" w:ascii="宋体" w:hAnsi="宋体" w:eastAsia="宋体" w:cs="宋体"/>
          <w:sz w:val="24"/>
          <w:szCs w:val="24"/>
        </w:rPr>
        <w:t>等规定及采购方要求执行。样品采集严格按照监督抽检工作程序，履行法定手续。</w:t>
      </w:r>
      <w:r>
        <w:rPr>
          <w:rFonts w:hint="eastAsia" w:ascii="宋体" w:hAnsi="宋体" w:eastAsia="宋体" w:cs="宋体"/>
          <w:sz w:val="24"/>
          <w:szCs w:val="24"/>
          <w:lang w:val="zh-CN"/>
        </w:rPr>
        <w:t>对因故抽不到样品的企业，必须由企业出具证明，每月20日前上报市局食品生产监管处；对长期停产抽不到样品的企业，必须由当地监管部门出具证明，每月20日前上报市局食品生产监管处。</w:t>
      </w:r>
    </w:p>
    <w:p>
      <w:pPr>
        <w:pStyle w:val="961"/>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抽样其他事项说明。根据杭州地区实际情况及食品抽检全覆盖的要求：抽样时可抽取散装产品；可适当放宽抽样基数要求；抽取贵重产品时，抽样数量以满足实验用量为准；生产品种较多、规模较大的企业需抽取多个批次产品，总抽样数量可突破计划批次数，由于企业关停等原因无法完成某品种抽样数量要求的，可抽取所中标段其他品种的产品来补足样品数量；对于生产环节未抽到的样品，可在流通环节抽取相应生产加工企业生产的产品</w:t>
      </w:r>
      <w:r>
        <w:rPr>
          <w:rFonts w:hint="eastAsia" w:ascii="宋体" w:hAnsi="宋体" w:eastAsia="宋体" w:cs="宋体"/>
          <w:b/>
          <w:sz w:val="24"/>
          <w:szCs w:val="24"/>
        </w:rPr>
        <w:t>。</w:t>
      </w:r>
    </w:p>
    <w:p>
      <w:pPr>
        <w:pStyle w:val="961"/>
        <w:adjustRightInd w:val="0"/>
        <w:snapToGrid w:val="0"/>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2）检验要求。</w:t>
      </w:r>
      <w:r>
        <w:rPr>
          <w:rFonts w:hint="eastAsia" w:ascii="宋体" w:hAnsi="宋体" w:eastAsia="宋体" w:cs="宋体"/>
          <w:sz w:val="24"/>
          <w:szCs w:val="24"/>
        </w:rPr>
        <w:t>检验机构必须在规定的检验时间内按照国家食药总局下发的《</w:t>
      </w:r>
      <w:r>
        <w:rPr>
          <w:rFonts w:hint="eastAsia" w:ascii="宋体" w:hAnsi="宋体" w:eastAsia="宋体" w:cs="宋体"/>
          <w:b/>
          <w:sz w:val="24"/>
          <w:szCs w:val="24"/>
          <w:lang w:eastAsia="zh-CN"/>
        </w:rPr>
        <w:t>国家食品安全监督抽检实施细则（2022年版）</w:t>
      </w:r>
      <w:r>
        <w:rPr>
          <w:rFonts w:hint="eastAsia" w:ascii="宋体" w:hAnsi="宋体" w:eastAsia="宋体" w:cs="宋体"/>
          <w:sz w:val="24"/>
          <w:szCs w:val="24"/>
        </w:rPr>
        <w:t>》的产品评价规则对本文件要求的产品进行检验。</w:t>
      </w:r>
      <w:r>
        <w:rPr>
          <w:rFonts w:hint="eastAsia" w:ascii="宋体" w:hAnsi="宋体" w:eastAsia="宋体" w:cs="宋体"/>
          <w:b/>
          <w:sz w:val="24"/>
          <w:szCs w:val="24"/>
        </w:rPr>
        <w:t>本次监督抽检的承检机构未经市局同意，严禁将检验任务分包给其他检验机构或修改检测项目，一经发现，取消检验资格。</w:t>
      </w:r>
      <w:r>
        <w:rPr>
          <w:rFonts w:hint="eastAsia" w:ascii="宋体" w:hAnsi="宋体" w:eastAsia="宋体" w:cs="宋体"/>
          <w:sz w:val="24"/>
          <w:szCs w:val="24"/>
        </w:rPr>
        <w:t>各抽样单位和承检机构应将抽样及检验工作按要求进行合理分配（特殊要求除外），避免集中抽样、集中检验。</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sz w:val="24"/>
          <w:szCs w:val="24"/>
        </w:rPr>
        <w:t>3）</w:t>
      </w:r>
      <w:r>
        <w:rPr>
          <w:rFonts w:hint="eastAsia" w:ascii="宋体" w:hAnsi="宋体" w:cs="宋体"/>
          <w:b/>
          <w:bCs/>
          <w:sz w:val="24"/>
          <w:szCs w:val="24"/>
          <w:lang w:val="zh-CN"/>
        </w:rPr>
        <w:t>质量管理。</w:t>
      </w:r>
      <w:r>
        <w:rPr>
          <w:rFonts w:hint="eastAsia" w:ascii="宋体" w:hAnsi="宋体" w:cs="宋体"/>
          <w:sz w:val="24"/>
          <w:szCs w:val="24"/>
          <w:lang w:val="zh-CN"/>
        </w:rPr>
        <w:t>承检机构要严格按照</w:t>
      </w:r>
      <w:r>
        <w:rPr>
          <w:rFonts w:hint="eastAsia" w:ascii="宋体" w:hAnsi="宋体" w:cs="宋体"/>
          <w:sz w:val="24"/>
          <w:szCs w:val="24"/>
        </w:rPr>
        <w:t>杭州市市场监管局</w:t>
      </w:r>
      <w:r>
        <w:rPr>
          <w:rFonts w:hint="eastAsia" w:ascii="宋体" w:hAnsi="宋体" w:cs="宋体"/>
          <w:sz w:val="24"/>
          <w:szCs w:val="24"/>
          <w:lang w:val="zh-CN"/>
        </w:rPr>
        <w:t>《杭州市食品安全承检机构考核管理办法（试行）》要求，加强对样品采集、实验室检测、数据报送等关键环节的质量控制，确保检测结果准确可靠。市局将通过飞行检查、能力验证、盲样比对等形式开展对承检机构的工作考核，并及时将有关问题向检验机构资质管理部门通报。</w:t>
      </w:r>
    </w:p>
    <w:p>
      <w:pPr>
        <w:pStyle w:val="961"/>
        <w:adjustRightInd w:val="0"/>
        <w:snapToGrid w:val="0"/>
        <w:spacing w:line="360" w:lineRule="auto"/>
        <w:ind w:firstLine="482" w:firstLineChars="200"/>
        <w:rPr>
          <w:rFonts w:hint="eastAsia" w:ascii="宋体" w:hAnsi="宋体" w:eastAsia="宋体" w:cs="宋体"/>
          <w:sz w:val="24"/>
          <w:szCs w:val="24"/>
          <w:lang w:val="zh-CN"/>
        </w:rPr>
      </w:pPr>
      <w:r>
        <w:rPr>
          <w:rFonts w:hint="eastAsia" w:ascii="宋体" w:hAnsi="宋体" w:eastAsia="宋体" w:cs="宋体"/>
          <w:b/>
          <w:bCs/>
          <w:sz w:val="24"/>
          <w:szCs w:val="24"/>
          <w:lang w:val="zh-CN"/>
        </w:rPr>
        <w:t>4）工作纪律。</w:t>
      </w:r>
      <w:r>
        <w:rPr>
          <w:rFonts w:hint="eastAsia" w:ascii="宋体" w:hAnsi="宋体" w:eastAsia="宋体" w:cs="宋体"/>
          <w:sz w:val="24"/>
          <w:szCs w:val="24"/>
          <w:lang w:val="zh-CN"/>
        </w:rPr>
        <w:t>参与监督抽检的承检机构及其工作人员应严格按照要求进行抽样、检验和结果上报，不得随意更改抽样地点和样品信息，不得瞒报、谎报和故意漏报、错报检测数据，确保结果的真实客观和准确。不得擅自发布有关监督抽检的信息，不得在开展抽样工作前事先通知被监督抽检单位和接受相关单位馈赠，不得利用监督抽检结果开展有偿活动，牟取不正当利益。</w:t>
      </w:r>
    </w:p>
    <w:p>
      <w:pPr>
        <w:spacing w:line="500" w:lineRule="atLeast"/>
        <w:rPr>
          <w:rFonts w:ascii="宋体" w:hAnsi="宋体" w:eastAsia="宋体" w:cs="宋体"/>
          <w:b/>
          <w:kern w:val="0"/>
          <w:sz w:val="24"/>
          <w:szCs w:val="24"/>
        </w:rPr>
      </w:pPr>
      <w:r>
        <w:rPr>
          <w:rFonts w:hint="eastAsia" w:ascii="宋体" w:hAnsi="宋体" w:eastAsia="宋体" w:cs="宋体"/>
          <w:b/>
          <w:kern w:val="0"/>
          <w:sz w:val="24"/>
          <w:szCs w:val="24"/>
        </w:rPr>
        <w:t>四、其他要求</w:t>
      </w:r>
    </w:p>
    <w:p>
      <w:pPr>
        <w:pStyle w:val="32"/>
        <w:adjustRightInd w:val="0"/>
        <w:snapToGrid w:val="0"/>
        <w:spacing w:line="360" w:lineRule="auto"/>
        <w:ind w:firstLine="482" w:firstLineChars="200"/>
        <w:jc w:val="left"/>
        <w:rPr>
          <w:rFonts w:hAnsi="宋体" w:cs="宋体"/>
          <w:sz w:val="24"/>
          <w:szCs w:val="24"/>
        </w:rPr>
      </w:pPr>
      <w:r>
        <w:rPr>
          <w:rFonts w:hint="eastAsia" w:hAnsi="宋体" w:cs="宋体"/>
          <w:b/>
          <w:sz w:val="24"/>
          <w:szCs w:val="24"/>
        </w:rPr>
        <w:t>（一）数据录入工作。</w:t>
      </w:r>
      <w:r>
        <w:rPr>
          <w:rFonts w:hint="eastAsia" w:hAnsi="宋体" w:cs="宋体"/>
          <w:sz w:val="24"/>
          <w:szCs w:val="24"/>
        </w:rPr>
        <w:t>所有抽样信息和检测结果统一由承检机构负责录入相应的信息系统。抽样信息必须在完成抽样后5个工作日内录入，检测结果必须在承检机构签发检验报告后3个工作日内录入，</w:t>
      </w:r>
      <w:r>
        <w:rPr>
          <w:rFonts w:hint="eastAsia" w:hAnsi="宋体" w:cs="宋体"/>
          <w:b/>
          <w:sz w:val="24"/>
          <w:szCs w:val="24"/>
        </w:rPr>
        <w:t>两者均录入“国家食品安全抽样检验信息系统</w:t>
      </w:r>
      <w:r>
        <w:rPr>
          <w:rFonts w:hint="eastAsia" w:hAnsi="宋体" w:cs="宋体"/>
          <w:sz w:val="22"/>
          <w:szCs w:val="24"/>
        </w:rPr>
        <w:t>https://fsp.samr.gov.cn”</w:t>
      </w:r>
    </w:p>
    <w:p>
      <w:pPr>
        <w:pStyle w:val="32"/>
        <w:adjustRightInd w:val="0"/>
        <w:snapToGrid w:val="0"/>
        <w:spacing w:line="360" w:lineRule="auto"/>
        <w:ind w:firstLine="480" w:firstLineChars="200"/>
        <w:rPr>
          <w:rFonts w:hAnsi="宋体" w:cs="宋体"/>
          <w:sz w:val="24"/>
          <w:szCs w:val="24"/>
        </w:rPr>
      </w:pPr>
      <w:r>
        <w:rPr>
          <w:rFonts w:hint="eastAsia" w:hAnsi="宋体" w:cs="宋体"/>
          <w:sz w:val="24"/>
          <w:szCs w:val="24"/>
        </w:rPr>
        <w:t>每月20日前报送报表（中标后发送给承检机构，遇节假日提前报送）。</w:t>
      </w:r>
    </w:p>
    <w:p>
      <w:pPr>
        <w:adjustRightInd w:val="0"/>
        <w:snapToGrid w:val="0"/>
        <w:spacing w:line="360" w:lineRule="auto"/>
        <w:ind w:firstLine="482" w:firstLineChars="200"/>
        <w:rPr>
          <w:rFonts w:ascii="宋体" w:hAnsi="宋体"/>
          <w:sz w:val="24"/>
          <w:szCs w:val="24"/>
        </w:rPr>
      </w:pPr>
      <w:r>
        <w:rPr>
          <w:rFonts w:hint="eastAsia" w:ascii="宋体" w:hAnsi="宋体" w:cs="宋体"/>
          <w:b/>
          <w:sz w:val="24"/>
          <w:szCs w:val="24"/>
        </w:rPr>
        <w:t>（二）数据分析。每季度任务完成后，</w:t>
      </w:r>
      <w:r>
        <w:rPr>
          <w:rFonts w:hint="eastAsia" w:ascii="宋体" w:hAnsi="宋体" w:cs="宋体"/>
          <w:sz w:val="24"/>
          <w:szCs w:val="24"/>
        </w:rPr>
        <w:t>上报监督抽检应包括检验工作小结、产品质量分析报告（每个产品均须分析，合格率低于85%且5批次以上的产品须重点分析）和检验结果数据。质量分析报告等文件通过电子邮件上报（OA或250853676@qq.com）。联系人：食品生产监管处  魏力  86438435。</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b/>
          <w:bCs/>
          <w:color w:val="FF0000"/>
          <w:sz w:val="24"/>
          <w:szCs w:val="24"/>
          <w:u w:val="single"/>
        </w:rPr>
      </w:pPr>
      <w:r>
        <w:rPr>
          <w:rFonts w:hint="eastAsia" w:ascii="宋体" w:hAnsi="宋体" w:eastAsia="宋体"/>
          <w:b/>
          <w:bCs/>
          <w:sz w:val="24"/>
          <w:szCs w:val="24"/>
        </w:rPr>
        <w:t>（三）根据《浙江省市场监督管理局关于改进食品安全抽检监测工作提升质量效益的实施意见（试行）》（浙市监食检〔2020〕20号）相关规定，本项目实施抽检分离。食品生产环节监督抽检任务实行“抽的不检、检的不抽”，详见附件1</w:t>
      </w:r>
    </w:p>
    <w:p>
      <w:pPr>
        <w:spacing w:line="360" w:lineRule="auto"/>
        <w:jc w:val="left"/>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五</w:t>
      </w:r>
      <w:r>
        <w:rPr>
          <w:rFonts w:hint="eastAsia" w:ascii="宋体" w:hAnsi="宋体" w:eastAsia="宋体" w:cs="宋体"/>
          <w:b/>
          <w:bCs/>
          <w:color w:val="auto"/>
          <w:sz w:val="24"/>
          <w:highlight w:val="none"/>
          <w:lang w:val="en-US" w:eastAsia="zh-CN"/>
        </w:rPr>
        <w:t>、拟采购标的的商务要求</w:t>
      </w:r>
    </w:p>
    <w:p>
      <w:pPr>
        <w:spacing w:line="360" w:lineRule="auto"/>
        <w:ind w:left="210" w:leftChars="100"/>
        <w:jc w:val="left"/>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1.交付（实施）的时间（期限）</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single"/>
        </w:rPr>
        <w:t>在202</w:t>
      </w:r>
      <w:r>
        <w:rPr>
          <w:rFonts w:hint="eastAsia" w:ascii="宋体" w:hAnsi="宋体" w:cs="宋体"/>
          <w:color w:val="auto"/>
          <w:sz w:val="24"/>
          <w:highlight w:val="none"/>
          <w:u w:val="single"/>
          <w:lang w:val="en-US" w:eastAsia="zh-CN"/>
        </w:rPr>
        <w:t>3</w:t>
      </w:r>
      <w:r>
        <w:rPr>
          <w:rFonts w:hint="eastAsia" w:ascii="宋体" w:hAnsi="宋体" w:eastAsia="宋体" w:cs="宋体"/>
          <w:color w:val="auto"/>
          <w:sz w:val="24"/>
          <w:highlight w:val="none"/>
          <w:u w:val="single"/>
        </w:rPr>
        <w:t>年12月10日前全面完成</w:t>
      </w:r>
      <w:r>
        <w:rPr>
          <w:rFonts w:hint="eastAsia" w:ascii="宋体" w:hAnsi="宋体" w:eastAsia="宋体" w:cs="宋体"/>
          <w:color w:val="auto"/>
          <w:sz w:val="24"/>
          <w:highlight w:val="none"/>
          <w:u w:val="single"/>
          <w:lang w:val="en-US" w:eastAsia="zh-CN"/>
        </w:rPr>
        <w:t xml:space="preserve"> </w:t>
      </w:r>
    </w:p>
    <w:p>
      <w:pPr>
        <w:spacing w:line="360" w:lineRule="auto"/>
        <w:ind w:left="210" w:left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2.交付（实施）的地点（范围）：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采购人指定地点</w:t>
      </w:r>
      <w:r>
        <w:rPr>
          <w:rFonts w:hint="eastAsia" w:ascii="宋体" w:hAnsi="宋体" w:eastAsia="宋体" w:cs="宋体"/>
          <w:color w:val="auto"/>
          <w:sz w:val="24"/>
          <w:highlight w:val="none"/>
          <w:u w:val="single"/>
        </w:rPr>
        <w:t xml:space="preserve"> </w:t>
      </w:r>
    </w:p>
    <w:p>
      <w:pPr>
        <w:spacing w:line="360" w:lineRule="auto"/>
        <w:ind w:left="210" w:left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3.付款条件（进度和方式）</w:t>
      </w:r>
    </w:p>
    <w:tbl>
      <w:tblPr>
        <w:tblStyle w:val="62"/>
        <w:tblW w:w="4991"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963"/>
        <w:gridCol w:w="3386"/>
        <w:gridCol w:w="559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484"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0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付款比例（%）</w:t>
            </w:r>
          </w:p>
        </w:tc>
        <w:tc>
          <w:tcPr>
            <w:tcW w:w="2813"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38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559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w:t>
            </w:r>
            <w:r>
              <w:rPr>
                <w:rFonts w:hint="eastAsia" w:ascii="宋体" w:hAnsi="宋体" w:eastAsia="宋体" w:cs="宋体"/>
                <w:color w:val="auto"/>
                <w:sz w:val="21"/>
                <w:szCs w:val="21"/>
                <w:highlight w:val="none"/>
              </w:rPr>
              <w:t>同签订以及具备实施条件后,</w:t>
            </w:r>
            <w:r>
              <w:rPr>
                <w:rFonts w:hint="eastAsia" w:ascii="宋体" w:hAnsi="宋体" w:eastAsia="宋体" w:cs="宋体"/>
                <w:color w:val="auto"/>
                <w:sz w:val="21"/>
                <w:szCs w:val="21"/>
                <w:highlight w:val="none"/>
                <w:lang w:val="en-US" w:eastAsia="zh-CN"/>
              </w:rPr>
              <w:t>甲方在收到发票</w:t>
            </w:r>
            <w:r>
              <w:rPr>
                <w:rFonts w:hint="eastAsia" w:ascii="宋体" w:hAnsi="宋体" w:cs="宋体"/>
                <w:color w:val="auto"/>
                <w:sz w:val="21"/>
                <w:szCs w:val="21"/>
                <w:highlight w:val="none"/>
                <w:lang w:val="en-US" w:eastAsia="zh-CN"/>
              </w:rPr>
              <w:t>7个工作日内</w:t>
            </w:r>
            <w:r>
              <w:rPr>
                <w:rFonts w:hint="eastAsia" w:ascii="宋体" w:hAnsi="宋体" w:eastAsia="宋体" w:cs="宋体"/>
                <w:color w:val="auto"/>
                <w:sz w:val="21"/>
                <w:szCs w:val="21"/>
                <w:highlight w:val="none"/>
              </w:rPr>
              <w:t>向乙方支付</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%的合同款</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338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p>
        </w:tc>
        <w:tc>
          <w:tcPr>
            <w:tcW w:w="559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2023年6月30日前，</w:t>
            </w:r>
            <w:r>
              <w:rPr>
                <w:rFonts w:hint="eastAsia" w:ascii="宋体" w:hAnsi="宋体" w:eastAsia="宋体" w:cs="宋体"/>
                <w:color w:val="auto"/>
                <w:sz w:val="21"/>
                <w:szCs w:val="21"/>
                <w:highlight w:val="none"/>
                <w:lang w:val="en-US" w:eastAsia="zh-CN"/>
              </w:rPr>
              <w:t>合同执行至50%以上</w:t>
            </w:r>
            <w:r>
              <w:rPr>
                <w:rFonts w:hint="eastAsia" w:ascii="宋体" w:hAnsi="宋体" w:eastAsia="宋体" w:cs="宋体"/>
                <w:color w:val="auto"/>
                <w:sz w:val="21"/>
                <w:szCs w:val="21"/>
                <w:highlight w:val="none"/>
              </w:rPr>
              <w:t>并经采购人验收合格后，</w:t>
            </w:r>
            <w:r>
              <w:rPr>
                <w:rFonts w:hint="eastAsia" w:ascii="宋体" w:hAnsi="宋体" w:eastAsia="宋体" w:cs="宋体"/>
                <w:color w:val="auto"/>
                <w:sz w:val="21"/>
                <w:szCs w:val="21"/>
                <w:highlight w:val="none"/>
                <w:lang w:val="en-US" w:eastAsia="zh-CN"/>
              </w:rPr>
              <w:t>甲方在收到发票</w:t>
            </w:r>
            <w:r>
              <w:rPr>
                <w:rFonts w:hint="eastAsia" w:ascii="宋体" w:hAnsi="宋体" w:cs="宋体"/>
                <w:color w:val="auto"/>
                <w:sz w:val="21"/>
                <w:szCs w:val="21"/>
                <w:highlight w:val="none"/>
                <w:lang w:val="en-US" w:eastAsia="zh-CN"/>
              </w:rPr>
              <w:t>7个工作日内</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合同款</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338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（按实结算）</w:t>
            </w:r>
          </w:p>
        </w:tc>
        <w:tc>
          <w:tcPr>
            <w:tcW w:w="5596" w:type="dxa"/>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完成项目实施并经采购人验收合格后，</w:t>
            </w:r>
            <w:r>
              <w:rPr>
                <w:rFonts w:hint="eastAsia" w:ascii="宋体" w:hAnsi="宋体" w:eastAsia="宋体" w:cs="宋体"/>
                <w:color w:val="auto"/>
                <w:sz w:val="21"/>
                <w:szCs w:val="21"/>
                <w:highlight w:val="none"/>
                <w:lang w:val="en-US" w:eastAsia="zh-CN"/>
              </w:rPr>
              <w:t>甲方在收到发票</w:t>
            </w:r>
            <w:r>
              <w:rPr>
                <w:rFonts w:hint="eastAsia" w:ascii="宋体" w:hAnsi="宋体" w:cs="宋体"/>
                <w:color w:val="auto"/>
                <w:sz w:val="21"/>
                <w:szCs w:val="21"/>
                <w:highlight w:val="none"/>
                <w:lang w:val="en-US" w:eastAsia="zh-CN"/>
              </w:rPr>
              <w:t>7个工作日内</w:t>
            </w:r>
            <w:r>
              <w:rPr>
                <w:rFonts w:hint="eastAsia" w:ascii="宋体" w:hAnsi="宋体" w:eastAsia="宋体" w:cs="宋体"/>
                <w:color w:val="auto"/>
                <w:sz w:val="21"/>
                <w:szCs w:val="21"/>
                <w:highlight w:val="none"/>
              </w:rPr>
              <w:t>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支付剩余合同款</w:t>
            </w:r>
          </w:p>
        </w:tc>
      </w:tr>
    </w:tbl>
    <w:p>
      <w:pPr>
        <w:spacing w:line="360" w:lineRule="auto"/>
        <w:ind w:left="210" w:left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4.售后服务要求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val="en-US" w:eastAsia="zh-CN"/>
        </w:rPr>
        <w:t>无</w:t>
      </w:r>
      <w:r>
        <w:rPr>
          <w:rFonts w:hint="eastAsia" w:ascii="宋体" w:hAnsi="宋体" w:eastAsia="宋体" w:cs="宋体"/>
          <w:color w:val="auto"/>
          <w:sz w:val="24"/>
          <w:highlight w:val="none"/>
          <w:u w:val="single"/>
        </w:rPr>
        <w:t>。</w:t>
      </w:r>
    </w:p>
    <w:p>
      <w:pPr>
        <w:spacing w:line="360" w:lineRule="auto"/>
        <w:ind w:left="210" w:left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5.其他商务要求（包装和运输、保险等）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u w:val="single"/>
          <w:lang w:val="en-US" w:eastAsia="zh-CN"/>
        </w:rPr>
        <w:t>无</w:t>
      </w:r>
      <w:r>
        <w:rPr>
          <w:rFonts w:hint="eastAsia" w:ascii="宋体" w:hAnsi="宋体" w:eastAsia="宋体" w:cs="宋体"/>
          <w:color w:val="auto"/>
          <w:sz w:val="24"/>
          <w:highlight w:val="none"/>
          <w:u w:val="single"/>
        </w:rPr>
        <w:t>。</w:t>
      </w:r>
    </w:p>
    <w:p>
      <w:pPr>
        <w:spacing w:line="360"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四、采购项目的其他要求</w:t>
      </w:r>
    </w:p>
    <w:p>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1.中标规则：</w:t>
      </w:r>
    </w:p>
    <w:p>
      <w:pPr>
        <w:pStyle w:val="5"/>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eastAsia="宋体" w:cs="宋体"/>
          <w:b/>
          <w:color w:val="auto"/>
          <w:sz w:val="24"/>
          <w:szCs w:val="24"/>
          <w:highlight w:val="none"/>
        </w:rPr>
        <w:t>本项目共</w:t>
      </w: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rPr>
        <w:t>个标项，投标供应商根据自己的技术和商务优势可对全部或部分标项进行投标,且必须以标项为单位分别编写投标文件，分别装订，分别包装。但不得只对标项中部分采购内容进行投标。</w:t>
      </w:r>
    </w:p>
    <w:p>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1.2</w:t>
      </w:r>
      <w:r>
        <w:rPr>
          <w:rFonts w:hint="eastAsia" w:ascii="宋体" w:hAnsi="宋体" w:eastAsia="宋体" w:cs="宋体"/>
          <w:b/>
          <w:color w:val="auto"/>
          <w:sz w:val="24"/>
          <w:szCs w:val="24"/>
          <w:highlight w:val="none"/>
        </w:rPr>
        <w:t>为保证检测服务工作形成良性竞争机制，供应商能按时保质保量完成各检测任务，本项目特对中标标项数量做如下规定：投标供应商在参加本项目投标时最多只能中标1个标项，如投标供应商综合得分排名一个以上标项第一位的，应由供应商代表当场确定特定标项作为其中标标项，同时自动放弃其他标项的中标资格。</w:t>
      </w:r>
      <w:r>
        <w:rPr>
          <w:rFonts w:hint="eastAsia" w:ascii="宋体" w:hAnsi="宋体" w:eastAsia="宋体" w:cs="宋体"/>
          <w:color w:val="auto"/>
          <w:sz w:val="24"/>
          <w:szCs w:val="24"/>
          <w:highlight w:val="none"/>
          <w:lang w:val="en-US" w:eastAsia="zh-CN"/>
        </w:rPr>
        <w:t xml:space="preserve"> </w:t>
      </w:r>
    </w:p>
    <w:p>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费用支付：</w:t>
      </w:r>
    </w:p>
    <w:p>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b/>
          <w:color w:val="auto"/>
          <w:sz w:val="24"/>
          <w:szCs w:val="24"/>
          <w:highlight w:val="none"/>
        </w:rPr>
        <w:t>本项目要求各投标人对各标项</w:t>
      </w:r>
      <w:r>
        <w:rPr>
          <w:rFonts w:hint="eastAsia" w:ascii="宋体" w:hAnsi="宋体" w:eastAsia="宋体"/>
          <w:b/>
          <w:color w:val="auto"/>
          <w:sz w:val="24"/>
          <w:szCs w:val="24"/>
          <w:highlight w:val="none"/>
          <w:lang w:val="en-US" w:eastAsia="zh-CN"/>
        </w:rPr>
        <w:t>按照食品细类及明确的计划批次数进行总价</w:t>
      </w:r>
      <w:r>
        <w:rPr>
          <w:rFonts w:hint="eastAsia" w:ascii="宋体" w:hAnsi="宋体" w:eastAsia="宋体"/>
          <w:b/>
          <w:color w:val="auto"/>
          <w:sz w:val="24"/>
          <w:szCs w:val="24"/>
          <w:highlight w:val="none"/>
        </w:rPr>
        <w:t>报价，若中标则</w:t>
      </w:r>
      <w:r>
        <w:rPr>
          <w:rFonts w:hint="eastAsia" w:ascii="宋体" w:hAnsi="宋体" w:eastAsia="宋体"/>
          <w:b/>
          <w:color w:val="auto"/>
          <w:sz w:val="24"/>
          <w:szCs w:val="24"/>
          <w:highlight w:val="none"/>
          <w:lang w:val="en-US" w:eastAsia="zh-CN"/>
        </w:rPr>
        <w:t>实行按批次数实行单批次的单价包干，根据</w:t>
      </w:r>
      <w:r>
        <w:rPr>
          <w:rFonts w:hint="eastAsia" w:ascii="宋体" w:hAnsi="宋体" w:eastAsia="宋体"/>
          <w:b/>
          <w:color w:val="auto"/>
          <w:sz w:val="24"/>
          <w:szCs w:val="24"/>
          <w:highlight w:val="none"/>
        </w:rPr>
        <w:t>检测数量计算实际费用</w:t>
      </w:r>
      <w:r>
        <w:rPr>
          <w:rFonts w:hint="eastAsia" w:ascii="宋体" w:hAnsi="宋体" w:eastAsia="宋体"/>
          <w:b/>
          <w:color w:val="auto"/>
          <w:sz w:val="24"/>
          <w:szCs w:val="24"/>
          <w:highlight w:val="none"/>
          <w:lang w:eastAsia="zh-CN"/>
        </w:rPr>
        <w:t>，</w:t>
      </w:r>
      <w:r>
        <w:rPr>
          <w:rFonts w:hint="eastAsia" w:ascii="宋体" w:hAnsi="宋体" w:eastAsia="宋体"/>
          <w:b/>
          <w:color w:val="auto"/>
          <w:sz w:val="24"/>
          <w:szCs w:val="24"/>
          <w:highlight w:val="none"/>
          <w:lang w:val="en-US" w:eastAsia="zh-CN"/>
        </w:rPr>
        <w:t>买样费在不高于平均最高限价的范围内，按实结算</w:t>
      </w:r>
      <w:r>
        <w:rPr>
          <w:rFonts w:hint="eastAsia" w:ascii="宋体" w:hAnsi="宋体" w:eastAsia="宋体"/>
          <w:b/>
          <w:color w:val="auto"/>
          <w:sz w:val="24"/>
          <w:szCs w:val="24"/>
          <w:highlight w:val="none"/>
        </w:rPr>
        <w:t>。</w:t>
      </w:r>
      <w:r>
        <w:rPr>
          <w:rFonts w:hint="eastAsia" w:ascii="宋体" w:hAnsi="宋体" w:eastAsia="宋体"/>
          <w:b/>
          <w:bCs/>
          <w:color w:val="auto"/>
          <w:sz w:val="24"/>
          <w:szCs w:val="24"/>
          <w:highlight w:val="none"/>
        </w:rPr>
        <w:t>实际检测批次数以采购人需求为准。采购人保留在签约时调整部分方案及检测批次数和服务的</w:t>
      </w:r>
      <w:r>
        <w:rPr>
          <w:rFonts w:hint="eastAsia" w:ascii="宋体" w:hAnsi="宋体" w:eastAsia="宋体"/>
          <w:b/>
          <w:bCs/>
          <w:color w:val="auto"/>
          <w:sz w:val="24"/>
          <w:szCs w:val="24"/>
          <w:highlight w:val="none"/>
          <w:lang w:val="en-US" w:eastAsia="zh-CN"/>
        </w:rPr>
        <w:t>权利</w:t>
      </w:r>
      <w:r>
        <w:rPr>
          <w:rFonts w:hint="eastAsia" w:ascii="宋体" w:hAnsi="宋体" w:eastAsia="宋体"/>
          <w:b/>
          <w:bCs/>
          <w:color w:val="auto"/>
          <w:sz w:val="24"/>
          <w:szCs w:val="24"/>
          <w:highlight w:val="none"/>
        </w:rPr>
        <w:t>，投标人应按投标单价不变的前提下进行调整，</w:t>
      </w:r>
      <w:r>
        <w:rPr>
          <w:rFonts w:hint="eastAsia" w:ascii="宋体" w:hAnsi="宋体" w:eastAsia="宋体" w:cs="宋体"/>
          <w:b/>
          <w:bCs/>
          <w:color w:val="auto"/>
          <w:sz w:val="24"/>
          <w:szCs w:val="24"/>
          <w:highlight w:val="none"/>
          <w:lang w:val="en-US" w:eastAsia="zh-CN"/>
        </w:rPr>
        <w:t>但总检测费用不超过标项最高限价</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highlight w:val="none"/>
          <w:u w:val="none"/>
          <w:lang w:val="en-US" w:eastAsia="zh-CN"/>
        </w:rPr>
        <w:sectPr>
          <w:pgSz w:w="11907" w:h="16840"/>
          <w:pgMar w:top="1440" w:right="1080" w:bottom="1440" w:left="1080" w:header="851" w:footer="851"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附件：</w:t>
      </w: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标项一：特殊医学用途配方食品、特殊膳食食品、保健食品等监督抽检</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p>
      <w:pPr>
        <w:spacing w:line="360" w:lineRule="auto"/>
        <w:ind w:firstLine="361" w:firstLineChars="150"/>
        <w:rPr>
          <w:rFonts w:hint="default" w:ascii="宋体" w:hAnsi="宋体" w:eastAsia="宋体"/>
          <w:b/>
          <w:sz w:val="24"/>
          <w:szCs w:val="24"/>
          <w:lang w:val="en-US" w:eastAsia="zh-CN"/>
        </w:rPr>
      </w:pPr>
      <w:r>
        <w:rPr>
          <w:rFonts w:hint="eastAsia" w:ascii="宋体" w:hAnsi="宋体" w:eastAsia="宋体"/>
          <w:b/>
          <w:sz w:val="24"/>
          <w:szCs w:val="24"/>
          <w:lang w:val="en-US" w:eastAsia="zh-CN"/>
        </w:rPr>
        <w:t>采购人另行指定抽样机构，买样费由本标项中标人承担，包含在投标报价中。</w:t>
      </w:r>
    </w:p>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
        <w:gridCol w:w="1236"/>
        <w:gridCol w:w="1789"/>
        <w:gridCol w:w="1392"/>
        <w:gridCol w:w="3878"/>
        <w:gridCol w:w="907"/>
        <w:gridCol w:w="1012"/>
        <w:gridCol w:w="1746"/>
        <w:gridCol w:w="15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36" w:type="pct"/>
            <w:vMerge w:val="restar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9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6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2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3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36" w:type="pct"/>
            <w:vMerge w:val="continue"/>
            <w:tcBorders>
              <w:top w:val="single" w:color="000000" w:sz="4" w:space="0"/>
              <w:left w:val="single" w:color="000000" w:sz="4" w:space="0"/>
              <w:bottom w:val="single" w:color="000000" w:sz="4" w:space="0"/>
              <w:right w:val="nil"/>
            </w:tcBorders>
            <w:noWrap w:val="0"/>
            <w:vAlign w:val="center"/>
          </w:tcPr>
          <w:p>
            <w:pPr>
              <w:jc w:val="center"/>
              <w:rPr>
                <w:rFonts w:hint="eastAsia" w:ascii="宋体" w:hAnsi="宋体" w:eastAsia="宋体" w:cs="宋体"/>
                <w:b/>
                <w:bCs/>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136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2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5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61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c>
          <w:tcPr>
            <w:tcW w:w="53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43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特殊医学用途配方食品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特殊医学用途配方食品</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特殊医学用途婴儿配方食品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特殊医学用途婴儿配方食品</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4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全年任务(生产企业2批次，流通环节10批次）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3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特殊医学用途配方食品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特殊医学用途配方食品</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14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3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特殊膳食食品</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婴幼儿谷类辅助食品</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婴幼儿谷类辅助食品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婴幼儿面条、饼干、磨牙棒</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47"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全年任务（生产企业12批次）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3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婴幼儿罐装辅助食品</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婴幼儿罐装辅助食品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泥（糊）状、颗粒状、汁类罐装食品</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114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3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营养补充品</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其他特殊食品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其他特殊膳食食品(辅助营养补充品、运动营养食品，其他）</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47"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保健食品</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保健食品</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保健食品</w:t>
            </w:r>
          </w:p>
        </w:tc>
        <w:tc>
          <w:tcPr>
            <w:tcW w:w="13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具体品种按《国家食品安全监督抽检实施细则（2022年版》并结合新版《食品生产许可分类目录》执行</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147"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1.监督抽检和风险监测部分计400批次，生产环节150批次（成品110批次，原辅料40批次），流通环节250批次（含网络抽检）。 2.任务按各地保健食品生产经营规模及城乡风险综合分配；原则上在覆盖本地生产企业产品的同时兼顾经营环节。（</w:t>
            </w:r>
            <w:r>
              <w:rPr>
                <w:rFonts w:hint="eastAsia" w:ascii="宋体" w:hAnsi="宋体" w:eastAsia="宋体" w:cs="宋体"/>
                <w:b/>
                <w:bCs/>
                <w:i w:val="0"/>
                <w:iCs w:val="0"/>
                <w:color w:val="000000"/>
                <w:kern w:val="0"/>
                <w:sz w:val="22"/>
                <w:szCs w:val="22"/>
                <w:u w:val="none"/>
                <w:lang w:val="en-US" w:eastAsia="zh-CN" w:bidi="ar"/>
              </w:rPr>
              <w:t>全年任务</w:t>
            </w: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36"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491"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688" w:type="pct"/>
            <w:gridSpan w:val="2"/>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424</w:t>
            </w:r>
          </w:p>
        </w:tc>
        <w:tc>
          <w:tcPr>
            <w:tcW w:w="616"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531"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b/>
          <w:bCs w:val="0"/>
          <w:color w:val="auto"/>
          <w:sz w:val="24"/>
          <w:szCs w:val="24"/>
          <w:lang w:val="en-US" w:eastAsia="zh-CN"/>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标项二：茶叶及相关制品、蔬菜制品、薯类和膨化食品、食品添加剂等监督抽检</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3"/>
        <w:gridCol w:w="1256"/>
        <w:gridCol w:w="1763"/>
        <w:gridCol w:w="1381"/>
        <w:gridCol w:w="3896"/>
        <w:gridCol w:w="899"/>
        <w:gridCol w:w="992"/>
        <w:gridCol w:w="2067"/>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热加工糕点</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冷加工糕点</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3"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糖果制品(含巧克力及制品)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夹心糖果、焦香糖果、充气糖果、硬质糖果、抛光糖果、凝胶糖果等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糖果制品(含巧克力及制品)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巧克力及巧克力制品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巧克力、巧克力制品、代可可脂巧克力及代可可脂巧克力制品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果冻</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4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水产制品</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非即食水产制品</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藻类加工制品</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烤鱼片</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其他动物性水产干制品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盐渍鱼</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盐渍藻</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其他盐渍水产品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鱼糜制品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鱼糜制品（含虾糜）</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即食水产品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风味熟制水产品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风味熟制水产品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生食水产品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生食动物性水产品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9"/>
        <w:gridCol w:w="1259"/>
        <w:gridCol w:w="1778"/>
        <w:gridCol w:w="1389"/>
        <w:gridCol w:w="3879"/>
        <w:gridCol w:w="899"/>
        <w:gridCol w:w="1014"/>
        <w:gridCol w:w="1676"/>
        <w:gridCol w:w="15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13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5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茶叶及相关制品</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绿茶、红茶、乌龙茶、黄茶、白茶、黑茶、花茶、袋泡茶、紧压茶</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蔬菜制品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蔬菜制品</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酱腌菜</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酱腌菜</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蔬菜干制品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自然干制品、热风干燥蔬菜、冷冻干燥蔬菜、蔬菜脆片蔬菜粉及制品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食用菌制品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干制食用菌</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腌渍食用菌</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薯类和膨化食品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薯类和膨化食品</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膨化食品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含油型膨化食品和非含油型膨化食品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薯类食品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干制薯类（仅限马铃薯片）</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干制薯类（除马铃薯片外）</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冷冻薯类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薯泥（酱）类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薯粉类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食品添加剂</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食品添加剂</w:t>
            </w: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复合膨松剂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复配食品添加剂（用于小麦粉）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复配食品添加剂（其他）</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食品用香精</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食品用香精</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明胶</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明胶</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558"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b/>
          <w:bCs w:val="0"/>
          <w:color w:val="auto"/>
          <w:sz w:val="24"/>
          <w:szCs w:val="24"/>
          <w:lang w:val="en-US" w:eastAsia="zh-CN"/>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标项三：糕点、饼干、糖果制品、水产制品等监督抽检</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3"/>
        <w:gridCol w:w="1262"/>
        <w:gridCol w:w="1778"/>
        <w:gridCol w:w="1369"/>
        <w:gridCol w:w="3918"/>
        <w:gridCol w:w="885"/>
        <w:gridCol w:w="1006"/>
        <w:gridCol w:w="1951"/>
        <w:gridCol w:w="13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饮料</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饮料</w:t>
            </w: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瓶(桶)装饮用水</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饮用天然矿泉水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包装饮用水(饮用纯净水、饮用天然泉水、饮用天然水、其他饮用水)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果、蔬汁饮料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果、蔬汁饮料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蛋白饮料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含乳饮料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其他蛋白饮料(植物蛋白、复合蛋白)</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碳酸饮料(汽水)</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碳酸饮料(汽水)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酒类</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白酒、白酒（液态）、白酒（原酒）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88" w:type="pct"/>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啤酒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熟啤酒、生啤酒、鲜啤酒、特种啤酒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葡萄酒及果酒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葡萄酒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果酒（李子酒、杨梅酒、樱桃酒等）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其他发酵酒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其他发酵酒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配制酒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以蒸馏酒及食用酒精为酒基的配制酒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以发酵酒为酒基的配制酒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其他蒸馏酒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其他蒸馏酒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5"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可可及焙烤咖啡产品</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5"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白砂糖、绵白糖、赤砂糖、冰糖、方糖、冰片糖等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蜂产品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蜂产品</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蜂蜜</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蜂蜜</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蜂王浆（含蜂王浆冻干品）</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蜂王浆（含蜂王浆冻干品）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3"/>
        <w:gridCol w:w="1256"/>
        <w:gridCol w:w="1763"/>
        <w:gridCol w:w="1381"/>
        <w:gridCol w:w="3896"/>
        <w:gridCol w:w="899"/>
        <w:gridCol w:w="992"/>
        <w:gridCol w:w="2067"/>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7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7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糕点</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热加工糕点</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冷加工糕点</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粽子</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清明粿</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3"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饼干</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w:t>
            </w:r>
          </w:p>
        </w:tc>
        <w:tc>
          <w:tcPr>
            <w:tcW w:w="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糖果制品(含巧克力及制品)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夹心糖果、焦香糖果、充气糖果、硬质糖果、抛光糖果、凝胶糖果等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糖果制品(含巧克力及制品)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巧克力及巧克力制品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巧克力、巧克力制品、代可可脂巧克力及代可可脂巧克力制品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果冻</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4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水产制品</w:t>
            </w: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非即食水产制品</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藻类加工制品</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烤鱼片</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其他动物性水产干制品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盐渍鱼</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盐渍藻</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其他盐渍水产品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7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2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鱼糜制品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鱼糜制品（含虾糜）</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即食水产品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风味熟制水产品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风味熟制水产品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生食水产品</w:t>
            </w:r>
          </w:p>
        </w:tc>
        <w:tc>
          <w:tcPr>
            <w:tcW w:w="1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生食动物性水产品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7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w:t>
            </w:r>
          </w:p>
        </w:tc>
        <w:tc>
          <w:tcPr>
            <w:tcW w:w="7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2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eastAsia="宋体"/>
          <w:b/>
          <w:bCs w:val="0"/>
          <w:color w:val="auto"/>
          <w:sz w:val="24"/>
          <w:szCs w:val="24"/>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标项四：饮料、酒类、可可及焙烤咖啡产品、食糖、蜂产品等监督抽检</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0"/>
        <w:gridCol w:w="1272"/>
        <w:gridCol w:w="1791"/>
        <w:gridCol w:w="1381"/>
        <w:gridCol w:w="3901"/>
        <w:gridCol w:w="887"/>
        <w:gridCol w:w="1021"/>
        <w:gridCol w:w="1877"/>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速冻食品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速冻面米食品</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速冻面米食品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水饺、元宵、馄饨等</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662" w:type="pct"/>
            <w:vMerge w:val="restart"/>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85"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包子、馒头等</w:t>
            </w: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汤圆（元宵）</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速冻肉制品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速冻调制肉制品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速冻水果制品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速冻水果制品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速冻蔬菜制品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速冻蔬菜制品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速冻水产制品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速冻水产制品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罐头</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罐头</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畜禽水产罐头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畜禽肉类罐头</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水产动物类罐头</w:t>
            </w: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食用菌罐头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蜜饯</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蜜饯类、凉果类、果脯类、话化类、果糕类</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水果干制品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水果干制品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果酱</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果酱</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发酵性豆制品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腐乳、豆豉、纳豆等</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非发酵性豆制品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腐竹、油皮</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豆干、豆腐、豆皮等</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大豆组织蛋白（挤压膨化豆制品）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31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349</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3"/>
        <w:gridCol w:w="1262"/>
        <w:gridCol w:w="1778"/>
        <w:gridCol w:w="1369"/>
        <w:gridCol w:w="3918"/>
        <w:gridCol w:w="885"/>
        <w:gridCol w:w="1006"/>
        <w:gridCol w:w="1951"/>
        <w:gridCol w:w="13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饮料</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饮料</w:t>
            </w: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瓶(桶)装饮用水</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饮用天然矿泉水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包装饮用水(饮用纯净水、饮用天然泉水、饮用天然水、其他饮用水)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果、蔬汁饮料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果、蔬汁饮料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蛋白饮料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含乳饮料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其他蛋白饮料(植物蛋白、复合蛋白)</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碳酸饮料(汽水)</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碳酸饮料(汽水)</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其他饮料</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其他饮料</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5"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酒类</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白酒、白酒（液态）、白酒（原酒）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88" w:type="pct"/>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啤酒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熟啤酒、生啤酒、鲜啤酒、特种啤酒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葡萄酒及果酒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葡萄酒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果酒（李子酒、杨梅酒、樱桃酒等）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其他酒</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其他发酵酒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其他发酵酒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8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配制酒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以蒸馏酒及食用酒精为酒基的配制酒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以发酵酒为酒基的配制酒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88"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6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其他蒸馏酒</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其他蒸馏酒</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5" w:type="pct"/>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5"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可可及焙烤咖啡产品</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焙炒咖啡</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5"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食糖</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白砂糖、绵白糖、赤砂糖、冰糖、方糖、冰片糖等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蜂产品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蜂产品</w:t>
            </w: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蜂蜜</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蜂蜜</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蜂王浆（含蜂王浆冻干品）</w:t>
            </w:r>
          </w:p>
        </w:tc>
        <w:tc>
          <w:tcPr>
            <w:tcW w:w="13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蜂王浆（含蜂王浆冻干品）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6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eastAsia="宋体"/>
          <w:b/>
          <w:bCs w:val="0"/>
          <w:color w:val="auto"/>
          <w:sz w:val="24"/>
          <w:szCs w:val="24"/>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标项五：速冻食品、罐头、水果制品、豆制品等监督抽检（专门面向中小企业）</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9"/>
        <w:gridCol w:w="1287"/>
        <w:gridCol w:w="1789"/>
        <w:gridCol w:w="1366"/>
        <w:gridCol w:w="3932"/>
        <w:gridCol w:w="884"/>
        <w:gridCol w:w="995"/>
        <w:gridCol w:w="1707"/>
        <w:gridCol w:w="1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粮食加工品</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小麦粉</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小麦粉</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通用小麦粉、专用小麦粉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挂面</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挂面</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普通挂面、花色挂面、手工面</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其他粮食加工品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谷物加工品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谷物加工品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谷物碾磨加工品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玉米粉、玉米片、玉米碴</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米粉</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其他谷物碾磨加工品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谷物粉类制成品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生湿面制品</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发酵面制品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米粉制品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其他谷物粉类制成品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食用油、油脂及其制品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食用植物油</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食用植物油（半精炼、全精炼）</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花生油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芝麻油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橄榄油、油橄榄果渣油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其他食用植物油（半精炼、全精炼）</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 烘炒类、油炸类、其他类）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开心果、杏仁、松仁、瓜子</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4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其他炒货食品及坚果制品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再制蛋</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再制蛋</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干蛋类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干蛋类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冰蛋类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冰蛋类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淀粉及淀粉制品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淀粉及淀粉制品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淀粉制品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粉丝粉条等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3"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0"/>
        <w:gridCol w:w="1272"/>
        <w:gridCol w:w="1791"/>
        <w:gridCol w:w="1381"/>
        <w:gridCol w:w="3901"/>
        <w:gridCol w:w="887"/>
        <w:gridCol w:w="1021"/>
        <w:gridCol w:w="1877"/>
        <w:gridCol w:w="1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7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7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速冻食品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速冻面米食品</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速冻面米食品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水饺、元宵、馄饨等</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662" w:type="pct"/>
            <w:vMerge w:val="restart"/>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85"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包子、馒头等</w:t>
            </w: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汤圆（元宵）</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速冻肉制品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速冻调制肉制品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速冻水果制品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速冻水果制品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速冻蔬菜制品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速冻蔬菜制品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速冻水产制品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速冻水产制品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速冻其他食品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罐头</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罐头</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畜禽水产罐头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畜禽肉类罐头</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水产动物类罐头</w:t>
            </w: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果蔬罐头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食用菌罐头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其他罐头</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其他罐头</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蜜饯</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蜜饯类、凉果类、果脯类、话化类、果糕类</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水果干制品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水果干制品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果酱</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果酱</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49"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豆制品</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发酵性豆制品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腐乳、豆豉、纳豆等</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6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8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非发酵性豆制品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腐竹、油皮</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豆干、豆腐、豆皮等</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49"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其他豆制品</w:t>
            </w:r>
          </w:p>
        </w:tc>
        <w:tc>
          <w:tcPr>
            <w:tcW w:w="13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大豆组织蛋白（挤压膨化豆制品）</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5"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31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349</w:t>
            </w:r>
          </w:p>
        </w:tc>
        <w:tc>
          <w:tcPr>
            <w:tcW w:w="6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eastAsia="宋体"/>
          <w:b/>
          <w:bCs w:val="0"/>
          <w:color w:val="auto"/>
          <w:sz w:val="24"/>
          <w:szCs w:val="24"/>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标项六：粮食加工品、食用油、油脂及其制品、炒货食品及坚果制品、蛋制品、淀粉及淀粉制品等监督抽检（专门面向中小企业）</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9"/>
        <w:gridCol w:w="1287"/>
        <w:gridCol w:w="1800"/>
        <w:gridCol w:w="1355"/>
        <w:gridCol w:w="3915"/>
        <w:gridCol w:w="899"/>
        <w:gridCol w:w="1021"/>
        <w:gridCol w:w="1585"/>
        <w:gridCol w:w="1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54"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5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调味品</w:t>
            </w: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酱油</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酱油</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酿造酱油、配制酱油（酿造和配制按2:1）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食醋</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食醋</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酿造食醋、配制食醋</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酱类</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酱类</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黄豆酱、甜面酱等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调味料酒</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调味料酒</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料酒</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香辛料类</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香辛料类</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香辛料调味油</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辣椒、花椒、辣椒粉、花椒粉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香辛料酱（芥末酱、青介酱等）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其他香辛料调味品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鸡粉、鸡精调味料</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其他固体调味料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半固体复合调味料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蛋黄酱、沙拉酱</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坚果与籽类的泥（酱），包括花生酱等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辣椒酱</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火锅底料、麻辣烫底料及蘸料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其他半固体调味料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蚝油、虾油、鱼露</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其他液体调味料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食用盐</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食用盐</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食用盐、精制盐、粉碎洗涤盐、日晒盐、低钠盐</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4" w:type="pct"/>
            <w:vMerge w:val="restart"/>
            <w:tcBorders>
              <w:top w:val="single" w:color="000000" w:sz="4" w:space="0"/>
              <w:left w:val="single" w:color="000000" w:sz="4" w:space="0"/>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肉制品</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预制肉制品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调理肉制品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调理肉制品（非速冻）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腌腊肉制品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腌腊肉制品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熟肉制品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酱卤肉制品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酱卤肉制品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熟肉干制品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熟肉干制品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4"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方便食品</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方便食品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方便面</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油炸面、非油炸面</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其他方便食品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主食类、冲调类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4"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冰淇淋、雪糕、雪泥、冰棍、食用冰、甜味冰</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3"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9"/>
        <w:gridCol w:w="1287"/>
        <w:gridCol w:w="1789"/>
        <w:gridCol w:w="1366"/>
        <w:gridCol w:w="3932"/>
        <w:gridCol w:w="884"/>
        <w:gridCol w:w="995"/>
        <w:gridCol w:w="1707"/>
        <w:gridCol w:w="1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粮食加工品</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小麦粉</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小麦粉</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通用小麦粉、专用小麦粉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大米</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挂面</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挂面</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普通挂面、花色挂面、手工面</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其他粮食加工品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谷物加工品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谷物加工品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谷物碾磨加工品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玉米粉、玉米片、玉米碴</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米粉</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其他谷物碾磨加工品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谷物粉类制成品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生湿面制品</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发酵面制品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米粉制品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其他谷物粉类制成品</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食用油、油脂及其制品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食用植物油</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食用植物油（半精炼、全精炼）</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花生油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芝麻油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橄榄油、油橄榄果渣油</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其他食用植物油（半精炼、全精炼）</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食用油脂制品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w:t>
            </w:r>
          </w:p>
        </w:tc>
        <w:tc>
          <w:tcPr>
            <w:tcW w:w="4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炒货食品及坚果制品（ 烘炒类、油炸类、其他类）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开心果、杏仁、松仁、瓜子</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4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其他炒货食品及坚果制品</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再制蛋</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再制蛋</w:t>
            </w:r>
          </w:p>
        </w:tc>
        <w:tc>
          <w:tcPr>
            <w:tcW w:w="3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干蛋类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干蛋类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冰蛋类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冰蛋类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3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53"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淀粉及淀粉制品</w:t>
            </w:r>
          </w:p>
        </w:tc>
        <w:tc>
          <w:tcPr>
            <w:tcW w:w="63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淀粉及淀粉制品</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02"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4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3"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淀粉制品</w:t>
            </w:r>
          </w:p>
        </w:tc>
        <w:tc>
          <w:tcPr>
            <w:tcW w:w="13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粉丝粉条等</w:t>
            </w:r>
          </w:p>
        </w:tc>
        <w:tc>
          <w:tcPr>
            <w:tcW w:w="3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02"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4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3"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3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8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5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60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54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eastAsia="宋体"/>
          <w:b/>
          <w:bCs w:val="0"/>
          <w:color w:val="auto"/>
          <w:sz w:val="24"/>
          <w:szCs w:val="24"/>
        </w:rPr>
      </w:pPr>
    </w:p>
    <w:p>
      <w:pPr>
        <w:spacing w:line="360" w:lineRule="auto"/>
        <w:ind w:firstLine="361" w:firstLineChars="150"/>
        <w:rPr>
          <w:rFonts w:hint="eastAsia"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标项七：调味品、肉制品、方便食品、冷冻饮品等监督抽检（专门面向中小企业）</w:t>
      </w:r>
    </w:p>
    <w:p>
      <w:pPr>
        <w:spacing w:line="360" w:lineRule="auto"/>
        <w:ind w:firstLine="361" w:firstLineChars="15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抽样：</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9"/>
        <w:gridCol w:w="1259"/>
        <w:gridCol w:w="1778"/>
        <w:gridCol w:w="1389"/>
        <w:gridCol w:w="3879"/>
        <w:gridCol w:w="899"/>
        <w:gridCol w:w="1014"/>
        <w:gridCol w:w="1676"/>
        <w:gridCol w:w="15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1369"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35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茶叶及相关制品</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茶叶</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绿茶、红茶、乌龙茶、黄茶、白茶、黑茶、花茶、袋泡茶、紧压茶</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蔬菜制品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蔬菜制品</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酱腌菜</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酱腌菜</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蔬菜干制品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自然干制品、热风干燥蔬菜、冷冻干燥蔬菜、蔬菜脆片蔬菜粉及制品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食用菌制品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干制食用菌</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腌渍食用菌</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薯类和膨化食品</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薯类和膨化食品</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膨化食品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含油型膨化食品和非含油型膨化食品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薯类食品</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干制薯类（仅限马铃薯片）</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干制薯类（除马铃薯片外）</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冷冻薯类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薯泥（酱）类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薯粉类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食品添加剂</w:t>
            </w:r>
          </w:p>
        </w:tc>
        <w:tc>
          <w:tcPr>
            <w:tcW w:w="62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食品添加剂</w:t>
            </w:r>
          </w:p>
        </w:tc>
        <w:tc>
          <w:tcPr>
            <w:tcW w:w="4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复合膨松剂</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9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8"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复配食品添加剂（用于小麦粉）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复配食品添加剂（其他）</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食品用香精</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食品用香精</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4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明胶</w:t>
            </w:r>
          </w:p>
        </w:tc>
        <w:tc>
          <w:tcPr>
            <w:tcW w:w="13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明胶</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57"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91"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558"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2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490"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369"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591"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558" w:type="pct"/>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bl>
    <w:p>
      <w:pPr>
        <w:spacing w:line="360" w:lineRule="auto"/>
        <w:ind w:firstLine="361" w:firstLineChars="150"/>
        <w:rPr>
          <w:rFonts w:hint="default" w:ascii="宋体" w:hAnsi="宋体" w:eastAsia="宋体"/>
          <w:b/>
          <w:bCs w:val="0"/>
          <w:color w:val="auto"/>
          <w:sz w:val="24"/>
          <w:szCs w:val="24"/>
          <w:lang w:val="en-US" w:eastAsia="zh-CN"/>
        </w:rPr>
      </w:pPr>
      <w:r>
        <w:rPr>
          <w:rFonts w:hint="eastAsia" w:ascii="宋体" w:hAnsi="宋体"/>
          <w:b/>
          <w:bCs w:val="0"/>
          <w:color w:val="auto"/>
          <w:sz w:val="24"/>
          <w:szCs w:val="24"/>
          <w:lang w:val="en-US" w:eastAsia="zh-CN"/>
        </w:rPr>
        <w:t xml:space="preserve">检测： </w:t>
      </w:r>
    </w:p>
    <w:tbl>
      <w:tblPr>
        <w:tblStyle w:val="6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9"/>
        <w:gridCol w:w="1287"/>
        <w:gridCol w:w="1800"/>
        <w:gridCol w:w="1355"/>
        <w:gridCol w:w="3915"/>
        <w:gridCol w:w="899"/>
        <w:gridCol w:w="1021"/>
        <w:gridCol w:w="1585"/>
        <w:gridCol w:w="1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54"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食品大类   （一级）</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食品亚类（二级）</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食品品种   （三级）</w:t>
            </w:r>
          </w:p>
        </w:tc>
        <w:tc>
          <w:tcPr>
            <w:tcW w:w="138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食品细类</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（四级）</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风险等级</w:t>
            </w:r>
          </w:p>
        </w:tc>
        <w:tc>
          <w:tcPr>
            <w:tcW w:w="3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计划批次数</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一季度</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138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5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调味品</w:t>
            </w: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酱油</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酱油</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酿造酱油、配制酱油（酿造和配制按2:1）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食醋</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食醋</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酿造食醋、配制食醋</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酱类</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酱类</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黄豆酱、甜面酱等</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调味料酒</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调味料酒</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料酒</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香辛料类</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香辛料类</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香辛料调味油</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辣椒、花椒、辣椒粉、花椒粉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香辛料酱（芥末酱、青介酱等）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其他香辛料调味品</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调味料</w:t>
            </w: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鸡粉、鸡精调味料</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其他固体调味料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半固体复合调味料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蛋黄酱、沙拉酱</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坚果与籽类的泥（酱），包括花生酱等</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辣椒酱</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火锅底料、麻辣烫底料及蘸料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其他半固体调味料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液体复合调味料</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蚝油、虾油、鱼露</w:t>
            </w:r>
          </w:p>
        </w:tc>
        <w:tc>
          <w:tcPr>
            <w:tcW w:w="3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其他液体调味料</w:t>
            </w:r>
          </w:p>
        </w:tc>
        <w:tc>
          <w:tcPr>
            <w:tcW w:w="3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36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5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58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味精</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食用盐</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食用盐</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食用盐、精制盐、粉碎洗涤盐、日晒盐、低钠盐</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54" w:type="pct"/>
            <w:vMerge w:val="restart"/>
            <w:tcBorders>
              <w:top w:val="single" w:color="000000" w:sz="4" w:space="0"/>
              <w:left w:val="single" w:color="000000" w:sz="4" w:space="0"/>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肉制品</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预制肉制品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调理肉制品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调理肉制品（非速冻）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腌腊肉制品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腌腊肉制品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熟肉制品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酱卤肉制品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酱卤肉制品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nil"/>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熟肉干制品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熟肉干制品</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54" w:type="pct"/>
            <w:vMerge w:val="restar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方便食品</w:t>
            </w:r>
          </w:p>
        </w:tc>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方便食品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方便面</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油炸面、非油炸面</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54" w:type="pct"/>
            <w:vMerge w:val="continue"/>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napToGrid w:val="0"/>
              <w:jc w:val="center"/>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其他方便食品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主食类、冲调类</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54" w:type="pct"/>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6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冷冻饮品</w:t>
            </w:r>
          </w:p>
        </w:tc>
        <w:tc>
          <w:tcPr>
            <w:tcW w:w="13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冰淇淋、雪糕、雪泥、冰棍、食用冰、甜味冰</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较高</w:t>
            </w: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83"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13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55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c>
          <w:tcPr>
            <w:tcW w:w="5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snapToGrid w:val="0"/>
              <w:rPr>
                <w:rFonts w:hint="eastAsia" w:ascii="宋体" w:hAnsi="宋体" w:eastAsia="宋体" w:cs="宋体"/>
                <w:i w:val="0"/>
                <w:iCs w:val="0"/>
                <w:color w:val="000000"/>
                <w:sz w:val="22"/>
                <w:szCs w:val="22"/>
                <w:u w:val="none"/>
              </w:rPr>
            </w:pPr>
          </w:p>
        </w:tc>
      </w:tr>
    </w:tbl>
    <w:p>
      <w:pPr>
        <w:spacing w:line="360" w:lineRule="auto"/>
        <w:ind w:firstLine="361" w:firstLineChars="150"/>
        <w:rPr>
          <w:rFonts w:hint="eastAsia" w:ascii="宋体" w:hAnsi="宋体" w:eastAsia="宋体"/>
          <w:b/>
          <w:bCs w:val="0"/>
          <w:color w:val="auto"/>
          <w:sz w:val="24"/>
          <w:szCs w:val="24"/>
        </w:rPr>
      </w:pPr>
    </w:p>
    <w:p>
      <w:pPr>
        <w:spacing w:line="360" w:lineRule="auto"/>
        <w:ind w:firstLine="360" w:firstLineChars="150"/>
        <w:rPr>
          <w:rFonts w:ascii="宋体" w:hAnsi="宋体" w:eastAsia="宋体"/>
          <w:bCs/>
          <w:color w:val="auto"/>
          <w:sz w:val="24"/>
          <w:szCs w:val="24"/>
        </w:rPr>
      </w:pPr>
      <w:r>
        <w:rPr>
          <w:rFonts w:hint="eastAsia" w:ascii="宋体" w:hAnsi="宋体" w:eastAsia="宋体"/>
          <w:bCs/>
          <w:color w:val="auto"/>
          <w:sz w:val="24"/>
          <w:szCs w:val="24"/>
        </w:rPr>
        <w:t>注：</w:t>
      </w:r>
    </w:p>
    <w:p>
      <w:pPr>
        <w:spacing w:line="360" w:lineRule="auto"/>
        <w:ind w:firstLine="360" w:firstLineChars="150"/>
        <w:rPr>
          <w:rFonts w:ascii="宋体" w:hAnsi="宋体" w:eastAsia="宋体"/>
          <w:bCs/>
          <w:color w:val="auto"/>
          <w:sz w:val="24"/>
          <w:szCs w:val="24"/>
        </w:rPr>
      </w:pPr>
      <w:r>
        <w:rPr>
          <w:rFonts w:hint="eastAsia" w:ascii="宋体" w:hAnsi="宋体" w:eastAsia="宋体"/>
          <w:bCs/>
          <w:color w:val="auto"/>
          <w:sz w:val="24"/>
          <w:szCs w:val="24"/>
        </w:rPr>
        <w:t>1、</w:t>
      </w:r>
      <w:r>
        <w:rPr>
          <w:rFonts w:hint="eastAsia" w:ascii="宋体" w:hAnsi="宋体" w:eastAsia="宋体"/>
          <w:b/>
          <w:bCs/>
          <w:color w:val="auto"/>
          <w:sz w:val="24"/>
          <w:szCs w:val="24"/>
        </w:rPr>
        <w:t>上述清单中的检测计划批次数及检测季度</w:t>
      </w:r>
      <w:r>
        <w:rPr>
          <w:rFonts w:hint="eastAsia" w:ascii="宋体" w:hAnsi="宋体" w:eastAsia="宋体"/>
          <w:b/>
          <w:bCs/>
          <w:color w:val="auto"/>
          <w:sz w:val="24"/>
          <w:szCs w:val="24"/>
          <w:lang w:eastAsia="zh-CN"/>
        </w:rPr>
        <w:t>（</w:t>
      </w:r>
      <w:r>
        <w:rPr>
          <w:rFonts w:hint="eastAsia" w:ascii="宋体" w:hAnsi="宋体" w:eastAsia="宋体"/>
          <w:b/>
          <w:bCs/>
          <w:color w:val="auto"/>
          <w:sz w:val="24"/>
          <w:szCs w:val="24"/>
          <w:lang w:val="en-US" w:eastAsia="zh-CN"/>
        </w:rPr>
        <w:t>如有）</w:t>
      </w:r>
      <w:r>
        <w:rPr>
          <w:rFonts w:hint="eastAsia" w:ascii="宋体" w:hAnsi="宋体" w:eastAsia="宋体"/>
          <w:b/>
          <w:bCs/>
          <w:color w:val="auto"/>
          <w:sz w:val="24"/>
          <w:szCs w:val="24"/>
        </w:rPr>
        <w:t>为参考数量，实际检测批次数以招标人需求为准，最终以单价与实际检测批次数进行结算。采购人保留在签约时调整部分方案及检测批次数和服务的权力，投标人应对投标总价中各单项批次检测服务明细报价，按投标单价不变的前提下进行调整，双方不得拒绝。</w:t>
      </w:r>
    </w:p>
    <w:p>
      <w:pPr>
        <w:spacing w:line="360" w:lineRule="auto"/>
        <w:ind w:firstLine="360" w:firstLineChars="150"/>
        <w:rPr>
          <w:rFonts w:ascii="宋体" w:hAnsi="宋体" w:eastAsia="宋体"/>
          <w:color w:val="auto"/>
          <w:sz w:val="24"/>
          <w:szCs w:val="24"/>
        </w:rPr>
      </w:pPr>
      <w:r>
        <w:rPr>
          <w:rFonts w:hint="eastAsia" w:ascii="宋体" w:hAnsi="宋体" w:eastAsia="宋体"/>
          <w:color w:val="auto"/>
          <w:sz w:val="24"/>
          <w:szCs w:val="24"/>
        </w:rPr>
        <w:t>2、投标人在响应文件中需按照</w:t>
      </w:r>
      <w:r>
        <w:rPr>
          <w:rFonts w:hint="eastAsia" w:ascii="宋体" w:hAnsi="宋体" w:eastAsia="宋体"/>
          <w:bCs/>
          <w:color w:val="auto"/>
          <w:sz w:val="24"/>
          <w:szCs w:val="24"/>
        </w:rPr>
        <w:t>、检测内容及所依据的检测标准中</w:t>
      </w:r>
      <w:r>
        <w:rPr>
          <w:rFonts w:hint="eastAsia" w:ascii="宋体" w:hAnsi="宋体" w:eastAsia="宋体"/>
          <w:color w:val="auto"/>
          <w:sz w:val="24"/>
          <w:szCs w:val="24"/>
        </w:rPr>
        <w:t>的产品种类，根据</w:t>
      </w:r>
      <w:r>
        <w:rPr>
          <w:rFonts w:hint="eastAsia" w:ascii="宋体" w:hAnsi="宋体" w:eastAsia="宋体"/>
          <w:b/>
          <w:bCs/>
          <w:color w:val="auto"/>
          <w:sz w:val="24"/>
          <w:szCs w:val="24"/>
        </w:rPr>
        <w:t>《食品安全监督抽检实施细则（2022年版）》</w:t>
      </w:r>
      <w:r>
        <w:rPr>
          <w:rFonts w:hint="eastAsia" w:ascii="宋体" w:hAnsi="宋体" w:eastAsia="宋体"/>
          <w:color w:val="auto"/>
          <w:sz w:val="24"/>
          <w:szCs w:val="24"/>
        </w:rPr>
        <w:t>的检测项目进行逐项检测能力梳理，参照实施细则中检测项目的表格形式，在每个检测项目后写明所具备检测能力是否与实施细则要求的标准方法一致。</w:t>
      </w:r>
      <w:r>
        <w:rPr>
          <w:rFonts w:hint="eastAsia" w:ascii="宋体" w:hAnsi="宋体" w:eastAsia="宋体"/>
          <w:b/>
          <w:color w:val="auto"/>
          <w:sz w:val="24"/>
          <w:szCs w:val="24"/>
        </w:rPr>
        <w:t>未逐项写明的，视作该类产品无检测能力；写明有检测能力，但实际并不具备的，一经发现，视作虚假竞标。</w:t>
      </w:r>
      <w:r>
        <w:rPr>
          <w:rFonts w:hint="eastAsia" w:ascii="宋体" w:hAnsi="宋体" w:eastAsia="宋体"/>
          <w:color w:val="auto"/>
          <w:sz w:val="24"/>
          <w:szCs w:val="24"/>
        </w:rPr>
        <w:t>投标人在印证材料中需要将</w:t>
      </w:r>
      <w:r>
        <w:rPr>
          <w:rFonts w:hint="eastAsia" w:ascii="宋体" w:hAnsi="宋体" w:eastAsia="宋体"/>
          <w:color w:val="auto"/>
          <w:sz w:val="24"/>
          <w:szCs w:val="24"/>
          <w:highlight w:val="none"/>
        </w:rPr>
        <w:t>涉及到</w:t>
      </w:r>
      <w:r>
        <w:rPr>
          <w:rFonts w:hint="eastAsia" w:ascii="宋体" w:hAnsi="宋体" w:eastAsia="宋体"/>
          <w:color w:val="auto"/>
          <w:sz w:val="24"/>
          <w:szCs w:val="24"/>
        </w:rPr>
        <w:t>的指标用记号进行标注，方便查验。</w:t>
      </w:r>
    </w:p>
    <w:p>
      <w:pPr>
        <w:pStyle w:val="24"/>
        <w:ind w:left="0" w:leftChars="0" w:firstLine="0" w:firstLineChars="0"/>
        <w:rPr>
          <w:rFonts w:hint="default"/>
          <w:color w:val="auto"/>
          <w:lang w:val="en-US" w:eastAsia="zh-CN"/>
        </w:rPr>
      </w:pPr>
      <w:r>
        <w:rPr>
          <w:rFonts w:hint="eastAsia" w:cs="宋体"/>
          <w:b w:val="0"/>
          <w:bCs w:val="0"/>
          <w:color w:val="auto"/>
          <w:sz w:val="24"/>
          <w:szCs w:val="24"/>
          <w:highlight w:val="none"/>
          <w:u w:val="none"/>
          <w:lang w:val="en-US" w:eastAsia="zh-CN"/>
        </w:rPr>
        <w:t xml:space="preserve"> </w:t>
      </w:r>
    </w:p>
    <w:p>
      <w:pPr>
        <w:kinsoku/>
        <w:wordWrap/>
        <w:overflowPunct/>
        <w:topLinePunct w:val="0"/>
        <w:bidi w:val="0"/>
        <w:snapToGrid w:val="0"/>
        <w:spacing w:beforeAutospacing="0" w:afterAutospacing="0" w:line="360" w:lineRule="auto"/>
        <w:jc w:val="center"/>
        <w:textAlignment w:val="auto"/>
        <w:rPr>
          <w:rFonts w:ascii="仿宋" w:hAnsi="仿宋" w:eastAsia="仿宋" w:cs="仿宋_GB2312"/>
          <w:b/>
          <w:color w:val="auto"/>
          <w:sz w:val="24"/>
          <w:highlight w:val="none"/>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27" w:name="_Toc184313260"/>
      <w:bookmarkEnd w:id="27"/>
      <w:bookmarkStart w:id="28" w:name="_Toc184312069"/>
      <w:bookmarkEnd w:id="28"/>
      <w:bookmarkStart w:id="29" w:name="_Toc184308068"/>
      <w:bookmarkEnd w:id="29"/>
      <w:bookmarkStart w:id="30" w:name="_Toc184310276"/>
      <w:bookmarkEnd w:id="30"/>
      <w:bookmarkStart w:id="31" w:name="_Toc184314463"/>
      <w:bookmarkEnd w:id="31"/>
      <w:bookmarkStart w:id="32" w:name="_Toc184312100"/>
      <w:bookmarkEnd w:id="32"/>
      <w:bookmarkStart w:id="33" w:name="_Toc184310342"/>
      <w:bookmarkEnd w:id="33"/>
      <w:bookmarkStart w:id="34" w:name="_Toc184312093"/>
      <w:bookmarkEnd w:id="34"/>
      <w:bookmarkStart w:id="35" w:name="_Toc184310334"/>
      <w:bookmarkEnd w:id="35"/>
      <w:bookmarkStart w:id="36" w:name="_Toc184310284"/>
      <w:bookmarkEnd w:id="36"/>
      <w:bookmarkStart w:id="37" w:name="_Toc184310322"/>
      <w:bookmarkEnd w:id="37"/>
      <w:bookmarkStart w:id="38" w:name="_Toc184308048"/>
      <w:bookmarkEnd w:id="38"/>
      <w:bookmarkStart w:id="39" w:name="_Toc184308065"/>
      <w:bookmarkEnd w:id="39"/>
      <w:bookmarkStart w:id="40" w:name="_Toc184310285"/>
      <w:bookmarkEnd w:id="40"/>
      <w:bookmarkStart w:id="41" w:name="_Toc184312115"/>
      <w:bookmarkEnd w:id="41"/>
      <w:bookmarkStart w:id="42" w:name="_Toc184310330"/>
      <w:bookmarkEnd w:id="42"/>
      <w:bookmarkStart w:id="43" w:name="_Toc184310289"/>
      <w:bookmarkEnd w:id="43"/>
      <w:bookmarkStart w:id="44" w:name="_Toc184313277"/>
      <w:bookmarkEnd w:id="44"/>
      <w:bookmarkStart w:id="45" w:name="_Toc184310300"/>
      <w:bookmarkEnd w:id="45"/>
      <w:bookmarkStart w:id="46" w:name="_Toc184312102"/>
      <w:bookmarkEnd w:id="46"/>
      <w:bookmarkStart w:id="47" w:name="_Toc184312104"/>
      <w:bookmarkEnd w:id="47"/>
      <w:bookmarkStart w:id="48" w:name="_Toc184310304"/>
      <w:bookmarkEnd w:id="48"/>
      <w:bookmarkStart w:id="49" w:name="_Toc184308108"/>
      <w:bookmarkEnd w:id="49"/>
      <w:bookmarkStart w:id="50" w:name="_Toc184313241"/>
      <w:bookmarkEnd w:id="50"/>
      <w:bookmarkStart w:id="51" w:name="_Toc184314479"/>
      <w:bookmarkEnd w:id="51"/>
      <w:bookmarkStart w:id="52" w:name="_Toc184313284"/>
      <w:bookmarkEnd w:id="52"/>
      <w:bookmarkStart w:id="53" w:name="_Toc184310321"/>
      <w:bookmarkEnd w:id="53"/>
      <w:bookmarkStart w:id="54" w:name="_Toc184314471"/>
      <w:bookmarkEnd w:id="54"/>
      <w:bookmarkStart w:id="55" w:name="_Toc184308036"/>
      <w:bookmarkEnd w:id="55"/>
      <w:bookmarkStart w:id="56" w:name="_Toc184314435"/>
      <w:bookmarkEnd w:id="56"/>
      <w:bookmarkStart w:id="57" w:name="_Toc184312113"/>
      <w:bookmarkEnd w:id="57"/>
      <w:bookmarkStart w:id="58" w:name="_Toc184312078"/>
      <w:bookmarkEnd w:id="58"/>
      <w:bookmarkStart w:id="59" w:name="_Toc184312070"/>
      <w:bookmarkEnd w:id="59"/>
      <w:bookmarkStart w:id="60" w:name="_Toc184312084"/>
      <w:bookmarkEnd w:id="60"/>
      <w:bookmarkStart w:id="61" w:name="_Toc184308091"/>
      <w:bookmarkEnd w:id="61"/>
      <w:bookmarkStart w:id="62" w:name="_Toc184312110"/>
      <w:bookmarkEnd w:id="62"/>
      <w:bookmarkStart w:id="63" w:name="_Toc184313254"/>
      <w:bookmarkEnd w:id="63"/>
      <w:bookmarkStart w:id="64" w:name="_Toc184314423"/>
      <w:bookmarkEnd w:id="64"/>
      <w:bookmarkStart w:id="65" w:name="_Toc184314442"/>
      <w:bookmarkEnd w:id="65"/>
      <w:bookmarkStart w:id="66" w:name="_Toc184312080"/>
      <w:bookmarkEnd w:id="66"/>
      <w:bookmarkStart w:id="67" w:name="_Toc184312132"/>
      <w:bookmarkEnd w:id="67"/>
      <w:bookmarkStart w:id="68" w:name="_Toc184312129"/>
      <w:bookmarkEnd w:id="68"/>
      <w:bookmarkStart w:id="69" w:name="_Toc184312091"/>
      <w:bookmarkEnd w:id="69"/>
      <w:bookmarkStart w:id="70" w:name="_Toc184312082"/>
      <w:bookmarkEnd w:id="70"/>
      <w:bookmarkStart w:id="71" w:name="_Toc184310327"/>
      <w:bookmarkEnd w:id="71"/>
      <w:bookmarkStart w:id="72" w:name="_Toc184308047"/>
      <w:bookmarkEnd w:id="72"/>
      <w:bookmarkStart w:id="73" w:name="_Toc184310301"/>
      <w:bookmarkEnd w:id="73"/>
      <w:bookmarkStart w:id="74" w:name="_Toc184313291"/>
      <w:bookmarkEnd w:id="74"/>
      <w:bookmarkStart w:id="75" w:name="_Toc184308083"/>
      <w:bookmarkEnd w:id="75"/>
      <w:bookmarkStart w:id="76" w:name="_Toc184310275"/>
      <w:bookmarkEnd w:id="76"/>
      <w:bookmarkStart w:id="77" w:name="_Toc184314448"/>
      <w:bookmarkEnd w:id="77"/>
      <w:bookmarkStart w:id="78" w:name="_Toc184313290"/>
      <w:bookmarkEnd w:id="78"/>
      <w:bookmarkStart w:id="79" w:name="_Toc184314443"/>
      <w:bookmarkEnd w:id="79"/>
      <w:bookmarkStart w:id="80" w:name="_Toc184314470"/>
      <w:bookmarkEnd w:id="80"/>
      <w:bookmarkStart w:id="81" w:name="_Toc184314432"/>
      <w:bookmarkEnd w:id="81"/>
      <w:bookmarkStart w:id="82" w:name="_Toc184312109"/>
      <w:bookmarkEnd w:id="82"/>
      <w:bookmarkStart w:id="83" w:name="_Toc184313302"/>
      <w:bookmarkEnd w:id="83"/>
      <w:bookmarkStart w:id="84" w:name="_Toc184312108"/>
      <w:bookmarkEnd w:id="84"/>
      <w:bookmarkStart w:id="85" w:name="_Toc184314481"/>
      <w:bookmarkEnd w:id="85"/>
      <w:bookmarkStart w:id="86" w:name="_Toc184308067"/>
      <w:bookmarkEnd w:id="86"/>
      <w:bookmarkStart w:id="87" w:name="_Toc184308088"/>
      <w:bookmarkEnd w:id="87"/>
      <w:bookmarkStart w:id="88" w:name="_Toc184313293"/>
      <w:bookmarkEnd w:id="88"/>
      <w:bookmarkStart w:id="89" w:name="_Toc184310274"/>
      <w:bookmarkEnd w:id="89"/>
      <w:bookmarkStart w:id="90" w:name="_Toc184308044"/>
      <w:bookmarkEnd w:id="90"/>
      <w:bookmarkStart w:id="91" w:name="_Toc184308086"/>
      <w:bookmarkEnd w:id="91"/>
      <w:bookmarkStart w:id="92" w:name="_Toc184312130"/>
      <w:bookmarkEnd w:id="92"/>
      <w:bookmarkStart w:id="93" w:name="_Toc184314475"/>
      <w:bookmarkEnd w:id="93"/>
      <w:bookmarkStart w:id="94" w:name="_Toc184310313"/>
      <w:bookmarkEnd w:id="94"/>
      <w:bookmarkStart w:id="95" w:name="_Toc184312081"/>
      <w:bookmarkEnd w:id="95"/>
      <w:bookmarkStart w:id="96" w:name="_Toc184312128"/>
      <w:bookmarkEnd w:id="96"/>
      <w:bookmarkStart w:id="97" w:name="_Toc184313300"/>
      <w:bookmarkEnd w:id="97"/>
      <w:bookmarkStart w:id="98" w:name="_Toc184310338"/>
      <w:bookmarkEnd w:id="98"/>
      <w:bookmarkStart w:id="99" w:name="_Toc184308057"/>
      <w:bookmarkEnd w:id="99"/>
      <w:bookmarkStart w:id="100" w:name="_Toc184310293"/>
      <w:bookmarkEnd w:id="100"/>
      <w:bookmarkStart w:id="101" w:name="_Toc184313257"/>
      <w:bookmarkEnd w:id="101"/>
      <w:bookmarkStart w:id="102" w:name="_Toc184310277"/>
      <w:bookmarkEnd w:id="102"/>
      <w:bookmarkStart w:id="103" w:name="_Toc184314439"/>
      <w:bookmarkEnd w:id="103"/>
      <w:bookmarkStart w:id="104" w:name="_Toc184312099"/>
      <w:bookmarkEnd w:id="104"/>
      <w:bookmarkStart w:id="105" w:name="_Toc184312067"/>
      <w:bookmarkEnd w:id="105"/>
      <w:bookmarkStart w:id="106" w:name="_Toc184310325"/>
      <w:bookmarkEnd w:id="106"/>
      <w:bookmarkStart w:id="107" w:name="_Toc184308040"/>
      <w:bookmarkEnd w:id="107"/>
      <w:bookmarkStart w:id="108" w:name="_Toc184313306"/>
      <w:bookmarkEnd w:id="108"/>
      <w:bookmarkStart w:id="109" w:name="_Toc184310320"/>
      <w:bookmarkEnd w:id="109"/>
      <w:bookmarkStart w:id="110" w:name="_Toc184308089"/>
      <w:bookmarkEnd w:id="110"/>
      <w:bookmarkStart w:id="111" w:name="_Toc184312133"/>
      <w:bookmarkEnd w:id="111"/>
      <w:bookmarkStart w:id="112" w:name="_Toc184312131"/>
      <w:bookmarkEnd w:id="112"/>
      <w:bookmarkStart w:id="113" w:name="_Toc184314477"/>
      <w:bookmarkEnd w:id="113"/>
      <w:bookmarkStart w:id="114" w:name="_Toc184310307"/>
      <w:bookmarkEnd w:id="114"/>
      <w:bookmarkStart w:id="115" w:name="_Toc184310287"/>
      <w:bookmarkEnd w:id="115"/>
      <w:bookmarkStart w:id="116" w:name="_Toc184308070"/>
      <w:bookmarkEnd w:id="116"/>
      <w:bookmarkStart w:id="117" w:name="_Toc184308100"/>
      <w:bookmarkEnd w:id="117"/>
      <w:bookmarkStart w:id="118" w:name="_Toc184314453"/>
      <w:bookmarkEnd w:id="118"/>
      <w:bookmarkStart w:id="119" w:name="_Toc184313307"/>
      <w:bookmarkEnd w:id="119"/>
      <w:bookmarkStart w:id="120" w:name="_Toc184314451"/>
      <w:bookmarkEnd w:id="120"/>
      <w:bookmarkStart w:id="121" w:name="_Toc184308055"/>
      <w:bookmarkEnd w:id="121"/>
      <w:bookmarkStart w:id="122" w:name="_Toc184314420"/>
      <w:bookmarkEnd w:id="122"/>
      <w:bookmarkStart w:id="123" w:name="_Toc184312095"/>
      <w:bookmarkEnd w:id="123"/>
      <w:bookmarkStart w:id="124" w:name="_Toc184312086"/>
      <w:bookmarkEnd w:id="124"/>
      <w:bookmarkStart w:id="125" w:name="_Toc184313292"/>
      <w:bookmarkEnd w:id="125"/>
      <w:bookmarkStart w:id="126" w:name="_Toc184313282"/>
      <w:bookmarkEnd w:id="126"/>
      <w:bookmarkStart w:id="127" w:name="_Toc184308093"/>
      <w:bookmarkEnd w:id="127"/>
      <w:bookmarkStart w:id="128" w:name="_Toc184310311"/>
      <w:bookmarkEnd w:id="128"/>
      <w:bookmarkStart w:id="129" w:name="_Toc184313245"/>
      <w:bookmarkEnd w:id="129"/>
      <w:bookmarkStart w:id="130" w:name="_Toc184312116"/>
      <w:bookmarkEnd w:id="130"/>
      <w:bookmarkStart w:id="131" w:name="_Toc184308058"/>
      <w:bookmarkEnd w:id="131"/>
      <w:bookmarkStart w:id="132" w:name="_Toc184310309"/>
      <w:bookmarkEnd w:id="132"/>
      <w:bookmarkStart w:id="133" w:name="_Toc184312103"/>
      <w:bookmarkEnd w:id="133"/>
      <w:bookmarkStart w:id="134" w:name="_Toc184313267"/>
      <w:bookmarkEnd w:id="134"/>
      <w:bookmarkStart w:id="135" w:name="_Toc184312072"/>
      <w:bookmarkEnd w:id="135"/>
      <w:bookmarkStart w:id="136" w:name="_Toc184310279"/>
      <w:bookmarkEnd w:id="136"/>
      <w:bookmarkStart w:id="137" w:name="_Toc184314424"/>
      <w:bookmarkEnd w:id="137"/>
      <w:bookmarkStart w:id="138" w:name="_Toc184313256"/>
      <w:bookmarkEnd w:id="138"/>
      <w:bookmarkStart w:id="139" w:name="_Toc184313270"/>
      <w:bookmarkEnd w:id="139"/>
      <w:bookmarkStart w:id="140" w:name="_Toc184313274"/>
      <w:bookmarkEnd w:id="140"/>
      <w:bookmarkStart w:id="141" w:name="_Toc184308064"/>
      <w:bookmarkEnd w:id="141"/>
      <w:bookmarkStart w:id="142" w:name="_Toc184310299"/>
      <w:bookmarkEnd w:id="142"/>
      <w:bookmarkStart w:id="143" w:name="_Toc184314449"/>
      <w:bookmarkEnd w:id="143"/>
      <w:bookmarkStart w:id="144" w:name="_Toc184313287"/>
      <w:bookmarkEnd w:id="144"/>
      <w:bookmarkStart w:id="145" w:name="_Toc184312137"/>
      <w:bookmarkEnd w:id="145"/>
      <w:bookmarkStart w:id="146" w:name="_Toc184308082"/>
      <w:bookmarkEnd w:id="146"/>
      <w:bookmarkStart w:id="147" w:name="_Toc184313285"/>
      <w:bookmarkEnd w:id="147"/>
      <w:bookmarkStart w:id="148" w:name="_Toc184310339"/>
      <w:bookmarkEnd w:id="148"/>
      <w:bookmarkStart w:id="149" w:name="_Toc184314467"/>
      <w:bookmarkEnd w:id="149"/>
      <w:bookmarkStart w:id="150" w:name="_Toc184313269"/>
      <w:bookmarkEnd w:id="150"/>
      <w:bookmarkStart w:id="151" w:name="_Toc184308060"/>
      <w:bookmarkEnd w:id="151"/>
      <w:bookmarkStart w:id="152" w:name="_Toc184313246"/>
      <w:bookmarkEnd w:id="152"/>
      <w:bookmarkStart w:id="153" w:name="_Toc184312138"/>
      <w:bookmarkEnd w:id="153"/>
      <w:bookmarkStart w:id="154" w:name="_Toc184314478"/>
      <w:bookmarkEnd w:id="154"/>
      <w:bookmarkStart w:id="155" w:name="_Toc184313244"/>
      <w:bookmarkEnd w:id="155"/>
      <w:bookmarkStart w:id="156" w:name="_Toc184314464"/>
      <w:bookmarkEnd w:id="156"/>
      <w:bookmarkStart w:id="157" w:name="_Toc184313294"/>
      <w:bookmarkEnd w:id="157"/>
      <w:bookmarkStart w:id="158" w:name="_Toc184310298"/>
      <w:bookmarkEnd w:id="158"/>
      <w:bookmarkStart w:id="159" w:name="_Toc184314418"/>
      <w:bookmarkEnd w:id="159"/>
      <w:bookmarkStart w:id="160" w:name="_Toc184310337"/>
      <w:bookmarkEnd w:id="160"/>
      <w:bookmarkStart w:id="161" w:name="_Toc184308074"/>
      <w:bookmarkEnd w:id="161"/>
      <w:bookmarkStart w:id="162" w:name="_Toc184312135"/>
      <w:bookmarkEnd w:id="162"/>
      <w:bookmarkStart w:id="163" w:name="_Toc184314433"/>
      <w:bookmarkEnd w:id="163"/>
      <w:bookmarkStart w:id="164" w:name="_Toc184314440"/>
      <w:bookmarkEnd w:id="164"/>
      <w:bookmarkStart w:id="165" w:name="_Toc184312124"/>
      <w:bookmarkEnd w:id="165"/>
      <w:bookmarkStart w:id="166" w:name="_Toc184313272"/>
      <w:bookmarkEnd w:id="166"/>
      <w:bookmarkStart w:id="167" w:name="_Toc184310282"/>
      <w:bookmarkEnd w:id="167"/>
      <w:bookmarkStart w:id="168" w:name="_Toc184313248"/>
      <w:bookmarkEnd w:id="168"/>
      <w:bookmarkStart w:id="169" w:name="_Toc184310317"/>
      <w:bookmarkEnd w:id="169"/>
      <w:bookmarkStart w:id="170" w:name="_Toc184308095"/>
      <w:bookmarkEnd w:id="170"/>
      <w:bookmarkStart w:id="171" w:name="_Toc184314482"/>
      <w:bookmarkEnd w:id="171"/>
      <w:bookmarkStart w:id="172" w:name="_Toc184308099"/>
      <w:bookmarkEnd w:id="172"/>
      <w:bookmarkStart w:id="173" w:name="_Toc184310272"/>
      <w:bookmarkEnd w:id="173"/>
      <w:bookmarkStart w:id="174" w:name="_Toc184312117"/>
      <w:bookmarkEnd w:id="174"/>
      <w:bookmarkStart w:id="175" w:name="_Toc184310326"/>
      <w:bookmarkEnd w:id="175"/>
      <w:bookmarkStart w:id="176" w:name="_Toc184312134"/>
      <w:bookmarkEnd w:id="176"/>
      <w:bookmarkStart w:id="177" w:name="_Toc184308073"/>
      <w:bookmarkEnd w:id="177"/>
      <w:bookmarkStart w:id="178" w:name="_Toc184310315"/>
      <w:bookmarkEnd w:id="178"/>
      <w:bookmarkStart w:id="179" w:name="_Toc184308097"/>
      <w:bookmarkEnd w:id="179"/>
      <w:bookmarkStart w:id="180" w:name="_Toc184312083"/>
      <w:bookmarkEnd w:id="180"/>
      <w:bookmarkStart w:id="181" w:name="_Toc184308050"/>
      <w:bookmarkEnd w:id="181"/>
      <w:bookmarkStart w:id="182" w:name="_Toc184314459"/>
      <w:bookmarkEnd w:id="182"/>
      <w:bookmarkStart w:id="183" w:name="_Toc184313261"/>
      <w:bookmarkEnd w:id="183"/>
      <w:bookmarkStart w:id="184" w:name="_Toc184310286"/>
      <w:bookmarkEnd w:id="184"/>
      <w:bookmarkStart w:id="185" w:name="_Toc184310295"/>
      <w:bookmarkEnd w:id="185"/>
      <w:bookmarkStart w:id="186" w:name="_Toc184314444"/>
      <w:bookmarkEnd w:id="186"/>
      <w:bookmarkStart w:id="187" w:name="_Toc184308105"/>
      <w:bookmarkEnd w:id="187"/>
      <w:bookmarkStart w:id="188" w:name="_Toc184310273"/>
      <w:bookmarkEnd w:id="188"/>
      <w:bookmarkStart w:id="189" w:name="_Toc184310333"/>
      <w:bookmarkEnd w:id="189"/>
      <w:bookmarkStart w:id="190" w:name="_Toc184308041"/>
      <w:bookmarkEnd w:id="190"/>
      <w:bookmarkStart w:id="191" w:name="_Toc184308075"/>
      <w:bookmarkEnd w:id="191"/>
      <w:bookmarkStart w:id="192" w:name="_Toc184310308"/>
      <w:bookmarkEnd w:id="192"/>
      <w:bookmarkStart w:id="193" w:name="_Toc184314417"/>
      <w:bookmarkEnd w:id="193"/>
      <w:bookmarkStart w:id="194" w:name="_Toc184313240"/>
      <w:bookmarkEnd w:id="194"/>
      <w:bookmarkStart w:id="195" w:name="_Toc184310290"/>
      <w:bookmarkEnd w:id="195"/>
      <w:bookmarkStart w:id="196" w:name="_Toc184314460"/>
      <w:bookmarkEnd w:id="196"/>
      <w:bookmarkStart w:id="197" w:name="_Toc184313249"/>
      <w:bookmarkEnd w:id="197"/>
      <w:bookmarkStart w:id="198" w:name="_Toc184310302"/>
      <w:bookmarkEnd w:id="198"/>
      <w:bookmarkStart w:id="199" w:name="_Toc184313266"/>
      <w:bookmarkEnd w:id="199"/>
      <w:bookmarkStart w:id="200" w:name="_Toc184308045"/>
      <w:bookmarkEnd w:id="200"/>
      <w:bookmarkStart w:id="201" w:name="_Toc184310283"/>
      <w:bookmarkEnd w:id="201"/>
      <w:bookmarkStart w:id="202" w:name="_Toc184314419"/>
      <w:bookmarkEnd w:id="202"/>
      <w:bookmarkStart w:id="203" w:name="_Toc184314410"/>
      <w:bookmarkEnd w:id="203"/>
      <w:bookmarkStart w:id="204" w:name="_Toc184308053"/>
      <w:bookmarkEnd w:id="204"/>
      <w:bookmarkStart w:id="205" w:name="_Toc184314473"/>
      <w:bookmarkEnd w:id="205"/>
      <w:bookmarkStart w:id="206" w:name="_Toc184314414"/>
      <w:bookmarkEnd w:id="206"/>
      <w:bookmarkStart w:id="207" w:name="_Toc184308076"/>
      <w:bookmarkEnd w:id="207"/>
      <w:bookmarkStart w:id="208" w:name="_Toc184313278"/>
      <w:bookmarkEnd w:id="208"/>
      <w:bookmarkStart w:id="209" w:name="_Toc184313303"/>
      <w:bookmarkEnd w:id="209"/>
      <w:bookmarkStart w:id="210" w:name="_Toc184312085"/>
      <w:bookmarkEnd w:id="210"/>
      <w:bookmarkStart w:id="211" w:name="_Toc184308090"/>
      <w:bookmarkEnd w:id="211"/>
      <w:bookmarkStart w:id="212" w:name="_Toc184310312"/>
      <w:bookmarkEnd w:id="212"/>
      <w:bookmarkStart w:id="213" w:name="_Toc184313251"/>
      <w:bookmarkEnd w:id="213"/>
      <w:bookmarkStart w:id="214" w:name="_Toc184310306"/>
      <w:bookmarkEnd w:id="214"/>
      <w:bookmarkStart w:id="215" w:name="_Toc184314476"/>
      <w:bookmarkEnd w:id="215"/>
      <w:bookmarkStart w:id="216" w:name="_Toc184312074"/>
      <w:bookmarkEnd w:id="216"/>
      <w:bookmarkStart w:id="217" w:name="_Toc184314462"/>
      <w:bookmarkEnd w:id="217"/>
      <w:bookmarkStart w:id="218" w:name="_Toc184312107"/>
      <w:bookmarkEnd w:id="218"/>
      <w:bookmarkStart w:id="219" w:name="_Toc184308087"/>
      <w:bookmarkEnd w:id="219"/>
      <w:bookmarkStart w:id="220" w:name="_Toc184308096"/>
      <w:bookmarkEnd w:id="220"/>
      <w:bookmarkStart w:id="221" w:name="_Toc184310332"/>
      <w:bookmarkEnd w:id="221"/>
      <w:bookmarkStart w:id="222" w:name="_Toc184313288"/>
      <w:bookmarkEnd w:id="222"/>
      <w:bookmarkStart w:id="223" w:name="_Toc184313298"/>
      <w:bookmarkEnd w:id="223"/>
      <w:bookmarkStart w:id="224" w:name="_Toc184310340"/>
      <w:bookmarkEnd w:id="224"/>
      <w:bookmarkStart w:id="225" w:name="_Toc184314450"/>
      <w:bookmarkEnd w:id="225"/>
      <w:bookmarkStart w:id="226" w:name="_Toc184312075"/>
      <w:bookmarkEnd w:id="226"/>
      <w:bookmarkStart w:id="227" w:name="_Toc184312076"/>
      <w:bookmarkEnd w:id="227"/>
      <w:bookmarkStart w:id="228" w:name="_Toc184314411"/>
      <w:bookmarkEnd w:id="228"/>
      <w:bookmarkStart w:id="229" w:name="_Toc184310280"/>
      <w:bookmarkEnd w:id="229"/>
      <w:bookmarkStart w:id="230" w:name="_Toc184310314"/>
      <w:bookmarkEnd w:id="230"/>
      <w:bookmarkStart w:id="231" w:name="_Toc184310291"/>
      <w:bookmarkEnd w:id="231"/>
      <w:bookmarkStart w:id="232" w:name="_Toc184312073"/>
      <w:bookmarkEnd w:id="232"/>
      <w:bookmarkStart w:id="233" w:name="_Toc184310319"/>
      <w:bookmarkEnd w:id="233"/>
      <w:bookmarkStart w:id="234" w:name="_Toc184313280"/>
      <w:bookmarkEnd w:id="234"/>
      <w:bookmarkStart w:id="235" w:name="_Toc184308046"/>
      <w:bookmarkEnd w:id="235"/>
      <w:bookmarkStart w:id="236" w:name="_Toc184312077"/>
      <w:bookmarkEnd w:id="236"/>
      <w:bookmarkStart w:id="237" w:name="_Toc184314434"/>
      <w:bookmarkEnd w:id="237"/>
      <w:bookmarkStart w:id="238" w:name="_Toc184310343"/>
      <w:bookmarkEnd w:id="238"/>
      <w:bookmarkStart w:id="239" w:name="_Toc184312105"/>
      <w:bookmarkEnd w:id="239"/>
      <w:bookmarkStart w:id="240" w:name="_Toc184310303"/>
      <w:bookmarkEnd w:id="240"/>
      <w:bookmarkStart w:id="241" w:name="_Toc184312087"/>
      <w:bookmarkEnd w:id="241"/>
      <w:bookmarkStart w:id="242" w:name="_Toc184314456"/>
      <w:bookmarkEnd w:id="242"/>
      <w:bookmarkStart w:id="243" w:name="_Toc184314458"/>
      <w:bookmarkEnd w:id="243"/>
      <w:bookmarkStart w:id="244" w:name="_Toc184312125"/>
      <w:bookmarkEnd w:id="244"/>
      <w:bookmarkStart w:id="245" w:name="_Toc184313268"/>
      <w:bookmarkEnd w:id="245"/>
      <w:bookmarkStart w:id="246" w:name="_Toc184312122"/>
      <w:bookmarkEnd w:id="246"/>
      <w:bookmarkStart w:id="247" w:name="_Toc184308104"/>
      <w:bookmarkEnd w:id="247"/>
      <w:bookmarkStart w:id="248" w:name="_Toc184314445"/>
      <w:bookmarkEnd w:id="248"/>
      <w:bookmarkStart w:id="249" w:name="_Toc184314474"/>
      <w:bookmarkEnd w:id="249"/>
      <w:bookmarkStart w:id="250" w:name="_Toc184310278"/>
      <w:bookmarkEnd w:id="250"/>
      <w:bookmarkStart w:id="251" w:name="_Toc184313253"/>
      <w:bookmarkEnd w:id="251"/>
      <w:bookmarkStart w:id="252" w:name="_Toc184310297"/>
      <w:bookmarkEnd w:id="252"/>
      <w:bookmarkStart w:id="253" w:name="_Toc184314412"/>
      <w:bookmarkEnd w:id="253"/>
      <w:bookmarkStart w:id="254" w:name="_Toc184313309"/>
      <w:bookmarkEnd w:id="254"/>
      <w:bookmarkStart w:id="255" w:name="_Toc184312120"/>
      <w:bookmarkEnd w:id="255"/>
      <w:bookmarkStart w:id="256" w:name="_Toc184313265"/>
      <w:bookmarkEnd w:id="256"/>
      <w:bookmarkStart w:id="257" w:name="_Toc184310336"/>
      <w:bookmarkEnd w:id="257"/>
      <w:bookmarkStart w:id="258" w:name="_Toc184314413"/>
      <w:bookmarkEnd w:id="258"/>
      <w:bookmarkStart w:id="259" w:name="_Toc184308051"/>
      <w:bookmarkEnd w:id="259"/>
      <w:bookmarkStart w:id="260" w:name="_Toc184308066"/>
      <w:bookmarkEnd w:id="260"/>
      <w:bookmarkStart w:id="261" w:name="_Toc184313239"/>
      <w:bookmarkEnd w:id="261"/>
      <w:bookmarkStart w:id="262" w:name="_Toc184308052"/>
      <w:bookmarkEnd w:id="262"/>
      <w:bookmarkStart w:id="263" w:name="_Toc184310305"/>
      <w:bookmarkEnd w:id="263"/>
      <w:bookmarkStart w:id="264" w:name="_Toc184312127"/>
      <w:bookmarkEnd w:id="264"/>
      <w:bookmarkStart w:id="265" w:name="_Toc184313275"/>
      <w:bookmarkEnd w:id="265"/>
      <w:bookmarkStart w:id="266" w:name="_Toc184312101"/>
      <w:bookmarkEnd w:id="266"/>
      <w:bookmarkStart w:id="267" w:name="_Toc184308106"/>
      <w:bookmarkEnd w:id="267"/>
      <w:bookmarkStart w:id="268" w:name="_Toc184313308"/>
      <w:bookmarkEnd w:id="268"/>
      <w:bookmarkStart w:id="269" w:name="_Toc184308078"/>
      <w:bookmarkEnd w:id="269"/>
      <w:bookmarkStart w:id="270" w:name="_Toc184308049"/>
      <w:bookmarkEnd w:id="270"/>
      <w:bookmarkStart w:id="271" w:name="_Toc184313259"/>
      <w:bookmarkEnd w:id="271"/>
      <w:bookmarkStart w:id="272" w:name="_Toc184308059"/>
      <w:bookmarkEnd w:id="272"/>
      <w:bookmarkStart w:id="273" w:name="_Toc184313297"/>
      <w:bookmarkEnd w:id="273"/>
      <w:bookmarkStart w:id="274" w:name="_Toc184312096"/>
      <w:bookmarkEnd w:id="274"/>
      <w:bookmarkStart w:id="275" w:name="_Toc184313281"/>
      <w:bookmarkEnd w:id="275"/>
      <w:bookmarkStart w:id="276" w:name="_Toc184310310"/>
      <w:bookmarkEnd w:id="276"/>
      <w:bookmarkStart w:id="277" w:name="_Toc184314415"/>
      <w:bookmarkEnd w:id="277"/>
      <w:bookmarkStart w:id="278" w:name="_Toc184308107"/>
      <w:bookmarkEnd w:id="278"/>
      <w:bookmarkStart w:id="279" w:name="_Toc184308084"/>
      <w:bookmarkEnd w:id="279"/>
      <w:bookmarkStart w:id="280" w:name="_Toc184313242"/>
      <w:bookmarkEnd w:id="280"/>
      <w:bookmarkStart w:id="281" w:name="_Toc184313263"/>
      <w:bookmarkEnd w:id="281"/>
      <w:bookmarkStart w:id="282" w:name="_Toc184308094"/>
      <w:bookmarkEnd w:id="282"/>
      <w:bookmarkStart w:id="283" w:name="_Toc184310328"/>
      <w:bookmarkEnd w:id="283"/>
      <w:bookmarkStart w:id="284" w:name="_Toc184314429"/>
      <w:bookmarkEnd w:id="284"/>
      <w:bookmarkStart w:id="285" w:name="_Toc184314447"/>
      <w:bookmarkEnd w:id="285"/>
      <w:bookmarkStart w:id="286" w:name="_Toc184308071"/>
      <w:bookmarkEnd w:id="286"/>
      <w:bookmarkStart w:id="287" w:name="_Toc184313299"/>
      <w:bookmarkEnd w:id="287"/>
      <w:bookmarkStart w:id="288" w:name="_Toc184308062"/>
      <w:bookmarkEnd w:id="288"/>
      <w:bookmarkStart w:id="289" w:name="_Toc184308079"/>
      <w:bookmarkEnd w:id="289"/>
      <w:bookmarkStart w:id="290" w:name="_Toc184310344"/>
      <w:bookmarkEnd w:id="290"/>
      <w:bookmarkStart w:id="291" w:name="_Toc184314455"/>
      <w:bookmarkEnd w:id="291"/>
      <w:bookmarkStart w:id="292" w:name="_Toc184314421"/>
      <w:bookmarkEnd w:id="292"/>
      <w:bookmarkStart w:id="293" w:name="_Toc184312098"/>
      <w:bookmarkEnd w:id="293"/>
      <w:bookmarkStart w:id="294" w:name="_Toc184310341"/>
      <w:bookmarkEnd w:id="294"/>
      <w:bookmarkStart w:id="295" w:name="_Toc184312119"/>
      <w:bookmarkEnd w:id="295"/>
      <w:bookmarkStart w:id="296" w:name="_Toc184310335"/>
      <w:bookmarkEnd w:id="296"/>
      <w:bookmarkStart w:id="297" w:name="_Toc184314426"/>
      <w:bookmarkEnd w:id="297"/>
      <w:bookmarkStart w:id="298" w:name="_Toc184312123"/>
      <w:bookmarkEnd w:id="298"/>
      <w:bookmarkStart w:id="299" w:name="_Toc184314452"/>
      <w:bookmarkEnd w:id="299"/>
      <w:bookmarkStart w:id="300" w:name="_Toc184308103"/>
      <w:bookmarkEnd w:id="300"/>
      <w:bookmarkStart w:id="301" w:name="_Toc184314430"/>
      <w:bookmarkEnd w:id="301"/>
      <w:bookmarkStart w:id="302" w:name="_Toc184312094"/>
      <w:bookmarkEnd w:id="302"/>
      <w:bookmarkStart w:id="303" w:name="_Toc184308081"/>
      <w:bookmarkEnd w:id="303"/>
      <w:bookmarkStart w:id="304" w:name="_Toc184314468"/>
      <w:bookmarkEnd w:id="304"/>
      <w:bookmarkStart w:id="305" w:name="_Toc184308085"/>
      <w:bookmarkEnd w:id="305"/>
      <w:bookmarkStart w:id="306" w:name="_Toc184314416"/>
      <w:bookmarkEnd w:id="306"/>
      <w:bookmarkStart w:id="307" w:name="_Toc184313283"/>
      <w:bookmarkEnd w:id="307"/>
      <w:bookmarkStart w:id="308" w:name="_Toc184313238"/>
      <w:bookmarkEnd w:id="308"/>
      <w:bookmarkStart w:id="309" w:name="_Toc184312114"/>
      <w:bookmarkEnd w:id="309"/>
      <w:bookmarkStart w:id="310" w:name="_Toc184313310"/>
      <w:bookmarkEnd w:id="310"/>
      <w:bookmarkStart w:id="311" w:name="_Toc184313305"/>
      <w:bookmarkEnd w:id="311"/>
      <w:bookmarkStart w:id="312" w:name="_Toc184314431"/>
      <w:bookmarkEnd w:id="312"/>
      <w:bookmarkStart w:id="313" w:name="_Toc184313296"/>
      <w:bookmarkEnd w:id="313"/>
      <w:bookmarkStart w:id="314" w:name="_Toc184313252"/>
      <w:bookmarkEnd w:id="314"/>
      <w:bookmarkStart w:id="315" w:name="_Toc184308038"/>
      <w:bookmarkEnd w:id="315"/>
      <w:bookmarkStart w:id="316" w:name="_Toc184313247"/>
      <w:bookmarkEnd w:id="316"/>
      <w:bookmarkStart w:id="317" w:name="_Toc184313264"/>
      <w:bookmarkEnd w:id="317"/>
      <w:bookmarkStart w:id="318" w:name="_Toc184310316"/>
      <w:bookmarkEnd w:id="318"/>
      <w:bookmarkStart w:id="319" w:name="_Toc184312106"/>
      <w:bookmarkEnd w:id="319"/>
      <w:bookmarkStart w:id="320" w:name="_Toc184310292"/>
      <w:bookmarkEnd w:id="320"/>
      <w:bookmarkStart w:id="321" w:name="_Toc184310288"/>
      <w:bookmarkEnd w:id="321"/>
      <w:bookmarkStart w:id="322" w:name="_Toc184314465"/>
      <w:bookmarkEnd w:id="322"/>
      <w:bookmarkStart w:id="323" w:name="_Toc184308054"/>
      <w:bookmarkEnd w:id="323"/>
      <w:bookmarkStart w:id="324" w:name="_Toc184308069"/>
      <w:bookmarkEnd w:id="324"/>
      <w:bookmarkStart w:id="325" w:name="_Toc184314446"/>
      <w:bookmarkEnd w:id="325"/>
      <w:bookmarkStart w:id="326" w:name="_Toc184312068"/>
      <w:bookmarkEnd w:id="326"/>
      <w:bookmarkStart w:id="327" w:name="_Toc184314428"/>
      <w:bookmarkEnd w:id="327"/>
      <w:bookmarkStart w:id="328" w:name="_Toc184313255"/>
      <w:bookmarkEnd w:id="328"/>
      <w:bookmarkStart w:id="329" w:name="_Toc184310318"/>
      <w:bookmarkEnd w:id="329"/>
      <w:bookmarkStart w:id="330" w:name="_Toc184310296"/>
      <w:bookmarkEnd w:id="330"/>
      <w:bookmarkStart w:id="331" w:name="_Toc184314438"/>
      <w:bookmarkEnd w:id="331"/>
      <w:bookmarkStart w:id="332" w:name="_Toc184314466"/>
      <w:bookmarkEnd w:id="332"/>
      <w:bookmarkStart w:id="333" w:name="_Toc184308098"/>
      <w:bookmarkEnd w:id="333"/>
      <w:bookmarkStart w:id="334" w:name="_Toc184313262"/>
      <w:bookmarkEnd w:id="334"/>
      <w:bookmarkStart w:id="335" w:name="_Toc184312071"/>
      <w:bookmarkEnd w:id="335"/>
      <w:bookmarkStart w:id="336" w:name="_Toc184313286"/>
      <w:bookmarkEnd w:id="336"/>
      <w:bookmarkStart w:id="337" w:name="_Toc184308056"/>
      <w:bookmarkEnd w:id="337"/>
      <w:bookmarkStart w:id="338" w:name="_Toc184313295"/>
      <w:bookmarkEnd w:id="338"/>
      <w:bookmarkStart w:id="339" w:name="_Toc184314425"/>
      <w:bookmarkEnd w:id="339"/>
      <w:bookmarkStart w:id="340" w:name="_Toc184312090"/>
      <w:bookmarkEnd w:id="340"/>
      <w:bookmarkStart w:id="341" w:name="_Toc184308042"/>
      <w:bookmarkEnd w:id="341"/>
      <w:bookmarkStart w:id="342" w:name="_Toc184313250"/>
      <w:bookmarkEnd w:id="342"/>
      <w:bookmarkStart w:id="343" w:name="_Toc184313276"/>
      <w:bookmarkEnd w:id="343"/>
      <w:bookmarkStart w:id="344" w:name="_Toc184308039"/>
      <w:bookmarkEnd w:id="344"/>
      <w:bookmarkStart w:id="345" w:name="_Toc184312088"/>
      <w:bookmarkEnd w:id="345"/>
      <w:bookmarkStart w:id="346" w:name="_Toc184312121"/>
      <w:bookmarkEnd w:id="346"/>
      <w:bookmarkStart w:id="347" w:name="_Toc184313304"/>
      <w:bookmarkEnd w:id="347"/>
      <w:bookmarkStart w:id="348" w:name="_Toc184308101"/>
      <w:bookmarkEnd w:id="348"/>
      <w:bookmarkStart w:id="349" w:name="_Toc184310281"/>
      <w:bookmarkEnd w:id="349"/>
      <w:bookmarkStart w:id="350" w:name="_Toc184313273"/>
      <w:bookmarkEnd w:id="350"/>
      <w:bookmarkStart w:id="351" w:name="_Toc184314461"/>
      <w:bookmarkEnd w:id="351"/>
      <w:bookmarkStart w:id="352" w:name="_Toc184312079"/>
      <w:bookmarkEnd w:id="352"/>
      <w:bookmarkStart w:id="353" w:name="_Toc184308063"/>
      <w:bookmarkEnd w:id="353"/>
      <w:bookmarkStart w:id="354" w:name="_Toc184312112"/>
      <w:bookmarkEnd w:id="354"/>
      <w:bookmarkStart w:id="355" w:name="_Toc184312126"/>
      <w:bookmarkEnd w:id="355"/>
      <w:bookmarkStart w:id="356" w:name="_Toc184308080"/>
      <w:bookmarkEnd w:id="356"/>
      <w:bookmarkStart w:id="357" w:name="_Toc184313289"/>
      <w:bookmarkEnd w:id="357"/>
      <w:bookmarkStart w:id="358" w:name="_Toc184313258"/>
      <w:bookmarkEnd w:id="358"/>
      <w:bookmarkStart w:id="359" w:name="_Toc184314441"/>
      <w:bookmarkEnd w:id="359"/>
      <w:bookmarkStart w:id="360" w:name="_Toc184312111"/>
      <w:bookmarkEnd w:id="360"/>
      <w:bookmarkStart w:id="361" w:name="_Toc184314454"/>
      <w:bookmarkEnd w:id="361"/>
      <w:bookmarkStart w:id="362" w:name="_Toc184308037"/>
      <w:bookmarkEnd w:id="362"/>
      <w:bookmarkStart w:id="363" w:name="_Toc184312092"/>
      <w:bookmarkEnd w:id="363"/>
      <w:bookmarkStart w:id="364" w:name="_Toc184308043"/>
      <w:bookmarkEnd w:id="364"/>
      <w:bookmarkStart w:id="365" w:name="_Toc184308102"/>
      <w:bookmarkEnd w:id="365"/>
      <w:bookmarkStart w:id="366" w:name="_Toc184310331"/>
      <w:bookmarkEnd w:id="366"/>
      <w:bookmarkStart w:id="367" w:name="_Toc184314427"/>
      <w:bookmarkEnd w:id="367"/>
      <w:bookmarkStart w:id="368" w:name="_Toc184314480"/>
      <w:bookmarkEnd w:id="368"/>
      <w:bookmarkStart w:id="369" w:name="_Toc184308072"/>
      <w:bookmarkEnd w:id="369"/>
      <w:bookmarkStart w:id="370" w:name="_Toc184310323"/>
      <w:bookmarkEnd w:id="370"/>
      <w:bookmarkStart w:id="371" w:name="_Toc184308077"/>
      <w:bookmarkEnd w:id="371"/>
      <w:bookmarkStart w:id="372" w:name="_Toc184314436"/>
      <w:bookmarkEnd w:id="372"/>
      <w:bookmarkStart w:id="373" w:name="_Toc184314469"/>
      <w:bookmarkEnd w:id="373"/>
      <w:bookmarkStart w:id="374" w:name="_Toc184312118"/>
      <w:bookmarkEnd w:id="374"/>
      <w:bookmarkStart w:id="375" w:name="_Toc184313279"/>
      <w:bookmarkEnd w:id="375"/>
      <w:bookmarkStart w:id="376" w:name="_Toc184314472"/>
      <w:bookmarkEnd w:id="376"/>
      <w:bookmarkStart w:id="377" w:name="_Toc184312089"/>
      <w:bookmarkEnd w:id="377"/>
      <w:bookmarkStart w:id="378" w:name="_Toc184308092"/>
      <w:bookmarkEnd w:id="378"/>
      <w:bookmarkStart w:id="379" w:name="_Toc184313301"/>
      <w:bookmarkEnd w:id="379"/>
      <w:bookmarkStart w:id="380" w:name="_Toc184310294"/>
      <w:bookmarkEnd w:id="380"/>
      <w:bookmarkStart w:id="381" w:name="_Toc184313243"/>
      <w:bookmarkEnd w:id="381"/>
      <w:bookmarkStart w:id="382" w:name="_Toc184310329"/>
      <w:bookmarkEnd w:id="382"/>
      <w:bookmarkStart w:id="383" w:name="_Toc184310324"/>
      <w:bookmarkEnd w:id="383"/>
      <w:bookmarkStart w:id="384" w:name="_Toc184314457"/>
      <w:bookmarkEnd w:id="384"/>
      <w:bookmarkStart w:id="385" w:name="_Toc184312139"/>
      <w:bookmarkEnd w:id="385"/>
      <w:bookmarkStart w:id="386" w:name="_Toc184312097"/>
      <w:bookmarkEnd w:id="386"/>
      <w:bookmarkStart w:id="387" w:name="_Toc184312136"/>
      <w:bookmarkEnd w:id="387"/>
      <w:bookmarkStart w:id="388" w:name="_Toc184314422"/>
      <w:bookmarkEnd w:id="388"/>
      <w:bookmarkStart w:id="389" w:name="_Toc184314437"/>
      <w:bookmarkEnd w:id="389"/>
      <w:bookmarkStart w:id="390" w:name="_Toc184308061"/>
      <w:bookmarkEnd w:id="390"/>
      <w:bookmarkStart w:id="391" w:name="_Toc184313271"/>
      <w:bookmarkEnd w:id="391"/>
      <w:r>
        <w:rPr>
          <w:rFonts w:hint="eastAsia" w:ascii="宋体" w:hAnsi="宋体" w:eastAsia="宋体" w:cs="宋体"/>
          <w:b/>
          <w:color w:val="auto"/>
          <w:sz w:val="36"/>
          <w:szCs w:val="36"/>
          <w:highlight w:val="none"/>
        </w:rPr>
        <w:t>评标办法</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2"/>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2"/>
        <w:gridCol w:w="2587"/>
        <w:gridCol w:w="4868"/>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noWrap w:val="0"/>
            <w:tcMar>
              <w:top w:w="15" w:type="dxa"/>
              <w:left w:w="15" w:type="dxa"/>
              <w:bottom w:w="0" w:type="dxa"/>
              <w:right w:w="15" w:type="dxa"/>
            </w:tcMar>
            <w:vAlign w:val="center"/>
          </w:tcPr>
          <w:p>
            <w:pPr>
              <w:snapToGrid w:val="0"/>
              <w:jc w:val="center"/>
              <w:rPr>
                <w:rFonts w:hint="default" w:ascii="宋体" w:hAnsi="宋体"/>
                <w:b/>
                <w:bCs w:val="0"/>
                <w:szCs w:val="21"/>
                <w:lang w:val="en-US" w:eastAsia="zh-CN"/>
              </w:rPr>
            </w:pPr>
            <w:r>
              <w:rPr>
                <w:rFonts w:hint="eastAsia" w:ascii="宋体" w:hAnsi="宋体"/>
                <w:b/>
                <w:bCs w:val="0"/>
                <w:szCs w:val="21"/>
                <w:lang w:val="en-US" w:eastAsia="zh-CN"/>
              </w:rPr>
              <w:t>分类</w:t>
            </w:r>
          </w:p>
        </w:tc>
        <w:tc>
          <w:tcPr>
            <w:tcW w:w="3830" w:type="pct"/>
            <w:gridSpan w:val="2"/>
            <w:noWrap w:val="0"/>
            <w:tcMar>
              <w:top w:w="15" w:type="dxa"/>
              <w:left w:w="15" w:type="dxa"/>
              <w:bottom w:w="0" w:type="dxa"/>
              <w:right w:w="15" w:type="dxa"/>
            </w:tcMar>
            <w:vAlign w:val="center"/>
          </w:tcPr>
          <w:p>
            <w:pPr>
              <w:snapToGrid w:val="0"/>
              <w:jc w:val="center"/>
              <w:rPr>
                <w:rFonts w:hint="default" w:ascii="宋体" w:hAnsi="宋体" w:eastAsia="宋体"/>
                <w:b/>
                <w:bCs w:val="0"/>
                <w:szCs w:val="21"/>
                <w:lang w:val="en-US" w:eastAsia="zh-CN"/>
              </w:rPr>
            </w:pPr>
            <w:r>
              <w:rPr>
                <w:rFonts w:hint="eastAsia" w:ascii="宋体" w:hAnsi="宋体"/>
                <w:b/>
                <w:bCs w:val="0"/>
                <w:szCs w:val="21"/>
                <w:lang w:val="en-US" w:eastAsia="zh-CN"/>
              </w:rPr>
              <w:t>评分细则</w:t>
            </w:r>
          </w:p>
        </w:tc>
        <w:tc>
          <w:tcPr>
            <w:tcW w:w="803" w:type="pct"/>
            <w:noWrap w:val="0"/>
            <w:vAlign w:val="center"/>
          </w:tcPr>
          <w:p>
            <w:pPr>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color w:val="auto"/>
                <w:sz w:val="21"/>
                <w:szCs w:val="21"/>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restart"/>
            <w:noWrap w:val="0"/>
            <w:tcMar>
              <w:top w:w="15" w:type="dxa"/>
              <w:left w:w="15" w:type="dxa"/>
              <w:bottom w:w="0" w:type="dxa"/>
              <w:right w:w="15" w:type="dxa"/>
            </w:tcMar>
            <w:vAlign w:val="center"/>
          </w:tcPr>
          <w:p>
            <w:pPr>
              <w:snapToGrid w:val="0"/>
              <w:jc w:val="center"/>
              <w:rPr>
                <w:rFonts w:ascii="宋体" w:hAnsi="宋体"/>
                <w:b/>
                <w:szCs w:val="21"/>
              </w:rPr>
            </w:pPr>
            <w:r>
              <w:rPr>
                <w:rFonts w:hint="eastAsia" w:ascii="宋体" w:hAnsi="宋体"/>
                <w:b/>
                <w:szCs w:val="21"/>
              </w:rPr>
              <w:t>商务</w:t>
            </w:r>
          </w:p>
          <w:p>
            <w:pPr>
              <w:snapToGrid w:val="0"/>
              <w:jc w:val="center"/>
              <w:rPr>
                <w:rFonts w:ascii="宋体" w:hAnsi="宋体"/>
                <w:b/>
                <w:szCs w:val="21"/>
              </w:rPr>
            </w:pPr>
            <w:r>
              <w:rPr>
                <w:rFonts w:hint="eastAsia" w:ascii="宋体" w:hAnsi="宋体"/>
                <w:b/>
                <w:szCs w:val="21"/>
              </w:rPr>
              <w:t>资信</w:t>
            </w:r>
          </w:p>
          <w:p>
            <w:pPr>
              <w:snapToGrid w:val="0"/>
              <w:jc w:val="center"/>
              <w:rPr>
                <w:rFonts w:ascii="宋体" w:hAnsi="宋体"/>
                <w:b/>
                <w:szCs w:val="21"/>
              </w:rPr>
            </w:pPr>
            <w:r>
              <w:rPr>
                <w:rFonts w:hint="eastAsia" w:ascii="宋体" w:hAnsi="宋体"/>
                <w:b/>
                <w:szCs w:val="21"/>
              </w:rPr>
              <w:t>评分</w:t>
            </w:r>
          </w:p>
          <w:p>
            <w:pPr>
              <w:snapToGrid w:val="0"/>
              <w:jc w:val="center"/>
              <w:rPr>
                <w:rFonts w:ascii="宋体" w:hAnsi="宋体"/>
                <w:b/>
                <w:szCs w:val="21"/>
              </w:rPr>
            </w:pPr>
            <w:r>
              <w:rPr>
                <w:rFonts w:hint="eastAsia" w:ascii="宋体" w:hAnsi="宋体"/>
                <w:b/>
                <w:szCs w:val="21"/>
                <w:lang w:val="en-US" w:eastAsia="zh-CN"/>
              </w:rPr>
              <w:t>5</w:t>
            </w:r>
            <w:r>
              <w:rPr>
                <w:rFonts w:hint="eastAsia" w:ascii="宋体" w:hAnsi="宋体"/>
                <w:b/>
                <w:szCs w:val="21"/>
              </w:rPr>
              <w:t>分</w:t>
            </w: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投标人综合实力（0-2分）</w:t>
            </w:r>
          </w:p>
        </w:tc>
        <w:tc>
          <w:tcPr>
            <w:tcW w:w="2501" w:type="pct"/>
            <w:noWrap w:val="0"/>
            <w:vAlign w:val="center"/>
          </w:tcPr>
          <w:p>
            <w:pPr>
              <w:snapToGrid w:val="0"/>
              <w:rPr>
                <w:rFonts w:ascii="宋体" w:hAnsi="宋体"/>
                <w:szCs w:val="21"/>
              </w:rPr>
            </w:pPr>
            <w:r>
              <w:rPr>
                <w:rFonts w:hint="eastAsia" w:ascii="宋体" w:hAnsi="宋体"/>
                <w:bCs/>
                <w:szCs w:val="21"/>
              </w:rPr>
              <w:t>依据投标人实力、资质等情况进行评审。</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tcMar>
              <w:top w:w="15" w:type="dxa"/>
              <w:left w:w="15" w:type="dxa"/>
              <w:bottom w:w="0" w:type="dxa"/>
              <w:right w:w="15" w:type="dxa"/>
            </w:tcMar>
            <w:vAlign w:val="center"/>
          </w:tcPr>
          <w:p>
            <w:pPr>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投标人获得荣誉（0-2分）</w:t>
            </w:r>
          </w:p>
        </w:tc>
        <w:tc>
          <w:tcPr>
            <w:tcW w:w="2501" w:type="pct"/>
            <w:noWrap w:val="0"/>
            <w:vAlign w:val="center"/>
          </w:tcPr>
          <w:p>
            <w:pPr>
              <w:snapToGrid w:val="0"/>
              <w:rPr>
                <w:rFonts w:ascii="宋体" w:hAnsi="宋体"/>
                <w:bCs/>
                <w:szCs w:val="21"/>
              </w:rPr>
            </w:pPr>
            <w:r>
              <w:rPr>
                <w:rFonts w:hint="eastAsia" w:ascii="宋体" w:hAnsi="宋体"/>
                <w:bCs/>
                <w:szCs w:val="21"/>
              </w:rPr>
              <w:t>具有国家认监委、</w:t>
            </w:r>
            <w:r>
              <w:rPr>
                <w:rFonts w:hint="eastAsia" w:ascii="宋体" w:hAnsi="宋体"/>
                <w:bCs/>
                <w:spacing w:val="-6"/>
                <w:szCs w:val="21"/>
              </w:rPr>
              <w:t>市场总局、卫健委和农业部</w:t>
            </w:r>
            <w:r>
              <w:rPr>
                <w:rFonts w:ascii="宋体" w:hAnsi="宋体"/>
                <w:bCs/>
                <w:szCs w:val="21"/>
              </w:rPr>
              <w:t>公布</w:t>
            </w:r>
            <w:r>
              <w:rPr>
                <w:rFonts w:hint="eastAsia" w:ascii="宋体" w:hAnsi="宋体"/>
                <w:bCs/>
                <w:szCs w:val="21"/>
              </w:rPr>
              <w:t>食品复检机构资质的得1分，没有的不得分。具有省级及以上荣誉的或高新技术企业、科技型企业的，有得1分，没有不得分。</w:t>
            </w:r>
          </w:p>
          <w:p>
            <w:pPr>
              <w:snapToGrid w:val="0"/>
              <w:rPr>
                <w:rFonts w:ascii="宋体" w:hAnsi="宋体"/>
                <w:bCs/>
                <w:szCs w:val="21"/>
              </w:rPr>
            </w:pPr>
            <w:r>
              <w:rPr>
                <w:rFonts w:hint="eastAsia" w:ascii="宋体" w:hAnsi="宋体"/>
                <w:bCs/>
                <w:szCs w:val="21"/>
              </w:rPr>
              <w:t>（须提供证明文件）</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同类项目业绩情况（0-</w:t>
            </w:r>
            <w:r>
              <w:rPr>
                <w:rFonts w:hint="eastAsia" w:ascii="宋体" w:hAnsi="宋体"/>
                <w:bCs/>
                <w:szCs w:val="21"/>
                <w:lang w:val="en-US" w:eastAsia="zh-CN"/>
              </w:rPr>
              <w:t>1</w:t>
            </w:r>
            <w:r>
              <w:rPr>
                <w:rFonts w:hint="eastAsia" w:ascii="宋体" w:hAnsi="宋体"/>
                <w:bCs/>
                <w:szCs w:val="21"/>
              </w:rPr>
              <w:t>分）</w:t>
            </w:r>
          </w:p>
        </w:tc>
        <w:tc>
          <w:tcPr>
            <w:tcW w:w="2501" w:type="pct"/>
            <w:noWrap w:val="0"/>
            <w:vAlign w:val="center"/>
          </w:tcPr>
          <w:p>
            <w:pPr>
              <w:snapToGrid w:val="0"/>
              <w:rPr>
                <w:rFonts w:ascii="宋体" w:hAnsi="宋体"/>
                <w:szCs w:val="21"/>
              </w:rPr>
            </w:pPr>
            <w:r>
              <w:rPr>
                <w:rFonts w:hint="eastAsia" w:ascii="宋体" w:hAnsi="宋体"/>
                <w:bCs/>
                <w:szCs w:val="21"/>
              </w:rPr>
              <w:t>提供20</w:t>
            </w:r>
            <w:r>
              <w:rPr>
                <w:rFonts w:hint="eastAsia" w:ascii="宋体" w:hAnsi="宋体"/>
                <w:bCs/>
                <w:szCs w:val="21"/>
                <w:lang w:val="en-US" w:eastAsia="zh-CN"/>
              </w:rPr>
              <w:t>22</w:t>
            </w:r>
            <w:r>
              <w:rPr>
                <w:rFonts w:hint="eastAsia" w:ascii="宋体" w:hAnsi="宋体"/>
                <w:bCs/>
                <w:szCs w:val="21"/>
              </w:rPr>
              <w:t>年至今市级及以上同类业绩的</w:t>
            </w:r>
            <w:r>
              <w:rPr>
                <w:rFonts w:hint="eastAsia" w:ascii="宋体" w:hAnsi="宋体"/>
                <w:bCs/>
                <w:szCs w:val="21"/>
                <w:lang w:val="en-US" w:eastAsia="zh-CN"/>
              </w:rPr>
              <w:t>得1</w:t>
            </w:r>
            <w:r>
              <w:rPr>
                <w:rFonts w:hint="eastAsia" w:ascii="宋体" w:hAnsi="宋体"/>
                <w:bCs/>
                <w:szCs w:val="21"/>
              </w:rPr>
              <w:t>分,</w:t>
            </w:r>
            <w:r>
              <w:rPr>
                <w:rFonts w:hint="eastAsia" w:ascii="宋体" w:hAnsi="宋体"/>
                <w:bCs/>
                <w:szCs w:val="21"/>
                <w:lang w:val="en-US" w:eastAsia="zh-CN"/>
              </w:rPr>
              <w:t>无不得分</w:t>
            </w:r>
            <w:r>
              <w:rPr>
                <w:rFonts w:hint="eastAsia" w:ascii="宋体" w:hAnsi="宋体"/>
                <w:bCs/>
                <w:szCs w:val="21"/>
              </w:rPr>
              <w:t>。监督检验业绩证明材料且证明材料的检测内容与本次招标要求为同类，如合同、中标通知书、检测报告或业主有效证明材料等，否则不得分。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restart"/>
            <w:noWrap w:val="0"/>
            <w:tcMar>
              <w:top w:w="15" w:type="dxa"/>
              <w:left w:w="15" w:type="dxa"/>
              <w:bottom w:w="0" w:type="dxa"/>
              <w:right w:w="15" w:type="dxa"/>
            </w:tcMar>
            <w:vAlign w:val="center"/>
          </w:tcPr>
          <w:p>
            <w:pPr>
              <w:snapToGrid w:val="0"/>
              <w:jc w:val="center"/>
              <w:rPr>
                <w:rFonts w:ascii="宋体" w:hAnsi="宋体"/>
                <w:b/>
                <w:szCs w:val="21"/>
              </w:rPr>
            </w:pPr>
            <w:r>
              <w:rPr>
                <w:rFonts w:hint="eastAsia" w:ascii="宋体" w:hAnsi="宋体"/>
                <w:b/>
                <w:szCs w:val="21"/>
              </w:rPr>
              <w:t>技术</w:t>
            </w:r>
          </w:p>
          <w:p>
            <w:pPr>
              <w:snapToGrid w:val="0"/>
              <w:jc w:val="center"/>
              <w:rPr>
                <w:rFonts w:ascii="宋体" w:hAnsi="宋体"/>
                <w:b/>
                <w:szCs w:val="21"/>
              </w:rPr>
            </w:pPr>
            <w:r>
              <w:rPr>
                <w:rFonts w:hint="eastAsia" w:ascii="宋体" w:hAnsi="宋体"/>
                <w:b/>
                <w:szCs w:val="21"/>
              </w:rPr>
              <w:t>评分</w:t>
            </w:r>
          </w:p>
          <w:p>
            <w:pPr>
              <w:snapToGrid w:val="0"/>
              <w:jc w:val="center"/>
              <w:rPr>
                <w:rFonts w:ascii="宋体" w:hAnsi="宋体"/>
                <w:b/>
                <w:szCs w:val="21"/>
              </w:rPr>
            </w:pPr>
            <w:r>
              <w:rPr>
                <w:rFonts w:hint="eastAsia" w:ascii="宋体" w:hAnsi="宋体"/>
                <w:b/>
                <w:szCs w:val="21"/>
              </w:rPr>
              <w:t>8</w:t>
            </w:r>
            <w:r>
              <w:rPr>
                <w:rFonts w:hint="eastAsia" w:ascii="宋体" w:hAnsi="宋体"/>
                <w:b/>
                <w:szCs w:val="21"/>
                <w:lang w:val="en-US" w:eastAsia="zh-CN"/>
              </w:rPr>
              <w:t>5</w:t>
            </w:r>
            <w:r>
              <w:rPr>
                <w:rFonts w:hint="eastAsia" w:ascii="宋体" w:hAnsi="宋体"/>
                <w:b/>
                <w:szCs w:val="21"/>
              </w:rPr>
              <w:t>分</w:t>
            </w: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szCs w:val="21"/>
              </w:rPr>
              <w:t>抽检实施方案的优劣(先进性、科学性、完整性)。（0-</w:t>
            </w:r>
            <w:r>
              <w:rPr>
                <w:rFonts w:hint="eastAsia" w:ascii="宋体" w:hAnsi="宋体"/>
                <w:szCs w:val="21"/>
                <w:lang w:val="en-US" w:eastAsia="zh-CN"/>
              </w:rPr>
              <w:t>5</w:t>
            </w:r>
            <w:r>
              <w:rPr>
                <w:rFonts w:hint="eastAsia" w:ascii="宋体" w:hAnsi="宋体"/>
                <w:szCs w:val="21"/>
              </w:rPr>
              <w:t>分）</w:t>
            </w:r>
          </w:p>
        </w:tc>
        <w:tc>
          <w:tcPr>
            <w:tcW w:w="2501" w:type="pct"/>
            <w:noWrap w:val="0"/>
            <w:vAlign w:val="center"/>
          </w:tcPr>
          <w:p>
            <w:pPr>
              <w:snapToGrid w:val="0"/>
              <w:rPr>
                <w:rFonts w:ascii="宋体" w:hAnsi="宋体"/>
                <w:szCs w:val="21"/>
              </w:rPr>
            </w:pPr>
            <w:r>
              <w:rPr>
                <w:rFonts w:hint="eastAsia" w:ascii="宋体" w:hAnsi="宋体"/>
                <w:szCs w:val="21"/>
              </w:rPr>
              <w:t>按先进性、科学性和完整性</w:t>
            </w:r>
            <w:r>
              <w:rPr>
                <w:rFonts w:hint="eastAsia" w:ascii="宋体" w:hAnsi="宋体"/>
                <w:bCs/>
                <w:szCs w:val="21"/>
              </w:rPr>
              <w:t>，对</w:t>
            </w:r>
            <w:r>
              <w:rPr>
                <w:rFonts w:hint="eastAsia" w:ascii="宋体" w:hAnsi="宋体"/>
                <w:szCs w:val="21"/>
              </w:rPr>
              <w:t>抽检实施方案进行整体评价，最优者得</w:t>
            </w:r>
            <w:r>
              <w:rPr>
                <w:rFonts w:hint="eastAsia" w:ascii="宋体" w:hAnsi="宋体"/>
                <w:szCs w:val="21"/>
                <w:lang w:val="en-US" w:eastAsia="zh-CN"/>
              </w:rPr>
              <w:t>5</w:t>
            </w:r>
            <w:r>
              <w:rPr>
                <w:rFonts w:hint="eastAsia" w:ascii="宋体" w:hAnsi="宋体"/>
                <w:szCs w:val="21"/>
              </w:rPr>
              <w:t>分，其余方案逐次扣分。</w:t>
            </w:r>
          </w:p>
        </w:tc>
        <w:tc>
          <w:tcPr>
            <w:tcW w:w="803" w:type="pct"/>
            <w:noWrap w:val="0"/>
            <w:vAlign w:val="center"/>
          </w:tcPr>
          <w:p>
            <w:pPr>
              <w:snapToGrid w:val="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tcMar>
              <w:top w:w="15" w:type="dxa"/>
              <w:left w:w="15" w:type="dxa"/>
              <w:bottom w:w="0" w:type="dxa"/>
              <w:right w:w="15" w:type="dxa"/>
            </w:tcMar>
            <w:vAlign w:val="center"/>
          </w:tcPr>
          <w:p>
            <w:pPr>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抽检实施方案与需求的吻合程度，售后服务方案、售后人员和机构服务优劣程度等方面的因素。（0-</w:t>
            </w:r>
            <w:r>
              <w:rPr>
                <w:rFonts w:hint="eastAsia" w:ascii="宋体" w:hAnsi="宋体"/>
                <w:bCs/>
                <w:szCs w:val="21"/>
                <w:lang w:val="en-US" w:eastAsia="zh-CN"/>
              </w:rPr>
              <w:t>8</w:t>
            </w:r>
            <w:r>
              <w:rPr>
                <w:rFonts w:hint="eastAsia" w:ascii="宋体" w:hAnsi="宋体"/>
                <w:bCs/>
                <w:szCs w:val="21"/>
              </w:rPr>
              <w:t>分）</w:t>
            </w:r>
          </w:p>
        </w:tc>
        <w:tc>
          <w:tcPr>
            <w:tcW w:w="2501" w:type="pct"/>
            <w:noWrap w:val="0"/>
            <w:vAlign w:val="center"/>
          </w:tcPr>
          <w:p>
            <w:pPr>
              <w:snapToGrid w:val="0"/>
              <w:rPr>
                <w:rFonts w:ascii="宋体" w:hAnsi="宋体"/>
                <w:bCs/>
                <w:szCs w:val="21"/>
              </w:rPr>
            </w:pPr>
            <w:r>
              <w:rPr>
                <w:rFonts w:hint="eastAsia" w:ascii="宋体" w:hAnsi="宋体"/>
                <w:bCs/>
                <w:szCs w:val="21"/>
              </w:rPr>
              <w:t>抽检实施方案与需求的吻合（</w:t>
            </w:r>
            <w:r>
              <w:rPr>
                <w:rFonts w:hint="eastAsia" w:ascii="宋体" w:hAnsi="宋体"/>
                <w:bCs/>
                <w:szCs w:val="21"/>
                <w:lang w:val="en-US" w:eastAsia="zh-CN"/>
              </w:rPr>
              <w:t>3</w:t>
            </w:r>
            <w:r>
              <w:rPr>
                <w:rFonts w:hint="eastAsia" w:ascii="宋体" w:hAnsi="宋体"/>
                <w:bCs/>
                <w:szCs w:val="21"/>
              </w:rPr>
              <w:t>分）</w:t>
            </w:r>
          </w:p>
          <w:p>
            <w:pPr>
              <w:snapToGrid w:val="0"/>
              <w:rPr>
                <w:rFonts w:ascii="宋体" w:hAnsi="宋体"/>
                <w:bCs/>
                <w:szCs w:val="21"/>
              </w:rPr>
            </w:pPr>
            <w:r>
              <w:rPr>
                <w:rFonts w:hint="eastAsia" w:ascii="宋体" w:hAnsi="宋体"/>
                <w:bCs/>
                <w:szCs w:val="21"/>
              </w:rPr>
              <w:t>售后服务方案满足采购要求（</w:t>
            </w:r>
            <w:r>
              <w:rPr>
                <w:rFonts w:hint="eastAsia" w:ascii="宋体" w:hAnsi="宋体"/>
                <w:bCs/>
                <w:szCs w:val="21"/>
                <w:lang w:val="en-US" w:eastAsia="zh-CN"/>
              </w:rPr>
              <w:t>3</w:t>
            </w:r>
            <w:r>
              <w:rPr>
                <w:rFonts w:hint="eastAsia" w:ascii="宋体" w:hAnsi="宋体"/>
                <w:bCs/>
                <w:szCs w:val="21"/>
              </w:rPr>
              <w:t>分）</w:t>
            </w:r>
          </w:p>
          <w:p>
            <w:pPr>
              <w:snapToGrid w:val="0"/>
              <w:rPr>
                <w:rFonts w:ascii="宋体" w:hAnsi="宋体"/>
                <w:bCs/>
                <w:szCs w:val="21"/>
              </w:rPr>
            </w:pPr>
            <w:r>
              <w:rPr>
                <w:rFonts w:hint="eastAsia" w:ascii="宋体" w:hAnsi="宋体"/>
                <w:bCs/>
                <w:szCs w:val="21"/>
              </w:rPr>
              <w:t>售后人员和机构服务满足采购要求（</w:t>
            </w:r>
            <w:r>
              <w:rPr>
                <w:rFonts w:hint="eastAsia" w:ascii="宋体" w:hAnsi="宋体"/>
                <w:bCs/>
                <w:szCs w:val="21"/>
                <w:lang w:val="en-US" w:eastAsia="zh-CN"/>
              </w:rPr>
              <w:t>2</w:t>
            </w:r>
            <w:r>
              <w:rPr>
                <w:rFonts w:hint="eastAsia" w:ascii="宋体" w:hAnsi="宋体"/>
                <w:bCs/>
                <w:szCs w:val="21"/>
              </w:rPr>
              <w:t>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tcMar>
              <w:top w:w="15" w:type="dxa"/>
              <w:left w:w="15" w:type="dxa"/>
              <w:bottom w:w="0" w:type="dxa"/>
              <w:right w:w="15" w:type="dxa"/>
            </w:tcMar>
            <w:vAlign w:val="center"/>
          </w:tcPr>
          <w:p>
            <w:pPr>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对项目实施思路、原则、特点、技术要求的理解情况，方案在确保阶段性任务实现的同时，是否统筹考虑了总体目标的实现（0-</w:t>
            </w:r>
            <w:r>
              <w:rPr>
                <w:rFonts w:hint="eastAsia" w:ascii="宋体" w:hAnsi="宋体"/>
                <w:bCs/>
                <w:szCs w:val="21"/>
                <w:lang w:val="en-US" w:eastAsia="zh-CN"/>
              </w:rPr>
              <w:t>8</w:t>
            </w:r>
            <w:r>
              <w:rPr>
                <w:rFonts w:hint="eastAsia" w:ascii="宋体" w:hAnsi="宋体"/>
                <w:bCs/>
                <w:szCs w:val="21"/>
              </w:rPr>
              <w:t>分）</w:t>
            </w:r>
          </w:p>
        </w:tc>
        <w:tc>
          <w:tcPr>
            <w:tcW w:w="2501" w:type="pct"/>
            <w:noWrap w:val="0"/>
            <w:vAlign w:val="center"/>
          </w:tcPr>
          <w:p>
            <w:pPr>
              <w:snapToGrid w:val="0"/>
              <w:rPr>
                <w:rFonts w:ascii="宋体" w:hAnsi="宋体"/>
                <w:bCs/>
                <w:szCs w:val="21"/>
              </w:rPr>
            </w:pPr>
            <w:r>
              <w:rPr>
                <w:rFonts w:hint="eastAsia" w:ascii="宋体" w:hAnsi="宋体"/>
                <w:bCs/>
                <w:szCs w:val="21"/>
              </w:rPr>
              <w:t>对项目实施思路、原则、特点、技术要求的理解情况（3分）</w:t>
            </w:r>
          </w:p>
          <w:p>
            <w:pPr>
              <w:snapToGrid w:val="0"/>
              <w:rPr>
                <w:rFonts w:ascii="宋体" w:hAnsi="宋体"/>
                <w:bCs/>
                <w:szCs w:val="21"/>
              </w:rPr>
            </w:pPr>
            <w:r>
              <w:rPr>
                <w:rFonts w:hint="eastAsia" w:ascii="宋体" w:hAnsi="宋体"/>
                <w:bCs/>
                <w:szCs w:val="21"/>
              </w:rPr>
              <w:t>方案能够确保阶段性任务实现（</w:t>
            </w:r>
            <w:r>
              <w:rPr>
                <w:rFonts w:hint="eastAsia" w:ascii="宋体" w:hAnsi="宋体"/>
                <w:bCs/>
                <w:szCs w:val="21"/>
                <w:lang w:val="en-US" w:eastAsia="zh-CN"/>
              </w:rPr>
              <w:t>3</w:t>
            </w:r>
            <w:r>
              <w:rPr>
                <w:rFonts w:hint="eastAsia" w:ascii="宋体" w:hAnsi="宋体"/>
                <w:bCs/>
                <w:szCs w:val="21"/>
              </w:rPr>
              <w:t>分）</w:t>
            </w:r>
          </w:p>
          <w:p>
            <w:pPr>
              <w:snapToGrid w:val="0"/>
              <w:rPr>
                <w:rFonts w:ascii="宋体" w:hAnsi="宋体"/>
                <w:bCs/>
                <w:szCs w:val="21"/>
              </w:rPr>
            </w:pPr>
            <w:r>
              <w:rPr>
                <w:rFonts w:hint="eastAsia" w:ascii="宋体" w:hAnsi="宋体"/>
                <w:bCs/>
                <w:szCs w:val="21"/>
              </w:rPr>
              <w:t>方案能够确保总体目标的实现（</w:t>
            </w:r>
            <w:r>
              <w:rPr>
                <w:rFonts w:hint="eastAsia" w:ascii="宋体" w:hAnsi="宋体"/>
                <w:bCs/>
                <w:szCs w:val="21"/>
                <w:lang w:val="en-US" w:eastAsia="zh-CN"/>
              </w:rPr>
              <w:t>2</w:t>
            </w:r>
            <w:r>
              <w:rPr>
                <w:rFonts w:hint="eastAsia" w:ascii="宋体" w:hAnsi="宋体"/>
                <w:bCs/>
                <w:szCs w:val="21"/>
              </w:rPr>
              <w:t>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tcMar>
              <w:top w:w="15" w:type="dxa"/>
              <w:left w:w="15" w:type="dxa"/>
              <w:bottom w:w="0" w:type="dxa"/>
              <w:right w:w="15" w:type="dxa"/>
            </w:tcMar>
            <w:vAlign w:val="center"/>
          </w:tcPr>
          <w:p>
            <w:pPr>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对重点、难点技术环节有先进、合理的建议，是否具有先进性、科学性、扩展性和安全性，解决方案是否完整、经济、安全、切实可行，措施得力（0-9分）</w:t>
            </w:r>
          </w:p>
        </w:tc>
        <w:tc>
          <w:tcPr>
            <w:tcW w:w="2501" w:type="pct"/>
            <w:noWrap w:val="0"/>
            <w:vAlign w:val="center"/>
          </w:tcPr>
          <w:p>
            <w:pPr>
              <w:snapToGrid w:val="0"/>
              <w:rPr>
                <w:rFonts w:ascii="宋体" w:hAnsi="宋体"/>
                <w:bCs/>
                <w:szCs w:val="21"/>
              </w:rPr>
            </w:pPr>
            <w:r>
              <w:rPr>
                <w:rFonts w:hint="eastAsia" w:ascii="宋体" w:hAnsi="宋体"/>
                <w:bCs/>
                <w:szCs w:val="21"/>
              </w:rPr>
              <w:t>对重点、难点技术环节有先进、合理的建议（3分）</w:t>
            </w:r>
          </w:p>
          <w:p>
            <w:pPr>
              <w:snapToGrid w:val="0"/>
              <w:rPr>
                <w:rFonts w:ascii="宋体" w:hAnsi="宋体"/>
                <w:bCs/>
                <w:szCs w:val="21"/>
              </w:rPr>
            </w:pPr>
            <w:r>
              <w:rPr>
                <w:rFonts w:hint="eastAsia" w:ascii="宋体" w:hAnsi="宋体"/>
                <w:bCs/>
                <w:szCs w:val="21"/>
              </w:rPr>
              <w:t>检测方案具有先进性、科学性、扩展性和安全性（3分）</w:t>
            </w:r>
          </w:p>
          <w:p>
            <w:pPr>
              <w:snapToGrid w:val="0"/>
              <w:rPr>
                <w:rFonts w:ascii="宋体" w:hAnsi="宋体"/>
                <w:bCs/>
                <w:szCs w:val="21"/>
              </w:rPr>
            </w:pPr>
            <w:r>
              <w:rPr>
                <w:rFonts w:hint="eastAsia" w:ascii="宋体" w:hAnsi="宋体"/>
                <w:bCs/>
                <w:szCs w:val="21"/>
              </w:rPr>
              <w:t>解决方案完整、经济、安全、切实可行，措施得力（3分）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投标人对检验检测对象特点认识和理解情况（0-</w:t>
            </w:r>
            <w:r>
              <w:rPr>
                <w:rFonts w:hint="eastAsia" w:ascii="宋体" w:hAnsi="宋体"/>
                <w:bCs/>
                <w:szCs w:val="21"/>
                <w:lang w:val="en-US" w:eastAsia="zh-CN"/>
              </w:rPr>
              <w:t>5</w:t>
            </w:r>
            <w:r>
              <w:rPr>
                <w:rFonts w:hint="eastAsia" w:ascii="宋体" w:hAnsi="宋体"/>
                <w:bCs/>
                <w:szCs w:val="21"/>
              </w:rPr>
              <w:t>分）</w:t>
            </w:r>
          </w:p>
        </w:tc>
        <w:tc>
          <w:tcPr>
            <w:tcW w:w="2501" w:type="pct"/>
            <w:noWrap w:val="0"/>
            <w:vAlign w:val="center"/>
          </w:tcPr>
          <w:p>
            <w:pPr>
              <w:snapToGrid w:val="0"/>
              <w:rPr>
                <w:rFonts w:ascii="宋体" w:hAnsi="宋体"/>
                <w:szCs w:val="21"/>
              </w:rPr>
            </w:pPr>
            <w:r>
              <w:rPr>
                <w:rFonts w:hint="eastAsia" w:ascii="宋体" w:hAnsi="宋体"/>
                <w:bCs/>
                <w:szCs w:val="21"/>
              </w:rPr>
              <w:t>对检验检测对象特点认识和理解情况最佳者得</w:t>
            </w:r>
            <w:r>
              <w:rPr>
                <w:rFonts w:hint="eastAsia" w:ascii="宋体" w:hAnsi="宋体"/>
                <w:bCs/>
                <w:szCs w:val="21"/>
                <w:lang w:val="en-US" w:eastAsia="zh-CN"/>
              </w:rPr>
              <w:t>5</w:t>
            </w:r>
            <w:r>
              <w:rPr>
                <w:rFonts w:hint="eastAsia" w:ascii="宋体" w:hAnsi="宋体"/>
                <w:bCs/>
                <w:szCs w:val="21"/>
              </w:rPr>
              <w:t>分，</w:t>
            </w:r>
            <w:r>
              <w:rPr>
                <w:rFonts w:hint="eastAsia" w:ascii="宋体" w:hAnsi="宋体"/>
                <w:szCs w:val="21"/>
              </w:rPr>
              <w:t>其余方案逐次扣分。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投标人应具有相应类别的食品检验项目的检测能力，并通过相应的实验室资质认定（0-10分）</w:t>
            </w:r>
          </w:p>
        </w:tc>
        <w:tc>
          <w:tcPr>
            <w:tcW w:w="2501" w:type="pct"/>
            <w:noWrap w:val="0"/>
            <w:vAlign w:val="center"/>
          </w:tcPr>
          <w:p>
            <w:pPr>
              <w:snapToGrid w:val="0"/>
              <w:rPr>
                <w:rFonts w:ascii="宋体" w:hAnsi="宋体"/>
                <w:szCs w:val="21"/>
              </w:rPr>
            </w:pPr>
            <w:r>
              <w:rPr>
                <w:rFonts w:hint="eastAsia" w:ascii="宋体" w:hAnsi="宋体"/>
                <w:bCs/>
                <w:szCs w:val="21"/>
              </w:rPr>
              <w:t>全部具备，得10分；不具备全项检测能力或未全部通过相应实验室资质认定的，不得分。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拟投入本项目的项目负责人及人员配备情况（0-</w:t>
            </w:r>
            <w:r>
              <w:rPr>
                <w:rFonts w:hint="eastAsia" w:ascii="宋体" w:hAnsi="宋体"/>
                <w:bCs/>
                <w:szCs w:val="21"/>
                <w:lang w:val="en-US" w:eastAsia="zh-CN"/>
              </w:rPr>
              <w:t>6</w:t>
            </w:r>
            <w:r>
              <w:rPr>
                <w:rFonts w:hint="eastAsia" w:ascii="宋体" w:hAnsi="宋体"/>
                <w:bCs/>
                <w:szCs w:val="21"/>
              </w:rPr>
              <w:t>分）</w:t>
            </w:r>
          </w:p>
        </w:tc>
        <w:tc>
          <w:tcPr>
            <w:tcW w:w="2501" w:type="pct"/>
            <w:noWrap w:val="0"/>
            <w:vAlign w:val="center"/>
          </w:tcPr>
          <w:p>
            <w:pPr>
              <w:snapToGrid w:val="0"/>
              <w:rPr>
                <w:rFonts w:ascii="宋体" w:hAnsi="宋体"/>
                <w:bCs/>
                <w:szCs w:val="21"/>
              </w:rPr>
            </w:pPr>
            <w:r>
              <w:rPr>
                <w:rFonts w:hint="eastAsia" w:ascii="宋体" w:hAnsi="宋体"/>
                <w:bCs/>
                <w:szCs w:val="21"/>
              </w:rPr>
              <w:t>项目负责人技术职称（</w:t>
            </w:r>
            <w:r>
              <w:rPr>
                <w:rFonts w:hint="eastAsia" w:ascii="宋体" w:hAnsi="宋体"/>
                <w:bCs/>
                <w:szCs w:val="21"/>
                <w:lang w:val="en-US" w:eastAsia="zh-CN"/>
              </w:rPr>
              <w:t>3</w:t>
            </w:r>
            <w:r>
              <w:rPr>
                <w:rFonts w:hint="eastAsia" w:ascii="宋体" w:hAnsi="宋体"/>
                <w:bCs/>
                <w:szCs w:val="21"/>
              </w:rPr>
              <w:t>分）</w:t>
            </w:r>
          </w:p>
          <w:p>
            <w:pPr>
              <w:snapToGrid w:val="0"/>
              <w:rPr>
                <w:rFonts w:ascii="宋体" w:hAnsi="宋体"/>
                <w:szCs w:val="21"/>
              </w:rPr>
            </w:pPr>
            <w:r>
              <w:rPr>
                <w:rFonts w:hint="eastAsia" w:ascii="宋体" w:hAnsi="宋体"/>
                <w:bCs/>
                <w:szCs w:val="21"/>
              </w:rPr>
              <w:t>项目技术人员总人数（3分）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szCs w:val="21"/>
              </w:rPr>
            </w:pPr>
            <w:r>
              <w:rPr>
                <w:rFonts w:hint="eastAsia" w:ascii="宋体" w:hAnsi="宋体"/>
                <w:bCs/>
                <w:szCs w:val="21"/>
              </w:rPr>
              <w:t>投标人拟投入检测的仪器设备的优劣性（0-</w:t>
            </w:r>
            <w:r>
              <w:rPr>
                <w:rFonts w:hint="eastAsia" w:ascii="宋体" w:hAnsi="宋体"/>
                <w:bCs/>
                <w:szCs w:val="21"/>
                <w:lang w:val="en-US" w:eastAsia="zh-CN"/>
              </w:rPr>
              <w:t>5</w:t>
            </w:r>
            <w:r>
              <w:rPr>
                <w:rFonts w:hint="eastAsia" w:ascii="宋体" w:hAnsi="宋体"/>
                <w:bCs/>
                <w:szCs w:val="21"/>
              </w:rPr>
              <w:t>分）</w:t>
            </w:r>
          </w:p>
        </w:tc>
        <w:tc>
          <w:tcPr>
            <w:tcW w:w="2501" w:type="pct"/>
            <w:noWrap w:val="0"/>
            <w:vAlign w:val="center"/>
          </w:tcPr>
          <w:p>
            <w:pPr>
              <w:snapToGrid w:val="0"/>
              <w:rPr>
                <w:rFonts w:ascii="宋体" w:hAnsi="宋体"/>
                <w:szCs w:val="21"/>
              </w:rPr>
            </w:pPr>
            <w:r>
              <w:rPr>
                <w:rFonts w:hint="eastAsia" w:ascii="宋体" w:hAnsi="宋体"/>
                <w:bCs/>
                <w:szCs w:val="21"/>
              </w:rPr>
              <w:t>完全满足本项目要求得</w:t>
            </w:r>
            <w:r>
              <w:rPr>
                <w:rFonts w:hint="eastAsia" w:ascii="宋体" w:hAnsi="宋体"/>
                <w:bCs/>
                <w:szCs w:val="21"/>
                <w:lang w:val="en-US" w:eastAsia="zh-CN"/>
              </w:rPr>
              <w:t>5</w:t>
            </w:r>
            <w:r>
              <w:rPr>
                <w:rFonts w:hint="eastAsia" w:ascii="宋体" w:hAnsi="宋体"/>
                <w:bCs/>
                <w:szCs w:val="21"/>
              </w:rPr>
              <w:t>分，有缺漏酌情扣分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项目实施过程中的安全保障措施以及质量控制管理制度的优劣性（0-</w:t>
            </w:r>
            <w:r>
              <w:rPr>
                <w:rFonts w:hint="eastAsia" w:ascii="宋体" w:hAnsi="宋体"/>
                <w:bCs/>
                <w:szCs w:val="21"/>
                <w:lang w:val="en-US" w:eastAsia="zh-CN"/>
              </w:rPr>
              <w:t>6</w:t>
            </w:r>
            <w:r>
              <w:rPr>
                <w:rFonts w:hint="eastAsia" w:ascii="宋体" w:hAnsi="宋体"/>
                <w:bCs/>
                <w:szCs w:val="21"/>
              </w:rPr>
              <w:t>分）</w:t>
            </w:r>
          </w:p>
        </w:tc>
        <w:tc>
          <w:tcPr>
            <w:tcW w:w="2501" w:type="pct"/>
            <w:noWrap w:val="0"/>
            <w:vAlign w:val="center"/>
          </w:tcPr>
          <w:p>
            <w:pPr>
              <w:snapToGrid w:val="0"/>
              <w:rPr>
                <w:rFonts w:ascii="宋体" w:hAnsi="宋体"/>
                <w:bCs/>
                <w:szCs w:val="21"/>
              </w:rPr>
            </w:pPr>
            <w:r>
              <w:rPr>
                <w:rFonts w:hint="eastAsia" w:ascii="宋体" w:hAnsi="宋体"/>
                <w:bCs/>
                <w:szCs w:val="21"/>
              </w:rPr>
              <w:t>安全保障措施（3分）</w:t>
            </w:r>
          </w:p>
          <w:p>
            <w:pPr>
              <w:snapToGrid w:val="0"/>
              <w:rPr>
                <w:rFonts w:ascii="宋体" w:hAnsi="宋体"/>
                <w:bCs/>
                <w:szCs w:val="21"/>
              </w:rPr>
            </w:pPr>
            <w:r>
              <w:rPr>
                <w:rFonts w:ascii="宋体" w:hAnsi="宋体"/>
                <w:bCs/>
                <w:szCs w:val="21"/>
              </w:rPr>
              <w:t>质量控制管理制度</w:t>
            </w:r>
            <w:r>
              <w:rPr>
                <w:rFonts w:hint="eastAsia" w:ascii="宋体" w:hAnsi="宋体"/>
                <w:bCs/>
                <w:szCs w:val="21"/>
              </w:rPr>
              <w:t>（</w:t>
            </w:r>
            <w:r>
              <w:rPr>
                <w:rFonts w:hint="eastAsia" w:ascii="宋体" w:hAnsi="宋体"/>
                <w:bCs/>
                <w:szCs w:val="21"/>
                <w:lang w:val="en-US" w:eastAsia="zh-CN"/>
              </w:rPr>
              <w:t>3</w:t>
            </w:r>
            <w:r>
              <w:rPr>
                <w:rFonts w:hint="eastAsia" w:ascii="宋体" w:hAnsi="宋体"/>
                <w:bCs/>
                <w:szCs w:val="21"/>
              </w:rPr>
              <w:t>分）</w:t>
            </w:r>
          </w:p>
        </w:tc>
        <w:tc>
          <w:tcPr>
            <w:tcW w:w="803" w:type="pct"/>
            <w:noWrap w:val="0"/>
            <w:vAlign w:val="center"/>
          </w:tcPr>
          <w:p>
            <w:pPr>
              <w:snapToGri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检测能力验证（0-5分）</w:t>
            </w:r>
          </w:p>
        </w:tc>
        <w:tc>
          <w:tcPr>
            <w:tcW w:w="2501" w:type="pct"/>
            <w:noWrap w:val="0"/>
            <w:vAlign w:val="center"/>
          </w:tcPr>
          <w:p>
            <w:pPr>
              <w:snapToGrid w:val="0"/>
              <w:rPr>
                <w:rFonts w:ascii="宋体" w:hAnsi="宋体"/>
                <w:bCs/>
                <w:szCs w:val="21"/>
              </w:rPr>
            </w:pPr>
            <w:r>
              <w:rPr>
                <w:rFonts w:hint="eastAsia" w:ascii="宋体" w:hAnsi="宋体"/>
                <w:bCs/>
                <w:szCs w:val="21"/>
              </w:rPr>
              <w:t>投标人提供201</w:t>
            </w:r>
            <w:r>
              <w:rPr>
                <w:rFonts w:hint="eastAsia" w:ascii="宋体" w:hAnsi="宋体"/>
                <w:bCs/>
                <w:szCs w:val="21"/>
                <w:lang w:val="en-US" w:eastAsia="zh-CN"/>
              </w:rPr>
              <w:t>9</w:t>
            </w:r>
            <w:r>
              <w:rPr>
                <w:rFonts w:hint="eastAsia" w:ascii="宋体" w:hAnsi="宋体"/>
                <w:bCs/>
                <w:szCs w:val="21"/>
              </w:rPr>
              <w:t>年1月1日至今年每年参加国内外能力验证或测量审核且结果满意的（提供证明材料），每年至少4份，缺少一份扣0.5分，未提供不得分。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具有</w:t>
            </w:r>
            <w:r>
              <w:rPr>
                <w:rFonts w:hint="eastAsia" w:ascii="宋体" w:hAnsi="宋体"/>
                <w:bCs/>
                <w:szCs w:val="21"/>
                <w:lang w:val="en-US" w:eastAsia="zh-CN"/>
              </w:rPr>
              <w:t>食品及时检测</w:t>
            </w:r>
            <w:r>
              <w:rPr>
                <w:rFonts w:hint="eastAsia" w:ascii="宋体" w:hAnsi="宋体"/>
                <w:bCs/>
                <w:szCs w:val="21"/>
              </w:rPr>
              <w:t>能力（0-10分）</w:t>
            </w:r>
          </w:p>
        </w:tc>
        <w:tc>
          <w:tcPr>
            <w:tcW w:w="2501" w:type="pct"/>
            <w:noWrap w:val="0"/>
            <w:vAlign w:val="center"/>
          </w:tcPr>
          <w:p>
            <w:pPr>
              <w:snapToGrid w:val="0"/>
              <w:rPr>
                <w:rFonts w:ascii="宋体" w:hAnsi="宋体"/>
                <w:bCs/>
                <w:szCs w:val="21"/>
              </w:rPr>
            </w:pPr>
            <w:r>
              <w:rPr>
                <w:rFonts w:hint="eastAsia" w:ascii="宋体" w:hAnsi="宋体"/>
                <w:bCs/>
                <w:szCs w:val="21"/>
              </w:rPr>
              <w:t>有：得10分；没有，不得分（须提供在杭州市设有检验地点，具有完善的管理机构的相关证明材料）。</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vMerge w:val="continue"/>
            <w:noWrap w:val="0"/>
            <w:vAlign w:val="center"/>
          </w:tcPr>
          <w:p>
            <w:pPr>
              <w:widowControl/>
              <w:snapToGrid w:val="0"/>
              <w:jc w:val="center"/>
              <w:rPr>
                <w:rFonts w:ascii="宋体" w:hAnsi="宋体"/>
                <w:b/>
                <w:szCs w:val="21"/>
              </w:rPr>
            </w:pPr>
          </w:p>
        </w:tc>
        <w:tc>
          <w:tcPr>
            <w:tcW w:w="1329" w:type="pct"/>
            <w:noWrap w:val="0"/>
            <w:tcMar>
              <w:top w:w="15" w:type="dxa"/>
              <w:left w:w="15" w:type="dxa"/>
              <w:bottom w:w="0" w:type="dxa"/>
              <w:right w:w="15" w:type="dxa"/>
            </w:tcMar>
            <w:vAlign w:val="center"/>
          </w:tcPr>
          <w:p>
            <w:pPr>
              <w:snapToGrid w:val="0"/>
              <w:rPr>
                <w:rFonts w:ascii="宋体" w:hAnsi="宋体"/>
                <w:bCs/>
                <w:szCs w:val="21"/>
              </w:rPr>
            </w:pPr>
            <w:r>
              <w:rPr>
                <w:rFonts w:hint="eastAsia" w:ascii="宋体" w:hAnsi="宋体"/>
                <w:bCs/>
                <w:szCs w:val="21"/>
              </w:rPr>
              <w:t>对用户需求的响应程度，包括突发事件的应急措施以及其他活动的配合情况（如培训、预警信息及传统食品技术提升）（0-</w:t>
            </w:r>
            <w:r>
              <w:rPr>
                <w:rFonts w:hint="eastAsia" w:ascii="宋体" w:hAnsi="宋体"/>
                <w:bCs/>
                <w:szCs w:val="21"/>
                <w:lang w:val="en-US" w:eastAsia="zh-CN"/>
              </w:rPr>
              <w:t>8</w:t>
            </w:r>
            <w:r>
              <w:rPr>
                <w:rFonts w:hint="eastAsia" w:ascii="宋体" w:hAnsi="宋体"/>
                <w:bCs/>
                <w:szCs w:val="21"/>
              </w:rPr>
              <w:t>分）</w:t>
            </w:r>
          </w:p>
        </w:tc>
        <w:tc>
          <w:tcPr>
            <w:tcW w:w="2501" w:type="pct"/>
            <w:noWrap w:val="0"/>
            <w:vAlign w:val="center"/>
          </w:tcPr>
          <w:p>
            <w:pPr>
              <w:snapToGrid w:val="0"/>
              <w:rPr>
                <w:rFonts w:ascii="宋体" w:hAnsi="宋体"/>
                <w:bCs/>
                <w:szCs w:val="21"/>
              </w:rPr>
            </w:pPr>
            <w:r>
              <w:rPr>
                <w:rFonts w:hint="eastAsia" w:ascii="宋体" w:hAnsi="宋体"/>
                <w:bCs/>
                <w:szCs w:val="21"/>
              </w:rPr>
              <w:t>突发事件的应急措施（2分）</w:t>
            </w:r>
          </w:p>
          <w:p>
            <w:pPr>
              <w:snapToGrid w:val="0"/>
              <w:rPr>
                <w:rFonts w:ascii="宋体" w:hAnsi="宋体"/>
                <w:bCs/>
                <w:szCs w:val="21"/>
              </w:rPr>
            </w:pPr>
            <w:r>
              <w:rPr>
                <w:rFonts w:hint="eastAsia" w:ascii="宋体" w:hAnsi="宋体"/>
                <w:bCs/>
                <w:szCs w:val="21"/>
              </w:rPr>
              <w:t>培训（</w:t>
            </w:r>
            <w:r>
              <w:rPr>
                <w:rFonts w:hint="eastAsia" w:ascii="宋体" w:hAnsi="宋体"/>
                <w:bCs/>
                <w:szCs w:val="21"/>
                <w:lang w:val="en-US" w:eastAsia="zh-CN"/>
              </w:rPr>
              <w:t>2</w:t>
            </w:r>
            <w:r>
              <w:rPr>
                <w:rFonts w:hint="eastAsia" w:ascii="宋体" w:hAnsi="宋体"/>
                <w:bCs/>
                <w:szCs w:val="21"/>
              </w:rPr>
              <w:t>分）</w:t>
            </w:r>
          </w:p>
          <w:p>
            <w:pPr>
              <w:snapToGrid w:val="0"/>
              <w:rPr>
                <w:rFonts w:ascii="宋体" w:hAnsi="宋体"/>
                <w:bCs/>
                <w:szCs w:val="21"/>
              </w:rPr>
            </w:pPr>
            <w:r>
              <w:rPr>
                <w:rFonts w:hint="eastAsia" w:ascii="宋体" w:hAnsi="宋体"/>
                <w:bCs/>
                <w:szCs w:val="21"/>
              </w:rPr>
              <w:t>预警信息（</w:t>
            </w:r>
            <w:r>
              <w:rPr>
                <w:rFonts w:hint="eastAsia" w:ascii="宋体" w:hAnsi="宋体"/>
                <w:bCs/>
                <w:szCs w:val="21"/>
                <w:lang w:val="en-US" w:eastAsia="zh-CN"/>
              </w:rPr>
              <w:t>2</w:t>
            </w:r>
            <w:r>
              <w:rPr>
                <w:rFonts w:hint="eastAsia" w:ascii="宋体" w:hAnsi="宋体"/>
                <w:bCs/>
                <w:szCs w:val="21"/>
              </w:rPr>
              <w:t>分）</w:t>
            </w:r>
          </w:p>
          <w:p>
            <w:pPr>
              <w:snapToGrid w:val="0"/>
              <w:rPr>
                <w:rFonts w:ascii="宋体" w:hAnsi="宋体"/>
                <w:bCs/>
                <w:szCs w:val="21"/>
              </w:rPr>
            </w:pPr>
            <w:r>
              <w:rPr>
                <w:rFonts w:hint="eastAsia" w:ascii="宋体" w:hAnsi="宋体"/>
                <w:bCs/>
                <w:szCs w:val="21"/>
              </w:rPr>
              <w:t>传统食品技术提升（</w:t>
            </w:r>
            <w:r>
              <w:rPr>
                <w:rFonts w:hint="eastAsia" w:ascii="宋体" w:hAnsi="宋体"/>
                <w:bCs/>
                <w:szCs w:val="21"/>
                <w:lang w:val="en-US" w:eastAsia="zh-CN"/>
              </w:rPr>
              <w:t>2</w:t>
            </w:r>
            <w:r>
              <w:rPr>
                <w:rFonts w:hint="eastAsia" w:ascii="宋体" w:hAnsi="宋体"/>
                <w:bCs/>
                <w:szCs w:val="21"/>
              </w:rPr>
              <w:t>分）</w:t>
            </w:r>
          </w:p>
        </w:tc>
        <w:tc>
          <w:tcPr>
            <w:tcW w:w="803" w:type="pct"/>
            <w:noWrap w:val="0"/>
            <w:vAlign w:val="center"/>
          </w:tcPr>
          <w:p>
            <w:pPr>
              <w:snapToGrid w:val="0"/>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6" w:type="pct"/>
            <w:noWrap w:val="0"/>
            <w:vAlign w:val="center"/>
          </w:tcPr>
          <w:p>
            <w:pPr>
              <w:snapToGrid w:val="0"/>
              <w:jc w:val="center"/>
              <w:rPr>
                <w:rFonts w:ascii="宋体" w:hAnsi="宋体"/>
                <w:b/>
                <w:szCs w:val="21"/>
              </w:rPr>
            </w:pPr>
            <w:r>
              <w:rPr>
                <w:rFonts w:hint="eastAsia" w:ascii="宋体" w:hAnsi="宋体"/>
                <w:b/>
                <w:szCs w:val="21"/>
              </w:rPr>
              <w:t>价格</w:t>
            </w:r>
          </w:p>
          <w:p>
            <w:pPr>
              <w:snapToGrid w:val="0"/>
              <w:jc w:val="center"/>
              <w:rPr>
                <w:rFonts w:ascii="宋体" w:hAnsi="宋体"/>
                <w:b/>
                <w:szCs w:val="21"/>
              </w:rPr>
            </w:pPr>
            <w:r>
              <w:rPr>
                <w:rFonts w:hint="eastAsia" w:ascii="宋体" w:hAnsi="宋体"/>
                <w:b/>
                <w:szCs w:val="21"/>
              </w:rPr>
              <w:t>10分</w:t>
            </w:r>
          </w:p>
        </w:tc>
        <w:tc>
          <w:tcPr>
            <w:tcW w:w="3830" w:type="pct"/>
            <w:gridSpan w:val="2"/>
            <w:noWrap w:val="0"/>
            <w:tcMar>
              <w:top w:w="15" w:type="dxa"/>
              <w:left w:w="15" w:type="dxa"/>
              <w:bottom w:w="0" w:type="dxa"/>
              <w:right w:w="15" w:type="dxa"/>
            </w:tcMar>
            <w:vAlign w:val="center"/>
          </w:tcPr>
          <w:p>
            <w:pPr>
              <w:snapToGrid w:val="0"/>
              <w:rPr>
                <w:rFonts w:ascii="宋体" w:hAnsi="宋体" w:cs="宋体"/>
                <w:szCs w:val="21"/>
                <w:lang w:val="zh-CN"/>
              </w:rPr>
            </w:pPr>
            <w:r>
              <w:rPr>
                <w:rFonts w:hint="eastAsia" w:ascii="宋体" w:hAnsi="宋体" w:cs="宋体"/>
                <w:szCs w:val="21"/>
                <w:lang w:val="zh-CN"/>
              </w:rPr>
              <w:t>报价分采用低价优先法计算，即满足招标文件要求且投标价格最低的投标报价为评标基准价，得满分10分，其他投标人的价格分按照下列公式计算：</w:t>
            </w:r>
          </w:p>
          <w:p>
            <w:pPr>
              <w:snapToGrid w:val="0"/>
              <w:rPr>
                <w:rFonts w:ascii="宋体" w:hAnsi="宋体" w:cs="宋体"/>
                <w:szCs w:val="21"/>
                <w:lang w:val="zh-CN"/>
              </w:rPr>
            </w:pPr>
            <w:r>
              <w:rPr>
                <w:rFonts w:hint="eastAsia" w:ascii="宋体" w:hAnsi="宋体" w:cs="宋体"/>
                <w:szCs w:val="21"/>
                <w:lang w:val="zh-CN"/>
              </w:rPr>
              <w:t>价格分=（评标基准价/投标报价）×10%×100</w:t>
            </w:r>
          </w:p>
          <w:p>
            <w:pPr>
              <w:snapToGrid w:val="0"/>
              <w:rPr>
                <w:rFonts w:ascii="宋体" w:hAnsi="宋体" w:cs="宋体"/>
                <w:szCs w:val="21"/>
                <w:lang w:val="zh-CN"/>
              </w:rPr>
            </w:pPr>
            <w:r>
              <w:rPr>
                <w:rFonts w:hint="eastAsia" w:ascii="宋体" w:hAnsi="宋体" w:cs="宋体"/>
                <w:szCs w:val="21"/>
                <w:lang w:val="zh-CN"/>
              </w:rPr>
              <w:t>其中投标报价为经评标委员会评审后的价格。</w:t>
            </w:r>
          </w:p>
          <w:p>
            <w:pPr>
              <w:snapToGrid w:val="0"/>
              <w:rPr>
                <w:rFonts w:ascii="宋体" w:hAnsi="宋体" w:cs="宋体"/>
                <w:szCs w:val="21"/>
              </w:rPr>
            </w:pPr>
            <w:r>
              <w:rPr>
                <w:rFonts w:hint="eastAsia" w:ascii="宋体" w:hAnsi="宋体" w:cs="宋体"/>
                <w:szCs w:val="21"/>
                <w:lang w:val="zh-CN"/>
              </w:rPr>
              <w:t>注：投标人的报价明显低于其他通过符合性审查投标人的报价，有可能影响产品质量或者不能诚信履约的，对于投标价格不足标的</w:t>
            </w:r>
            <w:r>
              <w:rPr>
                <w:rFonts w:hint="eastAsia" w:ascii="宋体" w:hAnsi="宋体" w:cs="宋体"/>
                <w:szCs w:val="21"/>
              </w:rPr>
              <w:t>预算金额</w:t>
            </w:r>
            <w:r>
              <w:rPr>
                <w:rFonts w:hint="eastAsia" w:ascii="宋体" w:hAnsi="宋体" w:cs="宋体"/>
                <w:szCs w:val="21"/>
                <w:lang w:val="zh-CN"/>
              </w:rPr>
              <w:t>50%的情况，投标方</w:t>
            </w:r>
            <w:r>
              <w:rPr>
                <w:rFonts w:hint="eastAsia" w:ascii="宋体" w:hAnsi="宋体" w:cs="宋体"/>
                <w:szCs w:val="21"/>
              </w:rPr>
              <w:t>必须在投标文件中</w:t>
            </w:r>
            <w:r>
              <w:rPr>
                <w:rFonts w:hint="eastAsia" w:ascii="宋体" w:hAnsi="宋体" w:cs="宋体"/>
                <w:szCs w:val="21"/>
                <w:lang w:val="zh-CN"/>
              </w:rPr>
              <w:t>书面出具</w:t>
            </w:r>
            <w:r>
              <w:rPr>
                <w:rFonts w:hint="eastAsia" w:ascii="宋体" w:hAnsi="宋体" w:cs="宋体"/>
                <w:szCs w:val="21"/>
              </w:rPr>
              <w:t>能够充分证明报价合理性的相关</w:t>
            </w:r>
            <w:r>
              <w:rPr>
                <w:rFonts w:hint="eastAsia" w:ascii="宋体" w:hAnsi="宋体" w:cs="宋体"/>
                <w:szCs w:val="21"/>
                <w:lang w:val="zh-CN"/>
              </w:rPr>
              <w:t>成本说明</w:t>
            </w:r>
            <w:r>
              <w:rPr>
                <w:rFonts w:hint="eastAsia" w:ascii="宋体" w:hAnsi="宋体" w:cs="宋体"/>
                <w:szCs w:val="21"/>
              </w:rPr>
              <w:t>及证明材料</w:t>
            </w:r>
            <w:r>
              <w:rPr>
                <w:rFonts w:hint="eastAsia" w:ascii="宋体" w:hAnsi="宋体" w:cs="宋体"/>
                <w:szCs w:val="21"/>
                <w:lang w:val="zh-CN"/>
              </w:rPr>
              <w:t>（</w:t>
            </w:r>
            <w:r>
              <w:rPr>
                <w:rFonts w:hint="eastAsia"/>
                <w:b/>
                <w:bCs/>
                <w:szCs w:val="21"/>
              </w:rPr>
              <w:t>成本说明必须包括:人员工资、房屋水电、买样费用、交通住宿、设备折旧、检验相关易耗品等6项，并按比例平摊到每批次</w:t>
            </w:r>
            <w:r>
              <w:rPr>
                <w:rFonts w:hint="eastAsia" w:ascii="宋体" w:hAnsi="宋体" w:cs="宋体"/>
                <w:szCs w:val="21"/>
              </w:rPr>
              <w:t>）</w:t>
            </w:r>
            <w:r>
              <w:rPr>
                <w:rFonts w:hint="eastAsia" w:ascii="宋体" w:hAnsi="宋体" w:cs="宋体"/>
                <w:szCs w:val="21"/>
                <w:lang w:val="zh-CN"/>
              </w:rPr>
              <w:t>，</w:t>
            </w:r>
            <w:r>
              <w:rPr>
                <w:rFonts w:hint="eastAsia" w:ascii="宋体" w:hAnsi="宋体" w:cs="宋体"/>
                <w:szCs w:val="21"/>
              </w:rPr>
              <w:t>未提供</w:t>
            </w:r>
            <w:r>
              <w:rPr>
                <w:rFonts w:hint="eastAsia" w:ascii="宋体" w:hAnsi="宋体" w:cs="宋体"/>
                <w:szCs w:val="21"/>
                <w:lang w:val="zh-CN"/>
              </w:rPr>
              <w:t>成本说明</w:t>
            </w:r>
            <w:r>
              <w:rPr>
                <w:rFonts w:hint="eastAsia" w:ascii="宋体" w:hAnsi="宋体" w:cs="宋体"/>
                <w:szCs w:val="21"/>
              </w:rPr>
              <w:t>及相关证明材料或</w:t>
            </w:r>
            <w:r>
              <w:rPr>
                <w:rFonts w:hint="eastAsia" w:ascii="宋体" w:hAnsi="宋体" w:cs="宋体"/>
                <w:szCs w:val="21"/>
                <w:lang w:val="zh-CN"/>
              </w:rPr>
              <w:t>成本说明</w:t>
            </w:r>
            <w:r>
              <w:rPr>
                <w:rFonts w:hint="eastAsia" w:ascii="宋体" w:hAnsi="宋体" w:cs="宋体"/>
                <w:szCs w:val="21"/>
              </w:rPr>
              <w:t>及相关证明材料不能得到评标委员会认可的，将作为无效投标处理。</w:t>
            </w:r>
          </w:p>
          <w:p>
            <w:pPr>
              <w:snapToGrid w:val="0"/>
              <w:rPr>
                <w:rFonts w:ascii="宋体" w:hAnsi="宋体" w:cs="宋体"/>
                <w:szCs w:val="21"/>
              </w:rPr>
            </w:pPr>
            <w:r>
              <w:rPr>
                <w:rFonts w:hint="eastAsia" w:ascii="宋体" w:hAnsi="宋体" w:cs="宋体"/>
                <w:szCs w:val="21"/>
              </w:rPr>
              <w:t xml:space="preserve"> </w:t>
            </w:r>
          </w:p>
          <w:p>
            <w:pPr>
              <w:snapToGrid w:val="0"/>
              <w:rPr>
                <w:rFonts w:ascii="宋体" w:hAnsi="宋体"/>
                <w:bCs/>
                <w:szCs w:val="21"/>
              </w:rPr>
            </w:pPr>
            <w:r>
              <w:rPr>
                <w:rFonts w:hint="eastAsia" w:ascii="宋体" w:hAnsi="宋体"/>
                <w:bCs/>
                <w:szCs w:val="21"/>
              </w:rPr>
              <w:t>根据《政府采购促进中小企业发展管理办法》（财库〔2020〕46号）、《财政部 司法部关于政府采购支持监狱企业发展有关问题的通知》（财库[2014]68号）及《关于促进残疾人就业政府采购政策的通知》（财库[2017]141号）规定要求，评标委员会对提供有效认定材料的小微企业、监狱企业及符合条件的残疾人福利性单位给予</w:t>
            </w:r>
            <w:r>
              <w:rPr>
                <w:rFonts w:hint="eastAsia" w:ascii="宋体" w:hAnsi="宋体"/>
                <w:bCs/>
                <w:szCs w:val="21"/>
                <w:lang w:val="en-US" w:eastAsia="zh-CN"/>
              </w:rPr>
              <w:t>10%</w:t>
            </w:r>
            <w:r>
              <w:rPr>
                <w:rFonts w:hint="eastAsia" w:ascii="宋体" w:hAnsi="宋体"/>
                <w:bCs/>
                <w:szCs w:val="21"/>
              </w:rPr>
              <w:t>的价格扣除后，计算各投标人价格分，其中：</w:t>
            </w:r>
          </w:p>
          <w:p>
            <w:pPr>
              <w:snapToGrid w:val="0"/>
              <w:rPr>
                <w:rFonts w:ascii="宋体" w:hAnsi="宋体"/>
                <w:bCs/>
                <w:szCs w:val="21"/>
              </w:rPr>
            </w:pPr>
            <w:r>
              <w:rPr>
                <w:rFonts w:hint="eastAsia" w:ascii="宋体" w:hAnsi="宋体"/>
                <w:bCs/>
                <w:szCs w:val="21"/>
              </w:rPr>
              <w:t>a.中小企业划分标准根据《政府采购促进中小企业发展管理办法》（财库〔2020〕46号）文件确定，参加政府采购活动的中小企业应当根据划分标准如实填写财库〔2020〕46号文件附件格式的《中小企业声明函》供评标委员会认定；</w:t>
            </w:r>
          </w:p>
          <w:p>
            <w:pPr>
              <w:snapToGrid w:val="0"/>
              <w:rPr>
                <w:rFonts w:ascii="宋体" w:hAnsi="宋体"/>
                <w:bCs/>
                <w:szCs w:val="21"/>
              </w:rPr>
            </w:pPr>
            <w:r>
              <w:rPr>
                <w:rFonts w:hint="eastAsia" w:ascii="宋体" w:hAnsi="宋体"/>
                <w:bCs/>
                <w:szCs w:val="21"/>
              </w:rPr>
              <w:t>b.监狱企业参加政府采购活动时，应当提供由省级以上监狱管理局、戒毒管理局（含新疆生产建设兵团）出具的属于监狱企业的证明文件供评标委员会认定。</w:t>
            </w:r>
          </w:p>
          <w:p>
            <w:pPr>
              <w:snapToGrid w:val="0"/>
              <w:rPr>
                <w:rFonts w:ascii="宋体" w:hAnsi="宋体" w:cs="宋体"/>
                <w:szCs w:val="21"/>
                <w:lang w:val="zh-CN"/>
              </w:rPr>
            </w:pPr>
            <w:r>
              <w:rPr>
                <w:rFonts w:hint="eastAsia" w:ascii="宋体" w:hAnsi="宋体"/>
                <w:bCs/>
                <w:szCs w:val="21"/>
              </w:rPr>
              <w:t>c.符合条件的残疾人福利性单位在参加政府采购活动时，应当提供财库[2017]141号文件附件格式的《残疾人福利性单位声明函》供评标委员会认定，并对声明的真实性负责。</w:t>
            </w:r>
          </w:p>
        </w:tc>
        <w:tc>
          <w:tcPr>
            <w:tcW w:w="803" w:type="pct"/>
            <w:noWrap w:val="0"/>
            <w:tcMar>
              <w:top w:w="15" w:type="dxa"/>
              <w:left w:w="15" w:type="dxa"/>
              <w:bottom w:w="0" w:type="dxa"/>
              <w:right w:w="15" w:type="dxa"/>
            </w:tcMar>
            <w:vAlign w:val="center"/>
          </w:tcPr>
          <w:p>
            <w:pPr>
              <w:snapToGrid w:val="0"/>
              <w:rPr>
                <w:rFonts w:hint="eastAsia" w:ascii="宋体" w:hAnsi="宋体"/>
                <w:bCs/>
                <w:szCs w:val="21"/>
              </w:rPr>
            </w:pPr>
          </w:p>
        </w:tc>
      </w:tr>
    </w:tbl>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i/>
          <w:iCs/>
          <w:color w:val="auto"/>
          <w:sz w:val="20"/>
          <w:szCs w:val="20"/>
          <w:highlight w:val="none"/>
          <w:shd w:val="clear" w:color="auto" w:fill="FFFFFF"/>
        </w:rPr>
        <w:t>*</w:t>
      </w:r>
      <w:r>
        <w:rPr>
          <w:rFonts w:hint="eastAsia" w:ascii="宋体" w:hAnsi="宋体" w:eastAsia="宋体" w:cs="宋体"/>
          <w:b/>
          <w:i/>
          <w:iCs/>
          <w:color w:val="auto"/>
          <w:sz w:val="24"/>
          <w:highlight w:val="none"/>
        </w:rPr>
        <w:t>备注：</w:t>
      </w:r>
      <w:r>
        <w:rPr>
          <w:rFonts w:hint="eastAsia" w:ascii="宋体" w:hAnsi="宋体" w:eastAsia="宋体" w:cs="宋体"/>
          <w:i/>
          <w:iCs/>
          <w:color w:val="auto"/>
          <w:sz w:val="24"/>
          <w:highlight w:val="none"/>
        </w:rPr>
        <w:t>投标人编制投标文件（商务技术文件部分）时，建议按此目录（序号和内容）提供评标标准相应的商务技术资料。</w:t>
      </w:r>
      <w:r>
        <w:rPr>
          <w:rFonts w:hint="eastAsia" w:ascii="宋体" w:hAnsi="宋体" w:eastAsia="宋体" w:cs="宋体"/>
          <w:color w:val="auto"/>
          <w:sz w:val="24"/>
          <w:highlight w:val="none"/>
        </w:rPr>
        <w:t> </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一、评标方法</w:t>
      </w:r>
    </w:p>
    <w:p>
      <w:pPr>
        <w:kinsoku/>
        <w:wordWrap/>
        <w:overflowPunct/>
        <w:topLinePunct w:val="0"/>
        <w:bidi w:val="0"/>
        <w:adjustRightInd/>
        <w:snapToGrid w:val="0"/>
        <w:spacing w:beforeAutospacing="0" w:afterAutospacing="0"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1.本项目采用综合评分法。</w:t>
      </w:r>
      <w:r>
        <w:rPr>
          <w:rFonts w:hint="eastAsia" w:ascii="宋体" w:hAnsi="宋体" w:eastAsia="宋体" w:cs="宋体"/>
          <w:color w:val="auto"/>
          <w:kern w:val="0"/>
          <w:sz w:val="24"/>
          <w:szCs w:val="24"/>
          <w:highlight w:val="none"/>
        </w:rPr>
        <w:t>综合评分法，是指投标文件满足招标文件全部实质性要求，且按照评审因素的量化指标评审得分最高的投标人为中标候选人的评标方法。</w:t>
      </w:r>
    </w:p>
    <w:p>
      <w:pPr>
        <w:kinsoku/>
        <w:wordWrap/>
        <w:overflowPunct/>
        <w:topLinePunct w:val="0"/>
        <w:bidi w:val="0"/>
        <w:adjustRightInd/>
        <w:snapToGrid w:val="0"/>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二、评标标准</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评标标准：</w:t>
      </w:r>
      <w:r>
        <w:rPr>
          <w:rFonts w:hint="eastAsia" w:ascii="宋体" w:hAnsi="宋体" w:eastAsia="宋体" w:cs="宋体"/>
          <w:color w:val="auto"/>
          <w:kern w:val="0"/>
          <w:sz w:val="24"/>
          <w:szCs w:val="24"/>
          <w:highlight w:val="none"/>
        </w:rPr>
        <w:t>见评标办法前附表。</w:t>
      </w:r>
    </w:p>
    <w:p>
      <w:pPr>
        <w:kinsoku/>
        <w:wordWrap/>
        <w:overflowPunct/>
        <w:topLinePunct w:val="0"/>
        <w:bidi w:val="0"/>
        <w:snapToGrid w:val="0"/>
        <w:spacing w:beforeAutospacing="0" w:afterAutospacing="0" w:line="360" w:lineRule="auto"/>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三、评标程序</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pPr>
        <w:pStyle w:val="158"/>
        <w:kinsoku/>
        <w:wordWrap/>
        <w:overflowPunct/>
        <w:topLinePunct w:val="0"/>
        <w:bidi w:val="0"/>
        <w:snapToGrid w:val="0"/>
        <w:spacing w:before="0" w:beforeAutospacing="0" w:afterAutospacing="0" w:line="360" w:lineRule="auto"/>
        <w:ind w:firstLine="508" w:firstLineChars="212"/>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58"/>
        <w:kinsoku/>
        <w:wordWrap/>
        <w:overflowPunct/>
        <w:topLinePunct w:val="0"/>
        <w:bidi w:val="0"/>
        <w:snapToGrid w:val="0"/>
        <w:spacing w:before="0" w:beforeAutospacing="0" w:afterAutospacing="0" w:line="360" w:lineRule="auto"/>
        <w:ind w:firstLine="48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3.4.5对于未预留份额专门面向中小企业的政府采购货物或服务项目，以及预留份额政府采购货物或服务项目中的非预留部分标项，对小型和微型企业的投标报价给予</w:t>
      </w:r>
      <w:r>
        <w:rPr>
          <w:rFonts w:hint="eastAsia" w:ascii="宋体" w:hAnsi="宋体" w:cs="宋体"/>
          <w:color w:val="auto"/>
          <w:kern w:val="0"/>
          <w:szCs w:val="24"/>
          <w:highlight w:val="none"/>
          <w:lang w:val="en-US" w:eastAsia="zh-CN"/>
        </w:rPr>
        <w:t>10%</w:t>
      </w:r>
      <w:r>
        <w:rPr>
          <w:rFonts w:hint="eastAsia" w:ascii="宋体" w:hAnsi="宋体" w:eastAsia="宋体" w:cs="宋体"/>
          <w:color w:val="auto"/>
          <w:kern w:val="0"/>
          <w:szCs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color w:val="auto"/>
          <w:kern w:val="0"/>
          <w:szCs w:val="24"/>
          <w:highlight w:val="none"/>
          <w:lang w:val="en-US" w:eastAsia="zh-CN"/>
        </w:rPr>
        <w:t>4%</w:t>
      </w:r>
      <w:r>
        <w:rPr>
          <w:rFonts w:hint="eastAsia" w:ascii="宋体" w:hAnsi="宋体" w:eastAsia="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kinsoku/>
        <w:wordWrap/>
        <w:overflowPunct/>
        <w:topLinePunct w:val="0"/>
        <w:bidi w:val="0"/>
        <w:adjustRightInd/>
        <w:snapToGrid w:val="0"/>
        <w:spacing w:beforeAutospacing="0" w:afterAutospacing="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四、评标中的其他事项</w:t>
      </w:r>
    </w:p>
    <w:p>
      <w:pPr>
        <w:pStyle w:val="158"/>
        <w:kinsoku/>
        <w:wordWrap/>
        <w:overflowPunct/>
        <w:topLinePunct w:val="0"/>
        <w:bidi w:val="0"/>
        <w:snapToGrid w:val="0"/>
        <w:spacing w:before="0" w:beforeAutospacing="0" w:afterAutospacing="0" w:line="360" w:lineRule="auto"/>
        <w:ind w:firstLine="472" w:firstLineChars="196"/>
        <w:textAlignment w:val="auto"/>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kinsoku/>
        <w:wordWrap/>
        <w:overflowPunct/>
        <w:topLinePunct w:val="0"/>
        <w:bidi w:val="0"/>
        <w:snapToGrid w:val="0"/>
        <w:spacing w:beforeAutospacing="0" w:afterAutospacing="0" w:line="360" w:lineRule="auto"/>
        <w:ind w:left="954" w:leftChars="226" w:hanging="479" w:firstLineChars="0"/>
        <w:textAlignment w:val="auto"/>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有下列情况之一的，投标无效：</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4.2.6投标文件出现不是唯一的、有选择性投标报价的;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4.2.11投标人有恶意串通、妨碍其他投标人的竞争行为、损害采购人或者其他投标人的合法权益情形的；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4.2.12投标人仅提交备份投标文件，没有在电子交易平台传输递交投标文件的，投标无效；</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4.2.13 投标文件不满足招标文件的其它实质性要求的；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pPr>
        <w:pStyle w:val="24"/>
        <w:kinsoku/>
        <w:wordWrap/>
        <w:overflowPunct/>
        <w:topLinePunct w:val="0"/>
        <w:bidi w:val="0"/>
        <w:snapToGrid w:val="0"/>
        <w:spacing w:beforeAutospacing="0" w:afterAutospacing="0" w:line="360" w:lineRule="auto"/>
        <w:ind w:firstLine="472" w:firstLineChars="196"/>
        <w:textAlignment w:val="auto"/>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废标后，采购机构应当将废标理由通知所有投标人。</w:t>
      </w:r>
    </w:p>
    <w:p>
      <w:pPr>
        <w:pStyle w:val="24"/>
        <w:kinsoku/>
        <w:wordWrap/>
        <w:overflowPunct/>
        <w:topLinePunct w:val="0"/>
        <w:bidi w:val="0"/>
        <w:snapToGrid w:val="0"/>
        <w:spacing w:beforeAutospacing="0" w:afterAutospacing="0" w:line="360" w:lineRule="auto"/>
        <w:ind w:firstLine="590" w:firstLineChars="245"/>
        <w:textAlignment w:val="auto"/>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kinsoku/>
        <w:wordWrap/>
        <w:overflowPunct/>
        <w:topLinePunct w:val="0"/>
        <w:bidi w:val="0"/>
        <w:snapToGrid w:val="0"/>
        <w:spacing w:beforeAutospacing="0" w:afterAutospacing="0" w:line="360" w:lineRule="auto"/>
        <w:ind w:firstLine="590" w:firstLineChars="245"/>
        <w:textAlignment w:val="auto"/>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有政府采购法第七十一条、第七十二条规定的违法行为之一，影响或者可能影响中标、成交结果的，依照下列规定处理：</w:t>
      </w:r>
    </w:p>
    <w:p>
      <w:pPr>
        <w:pStyle w:val="24"/>
        <w:kinsoku/>
        <w:wordWrap/>
        <w:overflowPunct/>
        <w:topLinePunct w:val="0"/>
        <w:bidi w:val="0"/>
        <w:snapToGrid w:val="0"/>
        <w:spacing w:beforeAutospacing="0" w:afterAutospacing="0" w:line="360" w:lineRule="auto"/>
        <w:ind w:firstLine="600" w:firstLine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7.1未确定中标或者中标人的，终止本次政府采购活动，重新开展政府采购活动。</w:t>
      </w:r>
    </w:p>
    <w:p>
      <w:pPr>
        <w:pStyle w:val="24"/>
        <w:kinsoku/>
        <w:wordWrap/>
        <w:overflowPunct/>
        <w:topLinePunct w:val="0"/>
        <w:bidi w:val="0"/>
        <w:snapToGrid w:val="0"/>
        <w:spacing w:beforeAutospacing="0" w:afterAutospacing="0" w:line="360" w:lineRule="auto"/>
        <w:ind w:firstLine="600" w:firstLine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4"/>
        <w:kinsoku/>
        <w:wordWrap/>
        <w:overflowPunct/>
        <w:topLinePunct w:val="0"/>
        <w:bidi w:val="0"/>
        <w:snapToGrid w:val="0"/>
        <w:spacing w:beforeAutospacing="0" w:afterAutospacing="0" w:line="360" w:lineRule="auto"/>
        <w:ind w:firstLine="600" w:firstLineChars="250"/>
        <w:textAlignment w:val="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pPr>
        <w:pStyle w:val="24"/>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w:t>
      </w:r>
      <w:r>
        <w:rPr>
          <w:rFonts w:hint="eastAsia" w:ascii="宋体" w:hAnsi="宋体" w:eastAsia="宋体" w:cs="宋体"/>
          <w:color w:val="auto"/>
          <w:kern w:val="0"/>
          <w:highlight w:val="none"/>
        </w:rPr>
        <w:t>或者政府采购法实施条例等法律法规规定</w:t>
      </w:r>
      <w:r>
        <w:rPr>
          <w:rFonts w:hint="eastAsia" w:ascii="宋体" w:hAnsi="宋体" w:eastAsia="宋体" w:cs="宋体"/>
          <w:color w:val="auto"/>
          <w:highlight w:val="none"/>
        </w:rPr>
        <w:t>的行为，经改正后仍然影响或者可能影响中标、成交结果或者依法被认定为中标、成交无效的，依照7.1-7.4规定处理。</w:t>
      </w:r>
    </w:p>
    <w:p>
      <w:pPr>
        <w:pStyle w:val="24"/>
        <w:kinsoku/>
        <w:wordWrap/>
        <w:overflowPunct/>
        <w:topLinePunct w:val="0"/>
        <w:bidi w:val="0"/>
        <w:snapToGrid w:val="0"/>
        <w:spacing w:beforeAutospacing="0" w:afterAutospacing="0" w:line="360" w:lineRule="auto"/>
        <w:ind w:firstLine="0" w:firstLineChars="0"/>
        <w:textAlignment w:val="auto"/>
        <w:rPr>
          <w:rFonts w:ascii="仿宋_GB2312" w:hAnsi="仿宋" w:eastAsia="仿宋_GB2312" w:cs="仿宋_GB2312"/>
          <w:color w:val="auto"/>
          <w:highlight w:val="none"/>
        </w:rPr>
        <w:sectPr>
          <w:pgSz w:w="11907" w:h="16840"/>
          <w:pgMar w:top="1440" w:right="1080" w:bottom="1440" w:left="1080" w:header="851" w:footer="851" w:gutter="0"/>
          <w:pgBorders>
            <w:top w:val="none" w:sz="0" w:space="0"/>
            <w:left w:val="none" w:sz="0" w:space="0"/>
            <w:bottom w:val="none" w:sz="0" w:space="0"/>
            <w:right w:val="none" w:sz="0" w:space="0"/>
          </w:pgBorders>
          <w:cols w:space="720" w:num="1"/>
        </w:sectPr>
      </w:pPr>
    </w:p>
    <w:bookmarkEnd w:id="25"/>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sz w:val="36"/>
          <w:szCs w:val="36"/>
          <w:highlight w:val="none"/>
        </w:rPr>
      </w:pPr>
      <w:bookmarkStart w:id="392" w:name="第五部分"/>
      <w:bookmarkStart w:id="393" w:name="_Toc86217003"/>
      <w:r>
        <w:rPr>
          <w:rFonts w:hint="eastAsia" w:ascii="宋体" w:hAnsi="宋体" w:eastAsia="宋体" w:cs="宋体"/>
          <w:b/>
          <w:color w:val="auto"/>
          <w:sz w:val="36"/>
          <w:szCs w:val="36"/>
          <w:highlight w:val="none"/>
        </w:rPr>
        <w:t>第五部分 拟签订的合同文本</w:t>
      </w:r>
    </w:p>
    <w:p>
      <w:pPr>
        <w:autoSpaceDE w:val="0"/>
        <w:autoSpaceDN w:val="0"/>
        <w:adjustRightInd w:val="0"/>
        <w:snapToGrid w:val="0"/>
        <w:spacing w:line="360" w:lineRule="auto"/>
        <w:ind w:firstLine="646"/>
        <w:rPr>
          <w:rFonts w:ascii="宋体" w:hAnsi="宋体" w:cs="宋体"/>
          <w:b/>
          <w:bCs/>
          <w:color w:val="auto"/>
          <w:sz w:val="24"/>
        </w:rPr>
      </w:pPr>
      <w:r>
        <w:rPr>
          <w:rFonts w:hint="eastAsia" w:ascii="宋体" w:hAnsi="宋体" w:cs="宋体"/>
          <w:b/>
          <w:bCs/>
          <w:color w:val="auto"/>
          <w:sz w:val="24"/>
          <w:lang w:val="zh-CN"/>
        </w:rPr>
        <w:t>特别提示：以下为</w:t>
      </w:r>
      <w:r>
        <w:rPr>
          <w:rFonts w:hint="eastAsia" w:ascii="宋体" w:hAnsi="宋体" w:cs="宋体"/>
          <w:b/>
          <w:bCs/>
          <w:color w:val="auto"/>
          <w:sz w:val="24"/>
        </w:rPr>
        <w:t>本项目</w:t>
      </w:r>
      <w:r>
        <w:rPr>
          <w:rFonts w:hint="eastAsia" w:ascii="宋体" w:hAnsi="宋体" w:cs="宋体"/>
          <w:b/>
          <w:bCs/>
          <w:color w:val="auto"/>
          <w:sz w:val="24"/>
          <w:lang w:val="zh-CN"/>
        </w:rPr>
        <w:t>的合同范本，供参考。合同条款的具体内容应严格按照招标文件、投标文件、招标结果及中标的承诺来拟订。</w:t>
      </w:r>
    </w:p>
    <w:p>
      <w:pPr>
        <w:pStyle w:val="24"/>
        <w:ind w:firstLine="0" w:firstLineChars="0"/>
        <w:jc w:val="center"/>
        <w:rPr>
          <w:b/>
          <w:bCs/>
          <w:sz w:val="32"/>
          <w:szCs w:val="22"/>
        </w:rPr>
      </w:pPr>
      <w:r>
        <w:rPr>
          <w:rFonts w:hint="eastAsia"/>
          <w:b/>
          <w:bCs/>
          <w:sz w:val="32"/>
          <w:szCs w:val="22"/>
        </w:rPr>
        <w:t>杭州市市场监督管理局XXX委托合同</w:t>
      </w:r>
    </w:p>
    <w:p>
      <w:pPr>
        <w:pStyle w:val="24"/>
        <w:ind w:firstLine="0" w:firstLineChars="0"/>
        <w:jc w:val="center"/>
        <w:rPr>
          <w:b/>
          <w:bCs/>
          <w:sz w:val="32"/>
          <w:szCs w:val="22"/>
        </w:rPr>
      </w:pPr>
    </w:p>
    <w:p>
      <w:pPr>
        <w:pStyle w:val="32"/>
        <w:snapToGrid w:val="0"/>
        <w:spacing w:line="360" w:lineRule="auto"/>
        <w:rPr>
          <w:rFonts w:hAnsi="宋体" w:cs="宋体"/>
          <w:b/>
          <w:kern w:val="0"/>
          <w:sz w:val="24"/>
          <w:szCs w:val="24"/>
        </w:rPr>
      </w:pPr>
      <w:r>
        <w:rPr>
          <w:rFonts w:hint="eastAsia" w:hAnsi="宋体" w:cs="宋体"/>
          <w:b/>
          <w:kern w:val="0"/>
          <w:sz w:val="24"/>
          <w:szCs w:val="24"/>
        </w:rPr>
        <w:t>甲  方：</w:t>
      </w:r>
      <w:r>
        <w:rPr>
          <w:rFonts w:hint="eastAsia" w:hAnsi="宋体" w:cs="宋体"/>
          <w:b/>
          <w:sz w:val="24"/>
          <w:szCs w:val="24"/>
        </w:rPr>
        <w:t>杭州市市场监督管理局</w:t>
      </w:r>
    </w:p>
    <w:p>
      <w:pPr>
        <w:pStyle w:val="32"/>
        <w:snapToGrid w:val="0"/>
        <w:spacing w:line="360" w:lineRule="auto"/>
        <w:rPr>
          <w:rFonts w:hAnsi="宋体" w:cs="宋体"/>
          <w:b/>
          <w:kern w:val="0"/>
          <w:sz w:val="24"/>
          <w:szCs w:val="24"/>
        </w:rPr>
      </w:pPr>
      <w:r>
        <w:rPr>
          <w:rFonts w:hint="eastAsia" w:hAnsi="宋体" w:cs="宋体"/>
          <w:b/>
          <w:kern w:val="0"/>
          <w:sz w:val="24"/>
          <w:szCs w:val="24"/>
        </w:rPr>
        <w:t xml:space="preserve">乙  方：   </w:t>
      </w:r>
    </w:p>
    <w:p>
      <w:pPr>
        <w:snapToGrid w:val="0"/>
        <w:spacing w:line="360" w:lineRule="auto"/>
        <w:ind w:firstLine="480" w:firstLineChars="200"/>
        <w:rPr>
          <w:rFonts w:ascii="宋体" w:hAnsi="宋体" w:cs="宋体"/>
          <w:sz w:val="24"/>
          <w:szCs w:val="24"/>
        </w:rPr>
      </w:pPr>
      <w:r>
        <w:rPr>
          <w:rFonts w:hint="eastAsia" w:ascii="宋体" w:hAnsi="宋体" w:cs="宋体"/>
          <w:kern w:val="0"/>
          <w:sz w:val="24"/>
          <w:szCs w:val="24"/>
        </w:rPr>
        <w:t>根据《中华人民共和国政府采购法》、《中华人民共和国民法典》等有关法律法规的规定，</w:t>
      </w:r>
      <w:r>
        <w:rPr>
          <w:rFonts w:hint="eastAsia" w:ascii="宋体" w:hAnsi="宋体" w:cs="宋体"/>
          <w:b/>
          <w:sz w:val="24"/>
          <w:szCs w:val="24"/>
          <w:u w:val="single"/>
        </w:rPr>
        <w:t>杭州市市场监督管理局</w:t>
      </w:r>
      <w:r>
        <w:rPr>
          <w:rFonts w:hint="eastAsia" w:ascii="宋体" w:hAnsi="宋体" w:cs="宋体"/>
          <w:sz w:val="24"/>
          <w:szCs w:val="24"/>
        </w:rPr>
        <w:t>(甲方)经过</w:t>
      </w:r>
      <w:r>
        <w:rPr>
          <w:rFonts w:hint="eastAsia" w:ascii="宋体" w:hAnsi="宋体" w:cs="宋体"/>
          <w:sz w:val="24"/>
          <w:szCs w:val="24"/>
          <w:u w:val="single"/>
        </w:rPr>
        <w:t xml:space="preserve">  </w:t>
      </w:r>
      <w:r>
        <w:rPr>
          <w:rFonts w:hint="eastAsia" w:ascii="宋体" w:hAnsi="宋体" w:cs="宋体"/>
          <w:b/>
          <w:bCs/>
          <w:sz w:val="24"/>
          <w:szCs w:val="24"/>
          <w:u w:val="single"/>
        </w:rPr>
        <w:t>公开招标</w:t>
      </w:r>
      <w:r>
        <w:rPr>
          <w:rFonts w:hint="eastAsia" w:ascii="宋体" w:hAnsi="宋体" w:cs="宋体"/>
          <w:sz w:val="24"/>
          <w:szCs w:val="24"/>
          <w:u w:val="single"/>
        </w:rPr>
        <w:t xml:space="preserve">  </w:t>
      </w:r>
      <w:r>
        <w:rPr>
          <w:rFonts w:hint="eastAsia" w:ascii="宋体" w:hAnsi="宋体" w:cs="宋体"/>
          <w:sz w:val="24"/>
          <w:szCs w:val="24"/>
        </w:rPr>
        <w:t>，确定</w:t>
      </w:r>
      <w:r>
        <w:rPr>
          <w:rFonts w:hint="eastAsia" w:ascii="宋体" w:hAnsi="宋体" w:cs="宋体"/>
          <w:sz w:val="24"/>
          <w:szCs w:val="24"/>
          <w:u w:val="single"/>
        </w:rPr>
        <w:t xml:space="preserve"> </w:t>
      </w:r>
      <w:r>
        <w:rPr>
          <w:rFonts w:hint="eastAsia" w:ascii="宋体" w:hAnsi="宋体" w:cs="宋体"/>
          <w:b/>
          <w:kern w:val="0"/>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(乙方)为服务单位，双方经协商达成以下条款：</w:t>
      </w:r>
    </w:p>
    <w:p>
      <w:pPr>
        <w:snapToGrid w:val="0"/>
        <w:spacing w:line="360" w:lineRule="auto"/>
        <w:ind w:firstLine="482" w:firstLineChars="200"/>
        <w:rPr>
          <w:rFonts w:ascii="宋体" w:hAnsi="宋体" w:cs="宋体"/>
          <w:sz w:val="24"/>
          <w:szCs w:val="24"/>
        </w:rPr>
      </w:pPr>
      <w:r>
        <w:rPr>
          <w:rFonts w:hint="eastAsia" w:ascii="宋体" w:hAnsi="宋体" w:cs="宋体"/>
          <w:b/>
          <w:sz w:val="24"/>
          <w:szCs w:val="24"/>
        </w:rPr>
        <w:t>第一条：</w:t>
      </w:r>
      <w:r>
        <w:rPr>
          <w:rFonts w:hint="eastAsia" w:ascii="宋体" w:hAnsi="宋体" w:cs="宋体"/>
          <w:sz w:val="24"/>
          <w:szCs w:val="24"/>
        </w:rPr>
        <w:t>甲方委托乙方进行委托业务的内容如下：</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内容：招标文件中“</w:t>
      </w:r>
      <w:r>
        <w:rPr>
          <w:rFonts w:hint="eastAsia" w:ascii="宋体" w:hAnsi="宋体" w:cs="宋体"/>
          <w:b/>
          <w:sz w:val="24"/>
          <w:szCs w:val="24"/>
        </w:rPr>
        <w:t>第三部分 项目技术规范和服务要求”中内容。</w:t>
      </w:r>
    </w:p>
    <w:p>
      <w:pPr>
        <w:snapToGrid w:val="0"/>
        <w:spacing w:line="360" w:lineRule="auto"/>
        <w:ind w:firstLine="482" w:firstLineChars="200"/>
        <w:rPr>
          <w:rFonts w:ascii="宋体" w:hAnsi="宋体" w:cs="宋体"/>
          <w:sz w:val="24"/>
          <w:szCs w:val="24"/>
        </w:rPr>
      </w:pPr>
      <w:r>
        <w:rPr>
          <w:rFonts w:hint="eastAsia" w:ascii="宋体" w:hAnsi="宋体" w:cs="宋体"/>
          <w:b/>
          <w:sz w:val="24"/>
          <w:szCs w:val="24"/>
        </w:rPr>
        <w:t>第二条：</w:t>
      </w:r>
      <w:r>
        <w:rPr>
          <w:rFonts w:hint="eastAsia" w:ascii="宋体" w:hAnsi="宋体" w:cs="宋体"/>
          <w:sz w:val="24"/>
          <w:szCs w:val="24"/>
        </w:rPr>
        <w:t>乙方应按下列要求完成委托业务工作：</w:t>
      </w:r>
    </w:p>
    <w:p>
      <w:pPr>
        <w:snapToGrid w:val="0"/>
        <w:spacing w:line="360" w:lineRule="auto"/>
        <w:rPr>
          <w:rFonts w:ascii="宋体" w:hAnsi="宋体" w:cs="宋体"/>
          <w:sz w:val="24"/>
          <w:szCs w:val="24"/>
          <w:u w:val="single"/>
        </w:rPr>
      </w:pPr>
      <w:r>
        <w:rPr>
          <w:rFonts w:hint="eastAsia" w:ascii="宋体" w:hAnsi="宋体" w:cs="宋体"/>
          <w:sz w:val="24"/>
          <w:szCs w:val="24"/>
        </w:rPr>
        <w:t xml:space="preserve">     1．工作期限：</w:t>
      </w:r>
      <w:r>
        <w:rPr>
          <w:rFonts w:hint="eastAsia" w:ascii="宋体" w:hAnsi="宋体" w:cs="宋体"/>
          <w:sz w:val="24"/>
          <w:szCs w:val="24"/>
          <w:u w:val="single"/>
        </w:rPr>
        <w:t xml:space="preserve">合同签订后 </w:t>
      </w:r>
      <w:r>
        <w:rPr>
          <w:rFonts w:hint="eastAsia" w:ascii="宋体" w:hAnsi="宋体" w:cs="宋体"/>
          <w:b/>
          <w:sz w:val="24"/>
          <w:szCs w:val="24"/>
          <w:u w:val="single"/>
        </w:rPr>
        <w:t xml:space="preserve">   </w:t>
      </w:r>
      <w:r>
        <w:rPr>
          <w:rFonts w:hint="eastAsia" w:ascii="宋体" w:hAnsi="宋体" w:cs="宋体"/>
          <w:sz w:val="24"/>
          <w:szCs w:val="24"/>
          <w:u w:val="single"/>
        </w:rPr>
        <w:t xml:space="preserve">内完成。 </w:t>
      </w:r>
    </w:p>
    <w:p>
      <w:pPr>
        <w:snapToGrid w:val="0"/>
        <w:spacing w:line="360" w:lineRule="auto"/>
        <w:rPr>
          <w:rFonts w:ascii="宋体" w:hAnsi="宋体" w:cs="宋体"/>
          <w:sz w:val="24"/>
          <w:szCs w:val="24"/>
          <w:u w:val="single"/>
        </w:rPr>
      </w:pPr>
      <w:r>
        <w:rPr>
          <w:rFonts w:hint="eastAsia" w:ascii="宋体" w:hAnsi="宋体" w:cs="宋体"/>
          <w:sz w:val="24"/>
          <w:szCs w:val="24"/>
        </w:rPr>
        <w:t xml:space="preserve">     2．工作进度：按照投标文件提供承诺按时保质保量完成。</w:t>
      </w:r>
    </w:p>
    <w:p>
      <w:pPr>
        <w:snapToGrid w:val="0"/>
        <w:spacing w:line="360" w:lineRule="auto"/>
        <w:ind w:left="1"/>
        <w:rPr>
          <w:rFonts w:ascii="宋体" w:hAnsi="宋体" w:cs="宋体"/>
          <w:sz w:val="24"/>
          <w:szCs w:val="24"/>
        </w:rPr>
      </w:pPr>
      <w:r>
        <w:rPr>
          <w:rFonts w:hint="eastAsia" w:ascii="宋体" w:hAnsi="宋体" w:cs="宋体"/>
          <w:sz w:val="24"/>
          <w:szCs w:val="24"/>
        </w:rPr>
        <w:t xml:space="preserve">     3．质量要求：样品由检测机构统一采集，按照规定的抽样场所抽取样品。抽样方式：遵循随机原则购买样品，获取的样品应合理覆盖区域、品种，具有较好的代表性，按要求填写抽样单，抽样单一般包括被采样单位、采样地址、采样方法、采样时间、采样目的以及样品名称、规格、数量、包装状况或存储条件、生产日期或批号、生产或进口代理单位、采样地点、当事人及执法人员签名等要素。</w:t>
      </w:r>
    </w:p>
    <w:p>
      <w:pPr>
        <w:snapToGrid w:val="0"/>
        <w:spacing w:line="360" w:lineRule="auto"/>
        <w:ind w:firstLine="482" w:firstLineChars="200"/>
        <w:rPr>
          <w:rFonts w:ascii="宋体" w:hAnsi="宋体" w:cs="宋体"/>
          <w:sz w:val="24"/>
          <w:szCs w:val="24"/>
        </w:rPr>
      </w:pPr>
      <w:r>
        <w:rPr>
          <w:rFonts w:hint="eastAsia" w:ascii="宋体" w:hAnsi="宋体" w:cs="宋体"/>
          <w:b/>
          <w:sz w:val="24"/>
          <w:szCs w:val="24"/>
        </w:rPr>
        <w:t>第三条：</w:t>
      </w:r>
      <w:r>
        <w:rPr>
          <w:rFonts w:hint="eastAsia" w:ascii="宋体" w:hAnsi="宋体" w:cs="宋体"/>
          <w:sz w:val="24"/>
          <w:szCs w:val="24"/>
        </w:rPr>
        <w:t>甲方向乙方支付委托业务费用及支付方式为：</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1、计划委托业务费：     元（大写：      圆整）</w:t>
      </w:r>
    </w:p>
    <w:tbl>
      <w:tblPr>
        <w:tblStyle w:val="62"/>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2154"/>
        <w:gridCol w:w="938"/>
        <w:gridCol w:w="3218"/>
        <w:gridCol w:w="1004"/>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93"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序号</w:t>
            </w:r>
          </w:p>
        </w:tc>
        <w:tc>
          <w:tcPr>
            <w:tcW w:w="2154"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食品品种</w:t>
            </w:r>
          </w:p>
        </w:tc>
        <w:tc>
          <w:tcPr>
            <w:tcW w:w="938"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任务类型</w:t>
            </w:r>
          </w:p>
        </w:tc>
        <w:tc>
          <w:tcPr>
            <w:tcW w:w="3218"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监督抽检批次数</w:t>
            </w:r>
          </w:p>
        </w:tc>
        <w:tc>
          <w:tcPr>
            <w:tcW w:w="1004"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单批次费用（元）</w:t>
            </w:r>
          </w:p>
        </w:tc>
        <w:tc>
          <w:tcPr>
            <w:tcW w:w="1673" w:type="dxa"/>
            <w:noWrap w:val="0"/>
            <w:vAlign w:val="center"/>
          </w:tcPr>
          <w:p>
            <w:pPr>
              <w:snapToGrid w:val="0"/>
              <w:jc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1</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restart"/>
            <w:noWrap w:val="0"/>
            <w:vAlign w:val="center"/>
          </w:tcPr>
          <w:p>
            <w:pPr>
              <w:snapToGrid w:val="0"/>
              <w:jc w:val="left"/>
              <w:rPr>
                <w:rFonts w:ascii="宋体" w:hAnsi="宋体" w:cs="宋体"/>
                <w:sz w:val="18"/>
                <w:szCs w:val="18"/>
              </w:rPr>
            </w:pPr>
            <w:r>
              <w:rPr>
                <w:rFonts w:hint="eastAsia" w:ascii="宋体" w:hAnsi="宋体" w:cs="宋体"/>
                <w:sz w:val="18"/>
                <w:szCs w:val="18"/>
              </w:rPr>
              <w:t>1、单批次费用含检验费、购置费、运输费、差旅费、资料费、邮电通信费等实施项目所需的一切费用。</w:t>
            </w:r>
          </w:p>
          <w:p>
            <w:pPr>
              <w:snapToGrid w:val="0"/>
              <w:jc w:val="left"/>
              <w:rPr>
                <w:rFonts w:hint="eastAsia" w:ascii="宋体" w:hAnsi="宋体" w:cs="宋体"/>
                <w:sz w:val="18"/>
                <w:szCs w:val="18"/>
              </w:rPr>
            </w:pPr>
            <w:r>
              <w:rPr>
                <w:rFonts w:hint="eastAsia" w:ascii="宋体" w:hAnsi="宋体" w:cs="宋体"/>
                <w:sz w:val="18"/>
                <w:szCs w:val="18"/>
              </w:rPr>
              <w:t>2、最终根据乙方实际检测批次数量以单批次费用结算，结算总价不高于人民币   元整(  元整)。</w:t>
            </w:r>
          </w:p>
          <w:p>
            <w:pPr>
              <w:snapToGrid w:val="0"/>
              <w:jc w:val="left"/>
              <w:rPr>
                <w:rFonts w:hint="eastAsia" w:ascii="宋体" w:hAnsi="宋体" w:eastAsia="宋体" w:cs="宋体"/>
                <w:sz w:val="18"/>
                <w:szCs w:val="18"/>
                <w:lang w:val="en-US" w:eastAsia="zh-CN"/>
              </w:rPr>
            </w:pPr>
            <w:r>
              <w:rPr>
                <w:rFonts w:hint="eastAsia" w:ascii="宋体" w:hAnsi="宋体" w:cs="宋体"/>
                <w:sz w:val="18"/>
                <w:szCs w:val="18"/>
                <w:lang w:val="en-US" w:eastAsia="zh-CN"/>
              </w:rPr>
              <w:t xml:space="preserve">3、买样费用：单批次买样费平均限价  元，买样费超出限价由承检机构自行承担，不足限价的按实结算。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2</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3</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4</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5</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抽样</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11" w:hRule="atLeas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1</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2</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3</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4</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5</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593" w:type="dxa"/>
            <w:noWrap w:val="0"/>
            <w:vAlign w:val="center"/>
          </w:tcPr>
          <w:p>
            <w:pPr>
              <w:snapToGrid w:val="0"/>
              <w:jc w:val="center"/>
              <w:rPr>
                <w:rFonts w:ascii="宋体" w:hAnsi="宋体" w:cs="宋体"/>
                <w:sz w:val="18"/>
                <w:szCs w:val="18"/>
              </w:rPr>
            </w:pPr>
            <w:r>
              <w:rPr>
                <w:rFonts w:hint="eastAsia" w:ascii="宋体" w:hAnsi="宋体" w:cs="宋体"/>
                <w:sz w:val="18"/>
                <w:szCs w:val="18"/>
              </w:rPr>
              <w:t>…</w:t>
            </w:r>
          </w:p>
        </w:tc>
        <w:tc>
          <w:tcPr>
            <w:tcW w:w="2154" w:type="dxa"/>
            <w:noWrap w:val="0"/>
            <w:vAlign w:val="center"/>
          </w:tcPr>
          <w:p>
            <w:pPr>
              <w:widowControl/>
              <w:jc w:val="left"/>
              <w:textAlignment w:val="center"/>
              <w:rPr>
                <w:rFonts w:ascii="宋体" w:hAnsi="宋体" w:cs="宋体"/>
                <w:sz w:val="18"/>
                <w:szCs w:val="18"/>
              </w:rPr>
            </w:pPr>
          </w:p>
        </w:tc>
        <w:tc>
          <w:tcPr>
            <w:tcW w:w="938" w:type="dxa"/>
            <w:noWrap w:val="0"/>
            <w:vAlign w:val="center"/>
          </w:tcPr>
          <w:p>
            <w:pPr>
              <w:widowControl/>
              <w:jc w:val="center"/>
              <w:textAlignment w:val="center"/>
              <w:rPr>
                <w:rFonts w:ascii="宋体" w:hAnsi="宋体" w:cs="宋体"/>
                <w:sz w:val="18"/>
                <w:szCs w:val="18"/>
              </w:rPr>
            </w:pPr>
            <w:r>
              <w:rPr>
                <w:rFonts w:hint="eastAsia" w:ascii="宋体" w:hAnsi="宋体" w:cs="宋体"/>
                <w:sz w:val="18"/>
                <w:szCs w:val="18"/>
              </w:rPr>
              <w:t>检测</w:t>
            </w:r>
          </w:p>
        </w:tc>
        <w:tc>
          <w:tcPr>
            <w:tcW w:w="3218" w:type="dxa"/>
            <w:noWrap w:val="0"/>
            <w:vAlign w:val="center"/>
          </w:tcPr>
          <w:p>
            <w:pPr>
              <w:snapToGrid w:val="0"/>
              <w:jc w:val="center"/>
              <w:rPr>
                <w:rFonts w:ascii="宋体" w:hAnsi="宋体" w:cs="宋体"/>
                <w:sz w:val="18"/>
                <w:szCs w:val="18"/>
              </w:rPr>
            </w:pPr>
            <w:r>
              <w:rPr>
                <w:rFonts w:hint="eastAsia" w:ascii="宋体" w:hAnsi="宋体" w:cs="宋体"/>
                <w:sz w:val="18"/>
                <w:szCs w:val="18"/>
              </w:rPr>
              <w:t>计划 批次，最终以实际委托数量为准</w:t>
            </w:r>
          </w:p>
        </w:tc>
        <w:tc>
          <w:tcPr>
            <w:tcW w:w="1004" w:type="dxa"/>
            <w:noWrap w:val="0"/>
            <w:vAlign w:val="bottom"/>
          </w:tcPr>
          <w:p>
            <w:pPr>
              <w:snapToGrid w:val="0"/>
              <w:jc w:val="center"/>
              <w:rPr>
                <w:rFonts w:ascii="宋体" w:hAnsi="宋体" w:cs="宋体"/>
                <w:sz w:val="18"/>
                <w:szCs w:val="18"/>
              </w:rPr>
            </w:pPr>
          </w:p>
        </w:tc>
        <w:tc>
          <w:tcPr>
            <w:tcW w:w="1673" w:type="dxa"/>
            <w:vMerge w:val="continue"/>
            <w:noWrap w:val="0"/>
            <w:vAlign w:val="center"/>
          </w:tcPr>
          <w:p>
            <w:pPr>
              <w:snapToGrid w:val="0"/>
              <w:jc w:val="center"/>
              <w:rPr>
                <w:rFonts w:ascii="宋体" w:hAnsi="宋体" w:cs="宋体"/>
                <w:sz w:val="18"/>
                <w:szCs w:val="18"/>
              </w:rPr>
            </w:pPr>
          </w:p>
        </w:tc>
      </w:tr>
    </w:tbl>
    <w:p>
      <w:pPr>
        <w:snapToGrid w:val="0"/>
        <w:spacing w:line="360" w:lineRule="auto"/>
        <w:ind w:firstLine="480" w:firstLineChars="200"/>
        <w:rPr>
          <w:rFonts w:ascii="宋体" w:hAnsi="宋体" w:cs="宋体"/>
          <w:sz w:val="24"/>
          <w:szCs w:val="24"/>
        </w:rPr>
      </w:pPr>
      <w:r>
        <w:rPr>
          <w:rFonts w:hint="eastAsia" w:ascii="宋体" w:hAnsi="宋体" w:cs="宋体"/>
          <w:sz w:val="24"/>
          <w:szCs w:val="24"/>
        </w:rPr>
        <w:t>2、委托业务费由甲方</w:t>
      </w:r>
      <w:r>
        <w:rPr>
          <w:rFonts w:hint="eastAsia" w:ascii="宋体" w:hAnsi="宋体" w:cs="宋体"/>
          <w:sz w:val="24"/>
          <w:szCs w:val="24"/>
          <w:u w:val="single"/>
        </w:rPr>
        <w:t>分期</w:t>
      </w:r>
      <w:r>
        <w:rPr>
          <w:rFonts w:hint="eastAsia" w:ascii="宋体" w:hAnsi="宋体" w:cs="宋体"/>
          <w:sz w:val="24"/>
          <w:szCs w:val="24"/>
        </w:rPr>
        <w:t>支付乙方</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3、其他：</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具体支付方式和时间如下：</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（1）合同签订以及具备实施条件后,甲方在收到发票7个工作日内向乙方支付50%的合同款</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月30日前，合同执行至50%以上并经采购人验收合格后，甲方在收到发票7个工作日内向乙方支付40%合同款</w:t>
      </w:r>
    </w:p>
    <w:p>
      <w:pPr>
        <w:adjustRightInd w:val="0"/>
        <w:snapToGrid w:val="0"/>
        <w:spacing w:line="360" w:lineRule="auto"/>
        <w:ind w:firstLine="480" w:firstLineChars="200"/>
        <w:rPr>
          <w:rFonts w:ascii="宋体" w:hAnsi="宋体" w:eastAsia="宋体"/>
          <w:sz w:val="24"/>
          <w:szCs w:val="24"/>
        </w:rPr>
      </w:pPr>
      <w:r>
        <w:rPr>
          <w:rFonts w:hint="eastAsia" w:ascii="宋体" w:hAnsi="宋体" w:cs="宋体"/>
          <w:sz w:val="24"/>
        </w:rPr>
        <w:t>（3）乙方完成项目实施并经采购人验收合格后，甲方在收到发票7个工作日内向乙方支付剩余合同款</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乙方账户名称、开户银行和账号为：</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账户名称： </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开户银行： </w:t>
      </w:r>
    </w:p>
    <w:p>
      <w:pPr>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 xml:space="preserve">帐    号： </w:t>
      </w:r>
    </w:p>
    <w:p>
      <w:pPr>
        <w:spacing w:line="360" w:lineRule="auto"/>
        <w:ind w:firstLine="482" w:firstLineChars="200"/>
        <w:rPr>
          <w:rFonts w:ascii="宋体" w:hAnsi="宋体" w:cs="宋体"/>
          <w:sz w:val="24"/>
          <w:szCs w:val="24"/>
        </w:rPr>
      </w:pPr>
      <w:r>
        <w:rPr>
          <w:rFonts w:hint="eastAsia" w:ascii="宋体" w:hAnsi="宋体" w:cs="宋体"/>
          <w:b/>
          <w:sz w:val="24"/>
          <w:szCs w:val="24"/>
        </w:rPr>
        <w:t>第四条：</w:t>
      </w:r>
      <w:r>
        <w:rPr>
          <w:rFonts w:hint="eastAsia" w:ascii="宋体" w:hAnsi="宋体" w:cs="宋体"/>
          <w:sz w:val="24"/>
          <w:szCs w:val="24"/>
        </w:rPr>
        <w:t>乙方必须在甲方规定的期限内完成委托业务，并保证工作质量符合甲方的质量要求。</w:t>
      </w:r>
    </w:p>
    <w:p>
      <w:pPr>
        <w:spacing w:line="360" w:lineRule="auto"/>
        <w:ind w:firstLine="480" w:firstLineChars="200"/>
        <w:rPr>
          <w:rFonts w:ascii="宋体" w:hAnsi="宋体" w:cs="宋体"/>
          <w:sz w:val="24"/>
          <w:szCs w:val="24"/>
        </w:rPr>
      </w:pPr>
      <w:r>
        <w:rPr>
          <w:rFonts w:hint="eastAsia" w:ascii="宋体" w:hAnsi="宋体" w:cs="宋体"/>
          <w:sz w:val="24"/>
          <w:szCs w:val="24"/>
        </w:rPr>
        <w:t>对抽样检测结果批次数与原计划有入出的，或乙方未在规定期限内完成任务、尚未超过10个工作日（含本数）的，甲方有权要求乙方按业务费用总额的</w:t>
      </w:r>
      <w:r>
        <w:rPr>
          <w:rFonts w:hint="eastAsia" w:ascii="宋体" w:hAnsi="宋体" w:cs="宋体"/>
          <w:sz w:val="24"/>
          <w:szCs w:val="24"/>
          <w:u w:val="single"/>
        </w:rPr>
        <w:t>5 %</w:t>
      </w:r>
      <w:r>
        <w:rPr>
          <w:rFonts w:hint="eastAsia" w:ascii="宋体" w:hAnsi="宋体" w:cs="宋体"/>
          <w:sz w:val="24"/>
          <w:szCs w:val="24"/>
        </w:rPr>
        <w:t xml:space="preserve"> 支付违约金。乙方未在规定期限内完成任务超过10个工作日以上的，甲方有权解除合同，并要求乙方按业务费用总额的</w:t>
      </w:r>
      <w:r>
        <w:rPr>
          <w:rFonts w:hint="eastAsia" w:ascii="宋体" w:hAnsi="宋体" w:cs="宋体"/>
          <w:sz w:val="24"/>
          <w:szCs w:val="24"/>
          <w:u w:val="single"/>
        </w:rPr>
        <w:t>20 %</w:t>
      </w:r>
      <w:r>
        <w:rPr>
          <w:rFonts w:hint="eastAsia" w:ascii="宋体" w:hAnsi="宋体" w:cs="宋体"/>
          <w:sz w:val="24"/>
          <w:szCs w:val="24"/>
        </w:rPr>
        <w:t xml:space="preserve"> 支付违约金。</w:t>
      </w:r>
    </w:p>
    <w:p>
      <w:pPr>
        <w:spacing w:line="360" w:lineRule="auto"/>
        <w:ind w:firstLine="480" w:firstLineChars="200"/>
        <w:rPr>
          <w:rFonts w:ascii="宋体" w:hAnsi="宋体" w:cs="宋体"/>
          <w:sz w:val="24"/>
          <w:szCs w:val="24"/>
        </w:rPr>
      </w:pPr>
      <w:r>
        <w:rPr>
          <w:rFonts w:hint="eastAsia" w:ascii="宋体" w:hAnsi="宋体" w:cs="宋体"/>
          <w:sz w:val="24"/>
          <w:szCs w:val="24"/>
        </w:rPr>
        <w:t>对发生工作质量问题的，视情况严重程度，甲方有权要求乙方按业务费用总额的</w:t>
      </w:r>
      <w:r>
        <w:rPr>
          <w:rFonts w:hint="eastAsia" w:ascii="宋体" w:hAnsi="宋体" w:cs="宋体"/>
          <w:sz w:val="24"/>
          <w:szCs w:val="24"/>
          <w:u w:val="single"/>
        </w:rPr>
        <w:t>15 %</w:t>
      </w:r>
      <w:r>
        <w:rPr>
          <w:rFonts w:hint="eastAsia" w:ascii="宋体" w:hAnsi="宋体" w:cs="宋体"/>
          <w:sz w:val="24"/>
          <w:szCs w:val="24"/>
        </w:rPr>
        <w:t xml:space="preserve"> 支付违约金。 经整改仍不能达到质量要求的，甲方有权解除合同，并要求乙方按业务费用总额的</w:t>
      </w:r>
      <w:r>
        <w:rPr>
          <w:rFonts w:hint="eastAsia" w:ascii="宋体" w:hAnsi="宋体" w:cs="宋体"/>
          <w:sz w:val="24"/>
          <w:szCs w:val="24"/>
          <w:u w:val="single"/>
        </w:rPr>
        <w:t>20 %</w:t>
      </w:r>
      <w:r>
        <w:rPr>
          <w:rFonts w:hint="eastAsia" w:ascii="宋体" w:hAnsi="宋体" w:cs="宋体"/>
          <w:sz w:val="24"/>
          <w:szCs w:val="24"/>
        </w:rPr>
        <w:t xml:space="preserve"> 支付违约金。</w:t>
      </w:r>
    </w:p>
    <w:p>
      <w:pPr>
        <w:snapToGrid w:val="0"/>
        <w:spacing w:line="360" w:lineRule="auto"/>
        <w:ind w:firstLine="482" w:firstLineChars="200"/>
        <w:rPr>
          <w:rFonts w:ascii="宋体" w:hAnsi="宋体" w:cs="宋体"/>
          <w:sz w:val="24"/>
          <w:szCs w:val="24"/>
        </w:rPr>
      </w:pPr>
      <w:r>
        <w:rPr>
          <w:rFonts w:hint="eastAsia" w:ascii="宋体" w:hAnsi="宋体" w:cs="宋体"/>
          <w:b/>
          <w:sz w:val="24"/>
          <w:szCs w:val="24"/>
        </w:rPr>
        <w:t>第五条：</w:t>
      </w:r>
      <w:r>
        <w:rPr>
          <w:rFonts w:hint="eastAsia" w:ascii="宋体" w:hAnsi="宋体" w:cs="宋体"/>
          <w:sz w:val="24"/>
          <w:szCs w:val="24"/>
        </w:rPr>
        <w:t>根据实际情况，甲方有权适当、合理调整有关委托事项，并以书面形式通知乙方。</w:t>
      </w:r>
    </w:p>
    <w:p>
      <w:pPr>
        <w:snapToGrid w:val="0"/>
        <w:spacing w:line="360" w:lineRule="auto"/>
        <w:ind w:firstLine="482" w:firstLineChars="200"/>
        <w:rPr>
          <w:rFonts w:ascii="宋体" w:hAnsi="宋体" w:cs="宋体"/>
          <w:sz w:val="24"/>
          <w:szCs w:val="24"/>
          <w:u w:val="single"/>
        </w:rPr>
      </w:pPr>
      <w:r>
        <w:rPr>
          <w:rFonts w:hint="eastAsia" w:ascii="宋体" w:hAnsi="宋体" w:cs="宋体"/>
          <w:b/>
          <w:sz w:val="24"/>
          <w:szCs w:val="24"/>
        </w:rPr>
        <w:t>第六条：</w:t>
      </w:r>
      <w:r>
        <w:rPr>
          <w:rFonts w:hint="eastAsia" w:ascii="宋体" w:hAnsi="宋体" w:cs="宋体"/>
          <w:sz w:val="24"/>
          <w:szCs w:val="24"/>
        </w:rPr>
        <w:t xml:space="preserve">双方约定本协议其他相关事项为： </w:t>
      </w:r>
      <w:r>
        <w:rPr>
          <w:rFonts w:hint="eastAsia" w:ascii="宋体" w:hAnsi="宋体" w:cs="宋体"/>
          <w:sz w:val="24"/>
          <w:szCs w:val="24"/>
          <w:u w:val="single"/>
        </w:rPr>
        <w:t>在协议执行中，遇见其他问题时，双方协商解决。如协商不成，双方同意将本合同引起的争议向杭州仲裁委员会申请仲裁。</w:t>
      </w:r>
    </w:p>
    <w:p>
      <w:pPr>
        <w:widowControl/>
        <w:spacing w:line="360" w:lineRule="auto"/>
        <w:rPr>
          <w:rFonts w:ascii="宋体" w:hAnsi="宋体" w:cs="宋体"/>
          <w:sz w:val="24"/>
          <w:szCs w:val="24"/>
        </w:rPr>
      </w:pPr>
      <w:r>
        <w:rPr>
          <w:rFonts w:hint="eastAsia" w:ascii="宋体" w:hAnsi="宋体" w:cs="宋体"/>
          <w:b/>
          <w:sz w:val="24"/>
          <w:szCs w:val="24"/>
        </w:rPr>
        <w:t xml:space="preserve">    第七条：</w:t>
      </w:r>
      <w:r>
        <w:rPr>
          <w:rFonts w:hint="eastAsia" w:ascii="宋体" w:hAnsi="宋体" w:cs="宋体"/>
          <w:sz w:val="24"/>
          <w:szCs w:val="24"/>
        </w:rPr>
        <w:t>本合同经甲方、乙方法定代表人或其委托代理人签字并加盖公章后生效。</w:t>
      </w:r>
      <w:r>
        <w:rPr>
          <w:rFonts w:hint="eastAsia" w:ascii="宋体" w:hAnsi="宋体" w:cs="宋体"/>
          <w:sz w:val="24"/>
          <w:szCs w:val="24"/>
        </w:rPr>
        <w:br w:type="textWrapping"/>
      </w:r>
      <w:r>
        <w:rPr>
          <w:rFonts w:hint="eastAsia" w:ascii="宋体" w:hAnsi="宋体" w:cs="宋体"/>
          <w:b/>
          <w:sz w:val="24"/>
          <w:szCs w:val="24"/>
        </w:rPr>
        <w:t xml:space="preserve">    第八条：</w:t>
      </w:r>
      <w:r>
        <w:rPr>
          <w:rFonts w:hint="eastAsia" w:ascii="宋体" w:hAnsi="宋体" w:cs="宋体"/>
          <w:sz w:val="24"/>
          <w:szCs w:val="24"/>
        </w:rPr>
        <w:t>本合同正本一式四份，甲、乙双方各执二份。</w:t>
      </w:r>
      <w:r>
        <w:rPr>
          <w:rFonts w:hint="eastAsia" w:ascii="宋体" w:hAnsi="宋体" w:cs="宋体"/>
          <w:sz w:val="24"/>
          <w:szCs w:val="24"/>
        </w:rPr>
        <w:br w:type="textWrapping"/>
      </w:r>
      <w:r>
        <w:rPr>
          <w:rFonts w:hint="eastAsia" w:ascii="宋体" w:hAnsi="宋体" w:cs="宋体"/>
          <w:b/>
          <w:sz w:val="24"/>
          <w:szCs w:val="24"/>
        </w:rPr>
        <w:t xml:space="preserve">    第九条：</w:t>
      </w:r>
      <w:r>
        <w:rPr>
          <w:rFonts w:hint="eastAsia" w:ascii="宋体" w:hAnsi="宋体" w:cs="宋体"/>
          <w:kern w:val="0"/>
          <w:sz w:val="24"/>
        </w:rPr>
        <w:t>招标文件（招标编号：       ）、投标文件及评标过程中形成的文字资料、询标纪要均作为本合同附件。</w:t>
      </w:r>
    </w:p>
    <w:p>
      <w:pPr>
        <w:snapToGrid w:val="0"/>
        <w:spacing w:line="360" w:lineRule="auto"/>
        <w:ind w:left="-260"/>
        <w:rPr>
          <w:rFonts w:ascii="宋体" w:hAnsi="宋体" w:cs="宋体"/>
          <w:sz w:val="24"/>
          <w:szCs w:val="24"/>
        </w:rPr>
      </w:pPr>
    </w:p>
    <w:p>
      <w:pPr>
        <w:widowControl/>
        <w:spacing w:line="360" w:lineRule="auto"/>
        <w:ind w:firstLine="141" w:firstLineChars="59"/>
        <w:jc w:val="left"/>
        <w:rPr>
          <w:rFonts w:ascii="宋体" w:hAnsi="宋体" w:cs="宋体"/>
          <w:sz w:val="24"/>
          <w:szCs w:val="24"/>
        </w:rPr>
      </w:pPr>
    </w:p>
    <w:p>
      <w:pPr>
        <w:snapToGrid w:val="0"/>
        <w:spacing w:line="360" w:lineRule="auto"/>
        <w:rPr>
          <w:rFonts w:ascii="宋体" w:hAnsi="宋体" w:cs="宋体"/>
          <w:sz w:val="24"/>
          <w:szCs w:val="24"/>
        </w:rPr>
      </w:pPr>
      <w:r>
        <w:rPr>
          <w:rFonts w:hint="eastAsia" w:ascii="宋体" w:hAnsi="宋体" w:cs="宋体"/>
          <w:sz w:val="24"/>
          <w:szCs w:val="24"/>
        </w:rPr>
        <w:t>甲方（盖章）：杭州市市场监督管理局   乙方（盖章）：</w:t>
      </w:r>
    </w:p>
    <w:p>
      <w:pPr>
        <w:snapToGrid w:val="0"/>
        <w:spacing w:line="360" w:lineRule="auto"/>
        <w:rPr>
          <w:rFonts w:ascii="宋体" w:hAnsi="宋体" w:cs="宋体"/>
          <w:sz w:val="24"/>
          <w:szCs w:val="24"/>
        </w:rPr>
      </w:pPr>
      <w:r>
        <w:rPr>
          <w:rFonts w:hint="eastAsia" w:ascii="宋体" w:hAnsi="宋体" w:cs="宋体"/>
          <w:sz w:val="24"/>
          <w:szCs w:val="24"/>
        </w:rPr>
        <w:t xml:space="preserve">法定代表人                           法定代表人                   </w:t>
      </w:r>
    </w:p>
    <w:p>
      <w:pPr>
        <w:snapToGrid w:val="0"/>
        <w:spacing w:line="360" w:lineRule="auto"/>
        <w:rPr>
          <w:rFonts w:ascii="宋体" w:hAnsi="宋体" w:cs="宋体"/>
          <w:sz w:val="24"/>
          <w:szCs w:val="24"/>
        </w:rPr>
      </w:pPr>
      <w:r>
        <w:rPr>
          <w:rFonts w:hint="eastAsia" w:ascii="宋体" w:hAnsi="宋体" w:cs="宋体"/>
          <w:sz w:val="24"/>
          <w:szCs w:val="24"/>
        </w:rPr>
        <w:t xml:space="preserve">或受委托人（签字）：                 或受委托人（签字）：                  </w:t>
      </w:r>
    </w:p>
    <w:p>
      <w:pPr>
        <w:snapToGrid w:val="0"/>
        <w:spacing w:line="360" w:lineRule="auto"/>
        <w:rPr>
          <w:rFonts w:ascii="宋体" w:hAnsi="宋体" w:cs="宋体"/>
          <w:sz w:val="24"/>
          <w:szCs w:val="24"/>
        </w:rPr>
      </w:pPr>
      <w:r>
        <w:rPr>
          <w:rFonts w:hint="eastAsia" w:ascii="宋体" w:hAnsi="宋体" w:cs="宋体"/>
          <w:sz w:val="24"/>
          <w:szCs w:val="24"/>
        </w:rPr>
        <w:t xml:space="preserve">联系人：                             联系人： </w:t>
      </w:r>
    </w:p>
    <w:p>
      <w:pPr>
        <w:snapToGrid w:val="0"/>
        <w:spacing w:line="360" w:lineRule="auto"/>
        <w:rPr>
          <w:rFonts w:ascii="宋体" w:hAnsi="宋体" w:cs="宋体"/>
          <w:sz w:val="24"/>
          <w:szCs w:val="24"/>
        </w:rPr>
      </w:pPr>
      <w:r>
        <w:rPr>
          <w:rFonts w:hint="eastAsia" w:ascii="宋体" w:hAnsi="宋体" w:cs="宋体"/>
          <w:sz w:val="24"/>
          <w:szCs w:val="24"/>
        </w:rPr>
        <w:t xml:space="preserve">地址：杭州市凤起东路109号           地址： </w:t>
      </w:r>
    </w:p>
    <w:p>
      <w:pPr>
        <w:snapToGrid w:val="0"/>
        <w:spacing w:line="360" w:lineRule="auto"/>
        <w:rPr>
          <w:rFonts w:ascii="宋体" w:hAnsi="宋体" w:cs="宋体"/>
          <w:sz w:val="24"/>
          <w:szCs w:val="24"/>
        </w:rPr>
      </w:pPr>
      <w:r>
        <w:rPr>
          <w:rFonts w:hint="eastAsia" w:ascii="宋体" w:hAnsi="宋体" w:cs="宋体"/>
          <w:sz w:val="24"/>
          <w:szCs w:val="24"/>
        </w:rPr>
        <w:t xml:space="preserve">电话：                               电话： </w:t>
      </w:r>
    </w:p>
    <w:p>
      <w:pPr>
        <w:snapToGrid w:val="0"/>
        <w:spacing w:line="360" w:lineRule="auto"/>
        <w:rPr>
          <w:rFonts w:ascii="宋体" w:hAnsi="宋体" w:cs="宋体"/>
          <w:sz w:val="24"/>
          <w:szCs w:val="24"/>
        </w:rPr>
      </w:pPr>
      <w:r>
        <w:rPr>
          <w:rFonts w:hint="eastAsia" w:ascii="宋体" w:hAnsi="宋体" w:cs="宋体"/>
          <w:sz w:val="24"/>
          <w:szCs w:val="24"/>
        </w:rPr>
        <w:t xml:space="preserve">传真：                               传真： </w:t>
      </w:r>
    </w:p>
    <w:p>
      <w:pPr>
        <w:spacing w:line="360" w:lineRule="auto"/>
        <w:rPr>
          <w:rFonts w:ascii="宋体" w:hAnsi="宋体" w:cs="宋体"/>
          <w:sz w:val="24"/>
          <w:szCs w:val="24"/>
        </w:rPr>
      </w:pPr>
    </w:p>
    <w:p>
      <w:pPr>
        <w:spacing w:line="360" w:lineRule="auto"/>
        <w:ind w:firstLine="5640" w:firstLineChars="2350"/>
        <w:rPr>
          <w:rFonts w:ascii="宋体" w:hAnsi="宋体" w:cs="宋体"/>
          <w:sz w:val="24"/>
          <w:szCs w:val="24"/>
        </w:rPr>
      </w:pPr>
      <w:r>
        <w:rPr>
          <w:rFonts w:hint="eastAsia" w:ascii="宋体" w:hAnsi="宋体" w:cs="宋体"/>
          <w:sz w:val="24"/>
          <w:szCs w:val="24"/>
        </w:rPr>
        <w:t>签 约 地：杭州市</w:t>
      </w:r>
    </w:p>
    <w:p>
      <w:pPr>
        <w:adjustRightInd/>
        <w:rPr>
          <w:rFonts w:hint="eastAsia" w:ascii="宋体" w:hAnsi="宋体" w:eastAsia="宋体" w:cs="宋体"/>
          <w:color w:val="auto"/>
          <w:highlight w:val="none"/>
        </w:rPr>
      </w:pPr>
      <w:r>
        <w:rPr>
          <w:rFonts w:hint="eastAsia" w:ascii="宋体" w:hAnsi="宋体" w:cs="宋体"/>
          <w:sz w:val="24"/>
          <w:szCs w:val="24"/>
        </w:rPr>
        <w:t xml:space="preserve">                                           签约日期：    年   月  日</w:t>
      </w:r>
    </w:p>
    <w:p>
      <w:pPr>
        <w:kinsoku/>
        <w:wordWrap/>
        <w:overflowPunct/>
        <w:topLinePunct w:val="0"/>
        <w:bidi w:val="0"/>
        <w:snapToGrid w:val="0"/>
        <w:spacing w:beforeAutospacing="0" w:afterAutospacing="0" w:line="360" w:lineRule="auto"/>
        <w:ind w:left="-420" w:leftChars="-200" w:right="-420" w:rightChars="-200" w:firstLine="480" w:firstLineChars="200"/>
        <w:jc w:val="center"/>
        <w:textAlignment w:val="auto"/>
        <w:outlineLvl w:val="0"/>
        <w:rPr>
          <w:rFonts w:hint="eastAsia" w:ascii="仿宋" w:hAnsi="仿宋" w:eastAsia="仿宋" w:cs="仿宋"/>
          <w:color w:val="auto"/>
          <w:sz w:val="24"/>
          <w:highlight w:val="none"/>
        </w:rPr>
        <w:sectPr>
          <w:headerReference r:id="rId9" w:type="first"/>
          <w:footerReference r:id="rId11" w:type="first"/>
          <w:headerReference r:id="rId8" w:type="default"/>
          <w:footerReference r:id="rId10"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firstLine="0" w:firstLineChars="0"/>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2"/>
      <w:r>
        <w:rPr>
          <w:rFonts w:hint="eastAsia" w:ascii="宋体" w:hAnsi="宋体" w:eastAsia="宋体" w:cs="宋体"/>
          <w:b/>
          <w:color w:val="auto"/>
          <w:sz w:val="36"/>
          <w:szCs w:val="20"/>
          <w:highlight w:val="none"/>
        </w:rPr>
        <w:t xml:space="preserve"> </w:t>
      </w:r>
      <w:bookmarkEnd w:id="393"/>
      <w:r>
        <w:rPr>
          <w:rFonts w:hint="eastAsia" w:ascii="宋体" w:hAnsi="宋体" w:eastAsia="宋体" w:cs="宋体"/>
          <w:b/>
          <w:color w:val="auto"/>
          <w:sz w:val="36"/>
          <w:szCs w:val="20"/>
          <w:highlight w:val="none"/>
        </w:rPr>
        <w:t>应提交的有关格式范例</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（2）落实政府采购政策需满足的资格要求………………………………（页码）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（3）本项目的特定资格要求………………………………………………（页码）</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一、符合参加政府采购活动应当具备的一般条件的承诺函</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】政府采购活动，郑重承诺：</w:t>
      </w:r>
    </w:p>
    <w:p>
      <w:pPr>
        <w:kinsoku/>
        <w:wordWrap/>
        <w:overflowPunct/>
        <w:topLinePunct w:val="0"/>
        <w:bidi w:val="0"/>
        <w:snapToGrid w:val="0"/>
        <w:spacing w:beforeAutospacing="0" w:afterAutospacing="0" w:line="360" w:lineRule="auto"/>
        <w:ind w:firstLine="360" w:firstLineChars="1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pPr>
        <w:kinsoku/>
        <w:wordWrap/>
        <w:overflowPunct/>
        <w:topLinePunct w:val="0"/>
        <w:bidi w:val="0"/>
        <w:snapToGrid w:val="0"/>
        <w:spacing w:beforeAutospacing="0" w:afterAutospacing="0" w:line="360" w:lineRule="auto"/>
        <w:ind w:firstLine="5520" w:firstLineChars="23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二、落实政府采购政策需满足的资格要求</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pPr>
        <w:kinsoku/>
        <w:wordWrap/>
        <w:overflowPunct/>
        <w:topLinePunct w:val="0"/>
        <w:bidi w:val="0"/>
        <w:snapToGrid w:val="0"/>
        <w:spacing w:beforeAutospacing="0" w:afterAutospacing="0" w:line="360" w:lineRule="auto"/>
        <w:ind w:firstLine="472" w:firstLineChars="196"/>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.专门面向中小企业，货物全部由符合政策要求的中小企业（或小微企业）制造或者服务全部由符合政策要求的中小企业（或小微企业）承接的，提供相应的中小企业声明函（附件5）。 </w:t>
      </w:r>
    </w:p>
    <w:p>
      <w:pPr>
        <w:widowControl/>
        <w:kinsoku/>
        <w:wordWrap/>
        <w:overflowPunct/>
        <w:topLinePunct w:val="0"/>
        <w:bidi w:val="0"/>
        <w:snapToGrid w:val="0"/>
        <w:spacing w:beforeAutospacing="0" w:afterAutospacing="0" w:line="360" w:lineRule="auto"/>
        <w:ind w:firstLine="480"/>
        <w:jc w:val="left"/>
        <w:textAlignment w:val="auto"/>
        <w:rPr>
          <w:rFonts w:hint="eastAsia" w:ascii="宋体" w:hAnsi="宋体" w:eastAsia="宋体" w:cs="宋体"/>
          <w:color w:val="auto"/>
          <w:sz w:val="24"/>
          <w:highlight w:val="none"/>
        </w:rPr>
      </w:pPr>
    </w:p>
    <w:p>
      <w:pPr>
        <w:widowControl/>
        <w:kinsoku/>
        <w:wordWrap/>
        <w:overflowPunct/>
        <w:topLinePunct w:val="0"/>
        <w:bidi w:val="0"/>
        <w:snapToGrid w:val="0"/>
        <w:spacing w:beforeAutospacing="0" w:afterAutospacing="0" w:line="360" w:lineRule="auto"/>
        <w:ind w:firstLine="472" w:firstLineChars="196"/>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联合协议</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r>
        <w:rPr>
          <w:rFonts w:hint="eastAsia" w:ascii="宋体" w:hAnsi="宋体" w:eastAsia="宋体" w:cs="宋体"/>
          <w:color w:val="auto"/>
          <w:kern w:val="0"/>
          <w:sz w:val="24"/>
          <w:highlight w:val="none"/>
          <w:u w:val="single"/>
        </w:rPr>
        <w:t>（联合体其中一方成员名称）</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（联合体其中一方成员名称）</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w:t>
      </w: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3、本协议提交采购人、采购机构后，联合体各方不得以任何形式对上述内容进行修改或撤销。</w:t>
      </w:r>
    </w:p>
    <w:p>
      <w:pPr>
        <w:kinsoku/>
        <w:wordWrap/>
        <w:overflowPunct/>
        <w:topLinePunct w:val="0"/>
        <w:bidi w:val="0"/>
        <w:snapToGrid w:val="0"/>
        <w:spacing w:beforeAutospacing="0" w:afterAutospacing="0" w:line="360" w:lineRule="auto"/>
        <w:ind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kinsoku/>
        <w:wordWrap/>
        <w:overflowPunct/>
        <w:topLinePunct w:val="0"/>
        <w:bidi w:val="0"/>
        <w:snapToGrid w:val="0"/>
        <w:spacing w:beforeAutospacing="0" w:afterAutospacing="0" w:line="360" w:lineRule="auto"/>
        <w:ind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kinsoku/>
        <w:wordWrap/>
        <w:overflowPunct/>
        <w:topLinePunct w:val="0"/>
        <w:bidi w:val="0"/>
        <w:snapToGrid w:val="0"/>
        <w:spacing w:beforeAutospacing="0" w:afterAutospacing="0" w:line="360" w:lineRule="auto"/>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分包意向协议</w:t>
      </w:r>
    </w:p>
    <w:p>
      <w:pPr>
        <w:widowControl/>
        <w:kinsoku/>
        <w:wordWrap/>
        <w:overflowPunct/>
        <w:topLinePunct w:val="0"/>
        <w:bidi w:val="0"/>
        <w:snapToGrid w:val="0"/>
        <w:spacing w:beforeAutospacing="0" w:afterAutospacing="0" w:line="360" w:lineRule="auto"/>
        <w:ind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（某分包供应商名称）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（某分包供应商名称），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pPr>
        <w:pStyle w:val="2"/>
        <w:kinsoku/>
        <w:wordWrap/>
        <w:overflowPunct/>
        <w:topLinePunct w:val="0"/>
        <w:bidi w:val="0"/>
        <w:snapToGrid w:val="0"/>
        <w:spacing w:beforeAutospacing="0" w:afterAutospacing="0" w:line="360" w:lineRule="auto"/>
        <w:ind w:left="664" w:leftChars="316" w:firstLine="229" w:firstLineChars="95"/>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二、分包工作履行期限、地点、方式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三、质量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四、价款或者报酬</w:t>
      </w:r>
    </w:p>
    <w:p>
      <w:pPr>
        <w:kinsoku/>
        <w:wordWrap/>
        <w:overflowPunct/>
        <w:topLinePunct w:val="0"/>
        <w:bidi w:val="0"/>
        <w:snapToGrid w:val="0"/>
        <w:spacing w:beforeAutospacing="0" w:afterAutospacing="0"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五、违约责任</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六、争议解决的办法</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七、其他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pPr>
        <w:kinsoku/>
        <w:wordWrap/>
        <w:overflowPunct/>
        <w:topLinePunct w:val="0"/>
        <w:bidi w:val="0"/>
        <w:snapToGrid w:val="0"/>
        <w:spacing w:beforeAutospacing="0" w:afterAutospacing="0" w:line="360" w:lineRule="auto"/>
        <w:ind w:firstLine="5640" w:firstLineChars="235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w:t>
      </w:r>
    </w:p>
    <w:p>
      <w:pPr>
        <w:kinsoku/>
        <w:wordWrap/>
        <w:overflowPunct/>
        <w:topLinePunct w:val="0"/>
        <w:bidi w:val="0"/>
        <w:snapToGrid w:val="0"/>
        <w:spacing w:beforeAutospacing="0" w:afterAutospacing="0" w:line="360" w:lineRule="auto"/>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widowControl/>
        <w:kinsoku/>
        <w:wordWrap/>
        <w:overflowPunct/>
        <w:topLinePunct w:val="0"/>
        <w:bidi w:val="0"/>
        <w:snapToGrid w:val="0"/>
        <w:spacing w:beforeAutospacing="0" w:afterAutospacing="0" w:line="360" w:lineRule="auto"/>
        <w:ind w:left="150"/>
        <w:jc w:val="center"/>
        <w:textAlignment w:val="auto"/>
        <w:rPr>
          <w:rFonts w:hint="eastAsia" w:ascii="宋体" w:hAnsi="宋体" w:eastAsia="宋体" w:cs="宋体"/>
          <w:b/>
          <w:color w:val="auto"/>
          <w:kern w:val="0"/>
          <w:sz w:val="32"/>
          <w:szCs w:val="32"/>
          <w:highlight w:val="none"/>
        </w:rPr>
      </w:pPr>
    </w:p>
    <w:p>
      <w:pPr>
        <w:widowControl/>
        <w:kinsoku/>
        <w:wordWrap/>
        <w:overflowPunct/>
        <w:topLinePunct w:val="0"/>
        <w:bidi w:val="0"/>
        <w:snapToGrid w:val="0"/>
        <w:spacing w:beforeAutospacing="0" w:afterAutospacing="0" w:line="360" w:lineRule="auto"/>
        <w:ind w:left="15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三、本项目的特定资格要求</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p>
    <w:p>
      <w:pPr>
        <w:kinsoku/>
        <w:wordWrap/>
        <w:overflowPunct/>
        <w:topLinePunct w:val="0"/>
        <w:bidi w:val="0"/>
        <w:snapToGrid w:val="0"/>
        <w:spacing w:beforeAutospacing="0" w:afterAutospacing="0" w:line="360" w:lineRule="auto"/>
        <w:ind w:right="420" w:firstLine="3614" w:firstLineChars="1000"/>
        <w:textAlignment w:val="auto"/>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24"/>
          <w:highlight w:val="none"/>
        </w:r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（1）投标函…………………………………………………………………………………（页码）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（2）授权委托书或法定代表人（单位负责人、自然人本人）身份证明………（页码）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（3）联合协议………………………………………………………………………………（页码）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（4）分包意向协议…………………………………………………………………………（页码）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（5）符合性审查资料………………………………………………………………………（页码）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（6）评标标准相应的商务技术资料……………………………………………………（页码）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（7）商务技术偏离表………………………………………………………………………（页码）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sz w:val="24"/>
          <w:highlight w:val="none"/>
        </w:rPr>
        <w:t>…………………………………………………（页码）</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】招标的有关活动，并对此项目进行投标。为此：</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2.1.2落实政府采购政策需满足的资格要求（如果有）；</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2.1.3本项目的特定资格要求（如果有）。</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2.2.3联合协议（如果有）；</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2.2.4分包意向协议（如果有）；</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2.2.5符合性审查资料；</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2.2.6评标标准相应的商务技术资料；</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pPr>
        <w:kinsoku/>
        <w:wordWrap/>
        <w:overflowPunct/>
        <w:topLinePunct w:val="0"/>
        <w:bidi w:val="0"/>
        <w:snapToGrid w:val="0"/>
        <w:spacing w:beforeAutospacing="0" w:afterAutospacing="0" w:line="360" w:lineRule="auto"/>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pPr>
        <w:kinsoku/>
        <w:wordWrap/>
        <w:overflowPunct/>
        <w:topLinePunct w:val="0"/>
        <w:bidi w:val="0"/>
        <w:snapToGrid w:val="0"/>
        <w:spacing w:beforeAutospacing="0" w:afterAutospacing="0" w:line="360" w:lineRule="auto"/>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3600" w:firstLineChars="15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kinsoku/>
        <w:wordWrap/>
        <w:overflowPunct/>
        <w:topLinePunct w:val="0"/>
        <w:bidi w:val="0"/>
        <w:snapToGrid w:val="0"/>
        <w:spacing w:beforeAutospacing="0" w:afterAutospacing="0" w:line="360" w:lineRule="auto"/>
        <w:ind w:left="420" w:leftChars="200" w:firstLine="4200" w:firstLineChars="1750"/>
        <w:textAlignment w:val="auto"/>
        <w:rPr>
          <w:rFonts w:hint="eastAsia" w:ascii="宋体" w:hAnsi="宋体" w:eastAsia="宋体" w:cs="宋体"/>
          <w:color w:val="auto"/>
          <w:kern w:val="0"/>
          <w:sz w:val="24"/>
          <w:highlight w:val="none"/>
          <w:u w:val="singl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lang w:val="zh-CN"/>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授权委托书（适用于联合体投标）</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kinsoku/>
        <w:wordWrap/>
        <w:overflowPunct/>
        <w:topLinePunct w:val="0"/>
        <w:bidi w:val="0"/>
        <w:snapToGrid w:val="0"/>
        <w:spacing w:beforeAutospacing="0" w:afterAutospacing="0" w:line="360" w:lineRule="auto"/>
        <w:ind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kinsoku/>
        <w:wordWrap/>
        <w:overflowPunct/>
        <w:topLinePunct w:val="0"/>
        <w:bidi w:val="0"/>
        <w:snapToGrid w:val="0"/>
        <w:spacing w:beforeAutospacing="0" w:afterAutospacing="0" w:line="360" w:lineRule="auto"/>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color w:val="auto"/>
          <w:kern w:val="0"/>
          <w:sz w:val="24"/>
          <w:highlight w:val="none"/>
          <w:lang w:val="zh-CN"/>
        </w:rPr>
        <w:t xml:space="preserve">                                               日期：  年  月   日</w:t>
      </w: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pPr>
        <w:pStyle w:val="174"/>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5000" w:type="pct"/>
            <w:noWrap w:val="0"/>
            <w:vAlign w:val="top"/>
          </w:tcPr>
          <w:p>
            <w:pPr>
              <w:pStyle w:val="174"/>
              <w:kinsoku/>
              <w:wordWrap/>
              <w:overflowPunct/>
              <w:topLinePunct w:val="0"/>
              <w:bidi w:val="0"/>
              <w:adjustRightInd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174"/>
              <w:kinsoku/>
              <w:wordWrap/>
              <w:overflowPunct/>
              <w:topLinePunct w:val="0"/>
              <w:bidi w:val="0"/>
              <w:adjustRightInd w:val="0"/>
              <w:snapToGrid w:val="0"/>
              <w:spacing w:beforeAutospacing="0" w:afterAutospacing="0" w:line="360" w:lineRule="auto"/>
              <w:textAlignment w:val="auto"/>
              <w:rPr>
                <w:rFonts w:hint="eastAsia" w:ascii="宋体" w:hAnsi="宋体" w:eastAsia="宋体" w:cs="宋体"/>
                <w:bCs/>
                <w:color w:val="auto"/>
                <w:sz w:val="24"/>
                <w:highlight w:val="none"/>
              </w:rPr>
            </w:pPr>
          </w:p>
        </w:tc>
      </w:tr>
    </w:tbl>
    <w:p>
      <w:pPr>
        <w:kinsoku/>
        <w:wordWrap/>
        <w:overflowPunct/>
        <w:topLinePunct w:val="0"/>
        <w:bidi w:val="0"/>
        <w:snapToGrid w:val="0"/>
        <w:spacing w:beforeAutospacing="0" w:afterAutospacing="0" w:line="360" w:lineRule="auto"/>
        <w:ind w:firstLine="576"/>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kinsoku/>
        <w:wordWrap/>
        <w:overflowPunct/>
        <w:topLinePunct w:val="0"/>
        <w:bidi w:val="0"/>
        <w:snapToGrid w:val="0"/>
        <w:spacing w:beforeAutospacing="0" w:afterAutospacing="0" w:line="360" w:lineRule="auto"/>
        <w:ind w:firstLine="576"/>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rPr>
        <w:t>三、</w:t>
      </w:r>
      <w:r>
        <w:rPr>
          <w:rFonts w:hint="eastAsia" w:ascii="宋体" w:hAnsi="宋体" w:eastAsia="宋体" w:cs="宋体"/>
          <w:b/>
          <w:color w:val="auto"/>
          <w:kern w:val="0"/>
          <w:sz w:val="32"/>
          <w:szCs w:val="32"/>
          <w:highlight w:val="none"/>
          <w:lang w:val="zh-CN"/>
        </w:rPr>
        <w:t>联合协议</w:t>
      </w:r>
    </w:p>
    <w:p>
      <w:pPr>
        <w:widowControl/>
        <w:kinsoku/>
        <w:wordWrap/>
        <w:overflowPunct/>
        <w:topLinePunct w:val="0"/>
        <w:bidi w:val="0"/>
        <w:snapToGrid w:val="0"/>
        <w:spacing w:beforeAutospacing="0" w:afterAutospacing="0" w:line="360" w:lineRule="auto"/>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r>
        <w:rPr>
          <w:rFonts w:hint="eastAsia" w:ascii="宋体" w:hAnsi="宋体" w:eastAsia="宋体" w:cs="宋体"/>
          <w:color w:val="auto"/>
          <w:kern w:val="0"/>
          <w:sz w:val="24"/>
          <w:highlight w:val="none"/>
          <w:u w:val="single"/>
        </w:rPr>
        <w:t>（联合体其中一方成员名称）</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四、</w:t>
      </w:r>
      <w:r>
        <w:rPr>
          <w:rFonts w:hint="eastAsia" w:ascii="宋体" w:hAnsi="宋体" w:eastAsia="宋体" w:cs="宋体"/>
          <w:color w:val="auto"/>
          <w:kern w:val="0"/>
          <w:sz w:val="24"/>
          <w:highlight w:val="none"/>
          <w:u w:val="single"/>
        </w:rPr>
        <w:t>（联合体其中一方成员名称）</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宋体" w:hAnsi="宋体" w:cs="宋体"/>
          <w:b/>
          <w:color w:val="auto"/>
          <w:kern w:val="0"/>
          <w:sz w:val="24"/>
          <w:highlight w:val="none"/>
          <w:lang w:val="zh-CN"/>
        </w:rPr>
        <w:t>4%</w:t>
      </w:r>
      <w:r>
        <w:rPr>
          <w:rFonts w:hint="eastAsia" w:ascii="宋体" w:hAnsi="宋体" w:eastAsia="宋体" w:cs="宋体"/>
          <w:b/>
          <w:color w:val="auto"/>
          <w:kern w:val="0"/>
          <w:sz w:val="24"/>
          <w:highlight w:val="none"/>
          <w:lang w:val="zh-CN"/>
        </w:rPr>
        <w:t>的扣除）</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3、本协议提交采购人、采购机构后，联合体各方不得以任何形式对上述内容进行修改或撤销。</w:t>
      </w:r>
    </w:p>
    <w:p>
      <w:pPr>
        <w:kinsoku/>
        <w:wordWrap/>
        <w:overflowPunct/>
        <w:topLinePunct w:val="0"/>
        <w:bidi w:val="0"/>
        <w:snapToGrid w:val="0"/>
        <w:spacing w:beforeAutospacing="0" w:afterAutospacing="0" w:line="360" w:lineRule="auto"/>
        <w:ind w:firstLine="5040" w:firstLine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pPr>
        <w:kinsoku/>
        <w:wordWrap/>
        <w:overflowPunct/>
        <w:topLinePunct w:val="0"/>
        <w:bidi w:val="0"/>
        <w:snapToGrid w:val="0"/>
        <w:spacing w:beforeAutospacing="0" w:afterAutospacing="0" w:line="360" w:lineRule="auto"/>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kinsoku/>
        <w:wordWrap/>
        <w:overflowPunct/>
        <w:topLinePunct w:val="0"/>
        <w:bidi w:val="0"/>
        <w:snapToGrid w:val="0"/>
        <w:spacing w:beforeAutospacing="0" w:afterAutospacing="0" w:line="360" w:lineRule="auto"/>
        <w:ind w:right="480"/>
        <w:textAlignment w:val="auto"/>
        <w:rPr>
          <w:rFonts w:hint="eastAsia" w:ascii="宋体" w:hAnsi="宋体" w:eastAsia="宋体" w:cs="宋体"/>
          <w:b/>
          <w:color w:val="auto"/>
          <w:kern w:val="0"/>
          <w:sz w:val="32"/>
          <w:szCs w:val="32"/>
          <w:highlight w:val="none"/>
          <w:lang w:val="zh-CN"/>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ind w:firstLine="3534" w:firstLineChars="1100"/>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四、分包意向协议</w:t>
      </w:r>
    </w:p>
    <w:p>
      <w:pPr>
        <w:widowControl/>
        <w:kinsoku/>
        <w:wordWrap/>
        <w:overflowPunct/>
        <w:topLinePunct w:val="0"/>
        <w:bidi w:val="0"/>
        <w:snapToGrid w:val="0"/>
        <w:spacing w:beforeAutospacing="0" w:afterAutospacing="0" w:line="360" w:lineRule="auto"/>
        <w:ind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（某分包供应商名称）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（某分包供应商名称），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pPr>
        <w:pStyle w:val="2"/>
        <w:kinsoku/>
        <w:wordWrap/>
        <w:overflowPunct/>
        <w:topLinePunct w:val="0"/>
        <w:bidi w:val="0"/>
        <w:snapToGrid w:val="0"/>
        <w:spacing w:beforeAutospacing="0" w:afterAutospacing="0" w:line="360" w:lineRule="auto"/>
        <w:ind w:left="664" w:leftChars="316" w:firstLine="229" w:firstLineChars="95"/>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rPr>
        <w:t>……</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二、分包工作履行期限、地点、方式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三、质量</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四、价款或者报酬</w:t>
      </w:r>
    </w:p>
    <w:p>
      <w:pPr>
        <w:kinsoku/>
        <w:wordWrap/>
        <w:overflowPunct/>
        <w:topLinePunct w:val="0"/>
        <w:bidi w:val="0"/>
        <w:snapToGrid w:val="0"/>
        <w:spacing w:beforeAutospacing="0" w:afterAutospacing="0"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五、违约责任</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六、争议解决的办法</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七、其他</w:t>
      </w:r>
    </w:p>
    <w:p>
      <w:pPr>
        <w:kinsoku/>
        <w:wordWrap/>
        <w:overflowPunct/>
        <w:topLinePunct w:val="0"/>
        <w:bidi w:val="0"/>
        <w:snapToGrid w:val="0"/>
        <w:spacing w:beforeAutospacing="0" w:afterAutospacing="0" w:line="360" w:lineRule="auto"/>
        <w:ind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u w:val="single"/>
        </w:rPr>
        <w:t>（分包供应商名称）提供的货物全部由小微企业制造，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宋体" w:hAnsi="宋体" w:cs="宋体"/>
          <w:b/>
          <w:color w:val="auto"/>
          <w:kern w:val="0"/>
          <w:sz w:val="24"/>
          <w:highlight w:val="none"/>
          <w:lang w:val="zh-CN"/>
        </w:rPr>
        <w:t>4%</w:t>
      </w:r>
      <w:r>
        <w:rPr>
          <w:rFonts w:hint="eastAsia" w:ascii="宋体" w:hAnsi="宋体" w:eastAsia="宋体" w:cs="宋体"/>
          <w:b/>
          <w:color w:val="auto"/>
          <w:kern w:val="0"/>
          <w:sz w:val="24"/>
          <w:highlight w:val="none"/>
          <w:lang w:val="zh-CN"/>
        </w:rPr>
        <w:t>的扣除）</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pPr>
        <w:kinsoku/>
        <w:wordWrap/>
        <w:overflowPunct/>
        <w:topLinePunct w:val="0"/>
        <w:bidi w:val="0"/>
        <w:snapToGrid w:val="0"/>
        <w:spacing w:beforeAutospacing="0" w:afterAutospacing="0" w:line="360" w:lineRule="auto"/>
        <w:ind w:firstLine="5640" w:firstLineChars="235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w:t>
      </w:r>
    </w:p>
    <w:p>
      <w:pPr>
        <w:kinsoku/>
        <w:wordWrap/>
        <w:overflowPunct/>
        <w:topLinePunct w:val="0"/>
        <w:bidi w:val="0"/>
        <w:snapToGrid w:val="0"/>
        <w:spacing w:beforeAutospacing="0" w:afterAutospacing="0" w:line="360" w:lineRule="auto"/>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五、符合性审查资料</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5176"/>
        <w:gridCol w:w="2644"/>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35"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59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实质性要求</w:t>
            </w:r>
          </w:p>
        </w:tc>
        <w:tc>
          <w:tcPr>
            <w:tcW w:w="1327"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需要提供的符合性审查资料</w:t>
            </w:r>
          </w:p>
        </w:tc>
        <w:tc>
          <w:tcPr>
            <w:tcW w:w="73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35"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59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投标文件按照招标文件要求签署、盖章。</w:t>
            </w:r>
          </w:p>
        </w:tc>
        <w:tc>
          <w:tcPr>
            <w:tcW w:w="1327"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需要使用电子签名或者签字盖章的投标文件的组成部分</w:t>
            </w:r>
          </w:p>
        </w:tc>
        <w:tc>
          <w:tcPr>
            <w:tcW w:w="73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w:t>
            </w:r>
          </w:p>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35"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59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采购人拟采购的产品属于政府强制采购的节能产品品目清单范围的，投标人按招标文件要求提供国家确定的认证机构出具的、处于有效期之内的节能产品认证证书。</w:t>
            </w:r>
          </w:p>
        </w:tc>
        <w:tc>
          <w:tcPr>
            <w:tcW w:w="1327"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节能产品认证证书（本项目拟采购的产品不属于政府强制采购的节能产品品目清单范围的，无需提供）</w:t>
            </w:r>
          </w:p>
        </w:tc>
        <w:tc>
          <w:tcPr>
            <w:tcW w:w="73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w:t>
            </w:r>
          </w:p>
          <w:p>
            <w:pPr>
              <w:pStyle w:val="2"/>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b w:val="0"/>
                <w:bCs w:val="0"/>
                <w:color w:val="auto"/>
                <w:sz w:val="21"/>
                <w:szCs w:val="21"/>
                <w:highlight w:val="none"/>
                <w:lang w:val="en-US"/>
              </w:rPr>
              <w:t>第</w:t>
            </w:r>
            <w:r>
              <w:rPr>
                <w:rFonts w:hint="eastAsia" w:ascii="宋体" w:hAnsi="宋体" w:eastAsia="宋体" w:cs="宋体"/>
                <w:b w:val="0"/>
                <w:bCs w:val="0"/>
                <w:color w:val="auto"/>
                <w:sz w:val="21"/>
                <w:szCs w:val="21"/>
                <w:highlight w:val="none"/>
                <w:u w:val="single"/>
                <w:lang w:val="en-US"/>
              </w:rPr>
              <w:t xml:space="preserve">  </w:t>
            </w:r>
            <w:r>
              <w:rPr>
                <w:rFonts w:hint="eastAsia" w:ascii="宋体" w:hAnsi="宋体" w:eastAsia="宋体" w:cs="宋体"/>
                <w:b w:val="0"/>
                <w:bCs w:val="0"/>
                <w:color w:val="auto"/>
                <w:sz w:val="21"/>
                <w:szCs w:val="21"/>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35"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59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投标文件中承诺的投标有效期不少于招标文件中载明的投标有效期。</w:t>
            </w:r>
          </w:p>
        </w:tc>
        <w:tc>
          <w:tcPr>
            <w:tcW w:w="1327"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w:t>
            </w:r>
          </w:p>
        </w:tc>
        <w:tc>
          <w:tcPr>
            <w:tcW w:w="73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35"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59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投标文件满足招标文件的其它实质性要求。</w:t>
            </w:r>
          </w:p>
        </w:tc>
        <w:tc>
          <w:tcPr>
            <w:tcW w:w="1327"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招标文件其它实质性要求相应的材料（“▲” 系指实质性要求条款，招标文件无其它实质性要求的，无需提供）</w:t>
            </w:r>
          </w:p>
        </w:tc>
        <w:tc>
          <w:tcPr>
            <w:tcW w:w="738" w:type="pct"/>
            <w:noWrap w:val="0"/>
            <w:vAlign w:val="center"/>
          </w:tcPr>
          <w:p>
            <w:pPr>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六、评标标准相应的商务技术资料</w:t>
      </w:r>
    </w:p>
    <w:p>
      <w:pPr>
        <w:kinsoku/>
        <w:wordWrap/>
        <w:overflowPunct/>
        <w:topLinePunct w:val="0"/>
        <w:bidi w:val="0"/>
        <w:snapToGrid w:val="0"/>
        <w:spacing w:beforeAutospacing="0" w:afterAutospacing="0" w:line="360" w:lineRule="auto"/>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3875"/>
        <w:gridCol w:w="373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1945"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1873"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674"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945"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1873"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674"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945"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1873"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674"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1945"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1873"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c>
          <w:tcPr>
            <w:tcW w:w="674" w:type="pct"/>
            <w:noWrap w:val="0"/>
            <w:vAlign w:val="top"/>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pPr>
          </w:p>
        </w:tc>
      </w:tr>
    </w:tbl>
    <w:p>
      <w:pPr>
        <w:kinsoku/>
        <w:wordWrap/>
        <w:overflowPunct/>
        <w:topLinePunct w:val="0"/>
        <w:bidi w:val="0"/>
        <w:snapToGrid w:val="0"/>
        <w:spacing w:beforeAutospacing="0" w:afterAutospacing="0" w:line="360" w:lineRule="auto"/>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kern w:val="0"/>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八、</w:t>
      </w:r>
      <w:r>
        <w:rPr>
          <w:rFonts w:hint="eastAsia" w:ascii="宋体" w:hAnsi="宋体" w:eastAsia="宋体" w:cs="宋体"/>
          <w:b/>
          <w:color w:val="auto"/>
          <w:kern w:val="0"/>
          <w:sz w:val="32"/>
          <w:szCs w:val="32"/>
          <w:highlight w:val="none"/>
          <w:lang w:val="zh-CN"/>
        </w:rPr>
        <w:t>政府采购供应商廉洁自律承诺书</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kern w:val="0"/>
          <w:sz w:val="24"/>
          <w:highlight w:val="none"/>
          <w:lang w:val="zh-CN"/>
        </w:rPr>
        <w:t>：</w:t>
      </w:r>
    </w:p>
    <w:p>
      <w:pPr>
        <w:kinsoku/>
        <w:wordWrap/>
        <w:overflowPunct/>
        <w:topLinePunct w:val="0"/>
        <w:autoSpaceDE w:val="0"/>
        <w:autoSpaceDN w:val="0"/>
        <w:bidi w:val="0"/>
        <w:snapToGrid w:val="0"/>
        <w:spacing w:beforeAutospacing="0" w:afterAutospacing="0" w:line="360" w:lineRule="auto"/>
        <w:ind w:left="2" w:leftChars="1"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pPr>
        <w:kinsoku/>
        <w:wordWrap/>
        <w:overflowPunct/>
        <w:topLinePunct w:val="0"/>
        <w:autoSpaceDE w:val="0"/>
        <w:autoSpaceDN w:val="0"/>
        <w:bidi w:val="0"/>
        <w:snapToGrid w:val="0"/>
        <w:spacing w:beforeAutospacing="0" w:afterAutospacing="0" w:line="360" w:lineRule="auto"/>
        <w:ind w:left="2" w:leftChars="1"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kinsoku/>
        <w:wordWrap/>
        <w:overflowPunct/>
        <w:topLinePunct w:val="0"/>
        <w:autoSpaceDE w:val="0"/>
        <w:autoSpaceDN w:val="0"/>
        <w:bidi w:val="0"/>
        <w:snapToGrid w:val="0"/>
        <w:spacing w:beforeAutospacing="0" w:afterAutospacing="0" w:line="360" w:lineRule="auto"/>
        <w:ind w:left="2" w:leftChars="1"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kinsoku/>
        <w:wordWrap/>
        <w:overflowPunct/>
        <w:topLinePunct w:val="0"/>
        <w:autoSpaceDE w:val="0"/>
        <w:autoSpaceDN w:val="0"/>
        <w:bidi w:val="0"/>
        <w:snapToGrid w:val="0"/>
        <w:spacing w:beforeAutospacing="0" w:afterAutospacing="0" w:line="360" w:lineRule="auto"/>
        <w:ind w:left="2" w:leftChars="1"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kinsoku/>
        <w:wordWrap/>
        <w:overflowPunct/>
        <w:topLinePunct w:val="0"/>
        <w:autoSpaceDE w:val="0"/>
        <w:autoSpaceDN w:val="0"/>
        <w:bidi w:val="0"/>
        <w:snapToGrid w:val="0"/>
        <w:spacing w:beforeAutospacing="0" w:afterAutospacing="0" w:line="360" w:lineRule="auto"/>
        <w:ind w:left="2" w:leftChars="1"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kinsoku/>
        <w:wordWrap/>
        <w:overflowPunct/>
        <w:topLinePunct w:val="0"/>
        <w:autoSpaceDE w:val="0"/>
        <w:autoSpaceDN w:val="0"/>
        <w:bidi w:val="0"/>
        <w:snapToGrid w:val="0"/>
        <w:spacing w:beforeAutospacing="0" w:afterAutospacing="0" w:line="360" w:lineRule="auto"/>
        <w:ind w:left="481" w:leftChars="229"/>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kinsoku/>
        <w:wordWrap/>
        <w:overflowPunct/>
        <w:topLinePunct w:val="0"/>
        <w:autoSpaceDE w:val="0"/>
        <w:autoSpaceDN w:val="0"/>
        <w:bidi w:val="0"/>
        <w:snapToGrid w:val="0"/>
        <w:spacing w:beforeAutospacing="0" w:afterAutospacing="0" w:line="360" w:lineRule="auto"/>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kinsoku/>
        <w:wordWrap/>
        <w:overflowPunct/>
        <w:topLinePunct w:val="0"/>
        <w:autoSpaceDE w:val="0"/>
        <w:autoSpaceDN w:val="0"/>
        <w:bidi w:val="0"/>
        <w:snapToGrid w:val="0"/>
        <w:spacing w:beforeAutospacing="0" w:afterAutospacing="0" w:line="360" w:lineRule="auto"/>
        <w:ind w:left="481" w:leftChars="229"/>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pPr>
        <w:kinsoku/>
        <w:wordWrap/>
        <w:overflowPunct/>
        <w:topLinePunct w:val="0"/>
        <w:autoSpaceDE w:val="0"/>
        <w:autoSpaceDN w:val="0"/>
        <w:bidi w:val="0"/>
        <w:snapToGrid w:val="0"/>
        <w:spacing w:beforeAutospacing="0" w:afterAutospacing="0" w:line="360" w:lineRule="auto"/>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pPr>
        <w:kinsoku/>
        <w:wordWrap/>
        <w:overflowPunct/>
        <w:topLinePunct w:val="0"/>
        <w:autoSpaceDE w:val="0"/>
        <w:autoSpaceDN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kinsoku/>
        <w:wordWrap/>
        <w:overflowPunct/>
        <w:topLinePunct w:val="0"/>
        <w:autoSpaceDE w:val="0"/>
        <w:autoSpaceDN w:val="0"/>
        <w:bidi w:val="0"/>
        <w:snapToGrid w:val="0"/>
        <w:spacing w:beforeAutospacing="0" w:afterAutospacing="0" w:line="360" w:lineRule="auto"/>
        <w:ind w:left="2"/>
        <w:jc w:val="left"/>
        <w:textAlignment w:val="auto"/>
        <w:rPr>
          <w:rFonts w:hint="eastAsia" w:ascii="宋体" w:hAnsi="宋体" w:eastAsia="宋体" w:cs="宋体"/>
          <w:color w:val="auto"/>
          <w:kern w:val="0"/>
          <w:sz w:val="24"/>
          <w:highlight w:val="none"/>
          <w:lang w:val="zh-CN"/>
        </w:rPr>
      </w:pPr>
    </w:p>
    <w:p>
      <w:pPr>
        <w:kinsoku/>
        <w:wordWrap/>
        <w:overflowPunct/>
        <w:topLinePunct w:val="0"/>
        <w:autoSpaceDE w:val="0"/>
        <w:autoSpaceDN w:val="0"/>
        <w:bidi w:val="0"/>
        <w:snapToGrid w:val="0"/>
        <w:spacing w:beforeAutospacing="0" w:afterAutospacing="0" w:line="360" w:lineRule="auto"/>
        <w:ind w:left="2"/>
        <w:jc w:val="left"/>
        <w:textAlignment w:val="auto"/>
        <w:rPr>
          <w:rFonts w:hint="eastAsia" w:ascii="宋体" w:hAnsi="宋体" w:eastAsia="宋体" w:cs="宋体"/>
          <w:color w:val="auto"/>
          <w:kern w:val="0"/>
          <w:sz w:val="24"/>
          <w:highlight w:val="none"/>
          <w:lang w:val="zh-CN"/>
        </w:rPr>
      </w:pPr>
    </w:p>
    <w:p>
      <w:pPr>
        <w:kinsoku/>
        <w:wordWrap/>
        <w:overflowPunct/>
        <w:topLinePunct w:val="0"/>
        <w:autoSpaceDE w:val="0"/>
        <w:autoSpaceDN w:val="0"/>
        <w:bidi w:val="0"/>
        <w:snapToGrid w:val="0"/>
        <w:spacing w:beforeAutospacing="0" w:afterAutospacing="0" w:line="360" w:lineRule="auto"/>
        <w:ind w:left="2" w:leftChars="1" w:right="1120" w:firstLine="4560" w:firstLineChars="19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kinsoku/>
        <w:wordWrap/>
        <w:overflowPunct/>
        <w:topLinePunct w:val="0"/>
        <w:bidi w:val="0"/>
        <w:snapToGrid w:val="0"/>
        <w:spacing w:beforeAutospacing="0" w:afterAutospacing="0" w:line="360" w:lineRule="auto"/>
        <w:ind w:left="4620" w:leftChars="2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kinsoku/>
        <w:wordWrap/>
        <w:overflowPunct/>
        <w:topLinePunct w:val="0"/>
        <w:bidi w:val="0"/>
        <w:snapToGrid w:val="0"/>
        <w:spacing w:beforeAutospacing="0" w:afterAutospacing="0" w:line="360" w:lineRule="auto"/>
        <w:jc w:val="center"/>
        <w:textAlignment w:val="auto"/>
        <w:outlineLvl w:val="0"/>
        <w:rPr>
          <w:rFonts w:hint="eastAsia" w:ascii="宋体" w:hAnsi="宋体" w:eastAsia="宋体" w:cs="宋体"/>
          <w:b/>
          <w:color w:val="auto"/>
          <w:kern w:val="0"/>
          <w:sz w:val="36"/>
          <w:szCs w:val="36"/>
          <w:highlight w:val="none"/>
        </w:rPr>
      </w:pP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pPr>
        <w:kinsoku/>
        <w:wordWrap/>
        <w:overflowPunct/>
        <w:topLinePunct w:val="0"/>
        <w:bidi w:val="0"/>
        <w:snapToGrid w:val="0"/>
        <w:spacing w:beforeAutospacing="0" w:afterAutospacing="0" w:line="360" w:lineRule="auto"/>
        <w:jc w:val="distribute"/>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kinsoku/>
        <w:wordWrap/>
        <w:overflowPunct/>
        <w:topLinePunct w:val="0"/>
        <w:bidi w:val="0"/>
        <w:snapToGrid w:val="0"/>
        <w:spacing w:beforeAutospacing="0" w:afterAutospacing="0" w:line="360" w:lineRule="auto"/>
        <w:ind w:right="480"/>
        <w:jc w:val="center"/>
        <w:textAlignment w:val="auto"/>
        <w:rPr>
          <w:rFonts w:hint="eastAsia" w:ascii="宋体" w:hAnsi="宋体" w:eastAsia="宋体" w:cs="宋体"/>
          <w:b/>
          <w:color w:val="auto"/>
          <w:kern w:val="0"/>
          <w:sz w:val="32"/>
          <w:szCs w:val="32"/>
          <w:highlight w:val="none"/>
        </w:rPr>
      </w:pPr>
    </w:p>
    <w:p>
      <w:pPr>
        <w:pStyle w:val="692"/>
        <w:keepNext w:val="0"/>
        <w:pageBreakBefore w:val="0"/>
        <w:tabs>
          <w:tab w:val="clear" w:pos="720"/>
        </w:tabs>
        <w:kinsoku/>
        <w:wordWrap/>
        <w:overflowPunct/>
        <w:topLinePunct w:val="0"/>
        <w:bidi w:val="0"/>
        <w:snapToGrid w:val="0"/>
        <w:spacing w:beforeAutospacing="0" w:afterAutospacing="0" w:line="360" w:lineRule="auto"/>
        <w:ind w:firstLine="643"/>
        <w:textAlignment w:val="auto"/>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pStyle w:val="692"/>
        <w:keepNext w:val="0"/>
        <w:keepLines w:val="0"/>
        <w:pageBreakBefore w:val="0"/>
        <w:widowControl w:val="0"/>
        <w:tabs>
          <w:tab w:val="clear" w:pos="720"/>
        </w:tabs>
        <w:kinsoku/>
        <w:wordWrap/>
        <w:overflowPunct/>
        <w:topLinePunct w:val="0"/>
        <w:autoSpaceDE/>
        <w:autoSpaceDN/>
        <w:bidi w:val="0"/>
        <w:adjustRightInd w:val="0"/>
        <w:snapToGrid w:val="0"/>
        <w:spacing w:beforeAutospacing="0" w:afterAutospacing="0" w:line="360" w:lineRule="auto"/>
        <w:ind w:firstLine="0"/>
        <w:textAlignment w:val="auto"/>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杭州市市场监督管理局</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浙江中诺招标代理有限公司</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ind w:firstLine="482"/>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kern w:val="0"/>
          <w:sz w:val="24"/>
          <w:highlight w:val="none"/>
          <w:lang w:val="zh-CN"/>
        </w:rPr>
        <w:t>【招标编号：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pPr>
        <w:kinsoku/>
        <w:wordWrap/>
        <w:overflowPunct/>
        <w:topLinePunct w:val="0"/>
        <w:bidi w:val="0"/>
        <w:snapToGrid w:val="0"/>
        <w:spacing w:beforeAutospacing="0" w:afterAutospacing="0" w:line="360" w:lineRule="auto"/>
        <w:jc w:val="right"/>
        <w:textAlignment w:val="auto"/>
        <w:rPr>
          <w:rFonts w:hint="default"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zh-CN"/>
        </w:rPr>
        <w:t>开标一览表（报价表）(单位均为人民币元)</w:t>
      </w:r>
      <w:r>
        <w:rPr>
          <w:rFonts w:hint="eastAsia" w:ascii="宋体" w:hAnsi="宋体" w:cs="宋体"/>
          <w:b/>
          <w:color w:val="auto"/>
          <w:kern w:val="0"/>
          <w:sz w:val="24"/>
          <w:highlight w:val="none"/>
          <w:lang w:val="en-US" w:eastAsia="zh-CN"/>
        </w:rPr>
        <w:t xml:space="preserve">                                标项：   </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378"/>
        <w:gridCol w:w="993"/>
        <w:gridCol w:w="1792"/>
        <w:gridCol w:w="17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4" w:type="dxa"/>
            <w:vMerge w:val="restart"/>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6378" w:type="dxa"/>
            <w:vMerge w:val="restart"/>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cs="宋体"/>
                <w:b/>
                <w:bCs/>
                <w:color w:val="auto"/>
                <w:kern w:val="0"/>
                <w:sz w:val="24"/>
                <w:highlight w:val="none"/>
                <w:lang w:val="en-US" w:eastAsia="zh-CN"/>
              </w:rPr>
              <w:t>食品细类</w:t>
            </w:r>
            <w:r>
              <w:rPr>
                <w:rFonts w:hint="eastAsia" w:ascii="宋体" w:hAnsi="宋体" w:cs="宋体"/>
                <w:b/>
                <w:bCs/>
                <w:color w:val="auto"/>
                <w:kern w:val="0"/>
                <w:sz w:val="24"/>
                <w:highlight w:val="none"/>
              </w:rPr>
              <w:t>名称</w:t>
            </w:r>
          </w:p>
        </w:tc>
        <w:tc>
          <w:tcPr>
            <w:tcW w:w="993" w:type="dxa"/>
            <w:vMerge w:val="restart"/>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lang w:val="en-US" w:eastAsia="zh-CN"/>
              </w:rPr>
            </w:pPr>
            <w:r>
              <w:rPr>
                <w:rFonts w:hint="eastAsia" w:ascii="宋体" w:hAnsi="宋体" w:cs="宋体"/>
                <w:b/>
                <w:bCs/>
                <w:color w:val="auto"/>
                <w:kern w:val="0"/>
                <w:sz w:val="24"/>
                <w:highlight w:val="none"/>
              </w:rPr>
              <w:t>计划批次</w:t>
            </w:r>
            <w:r>
              <w:rPr>
                <w:rFonts w:hint="eastAsia" w:ascii="宋体" w:hAnsi="宋体" w:cs="宋体"/>
                <w:b/>
                <w:bCs/>
                <w:color w:val="auto"/>
                <w:kern w:val="0"/>
                <w:sz w:val="24"/>
                <w:highlight w:val="none"/>
                <w:lang w:val="en-US" w:eastAsia="zh-CN"/>
              </w:rPr>
              <w:t>数量</w:t>
            </w:r>
          </w:p>
        </w:tc>
        <w:tc>
          <w:tcPr>
            <w:tcW w:w="3543" w:type="dxa"/>
            <w:gridSpan w:val="2"/>
            <w:noWrap w:val="0"/>
            <w:vAlign w:val="center"/>
          </w:tcPr>
          <w:p>
            <w:pPr>
              <w:kinsoku/>
              <w:wordWrap/>
              <w:overflowPunct/>
              <w:topLinePunct w:val="0"/>
              <w:bidi w:val="0"/>
              <w:snapToGrid w:val="0"/>
              <w:spacing w:beforeAutospacing="0" w:afterAutospacing="0" w:line="360" w:lineRule="auto"/>
              <w:jc w:val="center"/>
              <w:textAlignment w:val="auto"/>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投标人检测费报价</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含买样）</w:t>
            </w:r>
          </w:p>
        </w:tc>
        <w:tc>
          <w:tcPr>
            <w:tcW w:w="3119" w:type="dxa"/>
            <w:vMerge w:val="restart"/>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r>
              <w:rPr>
                <w:rFonts w:hint="eastAsia" w:ascii="宋体" w:hAnsi="宋体" w:cs="宋体"/>
                <w:b/>
                <w:color w:val="auto"/>
                <w:sz w:val="24"/>
                <w:highlight w:val="none"/>
                <w:lang w:val="en-US" w:eastAsia="zh-CN"/>
              </w:rPr>
              <w:t>完成时间</w:t>
            </w:r>
            <w:r>
              <w:rPr>
                <w:rFonts w:hint="eastAsia" w:ascii="宋体" w:hAnsi="宋体" w:eastAsia="宋体" w:cs="宋体"/>
                <w:b/>
                <w:color w:val="auto"/>
                <w:sz w:val="24"/>
                <w:highlight w:val="none"/>
              </w:rPr>
              <w:t>）</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534" w:type="dxa"/>
            <w:vMerge w:val="continue"/>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p>
        </w:tc>
        <w:tc>
          <w:tcPr>
            <w:tcW w:w="6378" w:type="dxa"/>
            <w:vMerge w:val="continue"/>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cs="宋体"/>
                <w:b/>
                <w:bCs/>
                <w:color w:val="auto"/>
                <w:kern w:val="0"/>
                <w:sz w:val="24"/>
                <w:highlight w:val="none"/>
              </w:rPr>
            </w:pPr>
          </w:p>
        </w:tc>
        <w:tc>
          <w:tcPr>
            <w:tcW w:w="993" w:type="dxa"/>
            <w:vMerge w:val="continue"/>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cs="宋体"/>
                <w:b/>
                <w:bCs/>
                <w:color w:val="auto"/>
                <w:kern w:val="0"/>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cs="宋体"/>
                <w:b/>
                <w:bCs/>
                <w:color w:val="auto"/>
                <w:kern w:val="0"/>
                <w:sz w:val="24"/>
                <w:highlight w:val="none"/>
              </w:rPr>
              <w:t>小计</w:t>
            </w:r>
          </w:p>
        </w:tc>
        <w:tc>
          <w:tcPr>
            <w:tcW w:w="3119" w:type="dxa"/>
            <w:vMerge w:val="continue"/>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6378" w:type="dxa"/>
            <w:noWrap w:val="0"/>
            <w:vAlign w:val="center"/>
          </w:tcPr>
          <w:p>
            <w:pPr>
              <w:snapToGrid w:val="0"/>
              <w:jc w:val="center"/>
              <w:rPr>
                <w:rFonts w:hint="eastAsia" w:ascii="宋体" w:hAnsi="宋体" w:eastAsia="宋体" w:cs="宋体"/>
                <w:color w:val="auto"/>
                <w:sz w:val="24"/>
                <w:highlight w:val="none"/>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jc w:val="center"/>
              <w:rPr>
                <w:rFonts w:hint="eastAsia" w:ascii="宋体" w:hAnsi="宋体" w:eastAsia="宋体" w:cs="宋体"/>
                <w:color w:val="auto"/>
                <w:sz w:val="24"/>
                <w:highlight w:val="none"/>
              </w:rPr>
            </w:pPr>
          </w:p>
        </w:tc>
        <w:tc>
          <w:tcPr>
            <w:tcW w:w="1751" w:type="dxa"/>
            <w:noWrap w:val="0"/>
            <w:vAlign w:val="center"/>
          </w:tcPr>
          <w:p>
            <w:pPr>
              <w:jc w:val="center"/>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6378" w:type="dxa"/>
            <w:noWrap w:val="0"/>
            <w:vAlign w:val="center"/>
          </w:tcPr>
          <w:p>
            <w:pPr>
              <w:snapToGrid w:val="0"/>
              <w:jc w:val="center"/>
              <w:rPr>
                <w:rFonts w:hint="eastAsia" w:ascii="宋体" w:hAnsi="宋体" w:eastAsia="宋体" w:cs="宋体"/>
                <w:color w:val="auto"/>
                <w:sz w:val="24"/>
                <w:highlight w:val="none"/>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6378" w:type="dxa"/>
            <w:noWrap w:val="0"/>
            <w:vAlign w:val="center"/>
          </w:tcPr>
          <w:p>
            <w:pPr>
              <w:snapToGrid w:val="0"/>
              <w:jc w:val="center"/>
              <w:rPr>
                <w:rFonts w:hint="default" w:ascii="宋体" w:hAnsi="宋体" w:eastAsia="宋体" w:cs="宋体"/>
                <w:color w:val="auto"/>
                <w:sz w:val="24"/>
                <w:highlight w:val="none"/>
                <w:lang w:val="en-US" w:eastAsia="zh-CN"/>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6378" w:type="dxa"/>
            <w:noWrap w:val="0"/>
            <w:vAlign w:val="center"/>
          </w:tcPr>
          <w:p>
            <w:pPr>
              <w:snapToGrid w:val="0"/>
              <w:jc w:val="center"/>
              <w:rPr>
                <w:rFonts w:hint="eastAsia" w:ascii="宋体" w:hAnsi="宋体" w:eastAsia="宋体" w:cs="宋体"/>
                <w:color w:val="auto"/>
                <w:sz w:val="24"/>
                <w:highlight w:val="none"/>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6378" w:type="dxa"/>
            <w:noWrap w:val="0"/>
            <w:vAlign w:val="center"/>
          </w:tcPr>
          <w:p>
            <w:pPr>
              <w:snapToGrid w:val="0"/>
              <w:jc w:val="center"/>
              <w:rPr>
                <w:rFonts w:hint="eastAsia" w:ascii="宋体" w:hAnsi="宋体" w:eastAsia="宋体" w:cs="宋体"/>
                <w:color w:val="auto"/>
                <w:sz w:val="24"/>
                <w:highlight w:val="none"/>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6</w:t>
            </w:r>
          </w:p>
        </w:tc>
        <w:tc>
          <w:tcPr>
            <w:tcW w:w="6378" w:type="dxa"/>
            <w:noWrap w:val="0"/>
            <w:vAlign w:val="center"/>
          </w:tcPr>
          <w:p>
            <w:pPr>
              <w:snapToGrid w:val="0"/>
              <w:jc w:val="center"/>
              <w:rPr>
                <w:rFonts w:hint="eastAsia" w:ascii="宋体" w:hAnsi="宋体" w:eastAsia="宋体" w:cs="宋体"/>
                <w:color w:val="auto"/>
                <w:sz w:val="24"/>
                <w:highlight w:val="none"/>
              </w:rPr>
            </w:pPr>
          </w:p>
        </w:tc>
        <w:tc>
          <w:tcPr>
            <w:tcW w:w="993" w:type="dxa"/>
            <w:noWrap w:val="0"/>
            <w:vAlign w:val="center"/>
          </w:tcPr>
          <w:p>
            <w:pPr>
              <w:snapToGrid w:val="0"/>
              <w:jc w:val="center"/>
              <w:rPr>
                <w:rFonts w:hint="eastAsia" w:ascii="宋体" w:hAnsi="宋体" w:eastAsia="宋体" w:cs="宋体"/>
                <w:color w:val="auto"/>
                <w:sz w:val="24"/>
                <w:highlight w:val="none"/>
              </w:rPr>
            </w:pPr>
          </w:p>
        </w:tc>
        <w:tc>
          <w:tcPr>
            <w:tcW w:w="1792"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1751"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c>
          <w:tcPr>
            <w:tcW w:w="3119" w:type="dxa"/>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2"/>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2"/>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noWrap w:val="0"/>
            <w:vAlign w:val="center"/>
          </w:tcPr>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rPr>
            </w:pPr>
          </w:p>
        </w:tc>
      </w:tr>
    </w:tbl>
    <w:p>
      <w:pPr>
        <w:kinsoku/>
        <w:wordWrap/>
        <w:overflowPunct/>
        <w:topLinePunct w:val="0"/>
        <w:bidi w:val="0"/>
        <w:snapToGrid w:val="0"/>
        <w:spacing w:beforeAutospacing="0" w:afterAutospacing="0" w:line="360" w:lineRule="auto"/>
        <w:ind w:left="480"/>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pPr>
        <w:kinsoku/>
        <w:wordWrap/>
        <w:overflowPunct/>
        <w:topLinePunct w:val="0"/>
        <w:bidi w:val="0"/>
        <w:snapToGrid w:val="0"/>
        <w:spacing w:beforeAutospacing="0" w:afterAutospacing="0" w:line="360" w:lineRule="auto"/>
        <w:ind w:left="-2" w:leftChars="-1"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1、投标人需按本表格式填写，不得自行更改。</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投标文件含有采购人不能接受的附加条件的，投标无效</w:t>
      </w:r>
      <w:r>
        <w:rPr>
          <w:rFonts w:hint="eastAsia" w:ascii="宋体" w:hAnsi="宋体" w:eastAsia="宋体" w:cs="宋体"/>
          <w:b/>
          <w:color w:val="auto"/>
          <w:kern w:val="0"/>
          <w:sz w:val="24"/>
          <w:highlight w:val="none"/>
          <w:lang w:val="zh-CN"/>
        </w:rPr>
        <w:t>。</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3、以上表格要求细分项目及报价，在“规格型号（或具体服务）”一栏中，货物类项目填写规格型号，服务类项目填写具体服务。</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4、特别提示：采购机构将对项目名称和项目编号，中标供应商名称、地址和中标金额，主要中标标的的名称、规格型号、数量、单价、服务要求等予以公示。</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5、</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kern w:val="0"/>
          <w:sz w:val="24"/>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pStyle w:val="692"/>
        <w:keepNext w:val="0"/>
        <w:keepLines w:val="0"/>
        <w:pageBreakBefore w:val="0"/>
        <w:widowControl w:val="0"/>
        <w:tabs>
          <w:tab w:val="clear" w:pos="720"/>
        </w:tabs>
        <w:kinsoku/>
        <w:wordWrap/>
        <w:overflowPunct/>
        <w:topLinePunct w:val="0"/>
        <w:autoSpaceDE/>
        <w:autoSpaceDN/>
        <w:bidi w:val="0"/>
        <w:adjustRightInd w:val="0"/>
        <w:snapToGrid w:val="0"/>
        <w:spacing w:beforeAutospacing="0" w:afterAutospacing="0" w:line="360" w:lineRule="auto"/>
        <w:ind w:firstLine="0"/>
        <w:textAlignment w:val="auto"/>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p>
    <w:p>
      <w:pPr>
        <w:widowControl/>
        <w:kinsoku/>
        <w:wordWrap/>
        <w:overflowPunct/>
        <w:topLinePunct w:val="0"/>
        <w:bidi w:val="0"/>
        <w:snapToGrid w:val="0"/>
        <w:spacing w:beforeAutospacing="0" w:afterAutospacing="0" w:line="360" w:lineRule="auto"/>
        <w:ind w:firstLine="120" w:firstLineChars="5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2"/>
        <w:keepNext w:val="0"/>
        <w:pageBreakBefore w:val="0"/>
        <w:tabs>
          <w:tab w:val="clear" w:pos="720"/>
        </w:tabs>
        <w:kinsoku/>
        <w:wordWrap/>
        <w:overflowPunct/>
        <w:topLinePunct w:val="0"/>
        <w:bidi w:val="0"/>
        <w:snapToGrid w:val="0"/>
        <w:spacing w:beforeAutospacing="0" w:afterAutospacing="0" w:line="360" w:lineRule="auto"/>
        <w:ind w:firstLine="643"/>
        <w:textAlignment w:val="auto"/>
        <w:outlineLvl w:val="9"/>
        <w:rPr>
          <w:rFonts w:hint="eastAsia" w:ascii="宋体" w:hAnsi="宋体" w:eastAsia="宋体" w:cs="宋体"/>
          <w:b w:val="0"/>
          <w:color w:val="auto"/>
          <w:sz w:val="32"/>
          <w:szCs w:val="32"/>
          <w:highlight w:val="none"/>
        </w:rPr>
        <w:sectPr>
          <w:headerReference r:id="rId21" w:type="first"/>
          <w:footerReference r:id="rId24" w:type="first"/>
          <w:headerReference r:id="rId20" w:type="default"/>
          <w:footerReference r:id="rId22" w:type="default"/>
          <w:footerReference r:id="rId23" w:type="even"/>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eepNext w:val="0"/>
        <w:keepLines w:val="0"/>
        <w:pageBreakBefore w:val="0"/>
        <w:widowControl w:val="0"/>
        <w:tabs>
          <w:tab w:val="left" w:pos="8085"/>
        </w:tabs>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政府采购支持中小企业信用融资相关事项通知</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为贯彻落实中央、省、市关于支持民营经济健康发展有关精神，发挥政府采购在促进中小企业发展中的政策引导作用，缓解中小企业融资难、融资贵问题，杭州市财政局、</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中国银保监会浙江监管局、杭州市地方金融监督管理局、杭州市经济和信息化局制定《杭州市政府采购支持中小企业信用融资管理办法》。相关事项通知如下：</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一、适用对象</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凡已在浙江政府采购网上注册入库，并取得杭州市政府采购合同的中小企业供应商（以下简称“供应商”），均可申请政府采购信用融资。</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二、相关信息获取方式</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三、政府采购信用融资操作流程：</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（一）线上融资模式：</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1.供应商根据合作银行提供的方案，自行选择金融产品，并办理开户等手续；</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2.供应商中标后，可通过杭州市政府采购网或“浙里办”测算授信额度；</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3.采购合同签订后，供应商在杭州市政府采购网或“浙里办”向合作银行发出融资申请；</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4.审批通过后，在线办理放贷手续。</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（二）线下融资模式：</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1.供应商根据合作银行提供的方案，自行选择金融产品，向合作银行提出信用资格预审，并办理开户等手续；</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2.采购合同签订后，供应商在杭州市政府采购网或“浙里办”向合作银行发出融资申请；</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3.合作银行在信用融资模块受理申请后，供应商提供审批材料。合作银行应对申请信用融资的供应商及备案的政府采购合同信息进行核对和审查；</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4.审批通过后，合作银行应按照合作备忘录中约定的审批放款期限和优惠利率及时予以放款。</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rPr>
        <w:t>　　</w:t>
      </w:r>
      <w:r>
        <w:rPr>
          <w:rFonts w:hint="eastAsia" w:ascii="宋体" w:hAnsi="宋体" w:eastAsia="宋体" w:cs="宋体"/>
          <w:color w:val="auto"/>
          <w:sz w:val="24"/>
          <w:highlight w:val="none"/>
          <w:lang w:val="en-US"/>
        </w:rPr>
        <w:t>（三）杭州e融平台申请融资</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rPr>
        <w:t>　　</w:t>
      </w:r>
      <w:r>
        <w:rPr>
          <w:rFonts w:hint="eastAsia" w:ascii="宋体" w:hAnsi="宋体" w:eastAsia="宋体" w:cs="宋体"/>
          <w:color w:val="auto"/>
          <w:sz w:val="24"/>
          <w:highlight w:val="none"/>
          <w:lang w:val="en-US"/>
        </w:rPr>
        <w:t>供应商通过杭州e融平台政采贷专区，自行选择金融产品，按规定手续办理贷款流程。</w:t>
      </w:r>
    </w:p>
    <w:p>
      <w:pPr>
        <w:kinsoku/>
        <w:wordWrap/>
        <w:overflowPunct/>
        <w:topLinePunct w:val="0"/>
        <w:bidi w:val="0"/>
        <w:snapToGrid w:val="0"/>
        <w:spacing w:beforeAutospacing="0" w:afterAutospacing="0"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四、注意事项</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1、对拟用于信用融资的政府采购合同，供应商在签订合同时应当在合同中注明融资银行名称及账号，作为在该银行的唯一收款账号。</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kinsoku/>
        <w:wordWrap/>
        <w:overflowPunct/>
        <w:topLinePunct w:val="0"/>
        <w:bidi w:val="0"/>
        <w:snapToGrid w:val="0"/>
        <w:spacing w:beforeAutospacing="0" w:afterAutospacing="0" w:line="360" w:lineRule="auto"/>
        <w:ind w:left="5060" w:hanging="5060" w:hangingChars="2100"/>
        <w:textAlignment w:val="auto"/>
        <w:rPr>
          <w:rFonts w:hint="eastAsia" w:ascii="宋体" w:hAnsi="宋体" w:eastAsia="宋体" w:cs="宋体"/>
          <w:b/>
          <w:bCs/>
          <w:color w:val="auto"/>
          <w:kern w:val="0"/>
          <w:sz w:val="24"/>
          <w:highlight w:val="none"/>
        </w:rPr>
      </w:pPr>
    </w:p>
    <w:p>
      <w:pPr>
        <w:pStyle w:val="3"/>
        <w:keepNext w:val="0"/>
        <w:keepLines w:val="0"/>
        <w:pageBreakBefore/>
        <w:widowControl/>
        <w:kinsoku/>
        <w:wordWrap/>
        <w:overflowPunct/>
        <w:topLinePunct w:val="0"/>
        <w:autoSpaceDE/>
        <w:autoSpaceDN/>
        <w:bidi w:val="0"/>
        <w:adjustRightInd w:val="0"/>
        <w:snapToGrid w:val="0"/>
        <w:spacing w:before="0" w:beforeAutospacing="0" w:after="0" w:afterAutospacing="0" w:line="360" w:lineRule="auto"/>
        <w:ind w:left="0" w:firstLine="0" w:firstLineChars="0"/>
        <w:jc w:val="center"/>
        <w:textAlignment w:val="auto"/>
        <w:rPr>
          <w:rFonts w:hint="eastAsia" w:ascii="宋体" w:hAnsi="宋体" w:eastAsia="宋体" w:cs="宋体"/>
          <w:color w:val="auto"/>
          <w:highlight w:val="none"/>
        </w:rPr>
      </w:pPr>
      <w:bookmarkStart w:id="394" w:name="_Toc465665161"/>
      <w:r>
        <w:rPr>
          <w:rFonts w:hint="eastAsia" w:ascii="宋体" w:hAnsi="宋体" w:eastAsia="宋体" w:cs="宋体"/>
          <w:color w:val="auto"/>
          <w:highlight w:val="none"/>
        </w:rPr>
        <w:t>附件</w:t>
      </w:r>
      <w:bookmarkEnd w:id="394"/>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bookmarkStart w:id="395" w:name="OLE_LINK13"/>
      <w:bookmarkStart w:id="396" w:name="OLE_LINK14"/>
      <w:r>
        <w:rPr>
          <w:rFonts w:hint="eastAsia" w:ascii="宋体" w:hAnsi="宋体" w:eastAsia="宋体" w:cs="宋体"/>
          <w:b/>
          <w:color w:val="auto"/>
          <w:spacing w:val="6"/>
          <w:sz w:val="32"/>
          <w:szCs w:val="32"/>
          <w:highlight w:val="none"/>
        </w:rPr>
        <w:t>残疾人福利性单位声明函</w:t>
      </w:r>
    </w:p>
    <w:bookmarkEnd w:id="395"/>
    <w:bookmarkEnd w:id="396"/>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pacing w:val="6"/>
          <w:sz w:val="30"/>
          <w:szCs w:val="30"/>
          <w:highlight w:val="none"/>
        </w:rPr>
      </w:pP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tabs>
          <w:tab w:val="left" w:pos="4860"/>
        </w:tabs>
        <w:kinsoku/>
        <w:wordWrap/>
        <w:overflowPunct/>
        <w:topLinePunct w:val="0"/>
        <w:bidi w:val="0"/>
        <w:snapToGrid w:val="0"/>
        <w:spacing w:beforeAutospacing="0" w:afterAutospacing="0" w:line="360" w:lineRule="auto"/>
        <w:ind w:right="156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pPr>
        <w:tabs>
          <w:tab w:val="left" w:pos="4860"/>
        </w:tabs>
        <w:kinsoku/>
        <w:wordWrap/>
        <w:overflowPunct/>
        <w:topLinePunct w:val="0"/>
        <w:bidi w:val="0"/>
        <w:snapToGrid w:val="0"/>
        <w:spacing w:beforeAutospacing="0" w:afterAutospacing="0" w:line="360" w:lineRule="auto"/>
        <w:ind w:right="156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20" w:firstLineChars="200"/>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firstLine="420" w:firstLineChars="200"/>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firstLine="420" w:firstLineChars="200"/>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firstLine="420" w:firstLineChars="200"/>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jc w:val="left"/>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bCs/>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overflowPunct/>
        <w:topLinePunct w:val="0"/>
        <w:bidi w:val="0"/>
        <w:snapToGrid w:val="0"/>
        <w:spacing w:beforeAutospacing="0" w:afterAutospacing="0" w:line="360" w:lineRule="auto"/>
        <w:ind w:firstLine="600" w:firstLineChars="200"/>
        <w:jc w:val="left"/>
        <w:textAlignment w:val="auto"/>
        <w:rPr>
          <w:rFonts w:hint="eastAsia" w:ascii="宋体" w:hAnsi="宋体" w:eastAsia="宋体" w:cs="宋体"/>
          <w:color w:val="auto"/>
          <w:sz w:val="30"/>
          <w:szCs w:val="30"/>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left"/>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tabs>
          <w:tab w:val="left" w:pos="6510"/>
        </w:tabs>
        <w:kinsoku/>
        <w:wordWrap/>
        <w:overflowPunct/>
        <w:topLinePunct w:val="0"/>
        <w:bidi w:val="0"/>
        <w:snapToGrid w:val="0"/>
        <w:spacing w:beforeAutospacing="0" w:afterAutospacing="0" w:line="360" w:lineRule="auto"/>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tabs>
          <w:tab w:val="left" w:pos="6510"/>
        </w:tabs>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360" w:firstLineChars="1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overflowPunct/>
        <w:topLinePunct w:val="0"/>
        <w:bidi w:val="0"/>
        <w:snapToGrid w:val="0"/>
        <w:spacing w:beforeAutospacing="0" w:afterAutospacing="0" w:line="360" w:lineRule="auto"/>
        <w:textAlignment w:val="auto"/>
        <w:rPr>
          <w:rFonts w:hint="eastAsia" w:ascii="宋体" w:hAnsi="宋体" w:eastAsia="宋体" w:cs="宋体"/>
          <w:b/>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eastAsia="zh-CN"/>
        </w:rPr>
        <w:t>杭州市市场监督管理局</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浙江中诺招标代理有限公司</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项目【招标编号：</w:t>
      </w:r>
      <w:r>
        <w:rPr>
          <w:rFonts w:hint="eastAsia" w:ascii="宋体" w:hAnsi="宋体" w:cs="宋体"/>
          <w:color w:val="auto"/>
          <w:sz w:val="24"/>
          <w:highlight w:val="none"/>
          <w:lang w:eastAsia="zh-CN"/>
        </w:rPr>
        <w:t>ZJZN-221032-SJ62</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kinsoku/>
        <w:wordWrap/>
        <w:overflowPunct/>
        <w:topLinePunct w:val="0"/>
        <w:bidi w:val="0"/>
        <w:snapToGrid w:val="0"/>
        <w:spacing w:beforeAutospacing="0" w:afterAutospacing="0" w:line="360" w:lineRule="auto"/>
        <w:ind w:firstLine="494"/>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94"/>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94"/>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firstLine="494"/>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right="480" w:firstLine="4080" w:firstLineChars="17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pPr>
        <w:kinsoku/>
        <w:wordWrap/>
        <w:overflowPunct/>
        <w:topLinePunct w:val="0"/>
        <w:bidi w:val="0"/>
        <w:snapToGrid w:val="0"/>
        <w:spacing w:beforeAutospacing="0" w:afterAutospacing="0" w:line="360" w:lineRule="auto"/>
        <w:ind w:right="1440" w:firstLine="494"/>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3247390</wp:posOffset>
                </wp:positionH>
                <wp:positionV relativeFrom="paragraph">
                  <wp:posOffset>74930</wp:posOffset>
                </wp:positionV>
                <wp:extent cx="2704465" cy="2268855"/>
                <wp:effectExtent l="4445" t="5080" r="19050" b="1206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6885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55.7pt;margin-top:5.9pt;height:178.65pt;width:212.95pt;z-index:-251657216;mso-width-relative:page;mso-height-relative:page;" fillcolor="#FFFFFF" filled="t" stroked="t" coordsize="21600,21600" o:gfxdata="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7WdHLYAAAACgEAAA8AAAAAAAAAAQAgAAAAIgAAAGRycy9kb3ducmV2LnhtbFBL&#10;AQIUABQAAAAIAIdO4kC2ON/1LwIAAIIEAAAOAAAAAAAAAAEAIAAAACcBAABkcnMvZTJvRG9jLnht&#10;bFBLBQYAAAAABgAGAFkBAADIBQAAAAA=&#10;">
                <v:fill on="t" focussize="0,0"/>
                <v:stroke color="#000000" miterlimit="2" joinstyle="miter"/>
                <v:imagedata o:title=""/>
                <o:lock v:ext="edit" aspectratio="f"/>
              </v:rect>
            </w:pict>
          </mc:Fallback>
        </mc:AlternateContent>
      </w: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color w:val="auto"/>
          <w:spacing w:val="6"/>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autoSpaceDE w:val="0"/>
        <w:autoSpaceDN w:val="0"/>
        <w:bidi w:val="0"/>
        <w:snapToGrid w:val="0"/>
        <w:spacing w:beforeAutospacing="0" w:afterAutospacing="0"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sz w:val="32"/>
          <w:szCs w:val="32"/>
          <w:highlight w:val="none"/>
        </w:rPr>
        <w:t>中小企业声明函</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color w:val="auto"/>
          <w:sz w:val="24"/>
          <w:highlight w:val="none"/>
          <w:u w:val="single"/>
        </w:r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（单位名称） 的 </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pPr>
        <w:kinsoku/>
        <w:wordWrap/>
        <w:overflowPunct/>
        <w:topLinePunct w:val="0"/>
        <w:bidi w:val="0"/>
        <w:snapToGrid w:val="0"/>
        <w:spacing w:beforeAutospacing="0" w:after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pPr>
        <w:kinsoku/>
        <w:wordWrap/>
        <w:overflowPunct/>
        <w:topLinePunct w:val="0"/>
        <w:bidi w:val="0"/>
        <w:snapToGrid w:val="0"/>
        <w:spacing w:beforeAutospacing="0" w:afterAutospacing="0" w:line="360" w:lineRule="auto"/>
        <w:ind w:firstLine="5160" w:firstLineChars="2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kinsoku/>
        <w:wordWrap/>
        <w:overflowPunct/>
        <w:topLinePunct w:val="0"/>
        <w:bidi w:val="0"/>
        <w:snapToGrid w:val="0"/>
        <w:spacing w:beforeAutospacing="0" w:afterAutospacing="0" w:line="360" w:lineRule="auto"/>
        <w:ind w:firstLine="310" w:firstLineChars="147"/>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pPr>
        <w:kinsoku/>
        <w:wordWrap/>
        <w:overflowPunct/>
        <w:topLinePunct w:val="0"/>
        <w:bidi w:val="0"/>
        <w:snapToGrid w:val="0"/>
        <w:spacing w:beforeAutospacing="0" w:afterAutospacing="0" w:line="360" w:lineRule="auto"/>
        <w:ind w:right="420" w:firstLine="480" w:firstLineChars="20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right="42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2"/>
          <w:szCs w:val="32"/>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p>
    <w:p>
      <w:pPr>
        <w:kinsoku/>
        <w:wordWrap/>
        <w:overflowPunct/>
        <w:topLinePunct w:val="0"/>
        <w:bidi w:val="0"/>
        <w:snapToGrid w:val="0"/>
        <w:spacing w:beforeAutospacing="0" w:afterAutospacing="0" w:line="36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中小企业声明函（工程、服务）</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highlight w:val="none"/>
        </w:rPr>
      </w:pPr>
    </w:p>
    <w:p>
      <w:pPr>
        <w:kinsoku/>
        <w:wordWrap/>
        <w:overflowPunct/>
        <w:topLinePunct w:val="0"/>
        <w:bidi w:val="0"/>
        <w:snapToGrid w:val="0"/>
        <w:spacing w:beforeAutospacing="0" w:afterAutospacing="0" w:line="360" w:lineRule="auto"/>
        <w:ind w:firstLine="360" w:firstLineChars="1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（单位名称） 的 </w:t>
      </w:r>
      <w:r>
        <w:rPr>
          <w:rFonts w:hint="eastAsia" w:ascii="宋体" w:hAnsi="宋体" w:eastAsia="宋体" w:cs="宋体"/>
          <w:color w:val="auto"/>
          <w:sz w:val="24"/>
          <w:highlight w:val="none"/>
          <w:lang w:eastAsia="zh-CN"/>
        </w:rPr>
        <w:t>杭州市市场监督管理局</w:t>
      </w:r>
      <w:r>
        <w:rPr>
          <w:rFonts w:hint="eastAsia" w:ascii="宋体" w:hAnsi="宋体" w:cs="宋体"/>
          <w:color w:val="auto"/>
          <w:sz w:val="24"/>
          <w:highlight w:val="none"/>
          <w:lang w:eastAsia="zh-CN"/>
        </w:rPr>
        <w:t>2023年上半年市本级食品生产环节监督抽检</w:t>
      </w:r>
      <w:r>
        <w:rPr>
          <w:rFonts w:hint="eastAsia" w:ascii="宋体" w:hAnsi="宋体" w:eastAsia="宋体" w:cs="宋体"/>
          <w:color w:val="auto"/>
          <w:sz w:val="24"/>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pPr>
        <w:kinsoku/>
        <w:wordWrap/>
        <w:overflowPunct/>
        <w:topLinePunct w:val="0"/>
        <w:bidi w:val="0"/>
        <w:snapToGrid w:val="0"/>
        <w:spacing w:beforeAutospacing="0" w:afterAutospacing="0"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pPr>
        <w:kinsoku/>
        <w:wordWrap/>
        <w:overflowPunct/>
        <w:topLinePunct w:val="0"/>
        <w:bidi w:val="0"/>
        <w:snapToGrid w:val="0"/>
        <w:spacing w:beforeAutospacing="0" w:afterAutospacing="0" w:line="360" w:lineRule="auto"/>
        <w:ind w:firstLine="5160" w:firstLineChars="215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pPr>
        <w:kinsoku/>
        <w:wordWrap/>
        <w:overflowPunct/>
        <w:topLinePunct w:val="0"/>
        <w:bidi w:val="0"/>
        <w:snapToGrid w:val="0"/>
        <w:spacing w:beforeAutospacing="0" w:afterAutospacing="0" w:line="360" w:lineRule="auto"/>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pPr>
        <w:kinsoku/>
        <w:wordWrap/>
        <w:overflowPunct/>
        <w:topLinePunct w:val="0"/>
        <w:bidi w:val="0"/>
        <w:snapToGrid w:val="0"/>
        <w:spacing w:beforeAutospacing="0" w:afterAutospacing="0" w:line="360" w:lineRule="auto"/>
        <w:ind w:firstLine="310" w:firstLineChars="147"/>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pPr>
        <w:kinsoku/>
        <w:wordWrap/>
        <w:overflowPunct/>
        <w:topLinePunct w:val="0"/>
        <w:bidi w:val="0"/>
        <w:snapToGrid w:val="0"/>
        <w:spacing w:beforeAutospacing="0" w:afterAutospacing="0" w:line="360" w:lineRule="auto"/>
        <w:ind w:right="420"/>
        <w:textAlignment w:val="auto"/>
        <w:rPr>
          <w:rFonts w:hint="eastAsia" w:ascii="宋体" w:hAnsi="宋体" w:eastAsia="宋体" w:cs="宋体"/>
          <w:color w:val="auto"/>
          <w:sz w:val="24"/>
          <w:highlight w:val="none"/>
        </w:rPr>
      </w:pPr>
    </w:p>
    <w:p>
      <w:pPr>
        <w:kinsoku/>
        <w:wordWrap/>
        <w:overflowPunct/>
        <w:topLinePunct w:val="0"/>
        <w:bidi w:val="0"/>
        <w:snapToGrid w:val="0"/>
        <w:spacing w:beforeAutospacing="0" w:afterAutospacing="0" w:line="360" w:lineRule="auto"/>
        <w:ind w:right="420" w:firstLine="480" w:firstLineChars="200"/>
        <w:textAlignment w:val="auto"/>
        <w:rPr>
          <w:rFonts w:hint="eastAsia" w:ascii="宋体" w:hAnsi="宋体" w:eastAsia="宋体" w:cs="宋体"/>
          <w:color w:val="auto"/>
          <w:sz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杭州市政府采购供应商服务平台</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操作手册</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供</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应</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商</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部</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分</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2022年4月26日</w:t>
      </w:r>
    </w:p>
    <w:p>
      <w:pPr>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服务电话：0571-87210880</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highlight w:val="none"/>
        </w:rPr>
      </w:pPr>
    </w:p>
    <w:p>
      <w:pPr>
        <w:keepNext/>
        <w:keepLines/>
        <w:pageBreakBefore w:val="0"/>
        <w:widowControl w:val="0"/>
        <w:numPr>
          <w:ilvl w:val="0"/>
          <w:numId w:val="1"/>
        </w:numPr>
        <w:kinsoku/>
        <w:wordWrap/>
        <w:overflowPunct/>
        <w:topLinePunct w:val="0"/>
        <w:autoSpaceDE/>
        <w:autoSpaceDN/>
        <w:bidi w:val="0"/>
        <w:adjustRightInd w:val="0"/>
        <w:snapToGrid w:val="0"/>
        <w:spacing w:before="0" w:after="0" w:line="360" w:lineRule="auto"/>
        <w:ind w:left="1303" w:hanging="420" w:firstLineChars="0"/>
        <w:jc w:val="both"/>
        <w:textAlignment w:val="auto"/>
        <w:outlineLvl w:val="0"/>
        <w:rPr>
          <w:rFonts w:hint="eastAsia" w:ascii="宋体" w:hAnsi="宋体" w:eastAsia="宋体" w:cs="宋体"/>
          <w:b/>
          <w:bCs/>
          <w:kern w:val="44"/>
          <w:sz w:val="44"/>
          <w:szCs w:val="44"/>
          <w:highlight w:val="none"/>
          <w:lang w:val="en-US" w:eastAsia="zh-CN" w:bidi="ar-SA"/>
        </w:rPr>
      </w:pPr>
      <w:bookmarkStart w:id="397" w:name="_Hlk101865073"/>
      <w:r>
        <w:rPr>
          <w:rFonts w:hint="eastAsia" w:ascii="宋体" w:hAnsi="宋体" w:eastAsia="宋体" w:cs="宋体"/>
          <w:b/>
          <w:bCs/>
          <w:kern w:val="44"/>
          <w:sz w:val="44"/>
          <w:szCs w:val="44"/>
          <w:highlight w:val="none"/>
          <w:lang w:val="en-US" w:eastAsia="zh-CN" w:bidi="ar-SA"/>
        </w:rPr>
        <w:t>操作指南</w:t>
      </w:r>
    </w:p>
    <w:p>
      <w:pPr>
        <w:keepNext/>
        <w:keepLines/>
        <w:pageBreakBefore w:val="0"/>
        <w:widowControl w:val="0"/>
        <w:numPr>
          <w:ilvl w:val="0"/>
          <w:numId w:val="2"/>
        </w:numPr>
        <w:kinsoku/>
        <w:wordWrap/>
        <w:overflowPunct/>
        <w:topLinePunct w:val="0"/>
        <w:autoSpaceDE/>
        <w:autoSpaceDN/>
        <w:bidi w:val="0"/>
        <w:adjustRightInd w:val="0"/>
        <w:snapToGrid w:val="0"/>
        <w:spacing w:line="360" w:lineRule="auto"/>
        <w:ind w:left="180" w:hanging="420" w:firstLineChars="0"/>
        <w:jc w:val="left"/>
        <w:textAlignment w:val="auto"/>
        <w:outlineLvl w:val="1"/>
        <w:rPr>
          <w:rFonts w:hint="eastAsia" w:ascii="宋体" w:hAnsi="宋体" w:eastAsia="宋体" w:cs="宋体"/>
          <w:b/>
          <w:bCs/>
          <w:kern w:val="2"/>
          <w:sz w:val="32"/>
          <w:szCs w:val="32"/>
          <w:highlight w:val="none"/>
          <w:lang w:val="zh-CN" w:eastAsia="zh-CN" w:bidi="ar-SA"/>
        </w:rPr>
      </w:pPr>
      <w:r>
        <w:rPr>
          <w:rFonts w:hint="eastAsia" w:ascii="宋体" w:hAnsi="宋体" w:eastAsia="宋体" w:cs="宋体"/>
          <w:b/>
          <w:bCs/>
          <w:kern w:val="2"/>
          <w:sz w:val="32"/>
          <w:szCs w:val="32"/>
          <w:highlight w:val="none"/>
          <w:lang w:val="zh-CN" w:eastAsia="zh-CN" w:bidi="ar-SA"/>
        </w:rPr>
        <w:t>系统登陆</w:t>
      </w: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系统登陆</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系统登录地址（杭州市政府采购网）：http://czj.hangzhou.gov.cn/zfcg </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4310" cy="1321435"/>
            <wp:effectExtent l="0" t="0" r="1397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6"/>
                    <a:stretch>
                      <a:fillRect/>
                    </a:stretch>
                  </pic:blipFill>
                  <pic:spPr>
                    <a:xfrm>
                      <a:off x="0" y="0"/>
                      <a:ext cx="5274310" cy="1321435"/>
                    </a:xfrm>
                    <a:prstGeom prst="rect">
                      <a:avLst/>
                    </a:prstGeom>
                    <a:noFill/>
                    <a:ln>
                      <a:noFill/>
                    </a:ln>
                  </pic:spPr>
                </pic:pic>
              </a:graphicData>
            </a:graphic>
          </wp:inline>
        </w:drawing>
      </w:r>
    </w:p>
    <w:bookmarkEnd w:id="397"/>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bookmarkStart w:id="398" w:name="_Hlk101865089"/>
      <w:r>
        <w:rPr>
          <w:rFonts w:hint="eastAsia" w:ascii="宋体" w:hAnsi="宋体" w:eastAsia="宋体" w:cs="宋体"/>
          <w:sz w:val="24"/>
          <w:szCs w:val="24"/>
          <w:highlight w:val="none"/>
        </w:rPr>
        <w:t>点击【采购监管平台】，点击“供应商入口”：</w:t>
      </w:r>
    </w:p>
    <w:bookmarkEnd w:id="398"/>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325370"/>
            <wp:effectExtent l="9525" t="9525" r="19685"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7"/>
                    <a:stretch>
                      <a:fillRect/>
                    </a:stretch>
                  </pic:blipFill>
                  <pic:spPr>
                    <a:xfrm>
                      <a:off x="0" y="0"/>
                      <a:ext cx="5274310" cy="232537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bookmarkStart w:id="399" w:name="_Hlk101865233"/>
      <w:r>
        <w:rPr>
          <w:rFonts w:hint="eastAsia" w:ascii="宋体" w:hAnsi="宋体" w:eastAsia="宋体" w:cs="宋体"/>
          <w:sz w:val="24"/>
          <w:szCs w:val="24"/>
          <w:highlight w:val="none"/>
        </w:rPr>
        <w:t>登陆名：企业统一社会信用代码；</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密码：无默认密码，需企业自行设置（设置密码见【修改密码】章节）；</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rPr>
        <w:t>企业首次登陆时，输入用户名后，点击【忘记密码】，通过供应商法人手机号接收验证码修改密码（密码强度要求不少于8位且需包含数字和字母，勿输入特殊字符）。</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点击【密码登陆】，如下：</w:t>
      </w:r>
    </w:p>
    <w:bookmarkEnd w:id="399"/>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423795"/>
            <wp:effectExtent l="9525" t="9525" r="19685"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42379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点击【供应商服务平台】，如下：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526030"/>
            <wp:effectExtent l="9525" t="9525" r="1968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4310" cy="252603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修改密码</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在用户登陆页面，填写完成用户名后，点击【忘记密码】，如下：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400300"/>
            <wp:effectExtent l="9525" t="9525" r="1968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4310" cy="240030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397125"/>
            <wp:effectExtent l="9525" t="9525" r="1968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4310" cy="239712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点击【发送验证码】，系统会将验证码发送至</w:t>
      </w:r>
      <w:r>
        <w:rPr>
          <w:rFonts w:hint="eastAsia" w:ascii="宋体" w:hAnsi="宋体" w:eastAsia="宋体" w:cs="宋体"/>
          <w:color w:val="FF0000"/>
          <w:sz w:val="24"/>
          <w:szCs w:val="24"/>
          <w:highlight w:val="none"/>
        </w:rPr>
        <w:t>企业法人手机上</w:t>
      </w:r>
      <w:r>
        <w:rPr>
          <w:rFonts w:hint="eastAsia" w:ascii="宋体" w:hAnsi="宋体" w:eastAsia="宋体" w:cs="宋体"/>
          <w:sz w:val="24"/>
          <w:szCs w:val="24"/>
          <w:highlight w:val="none"/>
        </w:rPr>
        <w:t>（</w:t>
      </w:r>
      <w:r>
        <w:rPr>
          <w:rFonts w:hint="eastAsia" w:ascii="宋体" w:hAnsi="宋体" w:eastAsia="宋体" w:cs="宋体"/>
          <w:color w:val="FF0000"/>
          <w:sz w:val="24"/>
          <w:szCs w:val="24"/>
          <w:highlight w:val="none"/>
        </w:rPr>
        <w:t>注：企业法人手机不会用作其他商业用途</w:t>
      </w:r>
      <w:r>
        <w:rPr>
          <w:rFonts w:hint="eastAsia" w:ascii="宋体" w:hAnsi="宋体" w:eastAsia="宋体" w:cs="宋体"/>
          <w:sz w:val="24"/>
          <w:szCs w:val="24"/>
          <w:highlight w:val="none"/>
        </w:rPr>
        <w:t>），如下：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468880"/>
            <wp:effectExtent l="9525" t="9525" r="19685" b="209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74310" cy="246888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点击【确定】即可完成密码重置。</w:t>
      </w: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账号信息修改</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供应商成功登陆系统后，可根据本身实际情况修改用户名称及账号绑定的手机号（</w:t>
      </w:r>
      <w:r>
        <w:rPr>
          <w:rFonts w:hint="eastAsia" w:ascii="宋体" w:hAnsi="宋体" w:eastAsia="宋体" w:cs="宋体"/>
          <w:color w:val="FF0000"/>
          <w:sz w:val="24"/>
          <w:szCs w:val="24"/>
          <w:highlight w:val="none"/>
        </w:rPr>
        <w:t>注：账号绑定的手机号不会用作其他商业用途，仅限系统提供的短信服务</w:t>
      </w:r>
      <w:r>
        <w:rPr>
          <w:rFonts w:hint="eastAsia" w:ascii="宋体" w:hAnsi="宋体" w:eastAsia="宋体" w:cs="宋体"/>
          <w:sz w:val="24"/>
          <w:szCs w:val="24"/>
          <w:highlight w:val="none"/>
        </w:rPr>
        <w:t>），具体操作如下：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606675"/>
            <wp:effectExtent l="9525" t="9525" r="19685" b="203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5274310" cy="260667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点击右下角“修改信息”，如下：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519045"/>
            <wp:effectExtent l="9525" t="9525" r="19685"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5274310" cy="251904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修改用户名称、移动电话后，点击保存即可。</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修改后的手机号用作密码修改接收验证码、业务温馨短信接收。</w:t>
      </w:r>
    </w:p>
    <w:p>
      <w:pPr>
        <w:keepNext/>
        <w:keepLines/>
        <w:pageBreakBefore w:val="0"/>
        <w:widowControl w:val="0"/>
        <w:numPr>
          <w:ilvl w:val="0"/>
          <w:numId w:val="2"/>
        </w:numPr>
        <w:kinsoku/>
        <w:wordWrap/>
        <w:overflowPunct/>
        <w:topLinePunct w:val="0"/>
        <w:autoSpaceDE/>
        <w:autoSpaceDN/>
        <w:bidi w:val="0"/>
        <w:adjustRightInd w:val="0"/>
        <w:snapToGrid w:val="0"/>
        <w:spacing w:line="360" w:lineRule="auto"/>
        <w:ind w:left="180" w:hanging="420" w:firstLineChars="0"/>
        <w:jc w:val="left"/>
        <w:textAlignment w:val="auto"/>
        <w:outlineLvl w:val="1"/>
        <w:rPr>
          <w:rFonts w:hint="eastAsia" w:ascii="宋体" w:hAnsi="宋体" w:eastAsia="宋体" w:cs="宋体"/>
          <w:b/>
          <w:bCs/>
          <w:kern w:val="2"/>
          <w:sz w:val="32"/>
          <w:szCs w:val="32"/>
          <w:highlight w:val="none"/>
          <w:lang w:val="zh-CN" w:eastAsia="zh-CN" w:bidi="ar-SA"/>
        </w:rPr>
      </w:pPr>
      <w:r>
        <w:rPr>
          <w:rFonts w:hint="eastAsia" w:ascii="宋体" w:hAnsi="宋体" w:eastAsia="宋体" w:cs="宋体"/>
          <w:b/>
          <w:bCs/>
          <w:kern w:val="2"/>
          <w:sz w:val="32"/>
          <w:szCs w:val="32"/>
          <w:highlight w:val="none"/>
          <w:lang w:val="zh-CN" w:eastAsia="zh-CN" w:bidi="ar-SA"/>
        </w:rPr>
        <w:t>支付申请管理</w:t>
      </w:r>
    </w:p>
    <w:p>
      <w:pPr>
        <w:keepNext/>
        <w:keepLines/>
        <w:pageBreakBefore w:val="0"/>
        <w:widowControl w:val="0"/>
        <w:numPr>
          <w:ilvl w:val="0"/>
          <w:numId w:val="3"/>
        </w:numPr>
        <w:kinsoku/>
        <w:wordWrap/>
        <w:overflowPunct/>
        <w:topLinePunct w:val="0"/>
        <w:autoSpaceDE/>
        <w:autoSpaceDN/>
        <w:bidi w:val="0"/>
        <w:adjustRightInd w:val="0"/>
        <w:snapToGrid w:val="0"/>
        <w:spacing w:line="360" w:lineRule="auto"/>
        <w:ind w:left="0" w:firstLine="0" w:firstLineChars="0"/>
        <w:jc w:val="both"/>
        <w:textAlignment w:val="auto"/>
        <w:outlineLvl w:val="2"/>
        <w:rPr>
          <w:rFonts w:hint="eastAsia" w:ascii="宋体" w:hAnsi="宋体" w:eastAsia="宋体" w:cs="宋体"/>
          <w:b/>
          <w:bCs/>
          <w:vanish/>
          <w:kern w:val="2"/>
          <w:sz w:val="24"/>
          <w:szCs w:val="28"/>
          <w:highlight w:val="none"/>
          <w:lang w:val="en-US" w:eastAsia="zh-CN" w:bidi="ar-SA"/>
        </w:rPr>
      </w:pP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已完成支付的合同</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供应商可查看归属本企业的、所有的、已经备案的、且已经完成支付的合同。</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点击左侧菜单【支付申请管理】—&gt;【已支付完成合同】，可查看合同相关信息，如下：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449830"/>
            <wp:effectExtent l="9525" t="9525" r="1968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274310" cy="244983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点击左侧“</w:t>
      </w:r>
      <w:r>
        <w:rPr>
          <w:rFonts w:hint="eastAsia" w:ascii="宋体" w:hAnsi="宋体" w:eastAsia="宋体" w:cs="宋体"/>
          <w:highlight w:val="none"/>
        </w:rPr>
        <w:drawing>
          <wp:inline distT="0" distB="0" distL="114300" distR="114300">
            <wp:extent cx="447675" cy="333375"/>
            <wp:effectExtent l="0" t="0" r="952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a:stretch>
                      <a:fillRect/>
                    </a:stretch>
                  </pic:blipFill>
                  <pic:spPr>
                    <a:xfrm>
                      <a:off x="0" y="0"/>
                      <a:ext cx="447675" cy="333375"/>
                    </a:xfrm>
                    <a:prstGeom prst="rect">
                      <a:avLst/>
                    </a:prstGeom>
                    <a:noFill/>
                    <a:ln>
                      <a:noFill/>
                    </a:ln>
                  </pic:spPr>
                </pic:pic>
              </a:graphicData>
            </a:graphic>
          </wp:inline>
        </w:drawing>
      </w:r>
      <w:r>
        <w:rPr>
          <w:rFonts w:hint="eastAsia" w:ascii="宋体" w:hAnsi="宋体" w:eastAsia="宋体" w:cs="宋体"/>
          <w:sz w:val="24"/>
          <w:szCs w:val="24"/>
          <w:highlight w:val="none"/>
        </w:rPr>
        <w:t>”查看图标，查看合同的具体信息，如下：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040" cy="4617720"/>
            <wp:effectExtent l="9525" t="9525" r="20955" b="209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5273040" cy="4617720"/>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待支付完成的合同</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供应商可查看归属本企业的、所有的、已经备案的、且未支付完成的合同，以及发起合同支付申请。</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点击左侧菜单【支付申请管理】—&gt;【待支付完成合同】，可查看合同相关信息，如下：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444750"/>
            <wp:effectExtent l="9525" t="9525" r="1968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stretch>
                      <a:fillRect/>
                    </a:stretch>
                  </pic:blipFill>
                  <pic:spPr>
                    <a:xfrm>
                      <a:off x="0" y="0"/>
                      <a:ext cx="5274310" cy="244475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点击上图所示“</w:t>
      </w:r>
      <w:r>
        <w:rPr>
          <w:rFonts w:hint="eastAsia" w:ascii="宋体" w:hAnsi="宋体" w:eastAsia="宋体" w:cs="宋体"/>
          <w:highlight w:val="none"/>
        </w:rPr>
        <w:drawing>
          <wp:inline distT="0" distB="0" distL="114300" distR="114300">
            <wp:extent cx="447675" cy="333375"/>
            <wp:effectExtent l="0" t="0" r="952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stretch>
                      <a:fillRect/>
                    </a:stretch>
                  </pic:blipFill>
                  <pic:spPr>
                    <a:xfrm>
                      <a:off x="0" y="0"/>
                      <a:ext cx="447675" cy="333375"/>
                    </a:xfrm>
                    <a:prstGeom prst="rect">
                      <a:avLst/>
                    </a:prstGeom>
                    <a:noFill/>
                    <a:ln>
                      <a:noFill/>
                    </a:ln>
                  </pic:spPr>
                </pic:pic>
              </a:graphicData>
            </a:graphic>
          </wp:inline>
        </w:drawing>
      </w:r>
      <w:r>
        <w:rPr>
          <w:rFonts w:hint="eastAsia" w:ascii="宋体" w:hAnsi="宋体" w:eastAsia="宋体" w:cs="宋体"/>
          <w:sz w:val="24"/>
          <w:szCs w:val="24"/>
          <w:highlight w:val="none"/>
        </w:rPr>
        <w:t>”图标，查看合同详细信息，见【2.1已完成支付的合同】；</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点击上图所示“</w:t>
      </w:r>
      <w:r>
        <w:rPr>
          <w:rFonts w:hint="eastAsia" w:ascii="宋体" w:hAnsi="宋体" w:eastAsia="宋体" w:cs="宋体"/>
          <w:highlight w:val="none"/>
        </w:rPr>
        <w:drawing>
          <wp:inline distT="0" distB="0" distL="114300" distR="114300">
            <wp:extent cx="390525" cy="352425"/>
            <wp:effectExtent l="0" t="0" r="571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stretch>
                      <a:fillRect/>
                    </a:stretch>
                  </pic:blipFill>
                  <pic:spPr>
                    <a:xfrm>
                      <a:off x="0" y="0"/>
                      <a:ext cx="390525" cy="352425"/>
                    </a:xfrm>
                    <a:prstGeom prst="rect">
                      <a:avLst/>
                    </a:prstGeom>
                    <a:noFill/>
                    <a:ln>
                      <a:noFill/>
                    </a:ln>
                  </pic:spPr>
                </pic:pic>
              </a:graphicData>
            </a:graphic>
          </wp:inline>
        </w:drawing>
      </w:r>
      <w:r>
        <w:rPr>
          <w:rFonts w:hint="eastAsia" w:ascii="宋体" w:hAnsi="宋体" w:eastAsia="宋体" w:cs="宋体"/>
          <w:sz w:val="24"/>
          <w:szCs w:val="24"/>
          <w:highlight w:val="none"/>
        </w:rPr>
        <w:t>”图标，对完成支付的合同发起支付申请，如下：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040" cy="3863340"/>
            <wp:effectExtent l="9525" t="9525" r="20955"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a:stretch>
                      <a:fillRect/>
                    </a:stretch>
                  </pic:blipFill>
                  <pic:spPr>
                    <a:xfrm>
                      <a:off x="0" y="0"/>
                      <a:ext cx="5273040" cy="386334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按上图所示填写“申请支付金额”，后点击【保存】，后再点击【提交】，将支付申请提交至采购单位处进行审核。</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rPr>
        <w:t>注意：填写支付申请时，请上传发票信息。1、若为电子发票，则在“发票地址”信息中填写发票地址，多张电子发票时，需将多个发票地址以“英文逗号”隔开（参考示例）；2、在发票附件中，若多张发票，则需将多张发票合并在一个pdf文件或者word文件中进行上传。</w:t>
      </w:r>
    </w:p>
    <w:p>
      <w:pPr>
        <w:keepNext/>
        <w:keepLines/>
        <w:pageBreakBefore w:val="0"/>
        <w:widowControl w:val="0"/>
        <w:numPr>
          <w:ilvl w:val="1"/>
          <w:numId w:val="3"/>
        </w:numPr>
        <w:kinsoku/>
        <w:wordWrap/>
        <w:overflowPunct/>
        <w:topLinePunct w:val="0"/>
        <w:autoSpaceDE/>
        <w:autoSpaceDN/>
        <w:bidi w:val="0"/>
        <w:adjustRightInd w:val="0"/>
        <w:snapToGrid w:val="0"/>
        <w:spacing w:before="0" w:after="0" w:line="360" w:lineRule="auto"/>
        <w:ind w:left="109" w:hanging="567" w:firstLineChars="0"/>
        <w:jc w:val="both"/>
        <w:textAlignment w:val="auto"/>
        <w:outlineLvl w:val="2"/>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我的支付申请</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供应商可在此功能下查看已经申请的支付及已经受理的支付信息。</w:t>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点击左侧菜单【支付申请管理】—&gt;【我的支付申请】—&gt;【办理中的支付信息】，如下：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highlight w:val="none"/>
        </w:rPr>
        <w:drawing>
          <wp:inline distT="0" distB="0" distL="114300" distR="114300">
            <wp:extent cx="5274310" cy="2540635"/>
            <wp:effectExtent l="9525" t="9525" r="1968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5274310" cy="254063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点击上图“</w:t>
      </w:r>
      <w:r>
        <w:rPr>
          <w:rFonts w:hint="eastAsia" w:ascii="宋体" w:hAnsi="宋体" w:eastAsia="宋体" w:cs="宋体"/>
          <w:highlight w:val="none"/>
        </w:rPr>
        <w:drawing>
          <wp:inline distT="0" distB="0" distL="114300" distR="114300">
            <wp:extent cx="447675" cy="333375"/>
            <wp:effectExtent l="0" t="0" r="952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447675" cy="333375"/>
                    </a:xfrm>
                    <a:prstGeom prst="rect">
                      <a:avLst/>
                    </a:prstGeom>
                    <a:noFill/>
                    <a:ln>
                      <a:noFill/>
                    </a:ln>
                  </pic:spPr>
                </pic:pic>
              </a:graphicData>
            </a:graphic>
          </wp:inline>
        </w:drawing>
      </w:r>
      <w:r>
        <w:rPr>
          <w:rFonts w:hint="eastAsia" w:ascii="宋体" w:hAnsi="宋体" w:eastAsia="宋体" w:cs="宋体"/>
          <w:sz w:val="24"/>
          <w:szCs w:val="24"/>
          <w:highlight w:val="none"/>
        </w:rPr>
        <w:t>”查看支付详细信息（其中包含采购单位退回信息），如下：</w:t>
      </w:r>
    </w:p>
    <w:p>
      <w:pPr>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3040" cy="3970020"/>
            <wp:effectExtent l="9525" t="9525" r="209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5273040" cy="397002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left="0" w:firstLine="0"/>
        <w:textAlignment w:val="auto"/>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rPr>
        <w:t>注意：1、供应商提交支付申请后，系统会自动发送短信给采购单位经办人，提醒其尽快受理支付申请事项；2、采购单位经办人在受理供应商的支付申请时，系统会自动发送短信给供应商，告知其支付申请受理结果。</w:t>
      </w:r>
    </w:p>
    <w:p>
      <w:pPr>
        <w:jc w:val="center"/>
        <w:rPr>
          <w:rFonts w:hint="eastAsia" w:ascii="黑体" w:hAnsi="黑体" w:eastAsia="黑体" w:cs="黑体"/>
          <w:sz w:val="44"/>
          <w:szCs w:val="44"/>
          <w:highlight w:val="none"/>
          <w:lang w:val="en-US" w:eastAsia="zh-CN"/>
        </w:rPr>
        <w:sectPr>
          <w:pgSz w:w="11906" w:h="16838"/>
          <w:pgMar w:top="1440" w:right="1800" w:bottom="1440" w:left="1800" w:header="851" w:footer="992" w:gutter="0"/>
          <w:cols w:space="720" w:num="1"/>
          <w:docGrid w:type="lines" w:linePitch="312" w:charSpace="0"/>
        </w:sectPr>
      </w:pPr>
    </w:p>
    <w:p>
      <w:pPr>
        <w:jc w:val="center"/>
        <w:rPr>
          <w:rFonts w:hint="eastAsia" w:ascii="黑体" w:hAnsi="黑体" w:eastAsia="黑体" w:cs="黑体"/>
          <w:sz w:val="44"/>
          <w:szCs w:val="44"/>
          <w:highlight w:val="none"/>
          <w:lang w:val="en-US" w:eastAsia="zh-CN"/>
        </w:rPr>
      </w:pPr>
      <w:r>
        <w:rPr>
          <w:rFonts w:hint="eastAsia" w:ascii="黑体" w:hAnsi="黑体" w:eastAsia="黑体" w:cs="黑体"/>
          <w:sz w:val="44"/>
          <w:szCs w:val="44"/>
          <w:highlight w:val="none"/>
          <w:lang w:val="en-US" w:eastAsia="zh-CN"/>
        </w:rPr>
        <w:t>“政府采购投诉处理”线上投诉操作说明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为推进互联网+政府采购建设，提升监管服务效率，杭州市财政局在浙江政务服务网上开通了政府采购投诉处理线上渠道。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如供应商有政府采购投诉需求，且符合投诉前已依法进行质疑等投诉条件，可在此平台提起政府采购投诉，操作步骤如下：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1.登录浙江政务服务网（杭州市）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fldChar w:fldCharType="begin"/>
      </w:r>
      <w:r>
        <w:rPr>
          <w:rFonts w:hint="default" w:ascii="宋体" w:hAnsi="宋体" w:eastAsia="宋体" w:cs="宋体"/>
          <w:sz w:val="24"/>
          <w:highlight w:val="none"/>
          <w:lang w:val="en-US" w:eastAsia="zh-CN"/>
        </w:rPr>
        <w:instrText xml:space="preserve"> HYPERLINK "https://www.zjzwfw.gov.cn/zjservice/front/index/page.do?webId=2" </w:instrText>
      </w:r>
      <w:r>
        <w:rPr>
          <w:rFonts w:hint="default" w:ascii="宋体" w:hAnsi="宋体" w:eastAsia="宋体" w:cs="宋体"/>
          <w:sz w:val="24"/>
          <w:highlight w:val="none"/>
          <w:lang w:val="en-US" w:eastAsia="zh-CN"/>
        </w:rPr>
        <w:fldChar w:fldCharType="separate"/>
      </w:r>
      <w:r>
        <w:rPr>
          <w:rFonts w:hint="default" w:ascii="宋体" w:hAnsi="宋体" w:eastAsia="宋体" w:cs="宋体"/>
          <w:sz w:val="24"/>
          <w:highlight w:val="none"/>
          <w:lang w:val="en-US" w:eastAsia="zh-CN"/>
        </w:rPr>
        <w:t>https://www.zjzwfw.gov.cn/zjservice/front/index/page.do?webId=2</w:t>
      </w:r>
      <w:r>
        <w:rPr>
          <w:rFonts w:hint="default" w:ascii="宋体" w:hAnsi="宋体" w:eastAsia="宋体" w:cs="宋体"/>
          <w:sz w:val="24"/>
          <w:highlight w:val="none"/>
          <w:lang w:val="en-US" w:eastAsia="zh-CN"/>
        </w:rPr>
        <w:fldChar w:fldCharType="end"/>
      </w:r>
      <w:r>
        <w:rPr>
          <w:rFonts w:hint="eastAsia" w:ascii="宋体" w:hAnsi="宋体" w:eastAsia="宋体" w:cs="宋体"/>
          <w:sz w:val="24"/>
          <w:highlight w:val="none"/>
          <w:lang w:val="en-US" w:eastAsia="zh-CN"/>
        </w:rPr>
        <w:t xml:space="preserve">  用户进行注册登录。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2.在搜索栏搜索“政府采购投诉处理”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Times New Roman" w:hAnsi="Times New Roman" w:eastAsia="宋体" w:cs="Times New Roman"/>
          <w:highlight w:val="none"/>
        </w:rPr>
      </w:pPr>
      <w:r>
        <w:rPr>
          <w:rFonts w:ascii="Times New Roman" w:hAnsi="Times New Roman" w:eastAsia="宋体" w:cs="Times New Roman"/>
          <w:highlight w:val="none"/>
        </w:rPr>
        <w:drawing>
          <wp:inline distT="0" distB="0" distL="114300" distR="114300">
            <wp:extent cx="5268595" cy="1741170"/>
            <wp:effectExtent l="0" t="0" r="4445" b="1143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3"/>
                    <a:stretch>
                      <a:fillRect/>
                    </a:stretch>
                  </pic:blipFill>
                  <pic:spPr>
                    <a:xfrm>
                      <a:off x="0" y="0"/>
                      <a:ext cx="5268595" cy="1741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3.点击“在线办理”进行投诉</w:t>
      </w:r>
    </w:p>
    <w:p>
      <w:pPr>
        <w:keepNext w:val="0"/>
        <w:keepLines w:val="0"/>
        <w:pageBreakBefore w:val="0"/>
        <w:widowControl w:val="0"/>
        <w:tabs>
          <w:tab w:val="left" w:pos="801"/>
        </w:tabs>
        <w:kinsoku/>
        <w:wordWrap/>
        <w:overflowPunct/>
        <w:topLinePunct w:val="0"/>
        <w:autoSpaceDE/>
        <w:autoSpaceDN/>
        <w:bidi w:val="0"/>
        <w:adjustRightInd w:val="0"/>
        <w:snapToGrid w:val="0"/>
        <w:spacing w:line="360" w:lineRule="auto"/>
        <w:jc w:val="both"/>
        <w:textAlignment w:val="auto"/>
        <w:rPr>
          <w:rFonts w:ascii="Times New Roman" w:hAnsi="Times New Roman" w:eastAsia="宋体" w:cs="Times New Roman"/>
          <w:highlight w:val="none"/>
        </w:rPr>
      </w:pPr>
      <w:r>
        <w:rPr>
          <w:rFonts w:ascii="Times New Roman" w:hAnsi="Times New Roman" w:eastAsia="宋体" w:cs="Times New Roman"/>
          <w:highlight w:val="none"/>
        </w:rPr>
        <w:drawing>
          <wp:inline distT="0" distB="0" distL="114300" distR="114300">
            <wp:extent cx="4860290" cy="2080260"/>
            <wp:effectExtent l="0" t="0" r="1270"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4"/>
                    <a:stretch>
                      <a:fillRect/>
                    </a:stretch>
                  </pic:blipFill>
                  <pic:spPr>
                    <a:xfrm>
                      <a:off x="0" y="0"/>
                      <a:ext cx="4860290" cy="2080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4.联系杭州市财政局采购监管部门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在该平台填报完成后，请联系杭州市财政局政府采购监管处。联系人：厉先生，0571-89580456</w:t>
      </w:r>
    </w:p>
    <w:p>
      <w:pPr>
        <w:spacing w:line="360" w:lineRule="auto"/>
        <w:ind w:right="420" w:firstLine="720" w:firstLineChars="3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 xml:space="preserve"> </w:t>
      </w:r>
    </w:p>
    <w:p>
      <w:pPr>
        <w:kinsoku/>
        <w:wordWrap/>
        <w:overflowPunct/>
        <w:topLinePunct w:val="0"/>
        <w:bidi w:val="0"/>
        <w:snapToGrid w:val="0"/>
        <w:spacing w:beforeAutospacing="0" w:afterAutospacing="0" w:line="360" w:lineRule="auto"/>
        <w:textAlignment w:val="auto"/>
        <w:rPr>
          <w:rFonts w:hint="eastAsia" w:ascii="宋体" w:hAnsi="宋体" w:eastAsia="宋体" w:cs="宋体"/>
          <w:bCs/>
          <w:color w:val="auto"/>
          <w:sz w:val="24"/>
          <w:highlight w:val="none"/>
        </w:rPr>
      </w:pPr>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00"/>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400" w:name="_Toc164085800"/>
    <w:bookmarkStart w:id="401" w:name="_Toc131845147"/>
    <w:bookmarkStart w:id="402" w:name="_Toc36110187"/>
    <w:bookmarkStart w:id="403" w:name="_Toc91899912"/>
    <w:r>
      <w:rPr>
        <w:rFonts w:hint="eastAsia" w:ascii="仿宋_GB2312" w:eastAsia="仿宋_GB2312"/>
        <w:kern w:val="0"/>
        <w:szCs w:val="21"/>
      </w:rPr>
      <w:t xml:space="preserve"> 页</w:t>
    </w:r>
    <w:bookmarkEnd w:id="400"/>
    <w:bookmarkEnd w:id="401"/>
    <w:bookmarkEnd w:id="402"/>
    <w:bookmarkEnd w:id="40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71308"/>
    <w:multiLevelType w:val="multilevel"/>
    <w:tmpl w:val="03C71308"/>
    <w:lvl w:ilvl="0" w:tentative="0">
      <w:start w:val="1"/>
      <w:numFmt w:val="decimal"/>
      <w:lvlText w:val="%1"/>
      <w:lvlJc w:val="left"/>
      <w:pPr>
        <w:ind w:left="-458" w:hanging="425"/>
      </w:pPr>
    </w:lvl>
    <w:lvl w:ilvl="1" w:tentative="0">
      <w:start w:val="1"/>
      <w:numFmt w:val="decimal"/>
      <w:lvlText w:val="%1.%2"/>
      <w:lvlJc w:val="left"/>
      <w:pPr>
        <w:ind w:left="109" w:hanging="567"/>
      </w:pPr>
    </w:lvl>
    <w:lvl w:ilvl="2" w:tentative="0">
      <w:start w:val="1"/>
      <w:numFmt w:val="decimal"/>
      <w:lvlText w:val="%1.%2.%3"/>
      <w:lvlJc w:val="left"/>
      <w:pPr>
        <w:ind w:left="535" w:hanging="567"/>
      </w:pPr>
    </w:lvl>
    <w:lvl w:ilvl="3" w:tentative="0">
      <w:start w:val="1"/>
      <w:numFmt w:val="decimal"/>
      <w:lvlText w:val="%1.%2.%3.%4"/>
      <w:lvlJc w:val="left"/>
      <w:pPr>
        <w:ind w:left="1101" w:hanging="708"/>
      </w:pPr>
    </w:lvl>
    <w:lvl w:ilvl="4" w:tentative="0">
      <w:start w:val="1"/>
      <w:numFmt w:val="decimal"/>
      <w:lvlText w:val="%1.%2.%3.%4.%5"/>
      <w:lvlJc w:val="left"/>
      <w:pPr>
        <w:ind w:left="1668" w:hanging="850"/>
      </w:pPr>
    </w:lvl>
    <w:lvl w:ilvl="5" w:tentative="0">
      <w:start w:val="1"/>
      <w:numFmt w:val="decimal"/>
      <w:lvlText w:val="%1.%2.%3.%4.%5.%6"/>
      <w:lvlJc w:val="left"/>
      <w:pPr>
        <w:ind w:left="2377" w:hanging="1134"/>
      </w:pPr>
    </w:lvl>
    <w:lvl w:ilvl="6" w:tentative="0">
      <w:start w:val="1"/>
      <w:numFmt w:val="decimal"/>
      <w:lvlText w:val="%1.%2.%3.%4.%5.%6.%7"/>
      <w:lvlJc w:val="left"/>
      <w:pPr>
        <w:ind w:left="2944" w:hanging="1276"/>
      </w:pPr>
    </w:lvl>
    <w:lvl w:ilvl="7" w:tentative="0">
      <w:start w:val="1"/>
      <w:numFmt w:val="decimal"/>
      <w:lvlText w:val="%1.%2.%3.%4.%5.%6.%7.%8"/>
      <w:lvlJc w:val="left"/>
      <w:pPr>
        <w:ind w:left="3511" w:hanging="1418"/>
      </w:pPr>
    </w:lvl>
    <w:lvl w:ilvl="8" w:tentative="0">
      <w:start w:val="1"/>
      <w:numFmt w:val="decimal"/>
      <w:lvlText w:val="%1.%2.%3.%4.%5.%6.%7.%8.%9"/>
      <w:lvlJc w:val="left"/>
      <w:pPr>
        <w:ind w:left="4219" w:hanging="1700"/>
      </w:pPr>
    </w:lvl>
  </w:abstractNum>
  <w:abstractNum w:abstractNumId="1">
    <w:nsid w:val="36994BA3"/>
    <w:multiLevelType w:val="multilevel"/>
    <w:tmpl w:val="36994BA3"/>
    <w:lvl w:ilvl="0" w:tentative="0">
      <w:start w:val="1"/>
      <w:numFmt w:val="chineseCountingThousand"/>
      <w:lvlText w:val="%1、"/>
      <w:lvlJc w:val="left"/>
      <w:pPr>
        <w:ind w:left="1303" w:hanging="420"/>
      </w:pPr>
    </w:lvl>
    <w:lvl w:ilvl="1" w:tentative="0">
      <w:start w:val="1"/>
      <w:numFmt w:val="lowerLetter"/>
      <w:lvlText w:val="%2)"/>
      <w:lvlJc w:val="left"/>
      <w:pPr>
        <w:ind w:left="1723" w:hanging="420"/>
      </w:pPr>
    </w:lvl>
    <w:lvl w:ilvl="2" w:tentative="0">
      <w:start w:val="1"/>
      <w:numFmt w:val="lowerRoman"/>
      <w:lvlText w:val="%3."/>
      <w:lvlJc w:val="right"/>
      <w:pPr>
        <w:ind w:left="2143" w:hanging="420"/>
      </w:pPr>
    </w:lvl>
    <w:lvl w:ilvl="3" w:tentative="0">
      <w:start w:val="1"/>
      <w:numFmt w:val="decimal"/>
      <w:lvlText w:val="%4."/>
      <w:lvlJc w:val="left"/>
      <w:pPr>
        <w:ind w:left="2563" w:hanging="420"/>
      </w:pPr>
    </w:lvl>
    <w:lvl w:ilvl="4" w:tentative="0">
      <w:start w:val="1"/>
      <w:numFmt w:val="lowerLetter"/>
      <w:lvlText w:val="%5)"/>
      <w:lvlJc w:val="left"/>
      <w:pPr>
        <w:ind w:left="2983" w:hanging="420"/>
      </w:pPr>
    </w:lvl>
    <w:lvl w:ilvl="5" w:tentative="0">
      <w:start w:val="1"/>
      <w:numFmt w:val="lowerRoman"/>
      <w:lvlText w:val="%6."/>
      <w:lvlJc w:val="right"/>
      <w:pPr>
        <w:ind w:left="3403" w:hanging="420"/>
      </w:pPr>
    </w:lvl>
    <w:lvl w:ilvl="6" w:tentative="0">
      <w:start w:val="1"/>
      <w:numFmt w:val="decimal"/>
      <w:lvlText w:val="%7."/>
      <w:lvlJc w:val="left"/>
      <w:pPr>
        <w:ind w:left="3823" w:hanging="420"/>
      </w:pPr>
    </w:lvl>
    <w:lvl w:ilvl="7" w:tentative="0">
      <w:start w:val="1"/>
      <w:numFmt w:val="lowerLetter"/>
      <w:lvlText w:val="%8)"/>
      <w:lvlJc w:val="left"/>
      <w:pPr>
        <w:ind w:left="4243" w:hanging="420"/>
      </w:pPr>
    </w:lvl>
    <w:lvl w:ilvl="8" w:tentative="0">
      <w:start w:val="1"/>
      <w:numFmt w:val="lowerRoman"/>
      <w:lvlText w:val="%9."/>
      <w:lvlJc w:val="right"/>
      <w:pPr>
        <w:ind w:left="4663" w:hanging="420"/>
      </w:pPr>
    </w:lvl>
  </w:abstractNum>
  <w:abstractNum w:abstractNumId="2">
    <w:nsid w:val="5F0B60A3"/>
    <w:multiLevelType w:val="multilevel"/>
    <w:tmpl w:val="5F0B60A3"/>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lYjBjNjYwZjlkMmE3MDE0YTZiNDk4NTI1OGM1MD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21B54"/>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086E18"/>
    <w:rsid w:val="0E2E03E5"/>
    <w:rsid w:val="0E5604B2"/>
    <w:rsid w:val="0E6D5D79"/>
    <w:rsid w:val="0E9D0089"/>
    <w:rsid w:val="0EB803EE"/>
    <w:rsid w:val="0EBD5526"/>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113994"/>
    <w:rsid w:val="11253BB2"/>
    <w:rsid w:val="11266F33"/>
    <w:rsid w:val="118963A1"/>
    <w:rsid w:val="1198621E"/>
    <w:rsid w:val="11C6522A"/>
    <w:rsid w:val="11E104CC"/>
    <w:rsid w:val="11E20309"/>
    <w:rsid w:val="12170E29"/>
    <w:rsid w:val="12255233"/>
    <w:rsid w:val="12530213"/>
    <w:rsid w:val="127723A9"/>
    <w:rsid w:val="12862074"/>
    <w:rsid w:val="12883966"/>
    <w:rsid w:val="129E45B4"/>
    <w:rsid w:val="12D81596"/>
    <w:rsid w:val="13072A44"/>
    <w:rsid w:val="134A2EF2"/>
    <w:rsid w:val="135F4BE2"/>
    <w:rsid w:val="13656BD6"/>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964D4E"/>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C472E"/>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D252C"/>
    <w:rsid w:val="29345E77"/>
    <w:rsid w:val="294C65AD"/>
    <w:rsid w:val="29806583"/>
    <w:rsid w:val="298B3C4C"/>
    <w:rsid w:val="29F26D24"/>
    <w:rsid w:val="2A15033F"/>
    <w:rsid w:val="2A1662C1"/>
    <w:rsid w:val="2A1C7367"/>
    <w:rsid w:val="2A2815FA"/>
    <w:rsid w:val="2A6D6092"/>
    <w:rsid w:val="2A7D76B4"/>
    <w:rsid w:val="2B0D7045"/>
    <w:rsid w:val="2B437463"/>
    <w:rsid w:val="2B7807EE"/>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512C3"/>
    <w:rsid w:val="2EBB0FEE"/>
    <w:rsid w:val="2EC63002"/>
    <w:rsid w:val="2F0A6B38"/>
    <w:rsid w:val="2F946CCB"/>
    <w:rsid w:val="2FD25781"/>
    <w:rsid w:val="2FFD7934"/>
    <w:rsid w:val="30467C51"/>
    <w:rsid w:val="30733ACD"/>
    <w:rsid w:val="308C3862"/>
    <w:rsid w:val="309379D8"/>
    <w:rsid w:val="30A270F7"/>
    <w:rsid w:val="30DF1478"/>
    <w:rsid w:val="30EC586F"/>
    <w:rsid w:val="311C5219"/>
    <w:rsid w:val="31993900"/>
    <w:rsid w:val="319C6071"/>
    <w:rsid w:val="31AC537E"/>
    <w:rsid w:val="31E3679B"/>
    <w:rsid w:val="31E732FD"/>
    <w:rsid w:val="32517576"/>
    <w:rsid w:val="32BE5C2C"/>
    <w:rsid w:val="32FB6478"/>
    <w:rsid w:val="3313076B"/>
    <w:rsid w:val="3314439D"/>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431F07"/>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112002"/>
    <w:rsid w:val="393671C3"/>
    <w:rsid w:val="39636459"/>
    <w:rsid w:val="396B7F6C"/>
    <w:rsid w:val="39B417A9"/>
    <w:rsid w:val="39FC5695"/>
    <w:rsid w:val="3A001059"/>
    <w:rsid w:val="3A006D8E"/>
    <w:rsid w:val="3A3651E5"/>
    <w:rsid w:val="3A744481"/>
    <w:rsid w:val="3A8C7BEF"/>
    <w:rsid w:val="3A906246"/>
    <w:rsid w:val="3B0B501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005C7"/>
    <w:rsid w:val="3D8734BB"/>
    <w:rsid w:val="3D9A11D4"/>
    <w:rsid w:val="3DA16D89"/>
    <w:rsid w:val="3DA364BE"/>
    <w:rsid w:val="3DE041CB"/>
    <w:rsid w:val="3E0D48F6"/>
    <w:rsid w:val="3E1868B4"/>
    <w:rsid w:val="3E377251"/>
    <w:rsid w:val="3E42664B"/>
    <w:rsid w:val="3E437A04"/>
    <w:rsid w:val="3E5A7334"/>
    <w:rsid w:val="3E7B5D6B"/>
    <w:rsid w:val="3E843E66"/>
    <w:rsid w:val="3E8F51FE"/>
    <w:rsid w:val="3E926F87"/>
    <w:rsid w:val="3E9A59DE"/>
    <w:rsid w:val="3EAF4836"/>
    <w:rsid w:val="3EC33DFA"/>
    <w:rsid w:val="3EDB672A"/>
    <w:rsid w:val="3F060E16"/>
    <w:rsid w:val="3F1D1096"/>
    <w:rsid w:val="3F2F0234"/>
    <w:rsid w:val="3F6363FE"/>
    <w:rsid w:val="3F756B8F"/>
    <w:rsid w:val="3F95482B"/>
    <w:rsid w:val="3FD1541C"/>
    <w:rsid w:val="3FDF0177"/>
    <w:rsid w:val="4019356B"/>
    <w:rsid w:val="40592157"/>
    <w:rsid w:val="406E1CAE"/>
    <w:rsid w:val="40903C49"/>
    <w:rsid w:val="40A0133A"/>
    <w:rsid w:val="40C31A53"/>
    <w:rsid w:val="40FF545D"/>
    <w:rsid w:val="410067C8"/>
    <w:rsid w:val="418F0D2A"/>
    <w:rsid w:val="4193398D"/>
    <w:rsid w:val="419D6715"/>
    <w:rsid w:val="41D01505"/>
    <w:rsid w:val="41EE7A21"/>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E81FD4"/>
    <w:rsid w:val="4809698F"/>
    <w:rsid w:val="4811697D"/>
    <w:rsid w:val="486333D9"/>
    <w:rsid w:val="487A3E25"/>
    <w:rsid w:val="488B5503"/>
    <w:rsid w:val="48937E21"/>
    <w:rsid w:val="489A0361"/>
    <w:rsid w:val="48B94FF3"/>
    <w:rsid w:val="48E37AAB"/>
    <w:rsid w:val="48FD4B4C"/>
    <w:rsid w:val="490A68E0"/>
    <w:rsid w:val="491055FE"/>
    <w:rsid w:val="49526C9E"/>
    <w:rsid w:val="495F5B3E"/>
    <w:rsid w:val="496F77D7"/>
    <w:rsid w:val="497654FD"/>
    <w:rsid w:val="49B64211"/>
    <w:rsid w:val="49F6167F"/>
    <w:rsid w:val="4A064FA0"/>
    <w:rsid w:val="4A16615C"/>
    <w:rsid w:val="4A4424D7"/>
    <w:rsid w:val="4A5F2F25"/>
    <w:rsid w:val="4AB82D0F"/>
    <w:rsid w:val="4AEB7664"/>
    <w:rsid w:val="4AFD7C19"/>
    <w:rsid w:val="4B0567D1"/>
    <w:rsid w:val="4B236AAE"/>
    <w:rsid w:val="4B707271"/>
    <w:rsid w:val="4B9739F7"/>
    <w:rsid w:val="4BEE2503"/>
    <w:rsid w:val="4C245A30"/>
    <w:rsid w:val="4C25500A"/>
    <w:rsid w:val="4CA62C31"/>
    <w:rsid w:val="4CB6685F"/>
    <w:rsid w:val="4CC367FE"/>
    <w:rsid w:val="4D077F3C"/>
    <w:rsid w:val="4D123355"/>
    <w:rsid w:val="4D2A3B31"/>
    <w:rsid w:val="4D312C52"/>
    <w:rsid w:val="4D6740D7"/>
    <w:rsid w:val="4D905305"/>
    <w:rsid w:val="4D964A72"/>
    <w:rsid w:val="4D9C1254"/>
    <w:rsid w:val="4DBA780F"/>
    <w:rsid w:val="4DFF4FEC"/>
    <w:rsid w:val="4E793892"/>
    <w:rsid w:val="4E800872"/>
    <w:rsid w:val="4EA76680"/>
    <w:rsid w:val="4EC569ED"/>
    <w:rsid w:val="4ED50EA1"/>
    <w:rsid w:val="4EEC050C"/>
    <w:rsid w:val="4F104EC3"/>
    <w:rsid w:val="4F47354A"/>
    <w:rsid w:val="4F911C54"/>
    <w:rsid w:val="4FE625E0"/>
    <w:rsid w:val="5021480F"/>
    <w:rsid w:val="507537AB"/>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1F500C5"/>
    <w:rsid w:val="522E4CC3"/>
    <w:rsid w:val="5244713B"/>
    <w:rsid w:val="52615633"/>
    <w:rsid w:val="52750905"/>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521D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6F5C48"/>
    <w:rsid w:val="58917D2F"/>
    <w:rsid w:val="5894085C"/>
    <w:rsid w:val="58AE4F0C"/>
    <w:rsid w:val="58B85899"/>
    <w:rsid w:val="58E363A9"/>
    <w:rsid w:val="595E1678"/>
    <w:rsid w:val="596D5BD4"/>
    <w:rsid w:val="597E3DD8"/>
    <w:rsid w:val="59A2322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CE9261B"/>
    <w:rsid w:val="5D0C4701"/>
    <w:rsid w:val="5D0F0395"/>
    <w:rsid w:val="5D221076"/>
    <w:rsid w:val="5D397964"/>
    <w:rsid w:val="5D5A391C"/>
    <w:rsid w:val="5D5F10C0"/>
    <w:rsid w:val="5D891B7B"/>
    <w:rsid w:val="5DAD38EE"/>
    <w:rsid w:val="5E006862"/>
    <w:rsid w:val="5E0207B9"/>
    <w:rsid w:val="5E1834A1"/>
    <w:rsid w:val="5E261785"/>
    <w:rsid w:val="5E36741C"/>
    <w:rsid w:val="5E3B225B"/>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1F1846"/>
    <w:rsid w:val="61421856"/>
    <w:rsid w:val="615227C4"/>
    <w:rsid w:val="61654E3F"/>
    <w:rsid w:val="6182292A"/>
    <w:rsid w:val="619F7F92"/>
    <w:rsid w:val="61CE0E2A"/>
    <w:rsid w:val="61F94C26"/>
    <w:rsid w:val="62000E56"/>
    <w:rsid w:val="624F3E49"/>
    <w:rsid w:val="62632286"/>
    <w:rsid w:val="62885958"/>
    <w:rsid w:val="629A572E"/>
    <w:rsid w:val="62F40B65"/>
    <w:rsid w:val="62FC2CFE"/>
    <w:rsid w:val="63024505"/>
    <w:rsid w:val="635B1DB5"/>
    <w:rsid w:val="63711FED"/>
    <w:rsid w:val="63880DDC"/>
    <w:rsid w:val="638D750D"/>
    <w:rsid w:val="63AC6CC0"/>
    <w:rsid w:val="64055776"/>
    <w:rsid w:val="64240056"/>
    <w:rsid w:val="643E143A"/>
    <w:rsid w:val="648B6EEF"/>
    <w:rsid w:val="64BF5921"/>
    <w:rsid w:val="64C158BF"/>
    <w:rsid w:val="64CE2EAA"/>
    <w:rsid w:val="653C3090"/>
    <w:rsid w:val="65854376"/>
    <w:rsid w:val="658767BE"/>
    <w:rsid w:val="65892531"/>
    <w:rsid w:val="65DD2635"/>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901FFC"/>
    <w:rsid w:val="69CC2BFF"/>
    <w:rsid w:val="69FD55B8"/>
    <w:rsid w:val="6A0B1C62"/>
    <w:rsid w:val="6A2406C8"/>
    <w:rsid w:val="6ADE0BD1"/>
    <w:rsid w:val="6AE96859"/>
    <w:rsid w:val="6B147746"/>
    <w:rsid w:val="6B24787C"/>
    <w:rsid w:val="6B573233"/>
    <w:rsid w:val="6B5B6274"/>
    <w:rsid w:val="6B5E7287"/>
    <w:rsid w:val="6B935D53"/>
    <w:rsid w:val="6C196F71"/>
    <w:rsid w:val="6C226FCB"/>
    <w:rsid w:val="6C31226F"/>
    <w:rsid w:val="6C552F0B"/>
    <w:rsid w:val="6C8C67B7"/>
    <w:rsid w:val="6C9D744C"/>
    <w:rsid w:val="6D167928"/>
    <w:rsid w:val="6D26299B"/>
    <w:rsid w:val="6D4772EC"/>
    <w:rsid w:val="6D9078AF"/>
    <w:rsid w:val="6D9D418E"/>
    <w:rsid w:val="6DAA3FEF"/>
    <w:rsid w:val="6DC0172B"/>
    <w:rsid w:val="6DCB690C"/>
    <w:rsid w:val="6DD41A5B"/>
    <w:rsid w:val="6DF43C2E"/>
    <w:rsid w:val="6DF51CA3"/>
    <w:rsid w:val="6E1E7249"/>
    <w:rsid w:val="6E8335BD"/>
    <w:rsid w:val="6E8E12EF"/>
    <w:rsid w:val="6E972936"/>
    <w:rsid w:val="6ED446C5"/>
    <w:rsid w:val="6F2A7D94"/>
    <w:rsid w:val="6F7D0C63"/>
    <w:rsid w:val="6F8331F1"/>
    <w:rsid w:val="6FA7326B"/>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2765F1"/>
    <w:rsid w:val="73C0646E"/>
    <w:rsid w:val="742222F5"/>
    <w:rsid w:val="74476126"/>
    <w:rsid w:val="74706664"/>
    <w:rsid w:val="747F3682"/>
    <w:rsid w:val="749C4185"/>
    <w:rsid w:val="75067759"/>
    <w:rsid w:val="752E6DCD"/>
    <w:rsid w:val="753E2942"/>
    <w:rsid w:val="7551380D"/>
    <w:rsid w:val="75600BE5"/>
    <w:rsid w:val="7564475C"/>
    <w:rsid w:val="757064DE"/>
    <w:rsid w:val="7583797F"/>
    <w:rsid w:val="75D14E82"/>
    <w:rsid w:val="75D20F1D"/>
    <w:rsid w:val="75DA2C18"/>
    <w:rsid w:val="75EE0F5B"/>
    <w:rsid w:val="75F54412"/>
    <w:rsid w:val="761D08E0"/>
    <w:rsid w:val="765D347C"/>
    <w:rsid w:val="76826699"/>
    <w:rsid w:val="76C87133"/>
    <w:rsid w:val="76CD08D5"/>
    <w:rsid w:val="76DB4B92"/>
    <w:rsid w:val="77052AA4"/>
    <w:rsid w:val="77136511"/>
    <w:rsid w:val="77340A39"/>
    <w:rsid w:val="77351FD0"/>
    <w:rsid w:val="77472422"/>
    <w:rsid w:val="777F31F2"/>
    <w:rsid w:val="778E4093"/>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23D48"/>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50D50"/>
    <w:rsid w:val="7D491C6C"/>
    <w:rsid w:val="7D5429C0"/>
    <w:rsid w:val="7D6E6D43"/>
    <w:rsid w:val="7DB57A34"/>
    <w:rsid w:val="7DE60973"/>
    <w:rsid w:val="7DEF0916"/>
    <w:rsid w:val="7E1E5218"/>
    <w:rsid w:val="7E9A4E1F"/>
    <w:rsid w:val="7EA7723A"/>
    <w:rsid w:val="7EF56FBB"/>
    <w:rsid w:val="7F0768EB"/>
    <w:rsid w:val="7F143BEC"/>
    <w:rsid w:val="7F3E374F"/>
    <w:rsid w:val="7F715AF2"/>
    <w:rsid w:val="7F886E69"/>
    <w:rsid w:val="7FAF4D47"/>
    <w:rsid w:val="BB7FA927"/>
    <w:rsid w:val="CE67AC37"/>
    <w:rsid w:val="DFE31F33"/>
    <w:rsid w:val="E87B4B98"/>
    <w:rsid w:val="EEBE81D5"/>
    <w:rsid w:val="EFBE7735"/>
    <w:rsid w:val="F5FFD31F"/>
    <w:rsid w:val="FBFD1746"/>
    <w:rsid w:val="FEE45A4E"/>
    <w:rsid w:val="FFD80A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8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9"/>
    <w:qFormat/>
    <w:uiPriority w:val="0"/>
    <w:pPr>
      <w:shd w:val="clear" w:color="auto" w:fill="000080"/>
    </w:pPr>
  </w:style>
  <w:style w:type="paragraph" w:styleId="19">
    <w:name w:val="annotation text"/>
    <w:basedOn w:val="1"/>
    <w:link w:val="90"/>
    <w:qFormat/>
    <w:uiPriority w:val="99"/>
    <w:pPr>
      <w:jc w:val="left"/>
    </w:pPr>
  </w:style>
  <w:style w:type="paragraph" w:styleId="20">
    <w:name w:val="Salutation"/>
    <w:basedOn w:val="1"/>
    <w:next w:val="1"/>
    <w:link w:val="91"/>
    <w:qFormat/>
    <w:uiPriority w:val="0"/>
    <w:rPr>
      <w:rFonts w:ascii="仿宋_GB2312" w:eastAsia="仿宋_GB2312"/>
      <w:sz w:val="28"/>
      <w:szCs w:val="20"/>
    </w:rPr>
  </w:style>
  <w:style w:type="paragraph" w:styleId="21">
    <w:name w:val="Body Text 3"/>
    <w:basedOn w:val="1"/>
    <w:link w:val="92"/>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79"/>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4"/>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6"/>
    <w:qFormat/>
    <w:uiPriority w:val="0"/>
    <w:pPr>
      <w:ind w:left="100" w:leftChars="2500"/>
    </w:pPr>
    <w:rPr>
      <w:rFonts w:ascii="宋体"/>
      <w:sz w:val="24"/>
      <w:szCs w:val="21"/>
      <w:lang w:val="zh-CN"/>
    </w:rPr>
  </w:style>
  <w:style w:type="paragraph" w:styleId="36">
    <w:name w:val="Body Text Indent 2"/>
    <w:basedOn w:val="1"/>
    <w:link w:val="97"/>
    <w:qFormat/>
    <w:uiPriority w:val="0"/>
    <w:pPr>
      <w:spacing w:line="360" w:lineRule="auto"/>
      <w:ind w:firstLine="601"/>
      <w:textAlignment w:val="baseline"/>
    </w:pPr>
    <w:rPr>
      <w:rFonts w:ascii="宋体"/>
      <w:kern w:val="0"/>
      <w:sz w:val="28"/>
      <w:szCs w:val="20"/>
    </w:rPr>
  </w:style>
  <w:style w:type="paragraph" w:styleId="37">
    <w:name w:val="endnote text"/>
    <w:basedOn w:val="1"/>
    <w:link w:val="98"/>
    <w:qFormat/>
    <w:uiPriority w:val="0"/>
    <w:rPr>
      <w:lang w:val="zh-CN"/>
    </w:rPr>
  </w:style>
  <w:style w:type="paragraph" w:styleId="38">
    <w:name w:val="Balloon Text"/>
    <w:basedOn w:val="1"/>
    <w:link w:val="99"/>
    <w:qFormat/>
    <w:uiPriority w:val="0"/>
    <w:rPr>
      <w:sz w:val="18"/>
      <w:szCs w:val="18"/>
    </w:rPr>
  </w:style>
  <w:style w:type="paragraph" w:styleId="39">
    <w:name w:val="footer"/>
    <w:basedOn w:val="1"/>
    <w:link w:val="100"/>
    <w:qFormat/>
    <w:uiPriority w:val="99"/>
    <w:pPr>
      <w:tabs>
        <w:tab w:val="center" w:pos="4153"/>
        <w:tab w:val="right" w:pos="8306"/>
      </w:tabs>
      <w:snapToGrid w:val="0"/>
      <w:jc w:val="left"/>
    </w:pPr>
    <w:rPr>
      <w:sz w:val="18"/>
      <w:szCs w:val="18"/>
    </w:rPr>
  </w:style>
  <w:style w:type="paragraph" w:styleId="40">
    <w:name w:val="header"/>
    <w:basedOn w:val="1"/>
    <w:link w:val="10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2"/>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104"/>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106"/>
    <w:qFormat/>
    <w:uiPriority w:val="0"/>
    <w:pPr>
      <w:spacing w:after="120" w:line="480" w:lineRule="auto"/>
    </w:pPr>
  </w:style>
  <w:style w:type="paragraph" w:styleId="56">
    <w:name w:val="HTML Preformatted"/>
    <w:basedOn w:val="1"/>
    <w:link w:val="1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8"/>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109"/>
    <w:qFormat/>
    <w:uiPriority w:val="0"/>
    <w:rPr>
      <w:b/>
      <w:bCs/>
    </w:rPr>
  </w:style>
  <w:style w:type="paragraph" w:styleId="60">
    <w:name w:val="Body Text First Indent"/>
    <w:basedOn w:val="23"/>
    <w:link w:val="110"/>
    <w:qFormat/>
    <w:uiPriority w:val="0"/>
    <w:pPr>
      <w:ind w:firstLine="420"/>
    </w:pPr>
    <w:rPr>
      <w:rFonts w:hAnsi="Calibri" w:cs="Times New Roman"/>
      <w:snapToGrid/>
      <w:szCs w:val="20"/>
    </w:rPr>
  </w:style>
  <w:style w:type="paragraph" w:styleId="61">
    <w:name w:val="Body Text First Indent 2"/>
    <w:basedOn w:val="24"/>
    <w:link w:val="11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正文文本缩进 Char3"/>
    <w:link w:val="24"/>
    <w:qFormat/>
    <w:uiPriority w:val="0"/>
    <w:rPr>
      <w:rFonts w:ascii="宋体" w:hAnsi="宋体"/>
      <w:kern w:val="2"/>
      <w:sz w:val="24"/>
      <w:szCs w:val="24"/>
    </w:rPr>
  </w:style>
  <w:style w:type="character" w:customStyle="1" w:styleId="80">
    <w:name w:val="标题 1 Char"/>
    <w:link w:val="3"/>
    <w:qFormat/>
    <w:uiPriority w:val="9"/>
    <w:rPr>
      <w:b/>
      <w:bCs/>
      <w:kern w:val="44"/>
      <w:sz w:val="44"/>
      <w:szCs w:val="44"/>
    </w:rPr>
  </w:style>
  <w:style w:type="character" w:customStyle="1" w:styleId="81">
    <w:name w:val="正文缩进 Char2"/>
    <w:link w:val="5"/>
    <w:qFormat/>
    <w:uiPriority w:val="0"/>
    <w:rPr>
      <w:rFonts w:ascii="宋体" w:eastAsia="宋体"/>
      <w:snapToGrid w:val="0"/>
      <w:color w:val="000000"/>
      <w:kern w:val="28"/>
      <w:sz w:val="28"/>
      <w:lang w:val="en-US" w:eastAsia="zh-CN" w:bidi="ar-SA"/>
    </w:rPr>
  </w:style>
  <w:style w:type="character" w:customStyle="1" w:styleId="82">
    <w:name w:val="标题 4 Char2"/>
    <w:link w:val="6"/>
    <w:qFormat/>
    <w:uiPriority w:val="9"/>
    <w:rPr>
      <w:rFonts w:ascii="Arial" w:hAnsi="Arial" w:eastAsia="黑体"/>
      <w:b/>
      <w:bCs/>
      <w:kern w:val="2"/>
      <w:sz w:val="28"/>
      <w:szCs w:val="28"/>
      <w:lang w:val="zh-CN"/>
    </w:rPr>
  </w:style>
  <w:style w:type="character" w:customStyle="1" w:styleId="83">
    <w:name w:val="标题 5 Char"/>
    <w:link w:val="7"/>
    <w:qFormat/>
    <w:uiPriority w:val="9"/>
    <w:rPr>
      <w:b/>
      <w:bCs/>
      <w:kern w:val="2"/>
      <w:sz w:val="28"/>
      <w:szCs w:val="28"/>
    </w:rPr>
  </w:style>
  <w:style w:type="character" w:customStyle="1" w:styleId="84">
    <w:name w:val="标题 6 Char"/>
    <w:link w:val="8"/>
    <w:qFormat/>
    <w:uiPriority w:val="0"/>
    <w:rPr>
      <w:rFonts w:ascii="Arial" w:hAnsi="Arial" w:eastAsia="黑体"/>
      <w:b/>
      <w:bCs/>
      <w:kern w:val="2"/>
      <w:sz w:val="24"/>
      <w:szCs w:val="24"/>
    </w:rPr>
  </w:style>
  <w:style w:type="character" w:customStyle="1" w:styleId="85">
    <w:name w:val="标题 7 Char"/>
    <w:link w:val="9"/>
    <w:qFormat/>
    <w:uiPriority w:val="0"/>
    <w:rPr>
      <w:b/>
      <w:bCs/>
      <w:kern w:val="2"/>
      <w:sz w:val="24"/>
      <w:szCs w:val="24"/>
    </w:rPr>
  </w:style>
  <w:style w:type="character" w:customStyle="1" w:styleId="86">
    <w:name w:val="标题 8 Char"/>
    <w:link w:val="10"/>
    <w:qFormat/>
    <w:uiPriority w:val="0"/>
    <w:rPr>
      <w:rFonts w:ascii="Arial" w:hAnsi="Arial" w:eastAsia="黑体"/>
      <w:kern w:val="2"/>
      <w:sz w:val="24"/>
      <w:szCs w:val="24"/>
    </w:rPr>
  </w:style>
  <w:style w:type="character" w:customStyle="1" w:styleId="87">
    <w:name w:val="标题 9 Char"/>
    <w:link w:val="11"/>
    <w:qFormat/>
    <w:uiPriority w:val="0"/>
    <w:rPr>
      <w:rFonts w:ascii="Arial" w:hAnsi="Arial" w:eastAsia="黑体"/>
      <w:kern w:val="2"/>
      <w:sz w:val="21"/>
      <w:szCs w:val="21"/>
    </w:rPr>
  </w:style>
  <w:style w:type="character" w:customStyle="1" w:styleId="88">
    <w:name w:val="题注 Char"/>
    <w:link w:val="16"/>
    <w:qFormat/>
    <w:uiPriority w:val="0"/>
    <w:rPr>
      <w:b/>
      <w:kern w:val="2"/>
      <w:sz w:val="28"/>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称呼 Char"/>
    <w:link w:val="20"/>
    <w:qFormat/>
    <w:uiPriority w:val="0"/>
    <w:rPr>
      <w:rFonts w:ascii="仿宋_GB2312" w:eastAsia="仿宋_GB2312"/>
      <w:kern w:val="2"/>
      <w:sz w:val="28"/>
    </w:rPr>
  </w:style>
  <w:style w:type="character" w:customStyle="1" w:styleId="92">
    <w:name w:val="正文文本 3 Char"/>
    <w:link w:val="21"/>
    <w:qFormat/>
    <w:uiPriority w:val="0"/>
    <w:rPr>
      <w:kern w:val="2"/>
      <w:sz w:val="21"/>
    </w:rPr>
  </w:style>
  <w:style w:type="character" w:customStyle="1" w:styleId="9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
    <w:name w:val="HTML 地址 Char"/>
    <w:link w:val="29"/>
    <w:qFormat/>
    <w:uiPriority w:val="0"/>
    <w:rPr>
      <w:rFonts w:ascii="宋体" w:hAnsi="宋体"/>
      <w:i/>
      <w:iCs/>
      <w:sz w:val="24"/>
      <w:szCs w:val="24"/>
    </w:rPr>
  </w:style>
  <w:style w:type="character" w:customStyle="1" w:styleId="9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96">
    <w:name w:val="日期 Char"/>
    <w:link w:val="35"/>
    <w:qFormat/>
    <w:uiPriority w:val="0"/>
    <w:rPr>
      <w:rFonts w:ascii="宋体"/>
      <w:kern w:val="2"/>
      <w:sz w:val="24"/>
      <w:szCs w:val="21"/>
      <w:lang w:val="zh-CN"/>
    </w:rPr>
  </w:style>
  <w:style w:type="character" w:customStyle="1" w:styleId="97">
    <w:name w:val="正文文本缩进 2 Char"/>
    <w:link w:val="36"/>
    <w:qFormat/>
    <w:uiPriority w:val="0"/>
    <w:rPr>
      <w:rFonts w:ascii="宋体"/>
      <w:sz w:val="28"/>
    </w:rPr>
  </w:style>
  <w:style w:type="character" w:customStyle="1" w:styleId="98">
    <w:name w:val="尾注文本 Char"/>
    <w:link w:val="37"/>
    <w:qFormat/>
    <w:uiPriority w:val="0"/>
    <w:rPr>
      <w:kern w:val="2"/>
      <w:sz w:val="21"/>
      <w:szCs w:val="24"/>
      <w:lang w:val="zh-CN"/>
    </w:rPr>
  </w:style>
  <w:style w:type="character" w:customStyle="1" w:styleId="99">
    <w:name w:val="批注框文本 Char"/>
    <w:link w:val="38"/>
    <w:qFormat/>
    <w:uiPriority w:val="0"/>
    <w:rPr>
      <w:kern w:val="2"/>
      <w:sz w:val="18"/>
      <w:szCs w:val="18"/>
    </w:rPr>
  </w:style>
  <w:style w:type="character" w:customStyle="1" w:styleId="100">
    <w:name w:val="页脚 Char2"/>
    <w:link w:val="39"/>
    <w:qFormat/>
    <w:locked/>
    <w:uiPriority w:val="99"/>
    <w:rPr>
      <w:kern w:val="2"/>
      <w:sz w:val="18"/>
      <w:szCs w:val="18"/>
    </w:rPr>
  </w:style>
  <w:style w:type="character" w:customStyle="1" w:styleId="101">
    <w:name w:val="页眉 Char2"/>
    <w:link w:val="40"/>
    <w:qFormat/>
    <w:uiPriority w:val="99"/>
    <w:rPr>
      <w:kern w:val="2"/>
      <w:sz w:val="18"/>
      <w:szCs w:val="18"/>
    </w:rPr>
  </w:style>
  <w:style w:type="character" w:customStyle="1" w:styleId="102">
    <w:name w:val="签名 Char"/>
    <w:link w:val="41"/>
    <w:qFormat/>
    <w:uiPriority w:val="0"/>
    <w:rPr>
      <w:rFonts w:eastAsia="仿宋_GB2312"/>
      <w:sz w:val="24"/>
    </w:rPr>
  </w:style>
  <w:style w:type="character" w:customStyle="1" w:styleId="103">
    <w:name w:val="副标题 Char"/>
    <w:link w:val="46"/>
    <w:qFormat/>
    <w:uiPriority w:val="0"/>
    <w:rPr>
      <w:rFonts w:ascii="Arial" w:hAnsi="Arial" w:eastAsia="隶书"/>
      <w:b/>
      <w:bCs/>
      <w:kern w:val="28"/>
      <w:sz w:val="44"/>
      <w:szCs w:val="32"/>
      <w:lang w:val="en-US" w:eastAsia="zh-CN" w:bidi="ar-SA"/>
    </w:rPr>
  </w:style>
  <w:style w:type="character" w:customStyle="1" w:styleId="104">
    <w:name w:val="脚注文本 Char"/>
    <w:link w:val="49"/>
    <w:qFormat/>
    <w:uiPriority w:val="0"/>
    <w:rPr>
      <w:color w:val="0000FF"/>
      <w:sz w:val="21"/>
    </w:rPr>
  </w:style>
  <w:style w:type="character" w:customStyle="1" w:styleId="105">
    <w:name w:val="正文文本缩进 3 Char"/>
    <w:link w:val="52"/>
    <w:qFormat/>
    <w:uiPriority w:val="0"/>
    <w:rPr>
      <w:kern w:val="2"/>
      <w:sz w:val="24"/>
    </w:rPr>
  </w:style>
  <w:style w:type="character" w:customStyle="1" w:styleId="106">
    <w:name w:val="正文文本 2 Char1"/>
    <w:link w:val="55"/>
    <w:qFormat/>
    <w:uiPriority w:val="0"/>
    <w:rPr>
      <w:kern w:val="2"/>
      <w:sz w:val="21"/>
      <w:szCs w:val="24"/>
    </w:rPr>
  </w:style>
  <w:style w:type="character" w:customStyle="1" w:styleId="107">
    <w:name w:val="HTML 预设格式 Char"/>
    <w:link w:val="56"/>
    <w:qFormat/>
    <w:uiPriority w:val="0"/>
    <w:rPr>
      <w:rFonts w:ascii="黑体" w:hAnsi="Courier New" w:eastAsia="黑体"/>
    </w:rPr>
  </w:style>
  <w:style w:type="character" w:customStyle="1" w:styleId="108">
    <w:name w:val="标题 Char2"/>
    <w:link w:val="58"/>
    <w:qFormat/>
    <w:uiPriority w:val="10"/>
    <w:rPr>
      <w:b/>
      <w:sz w:val="24"/>
      <w:lang w:val="en-GB"/>
    </w:rPr>
  </w:style>
  <w:style w:type="character" w:customStyle="1" w:styleId="109">
    <w:name w:val="批注主题 Char1"/>
    <w:link w:val="59"/>
    <w:qFormat/>
    <w:uiPriority w:val="0"/>
    <w:rPr>
      <w:b/>
      <w:bCs/>
      <w:kern w:val="2"/>
      <w:sz w:val="21"/>
      <w:szCs w:val="24"/>
    </w:rPr>
  </w:style>
  <w:style w:type="character" w:customStyle="1" w:styleId="110">
    <w:name w:val="正文首行缩进 Char"/>
    <w:link w:val="60"/>
    <w:qFormat/>
    <w:uiPriority w:val="0"/>
    <w:rPr>
      <w:rFonts w:ascii="宋体"/>
      <w:kern w:val="2"/>
      <w:sz w:val="24"/>
      <w:lang w:val="zh-CN"/>
    </w:rPr>
  </w:style>
  <w:style w:type="character" w:customStyle="1" w:styleId="111">
    <w:name w:val="正文首行缩进 2 Char"/>
    <w:link w:val="61"/>
    <w:qFormat/>
    <w:uiPriority w:val="0"/>
    <w:rPr>
      <w:rFonts w:ascii="宋体" w:hAnsi="宋体"/>
      <w:kern w:val="2"/>
      <w:sz w:val="21"/>
      <w:szCs w:val="24"/>
    </w:rPr>
  </w:style>
  <w:style w:type="character" w:customStyle="1" w:styleId="112">
    <w:name w:val="表格非标题文字 Char"/>
    <w:link w:val="113"/>
    <w:qFormat/>
    <w:uiPriority w:val="0"/>
    <w:rPr>
      <w:rFonts w:ascii="Futura Bk" w:hAnsi="Futura Bk"/>
      <w:kern w:val="2"/>
      <w:sz w:val="18"/>
      <w:szCs w:val="21"/>
      <w:lang w:val="en-US" w:eastAsia="zh-CN" w:bidi="ar-SA"/>
    </w:rPr>
  </w:style>
  <w:style w:type="paragraph" w:customStyle="1" w:styleId="113">
    <w:name w:val="表格非标题文字"/>
    <w:link w:val="11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4">
    <w:name w:val="*正文 Char"/>
    <w:link w:val="115"/>
    <w:qFormat/>
    <w:locked/>
    <w:uiPriority w:val="0"/>
    <w:rPr>
      <w:rFonts w:ascii="宋体" w:hAnsi="宋体"/>
      <w:sz w:val="24"/>
    </w:rPr>
  </w:style>
  <w:style w:type="paragraph" w:customStyle="1" w:styleId="115">
    <w:name w:val="*正文"/>
    <w:basedOn w:val="1"/>
    <w:link w:val="114"/>
    <w:qFormat/>
    <w:uiPriority w:val="0"/>
    <w:pPr>
      <w:snapToGrid w:val="0"/>
      <w:spacing w:line="360" w:lineRule="auto"/>
      <w:ind w:firstLine="482"/>
      <w:jc w:val="left"/>
    </w:pPr>
    <w:rPr>
      <w:rFonts w:ascii="宋体" w:hAnsi="宋体"/>
      <w:kern w:val="0"/>
      <w:sz w:val="24"/>
      <w:szCs w:val="20"/>
    </w:rPr>
  </w:style>
  <w:style w:type="character" w:customStyle="1" w:styleId="116">
    <w:name w:val="Char Char71"/>
    <w:semiHidden/>
    <w:qFormat/>
    <w:uiPriority w:val="0"/>
    <w:rPr>
      <w:rFonts w:eastAsia="宋体"/>
      <w:kern w:val="2"/>
      <w:sz w:val="21"/>
      <w:szCs w:val="24"/>
      <w:lang w:val="en-US" w:eastAsia="zh-CN" w:bidi="ar-SA"/>
    </w:rPr>
  </w:style>
  <w:style w:type="character" w:customStyle="1" w:styleId="117">
    <w:name w:val="Char Char6"/>
    <w:qFormat/>
    <w:uiPriority w:val="0"/>
    <w:rPr>
      <w:rFonts w:eastAsia="宋体"/>
      <w:kern w:val="2"/>
      <w:sz w:val="21"/>
      <w:szCs w:val="24"/>
      <w:lang w:val="en-US" w:eastAsia="zh-CN" w:bidi="ar-SA"/>
    </w:rPr>
  </w:style>
  <w:style w:type="character" w:customStyle="1" w:styleId="118">
    <w:name w:val="正文缩进 Char"/>
    <w:qFormat/>
    <w:uiPriority w:val="0"/>
    <w:rPr>
      <w:rFonts w:eastAsia="宋体"/>
      <w:kern w:val="2"/>
      <w:sz w:val="21"/>
      <w:lang w:val="en-US" w:eastAsia="zh-CN"/>
    </w:rPr>
  </w:style>
  <w:style w:type="character" w:customStyle="1" w:styleId="119">
    <w:name w:val="正文首行缩进 Char1"/>
    <w:qFormat/>
    <w:uiPriority w:val="0"/>
    <w:rPr>
      <w:rFonts w:ascii="宋体" w:hAnsi="Times New Roman" w:eastAsia="宋体" w:cs="Times New Roman"/>
      <w:snapToGrid w:val="0"/>
      <w:kern w:val="2"/>
      <w:sz w:val="24"/>
      <w:szCs w:val="21"/>
      <w:lang w:val="zh-CN"/>
    </w:rPr>
  </w:style>
  <w:style w:type="character" w:customStyle="1" w:styleId="120">
    <w:name w:val="Char Char28"/>
    <w:qFormat/>
    <w:uiPriority w:val="6"/>
    <w:rPr>
      <w:rFonts w:ascii="仿宋_GB2312" w:hAnsi="仿宋_GB2312" w:eastAsia="仿宋_GB2312"/>
      <w:kern w:val="1"/>
      <w:sz w:val="28"/>
    </w:rPr>
  </w:style>
  <w:style w:type="character" w:customStyle="1" w:styleId="12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2">
    <w:name w:val="Heading 1 Char"/>
    <w:qFormat/>
    <w:uiPriority w:val="6"/>
    <w:rPr>
      <w:rFonts w:ascii="Times New Roman" w:hAnsi="Times New Roman" w:eastAsia="黑体" w:cs="Times New Roman"/>
      <w:b/>
      <w:kern w:val="0"/>
      <w:sz w:val="24"/>
      <w:szCs w:val="24"/>
    </w:rPr>
  </w:style>
  <w:style w:type="character" w:customStyle="1" w:styleId="123">
    <w:name w:val="U_正文 Char"/>
    <w:link w:val="124"/>
    <w:qFormat/>
    <w:uiPriority w:val="0"/>
    <w:rPr>
      <w:sz w:val="24"/>
      <w:szCs w:val="24"/>
    </w:rPr>
  </w:style>
  <w:style w:type="paragraph" w:customStyle="1" w:styleId="124">
    <w:name w:val="U_正文"/>
    <w:basedOn w:val="1"/>
    <w:link w:val="123"/>
    <w:qFormat/>
    <w:uiPriority w:val="0"/>
    <w:pPr>
      <w:adjustRightInd/>
      <w:spacing w:beforeLines="20" w:afterLines="20" w:line="300" w:lineRule="auto"/>
      <w:ind w:firstLine="200" w:firstLineChars="200"/>
    </w:pPr>
    <w:rPr>
      <w:kern w:val="0"/>
      <w:sz w:val="24"/>
    </w:rPr>
  </w:style>
  <w:style w:type="character" w:customStyle="1" w:styleId="125">
    <w:name w:val="HTML 地址 Char1"/>
    <w:qFormat/>
    <w:uiPriority w:val="0"/>
    <w:rPr>
      <w:rFonts w:ascii="Times New Roman" w:hAnsi="Times New Roman" w:eastAsia="宋体" w:cs="Times New Roman"/>
      <w:i/>
      <w:iCs/>
      <w:szCs w:val="24"/>
    </w:rPr>
  </w:style>
  <w:style w:type="character" w:customStyle="1" w:styleId="126">
    <w:name w:val="Char Char51"/>
    <w:qFormat/>
    <w:uiPriority w:val="0"/>
    <w:rPr>
      <w:rFonts w:ascii="宋体" w:hAnsi="Courier New" w:eastAsia="宋体"/>
      <w:kern w:val="2"/>
      <w:sz w:val="21"/>
      <w:lang w:val="en-US" w:eastAsia="zh-CN"/>
    </w:rPr>
  </w:style>
  <w:style w:type="character" w:customStyle="1" w:styleId="127">
    <w:name w:val="表正文 Char"/>
    <w:qFormat/>
    <w:uiPriority w:val="0"/>
    <w:rPr>
      <w:rFonts w:ascii="宋体" w:eastAsia="宋体"/>
      <w:snapToGrid w:val="0"/>
      <w:color w:val="000000"/>
      <w:kern w:val="28"/>
      <w:sz w:val="28"/>
      <w:lang w:val="en-US" w:eastAsia="zh-CN" w:bidi="ar-SA"/>
    </w:rPr>
  </w:style>
  <w:style w:type="character" w:customStyle="1" w:styleId="128">
    <w:name w:val="Char Char34"/>
    <w:qFormat/>
    <w:uiPriority w:val="6"/>
    <w:rPr>
      <w:b/>
      <w:kern w:val="1"/>
      <w:sz w:val="28"/>
      <w:szCs w:val="28"/>
    </w:rPr>
  </w:style>
  <w:style w:type="character" w:customStyle="1" w:styleId="12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0">
    <w:name w:val="哈哈正文 Char"/>
    <w:link w:val="131"/>
    <w:qFormat/>
    <w:uiPriority w:val="0"/>
    <w:rPr>
      <w:rFonts w:ascii="宋体" w:hAnsi="宋体" w:eastAsia="宋体"/>
      <w:kern w:val="2"/>
      <w:sz w:val="24"/>
      <w:lang w:bidi="ar-SA"/>
    </w:rPr>
  </w:style>
  <w:style w:type="paragraph" w:customStyle="1" w:styleId="131">
    <w:name w:val="哈哈正文"/>
    <w:basedOn w:val="1"/>
    <w:link w:val="130"/>
    <w:qFormat/>
    <w:uiPriority w:val="0"/>
    <w:pPr>
      <w:adjustRightInd/>
      <w:spacing w:line="360" w:lineRule="auto"/>
      <w:ind w:firstLine="200" w:firstLineChars="200"/>
    </w:pPr>
    <w:rPr>
      <w:rFonts w:ascii="宋体" w:hAnsi="宋体"/>
      <w:sz w:val="24"/>
      <w:szCs w:val="20"/>
    </w:rPr>
  </w:style>
  <w:style w:type="character" w:customStyle="1" w:styleId="132">
    <w:name w:val="未处理的提及1"/>
    <w:qFormat/>
    <w:uiPriority w:val="0"/>
    <w:rPr>
      <w:color w:val="808080"/>
      <w:shd w:val="clear" w:color="auto" w:fill="E6E6E6"/>
    </w:rPr>
  </w:style>
  <w:style w:type="character" w:customStyle="1" w:styleId="133">
    <w:name w:val="txt"/>
    <w:qFormat/>
    <w:uiPriority w:val="0"/>
    <w:rPr>
      <w:rFonts w:ascii="仿宋_GB2312" w:eastAsia="微软雅黑"/>
      <w:b/>
      <w:kern w:val="2"/>
      <w:sz w:val="32"/>
      <w:szCs w:val="32"/>
      <w:lang w:val="en-US" w:eastAsia="zh-CN" w:bidi="ar-SA"/>
    </w:rPr>
  </w:style>
  <w:style w:type="character" w:customStyle="1" w:styleId="134">
    <w:name w:val="二级标题 Char Char"/>
    <w:qFormat/>
    <w:uiPriority w:val="0"/>
    <w:rPr>
      <w:rFonts w:ascii="宋体" w:hAnsi="宋体" w:eastAsia="宋体"/>
      <w:b/>
      <w:snapToGrid w:val="0"/>
      <w:kern w:val="2"/>
      <w:sz w:val="24"/>
      <w:szCs w:val="24"/>
      <w:lang w:val="en-US" w:eastAsia="zh-CN" w:bidi="ar-SA"/>
    </w:rPr>
  </w:style>
  <w:style w:type="character" w:customStyle="1" w:styleId="135">
    <w:name w:val="Char Char32"/>
    <w:qFormat/>
    <w:uiPriority w:val="6"/>
    <w:rPr>
      <w:b/>
      <w:kern w:val="1"/>
      <w:sz w:val="24"/>
      <w:szCs w:val="24"/>
    </w:rPr>
  </w:style>
  <w:style w:type="character" w:customStyle="1" w:styleId="136">
    <w:name w:val="PI Char1"/>
    <w:qFormat/>
    <w:uiPriority w:val="0"/>
    <w:rPr>
      <w:rFonts w:ascii="宋体" w:hAnsi="宋体"/>
      <w:kern w:val="2"/>
      <w:sz w:val="24"/>
      <w:szCs w:val="24"/>
    </w:rPr>
  </w:style>
  <w:style w:type="character" w:customStyle="1" w:styleId="137">
    <w:name w:val="tw4winTerm"/>
    <w:qFormat/>
    <w:uiPriority w:val="0"/>
    <w:rPr>
      <w:color w:val="0000FF"/>
    </w:rPr>
  </w:style>
  <w:style w:type="character" w:customStyle="1" w:styleId="138">
    <w:name w:val="Footer Char"/>
    <w:qFormat/>
    <w:locked/>
    <w:uiPriority w:val="0"/>
    <w:rPr>
      <w:rFonts w:eastAsia="宋体"/>
      <w:kern w:val="2"/>
      <w:sz w:val="18"/>
      <w:lang w:val="en-US" w:eastAsia="zh-CN" w:bidi="ar-SA"/>
    </w:rPr>
  </w:style>
  <w:style w:type="character" w:customStyle="1" w:styleId="139">
    <w:name w:val="普通文字 Char Char1"/>
    <w:qFormat/>
    <w:uiPriority w:val="0"/>
    <w:rPr>
      <w:rFonts w:ascii="宋体" w:hAnsi="Courier New"/>
      <w:kern w:val="2"/>
      <w:sz w:val="21"/>
    </w:rPr>
  </w:style>
  <w:style w:type="character" w:customStyle="1" w:styleId="140">
    <w:name w:val="Char Char101"/>
    <w:qFormat/>
    <w:uiPriority w:val="6"/>
    <w:rPr>
      <w:rFonts w:ascii="宋体" w:hAnsi="宋体"/>
      <w:kern w:val="2"/>
      <w:sz w:val="21"/>
      <w:szCs w:val="24"/>
      <w:lang w:val="en-US" w:eastAsia="zh-CN"/>
    </w:rPr>
  </w:style>
  <w:style w:type="character" w:customStyle="1" w:styleId="141">
    <w:name w:val="标题 4 Char"/>
    <w:qFormat/>
    <w:uiPriority w:val="0"/>
    <w:rPr>
      <w:rFonts w:ascii="Arial" w:hAnsi="Arial" w:eastAsia="黑体"/>
      <w:b/>
      <w:kern w:val="2"/>
      <w:sz w:val="28"/>
    </w:rPr>
  </w:style>
  <w:style w:type="character" w:customStyle="1" w:styleId="142">
    <w:name w:val="链接"/>
    <w:qFormat/>
    <w:uiPriority w:val="0"/>
    <w:rPr>
      <w:color w:val="0000FF"/>
      <w:sz w:val="21"/>
      <w:szCs w:val="21"/>
      <w:u w:val="single"/>
    </w:rPr>
  </w:style>
  <w:style w:type="character" w:customStyle="1" w:styleId="143">
    <w:name w:val="h4 Char"/>
    <w:qFormat/>
    <w:uiPriority w:val="0"/>
    <w:rPr>
      <w:rFonts w:ascii="Arial" w:hAnsi="Arial" w:eastAsia="黑体"/>
      <w:b/>
      <w:bCs/>
      <w:kern w:val="2"/>
      <w:sz w:val="28"/>
      <w:szCs w:val="28"/>
      <w:lang w:val="zh-CN" w:eastAsia="zh-CN" w:bidi="ar-SA"/>
    </w:rPr>
  </w:style>
  <w:style w:type="character" w:customStyle="1" w:styleId="144">
    <w:name w:val="5正文 Char"/>
    <w:link w:val="145"/>
    <w:qFormat/>
    <w:uiPriority w:val="0"/>
    <w:rPr>
      <w:rFonts w:ascii="仿宋_GB2312" w:hAnsi="微软雅黑" w:eastAsia="仿宋_GB2312"/>
      <w:sz w:val="28"/>
      <w:szCs w:val="21"/>
    </w:rPr>
  </w:style>
  <w:style w:type="paragraph" w:customStyle="1" w:styleId="145">
    <w:name w:val="5正文"/>
    <w:basedOn w:val="1"/>
    <w:link w:val="14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6">
    <w:name w:val="标题 3 字符"/>
    <w:qFormat/>
    <w:uiPriority w:val="9"/>
    <w:rPr>
      <w:b/>
      <w:bCs/>
      <w:kern w:val="2"/>
      <w:sz w:val="32"/>
      <w:szCs w:val="32"/>
    </w:rPr>
  </w:style>
  <w:style w:type="character" w:customStyle="1" w:styleId="147">
    <w:name w:val="样式6 Char"/>
    <w:qFormat/>
    <w:uiPriority w:val="0"/>
    <w:rPr>
      <w:rFonts w:ascii="仿宋_GB2312" w:hAnsi="宋体" w:eastAsia="仿宋_GB2312"/>
      <w:b/>
      <w:bCs/>
      <w:kern w:val="2"/>
      <w:sz w:val="24"/>
      <w:szCs w:val="24"/>
      <w:lang w:val="en-US" w:eastAsia="zh-CN" w:bidi="ar-SA"/>
    </w:rPr>
  </w:style>
  <w:style w:type="character" w:customStyle="1" w:styleId="148">
    <w:name w:val="Char Char14"/>
    <w:qFormat/>
    <w:uiPriority w:val="6"/>
    <w:rPr>
      <w:rFonts w:ascii="黑体" w:hAnsi="黑体" w:eastAsia="黑体"/>
    </w:rPr>
  </w:style>
  <w:style w:type="character" w:customStyle="1" w:styleId="149">
    <w:name w:val="Heading 2 Hidden Char"/>
    <w:qFormat/>
    <w:uiPriority w:val="0"/>
    <w:rPr>
      <w:rFonts w:ascii="仿宋_GB2312" w:eastAsia="仿宋_GB2312"/>
      <w:b/>
      <w:bCs/>
      <w:kern w:val="2"/>
      <w:sz w:val="24"/>
      <w:szCs w:val="24"/>
      <w:lang w:val="zh-CN" w:eastAsia="zh-CN" w:bidi="ar-SA"/>
    </w:rPr>
  </w:style>
  <w:style w:type="character" w:customStyle="1" w:styleId="150">
    <w:name w:val="font11"/>
    <w:qFormat/>
    <w:uiPriority w:val="0"/>
    <w:rPr>
      <w:rFonts w:hint="default" w:ascii="Times New Roman" w:hAnsi="Times New Roman" w:cs="Times New Roman"/>
      <w:color w:val="000000"/>
      <w:sz w:val="22"/>
      <w:szCs w:val="22"/>
      <w:u w:val="none"/>
    </w:rPr>
  </w:style>
  <w:style w:type="character" w:customStyle="1" w:styleId="151">
    <w:name w:val="表正文 Char1"/>
    <w:qFormat/>
    <w:uiPriority w:val="0"/>
    <w:rPr>
      <w:rFonts w:ascii="宋体" w:eastAsia="宋体"/>
      <w:snapToGrid w:val="0"/>
      <w:color w:val="000000"/>
      <w:kern w:val="28"/>
      <w:sz w:val="28"/>
    </w:rPr>
  </w:style>
  <w:style w:type="character" w:customStyle="1" w:styleId="152">
    <w:name w:val="blue1"/>
    <w:basedOn w:val="69"/>
    <w:qFormat/>
    <w:uiPriority w:val="0"/>
    <w:rPr>
      <w:rFonts w:ascii="Arial" w:hAnsi="Arial" w:eastAsia="黑体" w:cs="Arial"/>
      <w:snapToGrid w:val="0"/>
      <w:kern w:val="0"/>
      <w:szCs w:val="21"/>
    </w:rPr>
  </w:style>
  <w:style w:type="character" w:customStyle="1" w:styleId="153">
    <w:name w:val="标书1 Char"/>
    <w:qFormat/>
    <w:uiPriority w:val="0"/>
    <w:rPr>
      <w:rFonts w:eastAsia="宋体"/>
      <w:b/>
      <w:bCs/>
      <w:kern w:val="44"/>
      <w:sz w:val="44"/>
      <w:szCs w:val="44"/>
      <w:lang w:val="en-US" w:eastAsia="zh-CN" w:bidi="ar-SA"/>
    </w:rPr>
  </w:style>
  <w:style w:type="character" w:customStyle="1" w:styleId="154">
    <w:name w:val="样式5 Char"/>
    <w:qFormat/>
    <w:uiPriority w:val="0"/>
    <w:rPr>
      <w:rFonts w:ascii="仿宋_GB2312" w:hAnsi="仿宋" w:eastAsia="仿宋_GB2312"/>
      <w:kern w:val="2"/>
      <w:sz w:val="24"/>
      <w:szCs w:val="24"/>
    </w:rPr>
  </w:style>
  <w:style w:type="character" w:customStyle="1" w:styleId="155">
    <w:name w:val="样式4 Char"/>
    <w:qFormat/>
    <w:uiPriority w:val="0"/>
    <w:rPr>
      <w:rFonts w:ascii="仿宋_GB2312" w:hAnsi="仿宋" w:eastAsia="仿宋_GB2312"/>
      <w:b/>
      <w:kern w:val="2"/>
      <w:sz w:val="32"/>
      <w:szCs w:val="32"/>
      <w:lang w:bidi="ar-SA"/>
    </w:rPr>
  </w:style>
  <w:style w:type="character" w:customStyle="1" w:styleId="156">
    <w:name w:val="插图说明 Char"/>
    <w:qFormat/>
    <w:uiPriority w:val="0"/>
    <w:rPr>
      <w:rFonts w:eastAsia="黑体"/>
      <w:sz w:val="24"/>
      <w:lang w:val="en-US" w:eastAsia="zh-CN"/>
    </w:rPr>
  </w:style>
  <w:style w:type="character" w:customStyle="1" w:styleId="157">
    <w:name w:val="正文2 Char Char"/>
    <w:link w:val="158"/>
    <w:qFormat/>
    <w:uiPriority w:val="0"/>
    <w:rPr>
      <w:rFonts w:eastAsia="宋体"/>
      <w:kern w:val="2"/>
      <w:sz w:val="24"/>
      <w:lang w:val="en-US" w:eastAsia="zh-CN" w:bidi="ar-SA"/>
    </w:rPr>
  </w:style>
  <w:style w:type="paragraph" w:customStyle="1" w:styleId="158">
    <w:name w:val="正文2"/>
    <w:basedOn w:val="1"/>
    <w:link w:val="157"/>
    <w:qFormat/>
    <w:uiPriority w:val="0"/>
    <w:pPr>
      <w:spacing w:before="156" w:line="360" w:lineRule="auto"/>
      <w:ind w:firstLine="510" w:firstLineChars="200"/>
    </w:pPr>
    <w:rPr>
      <w:sz w:val="24"/>
      <w:szCs w:val="20"/>
    </w:rPr>
  </w:style>
  <w:style w:type="character" w:customStyle="1" w:styleId="159">
    <w:name w:val="Char Char24"/>
    <w:qFormat/>
    <w:uiPriority w:val="6"/>
    <w:rPr>
      <w:kern w:val="1"/>
      <w:sz w:val="21"/>
    </w:rPr>
  </w:style>
  <w:style w:type="character" w:customStyle="1" w:styleId="160">
    <w:name w:val="普通文字 Char1 Char"/>
    <w:qFormat/>
    <w:uiPriority w:val="0"/>
    <w:rPr>
      <w:rFonts w:ascii="宋体" w:hAnsi="Courier New" w:eastAsia="宋体"/>
      <w:kern w:val="2"/>
      <w:sz w:val="21"/>
      <w:szCs w:val="24"/>
      <w:lang w:val="en-US" w:eastAsia="zh-CN" w:bidi="ar-SA"/>
    </w:rPr>
  </w:style>
  <w:style w:type="character" w:customStyle="1" w:styleId="161">
    <w:name w:val="h3 Char1"/>
    <w:qFormat/>
    <w:uiPriority w:val="0"/>
    <w:rPr>
      <w:rFonts w:eastAsia="宋体"/>
      <w:b/>
      <w:bCs/>
      <w:kern w:val="2"/>
      <w:sz w:val="32"/>
      <w:szCs w:val="32"/>
      <w:lang w:bidi="ar-SA"/>
    </w:rPr>
  </w:style>
  <w:style w:type="character" w:customStyle="1" w:styleId="162">
    <w:name w:val="标题 Char1"/>
    <w:qFormat/>
    <w:uiPriority w:val="0"/>
    <w:rPr>
      <w:rFonts w:ascii="Cambria" w:hAnsi="Cambria" w:eastAsia="宋体" w:cs="Times New Roman"/>
      <w:b/>
      <w:bCs/>
      <w:sz w:val="32"/>
      <w:szCs w:val="32"/>
      <w:lang w:bidi="ar-SA"/>
    </w:rPr>
  </w:style>
  <w:style w:type="character" w:customStyle="1" w:styleId="163">
    <w:name w:val="gf正文1 Char"/>
    <w:qFormat/>
    <w:uiPriority w:val="0"/>
    <w:rPr>
      <w:rFonts w:ascii="宋体" w:hAnsi="宋体" w:eastAsia="宋体" w:cs="宋体"/>
      <w:kern w:val="2"/>
      <w:sz w:val="24"/>
      <w:szCs w:val="24"/>
      <w:lang w:val="en-US" w:eastAsia="zh-CN" w:bidi="ar-SA"/>
    </w:rPr>
  </w:style>
  <w:style w:type="character" w:customStyle="1" w:styleId="164">
    <w:name w:val="正文文本缩进 Char1"/>
    <w:qFormat/>
    <w:uiPriority w:val="0"/>
    <w:rPr>
      <w:rFonts w:ascii="Calibri" w:hAnsi="Calibri"/>
      <w:sz w:val="28"/>
    </w:rPr>
  </w:style>
  <w:style w:type="character" w:customStyle="1" w:styleId="165">
    <w:name w:val="No Spacing Char"/>
    <w:link w:val="166"/>
    <w:qFormat/>
    <w:uiPriority w:val="1"/>
    <w:rPr>
      <w:sz w:val="22"/>
      <w:szCs w:val="22"/>
      <w:lang w:val="en-US" w:eastAsia="zh-CN" w:bidi="ar-SA"/>
    </w:rPr>
  </w:style>
  <w:style w:type="paragraph" w:customStyle="1" w:styleId="166">
    <w:name w:val="无间隔1"/>
    <w:link w:val="165"/>
    <w:qFormat/>
    <w:uiPriority w:val="1"/>
    <w:rPr>
      <w:rFonts w:ascii="Times New Roman" w:hAnsi="Times New Roman" w:eastAsia="宋体" w:cs="Times New Roman"/>
      <w:sz w:val="22"/>
      <w:szCs w:val="22"/>
      <w:lang w:val="en-US" w:eastAsia="zh-CN" w:bidi="ar-SA"/>
    </w:rPr>
  </w:style>
  <w:style w:type="character" w:customStyle="1" w:styleId="167">
    <w:name w:val="样式7 Char"/>
    <w:qFormat/>
    <w:uiPriority w:val="0"/>
    <w:rPr>
      <w:rFonts w:ascii="仿宋_GB2312" w:hAnsi="仿宋" w:eastAsia="仿宋_GB2312"/>
      <w:b/>
      <w:kern w:val="2"/>
      <w:sz w:val="24"/>
      <w:szCs w:val="24"/>
    </w:rPr>
  </w:style>
  <w:style w:type="character" w:customStyle="1" w:styleId="168">
    <w:name w:val="font12gray1"/>
    <w:qFormat/>
    <w:uiPriority w:val="0"/>
    <w:rPr>
      <w:rFonts w:ascii="仿宋_GB2312" w:eastAsia="微软雅黑"/>
      <w:b/>
      <w:spacing w:val="300"/>
      <w:kern w:val="2"/>
      <w:sz w:val="18"/>
      <w:szCs w:val="18"/>
      <w:lang w:val="en-US" w:eastAsia="zh-CN" w:bidi="ar-SA"/>
    </w:rPr>
  </w:style>
  <w:style w:type="character" w:customStyle="1" w:styleId="169">
    <w:name w:val="Char Char7"/>
    <w:semiHidden/>
    <w:qFormat/>
    <w:uiPriority w:val="0"/>
    <w:rPr>
      <w:rFonts w:eastAsia="宋体"/>
      <w:kern w:val="2"/>
      <w:sz w:val="21"/>
      <w:szCs w:val="24"/>
      <w:lang w:val="en-US" w:eastAsia="zh-CN" w:bidi="ar-SA"/>
    </w:rPr>
  </w:style>
  <w:style w:type="character" w:customStyle="1" w:styleId="170">
    <w:name w:val="表名 Char"/>
    <w:qFormat/>
    <w:uiPriority w:val="0"/>
    <w:rPr>
      <w:rFonts w:eastAsia="宋体"/>
      <w:b/>
      <w:bCs/>
      <w:kern w:val="2"/>
      <w:sz w:val="24"/>
      <w:szCs w:val="24"/>
      <w:lang w:val="en-US" w:eastAsia="zh-CN" w:bidi="ar-SA"/>
    </w:rPr>
  </w:style>
  <w:style w:type="character" w:customStyle="1" w:styleId="171">
    <w:name w:val="Document Map Char"/>
    <w:qFormat/>
    <w:locked/>
    <w:uiPriority w:val="0"/>
    <w:rPr>
      <w:rFonts w:eastAsia="宋体"/>
      <w:kern w:val="2"/>
      <w:sz w:val="21"/>
      <w:szCs w:val="24"/>
      <w:lang w:val="en-US" w:eastAsia="zh-CN" w:bidi="ar-SA"/>
    </w:rPr>
  </w:style>
  <w:style w:type="character" w:customStyle="1" w:styleId="172">
    <w:name w:val="font41"/>
    <w:qFormat/>
    <w:uiPriority w:val="0"/>
    <w:rPr>
      <w:rFonts w:hint="eastAsia" w:ascii="仿宋_GB2312" w:eastAsia="仿宋_GB2312" w:cs="仿宋_GB2312"/>
      <w:color w:val="000000"/>
      <w:sz w:val="22"/>
      <w:szCs w:val="22"/>
      <w:u w:val="none"/>
    </w:rPr>
  </w:style>
  <w:style w:type="character" w:customStyle="1" w:styleId="173">
    <w:name w:val="纯文本 Char_0"/>
    <w:link w:val="174"/>
    <w:qFormat/>
    <w:uiPriority w:val="0"/>
    <w:rPr>
      <w:rFonts w:ascii="宋体" w:hAnsi="Courier New"/>
      <w:kern w:val="2"/>
      <w:sz w:val="21"/>
      <w:szCs w:val="21"/>
      <w:lang w:val="en-US" w:eastAsia="zh-CN"/>
    </w:rPr>
  </w:style>
  <w:style w:type="paragraph" w:customStyle="1" w:styleId="174">
    <w:name w:val="纯文本_0_0"/>
    <w:basedOn w:val="175"/>
    <w:link w:val="173"/>
    <w:qFormat/>
    <w:uiPriority w:val="0"/>
    <w:rPr>
      <w:rFonts w:ascii="宋体" w:hAnsi="Courier New"/>
      <w:szCs w:val="21"/>
    </w:rPr>
  </w:style>
  <w:style w:type="paragraph" w:customStyle="1" w:styleId="17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6">
    <w:name w:val="Balloon Text Char"/>
    <w:qFormat/>
    <w:locked/>
    <w:uiPriority w:val="0"/>
    <w:rPr>
      <w:rFonts w:eastAsia="宋体"/>
      <w:kern w:val="2"/>
      <w:sz w:val="18"/>
      <w:szCs w:val="18"/>
      <w:lang w:val="en-US" w:eastAsia="zh-CN" w:bidi="ar-SA"/>
    </w:rPr>
  </w:style>
  <w:style w:type="character" w:customStyle="1" w:styleId="177">
    <w:name w:val="正文 项目2 Char"/>
    <w:basedOn w:val="178"/>
    <w:qFormat/>
    <w:uiPriority w:val="0"/>
    <w:rPr>
      <w:rFonts w:ascii="仿宋_GB2312" w:hAnsi="仿宋_GB2312" w:eastAsia="仿宋_GB2312"/>
      <w:kern w:val="2"/>
      <w:sz w:val="24"/>
      <w:lang w:bidi="ar-SA"/>
    </w:rPr>
  </w:style>
  <w:style w:type="character" w:customStyle="1" w:styleId="178">
    <w:name w:val="正文 项目 Char"/>
    <w:qFormat/>
    <w:uiPriority w:val="0"/>
    <w:rPr>
      <w:rFonts w:ascii="仿宋_GB2312" w:hAnsi="仿宋_GB2312" w:eastAsia="仿宋_GB2312"/>
      <w:kern w:val="2"/>
      <w:sz w:val="24"/>
      <w:lang w:bidi="ar-SA"/>
    </w:rPr>
  </w:style>
  <w:style w:type="character" w:customStyle="1" w:styleId="179">
    <w:name w:val="h Char Char1"/>
    <w:qFormat/>
    <w:uiPriority w:val="0"/>
    <w:rPr>
      <w:rFonts w:eastAsia="宋体"/>
      <w:kern w:val="2"/>
      <w:sz w:val="18"/>
      <w:szCs w:val="18"/>
      <w:lang w:val="en-US" w:eastAsia="zh-CN" w:bidi="ar-SA"/>
    </w:rPr>
  </w:style>
  <w:style w:type="character" w:customStyle="1" w:styleId="180">
    <w:name w:val="Char Char27"/>
    <w:qFormat/>
    <w:uiPriority w:val="6"/>
    <w:rPr>
      <w:rFonts w:ascii="宋体" w:hAnsi="宋体" w:eastAsia="宋体"/>
      <w:color w:val="000000"/>
      <w:kern w:val="1"/>
      <w:sz w:val="28"/>
      <w:lang w:val="en-US" w:eastAsia="zh-CN" w:bidi="ar-SA"/>
    </w:rPr>
  </w:style>
  <w:style w:type="character" w:customStyle="1" w:styleId="181">
    <w:name w:val="px14"/>
    <w:qFormat/>
    <w:uiPriority w:val="0"/>
    <w:rPr>
      <w:rFonts w:ascii="仿宋_GB2312" w:eastAsia="微软雅黑" w:cs="Times New Roman"/>
      <w:b/>
      <w:kern w:val="2"/>
      <w:sz w:val="32"/>
      <w:szCs w:val="32"/>
      <w:lang w:val="en-US" w:eastAsia="zh-CN" w:bidi="ar-SA"/>
    </w:rPr>
  </w:style>
  <w:style w:type="character" w:customStyle="1" w:styleId="182">
    <w:name w:val="HTML 预设格式 Char1"/>
    <w:qFormat/>
    <w:uiPriority w:val="0"/>
    <w:rPr>
      <w:rFonts w:ascii="Courier New" w:hAnsi="Courier New" w:eastAsia="宋体" w:cs="Courier New"/>
      <w:sz w:val="20"/>
      <w:szCs w:val="20"/>
    </w:rPr>
  </w:style>
  <w:style w:type="character" w:customStyle="1" w:styleId="183">
    <w:name w:val="普通文字 Char1"/>
    <w:qFormat/>
    <w:uiPriority w:val="0"/>
    <w:rPr>
      <w:rFonts w:ascii="宋体" w:hAnsi="Courier New" w:eastAsia="宋体"/>
      <w:kern w:val="2"/>
      <w:sz w:val="21"/>
      <w:lang w:val="en-US" w:eastAsia="zh-CN"/>
    </w:rPr>
  </w:style>
  <w:style w:type="character" w:customStyle="1" w:styleId="184">
    <w:name w:val="hei16b1"/>
    <w:qFormat/>
    <w:uiPriority w:val="0"/>
    <w:rPr>
      <w:rFonts w:hint="default" w:ascii="Arial" w:hAnsi="Arial" w:cs="Arial"/>
      <w:b/>
      <w:bCs/>
      <w:color w:val="000000"/>
      <w:sz w:val="24"/>
      <w:szCs w:val="24"/>
    </w:rPr>
  </w:style>
  <w:style w:type="character" w:customStyle="1" w:styleId="185">
    <w:name w:val="正文（绿盟科技） Char"/>
    <w:link w:val="186"/>
    <w:qFormat/>
    <w:uiPriority w:val="0"/>
    <w:rPr>
      <w:rFonts w:ascii="Arial" w:hAnsi="Arial"/>
      <w:sz w:val="21"/>
      <w:szCs w:val="21"/>
    </w:rPr>
  </w:style>
  <w:style w:type="paragraph" w:customStyle="1" w:styleId="186">
    <w:name w:val="正文（绿盟科技）"/>
    <w:link w:val="185"/>
    <w:qFormat/>
    <w:uiPriority w:val="0"/>
    <w:pPr>
      <w:spacing w:line="300" w:lineRule="auto"/>
    </w:pPr>
    <w:rPr>
      <w:rFonts w:ascii="Arial" w:hAnsi="Arial" w:eastAsia="宋体" w:cs="Times New Roman"/>
      <w:sz w:val="21"/>
      <w:szCs w:val="21"/>
      <w:lang w:val="en-US" w:eastAsia="zh-CN" w:bidi="ar-SA"/>
    </w:rPr>
  </w:style>
  <w:style w:type="character" w:customStyle="1" w:styleId="187">
    <w:name w:val="Char Char19"/>
    <w:qFormat/>
    <w:uiPriority w:val="6"/>
    <w:rPr>
      <w:rFonts w:ascii="宋体" w:hAnsi="宋体"/>
      <w:i/>
      <w:sz w:val="24"/>
      <w:szCs w:val="24"/>
    </w:rPr>
  </w:style>
  <w:style w:type="character" w:customStyle="1" w:styleId="188">
    <w:name w:val="页脚 Char"/>
    <w:qFormat/>
    <w:uiPriority w:val="0"/>
    <w:rPr>
      <w:rFonts w:eastAsia="仿宋_GB2312"/>
      <w:kern w:val="2"/>
      <w:sz w:val="18"/>
      <w:lang w:val="en-US" w:eastAsia="zh-CN"/>
    </w:rPr>
  </w:style>
  <w:style w:type="character" w:customStyle="1" w:styleId="189">
    <w:name w:val="批注主题 Char"/>
    <w:qFormat/>
    <w:uiPriority w:val="0"/>
    <w:rPr>
      <w:rFonts w:eastAsia="宋体"/>
      <w:b/>
      <w:bCs/>
      <w:kern w:val="2"/>
      <w:sz w:val="21"/>
      <w:szCs w:val="24"/>
      <w:lang w:val="en-US" w:eastAsia="zh-CN" w:bidi="ar-SA"/>
    </w:rPr>
  </w:style>
  <w:style w:type="character" w:customStyle="1" w:styleId="190">
    <w:name w:val="Comment Text Char"/>
    <w:qFormat/>
    <w:locked/>
    <w:uiPriority w:val="0"/>
    <w:rPr>
      <w:rFonts w:ascii="宋体" w:hAnsi="宋体" w:eastAsia="宋体"/>
      <w:kern w:val="2"/>
      <w:sz w:val="24"/>
      <w:lang w:val="en-US" w:eastAsia="zh-CN" w:bidi="ar-SA"/>
    </w:rPr>
  </w:style>
  <w:style w:type="character" w:customStyle="1" w:styleId="191">
    <w:name w:val="标题 2 字符"/>
    <w:qFormat/>
    <w:uiPriority w:val="1"/>
    <w:rPr>
      <w:rFonts w:ascii="仿宋_GB2312" w:hAnsi="Times New Roman" w:eastAsia="仿宋_GB2312" w:cs="Times New Roman"/>
      <w:b/>
      <w:kern w:val="2"/>
      <w:sz w:val="24"/>
      <w:lang w:val="zh-CN"/>
    </w:rPr>
  </w:style>
  <w:style w:type="character" w:customStyle="1" w:styleId="192">
    <w:name w:val="Char Char72"/>
    <w:qFormat/>
    <w:uiPriority w:val="0"/>
    <w:rPr>
      <w:rFonts w:eastAsia="宋体"/>
      <w:kern w:val="2"/>
      <w:sz w:val="21"/>
      <w:szCs w:val="24"/>
      <w:lang w:val="en-US" w:eastAsia="zh-CN" w:bidi="ar-SA"/>
    </w:rPr>
  </w:style>
  <w:style w:type="character" w:customStyle="1" w:styleId="193">
    <w:name w:val="正文文本缩进 Char2"/>
    <w:qFormat/>
    <w:uiPriority w:val="0"/>
    <w:rPr>
      <w:rFonts w:ascii="Times New Roman" w:hAnsi="Times New Roman" w:eastAsia="宋体" w:cs="Times New Roman"/>
      <w:snapToGrid w:val="0"/>
      <w:kern w:val="0"/>
      <w:szCs w:val="24"/>
    </w:rPr>
  </w:style>
  <w:style w:type="character" w:customStyle="1" w:styleId="194">
    <w:name w:val="样式2 Char"/>
    <w:qFormat/>
    <w:uiPriority w:val="0"/>
    <w:rPr>
      <w:rFonts w:ascii="仿宋_GB2312" w:hAnsi="仿宋" w:eastAsia="仿宋_GB2312" w:cs="仿宋_GB2312"/>
      <w:b/>
      <w:bCs/>
      <w:sz w:val="32"/>
      <w:szCs w:val="30"/>
      <w:lang w:val="zh-CN"/>
    </w:rPr>
  </w:style>
  <w:style w:type="character" w:customStyle="1" w:styleId="195">
    <w:name w:val="表格名称[858D7CFB-ED40-4347-BF05-701D383B685F]"/>
    <w:link w:val="196"/>
    <w:qFormat/>
    <w:uiPriority w:val="0"/>
    <w:rPr>
      <w:sz w:val="32"/>
    </w:rPr>
  </w:style>
  <w:style w:type="paragraph" w:customStyle="1" w:styleId="196">
    <w:name w:val="表格名称"/>
    <w:basedOn w:val="2"/>
    <w:link w:val="19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97">
    <w:name w:val="Char Char4"/>
    <w:qFormat/>
    <w:uiPriority w:val="0"/>
    <w:rPr>
      <w:rFonts w:eastAsia="宋体"/>
      <w:b/>
      <w:sz w:val="24"/>
      <w:lang w:val="en-GB" w:eastAsia="zh-CN" w:bidi="ar-SA"/>
    </w:rPr>
  </w:style>
  <w:style w:type="character" w:customStyle="1" w:styleId="198">
    <w:name w:val="c7 style3"/>
    <w:qFormat/>
    <w:uiPriority w:val="0"/>
  </w:style>
  <w:style w:type="character" w:customStyle="1" w:styleId="199">
    <w:name w:val="正文文本 3 Char1"/>
    <w:semiHidden/>
    <w:qFormat/>
    <w:uiPriority w:val="99"/>
    <w:rPr>
      <w:rFonts w:ascii="Times New Roman" w:hAnsi="Times New Roman" w:eastAsia="宋体" w:cs="Times New Roman"/>
      <w:sz w:val="16"/>
      <w:szCs w:val="16"/>
    </w:rPr>
  </w:style>
  <w:style w:type="character" w:customStyle="1" w:styleId="200">
    <w:name w:val="tw4winInternal"/>
    <w:qFormat/>
    <w:uiPriority w:val="0"/>
    <w:rPr>
      <w:rFonts w:ascii="Courier New" w:hAnsi="Courier New" w:cs="Courier New"/>
      <w:color w:val="FF0000"/>
      <w:lang w:val="en-US" w:eastAsia="zh-CN"/>
    </w:rPr>
  </w:style>
  <w:style w:type="character" w:customStyle="1" w:styleId="201">
    <w:name w:val="Char Char10"/>
    <w:semiHidden/>
    <w:qFormat/>
    <w:uiPriority w:val="0"/>
    <w:rPr>
      <w:rFonts w:ascii="宋体" w:hAnsi="宋体"/>
      <w:kern w:val="2"/>
      <w:sz w:val="21"/>
      <w:szCs w:val="24"/>
      <w:lang w:val="en-US" w:eastAsia="zh-CN"/>
    </w:rPr>
  </w:style>
  <w:style w:type="character" w:customStyle="1" w:styleId="202">
    <w:name w:val="shadow11"/>
    <w:qFormat/>
    <w:uiPriority w:val="0"/>
    <w:rPr>
      <w:color w:val="000000"/>
      <w:sz w:val="21"/>
    </w:rPr>
  </w:style>
  <w:style w:type="character" w:customStyle="1" w:styleId="203">
    <w:name w:val="正文非缩进 Char3"/>
    <w:qFormat/>
    <w:uiPriority w:val="0"/>
    <w:rPr>
      <w:rFonts w:ascii="宋体" w:eastAsia="宋体"/>
      <w:snapToGrid w:val="0"/>
      <w:color w:val="000000"/>
      <w:kern w:val="28"/>
      <w:sz w:val="28"/>
      <w:lang w:val="en-US" w:eastAsia="zh-CN" w:bidi="ar-SA"/>
    </w:rPr>
  </w:style>
  <w:style w:type="character" w:customStyle="1" w:styleId="204">
    <w:name w:val="Char Char"/>
    <w:qFormat/>
    <w:uiPriority w:val="0"/>
    <w:rPr>
      <w:rFonts w:ascii="宋体" w:hAnsi="Courier New" w:eastAsia="宋体"/>
      <w:kern w:val="2"/>
      <w:sz w:val="21"/>
      <w:lang w:val="en-US" w:eastAsia="zh-CN" w:bidi="ar-SA"/>
    </w:rPr>
  </w:style>
  <w:style w:type="character" w:customStyle="1" w:styleId="205">
    <w:name w:val="签名 Char1"/>
    <w:qFormat/>
    <w:uiPriority w:val="0"/>
    <w:rPr>
      <w:rFonts w:ascii="Times New Roman" w:hAnsi="Times New Roman" w:eastAsia="宋体" w:cs="Times New Roman"/>
      <w:szCs w:val="24"/>
    </w:rPr>
  </w:style>
  <w:style w:type="character" w:customStyle="1" w:styleId="206">
    <w:name w:val="Char Char18"/>
    <w:qFormat/>
    <w:uiPriority w:val="6"/>
    <w:rPr>
      <w:rFonts w:ascii="宋体" w:hAnsi="宋体"/>
      <w:sz w:val="28"/>
    </w:rPr>
  </w:style>
  <w:style w:type="character" w:customStyle="1" w:styleId="207">
    <w:name w:val="批注文字 Char"/>
    <w:qFormat/>
    <w:uiPriority w:val="99"/>
    <w:rPr>
      <w:kern w:val="2"/>
      <w:sz w:val="21"/>
      <w:szCs w:val="24"/>
    </w:rPr>
  </w:style>
  <w:style w:type="character" w:customStyle="1" w:styleId="208">
    <w:name w:val="Char Char22"/>
    <w:qFormat/>
    <w:uiPriority w:val="6"/>
    <w:rPr>
      <w:rFonts w:ascii="宋体" w:hAnsi="宋体"/>
      <w:kern w:val="1"/>
      <w:sz w:val="24"/>
      <w:szCs w:val="24"/>
    </w:rPr>
  </w:style>
  <w:style w:type="character" w:customStyle="1" w:styleId="209">
    <w:name w:val="pt141"/>
    <w:qFormat/>
    <w:uiPriority w:val="0"/>
    <w:rPr>
      <w:color w:val="330066"/>
      <w:sz w:val="22"/>
      <w:szCs w:val="22"/>
    </w:rPr>
  </w:style>
  <w:style w:type="character" w:customStyle="1" w:styleId="210">
    <w:name w:val="正文文本缩进 2 Char1"/>
    <w:semiHidden/>
    <w:qFormat/>
    <w:uiPriority w:val="99"/>
    <w:rPr>
      <w:rFonts w:ascii="Times New Roman" w:hAnsi="Times New Roman" w:eastAsia="宋体" w:cs="Times New Roman"/>
      <w:szCs w:val="24"/>
    </w:rPr>
  </w:style>
  <w:style w:type="character" w:customStyle="1" w:styleId="211">
    <w:name w:val="Char Char611"/>
    <w:qFormat/>
    <w:uiPriority w:val="0"/>
    <w:rPr>
      <w:rFonts w:eastAsia="宋体"/>
      <w:kern w:val="2"/>
      <w:sz w:val="21"/>
      <w:szCs w:val="24"/>
      <w:lang w:val="en-US" w:eastAsia="zh-CN" w:bidi="ar-SA"/>
    </w:rPr>
  </w:style>
  <w:style w:type="character" w:customStyle="1" w:styleId="212">
    <w:name w:val="highlight1"/>
    <w:qFormat/>
    <w:uiPriority w:val="0"/>
    <w:rPr>
      <w:rFonts w:ascii="仿宋_GB2312" w:eastAsia="微软雅黑"/>
      <w:b/>
      <w:kern w:val="2"/>
      <w:sz w:val="23"/>
      <w:szCs w:val="23"/>
      <w:lang w:val="en-US" w:eastAsia="zh-CN" w:bidi="ar-SA"/>
    </w:rPr>
  </w:style>
  <w:style w:type="character" w:customStyle="1" w:styleId="213">
    <w:name w:val="my正文 Char"/>
    <w:link w:val="214"/>
    <w:qFormat/>
    <w:locked/>
    <w:uiPriority w:val="0"/>
    <w:rPr>
      <w:rFonts w:ascii="Tahoma" w:hAnsi="Tahoma"/>
      <w:sz w:val="24"/>
      <w:szCs w:val="24"/>
    </w:rPr>
  </w:style>
  <w:style w:type="paragraph" w:customStyle="1" w:styleId="214">
    <w:name w:val="my正文"/>
    <w:basedOn w:val="1"/>
    <w:link w:val="213"/>
    <w:qFormat/>
    <w:uiPriority w:val="0"/>
    <w:pPr>
      <w:adjustRightInd/>
      <w:spacing w:line="360" w:lineRule="auto"/>
      <w:ind w:firstLine="480" w:firstLineChars="200"/>
    </w:pPr>
    <w:rPr>
      <w:rFonts w:ascii="Tahoma" w:hAnsi="Tahoma"/>
      <w:kern w:val="0"/>
      <w:sz w:val="24"/>
    </w:rPr>
  </w:style>
  <w:style w:type="character" w:customStyle="1" w:styleId="215">
    <w:name w:val="Used by Word for text of Help footnotes Char Char1"/>
    <w:qFormat/>
    <w:uiPriority w:val="0"/>
    <w:rPr>
      <w:color w:val="0000FF"/>
      <w:sz w:val="21"/>
    </w:rPr>
  </w:style>
  <w:style w:type="character" w:customStyle="1" w:styleId="216">
    <w:name w:val="页眉 Char"/>
    <w:qFormat/>
    <w:uiPriority w:val="0"/>
    <w:rPr>
      <w:rFonts w:eastAsia="仿宋_GB2312"/>
      <w:kern w:val="2"/>
      <w:sz w:val="18"/>
      <w:lang w:val="en-US" w:eastAsia="zh-CN"/>
    </w:rPr>
  </w:style>
  <w:style w:type="character" w:customStyle="1" w:styleId="217">
    <w:name w:val="FA正文 Char Char"/>
    <w:qFormat/>
    <w:uiPriority w:val="0"/>
    <w:rPr>
      <w:rFonts w:hAnsi="宋体"/>
      <w:kern w:val="2"/>
      <w:sz w:val="24"/>
      <w:lang w:bidi="ar-SA"/>
    </w:rPr>
  </w:style>
  <w:style w:type="character" w:customStyle="1" w:styleId="218">
    <w:name w:val="纯文本 字符"/>
    <w:qFormat/>
    <w:uiPriority w:val="0"/>
    <w:rPr>
      <w:rFonts w:ascii="宋体" w:hAnsi="Courier New" w:eastAsia="宋体" w:cs="Arial"/>
      <w:snapToGrid w:val="0"/>
      <w:kern w:val="2"/>
      <w:sz w:val="21"/>
      <w:szCs w:val="21"/>
      <w:lang w:val="en-US" w:eastAsia="zh-CN" w:bidi="ar-SA"/>
    </w:rPr>
  </w:style>
  <w:style w:type="character" w:customStyle="1" w:styleId="219">
    <w:name w:val="3级 Char"/>
    <w:link w:val="220"/>
    <w:qFormat/>
    <w:uiPriority w:val="0"/>
    <w:rPr>
      <w:rFonts w:ascii="宋体" w:hAnsi="宋体"/>
      <w:b/>
      <w:bCs/>
      <w:snapToGrid/>
      <w:sz w:val="28"/>
    </w:rPr>
  </w:style>
  <w:style w:type="paragraph" w:customStyle="1" w:styleId="220">
    <w:name w:val="3级"/>
    <w:basedOn w:val="221"/>
    <w:link w:val="219"/>
    <w:qFormat/>
    <w:uiPriority w:val="0"/>
    <w:pPr>
      <w:ind w:left="0" w:right="466" w:firstLine="288"/>
    </w:pPr>
    <w:rPr>
      <w:rFonts w:hAnsi="宋体"/>
      <w:snapToGrid/>
    </w:rPr>
  </w:style>
  <w:style w:type="paragraph" w:customStyle="1" w:styleId="22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2">
    <w:name w:val="myp11"/>
    <w:qFormat/>
    <w:uiPriority w:val="0"/>
    <w:rPr>
      <w:rFonts w:ascii="仿宋_GB2312" w:eastAsia="微软雅黑"/>
      <w:b/>
      <w:kern w:val="2"/>
      <w:sz w:val="32"/>
      <w:szCs w:val="32"/>
      <w:lang w:val="en-US" w:eastAsia="zh-CN" w:bidi="ar-SA"/>
    </w:rPr>
  </w:style>
  <w:style w:type="character" w:customStyle="1" w:styleId="223">
    <w:name w:val="H6 Char"/>
    <w:qFormat/>
    <w:uiPriority w:val="0"/>
    <w:rPr>
      <w:rFonts w:ascii="Arial" w:hAnsi="Arial" w:eastAsia="黑体"/>
      <w:b/>
      <w:bCs/>
      <w:kern w:val="2"/>
      <w:sz w:val="24"/>
      <w:szCs w:val="24"/>
    </w:rPr>
  </w:style>
  <w:style w:type="character" w:customStyle="1" w:styleId="224">
    <w:name w:val="Char Char91"/>
    <w:qFormat/>
    <w:uiPriority w:val="0"/>
    <w:rPr>
      <w:rFonts w:eastAsia="宋体"/>
      <w:kern w:val="2"/>
      <w:sz w:val="18"/>
      <w:szCs w:val="18"/>
      <w:lang w:val="en-US" w:eastAsia="zh-CN" w:bidi="ar-SA"/>
    </w:rPr>
  </w:style>
  <w:style w:type="character" w:customStyle="1" w:styleId="225">
    <w:name w:val="副标题 Char1"/>
    <w:qFormat/>
    <w:uiPriority w:val="0"/>
    <w:rPr>
      <w:rFonts w:ascii="Cambria" w:hAnsi="Cambria" w:eastAsia="宋体" w:cs="Times New Roman"/>
      <w:b/>
      <w:bCs/>
      <w:snapToGrid w:val="0"/>
      <w:kern w:val="28"/>
      <w:sz w:val="32"/>
      <w:szCs w:val="32"/>
    </w:rPr>
  </w:style>
  <w:style w:type="character" w:customStyle="1" w:styleId="226">
    <w:name w:val="font61"/>
    <w:qFormat/>
    <w:uiPriority w:val="0"/>
    <w:rPr>
      <w:rFonts w:hint="eastAsia" w:ascii="仿宋" w:hAnsi="仿宋" w:eastAsia="仿宋" w:cs="仿宋"/>
      <w:color w:val="000000"/>
      <w:sz w:val="20"/>
      <w:szCs w:val="20"/>
      <w:u w:val="none"/>
    </w:rPr>
  </w:style>
  <w:style w:type="character" w:customStyle="1" w:styleId="22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28">
    <w:name w:val="Char Char211"/>
    <w:qFormat/>
    <w:uiPriority w:val="0"/>
    <w:rPr>
      <w:rFonts w:eastAsia="宋体"/>
      <w:b/>
      <w:bCs/>
      <w:kern w:val="2"/>
      <w:sz w:val="21"/>
      <w:szCs w:val="24"/>
      <w:lang w:val="en-US" w:eastAsia="zh-CN" w:bidi="ar-SA"/>
    </w:rPr>
  </w:style>
  <w:style w:type="character" w:customStyle="1" w:styleId="229">
    <w:name w:val="标题 2 Char"/>
    <w:qFormat/>
    <w:uiPriority w:val="0"/>
    <w:rPr>
      <w:rFonts w:ascii="Arial" w:hAnsi="Arial" w:eastAsia="黑体"/>
      <w:b/>
      <w:kern w:val="2"/>
      <w:sz w:val="32"/>
      <w:lang w:val="en-US" w:eastAsia="zh-CN"/>
    </w:rPr>
  </w:style>
  <w:style w:type="character" w:customStyle="1" w:styleId="230">
    <w:name w:val="maywed421"/>
    <w:qFormat/>
    <w:uiPriority w:val="0"/>
    <w:rPr>
      <w:color w:val="366FB6"/>
      <w:u w:val="none"/>
    </w:rPr>
  </w:style>
  <w:style w:type="character" w:customStyle="1" w:styleId="231">
    <w:name w:val="正文文本缩进 Char"/>
    <w:qFormat/>
    <w:uiPriority w:val="0"/>
    <w:rPr>
      <w:rFonts w:ascii="宋体" w:hAnsi="宋体"/>
      <w:kern w:val="2"/>
      <w:sz w:val="24"/>
      <w:szCs w:val="24"/>
    </w:rPr>
  </w:style>
  <w:style w:type="character" w:customStyle="1" w:styleId="232">
    <w:name w:val="Char Char102"/>
    <w:semiHidden/>
    <w:qFormat/>
    <w:uiPriority w:val="0"/>
    <w:rPr>
      <w:rFonts w:ascii="宋体" w:hAnsi="宋体"/>
      <w:kern w:val="2"/>
      <w:sz w:val="21"/>
      <w:szCs w:val="24"/>
      <w:lang w:val="en-US" w:eastAsia="zh-CN"/>
    </w:rPr>
  </w:style>
  <w:style w:type="character" w:customStyle="1" w:styleId="233">
    <w:name w:val="页眉 Char1"/>
    <w:qFormat/>
    <w:uiPriority w:val="0"/>
    <w:rPr>
      <w:rFonts w:eastAsia="宋体"/>
      <w:kern w:val="2"/>
      <w:sz w:val="18"/>
      <w:szCs w:val="18"/>
      <w:lang w:val="en-US" w:eastAsia="zh-CN" w:bidi="ar-SA"/>
    </w:rPr>
  </w:style>
  <w:style w:type="character" w:customStyle="1" w:styleId="234">
    <w:name w:val="md"/>
    <w:basedOn w:val="69"/>
    <w:qFormat/>
    <w:uiPriority w:val="0"/>
    <w:rPr>
      <w:rFonts w:ascii="Arial" w:hAnsi="Arial" w:eastAsia="黑体" w:cs="Arial"/>
      <w:snapToGrid w:val="0"/>
      <w:kern w:val="0"/>
      <w:szCs w:val="21"/>
    </w:rPr>
  </w:style>
  <w:style w:type="character" w:customStyle="1" w:styleId="235">
    <w:name w:val="big1"/>
    <w:qFormat/>
    <w:uiPriority w:val="0"/>
    <w:rPr>
      <w:rFonts w:hint="eastAsia" w:ascii="宋体" w:hAnsi="宋体" w:eastAsia="宋体"/>
      <w:color w:val="333333"/>
      <w:sz w:val="22"/>
      <w:szCs w:val="22"/>
    </w:rPr>
  </w:style>
  <w:style w:type="character" w:customStyle="1" w:styleId="236">
    <w:name w:val="Char Char311"/>
    <w:qFormat/>
    <w:uiPriority w:val="0"/>
    <w:rPr>
      <w:rFonts w:eastAsia="宋体"/>
      <w:kern w:val="2"/>
      <w:sz w:val="21"/>
      <w:szCs w:val="24"/>
      <w:lang w:val="en-US" w:eastAsia="zh-CN" w:bidi="ar-SA"/>
    </w:rPr>
  </w:style>
  <w:style w:type="character" w:customStyle="1" w:styleId="237">
    <w:name w:val="Char Char81"/>
    <w:qFormat/>
    <w:uiPriority w:val="6"/>
    <w:rPr>
      <w:rFonts w:eastAsia="宋体"/>
      <w:b/>
      <w:sz w:val="24"/>
      <w:lang w:val="en-GB" w:eastAsia="zh-CN"/>
    </w:rPr>
  </w:style>
  <w:style w:type="character" w:customStyle="1" w:styleId="238">
    <w:name w:val="样式3 Char"/>
    <w:basedOn w:val="194"/>
    <w:qFormat/>
    <w:uiPriority w:val="0"/>
    <w:rPr>
      <w:rFonts w:ascii="仿宋_GB2312" w:hAnsi="仿宋" w:eastAsia="仿宋_GB2312" w:cs="仿宋_GB2312"/>
      <w:sz w:val="32"/>
      <w:szCs w:val="30"/>
      <w:lang w:val="zh-CN"/>
    </w:rPr>
  </w:style>
  <w:style w:type="character" w:customStyle="1" w:styleId="239">
    <w:name w:val="正文首行缩进 2 Char1"/>
    <w:qFormat/>
    <w:uiPriority w:val="0"/>
    <w:rPr>
      <w:rFonts w:ascii="Times New Roman" w:hAnsi="Times New Roman" w:eastAsia="宋体" w:cs="Times New Roman"/>
      <w:kern w:val="2"/>
      <w:sz w:val="24"/>
      <w:szCs w:val="24"/>
    </w:rPr>
  </w:style>
  <w:style w:type="character" w:customStyle="1" w:styleId="240">
    <w:name w:val="副标题 Char2"/>
    <w:qFormat/>
    <w:uiPriority w:val="0"/>
    <w:rPr>
      <w:rFonts w:ascii="Cambria" w:hAnsi="Cambria" w:eastAsia="宋体" w:cs="Times New Roman"/>
      <w:b/>
      <w:bCs/>
      <w:snapToGrid w:val="0"/>
      <w:kern w:val="28"/>
      <w:sz w:val="32"/>
      <w:szCs w:val="32"/>
    </w:rPr>
  </w:style>
  <w:style w:type="character" w:customStyle="1" w:styleId="241">
    <w:name w:val="标题4-dyf Char"/>
    <w:link w:val="242"/>
    <w:qFormat/>
    <w:uiPriority w:val="0"/>
    <w:rPr>
      <w:rFonts w:ascii="Cambria" w:hAnsi="Cambria"/>
      <w:b/>
      <w:bCs/>
      <w:color w:val="000000"/>
      <w:kern w:val="2"/>
      <w:sz w:val="21"/>
      <w:szCs w:val="21"/>
    </w:rPr>
  </w:style>
  <w:style w:type="paragraph" w:customStyle="1" w:styleId="242">
    <w:name w:val="标题4-dyf"/>
    <w:basedOn w:val="6"/>
    <w:link w:val="24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3">
    <w:name w:val="dectext1"/>
    <w:qFormat/>
    <w:uiPriority w:val="0"/>
    <w:rPr>
      <w:rFonts w:ascii="宋体" w:hAnsi="宋体" w:eastAsia="宋体"/>
      <w:color w:val="333333"/>
      <w:sz w:val="21"/>
      <w:szCs w:val="21"/>
      <w:u w:val="none"/>
    </w:rPr>
  </w:style>
  <w:style w:type="character" w:customStyle="1" w:styleId="244">
    <w:name w:val="冯 Char"/>
    <w:link w:val="245"/>
    <w:qFormat/>
    <w:uiPriority w:val="0"/>
    <w:rPr>
      <w:rFonts w:ascii="宋体" w:hAnsi="宋体"/>
      <w:color w:val="000000"/>
      <w:sz w:val="24"/>
      <w:szCs w:val="24"/>
    </w:rPr>
  </w:style>
  <w:style w:type="paragraph" w:customStyle="1" w:styleId="245">
    <w:name w:val="冯"/>
    <w:basedOn w:val="1"/>
    <w:link w:val="244"/>
    <w:qFormat/>
    <w:uiPriority w:val="0"/>
    <w:pPr>
      <w:widowControl/>
      <w:adjustRightInd/>
      <w:spacing w:line="360" w:lineRule="auto"/>
      <w:ind w:firstLine="480" w:firstLineChars="200"/>
    </w:pPr>
    <w:rPr>
      <w:rFonts w:ascii="宋体" w:hAnsi="宋体"/>
      <w:color w:val="000000"/>
      <w:kern w:val="0"/>
      <w:sz w:val="24"/>
    </w:rPr>
  </w:style>
  <w:style w:type="character" w:customStyle="1" w:styleId="246">
    <w:name w:val="Header Char"/>
    <w:qFormat/>
    <w:locked/>
    <w:uiPriority w:val="0"/>
    <w:rPr>
      <w:rFonts w:eastAsia="宋体"/>
      <w:kern w:val="2"/>
      <w:sz w:val="18"/>
      <w:szCs w:val="18"/>
      <w:lang w:val="en-US" w:eastAsia="zh-CN" w:bidi="ar-SA"/>
    </w:rPr>
  </w:style>
  <w:style w:type="character" w:customStyle="1" w:styleId="247">
    <w:name w:val="Char Char12"/>
    <w:qFormat/>
    <w:uiPriority w:val="0"/>
    <w:rPr>
      <w:rFonts w:ascii="仿宋_GB2312" w:eastAsia="仿宋_GB2312"/>
      <w:b/>
      <w:bCs/>
      <w:kern w:val="2"/>
      <w:sz w:val="24"/>
      <w:szCs w:val="24"/>
      <w:lang w:val="zh-CN" w:eastAsia="zh-CN" w:bidi="ar-SA"/>
    </w:rPr>
  </w:style>
  <w:style w:type="character" w:customStyle="1" w:styleId="248">
    <w:name w:val="普通文字 Char3"/>
    <w:qFormat/>
    <w:uiPriority w:val="0"/>
    <w:rPr>
      <w:rFonts w:ascii="宋体" w:hAnsi="Courier New" w:eastAsia="宋体"/>
      <w:kern w:val="2"/>
      <w:sz w:val="21"/>
      <w:lang w:val="en-US" w:eastAsia="zh-CN" w:bidi="ar-SA"/>
    </w:rPr>
  </w:style>
  <w:style w:type="character" w:customStyle="1" w:styleId="249">
    <w:name w:val="公文正文 Char"/>
    <w:qFormat/>
    <w:uiPriority w:val="0"/>
    <w:rPr>
      <w:rFonts w:ascii="仿宋_GB2312" w:eastAsia="仿宋_GB2312"/>
      <w:kern w:val="2"/>
      <w:sz w:val="24"/>
      <w:szCs w:val="24"/>
      <w:lang w:val="en-US" w:eastAsia="zh-CN" w:bidi="ar-SA"/>
    </w:rPr>
  </w:style>
  <w:style w:type="character" w:customStyle="1" w:styleId="250">
    <w:name w:val="正文首行缩进 Char Char Char Char Char"/>
    <w:qFormat/>
    <w:uiPriority w:val="0"/>
    <w:rPr>
      <w:rFonts w:ascii="宋体"/>
      <w:kern w:val="2"/>
      <w:sz w:val="24"/>
      <w:lang w:val="zh-CN"/>
    </w:rPr>
  </w:style>
  <w:style w:type="character" w:customStyle="1" w:styleId="251">
    <w:name w:val="PI Char"/>
    <w:qFormat/>
    <w:uiPriority w:val="0"/>
    <w:rPr>
      <w:rFonts w:ascii="宋体" w:hAnsi="宋体" w:eastAsia="宋体"/>
      <w:kern w:val="2"/>
      <w:sz w:val="24"/>
      <w:szCs w:val="24"/>
      <w:lang w:val="en-US" w:eastAsia="zh-CN" w:bidi="ar-SA"/>
    </w:rPr>
  </w:style>
  <w:style w:type="character" w:customStyle="1" w:styleId="252">
    <w:name w:val="Default Char"/>
    <w:link w:val="253"/>
    <w:qFormat/>
    <w:uiPriority w:val="0"/>
    <w:rPr>
      <w:rFonts w:ascii="仿宋_GB2312" w:eastAsia="仿宋_GB2312" w:cs="仿宋_GB2312"/>
      <w:color w:val="000000"/>
      <w:sz w:val="24"/>
      <w:szCs w:val="24"/>
      <w:lang w:val="en-US" w:eastAsia="zh-CN" w:bidi="ar-SA"/>
    </w:rPr>
  </w:style>
  <w:style w:type="paragraph" w:customStyle="1" w:styleId="253">
    <w:name w:val="Default"/>
    <w:link w:val="25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54">
    <w:name w:val="style91"/>
    <w:qFormat/>
    <w:uiPriority w:val="0"/>
    <w:rPr>
      <w:color w:val="333333"/>
    </w:rPr>
  </w:style>
  <w:style w:type="character" w:customStyle="1" w:styleId="255">
    <w:name w:val="列出段落 Char2"/>
    <w:qFormat/>
    <w:uiPriority w:val="34"/>
    <w:rPr>
      <w:rFonts w:ascii="Calibri" w:hAnsi="Calibri"/>
      <w:kern w:val="2"/>
      <w:sz w:val="28"/>
    </w:rPr>
  </w:style>
  <w:style w:type="character" w:customStyle="1" w:styleId="256">
    <w:name w:val="mdeck"/>
    <w:qFormat/>
    <w:uiPriority w:val="0"/>
    <w:rPr>
      <w:rFonts w:ascii="仿宋_GB2312" w:eastAsia="微软雅黑"/>
      <w:b/>
      <w:kern w:val="2"/>
      <w:sz w:val="32"/>
      <w:szCs w:val="32"/>
      <w:lang w:val="en-US" w:eastAsia="zh-CN" w:bidi="ar-SA"/>
    </w:rPr>
  </w:style>
  <w:style w:type="character" w:customStyle="1" w:styleId="257">
    <w:name w:val="unnamed11"/>
    <w:qFormat/>
    <w:uiPriority w:val="0"/>
    <w:rPr>
      <w:sz w:val="20"/>
      <w:szCs w:val="20"/>
    </w:rPr>
  </w:style>
  <w:style w:type="character" w:customStyle="1" w:styleId="258">
    <w:name w:val="正文文本 Char2"/>
    <w:semiHidden/>
    <w:qFormat/>
    <w:uiPriority w:val="99"/>
    <w:rPr>
      <w:rFonts w:ascii="Times New Roman" w:hAnsi="Times New Roman" w:eastAsia="宋体" w:cs="Times New Roman"/>
      <w:snapToGrid w:val="0"/>
      <w:kern w:val="0"/>
      <w:szCs w:val="24"/>
    </w:rPr>
  </w:style>
  <w:style w:type="character" w:customStyle="1" w:styleId="259">
    <w:name w:val="标书正文格式 Char"/>
    <w:qFormat/>
    <w:uiPriority w:val="0"/>
    <w:rPr>
      <w:rFonts w:eastAsia="楷体_GB2312"/>
      <w:kern w:val="2"/>
      <w:sz w:val="24"/>
      <w:szCs w:val="24"/>
      <w:lang w:bidi="ar-SA"/>
    </w:rPr>
  </w:style>
  <w:style w:type="character" w:customStyle="1" w:styleId="260">
    <w:name w:val="Char Char11"/>
    <w:qFormat/>
    <w:locked/>
    <w:uiPriority w:val="0"/>
    <w:rPr>
      <w:rFonts w:ascii="宋体" w:hAnsi="宋体" w:eastAsia="宋体"/>
      <w:b/>
      <w:kern w:val="2"/>
      <w:sz w:val="24"/>
      <w:szCs w:val="24"/>
      <w:lang w:val="en-US" w:eastAsia="zh-CN" w:bidi="ar-SA"/>
    </w:rPr>
  </w:style>
  <w:style w:type="character" w:customStyle="1" w:styleId="261">
    <w:name w:val="ca-131"/>
    <w:qFormat/>
    <w:uiPriority w:val="0"/>
    <w:rPr>
      <w:rFonts w:hint="eastAsia" w:ascii="仿宋_GB2312" w:eastAsia="仿宋_GB2312"/>
      <w:b/>
      <w:bCs/>
      <w:color w:val="000000"/>
      <w:spacing w:val="-20"/>
      <w:sz w:val="24"/>
      <w:szCs w:val="24"/>
    </w:rPr>
  </w:style>
  <w:style w:type="character" w:customStyle="1" w:styleId="262">
    <w:name w:val="tw4winMark"/>
    <w:qFormat/>
    <w:uiPriority w:val="0"/>
    <w:rPr>
      <w:rFonts w:ascii="Courier New" w:hAnsi="Courier New" w:cs="Courier New"/>
      <w:vanish/>
      <w:color w:val="800080"/>
      <w:sz w:val="24"/>
      <w:szCs w:val="24"/>
      <w:vertAlign w:val="subscript"/>
    </w:rPr>
  </w:style>
  <w:style w:type="character" w:customStyle="1" w:styleId="263">
    <w:name w:val="正文样式 Char"/>
    <w:link w:val="264"/>
    <w:qFormat/>
    <w:uiPriority w:val="0"/>
    <w:rPr>
      <w:rFonts w:ascii="Calibri" w:hAnsi="Calibri"/>
      <w:sz w:val="24"/>
      <w:szCs w:val="24"/>
    </w:rPr>
  </w:style>
  <w:style w:type="paragraph" w:customStyle="1" w:styleId="264">
    <w:name w:val="正文样式"/>
    <w:basedOn w:val="1"/>
    <w:link w:val="263"/>
    <w:qFormat/>
    <w:uiPriority w:val="0"/>
    <w:pPr>
      <w:adjustRightInd/>
      <w:spacing w:line="360" w:lineRule="auto"/>
      <w:ind w:firstLine="480" w:firstLineChars="200"/>
    </w:pPr>
    <w:rPr>
      <w:kern w:val="0"/>
      <w:sz w:val="24"/>
    </w:rPr>
  </w:style>
  <w:style w:type="character" w:customStyle="1" w:styleId="265">
    <w:name w:val="表正文 Char3"/>
    <w:qFormat/>
    <w:uiPriority w:val="0"/>
    <w:rPr>
      <w:rFonts w:eastAsia="宋体"/>
    </w:rPr>
  </w:style>
  <w:style w:type="character" w:customStyle="1" w:styleId="266">
    <w:name w:val="H5 Char"/>
    <w:qFormat/>
    <w:uiPriority w:val="0"/>
    <w:rPr>
      <w:b/>
      <w:bCs/>
      <w:kern w:val="2"/>
      <w:sz w:val="28"/>
      <w:szCs w:val="28"/>
    </w:rPr>
  </w:style>
  <w:style w:type="character" w:customStyle="1" w:styleId="267">
    <w:name w:val="Char Char3"/>
    <w:qFormat/>
    <w:uiPriority w:val="0"/>
    <w:rPr>
      <w:rFonts w:eastAsia="宋体"/>
      <w:kern w:val="2"/>
      <w:sz w:val="21"/>
      <w:szCs w:val="24"/>
      <w:lang w:val="en-US" w:eastAsia="zh-CN" w:bidi="ar-SA"/>
    </w:rPr>
  </w:style>
  <w:style w:type="character" w:customStyle="1" w:styleId="268">
    <w:name w:val="正文 编号 Char"/>
    <w:qFormat/>
    <w:uiPriority w:val="0"/>
    <w:rPr>
      <w:rFonts w:ascii="仿宋_GB2312" w:hAnsi="仿宋_GB2312" w:eastAsia="仿宋_GB2312"/>
      <w:kern w:val="2"/>
      <w:sz w:val="24"/>
      <w:lang w:bidi="ar-SA"/>
    </w:rPr>
  </w:style>
  <w:style w:type="character" w:customStyle="1" w:styleId="269">
    <w:name w:val="question-title2"/>
    <w:qFormat/>
    <w:uiPriority w:val="6"/>
    <w:rPr>
      <w:rFonts w:ascii="Arial" w:hAnsi="Arial" w:eastAsia="黑体" w:cs="Arial"/>
      <w:snapToGrid w:val="0"/>
      <w:kern w:val="0"/>
      <w:szCs w:val="21"/>
    </w:rPr>
  </w:style>
  <w:style w:type="character" w:customStyle="1" w:styleId="270">
    <w:name w:val="gf正文1 Char Char"/>
    <w:link w:val="271"/>
    <w:qFormat/>
    <w:uiPriority w:val="0"/>
    <w:rPr>
      <w:rFonts w:ascii="宋体" w:hAnsi="宋体" w:cs="宋体"/>
      <w:kern w:val="2"/>
      <w:sz w:val="24"/>
      <w:szCs w:val="24"/>
    </w:rPr>
  </w:style>
  <w:style w:type="paragraph" w:customStyle="1" w:styleId="271">
    <w:name w:val="gf正文1"/>
    <w:basedOn w:val="1"/>
    <w:link w:val="27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2">
    <w:name w:val="Char Char15"/>
    <w:qFormat/>
    <w:uiPriority w:val="6"/>
    <w:rPr>
      <w:rFonts w:ascii="宋体" w:hAnsi="宋体"/>
      <w:kern w:val="1"/>
      <w:sz w:val="21"/>
    </w:rPr>
  </w:style>
  <w:style w:type="character" w:customStyle="1" w:styleId="273">
    <w:name w:val="正文缩进 Char3"/>
    <w:qFormat/>
    <w:uiPriority w:val="0"/>
    <w:rPr>
      <w:rFonts w:ascii="宋体" w:eastAsia="宋体"/>
      <w:snapToGrid w:val="0"/>
      <w:color w:val="000000"/>
      <w:kern w:val="28"/>
      <w:sz w:val="28"/>
      <w:lang w:val="en-US" w:eastAsia="zh-CN" w:bidi="ar-SA"/>
    </w:rPr>
  </w:style>
  <w:style w:type="character" w:customStyle="1" w:styleId="274">
    <w:name w:val="列出段落 Char1"/>
    <w:link w:val="275"/>
    <w:qFormat/>
    <w:uiPriority w:val="0"/>
    <w:rPr>
      <w:rFonts w:ascii="Calibri" w:hAnsi="Calibri"/>
      <w:sz w:val="24"/>
      <w:lang w:eastAsia="en-US"/>
    </w:rPr>
  </w:style>
  <w:style w:type="paragraph" w:customStyle="1" w:styleId="275">
    <w:name w:val="列表1"/>
    <w:basedOn w:val="1"/>
    <w:next w:val="276"/>
    <w:link w:val="274"/>
    <w:qFormat/>
    <w:uiPriority w:val="0"/>
    <w:pPr>
      <w:widowControl/>
      <w:adjustRightInd/>
      <w:spacing w:after="200" w:line="360" w:lineRule="auto"/>
      <w:ind w:left="720" w:firstLine="200" w:firstLineChars="200"/>
      <w:jc w:val="left"/>
    </w:pPr>
    <w:rPr>
      <w:kern w:val="0"/>
      <w:sz w:val="24"/>
      <w:szCs w:val="20"/>
      <w:lang w:eastAsia="en-US"/>
    </w:rPr>
  </w:style>
  <w:style w:type="paragraph" w:styleId="276">
    <w:name w:val="List Paragraph"/>
    <w:basedOn w:val="1"/>
    <w:qFormat/>
    <w:uiPriority w:val="34"/>
    <w:pPr>
      <w:spacing w:line="360" w:lineRule="auto"/>
      <w:ind w:firstLine="200" w:firstLineChars="200"/>
    </w:pPr>
    <w:rPr>
      <w:rFonts w:eastAsia="楷体_GB2312" w:cs="Lucida Sans"/>
      <w:sz w:val="24"/>
    </w:rPr>
  </w:style>
  <w:style w:type="character" w:customStyle="1" w:styleId="277">
    <w:name w:val="Char Char8"/>
    <w:qFormat/>
    <w:uiPriority w:val="0"/>
    <w:rPr>
      <w:rFonts w:eastAsia="宋体"/>
      <w:b/>
      <w:sz w:val="24"/>
      <w:lang w:val="en-GB" w:eastAsia="zh-CN"/>
    </w:rPr>
  </w:style>
  <w:style w:type="character" w:customStyle="1" w:styleId="278">
    <w:name w:val="Normal Indent Char Char"/>
    <w:qFormat/>
    <w:uiPriority w:val="0"/>
    <w:rPr>
      <w:rFonts w:eastAsia="宋体"/>
      <w:kern w:val="2"/>
      <w:sz w:val="21"/>
      <w:lang w:val="en-US" w:eastAsia="zh-CN" w:bidi="ar-SA"/>
    </w:rPr>
  </w:style>
  <w:style w:type="character" w:customStyle="1" w:styleId="279">
    <w:name w:val="列表段落 字符"/>
    <w:qFormat/>
    <w:uiPriority w:val="99"/>
  </w:style>
  <w:style w:type="character" w:customStyle="1" w:styleId="280">
    <w:name w:val="Ò³Ã¼ Char Char1"/>
    <w:qFormat/>
    <w:uiPriority w:val="0"/>
    <w:rPr>
      <w:rFonts w:eastAsia="宋体"/>
      <w:kern w:val="2"/>
      <w:sz w:val="18"/>
      <w:szCs w:val="18"/>
      <w:lang w:val="en-US" w:eastAsia="zh-CN" w:bidi="ar-SA"/>
    </w:rPr>
  </w:style>
  <w:style w:type="character" w:customStyle="1" w:styleId="281">
    <w:name w:val="方案正文 Char"/>
    <w:qFormat/>
    <w:uiPriority w:val="0"/>
    <w:rPr>
      <w:rFonts w:ascii="仿宋_GB2312" w:eastAsia="仿宋_GB2312"/>
      <w:b/>
      <w:color w:val="000000"/>
      <w:kern w:val="2"/>
      <w:sz w:val="24"/>
      <w:lang w:val="en-US" w:eastAsia="zh-CN" w:bidi="ar-SA"/>
    </w:rPr>
  </w:style>
  <w:style w:type="character" w:customStyle="1" w:styleId="282">
    <w:name w:val="Char Char30"/>
    <w:qFormat/>
    <w:uiPriority w:val="6"/>
    <w:rPr>
      <w:rFonts w:ascii="Arial" w:hAnsi="Arial" w:eastAsia="黑体"/>
      <w:kern w:val="1"/>
      <w:sz w:val="21"/>
      <w:szCs w:val="21"/>
    </w:rPr>
  </w:style>
  <w:style w:type="character" w:customStyle="1" w:styleId="283">
    <w:name w:val="font01"/>
    <w:qFormat/>
    <w:uiPriority w:val="0"/>
    <w:rPr>
      <w:rFonts w:hint="eastAsia" w:ascii="微软雅黑" w:hAnsi="微软雅黑" w:eastAsia="微软雅黑" w:cs="微软雅黑"/>
      <w:color w:val="000000"/>
      <w:sz w:val="20"/>
      <w:szCs w:val="20"/>
      <w:u w:val="none"/>
    </w:rPr>
  </w:style>
  <w:style w:type="character" w:customStyle="1" w:styleId="284">
    <w:name w:val="Char Char20"/>
    <w:qFormat/>
    <w:uiPriority w:val="6"/>
    <w:rPr>
      <w:kern w:val="1"/>
      <w:sz w:val="24"/>
    </w:rPr>
  </w:style>
  <w:style w:type="character" w:customStyle="1" w:styleId="285">
    <w:name w:val="tw4winExternal"/>
    <w:qFormat/>
    <w:uiPriority w:val="0"/>
    <w:rPr>
      <w:rFonts w:ascii="Courier New" w:hAnsi="Courier New" w:cs="Courier New"/>
      <w:color w:val="808080"/>
      <w:lang w:val="en-US" w:eastAsia="zh-CN"/>
    </w:rPr>
  </w:style>
  <w:style w:type="character" w:customStyle="1" w:styleId="286">
    <w:name w:val="标题 4 Char1"/>
    <w:qFormat/>
    <w:uiPriority w:val="9"/>
    <w:rPr>
      <w:rFonts w:ascii="Cambria" w:hAnsi="Cambria" w:eastAsia="宋体" w:cs="Times New Roman"/>
      <w:b/>
      <w:bCs/>
      <w:kern w:val="2"/>
      <w:sz w:val="28"/>
      <w:szCs w:val="28"/>
    </w:rPr>
  </w:style>
  <w:style w:type="character" w:customStyle="1" w:styleId="287">
    <w:name w:val="批注文字 Char2"/>
    <w:qFormat/>
    <w:uiPriority w:val="99"/>
    <w:rPr>
      <w:rFonts w:ascii="Times New Roman" w:hAnsi="Times New Roman" w:eastAsia="宋体" w:cs="Times New Roman"/>
      <w:snapToGrid w:val="0"/>
      <w:kern w:val="0"/>
      <w:szCs w:val="24"/>
    </w:rPr>
  </w:style>
  <w:style w:type="character" w:customStyle="1" w:styleId="288">
    <w:name w:val="正文文本 2 Char"/>
    <w:qFormat/>
    <w:uiPriority w:val="0"/>
    <w:rPr>
      <w:rFonts w:eastAsia="宋体"/>
      <w:kern w:val="2"/>
      <w:sz w:val="21"/>
      <w:szCs w:val="24"/>
      <w:lang w:val="en-US" w:eastAsia="zh-CN" w:bidi="ar-SA"/>
    </w:rPr>
  </w:style>
  <w:style w:type="character" w:customStyle="1" w:styleId="289">
    <w:name w:val="Ò³Ã¼ Char Char"/>
    <w:qFormat/>
    <w:uiPriority w:val="0"/>
    <w:rPr>
      <w:rFonts w:eastAsia="宋体"/>
      <w:kern w:val="2"/>
      <w:sz w:val="18"/>
      <w:lang w:val="en-US" w:eastAsia="zh-CN" w:bidi="ar-SA"/>
    </w:rPr>
  </w:style>
  <w:style w:type="character" w:customStyle="1" w:styleId="290">
    <w:name w:val="message1"/>
    <w:qFormat/>
    <w:uiPriority w:val="0"/>
    <w:rPr>
      <w:rFonts w:hint="default" w:ascii="Tahoma" w:hAnsi="Tahoma" w:cs="Tahoma"/>
      <w:sz w:val="18"/>
      <w:szCs w:val="18"/>
    </w:rPr>
  </w:style>
  <w:style w:type="character" w:customStyle="1" w:styleId="291">
    <w:name w:val="Char Char23"/>
    <w:qFormat/>
    <w:uiPriority w:val="6"/>
    <w:rPr>
      <w:color w:val="0000FF"/>
      <w:sz w:val="21"/>
    </w:rPr>
  </w:style>
  <w:style w:type="character" w:customStyle="1" w:styleId="292">
    <w:name w:val="批注框文本 字符"/>
    <w:qFormat/>
    <w:uiPriority w:val="0"/>
    <w:rPr>
      <w:rFonts w:ascii="Arial" w:hAnsi="Arial" w:eastAsia="黑体" w:cs="Arial"/>
      <w:snapToGrid w:val="0"/>
      <w:kern w:val="0"/>
      <w:sz w:val="18"/>
      <w:szCs w:val="18"/>
    </w:rPr>
  </w:style>
  <w:style w:type="character" w:customStyle="1" w:styleId="293">
    <w:name w:val="纯文本 Char2"/>
    <w:semiHidden/>
    <w:qFormat/>
    <w:uiPriority w:val="99"/>
    <w:rPr>
      <w:rFonts w:ascii="宋体" w:hAnsi="Courier New" w:eastAsia="宋体" w:cs="Courier New"/>
    </w:rPr>
  </w:style>
  <w:style w:type="character" w:customStyle="1" w:styleId="294">
    <w:name w:val="Char Char25"/>
    <w:qFormat/>
    <w:uiPriority w:val="6"/>
    <w:rPr>
      <w:rFonts w:ascii="宋体" w:hAnsi="宋体"/>
      <w:kern w:val="1"/>
      <w:sz w:val="24"/>
      <w:lang w:val="zh-CN"/>
    </w:rPr>
  </w:style>
  <w:style w:type="character" w:customStyle="1" w:styleId="295">
    <w:name w:val="Char Char411"/>
    <w:qFormat/>
    <w:uiPriority w:val="0"/>
    <w:rPr>
      <w:rFonts w:eastAsia="宋体"/>
      <w:b/>
      <w:sz w:val="24"/>
      <w:lang w:val="en-GB" w:eastAsia="zh-CN" w:bidi="ar-SA"/>
    </w:rPr>
  </w:style>
  <w:style w:type="character" w:customStyle="1" w:styleId="296">
    <w:name w:val="Heading 7 Char"/>
    <w:qFormat/>
    <w:locked/>
    <w:uiPriority w:val="0"/>
    <w:rPr>
      <w:rFonts w:ascii="宋体" w:hAnsi="宋体" w:eastAsia="宋体"/>
      <w:b/>
      <w:bCs/>
      <w:kern w:val="2"/>
      <w:sz w:val="24"/>
      <w:szCs w:val="24"/>
      <w:lang w:val="en-US" w:eastAsia="zh-CN" w:bidi="ar-SA"/>
    </w:rPr>
  </w:style>
  <w:style w:type="character" w:customStyle="1" w:styleId="297">
    <w:name w:val="此正文 Char"/>
    <w:link w:val="298"/>
    <w:qFormat/>
    <w:uiPriority w:val="0"/>
    <w:rPr>
      <w:kern w:val="2"/>
      <w:sz w:val="24"/>
      <w:szCs w:val="24"/>
    </w:rPr>
  </w:style>
  <w:style w:type="paragraph" w:customStyle="1" w:styleId="298">
    <w:name w:val="此正文"/>
    <w:basedOn w:val="1"/>
    <w:link w:val="297"/>
    <w:qFormat/>
    <w:uiPriority w:val="0"/>
    <w:pPr>
      <w:adjustRightInd/>
      <w:spacing w:line="360" w:lineRule="auto"/>
      <w:ind w:firstLine="200" w:firstLineChars="200"/>
    </w:pPr>
    <w:rPr>
      <w:sz w:val="24"/>
    </w:rPr>
  </w:style>
  <w:style w:type="character" w:customStyle="1" w:styleId="299">
    <w:name w:val="Char Char2"/>
    <w:qFormat/>
    <w:uiPriority w:val="0"/>
    <w:rPr>
      <w:rFonts w:eastAsia="宋体"/>
      <w:b/>
      <w:bCs/>
      <w:kern w:val="2"/>
      <w:sz w:val="21"/>
      <w:szCs w:val="24"/>
      <w:lang w:val="en-US" w:eastAsia="zh-CN" w:bidi="ar-SA"/>
    </w:rPr>
  </w:style>
  <w:style w:type="character" w:customStyle="1" w:styleId="300">
    <w:name w:val="Footer-Even Char1"/>
    <w:qFormat/>
    <w:uiPriority w:val="0"/>
    <w:rPr>
      <w:rFonts w:eastAsia="宋体"/>
      <w:kern w:val="2"/>
      <w:sz w:val="18"/>
      <w:szCs w:val="18"/>
      <w:lang w:val="en-US" w:eastAsia="zh-CN" w:bidi="ar-SA"/>
    </w:rPr>
  </w:style>
  <w:style w:type="character" w:customStyle="1" w:styleId="301">
    <w:name w:val="Char Char29"/>
    <w:qFormat/>
    <w:uiPriority w:val="6"/>
    <w:rPr>
      <w:rFonts w:ascii="Arial" w:hAnsi="Arial" w:eastAsia="微软雅黑"/>
      <w:b/>
      <w:kern w:val="1"/>
      <w:sz w:val="44"/>
      <w:szCs w:val="32"/>
      <w:lang w:val="en-US" w:eastAsia="zh-CN" w:bidi="ar-SA"/>
    </w:rPr>
  </w:style>
  <w:style w:type="character" w:customStyle="1" w:styleId="302">
    <w:name w:val="font81"/>
    <w:qFormat/>
    <w:uiPriority w:val="0"/>
    <w:rPr>
      <w:rFonts w:ascii="微软雅黑" w:hAnsi="微软雅黑" w:eastAsia="微软雅黑" w:cs="微软雅黑"/>
      <w:color w:val="000000"/>
      <w:sz w:val="20"/>
      <w:szCs w:val="20"/>
      <w:u w:val="none"/>
    </w:rPr>
  </w:style>
  <w:style w:type="character" w:customStyle="1" w:styleId="303">
    <w:name w:val="Char Char312"/>
    <w:qFormat/>
    <w:uiPriority w:val="0"/>
    <w:rPr>
      <w:rFonts w:ascii="Times New Roman" w:hAnsi="Times New Roman" w:eastAsia="宋体" w:cs="Times New Roman"/>
      <w:b/>
      <w:kern w:val="2"/>
      <w:sz w:val="32"/>
      <w:szCs w:val="24"/>
      <w:lang w:val="en-US" w:eastAsia="zh-CN" w:bidi="ar-SA"/>
    </w:rPr>
  </w:style>
  <w:style w:type="character" w:customStyle="1" w:styleId="304">
    <w:name w:val="t21"/>
    <w:qFormat/>
    <w:uiPriority w:val="0"/>
    <w:rPr>
      <w:rFonts w:ascii="仿宋_GB2312" w:eastAsia="微软雅黑"/>
      <w:b/>
      <w:kern w:val="2"/>
      <w:sz w:val="23"/>
      <w:szCs w:val="23"/>
      <w:lang w:val="en-US" w:eastAsia="zh-CN" w:bidi="ar-SA"/>
    </w:rPr>
  </w:style>
  <w:style w:type="character" w:customStyle="1" w:styleId="305">
    <w:name w:val="样式8 Char"/>
    <w:qFormat/>
    <w:uiPriority w:val="0"/>
    <w:rPr>
      <w:rFonts w:ascii="仿宋_GB2312" w:hAnsi="宋体" w:eastAsia="仿宋_GB2312"/>
      <w:b/>
      <w:bCs/>
      <w:kern w:val="2"/>
      <w:sz w:val="24"/>
      <w:szCs w:val="24"/>
    </w:rPr>
  </w:style>
  <w:style w:type="character" w:customStyle="1" w:styleId="306">
    <w:name w:val="表格 Char Char"/>
    <w:qFormat/>
    <w:uiPriority w:val="0"/>
    <w:rPr>
      <w:rFonts w:ascii="宋体" w:hAnsi="宋体" w:eastAsia="宋体"/>
      <w:lang w:bidi="ar-SA"/>
    </w:rPr>
  </w:style>
  <w:style w:type="character" w:customStyle="1" w:styleId="307">
    <w:name w:val="正文文本 字符1"/>
    <w:qFormat/>
    <w:uiPriority w:val="0"/>
    <w:rPr>
      <w:rFonts w:ascii="Calibri" w:hAnsi="Calibri" w:eastAsia="黑体" w:cs="Arial"/>
      <w:snapToGrid w:val="0"/>
      <w:kern w:val="2"/>
      <w:sz w:val="28"/>
      <w:szCs w:val="21"/>
    </w:rPr>
  </w:style>
  <w:style w:type="character" w:customStyle="1" w:styleId="308">
    <w:name w:val="标题 6 Char1"/>
    <w:qFormat/>
    <w:uiPriority w:val="0"/>
    <w:rPr>
      <w:rFonts w:ascii="Arial" w:hAnsi="Arial" w:eastAsia="黑体" w:cs="Times New Roman"/>
      <w:b/>
      <w:sz w:val="24"/>
      <w:szCs w:val="20"/>
      <w:lang w:bidi="ar-SA"/>
    </w:rPr>
  </w:style>
  <w:style w:type="character" w:customStyle="1" w:styleId="309">
    <w:name w:val="带编号样式 Char"/>
    <w:qFormat/>
    <w:uiPriority w:val="0"/>
    <w:rPr>
      <w:rFonts w:ascii="仿宋_GB2312" w:eastAsia="仿宋_GB2312"/>
      <w:color w:val="000000"/>
      <w:sz w:val="24"/>
      <w:lang w:bidi="ar-SA"/>
    </w:rPr>
  </w:style>
  <w:style w:type="character" w:customStyle="1" w:styleId="310">
    <w:name w:val="unnamed31"/>
    <w:qFormat/>
    <w:uiPriority w:val="0"/>
    <w:rPr>
      <w:rFonts w:ascii="Tahoma" w:hAnsi="Tahoma" w:eastAsia="宋体"/>
      <w:b/>
      <w:kern w:val="2"/>
      <w:sz w:val="24"/>
      <w:szCs w:val="32"/>
      <w:u w:val="none"/>
      <w:lang w:val="en-US" w:eastAsia="zh-CN" w:bidi="ar-SA"/>
    </w:rPr>
  </w:style>
  <w:style w:type="character" w:customStyle="1" w:styleId="311">
    <w:name w:val="正文首行缩进 Char Char Char Char Char Char1"/>
    <w:qFormat/>
    <w:uiPriority w:val="0"/>
    <w:rPr>
      <w:rFonts w:ascii="宋体" w:eastAsia="宋体"/>
      <w:kern w:val="2"/>
      <w:sz w:val="24"/>
      <w:szCs w:val="24"/>
      <w:lang w:val="zh-CN" w:bidi="ar-SA"/>
    </w:rPr>
  </w:style>
  <w:style w:type="character" w:customStyle="1" w:styleId="312">
    <w:name w:val="文本正文 Char Char"/>
    <w:qFormat/>
    <w:locked/>
    <w:uiPriority w:val="0"/>
    <w:rPr>
      <w:sz w:val="24"/>
      <w:lang w:bidi="ar-SA"/>
    </w:rPr>
  </w:style>
  <w:style w:type="character" w:customStyle="1" w:styleId="313">
    <w:name w:val="正文缩进 字符"/>
    <w:qFormat/>
    <w:uiPriority w:val="0"/>
    <w:rPr>
      <w:rFonts w:ascii="宋体" w:eastAsia="宋体"/>
      <w:snapToGrid w:val="0"/>
      <w:color w:val="000000"/>
      <w:kern w:val="28"/>
      <w:sz w:val="28"/>
      <w:lang w:val="en-US" w:eastAsia="zh-CN" w:bidi="ar-SA"/>
    </w:rPr>
  </w:style>
  <w:style w:type="character" w:customStyle="1" w:styleId="314">
    <w:name w:val="样式 样式 标题 4h4H4Fab-4T5Ref Heading 1rh1Heading sqlsect 1.2.3.... +... Char"/>
    <w:link w:val="315"/>
    <w:qFormat/>
    <w:uiPriority w:val="0"/>
    <w:rPr>
      <w:rFonts w:ascii="微软雅黑" w:hAnsi="微软雅黑" w:eastAsia="微软雅黑"/>
      <w:b/>
      <w:bCs/>
      <w:kern w:val="2"/>
      <w:sz w:val="24"/>
      <w:szCs w:val="28"/>
    </w:rPr>
  </w:style>
  <w:style w:type="paragraph" w:customStyle="1" w:styleId="315">
    <w:name w:val="样式 样式 标题 4h4H4Fab-4T5Ref Heading 1rh1Heading sqlsect 1.2.3.... +..."/>
    <w:basedOn w:val="316"/>
    <w:link w:val="314"/>
    <w:qFormat/>
    <w:uiPriority w:val="0"/>
    <w:pPr>
      <w:tabs>
        <w:tab w:val="left" w:pos="2356"/>
      </w:tabs>
    </w:pPr>
  </w:style>
  <w:style w:type="paragraph" w:customStyle="1" w:styleId="316">
    <w:name w:val="样式 标题 4h4H4Fab-4T5Ref Heading 1rh1Heading sqlsect 1.2.3...."/>
    <w:basedOn w:val="6"/>
    <w:link w:val="3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7">
    <w:name w:val="样式 标题 4h4H4Fab-4T5Ref Heading 1rh1Heading sqlsect 1.2.3.... Char"/>
    <w:link w:val="316"/>
    <w:qFormat/>
    <w:uiPriority w:val="0"/>
    <w:rPr>
      <w:rFonts w:ascii="微软雅黑" w:hAnsi="微软雅黑" w:eastAsia="微软雅黑"/>
      <w:b/>
      <w:bCs/>
      <w:kern w:val="2"/>
      <w:sz w:val="24"/>
      <w:szCs w:val="28"/>
    </w:rPr>
  </w:style>
  <w:style w:type="character" w:customStyle="1" w:styleId="318">
    <w:name w:val="正文非缩进 Char"/>
    <w:qFormat/>
    <w:uiPriority w:val="0"/>
    <w:rPr>
      <w:rFonts w:ascii="宋体" w:eastAsia="宋体"/>
      <w:snapToGrid w:val="0"/>
      <w:color w:val="000000"/>
      <w:kern w:val="28"/>
      <w:sz w:val="28"/>
      <w:lang w:val="en-US" w:eastAsia="zh-CN" w:bidi="ar-SA"/>
    </w:rPr>
  </w:style>
  <w:style w:type="character" w:customStyle="1" w:styleId="319">
    <w:name w:val="Char Char5"/>
    <w:qFormat/>
    <w:uiPriority w:val="0"/>
    <w:rPr>
      <w:rFonts w:ascii="宋体" w:hAnsi="Courier New" w:eastAsia="宋体"/>
      <w:kern w:val="2"/>
      <w:sz w:val="21"/>
      <w:lang w:val="en-US" w:eastAsia="zh-CN"/>
    </w:rPr>
  </w:style>
  <w:style w:type="character" w:customStyle="1" w:styleId="320">
    <w:name w:val="称呼 Char1"/>
    <w:qFormat/>
    <w:uiPriority w:val="0"/>
    <w:rPr>
      <w:rFonts w:ascii="Times New Roman" w:hAnsi="Times New Roman" w:eastAsia="宋体" w:cs="Times New Roman"/>
      <w:szCs w:val="24"/>
    </w:rPr>
  </w:style>
  <w:style w:type="character" w:customStyle="1" w:styleId="321">
    <w:name w:val="正文1 Char"/>
    <w:qFormat/>
    <w:uiPriority w:val="0"/>
    <w:rPr>
      <w:rFonts w:ascii="宋体" w:eastAsia="宋体"/>
      <w:snapToGrid w:val="0"/>
      <w:color w:val="000000"/>
      <w:kern w:val="28"/>
      <w:sz w:val="28"/>
      <w:lang w:val="en-US" w:eastAsia="zh-CN" w:bidi="ar-SA"/>
    </w:rPr>
  </w:style>
  <w:style w:type="character" w:customStyle="1" w:styleId="322">
    <w:name w:val="正文缩进 Char1"/>
    <w:qFormat/>
    <w:uiPriority w:val="0"/>
    <w:rPr>
      <w:rFonts w:ascii="宋体" w:eastAsia="宋体"/>
      <w:snapToGrid w:val="0"/>
      <w:color w:val="000000"/>
      <w:kern w:val="28"/>
      <w:sz w:val="28"/>
      <w:lang w:val="en-US" w:eastAsia="zh-CN" w:bidi="ar-SA"/>
    </w:rPr>
  </w:style>
  <w:style w:type="character" w:customStyle="1" w:styleId="323">
    <w:name w:val="font21"/>
    <w:basedOn w:val="69"/>
    <w:qFormat/>
    <w:uiPriority w:val="0"/>
    <w:rPr>
      <w:rFonts w:hint="eastAsia" w:ascii="宋体" w:hAnsi="宋体" w:eastAsia="宋体"/>
      <w:kern w:val="2"/>
      <w:sz w:val="28"/>
      <w:szCs w:val="28"/>
      <w:lang w:val="en-US" w:eastAsia="zh-CN" w:bidi="ar-SA"/>
    </w:rPr>
  </w:style>
  <w:style w:type="character" w:customStyle="1" w:styleId="324">
    <w:name w:val="Char Char26"/>
    <w:qFormat/>
    <w:uiPriority w:val="6"/>
    <w:rPr>
      <w:kern w:val="1"/>
      <w:sz w:val="21"/>
      <w:szCs w:val="24"/>
    </w:rPr>
  </w:style>
  <w:style w:type="character" w:customStyle="1" w:styleId="325">
    <w:name w:val="Item List Char"/>
    <w:link w:val="326"/>
    <w:qFormat/>
    <w:uiPriority w:val="0"/>
    <w:rPr>
      <w:rFonts w:ascii="Arial"/>
      <w:bCs/>
      <w:sz w:val="21"/>
      <w:szCs w:val="21"/>
      <w:lang w:val="en-US" w:eastAsia="zh-CN" w:bidi="ar-SA"/>
    </w:rPr>
  </w:style>
  <w:style w:type="paragraph" w:customStyle="1" w:styleId="326">
    <w:name w:val="Item List"/>
    <w:link w:val="32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7">
    <w:name w:val="批注框文本 Char1"/>
    <w:qFormat/>
    <w:uiPriority w:val="0"/>
    <w:rPr>
      <w:rFonts w:ascii="Times New Roman" w:hAnsi="Times New Roman" w:eastAsia="宋体" w:cs="Times New Roman"/>
      <w:sz w:val="18"/>
      <w:szCs w:val="18"/>
    </w:rPr>
  </w:style>
  <w:style w:type="character" w:customStyle="1" w:styleId="328">
    <w:name w:val="纯文本 Char1"/>
    <w:link w:val="329"/>
    <w:qFormat/>
    <w:uiPriority w:val="0"/>
    <w:rPr>
      <w:rFonts w:ascii="宋体" w:hAnsi="Courier New"/>
    </w:rPr>
  </w:style>
  <w:style w:type="paragraph" w:customStyle="1" w:styleId="329">
    <w:name w:val="纯文本1"/>
    <w:basedOn w:val="1"/>
    <w:link w:val="328"/>
    <w:qFormat/>
    <w:uiPriority w:val="0"/>
    <w:pPr>
      <w:adjustRightInd/>
    </w:pPr>
    <w:rPr>
      <w:rFonts w:ascii="宋体" w:hAnsi="Courier New"/>
      <w:kern w:val="0"/>
      <w:sz w:val="20"/>
      <w:szCs w:val="20"/>
    </w:rPr>
  </w:style>
  <w:style w:type="character" w:customStyle="1" w:styleId="330">
    <w:name w:val="h3 Char"/>
    <w:qFormat/>
    <w:uiPriority w:val="0"/>
    <w:rPr>
      <w:rFonts w:eastAsia="宋体"/>
      <w:b/>
      <w:kern w:val="2"/>
      <w:sz w:val="32"/>
      <w:lang w:val="en-US" w:eastAsia="zh-CN" w:bidi="ar-SA"/>
    </w:rPr>
  </w:style>
  <w:style w:type="character" w:customStyle="1" w:styleId="331">
    <w:name w:val="dandyren_title1"/>
    <w:qFormat/>
    <w:uiPriority w:val="0"/>
    <w:rPr>
      <w:b/>
      <w:bCs/>
      <w:color w:val="FF6633"/>
      <w:sz w:val="18"/>
      <w:szCs w:val="18"/>
    </w:rPr>
  </w:style>
  <w:style w:type="character" w:customStyle="1" w:styleId="332">
    <w:name w:val="Char Char31"/>
    <w:qFormat/>
    <w:uiPriority w:val="6"/>
    <w:rPr>
      <w:rFonts w:ascii="Arial" w:hAnsi="Arial" w:eastAsia="黑体"/>
      <w:kern w:val="1"/>
      <w:sz w:val="24"/>
      <w:szCs w:val="24"/>
    </w:rPr>
  </w:style>
  <w:style w:type="character" w:customStyle="1" w:styleId="333">
    <w:name w:val="h Char1"/>
    <w:qFormat/>
    <w:uiPriority w:val="0"/>
    <w:rPr>
      <w:sz w:val="18"/>
      <w:szCs w:val="18"/>
    </w:rPr>
  </w:style>
  <w:style w:type="character" w:customStyle="1" w:styleId="334">
    <w:name w:val="solutionfonts"/>
    <w:qFormat/>
    <w:uiPriority w:val="0"/>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font3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semiHidden/>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7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482"/>
    <w:qFormat/>
    <w:uiPriority w:val="99"/>
    <w:rPr>
      <w:szCs w:val="22"/>
    </w:rPr>
  </w:style>
  <w:style w:type="character" w:customStyle="1" w:styleId="482">
    <w:name w:val="无间隔 Char"/>
    <w:link w:val="481"/>
    <w:qFormat/>
    <w:uiPriority w:val="99"/>
    <w:rPr>
      <w:kern w:val="2"/>
      <w:sz w:val="21"/>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58"/>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53"/>
    <w:next w:val="25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53"/>
    <w:next w:val="25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76"/>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1"/>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7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附注"/>
    <w:basedOn w:val="1"/>
    <w:qFormat/>
    <w:uiPriority w:val="0"/>
    <w:pPr>
      <w:ind w:firstLine="640"/>
    </w:pPr>
    <w:rPr>
      <w:rFonts w:eastAsia="仿宋_GB2312"/>
      <w:sz w:val="32"/>
    </w:rPr>
  </w:style>
  <w:style w:type="paragraph" w:customStyle="1" w:styleId="962">
    <w:name w:val="标题 3_0"/>
    <w:basedOn w:val="1"/>
    <w:next w:val="963"/>
    <w:qFormat/>
    <w:uiPriority w:val="0"/>
    <w:pPr>
      <w:tabs>
        <w:tab w:val="left" w:pos="851"/>
        <w:tab w:val="left" w:pos="1260"/>
      </w:tabs>
      <w:autoSpaceDE w:val="0"/>
      <w:autoSpaceDN w:val="0"/>
      <w:adjustRightInd w:val="0"/>
      <w:snapToGrid w:val="0"/>
      <w:spacing w:line="360" w:lineRule="auto"/>
      <w:outlineLvl w:val="2"/>
    </w:pPr>
    <w:rPr>
      <w:rFonts w:ascii="宋体"/>
      <w:b/>
      <w:kern w:val="0"/>
      <w:sz w:val="24"/>
      <w:szCs w:val="20"/>
    </w:rPr>
  </w:style>
  <w:style w:type="paragraph" w:customStyle="1" w:styleId="963">
    <w:name w:val="正文缩进_0"/>
    <w:basedOn w:val="1"/>
    <w:qFormat/>
    <w:uiPriority w:val="0"/>
    <w:pPr>
      <w:ind w:firstLine="420"/>
    </w:pPr>
    <w:rPr>
      <w:kern w:val="0"/>
      <w:sz w:val="24"/>
      <w:szCs w:val="20"/>
    </w:rPr>
  </w:style>
  <w:style w:type="paragraph" w:customStyle="1" w:styleId="964">
    <w:name w:val="DAS正文"/>
    <w:basedOn w:val="1"/>
    <w:qFormat/>
    <w:uiPriority w:val="0"/>
    <w:pPr>
      <w:spacing w:line="360" w:lineRule="auto"/>
      <w:ind w:right="181" w:firstLine="480" w:firstLineChars="200"/>
    </w:pPr>
    <w:rPr>
      <w:rFonts w:ascii="Verdana" w:hAnsi="Verdana"/>
      <w:sz w:val="24"/>
    </w:rPr>
  </w:style>
  <w:style w:type="character" w:customStyle="1" w:styleId="965">
    <w:name w:val="font111"/>
    <w:basedOn w:val="69"/>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85</Pages>
  <Words>41008</Words>
  <Characters>43433</Characters>
  <Lines>287</Lines>
  <Paragraphs>81</Paragraphs>
  <TotalTime>3</TotalTime>
  <ScaleCrop>false</ScaleCrop>
  <LinksUpToDate>false</LinksUpToDate>
  <CharactersWithSpaces>48660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用户</cp:lastModifiedBy>
  <cp:lastPrinted>2022-01-20T17:06:00Z</cp:lastPrinted>
  <dcterms:modified xsi:type="dcterms:W3CDTF">2023-01-17T05:20:22Z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A93A41B001D24650B1E84BCB2A2ADCA3</vt:lpwstr>
  </property>
</Properties>
</file>