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highlight w:val="none"/>
        </w:rPr>
      </w:pPr>
    </w:p>
    <w:p>
      <w:pPr>
        <w:pStyle w:val="41"/>
        <w:rPr>
          <w:rFonts w:ascii="宋体" w:hAnsi="宋体" w:cs="宋体"/>
          <w:b/>
          <w:color w:val="auto"/>
          <w:sz w:val="48"/>
          <w:szCs w:val="48"/>
          <w:highlight w:val="none"/>
        </w:rPr>
      </w:pPr>
    </w:p>
    <w:p>
      <w:pPr>
        <w:pStyle w:val="41"/>
        <w:rPr>
          <w:rFonts w:ascii="宋体" w:hAnsi="宋体" w:cs="宋体"/>
          <w:b/>
          <w:color w:val="auto"/>
          <w:sz w:val="48"/>
          <w:szCs w:val="48"/>
          <w:highlight w:val="none"/>
        </w:rPr>
      </w:pP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杭州技师学院</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教学用大飞机采购项目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ZJZN-22930-JY24-01</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杭州技师学院</w:t>
      </w:r>
    </w:p>
    <w:p>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浙江中诺招标代理有限公司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二〇二二年</w:t>
      </w:r>
      <w:r>
        <w:rPr>
          <w:rFonts w:hint="eastAsia" w:ascii="宋体" w:hAnsi="宋体" w:cs="宋体"/>
          <w:bCs/>
          <w:color w:val="auto"/>
          <w:sz w:val="32"/>
          <w:szCs w:val="32"/>
          <w:highlight w:val="none"/>
          <w:lang w:val="en-US" w:eastAsia="zh-CN"/>
        </w:rPr>
        <w:t>十</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八</w:t>
      </w:r>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杭州技师学院教学用大飞机采购项目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31</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00秒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ZJZN-22930-JY24-01</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rPr>
        <w:t>杭州技师学院教学用大飞机采购项目</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18000000</w:t>
      </w:r>
    </w:p>
    <w:p>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rPr>
        <w:t>16000000</w:t>
      </w:r>
    </w:p>
    <w:p>
      <w:pPr>
        <w:pStyle w:val="6"/>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教学用大飞机采购项目主要内容：</w:t>
      </w:r>
      <w:r>
        <w:rPr>
          <w:rFonts w:hint="eastAsia" w:hAnsi="宋体" w:cs="宋体"/>
          <w:color w:val="auto"/>
          <w:sz w:val="24"/>
          <w:highlight w:val="none"/>
          <w:u w:val="single"/>
        </w:rPr>
        <w:t>教学用大飞机及相关维修训练设备</w:t>
      </w:r>
      <w:r>
        <w:rPr>
          <w:rFonts w:hint="eastAsia" w:hAnsi="宋体" w:cs="宋体"/>
          <w:bCs/>
          <w:snapToGrid/>
          <w:color w:val="auto"/>
          <w:kern w:val="2"/>
          <w:sz w:val="24"/>
          <w:szCs w:val="24"/>
          <w:highlight w:val="none"/>
        </w:rPr>
        <w:t>。详见招标文件第三部分采购需求。</w:t>
      </w:r>
    </w:p>
    <w:p>
      <w:pPr>
        <w:pStyle w:val="129"/>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仿宋_GB2312"/>
          <w:color w:val="auto"/>
          <w:sz w:val="24"/>
          <w:highlight w:val="none"/>
          <w:u w:val="single"/>
        </w:rPr>
        <w:t>2023年</w:t>
      </w:r>
      <w:r>
        <w:rPr>
          <w:rFonts w:hint="eastAsia" w:ascii="宋体" w:hAnsi="宋体" w:cs="仿宋_GB2312"/>
          <w:color w:val="auto"/>
          <w:sz w:val="24"/>
          <w:highlight w:val="none"/>
          <w:u w:val="single"/>
          <w:lang w:val="en-US" w:eastAsia="zh-CN"/>
        </w:rPr>
        <w:t>9</w:t>
      </w:r>
      <w:r>
        <w:rPr>
          <w:rFonts w:hint="eastAsia" w:ascii="宋体" w:hAnsi="宋体" w:cs="仿宋_GB2312"/>
          <w:color w:val="auto"/>
          <w:sz w:val="24"/>
          <w:highlight w:val="none"/>
          <w:u w:val="single"/>
        </w:rPr>
        <w:t>月</w:t>
      </w:r>
      <w:r>
        <w:rPr>
          <w:rFonts w:hint="eastAsia" w:ascii="宋体" w:hAnsi="宋体" w:cs="仿宋_GB2312"/>
          <w:color w:val="auto"/>
          <w:sz w:val="24"/>
          <w:highlight w:val="none"/>
          <w:u w:val="single"/>
          <w:lang w:val="en-US" w:eastAsia="zh-CN"/>
        </w:rPr>
        <w:t>1</w:t>
      </w:r>
      <w:r>
        <w:rPr>
          <w:rFonts w:hint="eastAsia" w:ascii="宋体" w:hAnsi="宋体" w:cs="仿宋_GB2312"/>
          <w:color w:val="auto"/>
          <w:sz w:val="24"/>
          <w:highlight w:val="none"/>
          <w:u w:val="single"/>
        </w:rPr>
        <w:t>日前完成</w:t>
      </w:r>
    </w:p>
    <w:p>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hint="eastAsia" w:ascii="MS Gothic" w:hAnsi="MS Gothic" w:cs="宋体"/>
          <w:color w:val="auto"/>
          <w:kern w:val="0"/>
          <w:sz w:val="24"/>
          <w:highlight w:val="none"/>
        </w:rPr>
        <w:t>☐</w:t>
      </w:r>
      <w:r>
        <w:rPr>
          <w:rFonts w:hint="eastAsia" w:hAnsi="宋体" w:cs="宋体"/>
          <w:b/>
          <w:color w:val="auto"/>
          <w:sz w:val="24"/>
          <w:highlight w:val="none"/>
        </w:rPr>
        <w:t>是，</w:t>
      </w:r>
      <w:r>
        <w:rPr>
          <w:rFonts w:ascii="Wingdings" w:hAnsi="Wingdings" w:cs="宋体"/>
          <w:color w:val="auto"/>
          <w:kern w:val="0"/>
          <w:sz w:val="24"/>
          <w:highlight w:val="none"/>
        </w:rPr>
        <w:t></w:t>
      </w:r>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r>
        <w:rPr>
          <w:rFonts w:hint="eastAsia" w:ascii="Wingdings" w:hAnsi="Wingdings" w:cs="宋体"/>
          <w:color w:val="auto"/>
          <w:kern w:val="0"/>
          <w:sz w:val="24"/>
          <w:highlight w:val="none"/>
        </w:rPr>
        <w:t>þ</w:t>
      </w:r>
      <w:r>
        <w:rPr>
          <w:rFonts w:hint="eastAsia" w:ascii="宋体" w:hAnsi="宋体" w:cs="宋体"/>
          <w:color w:val="auto"/>
          <w:sz w:val="24"/>
          <w:highlight w:val="none"/>
        </w:rPr>
        <w:t>无；</w:t>
      </w:r>
    </w:p>
    <w:p>
      <w:pPr>
        <w:spacing w:line="360" w:lineRule="auto"/>
        <w:ind w:firstLine="480" w:firstLineChars="200"/>
        <w:rPr>
          <w:rFonts w:ascii="宋体" w:hAnsi="宋体" w:cs="宋体"/>
          <w:color w:val="auto"/>
          <w:sz w:val="24"/>
          <w:highlight w:val="none"/>
        </w:rPr>
      </w:pPr>
      <w:r>
        <w:rPr>
          <w:rFonts w:ascii="MS Gothic" w:hAnsi="MS Gothic" w:cs="宋体"/>
          <w:color w:val="auto"/>
          <w:kern w:val="0"/>
          <w:sz w:val="24"/>
          <w:highlight w:val="none"/>
        </w:rPr>
        <w:t>☐</w:t>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r>
        <w:rPr>
          <w:rFonts w:ascii="MS Gothic" w:hAnsi="MS Gothic" w:cs="宋体"/>
          <w:color w:val="auto"/>
          <w:kern w:val="0"/>
          <w:sz w:val="24"/>
          <w:highlight w:val="none"/>
        </w:rPr>
        <w:t>☐</w:t>
      </w:r>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bookmarkStart w:id="12" w:name="_Hlk101132524"/>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31</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2022年</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31</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2022年</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31</w:t>
      </w:r>
      <w:r>
        <w:rPr>
          <w:rFonts w:hint="eastAsia" w:ascii="宋体" w:hAnsi="宋体" w:cs="宋体"/>
          <w:color w:val="auto"/>
          <w:sz w:val="24"/>
          <w:highlight w:val="none"/>
          <w:u w:val="single"/>
        </w:rPr>
        <w:t>日10点00分</w:t>
      </w:r>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称：杭州技师学院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称：杭州技师学院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bCs/>
          <w:snapToGrid w:val="0"/>
          <w:color w:val="auto"/>
          <w:kern w:val="28"/>
          <w:sz w:val="24"/>
          <w:highlight w:val="none"/>
        </w:rPr>
        <w:t>杭州市桐庐县坞泥口</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 刘老师</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项目联系方式（询问）：0571-64619596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质疑联系人：项老师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质疑联系方式：0571-64619830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称：浙江中诺招标代理有限公司</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w:t>
      </w:r>
      <w:r>
        <w:rPr>
          <w:rFonts w:hint="eastAsia" w:asciiTheme="minorEastAsia" w:hAnsiTheme="minorEastAsia" w:eastAsiaTheme="minorEastAsia"/>
          <w:color w:val="auto"/>
          <w:sz w:val="24"/>
          <w:highlight w:val="none"/>
        </w:rPr>
        <w:t>杭州市环城北路141号永通信息广场西写字楼10楼</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Theme="minorEastAsia" w:hAnsiTheme="minorEastAsia" w:eastAsiaTheme="minorEastAsia"/>
          <w:color w:val="auto"/>
          <w:sz w:val="24"/>
          <w:highlight w:val="none"/>
        </w:rPr>
        <w:t>0571-88821134-820</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cs="楷体" w:asciiTheme="minorEastAsia" w:hAnsiTheme="minorEastAsia" w:eastAsiaTheme="minorEastAsia"/>
          <w:snapToGrid w:val="0"/>
          <w:color w:val="auto"/>
          <w:kern w:val="0"/>
          <w:sz w:val="24"/>
          <w:highlight w:val="none"/>
        </w:rPr>
        <w:t>刘宋斌</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cs="楷体" w:asciiTheme="minorEastAsia" w:hAnsiTheme="minorEastAsia" w:eastAsiaTheme="minorEastAsia"/>
          <w:snapToGrid w:val="0"/>
          <w:color w:val="auto"/>
          <w:kern w:val="0"/>
          <w:sz w:val="24"/>
          <w:highlight w:val="none"/>
        </w:rPr>
        <w:t>0571-88821402</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cs="楷体" w:asciiTheme="minorEastAsia" w:hAnsiTheme="minorEastAsia" w:eastAsiaTheme="minorEastAsia"/>
          <w:snapToGrid w:val="0"/>
          <w:color w:val="auto"/>
          <w:kern w:val="0"/>
          <w:sz w:val="24"/>
          <w:highlight w:val="none"/>
        </w:rPr>
        <w:t xml:space="preserve">李倩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cs="楷体" w:asciiTheme="minorEastAsia" w:hAnsiTheme="minorEastAsia" w:eastAsiaTheme="minorEastAsia"/>
          <w:snapToGrid w:val="0"/>
          <w:color w:val="auto"/>
          <w:kern w:val="0"/>
          <w:sz w:val="24"/>
          <w:highlight w:val="none"/>
        </w:rPr>
        <w:t>0571-88821402-802</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称：杭州市财政局政府采购监管处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址：杭州市中河中路152号614办公室 </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：厉先生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监督投诉电话：0571-89580456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宋体" w:hAnsi="宋体" w:cs="宋体"/>
          <w:color w:val="auto"/>
          <w:sz w:val="24"/>
          <w:highlight w:val="none"/>
        </w:rPr>
        <w:t>CA问题联系电话（人工）：汇信CA 400-888-4636；天谷CA 400-087-8198。</w:t>
      </w:r>
    </w:p>
    <w:p>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r>
        <w:rPr>
          <w:rFonts w:hint="eastAsia" w:hAnsi="宋体" w:cs="宋体"/>
          <w:b/>
          <w:color w:val="auto"/>
          <w:sz w:val="36"/>
          <w:szCs w:val="20"/>
          <w:highlight w:val="none"/>
        </w:rPr>
        <w:t>第二部分</w:t>
      </w:r>
      <w:bookmarkEnd w:id="8"/>
      <w:r>
        <w:rPr>
          <w:rFonts w:hint="eastAsia" w:hAnsi="宋体" w:cs="宋体"/>
          <w:b/>
          <w:color w:val="auto"/>
          <w:sz w:val="36"/>
          <w:szCs w:val="20"/>
          <w:highlight w:val="none"/>
        </w:rPr>
        <w:t xml:space="preserve"> 投标人须知</w:t>
      </w:r>
      <w:bookmarkEnd w:id="9"/>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0"/>
        <w:gridCol w:w="1842"/>
        <w:gridCol w:w="6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656"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656" w:type="dxa"/>
            <w:vAlign w:val="center"/>
          </w:tcPr>
          <w:p>
            <w:pPr>
              <w:snapToGrid w:val="0"/>
              <w:rPr>
                <w:rFonts w:ascii="宋体" w:hAnsi="宋体" w:cs="宋体"/>
                <w:color w:val="auto"/>
                <w:sz w:val="24"/>
                <w:highlight w:val="none"/>
              </w:rPr>
            </w:pPr>
            <w:r>
              <w:rPr>
                <w:rFonts w:hint="eastAsia" w:ascii="宋体" w:hAnsi="宋体" w:cs="宋体"/>
                <w:color w:val="auto"/>
                <w:sz w:val="24"/>
                <w:highlight w:val="none"/>
              </w:rPr>
              <w:t>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656" w:type="dxa"/>
            <w:vAlign w:val="center"/>
          </w:tcPr>
          <w:p>
            <w:pPr>
              <w:snapToGrid w:val="0"/>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教学用大飞机采购项目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（二）工业 </w:t>
            </w:r>
            <w:r>
              <w:rPr>
                <w:rFonts w:hint="eastAsia" w:ascii="宋体" w:hAnsi="宋体" w:cs="宋体"/>
                <w:color w:val="auto"/>
                <w:kern w:val="0"/>
                <w:sz w:val="24"/>
                <w:highlight w:val="none"/>
              </w:rPr>
              <w:t>行业；</w:t>
            </w:r>
          </w:p>
          <w:p>
            <w:pPr>
              <w:snapToGrid w:val="0"/>
              <w:rPr>
                <w:rFonts w:ascii="宋体" w:hAnsi="宋体" w:cs="宋体"/>
                <w:color w:val="auto"/>
                <w:kern w:val="0"/>
                <w:sz w:val="24"/>
                <w:highlight w:val="none"/>
              </w:rPr>
            </w:pPr>
          </w:p>
          <w:p>
            <w:pPr>
              <w:snapToGrid w:val="0"/>
              <w:rPr>
                <w:rFonts w:ascii="宋体" w:hAnsi="宋体" w:cs="宋体"/>
                <w:color w:val="auto"/>
                <w:highlight w:val="none"/>
              </w:rPr>
            </w:pPr>
            <w:r>
              <w:rPr>
                <w:rFonts w:hint="eastAsia" w:ascii="宋体" w:hAnsi="宋体" w:cs="宋体"/>
                <w:color w:val="auto"/>
                <w:kern w:val="0"/>
                <w:sz w:val="24"/>
                <w:highlight w:val="none"/>
              </w:rPr>
              <w:t>供应商可根据工业和信息化部中小企业局《中小企业规模类型自测小程序《中小企业规模类型自测小程序》（</w:t>
            </w:r>
            <w:r>
              <w:rPr>
                <w:rFonts w:ascii="宋体" w:hAnsi="宋体" w:cs="宋体"/>
                <w:color w:val="auto"/>
                <w:kern w:val="0"/>
                <w:sz w:val="24"/>
                <w:highlight w:val="none"/>
              </w:rPr>
              <w:t>http://sme.miit.gov.cn/baosong/appweb/orgScale.html</w:t>
            </w:r>
            <w:r>
              <w:rPr>
                <w:rFonts w:hint="eastAsia" w:ascii="宋体" w:hAnsi="宋体" w:cs="宋体"/>
                <w:color w:val="auto"/>
                <w:kern w:val="0"/>
                <w:sz w:val="24"/>
                <w:highlight w:val="none"/>
              </w:rPr>
              <w:t>）结合本项目标的对应行业分类和自身各项指标自测自身企业规模类型。</w:t>
            </w:r>
            <w:r>
              <w:rPr>
                <w:rFonts w:hint="eastAsia" w:ascii="宋体" w:hAnsi="宋体" w:cs="宋体"/>
                <w:b/>
                <w:bCs/>
                <w:color w:val="auto"/>
                <w:kern w:val="0"/>
                <w:sz w:val="24"/>
                <w:highlight w:val="none"/>
              </w:rPr>
              <w:t>如提供符合《政府采购促进中小企业发展管理办法》（财库〔2020〕46号）规定的中小企业货物、工程或者服务且有意向在本项目中获得价格扣除的投标人，应当提供该办法附件的《中小企业声明函》供评标委员会核实、认定。未提供《中小企业声明函》或经认定填写内容有误的投标人，</w:t>
            </w:r>
            <w:r>
              <w:rPr>
                <w:rFonts w:hint="eastAsia" w:ascii="宋体" w:hAnsi="宋体" w:cs="宋体"/>
                <w:b/>
                <w:bCs/>
                <w:color w:val="auto"/>
                <w:kern w:val="0"/>
                <w:sz w:val="24"/>
                <w:highlight w:val="none"/>
                <w:u w:val="single"/>
              </w:rPr>
              <w:t xml:space="preserve">不予认定为有效供应商。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3</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656" w:type="dxa"/>
            <w:vAlign w:val="center"/>
          </w:tcPr>
          <w:p>
            <w:pPr>
              <w:snapToGrid w:val="0"/>
              <w:rPr>
                <w:rFonts w:ascii="宋体" w:hAnsi="宋体" w:cs="宋体"/>
                <w:color w:val="auto"/>
                <w:kern w:val="0"/>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p>
            <w:pPr>
              <w:snapToGrid w:val="0"/>
              <w:rPr>
                <w:rFonts w:ascii="宋体" w:hAnsi="宋体" w:cs="宋体"/>
                <w:color w:val="auto"/>
                <w:highlight w:val="none"/>
              </w:rPr>
            </w:pPr>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4</w:t>
            </w:r>
          </w:p>
        </w:tc>
        <w:tc>
          <w:tcPr>
            <w:tcW w:w="1842" w:type="dxa"/>
            <w:vAlign w:val="center"/>
          </w:tcPr>
          <w:p>
            <w:pPr>
              <w:snapToGrid w:val="0"/>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656" w:type="dxa"/>
            <w:vAlign w:val="center"/>
          </w:tcPr>
          <w:p>
            <w:pPr>
              <w:snapToGrid w:val="0"/>
              <w:rPr>
                <w:rFonts w:ascii="宋体" w:hAnsi="宋体" w:cs="宋体"/>
                <w:color w:val="auto"/>
                <w:sz w:val="24"/>
                <w:highlight w:val="none"/>
              </w:rPr>
            </w:pPr>
            <w:r>
              <w:rPr>
                <w:rFonts w:hint="eastAsia" w:ascii="MS Gothic" w:hAnsi="MS Gothic" w:cs="宋体"/>
                <w:color w:val="auto"/>
                <w:kern w:val="0"/>
                <w:sz w:val="24"/>
                <w:highlight w:val="none"/>
              </w:rPr>
              <w:t>☐</w:t>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napToGrid w:val="0"/>
              <w:rPr>
                <w:rFonts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napToGrid w:val="0"/>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5</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656" w:type="dxa"/>
            <w:vAlign w:val="center"/>
          </w:tcPr>
          <w:p>
            <w:pPr>
              <w:snapToGrid w:val="0"/>
              <w:rPr>
                <w:rFonts w:ascii="宋体" w:hAnsi="宋体" w:cs="宋体"/>
                <w:color w:val="auto"/>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napToGrid w:val="0"/>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6</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656" w:type="dxa"/>
            <w:vAlign w:val="center"/>
          </w:tcPr>
          <w:p>
            <w:pPr>
              <w:snapToGrid w:val="0"/>
              <w:rPr>
                <w:rFonts w:ascii="宋体" w:hAnsi="宋体" w:cs="宋体"/>
                <w:color w:val="auto"/>
                <w:sz w:val="24"/>
                <w:highlight w:val="none"/>
              </w:rPr>
            </w:pPr>
            <w:r>
              <w:rPr>
                <w:rFonts w:ascii="Wingdings" w:hAnsi="Wingdings" w:cs="宋体"/>
                <w:color w:val="auto"/>
                <w:kern w:val="0"/>
                <w:sz w:val="24"/>
                <w:highlight w:val="none"/>
              </w:rPr>
              <w:t></w:t>
            </w: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napToGrid w:val="0"/>
              <w:rPr>
                <w:rFonts w:ascii="宋体" w:hAnsi="宋体" w:cs="宋体"/>
                <w:color w:val="auto"/>
                <w:kern w:val="0"/>
                <w:sz w:val="24"/>
                <w:highlight w:val="none"/>
              </w:rPr>
            </w:pPr>
            <w:r>
              <w:rPr>
                <w:rFonts w:hint="eastAsia" w:ascii="MS Gothic" w:hAnsi="MS Gothic" w:cs="宋体"/>
                <w:color w:val="auto"/>
                <w:kern w:val="0"/>
                <w:sz w:val="24"/>
                <w:highlight w:val="none"/>
              </w:rPr>
              <w:t>☐</w:t>
            </w:r>
            <w:r>
              <w:rPr>
                <w:rFonts w:hint="eastAsia" w:ascii="宋体" w:hAnsi="宋体" w:cs="宋体"/>
                <w:color w:val="auto"/>
                <w:kern w:val="0"/>
                <w:sz w:val="24"/>
                <w:highlight w:val="none"/>
              </w:rPr>
              <w:t>B要求提供，</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r>
              <w:rPr>
                <w:rFonts w:hint="eastAsia" w:ascii="MS Gothic" w:hAnsi="MS Gothic" w:cs="宋体"/>
                <w:color w:val="auto"/>
                <w:kern w:val="0"/>
                <w:sz w:val="24"/>
                <w:highlight w:val="none"/>
              </w:rPr>
              <w:t>☐</w:t>
            </w:r>
            <w:r>
              <w:rPr>
                <w:rFonts w:hint="eastAsia" w:ascii="宋体" w:hAnsi="宋体" w:cs="宋体"/>
                <w:color w:val="auto"/>
                <w:kern w:val="0"/>
                <w:sz w:val="24"/>
                <w:highlight w:val="none"/>
              </w:rPr>
              <w:t>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napToGrid w:val="0"/>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napToGrid w:val="0"/>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napToGrid w:val="0"/>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7</w:t>
            </w:r>
          </w:p>
        </w:tc>
        <w:tc>
          <w:tcPr>
            <w:tcW w:w="1842" w:type="dxa"/>
            <w:vAlign w:val="center"/>
          </w:tcPr>
          <w:p>
            <w:pPr>
              <w:snapToGrid w:val="0"/>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656" w:type="dxa"/>
            <w:vAlign w:val="center"/>
          </w:tcPr>
          <w:p>
            <w:pPr>
              <w:snapToGrid w:val="0"/>
              <w:rPr>
                <w:rFonts w:ascii="宋体" w:hAnsi="宋体" w:cs="宋体"/>
                <w:color w:val="auto"/>
                <w:sz w:val="24"/>
                <w:highlight w:val="none"/>
              </w:rPr>
            </w:pPr>
            <w:r>
              <w:rPr>
                <w:rFonts w:ascii="Wingdings" w:hAnsi="Wingdings" w:cs="宋体"/>
                <w:color w:val="auto"/>
                <w:kern w:val="0"/>
                <w:sz w:val="24"/>
                <w:highlight w:val="none"/>
              </w:rPr>
              <w:t>þ</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napToGrid w:val="0"/>
              <w:rPr>
                <w:rFonts w:ascii="宋体" w:hAnsi="宋体" w:cs="宋体"/>
                <w:color w:val="auto"/>
                <w:kern w:val="0"/>
                <w:sz w:val="24"/>
                <w:highlight w:val="none"/>
              </w:rPr>
            </w:pPr>
            <w:r>
              <w:rPr>
                <w:rFonts w:hint="eastAsia" w:ascii="MS Gothic" w:hAnsi="MS Gothic" w:cs="宋体"/>
                <w:color w:val="auto"/>
                <w:kern w:val="0"/>
                <w:sz w:val="24"/>
                <w:highlight w:val="none"/>
              </w:rPr>
              <w:t>☐</w:t>
            </w:r>
            <w:r>
              <w:rPr>
                <w:rFonts w:hint="eastAsia" w:ascii="宋体" w:hAnsi="宋体" w:cs="宋体"/>
                <w:color w:val="auto"/>
                <w:kern w:val="0"/>
                <w:sz w:val="24"/>
                <w:highlight w:val="none"/>
              </w:rPr>
              <w:t>B组织。</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rPr>
                <w:rFonts w:ascii="宋体" w:hAnsi="宋体" w:cs="宋体"/>
                <w:color w:val="auto"/>
                <w:kern w:val="0"/>
                <w:sz w:val="24"/>
                <w:highlight w:val="none"/>
              </w:rPr>
            </w:pPr>
            <w:r>
              <w:rPr>
                <w:rFonts w:hint="eastAsia" w:ascii="宋体" w:hAnsi="宋体" w:cs="宋体"/>
                <w:color w:val="auto"/>
                <w:kern w:val="0"/>
                <w:sz w:val="24"/>
                <w:highlight w:val="none"/>
              </w:rPr>
              <w:t>方式二：现场讲解演示。现场讲解地点为</w:t>
            </w:r>
            <w:r>
              <w:rPr>
                <w:rFonts w:hint="eastAsia" w:ascii="宋体" w:hAnsi="宋体" w:cs="宋体"/>
                <w:color w:val="auto"/>
                <w:sz w:val="24"/>
                <w:highlight w:val="none"/>
                <w:u w:val="single"/>
              </w:rPr>
              <w:t xml:space="preserve"> </w:t>
            </w:r>
            <w:r>
              <w:rPr>
                <w:rFonts w:hint="eastAsia" w:hAnsi="宋体" w:cs="宋体"/>
                <w:color w:val="auto"/>
                <w:kern w:val="28"/>
                <w:sz w:val="24"/>
                <w:highlight w:val="none"/>
                <w:u w:val="single"/>
              </w:rPr>
              <w:t>杭州市环城北路141号永通信息广场西写字楼10楼会议室</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rPr>
                <w:color w:val="auto"/>
                <w:highlight w:val="none"/>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Merge w:val="restar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8</w:t>
            </w:r>
          </w:p>
        </w:tc>
        <w:tc>
          <w:tcPr>
            <w:tcW w:w="1842" w:type="dxa"/>
            <w:vMerge w:val="restar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656" w:type="dxa"/>
            <w:vAlign w:val="center"/>
          </w:tcPr>
          <w:p>
            <w:pPr>
              <w:snapToGrid w:val="0"/>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napToGrid w:val="0"/>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Merge w:val="continue"/>
            <w:vAlign w:val="center"/>
          </w:tcPr>
          <w:p>
            <w:pPr>
              <w:snapToGrid w:val="0"/>
              <w:jc w:val="center"/>
              <w:rPr>
                <w:rFonts w:ascii="宋体" w:hAnsi="宋体" w:cs="宋体"/>
                <w:color w:val="auto"/>
                <w:sz w:val="24"/>
                <w:highlight w:val="none"/>
              </w:rPr>
            </w:pPr>
          </w:p>
        </w:tc>
        <w:tc>
          <w:tcPr>
            <w:tcW w:w="1842" w:type="dxa"/>
            <w:vMerge w:val="continue"/>
            <w:vAlign w:val="center"/>
          </w:tcPr>
          <w:p>
            <w:pPr>
              <w:snapToGrid w:val="0"/>
              <w:jc w:val="center"/>
              <w:rPr>
                <w:rFonts w:ascii="宋体" w:hAnsi="宋体" w:cs="宋体"/>
                <w:b/>
                <w:color w:val="auto"/>
                <w:sz w:val="24"/>
                <w:highlight w:val="none"/>
              </w:rPr>
            </w:pPr>
          </w:p>
        </w:tc>
        <w:tc>
          <w:tcPr>
            <w:tcW w:w="6656" w:type="dxa"/>
            <w:vAlign w:val="center"/>
          </w:tcPr>
          <w:p>
            <w:pPr>
              <w:snapToGrid w:val="0"/>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9</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656" w:type="dxa"/>
            <w:vAlign w:val="center"/>
          </w:tcPr>
          <w:p>
            <w:pPr>
              <w:snapToGrid w:val="0"/>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10</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656" w:type="dxa"/>
            <w:vAlign w:val="center"/>
          </w:tcPr>
          <w:p>
            <w:pPr>
              <w:snapToGrid w:val="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color w:val="auto"/>
                <w:sz w:val="24"/>
                <w:highlight w:val="none"/>
              </w:rPr>
              <w:t>开标一览表（报价表）是报价的唯一载体</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napToGrid w:val="0"/>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napToGrid w:val="0"/>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Merge w:val="restart"/>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11</w:t>
            </w:r>
          </w:p>
        </w:tc>
        <w:tc>
          <w:tcPr>
            <w:tcW w:w="1842" w:type="dxa"/>
            <w:vMerge w:val="restart"/>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656" w:type="dxa"/>
            <w:vAlign w:val="center"/>
          </w:tcPr>
          <w:p>
            <w:pPr>
              <w:snapToGrid w:val="0"/>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Merge w:val="continue"/>
            <w:vAlign w:val="center"/>
          </w:tcPr>
          <w:p>
            <w:pPr>
              <w:snapToGrid w:val="0"/>
              <w:ind w:firstLine="420" w:firstLineChars="200"/>
              <w:jc w:val="center"/>
              <w:rPr>
                <w:rFonts w:ascii="宋体" w:hAnsi="宋体" w:cs="宋体"/>
                <w:color w:val="auto"/>
                <w:highlight w:val="none"/>
              </w:rPr>
            </w:pPr>
          </w:p>
        </w:tc>
        <w:tc>
          <w:tcPr>
            <w:tcW w:w="1842" w:type="dxa"/>
            <w:vMerge w:val="continue"/>
            <w:vAlign w:val="center"/>
          </w:tcPr>
          <w:p>
            <w:pPr>
              <w:snapToGrid w:val="0"/>
              <w:ind w:firstLine="420" w:firstLineChars="200"/>
              <w:rPr>
                <w:rFonts w:ascii="宋体" w:hAnsi="宋体" w:cs="宋体"/>
                <w:color w:val="auto"/>
                <w:highlight w:val="none"/>
              </w:rPr>
            </w:pPr>
          </w:p>
        </w:tc>
        <w:tc>
          <w:tcPr>
            <w:tcW w:w="6656" w:type="dxa"/>
            <w:vAlign w:val="center"/>
          </w:tcPr>
          <w:p>
            <w:pPr>
              <w:snapToGrid w:val="0"/>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12</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656" w:type="dxa"/>
            <w:vAlign w:val="center"/>
          </w:tcPr>
          <w:p>
            <w:pPr>
              <w:pStyle w:val="34"/>
              <w:snapToGrid w:val="0"/>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rPr>
              <w:t>杭州市环城北路141号永通信息广场西写字楼10楼会议室</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0571-88821402</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13</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其它说明</w:t>
            </w:r>
          </w:p>
        </w:tc>
        <w:tc>
          <w:tcPr>
            <w:tcW w:w="6656" w:type="dxa"/>
            <w:vAlign w:val="center"/>
          </w:tcPr>
          <w:p>
            <w:pPr>
              <w:snapToGrid w:val="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0" w:type="dxa"/>
            <w:vAlign w:val="center"/>
          </w:tcPr>
          <w:p>
            <w:pPr>
              <w:snapToGrid w:val="0"/>
              <w:jc w:val="center"/>
              <w:rPr>
                <w:rFonts w:ascii="宋体" w:hAnsi="宋体" w:cs="宋体"/>
                <w:color w:val="auto"/>
                <w:sz w:val="24"/>
                <w:highlight w:val="none"/>
              </w:rPr>
            </w:pPr>
            <w:r>
              <w:rPr>
                <w:rFonts w:hint="eastAsia" w:ascii="宋体" w:hAnsi="宋体" w:cs="宋体"/>
                <w:color w:val="auto"/>
                <w:sz w:val="24"/>
                <w:highlight w:val="none"/>
              </w:rPr>
              <w:t>14</w:t>
            </w:r>
          </w:p>
        </w:tc>
        <w:tc>
          <w:tcPr>
            <w:tcW w:w="1842" w:type="dxa"/>
            <w:vAlign w:val="center"/>
          </w:tcPr>
          <w:p>
            <w:pPr>
              <w:snapToGrid w:val="0"/>
              <w:jc w:val="center"/>
              <w:rPr>
                <w:rFonts w:ascii="宋体" w:hAnsi="宋体" w:cs="宋体"/>
                <w:b/>
                <w:color w:val="auto"/>
                <w:sz w:val="24"/>
                <w:highlight w:val="none"/>
              </w:rPr>
            </w:pPr>
            <w:r>
              <w:rPr>
                <w:rFonts w:hint="eastAsia" w:ascii="宋体" w:hAnsi="宋体" w:cs="宋体"/>
                <w:b/>
                <w:color w:val="auto"/>
                <w:sz w:val="24"/>
                <w:highlight w:val="none"/>
              </w:rPr>
              <w:t>代理服务费</w:t>
            </w:r>
          </w:p>
        </w:tc>
        <w:tc>
          <w:tcPr>
            <w:tcW w:w="6656" w:type="dxa"/>
            <w:vAlign w:val="center"/>
          </w:tcPr>
          <w:p>
            <w:pPr>
              <w:snapToGrid w:val="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中标单位需向浙江中诺招标代理有限公司支付定额45000元招标代理费。结算时间为合同签订后5个工作日之内。无论投标结果如何，投标人自行承担涉及本次投标的一切费用。</w:t>
            </w:r>
          </w:p>
        </w:tc>
      </w:tr>
    </w:tbl>
    <w:p>
      <w:pPr>
        <w:snapToGrid w:val="0"/>
        <w:spacing w:line="360" w:lineRule="auto"/>
        <w:jc w:val="center"/>
        <w:rPr>
          <w:rFonts w:ascii="宋体" w:hAnsi="宋体" w:cs="宋体"/>
          <w:b/>
          <w:color w:val="auto"/>
          <w:sz w:val="32"/>
          <w:szCs w:val="20"/>
          <w:highlight w:val="none"/>
        </w:rPr>
      </w:pPr>
    </w:p>
    <w:bookmarkEnd w:id="10"/>
    <w:p>
      <w:pPr>
        <w:adjustRightInd/>
        <w:spacing w:line="360" w:lineRule="auto"/>
        <w:ind w:firstLine="3845" w:firstLineChars="1197"/>
        <w:outlineLvl w:val="0"/>
        <w:rPr>
          <w:rFonts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“采购机构”系指招标公告中载明的本项目的采购机构。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ascii="Wingdings" w:hAnsi="Wingdings" w:cs="宋体"/>
          <w:color w:val="auto"/>
          <w:kern w:val="0"/>
          <w:sz w:val="24"/>
          <w:highlight w:val="none"/>
        </w:rPr>
        <w:t></w:t>
      </w:r>
      <w:r>
        <w:rPr>
          <w:rFonts w:hint="eastAsia" w:ascii="宋体" w:hAnsi="宋体" w:cs="宋体"/>
          <w:color w:val="auto"/>
          <w:sz w:val="24"/>
          <w:highlight w:val="none"/>
        </w:rPr>
        <w:t>” 系指适用本项目的要求，“</w:t>
      </w:r>
      <w:r>
        <w:rPr>
          <w:rFonts w:hint="eastAsia" w:ascii="宋体" w:hAnsi="宋体" w:cs="宋体"/>
          <w:color w:val="auto"/>
          <w:kern w:val="0"/>
          <w:sz w:val="24"/>
          <w:highlight w:val="none"/>
        </w:rPr>
        <w:t>☐</w:t>
      </w:r>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color w:val="auto"/>
          <w:sz w:val="24"/>
          <w:highlight w:val="none"/>
        </w:rPr>
      </w:pPr>
      <w:r>
        <w:rPr>
          <w:rFonts w:hint="eastAsia" w:ascii="宋体" w:hAnsi="宋体" w:cs="宋体"/>
          <w:color w:val="auto"/>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4.2</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4.2</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4.2.2.1对招标文件提出质疑的，质疑期限为供应商获得招标文件之日或者招标文件公告期限届满之日起计算。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4.2.2.2对采购过程提出质疑的，质疑期限为各采购程序环节结束之日起计算。4.2.2.3对采购结果提出质疑的，质疑期限自采购结果公告期限届满之日起计算。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4.2.3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4.2.3.5必要的法律依据；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4.2.3.6提出质疑的日期。</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4.2.4对同一采购程序环节的质疑，供应商须在法定质疑期内一次性提出。</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4.2</w:t>
      </w:r>
      <w:r>
        <w:rPr>
          <w:rFonts w:hint="eastAsia"/>
          <w:color w:val="auto"/>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4.2</w:t>
      </w:r>
      <w:r>
        <w:rPr>
          <w:rFonts w:hint="eastAsia"/>
          <w:color w:val="auto"/>
          <w:highlight w:val="none"/>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4.3供应商投诉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4.3.3供应商投诉应当有明确的请求和必要的证明材料。</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4.3.5 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4.4在线质疑、投诉。</w:t>
      </w:r>
    </w:p>
    <w:p>
      <w:pPr>
        <w:pStyle w:val="88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9"/>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6.1已获取招标文件的潜在投标人，若有问题需要澄清，应于投标截止时间前，以书面形式向采购机构提出。</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Start w:id="17" w:name="_Hlk101257010"/>
      <w:r>
        <w:rPr>
          <w:rFonts w:hint="eastAsia" w:ascii="宋体" w:hAnsi="宋体" w:cs="宋体"/>
          <w:snapToGrid w:val="0"/>
          <w:color w:val="auto"/>
          <w:kern w:val="28"/>
          <w:sz w:val="24"/>
          <w:szCs w:val="20"/>
          <w:highlight w:val="none"/>
        </w:rPr>
        <w:t>（如果有)</w:t>
      </w:r>
      <w:bookmarkEnd w:id="16"/>
      <w:bookmarkEnd w:id="17"/>
      <w:r>
        <w:rPr>
          <w:rFonts w:hint="eastAsia" w:ascii="宋体" w:hAnsi="宋体" w:cs="宋体"/>
          <w:snapToGrid w:val="0"/>
          <w:color w:val="auto"/>
          <w:kern w:val="28"/>
          <w:sz w:val="24"/>
          <w:szCs w:val="20"/>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但采购人、采购机构不强制或变相强制投标人提交备份投标文件。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hint="eastAsia" w:cs="宋体"/>
          <w:color w:val="auto"/>
          <w:highlight w:val="none"/>
        </w:rPr>
        <w:t>4.2规定</w:t>
      </w:r>
      <w:r>
        <w:rPr>
          <w:rFonts w:hint="eastAsia" w:cs="宋体"/>
          <w:color w:val="auto"/>
          <w:szCs w:val="21"/>
          <w:highlight w:val="none"/>
        </w:rPr>
        <w:t>的情形之一的，投标无效：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color w:val="auto"/>
          <w:sz w:val="32"/>
          <w:highlight w:val="none"/>
        </w:rPr>
      </w:pPr>
    </w:p>
    <w:p>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19.1开标后，采购人或采购机构将依法对投标人的资格进行审查。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19.2</w:t>
      </w:r>
      <w:r>
        <w:rPr>
          <w:rFonts w:hint="eastAsia" w:ascii="宋体" w:hAnsi="宋体" w:cs="宋体"/>
          <w:color w:val="auto"/>
          <w:sz w:val="24"/>
          <w:highlight w:val="none"/>
        </w:rPr>
        <w:t>采购人或采购机构依据法律法规和招标文件的规定，对投标人的资格进行审查。</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19.3投标人未按照招标文件要求提供与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4对未通过资格审查的投标人，采购人或采购机构告知其未通过的原因。</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5合格投标人不足3家的，不再评标。</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9"/>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23.1自中标人确定之日起1个工作日内，采购机构通过电子交易平台向中标人发出中标通知书，同时编制发布采购结果公告。采购机构也可以以纸质形式进行中标通知。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。履约保证金的数额不得超过政府采购合同金额的1%。鼓励和支持供应商以银行、保险公司出具的保函形式提供履约保证金。采购人不得拒收履约保函，项目验收结束后应及时退还，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tabs>
          <w:tab w:val="left" w:pos="0"/>
        </w:tabs>
        <w:spacing w:line="360" w:lineRule="auto"/>
        <w:ind w:firstLine="482"/>
        <w:rPr>
          <w:rFonts w:ascii="宋体" w:hAnsi="宋体" w:cs="宋体"/>
          <w:color w:val="auto"/>
          <w:sz w:val="24"/>
          <w:szCs w:val="20"/>
          <w:highlight w:val="none"/>
        </w:rPr>
      </w:pPr>
      <w:r>
        <w:rPr>
          <w:rFonts w:hint="eastAsia" w:ascii="宋体" w:hAnsi="宋体" w:cs="宋体"/>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0.5%；评价总分在90分以下或者暂无评分的，收取履约保证金不得高于合同金额1%。</w:t>
      </w:r>
    </w:p>
    <w:p>
      <w:pPr>
        <w:pStyle w:val="4"/>
        <w:ind w:left="0" w:firstLine="480" w:firstLineChars="200"/>
        <w:rPr>
          <w:rFonts w:ascii="宋体" w:hAnsi="宋体" w:eastAsia="宋体" w:cs="宋体"/>
          <w:color w:val="auto"/>
          <w:highlight w:val="none"/>
          <w:lang w:val="en-US"/>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b/>
          <w:color w:val="auto"/>
          <w:szCs w:val="24"/>
          <w:highlight w:val="none"/>
        </w:rPr>
        <w:t>7.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27.1电子交易平台发生故障而无法登录访问的；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27.2电子交易平台应用或数据库出现错误，不能进行正常操作的；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27.3电子交易平台发现严重安全漏洞，有潜在泄密危险的；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27.4病毒发作导致不能进行正常操作的；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27.5其他无法保证电子交易的公平、公正和安全的情况。</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29.验收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pgSz w:w="11906" w:h="16838"/>
          <w:pgMar w:top="680" w:right="1418" w:bottom="468" w:left="1418" w:header="851" w:footer="992" w:gutter="0"/>
          <w:cols w:space="720" w:num="1"/>
          <w:titlePg/>
          <w:docGrid w:linePitch="312" w:charSpace="0"/>
        </w:sectPr>
      </w:pPr>
      <w:bookmarkStart w:id="19" w:name="_Hlt74707468"/>
      <w:bookmarkEnd w:id="19"/>
      <w:bookmarkStart w:id="20" w:name="_Hlt74730295"/>
      <w:bookmarkEnd w:id="20"/>
      <w:bookmarkStart w:id="21" w:name="_Hlt68072990"/>
      <w:bookmarkEnd w:id="21"/>
      <w:bookmarkStart w:id="22" w:name="_Hlt68072998"/>
      <w:bookmarkEnd w:id="22"/>
      <w:bookmarkStart w:id="23" w:name="_Hlt68057669"/>
      <w:bookmarkEnd w:id="23"/>
      <w:bookmarkStart w:id="24" w:name="_Hlt74729768"/>
      <w:bookmarkEnd w:id="24"/>
      <w:bookmarkStart w:id="25" w:name="_Hlt75236290"/>
      <w:bookmarkEnd w:id="25"/>
      <w:bookmarkStart w:id="26" w:name="_Hlt75236101"/>
      <w:bookmarkEnd w:id="26"/>
      <w:bookmarkStart w:id="27" w:name="_Hlt75236011"/>
      <w:bookmarkEnd w:id="27"/>
      <w:bookmarkStart w:id="28" w:name="_Hlt74714665"/>
      <w:bookmarkEnd w:id="28"/>
      <w:bookmarkStart w:id="29" w:name="_Hlt68403820"/>
      <w:bookmarkEnd w:id="29"/>
      <w:bookmarkStart w:id="30" w:name="_Hlt68073093"/>
      <w:bookmarkEnd w:id="30"/>
    </w:p>
    <w:bookmarkEnd w:id="13"/>
    <w:bookmarkEnd w:id="14"/>
    <w:p>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pPr>
        <w:snapToGrid w:val="0"/>
        <w:spacing w:line="360" w:lineRule="auto"/>
        <w:ind w:firstLine="460" w:firstLineChars="192"/>
        <w:rPr>
          <w:rFonts w:ascii="宋体" w:hAnsi="宋体" w:cs="宋体"/>
          <w:bCs/>
          <w:color w:val="auto"/>
          <w:sz w:val="24"/>
          <w:highlight w:val="none"/>
        </w:rPr>
      </w:pPr>
      <w:r>
        <w:rPr>
          <w:rFonts w:hint="eastAsia" w:ascii="宋体" w:hAnsi="宋体" w:cs="宋体"/>
          <w:bCs/>
          <w:color w:val="auto"/>
          <w:sz w:val="24"/>
          <w:highlight w:val="none"/>
        </w:rPr>
        <w:t xml:space="preserve"> </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一、项目概况</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1.本项目采购一架用于教学使用的大飞机及相关的维修训练设备</w:t>
      </w: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2.本项目为跨年度财政预算项目</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rPr>
        <w:t>一次采购分三年完成款项支付；第一年不超过8</w:t>
      </w:r>
      <w:r>
        <w:rPr>
          <w:rFonts w:ascii="宋体" w:hAnsi="宋体" w:cs="仿宋_GB2312"/>
          <w:color w:val="auto"/>
          <w:sz w:val="24"/>
          <w:highlight w:val="none"/>
        </w:rPr>
        <w:t>00</w:t>
      </w:r>
      <w:r>
        <w:rPr>
          <w:rFonts w:hint="eastAsia" w:ascii="宋体" w:hAnsi="宋体" w:cs="仿宋_GB2312"/>
          <w:color w:val="auto"/>
          <w:sz w:val="24"/>
          <w:highlight w:val="none"/>
        </w:rPr>
        <w:t>万元；第二年不超过5</w:t>
      </w:r>
      <w:r>
        <w:rPr>
          <w:rFonts w:ascii="宋体" w:hAnsi="宋体" w:cs="仿宋_GB2312"/>
          <w:color w:val="auto"/>
          <w:sz w:val="24"/>
          <w:highlight w:val="none"/>
        </w:rPr>
        <w:t>00</w:t>
      </w:r>
      <w:r>
        <w:rPr>
          <w:rFonts w:hint="eastAsia" w:ascii="宋体" w:hAnsi="宋体" w:cs="仿宋_GB2312"/>
          <w:color w:val="auto"/>
          <w:sz w:val="24"/>
          <w:highlight w:val="none"/>
        </w:rPr>
        <w:t>万元；第三年按招标价减去前两年支付的总金额。</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二、拟采购标的的技术要求</w:t>
      </w:r>
    </w:p>
    <w:tbl>
      <w:tblPr>
        <w:tblStyle w:val="62"/>
        <w:tblW w:w="962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275"/>
        <w:gridCol w:w="3123"/>
        <w:gridCol w:w="1618"/>
        <w:gridCol w:w="361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41" w:hRule="atLeast"/>
        </w:trPr>
        <w:tc>
          <w:tcPr>
            <w:tcW w:w="1275"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标的内容</w:t>
            </w:r>
          </w:p>
        </w:tc>
        <w:tc>
          <w:tcPr>
            <w:tcW w:w="8354" w:type="dxa"/>
            <w:gridSpan w:val="3"/>
            <w:shd w:val="clear" w:color="auto" w:fill="auto"/>
            <w:vAlign w:val="center"/>
          </w:tcPr>
          <w:p>
            <w:pPr>
              <w:spacing w:line="360" w:lineRule="auto"/>
              <w:rPr>
                <w:rFonts w:ascii="宋体" w:hAnsi="宋体" w:cs="仿宋_GB2312"/>
                <w:color w:val="auto"/>
                <w:sz w:val="24"/>
                <w:highlight w:val="none"/>
              </w:rPr>
            </w:pPr>
            <w:r>
              <w:rPr>
                <w:rFonts w:hint="eastAsia" w:ascii="宋体" w:hAnsi="宋体" w:cs="仿宋_GB2312"/>
                <w:color w:val="auto"/>
                <w:sz w:val="24"/>
                <w:highlight w:val="none"/>
              </w:rPr>
              <w:t>教学用大飞机及相关维修训练设备</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275"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数量</w:t>
            </w:r>
          </w:p>
        </w:tc>
        <w:tc>
          <w:tcPr>
            <w:tcW w:w="3123" w:type="dxa"/>
            <w:shd w:val="clear" w:color="auto" w:fill="auto"/>
            <w:vAlign w:val="center"/>
          </w:tcPr>
          <w:p>
            <w:pPr>
              <w:spacing w:line="360" w:lineRule="auto"/>
              <w:rPr>
                <w:rFonts w:ascii="宋体" w:hAnsi="宋体" w:cs="仿宋_GB2312"/>
                <w:color w:val="auto"/>
                <w:sz w:val="24"/>
                <w:highlight w:val="none"/>
              </w:rPr>
            </w:pPr>
            <w:r>
              <w:rPr>
                <w:rFonts w:hint="eastAsia" w:ascii="宋体" w:hAnsi="宋体" w:cs="仿宋_GB2312"/>
                <w:color w:val="auto"/>
                <w:sz w:val="24"/>
                <w:highlight w:val="none"/>
              </w:rPr>
              <w:t>1</w:t>
            </w:r>
          </w:p>
        </w:tc>
        <w:tc>
          <w:tcPr>
            <w:tcW w:w="1618"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单位</w:t>
            </w:r>
          </w:p>
        </w:tc>
        <w:tc>
          <w:tcPr>
            <w:tcW w:w="3613" w:type="dxa"/>
            <w:shd w:val="clear" w:color="auto" w:fill="auto"/>
            <w:vAlign w:val="center"/>
          </w:tcPr>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批</w:t>
            </w:r>
          </w:p>
        </w:tc>
      </w:tr>
    </w:tbl>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功能和质量要求</w:t>
      </w:r>
    </w:p>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采购清单</w:t>
      </w:r>
    </w:p>
    <w:tbl>
      <w:tblPr>
        <w:tblStyle w:val="63"/>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379"/>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序号</w:t>
            </w:r>
          </w:p>
        </w:tc>
        <w:tc>
          <w:tcPr>
            <w:tcW w:w="6379" w:type="dxa"/>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内容</w:t>
            </w:r>
          </w:p>
        </w:tc>
        <w:tc>
          <w:tcPr>
            <w:tcW w:w="1984" w:type="dxa"/>
          </w:tcPr>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w:t>
            </w:r>
          </w:p>
        </w:tc>
        <w:tc>
          <w:tcPr>
            <w:tcW w:w="6379" w:type="dxa"/>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退役适航大飞机</w:t>
            </w:r>
          </w:p>
        </w:tc>
        <w:tc>
          <w:tcPr>
            <w:tcW w:w="1984"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w:t>
            </w:r>
          </w:p>
        </w:tc>
        <w:tc>
          <w:tcPr>
            <w:tcW w:w="6379" w:type="dxa"/>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航空发动机</w:t>
            </w:r>
          </w:p>
        </w:tc>
        <w:tc>
          <w:tcPr>
            <w:tcW w:w="1984" w:type="dxa"/>
            <w:vAlign w:val="center"/>
          </w:tcPr>
          <w:p>
            <w:pPr>
              <w:snapToGrid w:val="0"/>
              <w:spacing w:line="360" w:lineRule="auto"/>
              <w:jc w:val="center"/>
              <w:rPr>
                <w:rFonts w:ascii="宋体" w:hAnsi="宋体" w:cs="宋体"/>
                <w:snapToGrid w:val="0"/>
                <w:color w:val="auto"/>
                <w:kern w:val="0"/>
                <w:sz w:val="24"/>
                <w:highlight w:val="none"/>
              </w:rPr>
            </w:pPr>
            <w:r>
              <w:rPr>
                <w:rFonts w:ascii="宋体" w:hAnsi="宋体" w:cs="宋体"/>
                <w:snapToGrid w:val="0"/>
                <w:color w:val="auto"/>
                <w:kern w:val="0"/>
                <w:sz w:val="24"/>
                <w:highlight w:val="none"/>
              </w:rPr>
              <w:t>2</w:t>
            </w:r>
            <w:r>
              <w:rPr>
                <w:rFonts w:hint="eastAsia" w:ascii="宋体" w:hAnsi="宋体" w:cs="宋体"/>
                <w:snapToGrid w:val="0"/>
                <w:color w:val="auto"/>
                <w:kern w:val="0"/>
                <w:sz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w:t>
            </w:r>
          </w:p>
        </w:tc>
        <w:tc>
          <w:tcPr>
            <w:tcW w:w="6379" w:type="dxa"/>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发动机拆装专用工具</w:t>
            </w:r>
          </w:p>
        </w:tc>
        <w:tc>
          <w:tcPr>
            <w:tcW w:w="1984"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w:t>
            </w:r>
          </w:p>
        </w:tc>
        <w:tc>
          <w:tcPr>
            <w:tcW w:w="6379" w:type="dxa"/>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地面设备</w:t>
            </w:r>
          </w:p>
        </w:tc>
        <w:tc>
          <w:tcPr>
            <w:tcW w:w="1984"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5</w:t>
            </w:r>
          </w:p>
        </w:tc>
        <w:tc>
          <w:tcPr>
            <w:tcW w:w="6379" w:type="dxa"/>
            <w:vAlign w:val="center"/>
          </w:tcPr>
          <w:p>
            <w:pPr>
              <w:snapToGrid w:val="0"/>
              <w:spacing w:line="360" w:lineRule="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飞机内饰翻新、喷漆与结构可视化改装</w:t>
            </w:r>
          </w:p>
        </w:tc>
        <w:tc>
          <w:tcPr>
            <w:tcW w:w="1984" w:type="dxa"/>
            <w:vAlign w:val="center"/>
          </w:tcPr>
          <w:p>
            <w:pPr>
              <w:snapToGrid w:val="0"/>
              <w:spacing w:line="360" w:lineRule="auto"/>
              <w:jc w:val="center"/>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1项</w:t>
            </w:r>
            <w:r>
              <w:rPr>
                <w:rFonts w:ascii="宋体" w:hAnsi="宋体" w:cs="宋体"/>
                <w:snapToGrid w:val="0"/>
                <w:color w:val="auto"/>
                <w:kern w:val="0"/>
                <w:sz w:val="24"/>
                <w:highlight w:val="none"/>
              </w:rPr>
              <w:t xml:space="preserve"> </w:t>
            </w:r>
          </w:p>
        </w:tc>
      </w:tr>
    </w:tbl>
    <w:p>
      <w:pPr>
        <w:snapToGrid w:val="0"/>
        <w:spacing w:line="360" w:lineRule="auto"/>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具体参数要求</w:t>
      </w:r>
    </w:p>
    <w:p>
      <w:pPr>
        <w:pStyle w:val="256"/>
        <w:numPr>
          <w:ilvl w:val="0"/>
          <w:numId w:val="1"/>
        </w:numPr>
        <w:snapToGrid w:val="0"/>
        <w:ind w:firstLineChars="0"/>
        <w:rPr>
          <w:rFonts w:ascii="宋体" w:hAnsi="宋体" w:eastAsia="宋体"/>
          <w:b/>
          <w:bCs/>
          <w:color w:val="auto"/>
          <w:highlight w:val="none"/>
          <w:shd w:val="clear" w:color="auto" w:fill="FFFFFF"/>
        </w:rPr>
      </w:pPr>
      <w:bookmarkStart w:id="32" w:name="_Hlk102837595"/>
      <w:r>
        <w:rPr>
          <w:rFonts w:hint="eastAsia" w:ascii="宋体" w:hAnsi="宋体" w:eastAsia="宋体"/>
          <w:b/>
          <w:bCs/>
          <w:color w:val="auto"/>
          <w:highlight w:val="none"/>
          <w:shd w:val="clear" w:color="auto" w:fill="FFFFFF"/>
        </w:rPr>
        <w:t>退役适航大飞机1架</w:t>
      </w:r>
    </w:p>
    <w:p>
      <w:pPr>
        <w:pStyle w:val="256"/>
        <w:snapToGrid w:val="0"/>
        <w:ind w:firstLine="482"/>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不包含发动机核心机部分，具体要求见主要技术参数；所采购飞机技术上应为适航飞机，即可完成最后一次飞行，落地后保证落地状态进行交付；所交付飞机应保证满足附件二《飞机验收标准》，若有部分项目无法完成，应予以解决并达到验收的各项技术条款；提供C</w:t>
      </w:r>
      <w:r>
        <w:rPr>
          <w:rFonts w:ascii="宋体" w:hAnsi="宋体" w:eastAsia="宋体"/>
          <w:color w:val="auto"/>
          <w:highlight w:val="none"/>
          <w:shd w:val="clear" w:color="auto" w:fill="FFFFFF"/>
        </w:rPr>
        <w:t>CAR147</w:t>
      </w:r>
      <w:r>
        <w:rPr>
          <w:rFonts w:hint="eastAsia" w:ascii="宋体" w:hAnsi="宋体" w:eastAsia="宋体"/>
          <w:color w:val="auto"/>
          <w:highlight w:val="none"/>
          <w:shd w:val="clear" w:color="auto" w:fill="FFFFFF"/>
        </w:rPr>
        <w:t>培训单位批准的针对该机型的培训课件。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（一）主要技术参数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（1）大飞机机身长不小于3</w:t>
      </w:r>
      <w:r>
        <w:rPr>
          <w:rFonts w:ascii="宋体" w:hAnsi="宋体"/>
          <w:color w:val="auto"/>
          <w:sz w:val="24"/>
          <w:highlight w:val="none"/>
          <w:shd w:val="clear" w:color="auto" w:fill="FFFFFF"/>
        </w:rPr>
        <w:t>7.57</w:t>
      </w:r>
      <w:r>
        <w:rPr>
          <w:rFonts w:hint="eastAsia" w:ascii="宋体" w:hAnsi="宋体"/>
          <w:color w:val="auto"/>
          <w:sz w:val="24"/>
          <w:highlight w:val="none"/>
          <w:shd w:val="clear" w:color="auto" w:fill="FFFFFF"/>
        </w:rPr>
        <w:t>m，翼展宽度不小于3</w:t>
      </w:r>
      <w:r>
        <w:rPr>
          <w:rFonts w:ascii="宋体" w:hAnsi="宋体"/>
          <w:color w:val="auto"/>
          <w:sz w:val="24"/>
          <w:highlight w:val="none"/>
          <w:shd w:val="clear" w:color="auto" w:fill="FFFFFF"/>
        </w:rPr>
        <w:t>4.10</w:t>
      </w:r>
      <w:r>
        <w:rPr>
          <w:rFonts w:hint="eastAsia" w:ascii="宋体" w:hAnsi="宋体"/>
          <w:color w:val="auto"/>
          <w:sz w:val="24"/>
          <w:highlight w:val="none"/>
          <w:shd w:val="clear" w:color="auto" w:fill="FFFFFF"/>
        </w:rPr>
        <w:t>m，垂尾距地高度不小于1</w:t>
      </w:r>
      <w:r>
        <w:rPr>
          <w:rFonts w:ascii="宋体" w:hAnsi="宋体"/>
          <w:color w:val="auto"/>
          <w:sz w:val="24"/>
          <w:highlight w:val="none"/>
          <w:shd w:val="clear" w:color="auto" w:fill="FFFFFF"/>
        </w:rPr>
        <w:t>2.08</w:t>
      </w:r>
      <w:r>
        <w:rPr>
          <w:rFonts w:hint="eastAsia" w:ascii="宋体" w:hAnsi="宋体"/>
          <w:color w:val="auto"/>
          <w:sz w:val="24"/>
          <w:highlight w:val="none"/>
          <w:shd w:val="clear" w:color="auto" w:fill="FFFFFF"/>
        </w:rPr>
        <w:t>m，前后起落架轮距不小于1</w:t>
      </w:r>
      <w:r>
        <w:rPr>
          <w:rFonts w:ascii="宋体" w:hAnsi="宋体"/>
          <w:color w:val="auto"/>
          <w:sz w:val="24"/>
          <w:highlight w:val="none"/>
          <w:shd w:val="clear" w:color="auto" w:fill="FFFFFF"/>
        </w:rPr>
        <w:t>2.64</w:t>
      </w:r>
      <w:r>
        <w:rPr>
          <w:rFonts w:hint="eastAsia" w:ascii="宋体" w:hAnsi="宋体"/>
          <w:color w:val="auto"/>
          <w:sz w:val="24"/>
          <w:highlight w:val="none"/>
          <w:shd w:val="clear" w:color="auto" w:fill="FFFFFF"/>
        </w:rPr>
        <w:t>m。</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（2）▲飞机应执行最后一个航班到双方共同确定浙江省内及周边省市机场且确保飞机能够满足附件二《飞机验收标准》；</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）该飞机发动机构型为V</w:t>
      </w:r>
      <w:r>
        <w:rPr>
          <w:rFonts w:ascii="宋体" w:hAnsi="宋体"/>
          <w:color w:val="auto"/>
          <w:sz w:val="24"/>
          <w:highlight w:val="none"/>
          <w:shd w:val="clear" w:color="auto" w:fill="FFFFFF"/>
        </w:rPr>
        <w:t>2500</w:t>
      </w:r>
      <w:r>
        <w:rPr>
          <w:rFonts w:hint="eastAsia" w:ascii="宋体" w:hAnsi="宋体"/>
          <w:color w:val="auto"/>
          <w:sz w:val="24"/>
          <w:highlight w:val="none"/>
          <w:shd w:val="clear" w:color="auto" w:fill="FFFFFF"/>
        </w:rPr>
        <w:t>或C</w:t>
      </w:r>
      <w:r>
        <w:rPr>
          <w:rFonts w:ascii="宋体" w:hAnsi="宋体"/>
          <w:color w:val="auto"/>
          <w:sz w:val="24"/>
          <w:highlight w:val="none"/>
          <w:shd w:val="clear" w:color="auto" w:fill="FFFFFF"/>
        </w:rPr>
        <w:t>FM56-5</w:t>
      </w:r>
      <w:r>
        <w:rPr>
          <w:rFonts w:hint="eastAsia" w:ascii="宋体" w:hAnsi="宋体"/>
          <w:color w:val="auto"/>
          <w:sz w:val="24"/>
          <w:highlight w:val="none"/>
          <w:shd w:val="clear" w:color="auto" w:fill="FFFFFF"/>
        </w:rPr>
        <w:t>；</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4</w:t>
      </w:r>
      <w:r>
        <w:rPr>
          <w:rFonts w:hint="eastAsia" w:ascii="宋体" w:hAnsi="宋体"/>
          <w:color w:val="auto"/>
          <w:sz w:val="24"/>
          <w:highlight w:val="none"/>
          <w:shd w:val="clear" w:color="auto" w:fill="FFFFFF"/>
        </w:rPr>
        <w:t>）飞机各系统及部件齐全，飞机部件的详细清单见附件，包含时控件清单和</w:t>
      </w:r>
      <w:r>
        <w:rPr>
          <w:rFonts w:ascii="宋体" w:hAnsi="宋体"/>
          <w:color w:val="auto"/>
          <w:sz w:val="24"/>
          <w:highlight w:val="none"/>
          <w:shd w:val="clear" w:color="auto" w:fill="FFFFFF"/>
        </w:rPr>
        <w:t>O</w:t>
      </w:r>
      <w:r>
        <w:rPr>
          <w:rFonts w:hint="eastAsia" w:ascii="宋体" w:hAnsi="宋体"/>
          <w:color w:val="auto"/>
          <w:sz w:val="24"/>
          <w:highlight w:val="none"/>
          <w:shd w:val="clear" w:color="auto" w:fill="FFFFFF"/>
        </w:rPr>
        <w:t>CCM(视情状况监控)清单。</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（5）▲飞机整机技术状态在机场落地交付验收时，系统功能应能满足附件二《飞机验收标准》各项测试与检查要求。</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（二）随机技术资料</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飞机随机相应技术资料文件和维修记录档案文件齐全，相关文件符合CAAC飞机引进的适航标准。（电子版或纸版）。▲承诺落地交付验收同时提供以下技术资料。</w:t>
      </w:r>
    </w:p>
    <w:p>
      <w:pPr>
        <w:pStyle w:val="256"/>
        <w:numPr>
          <w:ilvl w:val="0"/>
          <w:numId w:val="2"/>
        </w:numPr>
        <w:snapToGrid w:val="0"/>
        <w:ind w:firstLineChars="0"/>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技术资料文件，飞机维修手册、结构修理手册、线路手册、排故手册、零部件手册、标准工卡、维修方案、最低设备清单/构型缺损清单</w:t>
      </w:r>
      <w:r>
        <w:rPr>
          <w:rFonts w:hint="eastAsia" w:ascii="宋体" w:hAnsi="宋体" w:eastAsia="宋体"/>
          <w:color w:val="auto"/>
          <w:highlight w:val="none"/>
        </w:rPr>
        <w:t>。</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提供飞机适航证、电台证、国籍登记证</w:t>
      </w:r>
      <w:r>
        <w:rPr>
          <w:rFonts w:hint="eastAsia" w:ascii="宋体" w:hAnsi="宋体" w:eastAsia="宋体"/>
          <w:color w:val="auto"/>
          <w:highlight w:val="none"/>
          <w:shd w:val="clear" w:color="auto" w:fill="FFFFFF"/>
        </w:rPr>
        <w:t>、飞行记录本、客舱记录本、技术记录本</w:t>
      </w:r>
      <w:r>
        <w:rPr>
          <w:rFonts w:hint="eastAsia" w:ascii="宋体" w:hAnsi="宋体" w:eastAsia="宋体"/>
          <w:color w:val="auto"/>
          <w:highlight w:val="none"/>
        </w:rPr>
        <w:t>。</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提供时控（HT）件清单，剩余小时循环日历日记录，相关时控件剩余FH（飞行小时数）大于100小时，FC（飞行循环数）50FC，日历日60天。</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交付之日计算，2年内更换的部件都需要提供FAA/CAAC/EASA证书。</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起落架LLP清单，历史执行大修报告，BTB可追溯。</w:t>
      </w:r>
    </w:p>
    <w:p>
      <w:pPr>
        <w:pStyle w:val="256"/>
        <w:numPr>
          <w:ilvl w:val="0"/>
          <w:numId w:val="2"/>
        </w:numPr>
        <w:snapToGrid w:val="0"/>
        <w:ind w:firstLineChars="0"/>
        <w:rPr>
          <w:rFonts w:ascii="宋体" w:hAnsi="宋体" w:eastAsia="宋体"/>
          <w:color w:val="auto"/>
          <w:highlight w:val="none"/>
        </w:rPr>
      </w:pPr>
      <w:r>
        <w:rPr>
          <w:rFonts w:hint="eastAsia" w:ascii="宋体" w:hAnsi="宋体" w:eastAsia="宋体"/>
          <w:color w:val="auto"/>
          <w:highlight w:val="none"/>
        </w:rPr>
        <w:t>发动机LLP清单。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提供飞机的无事故声明或质量声明。</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提供飞机该机型</w:t>
      </w:r>
      <w:r>
        <w:rPr>
          <w:rFonts w:hint="eastAsia" w:ascii="宋体" w:hAnsi="宋体" w:eastAsia="宋体"/>
          <w:color w:val="auto"/>
          <w:highlight w:val="none"/>
          <w:lang w:val="en-US" w:eastAsia="zh-CN"/>
        </w:rPr>
        <w:t>制造</w:t>
      </w:r>
      <w:r>
        <w:rPr>
          <w:rFonts w:hint="eastAsia" w:ascii="宋体" w:hAnsi="宋体" w:eastAsia="宋体"/>
          <w:color w:val="auto"/>
          <w:highlight w:val="none"/>
        </w:rPr>
        <w:t>公司的维修方案（MPD）。</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提供飞机AD/SB执行记录。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提供重要结构修理或改装清单。</w:t>
      </w:r>
    </w:p>
    <w:p>
      <w:pPr>
        <w:pStyle w:val="256"/>
        <w:numPr>
          <w:ilvl w:val="0"/>
          <w:numId w:val="2"/>
        </w:numPr>
        <w:tabs>
          <w:tab w:val="left" w:pos="0"/>
        </w:tabs>
        <w:snapToGrid w:val="0"/>
        <w:ind w:firstLineChars="0"/>
        <w:jc w:val="left"/>
        <w:rPr>
          <w:rFonts w:ascii="宋体" w:hAnsi="宋体" w:eastAsia="宋体"/>
          <w:color w:val="auto"/>
          <w:highlight w:val="none"/>
        </w:rPr>
      </w:pPr>
      <w:r>
        <w:rPr>
          <w:rFonts w:hint="eastAsia" w:ascii="宋体" w:hAnsi="宋体" w:eastAsia="宋体"/>
          <w:color w:val="auto"/>
          <w:highlight w:val="none"/>
        </w:rPr>
        <w:t>提供飞机A检C检维修记录。</w:t>
      </w:r>
    </w:p>
    <w:p>
      <w:pPr>
        <w:tabs>
          <w:tab w:val="left" w:pos="0"/>
        </w:tabs>
        <w:snapToGrid w:val="0"/>
        <w:spacing w:line="360" w:lineRule="auto"/>
        <w:jc w:val="left"/>
        <w:rPr>
          <w:rFonts w:ascii="宋体" w:hAnsi="宋体"/>
          <w:color w:val="auto"/>
          <w:sz w:val="24"/>
          <w:highlight w:val="none"/>
        </w:rPr>
      </w:pPr>
      <w:r>
        <w:rPr>
          <w:rFonts w:hint="eastAsia" w:ascii="宋体" w:hAnsi="宋体"/>
          <w:color w:val="auto"/>
          <w:sz w:val="24"/>
          <w:highlight w:val="none"/>
        </w:rPr>
        <w:t>（三）随机配套工具</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随机配套起落架安全销、前轮转弯旁通销、发动机布罩、皮托管套、静压孔堵盖、</w:t>
      </w:r>
      <w:r>
        <w:rPr>
          <w:rFonts w:ascii="宋体" w:hAnsi="宋体"/>
          <w:color w:val="auto"/>
          <w:sz w:val="24"/>
          <w:highlight w:val="none"/>
          <w:shd w:val="clear" w:color="auto" w:fill="FFFFFF"/>
        </w:rPr>
        <w:t>TAT保护套</w:t>
      </w:r>
      <w:r>
        <w:rPr>
          <w:rFonts w:hint="eastAsia" w:ascii="宋体" w:hAnsi="宋体"/>
          <w:color w:val="auto"/>
          <w:sz w:val="24"/>
          <w:highlight w:val="none"/>
          <w:shd w:val="clear" w:color="auto" w:fill="FFFFFF"/>
        </w:rPr>
        <w:t>、橡胶轮挡、内话耳机、前和主起落架专用系留设备（停放场地需安装地锚）、地面高压气源接头、地面空调接头、专用放燃油沉淀物工具、起落架镜面清洁专用工具（油壶）、专用灭火器（查阅行标里面有规范）、襟缝翼零位锁、起落架舱门及货舱门安全锁</w:t>
      </w:r>
      <w:r>
        <w:rPr>
          <w:rFonts w:ascii="宋体" w:hAnsi="宋体"/>
          <w:color w:val="auto"/>
          <w:sz w:val="24"/>
          <w:highlight w:val="none"/>
          <w:shd w:val="clear" w:color="auto" w:fill="FFFFFF"/>
        </w:rPr>
        <w:t>/销</w:t>
      </w:r>
      <w:r>
        <w:rPr>
          <w:rFonts w:hint="eastAsia" w:ascii="宋体" w:hAnsi="宋体"/>
          <w:color w:val="auto"/>
          <w:sz w:val="24"/>
          <w:highlight w:val="none"/>
          <w:shd w:val="clear" w:color="auto" w:fill="FFFFFF"/>
        </w:rPr>
        <w:t>等，具体清单如下：</w:t>
      </w:r>
    </w:p>
    <w:tbl>
      <w:tblPr>
        <w:tblStyle w:val="63"/>
        <w:tblW w:w="97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750"/>
        <w:gridCol w:w="6221"/>
        <w:gridCol w:w="696"/>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飞机放油杆</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放油杆采用不锈钢材质，漏斗形状配有顶针，用于油箱余油放油专用</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轮挡</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橡胶材质,飞机专用，底*高*长=180mm*160mm*500mm，至少6个。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restart"/>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飞机轮胎检测工具</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包含轮胎检漏喷壶和泄气检测液</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continue"/>
            <w:vAlign w:val="center"/>
          </w:tcPr>
          <w:p>
            <w:pPr>
              <w:snapToGrid w:val="0"/>
              <w:jc w:val="center"/>
              <w:rPr>
                <w:rFonts w:ascii="宋体" w:hAnsi="宋体"/>
                <w:color w:val="auto"/>
                <w:szCs w:val="21"/>
                <w:highlight w:val="none"/>
                <w:shd w:val="clear" w:color="auto" w:fill="FFFFFF"/>
              </w:rPr>
            </w:pP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轮胎压力测量表</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Merge w:val="continue"/>
            <w:vAlign w:val="center"/>
          </w:tcPr>
          <w:p>
            <w:pPr>
              <w:snapToGrid w:val="0"/>
              <w:jc w:val="center"/>
              <w:rPr>
                <w:rFonts w:ascii="宋体" w:hAnsi="宋体"/>
                <w:color w:val="auto"/>
                <w:szCs w:val="21"/>
                <w:highlight w:val="none"/>
                <w:shd w:val="clear" w:color="auto" w:fill="FFFFFF"/>
              </w:rPr>
            </w:pP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轮胎胎纹检查工具测量轮胎损伤（如轮胎扎伤深度测量等）</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内话耳机</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采用高复合碳纤维材质，内含军用级别防弹丝，超轻柔，佩戴舒适通过ANSIS319降噪认证AG-1机务话务耳机，头戴耳麦，POWER-TIME。</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飞机警告飘带</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REMOVE BEFORE FLIGHT红色飘带（大、小、各2个）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飞机系留绳</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前主起落架系留绳包含：双眼圆形吊装带RSEE02030060-4M额定载荷3（T），弓形卸扣G-213-7/8额定载荷6.5（T），圆吊环SYG046-05，额定载荷5（T），连接布带（紧线器+织带）DKS.额定载荷3（T）</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飞机跳开关安全夹</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1.跳开关夹子主要有两个功能，一个是保护飞机维修人员及飞机系统，另一个是提醒工作完成恢复断路器。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2.需要根据不同的跳开关的尺寸进行贴合设计，不同规格的跳开关夹子可以适用于飞机上所有的跳开关。</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3.使用聚丙烯材料，绝缘性好，击穿电压高。安全性好。</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4.产品材料具有突出的抗弯曲疲劳性，长期使用不易损坏。</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5.自带有红色飘带，“起飞前摘除，REMOVE BEFORE FLGHT”，提醒工作者工作完成后摘除，避免人为差错。</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6.每盒20个夹子，含12个小号，8个大号。</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安全带</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1.5点式欧氏安全带大钩双绳。腰部、背部、腿部、胸部均有卡扣调节，根据人体工学设计，有效安全防护。</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2.材料：丙纶织带</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丙纶高强编织绳</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镀锌铁件</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3.重量：一条不低于3KG</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4.安全绳直径：不小于18MM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5.绳长：1.7M（不含缓冲包）</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6.钩子长度：20CM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7.拉力指标：4412.2N</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指挥棒</w:t>
            </w:r>
          </w:p>
        </w:tc>
        <w:tc>
          <w:tcPr>
            <w:tcW w:w="6221"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1.LED荧光2.指挥飞机使用3.长度为55cm</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546" w:type="dxa"/>
            <w:noWrap/>
            <w:vAlign w:val="center"/>
          </w:tcPr>
          <w:p>
            <w:pPr>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安全警示锥</w:t>
            </w:r>
          </w:p>
        </w:tc>
        <w:tc>
          <w:tcPr>
            <w:tcW w:w="6221"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1.橡胶材质</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2.70CM高</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3.带反光条</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对讲机</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1.55w大功率超长,待机时长30天2.产品尺寸：11.8*5.9*3.2cm,3.电池容量26800毫安</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反光背心</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黄色带反光条，针织布料或透气网眼，带有口袋，并印有学校LOGO</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48</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吸尘器</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产品参数</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额定电压48V</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功率700W</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风量234m3/h</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吸力240mbar</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过滤网面积8520cm2</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噪音等级65dB</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集尘箱容积15L</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吸尘口直径36mm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过滤网类型聚酯过滤器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机器净重40kg</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机器尺寸500*400*860mm</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1.本机采用48V直流干湿两用电机，可吸尘、吸水干湿两用。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2.700W大吸力，适用于各行各业的吸尘需求。</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3.电机单独启动。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4.本机采用倾倒式集尘桶，倾倒废弃物快捷方便。</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5.采用电池容量33AH，工作时间自由控制。</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6.整机采用不锈钢金属材料，配有:(重型聚氨酯刹车脚轮)。</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7.配备HEPA聚酯过滤器，可水洗反复使用。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8.适用于一般的清洁工作时间需求，充电器，充电时间6-8小时可充满。</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9.本机应用在没有电源的地方使用。</w:t>
            </w:r>
          </w:p>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10.应用场所:航空、轮船、净化车间、洁净室、会议室、医院、宾馆、狭小走廊等</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前轮轮轴千斤顶</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适用于前起落架前轮，总高度</w:t>
            </w:r>
            <w:r>
              <w:rPr>
                <w:rFonts w:ascii="宋体" w:hAnsi="宋体"/>
                <w:color w:val="auto"/>
                <w:szCs w:val="21"/>
                <w:highlight w:val="none"/>
                <w:shd w:val="clear" w:color="auto" w:fill="FFFFFF"/>
              </w:rPr>
              <w:t>400MM最低高度200MM调整高度100MM举升高度100MM,气动</w:t>
            </w:r>
            <w:r>
              <w:rPr>
                <w:rFonts w:hint="eastAsia" w:ascii="宋体" w:hAnsi="宋体"/>
                <w:color w:val="auto"/>
                <w:szCs w:val="21"/>
                <w:highlight w:val="none"/>
                <w:shd w:val="clear" w:color="auto" w:fill="FFFFFF"/>
              </w:rPr>
              <w:t>举升</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起落架安全销</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与投标机型相配套，1套3个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前起落架转弯旁通销</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与投标机型相配套，1个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起落架舱门安全锁销</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与投标机型相配套前起落架舱门安全销（</w:t>
            </w:r>
            <w:r>
              <w:rPr>
                <w:rFonts w:ascii="宋体" w:hAnsi="宋体"/>
                <w:color w:val="auto"/>
                <w:szCs w:val="21"/>
                <w:highlight w:val="none"/>
                <w:shd w:val="clear" w:color="auto" w:fill="FFFFFF"/>
              </w:rPr>
              <w:t>2个）</w:t>
            </w:r>
            <w:r>
              <w:rPr>
                <w:rFonts w:hint="eastAsia" w:ascii="宋体" w:hAnsi="宋体"/>
                <w:color w:val="auto"/>
                <w:szCs w:val="21"/>
                <w:highlight w:val="none"/>
                <w:shd w:val="clear" w:color="auto" w:fill="FFFFFF"/>
              </w:rPr>
              <w:t>、</w:t>
            </w:r>
            <w:r>
              <w:rPr>
                <w:rFonts w:ascii="宋体" w:hAnsi="宋体"/>
                <w:color w:val="auto"/>
                <w:szCs w:val="21"/>
                <w:highlight w:val="none"/>
                <w:shd w:val="clear" w:color="auto" w:fill="FFFFFF"/>
              </w:rPr>
              <w:t>主起落架舱门安全锁（2个）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货舱门安全锁</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与投标机型相配套飞机货舱门安全锁（</w:t>
            </w:r>
            <w:r>
              <w:rPr>
                <w:rFonts w:ascii="宋体" w:hAnsi="宋体"/>
                <w:color w:val="auto"/>
                <w:szCs w:val="21"/>
                <w:highlight w:val="none"/>
                <w:shd w:val="clear" w:color="auto" w:fill="FFFFFF"/>
              </w:rPr>
              <w:t>2个）</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皮托管套</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适用于皮托管</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静压孔堵盖</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TAT保护套</w:t>
            </w:r>
          </w:p>
        </w:tc>
        <w:tc>
          <w:tcPr>
            <w:tcW w:w="6221" w:type="dxa"/>
            <w:noWrap/>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机坪专用灭火器</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灭火器为水系小推车式，配红色布套（带拉链），布套上标有灭火器字样，并配有合格检验证书</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驾驶员服装</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提供M、L、XL、XXL、XXXL，5个尺码为一套的（含长/短袖衬衫、西装、西裤、帽子）民航飞机驾驶员工装</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pPr>
              <w:pStyle w:val="256"/>
              <w:numPr>
                <w:ilvl w:val="0"/>
                <w:numId w:val="3"/>
              </w:numPr>
              <w:snapToGrid w:val="0"/>
              <w:spacing w:line="240" w:lineRule="auto"/>
              <w:ind w:firstLineChars="0"/>
              <w:rPr>
                <w:rFonts w:ascii="宋体" w:hAnsi="宋体" w:eastAsia="宋体"/>
                <w:color w:val="auto"/>
                <w:sz w:val="21"/>
                <w:szCs w:val="21"/>
                <w:highlight w:val="none"/>
                <w:shd w:val="clear" w:color="auto" w:fill="FFFFFF"/>
              </w:rPr>
            </w:pPr>
          </w:p>
        </w:tc>
        <w:tc>
          <w:tcPr>
            <w:tcW w:w="1750" w:type="dxa"/>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襟缝翼零位锁</w:t>
            </w:r>
          </w:p>
        </w:tc>
        <w:tc>
          <w:tcPr>
            <w:tcW w:w="6221" w:type="dxa"/>
            <w:vAlign w:val="center"/>
          </w:tcPr>
          <w:p>
            <w:pPr>
              <w:snapToGrid w:val="0"/>
              <w:jc w:val="left"/>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与投标机型相配套</w:t>
            </w:r>
          </w:p>
        </w:tc>
        <w:tc>
          <w:tcPr>
            <w:tcW w:w="69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546" w:type="dxa"/>
            <w:noWrap/>
            <w:vAlign w:val="center"/>
          </w:tcPr>
          <w:p>
            <w:pPr>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bl>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（四）停放场地的安全围栏与监控、照明</w:t>
      </w:r>
    </w:p>
    <w:p>
      <w:pPr>
        <w:snapToGrid w:val="0"/>
        <w:spacing w:line="360" w:lineRule="auto"/>
        <w:ind w:firstLine="480" w:firstLineChars="200"/>
        <w:rPr>
          <w:rFonts w:ascii="宋体" w:hAnsi="宋体"/>
          <w:color w:val="auto"/>
          <w:sz w:val="24"/>
          <w:highlight w:val="none"/>
          <w:shd w:val="clear" w:color="auto" w:fill="FFFFFF"/>
        </w:rPr>
      </w:pPr>
      <w:r>
        <w:rPr>
          <w:rFonts w:ascii="宋体" w:hAnsi="宋体"/>
          <w:color w:val="auto"/>
          <w:sz w:val="24"/>
          <w:highlight w:val="none"/>
          <w:shd w:val="clear" w:color="auto" w:fill="FFFFFF"/>
        </w:rPr>
        <w:t>飞机应停放在学校指定的场地，若场地不规整，提供必要的场地修整</w:t>
      </w:r>
      <w:r>
        <w:rPr>
          <w:rFonts w:hint="eastAsia" w:ascii="宋体" w:hAnsi="宋体"/>
          <w:color w:val="auto"/>
          <w:sz w:val="24"/>
          <w:highlight w:val="none"/>
          <w:shd w:val="clear" w:color="auto" w:fill="FFFFFF"/>
        </w:rPr>
        <w:t>；确保飞机停放场地四周安装有安全围栏；提供维修工作时场地必要的照明；安装系留地锚、安装可用于民航维修人员执照考试时用于局方监察员进行远程监控的视频监控系统（可看见视频、听见音频）。</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461"/>
        <w:gridCol w:w="6555"/>
        <w:gridCol w:w="696"/>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序号</w:t>
            </w:r>
          </w:p>
        </w:tc>
        <w:tc>
          <w:tcPr>
            <w:tcW w:w="733" w:type="pct"/>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名称</w:t>
            </w:r>
          </w:p>
        </w:tc>
        <w:tc>
          <w:tcPr>
            <w:tcW w:w="3289" w:type="pct"/>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参数</w:t>
            </w:r>
          </w:p>
        </w:tc>
        <w:tc>
          <w:tcPr>
            <w:tcW w:w="349" w:type="pct"/>
            <w:noWrap/>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数量</w:t>
            </w:r>
          </w:p>
        </w:tc>
        <w:tc>
          <w:tcPr>
            <w:tcW w:w="346" w:type="pct"/>
            <w:noWrap/>
            <w:vAlign w:val="center"/>
          </w:tcPr>
          <w:p>
            <w:pPr>
              <w:snapToGrid w:val="0"/>
              <w:jc w:val="center"/>
              <w:rPr>
                <w:rFonts w:ascii="宋体" w:hAnsi="宋体"/>
                <w:b/>
                <w:bCs/>
                <w:color w:val="auto"/>
                <w:szCs w:val="21"/>
                <w:highlight w:val="none"/>
                <w:shd w:val="clear" w:color="auto" w:fill="FFFFFF"/>
              </w:rPr>
            </w:pPr>
            <w:r>
              <w:rPr>
                <w:rFonts w:hint="eastAsia" w:ascii="宋体" w:hAnsi="宋体"/>
                <w:b/>
                <w:bCs/>
                <w:color w:val="auto"/>
                <w:szCs w:val="21"/>
                <w:highlight w:val="none"/>
                <w:shd w:val="clear" w:color="auto" w:fill="FFFFFF"/>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tcPr>
          <w:p>
            <w:pPr>
              <w:snapToGrid w:val="0"/>
              <w:rPr>
                <w:rFonts w:hint="eastAsia" w:ascii="宋体" w:hAnsi="宋体" w:eastAsia="宋体"/>
                <w:color w:val="auto"/>
                <w:szCs w:val="21"/>
                <w:highlight w:val="none"/>
                <w:shd w:val="clear" w:color="auto" w:fill="FFFFFF"/>
                <w:lang w:val="en-US" w:eastAsia="zh-CN"/>
              </w:rPr>
            </w:pPr>
            <w:r>
              <w:rPr>
                <w:rFonts w:hint="eastAsia" w:ascii="宋体" w:hAnsi="宋体"/>
                <w:color w:val="auto"/>
                <w:szCs w:val="21"/>
                <w:highlight w:val="none"/>
                <w:shd w:val="clear" w:color="auto" w:fill="FFFFFF"/>
                <w:lang w:val="en-US" w:eastAsia="zh-CN"/>
              </w:rPr>
              <w:t>1</w:t>
            </w:r>
          </w:p>
        </w:tc>
        <w:tc>
          <w:tcPr>
            <w:tcW w:w="733"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监控摄像头</w:t>
            </w:r>
          </w:p>
        </w:tc>
        <w:tc>
          <w:tcPr>
            <w:tcW w:w="3289"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5双频技术，畅享智能新视界，支持2.4G/5G双频WIFI技术，信号稳定畅快连接，随时随地体验高速远程监护双频自动匹配无需切换，省时省心，畅连无阻内置高频率天线，信号强劲速度更快，停电后可持续监控，配备相同型号的支架，高度可调节。</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产品参数</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分辨率1080P</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TF卡Fat32格式，Class10及以上，最大512G</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视频编码H.265</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工作温度-10°℃~50℃</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工作湿度&lt;85%</w:t>
            </w:r>
          </w:p>
        </w:tc>
        <w:tc>
          <w:tcPr>
            <w:tcW w:w="349"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6</w:t>
            </w:r>
          </w:p>
        </w:tc>
        <w:tc>
          <w:tcPr>
            <w:tcW w:w="346"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tcPr>
          <w:p>
            <w:pPr>
              <w:snapToGrid w:val="0"/>
              <w:rPr>
                <w:rFonts w:hint="eastAsia" w:ascii="宋体" w:hAnsi="宋体" w:eastAsia="宋体"/>
                <w:color w:val="auto"/>
                <w:szCs w:val="21"/>
                <w:highlight w:val="none"/>
                <w:shd w:val="clear" w:color="auto" w:fill="FFFFFF"/>
                <w:lang w:val="en-US" w:eastAsia="zh-CN"/>
              </w:rPr>
            </w:pPr>
            <w:r>
              <w:rPr>
                <w:rFonts w:hint="eastAsia" w:ascii="宋体" w:hAnsi="宋体"/>
                <w:color w:val="auto"/>
                <w:szCs w:val="21"/>
                <w:highlight w:val="none"/>
                <w:shd w:val="clear" w:color="auto" w:fill="FFFFFF"/>
                <w:lang w:val="en-US" w:eastAsia="zh-CN"/>
              </w:rPr>
              <w:t>2</w:t>
            </w:r>
          </w:p>
        </w:tc>
        <w:tc>
          <w:tcPr>
            <w:tcW w:w="733"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平板监控系统</w:t>
            </w:r>
          </w:p>
        </w:tc>
        <w:tc>
          <w:tcPr>
            <w:tcW w:w="3289"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r>
              <w:rPr>
                <w:rFonts w:ascii="宋体" w:hAnsi="宋体"/>
                <w:color w:val="auto"/>
                <w:szCs w:val="21"/>
                <w:highlight w:val="none"/>
                <w:shd w:val="clear" w:color="auto" w:fill="FFFFFF"/>
              </w:rPr>
              <w:t>全网通平板×2</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w:t>
            </w:r>
            <w:r>
              <w:rPr>
                <w:rFonts w:ascii="宋体" w:hAnsi="宋体"/>
                <w:color w:val="auto"/>
                <w:szCs w:val="21"/>
                <w:highlight w:val="none"/>
                <w:shd w:val="clear" w:color="auto" w:fill="FFFFFF"/>
              </w:rPr>
              <w:t>硬盘录像机×1</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3</w:t>
            </w:r>
            <w:r>
              <w:rPr>
                <w:rFonts w:ascii="宋体" w:hAnsi="宋体"/>
                <w:color w:val="auto"/>
                <w:szCs w:val="21"/>
                <w:highlight w:val="none"/>
                <w:shd w:val="clear" w:color="auto" w:fill="FFFFFF"/>
              </w:rPr>
              <w:t>.8T硬盘×2</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4</w:t>
            </w:r>
            <w:r>
              <w:rPr>
                <w:rFonts w:ascii="宋体" w:hAnsi="宋体"/>
                <w:color w:val="auto"/>
                <w:szCs w:val="21"/>
                <w:highlight w:val="none"/>
                <w:shd w:val="clear" w:color="auto" w:fill="FFFFFF"/>
              </w:rPr>
              <w:t>.高品质</w:t>
            </w:r>
            <w:r>
              <w:rPr>
                <w:rFonts w:hint="eastAsia" w:ascii="宋体" w:hAnsi="宋体"/>
                <w:color w:val="auto"/>
                <w:szCs w:val="21"/>
                <w:highlight w:val="none"/>
                <w:shd w:val="clear" w:color="auto" w:fill="FFFFFF"/>
              </w:rPr>
              <w:t>路由器×1</w:t>
            </w:r>
          </w:p>
        </w:tc>
        <w:tc>
          <w:tcPr>
            <w:tcW w:w="349"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346"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tcPr>
          <w:p>
            <w:pPr>
              <w:snapToGrid w:val="0"/>
              <w:rPr>
                <w:rFonts w:hint="eastAsia" w:ascii="宋体" w:hAnsi="宋体" w:eastAsia="宋体"/>
                <w:color w:val="auto"/>
                <w:szCs w:val="21"/>
                <w:highlight w:val="none"/>
                <w:shd w:val="clear" w:color="auto" w:fill="FFFFFF"/>
                <w:lang w:val="en-US" w:eastAsia="zh-CN"/>
              </w:rPr>
            </w:pPr>
            <w:r>
              <w:rPr>
                <w:rFonts w:hint="eastAsia" w:ascii="宋体" w:hAnsi="宋体"/>
                <w:color w:val="auto"/>
                <w:szCs w:val="21"/>
                <w:highlight w:val="none"/>
                <w:shd w:val="clear" w:color="auto" w:fill="FFFFFF"/>
                <w:lang w:val="en-US" w:eastAsia="zh-CN"/>
              </w:rPr>
              <w:t>3</w:t>
            </w:r>
          </w:p>
        </w:tc>
        <w:tc>
          <w:tcPr>
            <w:tcW w:w="733"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外场围栏及照明</w:t>
            </w:r>
          </w:p>
        </w:tc>
        <w:tc>
          <w:tcPr>
            <w:tcW w:w="3289" w:type="pct"/>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介绍：玻璃钢伸缩围栏采用高强度玻璃钢复合材料制成，具有不导电、伸缩自如、操作简单、美观规范、实用性强、重量轻、强度高等特点。主要应用于发电厂、变电站的电气设备检修、电气实验、配电检修等。具有保证现场工作人员安全的作用。</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玻璃钢的特点：</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1、轻质高强，相对密度在1.5~2.0之间，只有碳钢的1/4~1/5，可是拉伸强度却接近，甚至超过碳素钢，而比强度可以与高级合金钢相比。</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2、绝缘性能好，是优良的绝缘材料</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产品规格：1.2m*2m、1.2m*2.5m、1.2m*3m、1.2m*4m、1.2m*5m、1.2m*6m、几种可根据现场需求选择。</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产品颜色：红白相间</w:t>
            </w:r>
          </w:p>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产品性能及特点：高强度绝缘材料制作（绝缘管）；红白相间有警示作用，整体尺寸要把飞机围绕起来。</w:t>
            </w:r>
          </w:p>
        </w:tc>
        <w:tc>
          <w:tcPr>
            <w:tcW w:w="349"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1</w:t>
            </w:r>
          </w:p>
        </w:tc>
        <w:tc>
          <w:tcPr>
            <w:tcW w:w="346" w:type="pct"/>
            <w:noWrap/>
            <w:vAlign w:val="center"/>
          </w:tcPr>
          <w:p>
            <w:pPr>
              <w:snapToGrid w:val="0"/>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套</w:t>
            </w:r>
          </w:p>
        </w:tc>
      </w:tr>
    </w:tbl>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（五）拆解、运输与组装、调试（含测试）</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（1）该大飞机，</w:t>
      </w:r>
      <w:r>
        <w:rPr>
          <w:rFonts w:ascii="宋体" w:hAnsi="宋体"/>
          <w:color w:val="auto"/>
          <w:sz w:val="24"/>
          <w:highlight w:val="none"/>
          <w:shd w:val="clear" w:color="auto" w:fill="FFFFFF"/>
        </w:rPr>
        <w:t>机身一架</w:t>
      </w:r>
      <w:r>
        <w:rPr>
          <w:rFonts w:hint="eastAsia" w:ascii="宋体" w:hAnsi="宋体"/>
          <w:color w:val="auto"/>
          <w:sz w:val="24"/>
          <w:highlight w:val="none"/>
          <w:shd w:val="clear" w:color="auto" w:fill="FFFFFF"/>
        </w:rPr>
        <w:t>，飞机系统及结构</w:t>
      </w:r>
      <w:r>
        <w:rPr>
          <w:rFonts w:ascii="宋体" w:hAnsi="宋体"/>
          <w:color w:val="auto"/>
          <w:sz w:val="24"/>
          <w:highlight w:val="none"/>
          <w:shd w:val="clear" w:color="auto" w:fill="FFFFFF"/>
        </w:rPr>
        <w:t>部件完整，</w:t>
      </w:r>
      <w:r>
        <w:rPr>
          <w:rFonts w:hint="eastAsia" w:ascii="宋体" w:hAnsi="宋体"/>
          <w:color w:val="auto"/>
          <w:sz w:val="24"/>
          <w:highlight w:val="none"/>
          <w:shd w:val="clear" w:color="auto" w:fill="FFFFFF"/>
        </w:rPr>
        <w:t>处于</w:t>
      </w:r>
      <w:r>
        <w:rPr>
          <w:rFonts w:ascii="宋体" w:hAnsi="宋体"/>
          <w:color w:val="auto"/>
          <w:sz w:val="24"/>
          <w:highlight w:val="none"/>
          <w:shd w:val="clear" w:color="auto" w:fill="FFFFFF"/>
        </w:rPr>
        <w:t>适航状态</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标的飞机抵达</w:t>
      </w:r>
      <w:r>
        <w:rPr>
          <w:rFonts w:hint="eastAsia" w:ascii="宋体" w:hAnsi="宋体"/>
          <w:color w:val="auto"/>
          <w:sz w:val="24"/>
          <w:highlight w:val="none"/>
          <w:shd w:val="clear" w:color="auto" w:fill="FFFFFF"/>
        </w:rPr>
        <w:t>双方指定</w:t>
      </w:r>
      <w:r>
        <w:rPr>
          <w:rFonts w:ascii="宋体" w:hAnsi="宋体"/>
          <w:color w:val="auto"/>
          <w:sz w:val="24"/>
          <w:highlight w:val="none"/>
          <w:shd w:val="clear" w:color="auto" w:fill="FFFFFF"/>
        </w:rPr>
        <w:t>机场后</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需通知甲方</w:t>
      </w:r>
      <w:r>
        <w:rPr>
          <w:rFonts w:hint="eastAsia" w:ascii="宋体" w:hAnsi="宋体"/>
          <w:color w:val="auto"/>
          <w:sz w:val="24"/>
          <w:highlight w:val="none"/>
          <w:shd w:val="clear" w:color="auto" w:fill="FFFFFF"/>
        </w:rPr>
        <w:t>，甲方视情</w:t>
      </w:r>
      <w:r>
        <w:rPr>
          <w:rFonts w:ascii="宋体" w:hAnsi="宋体"/>
          <w:color w:val="auto"/>
          <w:sz w:val="24"/>
          <w:highlight w:val="none"/>
          <w:shd w:val="clear" w:color="auto" w:fill="FFFFFF"/>
        </w:rPr>
        <w:t>完成第一次验收</w:t>
      </w:r>
      <w:r>
        <w:rPr>
          <w:rFonts w:hint="eastAsia" w:ascii="宋体" w:hAnsi="宋体"/>
          <w:color w:val="auto"/>
          <w:sz w:val="24"/>
          <w:highlight w:val="none"/>
          <w:shd w:val="clear" w:color="auto" w:fill="FFFFFF"/>
        </w:rPr>
        <w:t>。</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（2）▲飞机</w:t>
      </w:r>
      <w:r>
        <w:rPr>
          <w:rFonts w:hint="eastAsia" w:ascii="宋体" w:hAnsi="宋体"/>
          <w:color w:val="auto"/>
          <w:sz w:val="24"/>
          <w:highlight w:val="none"/>
          <w:shd w:val="clear" w:color="auto" w:fill="FFFFFF"/>
          <w:lang w:val="en-US" w:eastAsia="zh-CN"/>
        </w:rPr>
        <w:t>首次</w:t>
      </w:r>
      <w:r>
        <w:rPr>
          <w:rFonts w:hint="eastAsia" w:ascii="宋体" w:hAnsi="宋体"/>
          <w:color w:val="auto"/>
          <w:sz w:val="24"/>
          <w:highlight w:val="none"/>
          <w:shd w:val="clear" w:color="auto" w:fill="FFFFFF"/>
        </w:rPr>
        <w:t>验收日期在合同签订后</w:t>
      </w:r>
      <w:r>
        <w:rPr>
          <w:rFonts w:hint="eastAsia" w:ascii="宋体" w:hAnsi="宋体"/>
          <w:color w:val="auto"/>
          <w:sz w:val="24"/>
          <w:highlight w:val="none"/>
          <w:shd w:val="clear" w:color="auto" w:fill="FFFFFF"/>
          <w:lang w:val="en-US" w:eastAsia="zh-CN"/>
        </w:rPr>
        <w:t>4</w:t>
      </w:r>
      <w:r>
        <w:rPr>
          <w:rFonts w:hint="eastAsia" w:ascii="宋体" w:hAnsi="宋体"/>
          <w:color w:val="auto"/>
          <w:sz w:val="24"/>
          <w:highlight w:val="none"/>
          <w:shd w:val="clear" w:color="auto" w:fill="FFFFFF"/>
        </w:rPr>
        <w:t>个自然月内，若</w:t>
      </w:r>
      <w:r>
        <w:rPr>
          <w:rFonts w:hint="eastAsia" w:ascii="宋体" w:hAnsi="宋体"/>
          <w:color w:val="auto"/>
          <w:sz w:val="24"/>
          <w:highlight w:val="none"/>
          <w:shd w:val="clear" w:color="auto" w:fill="FFFFFF"/>
          <w:lang w:val="en-US" w:eastAsia="zh-CN"/>
        </w:rPr>
        <w:t>4</w:t>
      </w:r>
      <w:r>
        <w:rPr>
          <w:rFonts w:hint="eastAsia" w:ascii="宋体" w:hAnsi="宋体"/>
          <w:color w:val="auto"/>
          <w:sz w:val="24"/>
          <w:highlight w:val="none"/>
          <w:shd w:val="clear" w:color="auto" w:fill="FFFFFF"/>
        </w:rPr>
        <w:t>个月内飞机未完成飞机验收，中标方每逾期一日，须按合同总价金额万分之四向甲方支付违约金，直至飞机完成验收为止。</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w:t>
      </w:r>
      <w:r>
        <w:rPr>
          <w:rFonts w:ascii="宋体" w:hAnsi="宋体"/>
          <w:color w:val="auto"/>
          <w:sz w:val="24"/>
          <w:highlight w:val="none"/>
          <w:shd w:val="clear" w:color="auto" w:fill="FFFFFF"/>
        </w:rPr>
        <w:t>飞机拆解后交付至甲方交货地点，乙方需提供拆解、运输、组装、测试等一套完整的技术方案，经甲方确认同意后方可实施。运输到交货地点进行组装</w:t>
      </w: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调试施工过程中需由持有CAAC民用航空器维修人员执照证书的专业技术人员进行，</w:t>
      </w:r>
      <w:r>
        <w:rPr>
          <w:rFonts w:hint="eastAsia" w:ascii="宋体" w:hAnsi="宋体"/>
          <w:color w:val="auto"/>
          <w:sz w:val="24"/>
          <w:highlight w:val="none"/>
          <w:shd w:val="clear" w:color="auto" w:fill="FFFFFF"/>
        </w:rPr>
        <w:t>完成无损复装。</w:t>
      </w:r>
      <w:r>
        <w:rPr>
          <w:rFonts w:ascii="宋体" w:hAnsi="宋体"/>
          <w:color w:val="auto"/>
          <w:sz w:val="24"/>
          <w:highlight w:val="none"/>
          <w:shd w:val="clear" w:color="auto" w:fill="FFFFFF"/>
        </w:rPr>
        <w:t>随时提供图片或视频资料，并邀请甲方人员参与全过程跟踪和监督。</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w:t>
      </w:r>
      <w:r>
        <w:rPr>
          <w:rFonts w:ascii="宋体" w:hAnsi="宋体"/>
          <w:color w:val="auto"/>
          <w:sz w:val="24"/>
          <w:highlight w:val="none"/>
          <w:shd w:val="clear" w:color="auto" w:fill="FFFFFF"/>
        </w:rPr>
        <w:t>）其</w:t>
      </w:r>
      <w:r>
        <w:rPr>
          <w:rFonts w:hint="eastAsia" w:ascii="宋体" w:hAnsi="宋体"/>
          <w:color w:val="auto"/>
          <w:sz w:val="24"/>
          <w:highlight w:val="none"/>
          <w:shd w:val="clear" w:color="auto" w:fill="FFFFFF"/>
        </w:rPr>
        <w:t>它</w:t>
      </w:r>
      <w:r>
        <w:rPr>
          <w:rFonts w:ascii="宋体" w:hAnsi="宋体"/>
          <w:color w:val="auto"/>
          <w:sz w:val="24"/>
          <w:highlight w:val="none"/>
          <w:shd w:val="clear" w:color="auto" w:fill="FFFFFF"/>
        </w:rPr>
        <w:t>设施设备及文件资料，乙方需按合同中的设备清单、技术参数和文件资料要求，以及投标文件中承诺的各个服务项目，送达</w:t>
      </w:r>
      <w:r>
        <w:rPr>
          <w:rFonts w:hint="eastAsia" w:ascii="宋体" w:hAnsi="宋体"/>
          <w:color w:val="auto"/>
          <w:sz w:val="24"/>
          <w:highlight w:val="none"/>
          <w:shd w:val="clear" w:color="auto" w:fill="FFFFFF"/>
        </w:rPr>
        <w:t>甲方</w:t>
      </w:r>
      <w:r>
        <w:rPr>
          <w:rFonts w:ascii="宋体" w:hAnsi="宋体"/>
          <w:color w:val="auto"/>
          <w:sz w:val="24"/>
          <w:highlight w:val="none"/>
          <w:shd w:val="clear" w:color="auto" w:fill="FFFFFF"/>
        </w:rPr>
        <w:t>指定地点并进行安装调试。</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（六）飞机技术状态验收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组装后验收需要飞机在必要地面设备辅助下，</w:t>
      </w:r>
      <w:r>
        <w:rPr>
          <w:rFonts w:ascii="宋体" w:hAnsi="宋体"/>
          <w:color w:val="auto"/>
          <w:sz w:val="24"/>
          <w:highlight w:val="none"/>
          <w:shd w:val="clear" w:color="auto" w:fill="FFFFFF"/>
        </w:rPr>
        <w:t>要求飞机</w:t>
      </w:r>
      <w:r>
        <w:rPr>
          <w:rFonts w:hint="eastAsia" w:ascii="宋体" w:hAnsi="宋体"/>
          <w:color w:val="auto"/>
          <w:sz w:val="24"/>
          <w:highlight w:val="none"/>
          <w:shd w:val="clear" w:color="auto" w:fill="FFFFFF"/>
        </w:rPr>
        <w:t>状态良好，能够通电、通液压、空调冷气正常；</w:t>
      </w:r>
      <w:r>
        <w:rPr>
          <w:rFonts w:ascii="宋体" w:hAnsi="宋体"/>
          <w:color w:val="auto"/>
          <w:sz w:val="24"/>
          <w:highlight w:val="none"/>
          <w:shd w:val="clear" w:color="auto" w:fill="FFFFFF"/>
        </w:rPr>
        <w:t>驾驶舱、客舱、电子舱、空调舱、起落架舱</w:t>
      </w:r>
      <w:r>
        <w:rPr>
          <w:rFonts w:hint="eastAsia" w:ascii="宋体" w:hAnsi="宋体"/>
          <w:color w:val="auto"/>
          <w:sz w:val="24"/>
          <w:highlight w:val="none"/>
          <w:shd w:val="clear" w:color="auto" w:fill="FFFFFF"/>
        </w:rPr>
        <w:t>、APU舱</w:t>
      </w:r>
      <w:r>
        <w:rPr>
          <w:rFonts w:ascii="宋体" w:hAnsi="宋体"/>
          <w:color w:val="auto"/>
          <w:sz w:val="24"/>
          <w:highlight w:val="none"/>
          <w:shd w:val="clear" w:color="auto" w:fill="FFFFFF"/>
        </w:rPr>
        <w:t>能够实现通电、测试、勤务、排故</w:t>
      </w:r>
      <w:r>
        <w:rPr>
          <w:rFonts w:hint="eastAsia" w:ascii="宋体" w:hAnsi="宋体"/>
          <w:color w:val="auto"/>
          <w:sz w:val="24"/>
          <w:highlight w:val="none"/>
          <w:shd w:val="clear" w:color="auto" w:fill="FFFFFF"/>
        </w:rPr>
        <w:t>等功能；飞机各舵面能够正常操纵（部件及结构完整在位、状态良好，飞机通电、液压增压、空调功能正常，电子电气系统功能测试、飞控系统、刹车系统及舱门等液压作动部件的操作测试正常）。具体应满足附件二《飞机验收标准》。</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（七）售后服务与技术培训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w:t>
      </w:r>
      <w:r>
        <w:rPr>
          <w:rFonts w:ascii="宋体" w:hAnsi="宋体"/>
          <w:color w:val="auto"/>
          <w:sz w:val="24"/>
          <w:highlight w:val="none"/>
          <w:shd w:val="clear" w:color="auto" w:fill="FFFFFF"/>
        </w:rPr>
        <w:t>.</w:t>
      </w:r>
      <w:r>
        <w:rPr>
          <w:rFonts w:hint="eastAsia" w:ascii="宋体" w:hAnsi="宋体"/>
          <w:color w:val="auto"/>
          <w:sz w:val="24"/>
          <w:highlight w:val="none"/>
          <w:shd w:val="clear" w:color="auto" w:fill="FFFFFF"/>
        </w:rPr>
        <w:t>售后维护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（1）自完成验收算起提供售后质保，售后质保不少于3年；</w:t>
      </w:r>
      <w:r>
        <w:rPr>
          <w:rFonts w:ascii="宋体" w:hAnsi="宋体"/>
          <w:color w:val="auto"/>
          <w:sz w:val="24"/>
          <w:highlight w:val="none"/>
          <w:shd w:val="clear" w:color="auto" w:fill="FFFFFF"/>
        </w:rPr>
        <w:t xml:space="preserve"> </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）给客户提供一套维修方案，该方案应能够确保长期停放过程中飞机结构完整性和安全性，且飞机结构、线路、管路及系统性能满足培训项目开展需求；</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（3）▲售后期内的售后维护耗材、维修人员差旅、技术服务费用由中标方提供。</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w:t>
      </w:r>
      <w:r>
        <w:rPr>
          <w:rFonts w:ascii="宋体" w:hAnsi="宋体"/>
          <w:color w:val="auto"/>
          <w:sz w:val="24"/>
          <w:highlight w:val="none"/>
          <w:shd w:val="clear" w:color="auto" w:fill="FFFFFF"/>
        </w:rPr>
        <w:t>.</w:t>
      </w:r>
      <w:r>
        <w:rPr>
          <w:rFonts w:hint="eastAsia" w:ascii="宋体" w:hAnsi="宋体"/>
          <w:color w:val="auto"/>
          <w:sz w:val="24"/>
          <w:highlight w:val="none"/>
          <w:shd w:val="clear" w:color="auto" w:fill="FFFFFF"/>
        </w:rPr>
        <w:t>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1</w:t>
      </w:r>
      <w:r>
        <w:rPr>
          <w:rFonts w:hint="eastAsia" w:ascii="宋体" w:hAnsi="宋体"/>
          <w:color w:val="auto"/>
          <w:sz w:val="24"/>
          <w:highlight w:val="none"/>
          <w:shd w:val="clear" w:color="auto" w:fill="FFFFFF"/>
        </w:rPr>
        <w:t>）提供与投标机型相符合的飞机机型培训课件，包含配备的发动机部分培训课件（该课件为C</w:t>
      </w:r>
      <w:r>
        <w:rPr>
          <w:rFonts w:ascii="宋体" w:hAnsi="宋体"/>
          <w:color w:val="auto"/>
          <w:sz w:val="24"/>
          <w:highlight w:val="none"/>
          <w:shd w:val="clear" w:color="auto" w:fill="FFFFFF"/>
        </w:rPr>
        <w:t>CAR147</w:t>
      </w:r>
      <w:r>
        <w:rPr>
          <w:rFonts w:hint="eastAsia" w:ascii="宋体" w:hAnsi="宋体"/>
          <w:color w:val="auto"/>
          <w:sz w:val="24"/>
          <w:highlight w:val="none"/>
          <w:shd w:val="clear" w:color="auto" w:fill="FFFFFF"/>
        </w:rPr>
        <w:t>培训单位最新批准课件）。</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）派驻具有该机型培训资质的教员，进校内对我校的专业教师进行机型知识熟悉培训。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）▲提供投标机型外送培训名额不少于6个（外送或合作培训机构拥有CCAR147部《民用航空器维修培训机构合格审定规定》资质及相关机型的培训能力，外送培训培训学员可取得局方认可的CCAR147机型培训证书）。</w:t>
      </w:r>
    </w:p>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spacing w:line="276" w:lineRule="auto"/>
        <w:rPr>
          <w:rFonts w:ascii="宋体" w:hAnsi="宋体"/>
          <w:color w:val="auto"/>
          <w:sz w:val="24"/>
          <w:highlight w:val="none"/>
          <w:shd w:val="clear" w:color="auto" w:fill="FFFFFF"/>
        </w:rPr>
      </w:pPr>
      <w:r>
        <w:rPr>
          <w:rFonts w:hint="eastAsia" w:ascii="宋体" w:hAnsi="宋体"/>
          <w:b/>
          <w:bCs/>
          <w:color w:val="auto"/>
          <w:sz w:val="24"/>
          <w:highlight w:val="none"/>
          <w:shd w:val="clear" w:color="auto" w:fill="FFFFFF"/>
        </w:rPr>
        <w:t>附件一</w:t>
      </w:r>
      <w:r>
        <w:rPr>
          <w:rFonts w:hint="eastAsia" w:ascii="宋体" w:hAnsi="宋体"/>
          <w:color w:val="auto"/>
          <w:sz w:val="24"/>
          <w:highlight w:val="none"/>
          <w:shd w:val="clear" w:color="auto" w:fill="FFFFFF"/>
        </w:rPr>
        <w:t>飞机部件清单部分（以民航局最后一次批准的飞机自有清单为准，若飞机部件与民航局最后一次批准的飞机自有清单不一致需提供件号符合适航标准的证明文件）</w:t>
      </w:r>
    </w:p>
    <w:tbl>
      <w:tblPr>
        <w:tblStyle w:val="62"/>
        <w:tblW w:w="5000" w:type="pct"/>
        <w:tblInd w:w="0" w:type="dxa"/>
        <w:tblLayout w:type="autofit"/>
        <w:tblCellMar>
          <w:top w:w="0" w:type="dxa"/>
          <w:left w:w="108" w:type="dxa"/>
          <w:bottom w:w="0" w:type="dxa"/>
          <w:right w:w="108" w:type="dxa"/>
        </w:tblCellMar>
      </w:tblPr>
      <w:tblGrid>
        <w:gridCol w:w="894"/>
        <w:gridCol w:w="4312"/>
        <w:gridCol w:w="3017"/>
        <w:gridCol w:w="1720"/>
        <w:gridCol w:w="20"/>
      </w:tblGrid>
      <w:tr>
        <w:tblPrEx>
          <w:tblCellMar>
            <w:top w:w="0" w:type="dxa"/>
            <w:left w:w="108" w:type="dxa"/>
            <w:bottom w:w="0" w:type="dxa"/>
            <w:right w:w="108" w:type="dxa"/>
          </w:tblCellMar>
        </w:tblPrEx>
        <w:trPr>
          <w:trHeight w:val="1099" w:hRule="atLeast"/>
        </w:trPr>
        <w:tc>
          <w:tcPr>
            <w:tcW w:w="5000" w:type="pct"/>
            <w:gridSpan w:val="5"/>
            <w:tcBorders>
              <w:top w:val="nil"/>
              <w:left w:val="nil"/>
              <w:bottom w:val="single" w:color="auto" w:sz="4" w:space="0"/>
              <w:right w:val="nil"/>
            </w:tcBorders>
            <w:shd w:val="clear" w:color="auto" w:fill="auto"/>
            <w:vAlign w:val="center"/>
          </w:tcPr>
          <w:p>
            <w:pPr>
              <w:widowControl/>
              <w:spacing w:line="276" w:lineRule="auto"/>
              <w:jc w:val="center"/>
              <w:rPr>
                <w:rFonts w:ascii="宋体" w:hAnsi="宋体" w:cs="Arial"/>
                <w:b/>
                <w:bCs/>
                <w:color w:val="auto"/>
                <w:kern w:val="0"/>
                <w:sz w:val="36"/>
                <w:szCs w:val="36"/>
                <w:highlight w:val="none"/>
              </w:rPr>
            </w:pPr>
            <w:bookmarkStart w:id="33" w:name="RANGE!B1:E195"/>
            <w:r>
              <w:rPr>
                <w:rFonts w:hint="eastAsia" w:ascii="宋体" w:hAnsi="宋体" w:cs="Arial"/>
                <w:b/>
                <w:bCs/>
                <w:color w:val="auto"/>
                <w:kern w:val="0"/>
                <w:sz w:val="36"/>
                <w:szCs w:val="36"/>
                <w:highlight w:val="none"/>
              </w:rPr>
              <w:t>飞机部件清单</w:t>
            </w:r>
            <w:bookmarkEnd w:id="33"/>
          </w:p>
        </w:tc>
      </w:tr>
      <w:tr>
        <w:tblPrEx>
          <w:tblCellMar>
            <w:top w:w="0" w:type="dxa"/>
            <w:left w:w="108" w:type="dxa"/>
            <w:bottom w:w="0" w:type="dxa"/>
            <w:right w:w="108" w:type="dxa"/>
          </w:tblCellMar>
        </w:tblPrEx>
        <w:trPr>
          <w:gridAfter w:val="1"/>
          <w:wAfter w:w="7" w:type="pct"/>
          <w:trHeight w:val="834"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部件名称</w:t>
            </w:r>
          </w:p>
        </w:tc>
        <w:tc>
          <w:tcPr>
            <w:tcW w:w="151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要求</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排气风扇</w:t>
            </w:r>
            <w:r>
              <w:rPr>
                <w:rFonts w:ascii="宋体" w:hAnsi="宋体" w:cs="Arial"/>
                <w:color w:val="auto"/>
                <w:kern w:val="0"/>
                <w:szCs w:val="21"/>
                <w:highlight w:val="none"/>
              </w:rPr>
              <w:t>FAN,EXTRACTION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温度控制器</w:t>
            </w:r>
            <w:r>
              <w:rPr>
                <w:rFonts w:ascii="宋体" w:hAnsi="宋体" w:cs="Arial"/>
                <w:color w:val="auto"/>
                <w:kern w:val="0"/>
                <w:szCs w:val="21"/>
                <w:highlight w:val="none"/>
              </w:rPr>
              <w:t>CONTROLLER,PACKTEMP.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应急冲压空气涡轮作动器</w:t>
            </w:r>
            <w:r>
              <w:rPr>
                <w:rFonts w:ascii="宋体" w:hAnsi="宋体" w:cs="Arial"/>
                <w:color w:val="auto"/>
                <w:kern w:val="0"/>
                <w:szCs w:val="21"/>
                <w:highlight w:val="none"/>
              </w:rPr>
              <w:t>ACTUATOR,EMER.RAMAIR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流量控制活门</w:t>
            </w:r>
            <w:r>
              <w:rPr>
                <w:rFonts w:ascii="宋体" w:hAnsi="宋体" w:cs="Arial"/>
                <w:color w:val="auto"/>
                <w:kern w:val="0"/>
                <w:szCs w:val="21"/>
                <w:highlight w:val="none"/>
              </w:rPr>
              <w:t>VALVE,FLOWCONTROL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冲压空气进气门作动器</w:t>
            </w:r>
            <w:r>
              <w:rPr>
                <w:rFonts w:ascii="宋体" w:hAnsi="宋体" w:cs="Arial"/>
                <w:color w:val="auto"/>
                <w:kern w:val="0"/>
                <w:szCs w:val="21"/>
                <w:highlight w:val="none"/>
              </w:rPr>
              <w:t>ACTUATOR,RAMA.INLET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区域温度控制器</w:t>
            </w:r>
            <w:r>
              <w:rPr>
                <w:rFonts w:ascii="宋体" w:hAnsi="宋体" w:cs="Arial"/>
                <w:color w:val="auto"/>
                <w:kern w:val="0"/>
                <w:szCs w:val="21"/>
                <w:highlight w:val="none"/>
              </w:rPr>
              <w:t>CONTROLLER,ZONETEMP.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冲压空气出口作动器</w:t>
            </w:r>
            <w:r>
              <w:rPr>
                <w:rFonts w:ascii="宋体" w:hAnsi="宋体" w:cs="Arial"/>
                <w:color w:val="auto"/>
                <w:kern w:val="0"/>
                <w:szCs w:val="21"/>
                <w:highlight w:val="none"/>
              </w:rPr>
              <w:t>ACTUATOR,RAMA.OUTLET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货舱加温控制器</w:t>
            </w:r>
            <w:r>
              <w:rPr>
                <w:rFonts w:ascii="宋体" w:hAnsi="宋体" w:cs="Arial"/>
                <w:color w:val="auto"/>
                <w:kern w:val="0"/>
                <w:szCs w:val="21"/>
                <w:highlight w:val="none"/>
              </w:rPr>
              <w:t>CONTROLLER,CARGO-HEAT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外溢流活门</w:t>
            </w:r>
            <w:r>
              <w:rPr>
                <w:rFonts w:ascii="宋体" w:hAnsi="宋体" w:cs="Arial"/>
                <w:color w:val="auto"/>
                <w:kern w:val="0"/>
                <w:szCs w:val="21"/>
                <w:highlight w:val="none"/>
              </w:rPr>
              <w:t>VALVE,OUTFLOW</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空调组件</w:t>
            </w:r>
            <w:r>
              <w:rPr>
                <w:rFonts w:ascii="宋体" w:hAnsi="宋体" w:cs="Arial"/>
                <w:color w:val="auto"/>
                <w:kern w:val="0"/>
                <w:szCs w:val="21"/>
                <w:highlight w:val="none"/>
              </w:rPr>
              <w:t>PACK,AIRCONDITIONING</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货舱通气控制器</w:t>
            </w:r>
            <w:r>
              <w:rPr>
                <w:rFonts w:ascii="宋体" w:hAnsi="宋体" w:cs="Arial"/>
                <w:color w:val="auto"/>
                <w:kern w:val="0"/>
                <w:szCs w:val="21"/>
                <w:highlight w:val="none"/>
              </w:rPr>
              <w:t>CONTROLLER,CARGOVENT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电子设备舱通风计算机</w:t>
            </w:r>
            <w:r>
              <w:rPr>
                <w:rFonts w:ascii="宋体" w:hAnsi="宋体" w:cs="Arial"/>
                <w:color w:val="auto"/>
                <w:kern w:val="0"/>
                <w:szCs w:val="21"/>
                <w:highlight w:val="none"/>
              </w:rPr>
              <w:t>AVNCSEQPTVENTCOMPUTER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流量控制活门</w:t>
            </w:r>
            <w:r>
              <w:rPr>
                <w:rFonts w:ascii="宋体" w:hAnsi="宋体" w:cs="Arial"/>
                <w:color w:val="auto"/>
                <w:kern w:val="0"/>
                <w:szCs w:val="21"/>
                <w:highlight w:val="none"/>
              </w:rPr>
              <w:t>VALVE,FLOWCONTROL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压力调节活门</w:t>
            </w:r>
            <w:r>
              <w:rPr>
                <w:rFonts w:ascii="宋体" w:hAnsi="宋体" w:cs="Arial"/>
                <w:color w:val="auto"/>
                <w:kern w:val="0"/>
                <w:szCs w:val="21"/>
                <w:highlight w:val="none"/>
              </w:rPr>
              <w:t>VALVE,PRESS.REG.</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压力控制器</w:t>
            </w:r>
            <w:r>
              <w:rPr>
                <w:rFonts w:ascii="宋体" w:hAnsi="宋体" w:cs="Arial"/>
                <w:color w:val="auto"/>
                <w:kern w:val="0"/>
                <w:szCs w:val="21"/>
                <w:highlight w:val="none"/>
              </w:rPr>
              <w:t>CONTROLLER,PRESS.</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空调组件</w:t>
            </w:r>
            <w:r>
              <w:rPr>
                <w:rFonts w:ascii="宋体" w:hAnsi="宋体" w:cs="Arial"/>
                <w:color w:val="auto"/>
                <w:kern w:val="0"/>
                <w:szCs w:val="21"/>
                <w:highlight w:val="none"/>
              </w:rPr>
              <w:t>PACK,AIRCONDITIONING</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热空气配平活门</w:t>
            </w:r>
            <w:r>
              <w:rPr>
                <w:rFonts w:ascii="宋体" w:hAnsi="宋体" w:cs="Arial"/>
                <w:color w:val="auto"/>
                <w:kern w:val="0"/>
                <w:szCs w:val="21"/>
                <w:highlight w:val="none"/>
              </w:rPr>
              <w:t>HOTAIRTRIMVALVE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压力控制器</w:t>
            </w:r>
            <w:r>
              <w:rPr>
                <w:rFonts w:ascii="宋体" w:hAnsi="宋体" w:cs="Arial"/>
                <w:color w:val="auto"/>
                <w:kern w:val="0"/>
                <w:szCs w:val="21"/>
                <w:highlight w:val="none"/>
              </w:rPr>
              <w:t>CONTROLLER,PRESS.</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SENSOR,DUCT.TEMP.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配平空气活门</w:t>
            </w:r>
            <w:r>
              <w:rPr>
                <w:rFonts w:ascii="宋体" w:hAnsi="宋体" w:cs="Arial"/>
                <w:color w:val="auto"/>
                <w:kern w:val="0"/>
                <w:szCs w:val="21"/>
                <w:highlight w:val="none"/>
              </w:rPr>
              <w:t>VALVE,TRIMAIR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SENSOR,DUCT.TEMP.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再循环风扇</w:t>
            </w:r>
            <w:r>
              <w:rPr>
                <w:rFonts w:ascii="宋体" w:hAnsi="宋体" w:cs="Arial"/>
                <w:color w:val="auto"/>
                <w:kern w:val="0"/>
                <w:szCs w:val="21"/>
                <w:highlight w:val="none"/>
              </w:rPr>
              <w:t>FAN,RECIRCULATION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配平空气压力活门</w:t>
            </w:r>
            <w:r>
              <w:rPr>
                <w:rFonts w:ascii="宋体" w:hAnsi="宋体" w:cs="Arial"/>
                <w:color w:val="auto"/>
                <w:kern w:val="0"/>
                <w:szCs w:val="21"/>
                <w:highlight w:val="none"/>
              </w:rPr>
              <w:t>VALVE,TRIMAIRPRESS.</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温度选择器</w:t>
            </w:r>
            <w:r>
              <w:rPr>
                <w:rFonts w:ascii="宋体" w:hAnsi="宋体" w:cs="Arial"/>
                <w:color w:val="auto"/>
                <w:kern w:val="0"/>
                <w:szCs w:val="21"/>
                <w:highlight w:val="none"/>
              </w:rPr>
              <w:t>SELECTOR,TEMP.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再循环风扇</w:t>
            </w:r>
            <w:r>
              <w:rPr>
                <w:rFonts w:ascii="宋体" w:hAnsi="宋体" w:cs="Arial"/>
                <w:color w:val="auto"/>
                <w:kern w:val="0"/>
                <w:szCs w:val="21"/>
                <w:highlight w:val="none"/>
              </w:rPr>
              <w:t>FAN,RECIRCULATION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单向活门</w:t>
            </w:r>
            <w:r>
              <w:rPr>
                <w:rFonts w:ascii="宋体" w:hAnsi="宋体" w:cs="Arial"/>
                <w:color w:val="auto"/>
                <w:kern w:val="0"/>
                <w:szCs w:val="21"/>
                <w:highlight w:val="none"/>
              </w:rPr>
              <w:t>VALVE,CHECK-DOWNSTR.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空气进气活门</w:t>
            </w:r>
            <w:r>
              <w:rPr>
                <w:rFonts w:ascii="宋体" w:hAnsi="宋体" w:cs="Arial"/>
                <w:color w:val="auto"/>
                <w:kern w:val="0"/>
                <w:szCs w:val="21"/>
                <w:highlight w:val="none"/>
              </w:rPr>
              <w:t>AIRINLETVALVE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单项活门</w:t>
            </w:r>
            <w:r>
              <w:rPr>
                <w:rFonts w:ascii="宋体" w:hAnsi="宋体" w:cs="Arial"/>
                <w:color w:val="auto"/>
                <w:kern w:val="0"/>
                <w:szCs w:val="21"/>
                <w:highlight w:val="none"/>
              </w:rPr>
              <w:t>VALVE,CHECK-DOWNSTR.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温度电门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管道过热电门</w:t>
            </w:r>
            <w:r>
              <w:rPr>
                <w:rFonts w:ascii="宋体" w:hAnsi="宋体" w:cs="Arial"/>
                <w:color w:val="auto"/>
                <w:kern w:val="0"/>
                <w:szCs w:val="21"/>
                <w:highlight w:val="none"/>
              </w:rPr>
              <w:t>SENSOR,DUCTOVERHEAT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配平活门</w:t>
            </w:r>
            <w:r>
              <w:rPr>
                <w:rFonts w:ascii="宋体" w:hAnsi="宋体" w:cs="Arial"/>
                <w:color w:val="auto"/>
                <w:kern w:val="0"/>
                <w:szCs w:val="21"/>
                <w:highlight w:val="none"/>
              </w:rPr>
              <w:t>VALVE,CHECKTRIMAIR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风扇</w:t>
            </w:r>
            <w:r>
              <w:rPr>
                <w:rFonts w:ascii="宋体" w:hAnsi="宋体" w:cs="Arial"/>
                <w:color w:val="auto"/>
                <w:kern w:val="0"/>
                <w:szCs w:val="21"/>
                <w:highlight w:val="none"/>
              </w:rPr>
              <w:t>FAN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管道过热传感器</w:t>
            </w:r>
            <w:r>
              <w:rPr>
                <w:rFonts w:ascii="宋体" w:hAnsi="宋体" w:cs="Arial"/>
                <w:color w:val="auto"/>
                <w:kern w:val="0"/>
                <w:szCs w:val="21"/>
                <w:highlight w:val="none"/>
              </w:rPr>
              <w:t>SENSOR,DUCTOVERHEAT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单向配平活门</w:t>
            </w:r>
            <w:r>
              <w:rPr>
                <w:rFonts w:ascii="宋体" w:hAnsi="宋体" w:cs="Arial"/>
                <w:color w:val="auto"/>
                <w:kern w:val="0"/>
                <w:szCs w:val="21"/>
                <w:highlight w:val="none"/>
              </w:rPr>
              <w:t>VALVE,CHECKTRIMAIR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旋转作动器</w:t>
            </w:r>
            <w:r>
              <w:rPr>
                <w:rFonts w:ascii="宋体" w:hAnsi="宋体" w:cs="Arial"/>
                <w:color w:val="auto"/>
                <w:kern w:val="0"/>
                <w:szCs w:val="21"/>
                <w:highlight w:val="none"/>
              </w:rPr>
              <w:t>ACTUATOR,ROTARY</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管道过热传感器</w:t>
            </w:r>
            <w:r>
              <w:rPr>
                <w:rFonts w:ascii="宋体" w:hAnsi="宋体" w:cs="Arial"/>
                <w:color w:val="auto"/>
                <w:kern w:val="0"/>
                <w:szCs w:val="21"/>
                <w:highlight w:val="none"/>
              </w:rPr>
              <w:t>SENSOR,DUCTOVERHEAT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着陆高度选择电门</w:t>
            </w:r>
            <w:r>
              <w:rPr>
                <w:rFonts w:ascii="宋体" w:hAnsi="宋体" w:cs="Arial"/>
                <w:color w:val="auto"/>
                <w:kern w:val="0"/>
                <w:szCs w:val="21"/>
                <w:highlight w:val="none"/>
              </w:rPr>
              <w:t>SELECTOR,LDG.FIELDEL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引射泵</w:t>
            </w:r>
            <w:r>
              <w:rPr>
                <w:rFonts w:ascii="宋体" w:hAnsi="宋体" w:cs="Arial"/>
                <w:color w:val="auto"/>
                <w:kern w:val="0"/>
                <w:szCs w:val="21"/>
                <w:highlight w:val="none"/>
              </w:rPr>
              <w:t>INJECTOR,WATER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风扇</w:t>
            </w:r>
            <w:r>
              <w:rPr>
                <w:rFonts w:ascii="宋体" w:hAnsi="宋体" w:cs="Arial"/>
                <w:color w:val="auto"/>
                <w:kern w:val="0"/>
                <w:szCs w:val="21"/>
                <w:highlight w:val="none"/>
              </w:rPr>
              <w:t>FAN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引射泵</w:t>
            </w:r>
            <w:r>
              <w:rPr>
                <w:rFonts w:ascii="宋体" w:hAnsi="宋体" w:cs="Arial"/>
                <w:color w:val="auto"/>
                <w:kern w:val="0"/>
                <w:szCs w:val="21"/>
                <w:highlight w:val="none"/>
              </w:rPr>
              <w:t>INJECTOR,WATER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空气出口活门</w:t>
            </w:r>
            <w:r>
              <w:rPr>
                <w:rFonts w:ascii="宋体" w:hAnsi="宋体" w:cs="Arial"/>
                <w:color w:val="auto"/>
                <w:kern w:val="0"/>
                <w:szCs w:val="21"/>
                <w:highlight w:val="none"/>
              </w:rPr>
              <w:t>AIROUTLETVALVE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SENSOR,MIX.TEMP.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蝶形活门</w:t>
            </w:r>
            <w:r>
              <w:rPr>
                <w:rFonts w:ascii="宋体" w:hAnsi="宋体" w:cs="Arial"/>
                <w:color w:val="auto"/>
                <w:kern w:val="0"/>
                <w:szCs w:val="21"/>
                <w:highlight w:val="none"/>
              </w:rPr>
              <w:t>AIRBUTTERFLYVALVE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SENSOR,MIX.TEMP.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热空气压力电门</w:t>
            </w:r>
            <w:r>
              <w:rPr>
                <w:rFonts w:ascii="宋体" w:hAnsi="宋体" w:cs="Arial"/>
                <w:color w:val="auto"/>
                <w:kern w:val="0"/>
                <w:szCs w:val="21"/>
                <w:highlight w:val="none"/>
              </w:rPr>
              <w:t>SWITCH,PRESS.HOTAIR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管道温度传感器</w:t>
            </w:r>
            <w:r>
              <w:rPr>
                <w:rFonts w:ascii="宋体" w:hAnsi="宋体" w:cs="Arial"/>
                <w:color w:val="auto"/>
                <w:kern w:val="0"/>
                <w:szCs w:val="21"/>
                <w:highlight w:val="none"/>
              </w:rPr>
              <w:t>DUCTTEMPERATURESENSOR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组件温度控制器</w:t>
            </w:r>
            <w:r>
              <w:rPr>
                <w:rFonts w:ascii="宋体" w:hAnsi="宋体" w:cs="Arial"/>
                <w:color w:val="auto"/>
                <w:kern w:val="0"/>
                <w:szCs w:val="21"/>
                <w:highlight w:val="none"/>
              </w:rPr>
              <w:t>CONTROLLER,PACKTEMP.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冲压空气进口作动器</w:t>
            </w:r>
            <w:r>
              <w:rPr>
                <w:rFonts w:ascii="宋体" w:hAnsi="宋体" w:cs="Arial"/>
                <w:color w:val="auto"/>
                <w:kern w:val="0"/>
                <w:szCs w:val="21"/>
                <w:highlight w:val="none"/>
              </w:rPr>
              <w:t>ACTUATOR,RAMA.INLET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蒙皮温度传感器</w:t>
            </w:r>
            <w:r>
              <w:rPr>
                <w:rFonts w:ascii="宋体" w:hAnsi="宋体" w:cs="Arial"/>
                <w:color w:val="auto"/>
                <w:kern w:val="0"/>
                <w:szCs w:val="21"/>
                <w:highlight w:val="none"/>
              </w:rPr>
              <w:t>SKINTEMPERATURESENSOR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冲压空气出口作动器</w:t>
            </w:r>
            <w:r>
              <w:rPr>
                <w:rFonts w:ascii="宋体" w:hAnsi="宋体" w:cs="Arial"/>
                <w:color w:val="auto"/>
                <w:kern w:val="0"/>
                <w:szCs w:val="21"/>
                <w:highlight w:val="none"/>
              </w:rPr>
              <w:t>ACTUATOR,RAMA.OUTLET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温度选择电门</w:t>
            </w:r>
            <w:r>
              <w:rPr>
                <w:rFonts w:ascii="宋体" w:hAnsi="宋体" w:cs="Arial"/>
                <w:color w:val="auto"/>
                <w:kern w:val="0"/>
                <w:szCs w:val="21"/>
                <w:highlight w:val="none"/>
              </w:rPr>
              <w:t>SELECTOR,TEMP.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压力电门</w:t>
            </w:r>
            <w:r>
              <w:rPr>
                <w:rFonts w:ascii="宋体" w:hAnsi="宋体" w:cs="Arial"/>
                <w:color w:val="auto"/>
                <w:kern w:val="0"/>
                <w:szCs w:val="21"/>
                <w:highlight w:val="none"/>
              </w:rPr>
              <w:t>PRESSURESWITCH</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隔离活门</w:t>
            </w:r>
            <w:r>
              <w:rPr>
                <w:rFonts w:ascii="宋体" w:hAnsi="宋体" w:cs="Arial"/>
                <w:color w:val="auto"/>
                <w:kern w:val="0"/>
                <w:szCs w:val="21"/>
                <w:highlight w:val="none"/>
              </w:rPr>
              <w:t>VALVE,ISOLATION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隔离活门</w:t>
            </w:r>
            <w:r>
              <w:rPr>
                <w:rFonts w:ascii="宋体" w:hAnsi="宋体" w:cs="Arial"/>
                <w:color w:val="auto"/>
                <w:kern w:val="0"/>
                <w:szCs w:val="21"/>
                <w:highlight w:val="none"/>
              </w:rPr>
              <w:t>VALVE,ISOLATION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排气风扇</w:t>
            </w:r>
            <w:r>
              <w:rPr>
                <w:rFonts w:ascii="宋体" w:hAnsi="宋体" w:cs="Arial"/>
                <w:color w:val="auto"/>
                <w:kern w:val="0"/>
                <w:szCs w:val="21"/>
                <w:highlight w:val="none"/>
              </w:rPr>
              <w:t>FAN,EXTRACTION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压力传感器</w:t>
            </w:r>
            <w:r>
              <w:rPr>
                <w:rFonts w:ascii="宋体" w:hAnsi="宋体" w:cs="Arial"/>
                <w:color w:val="auto"/>
                <w:kern w:val="0"/>
                <w:szCs w:val="21"/>
                <w:highlight w:val="none"/>
              </w:rPr>
              <w:t>SENSOR,PRESSURE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温度传感器</w:t>
            </w:r>
            <w:r>
              <w:rPr>
                <w:rFonts w:ascii="宋体" w:hAnsi="宋体" w:cs="Arial"/>
                <w:color w:val="auto"/>
                <w:kern w:val="0"/>
                <w:szCs w:val="21"/>
                <w:highlight w:val="none"/>
              </w:rPr>
              <w:t>SENSOR,TEMP.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单向活门</w:t>
            </w:r>
            <w:r>
              <w:rPr>
                <w:rFonts w:ascii="宋体" w:hAnsi="宋体" w:cs="Arial"/>
                <w:color w:val="auto"/>
                <w:kern w:val="0"/>
                <w:szCs w:val="21"/>
                <w:highlight w:val="none"/>
              </w:rPr>
              <w:t>AIRCHECKVALVE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气滤</w:t>
            </w:r>
            <w:r>
              <w:rPr>
                <w:rFonts w:ascii="宋体" w:hAnsi="宋体" w:cs="Arial"/>
                <w:color w:val="auto"/>
                <w:kern w:val="0"/>
                <w:szCs w:val="21"/>
                <w:highlight w:val="none"/>
              </w:rPr>
              <w:t>FILTERCARTRIDGE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单向</w:t>
            </w:r>
            <w:r>
              <w:rPr>
                <w:rFonts w:ascii="宋体" w:hAnsi="宋体" w:cs="Arial"/>
                <w:color w:val="auto"/>
                <w:kern w:val="0"/>
                <w:szCs w:val="21"/>
                <w:highlight w:val="none"/>
              </w:rPr>
              <w:t>VALVE,CHECK-</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79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飞行管理计算机</w:t>
            </w:r>
            <w:r>
              <w:rPr>
                <w:rFonts w:ascii="宋体" w:hAnsi="宋体" w:cs="Arial"/>
                <w:color w:val="auto"/>
                <w:kern w:val="0"/>
                <w:szCs w:val="21"/>
                <w:highlight w:val="none"/>
              </w:rPr>
              <w:t>FLIGHTMANAGEMENTGUIDCOMP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飞行增稳计算机</w:t>
            </w:r>
            <w:r>
              <w:rPr>
                <w:rFonts w:ascii="宋体" w:hAnsi="宋体" w:cs="Arial"/>
                <w:color w:val="auto"/>
                <w:kern w:val="0"/>
                <w:szCs w:val="21"/>
                <w:highlight w:val="none"/>
              </w:rPr>
              <w:t>FLIGHTAUGMENTATIONCOMPUTER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飞行控制组件</w:t>
            </w:r>
            <w:r>
              <w:rPr>
                <w:rFonts w:ascii="宋体" w:hAnsi="宋体" w:cs="Arial"/>
                <w:color w:val="auto"/>
                <w:kern w:val="0"/>
                <w:szCs w:val="21"/>
                <w:highlight w:val="none"/>
              </w:rPr>
              <w:t>FLIGHTCONTROLUNIT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综合控制显示组件</w:t>
            </w:r>
            <w:r>
              <w:rPr>
                <w:rFonts w:ascii="宋体" w:hAnsi="宋体" w:cs="Arial"/>
                <w:color w:val="auto"/>
                <w:kern w:val="0"/>
                <w:szCs w:val="21"/>
                <w:highlight w:val="none"/>
              </w:rPr>
              <w:t>MCDU</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方向舵配平控制电门</w:t>
            </w:r>
            <w:r>
              <w:rPr>
                <w:rFonts w:ascii="宋体" w:hAnsi="宋体" w:cs="Arial"/>
                <w:color w:val="auto"/>
                <w:kern w:val="0"/>
                <w:szCs w:val="21"/>
                <w:highlight w:val="none"/>
              </w:rPr>
              <w:t>RUDDERTRIMCONTROLSWITCH</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方向舵配平指示器</w:t>
            </w:r>
            <w:r>
              <w:rPr>
                <w:rFonts w:ascii="宋体" w:hAnsi="宋体" w:cs="Arial"/>
                <w:color w:val="auto"/>
                <w:kern w:val="0"/>
                <w:szCs w:val="21"/>
                <w:highlight w:val="none"/>
              </w:rPr>
              <w:t>RUDDERTRIMINDICATOR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飞机通信寻址与报告系统管理组件</w:t>
            </w:r>
            <w:r>
              <w:rPr>
                <w:rFonts w:ascii="宋体" w:hAnsi="宋体" w:cs="Arial"/>
                <w:color w:val="auto"/>
                <w:kern w:val="0"/>
                <w:szCs w:val="21"/>
                <w:highlight w:val="none"/>
              </w:rPr>
              <w:t>ACARSMANAGEMENTUNIT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甚高频通讯收发机</w:t>
            </w:r>
            <w:r>
              <w:rPr>
                <w:rFonts w:ascii="宋体" w:hAnsi="宋体" w:cs="Arial"/>
                <w:color w:val="auto"/>
                <w:kern w:val="0"/>
                <w:szCs w:val="21"/>
                <w:highlight w:val="none"/>
              </w:rPr>
              <w:t>VHF/COMM.TRANSCEIVER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无线电管理面板</w:t>
            </w:r>
            <w:r>
              <w:rPr>
                <w:rFonts w:ascii="宋体" w:hAnsi="宋体" w:cs="Arial"/>
                <w:color w:val="auto"/>
                <w:kern w:val="0"/>
                <w:szCs w:val="21"/>
                <w:highlight w:val="none"/>
              </w:rPr>
              <w:t>RADIOMANAGEMENTPANEL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驾驶舱话音记录器</w:t>
            </w:r>
            <w:r>
              <w:rPr>
                <w:rFonts w:ascii="宋体" w:hAnsi="宋体" w:cs="Arial"/>
                <w:color w:val="auto"/>
                <w:kern w:val="0"/>
                <w:szCs w:val="21"/>
                <w:highlight w:val="none"/>
              </w:rPr>
              <w:t>COCKPITVOICERECORDER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89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音频管理组件</w:t>
            </w:r>
            <w:r>
              <w:rPr>
                <w:rFonts w:ascii="宋体" w:hAnsi="宋体" w:cs="Arial"/>
                <w:color w:val="auto"/>
                <w:kern w:val="0"/>
                <w:szCs w:val="21"/>
                <w:highlight w:val="none"/>
              </w:rPr>
              <w:t>AUDIOMANAGEMENTUNIT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音频控制面板</w:t>
            </w:r>
            <w:r>
              <w:rPr>
                <w:rFonts w:ascii="宋体" w:hAnsi="宋体" w:cs="Arial"/>
                <w:color w:val="auto"/>
                <w:kern w:val="0"/>
                <w:szCs w:val="21"/>
                <w:highlight w:val="none"/>
              </w:rPr>
              <w:t>AUDIOCONTROLPANEL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高频收发机</w:t>
            </w:r>
            <w:r>
              <w:rPr>
                <w:rFonts w:ascii="宋体" w:hAnsi="宋体" w:cs="Arial"/>
                <w:color w:val="auto"/>
                <w:kern w:val="0"/>
                <w:szCs w:val="21"/>
                <w:highlight w:val="none"/>
              </w:rPr>
              <w:t>HF/COMM.TRANSCEIVER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选址呼叫控制面板</w:t>
            </w:r>
            <w:r>
              <w:rPr>
                <w:rFonts w:ascii="宋体" w:hAnsi="宋体" w:cs="Arial"/>
                <w:color w:val="auto"/>
                <w:kern w:val="0"/>
                <w:szCs w:val="21"/>
                <w:highlight w:val="none"/>
              </w:rPr>
              <w:t>SELCALCODESELECTIONPANEL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客舱内部通信数据系统计算机</w:t>
            </w:r>
            <w:r>
              <w:rPr>
                <w:rFonts w:ascii="宋体" w:hAnsi="宋体" w:cs="Arial"/>
                <w:color w:val="auto"/>
                <w:kern w:val="0"/>
                <w:szCs w:val="21"/>
                <w:highlight w:val="none"/>
              </w:rPr>
              <w:t>CIDSDIRECTOR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程序面板</w:t>
            </w:r>
            <w:r>
              <w:rPr>
                <w:rFonts w:ascii="宋体" w:hAnsi="宋体" w:cs="Arial"/>
                <w:color w:val="auto"/>
                <w:kern w:val="0"/>
                <w:szCs w:val="21"/>
                <w:highlight w:val="none"/>
              </w:rPr>
              <w:t>PROGRAMA.TESTPANEL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旅客服务面板</w:t>
            </w:r>
            <w:r>
              <w:rPr>
                <w:rFonts w:ascii="宋体" w:hAnsi="宋体" w:cs="Arial"/>
                <w:color w:val="auto"/>
                <w:kern w:val="0"/>
                <w:szCs w:val="21"/>
                <w:highlight w:val="none"/>
              </w:rPr>
              <w:t>FAP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手持话筒</w:t>
            </w:r>
            <w:r>
              <w:rPr>
                <w:rFonts w:ascii="宋体" w:hAnsi="宋体" w:cs="Arial"/>
                <w:color w:val="auto"/>
                <w:kern w:val="0"/>
                <w:szCs w:val="21"/>
                <w:highlight w:val="none"/>
              </w:rPr>
              <w:t>HANDSET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电瓶充电器</w:t>
            </w:r>
            <w:r>
              <w:rPr>
                <w:rFonts w:ascii="宋体" w:hAnsi="宋体" w:cs="Arial"/>
                <w:color w:val="auto"/>
                <w:kern w:val="0"/>
                <w:szCs w:val="21"/>
                <w:highlight w:val="none"/>
              </w:rPr>
              <w:t>BATTERYCHARGELIMITER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发电机控制组件</w:t>
            </w:r>
            <w:r>
              <w:rPr>
                <w:rFonts w:ascii="宋体" w:hAnsi="宋体" w:cs="Arial"/>
                <w:color w:val="auto"/>
                <w:kern w:val="0"/>
                <w:szCs w:val="21"/>
                <w:highlight w:val="none"/>
              </w:rPr>
              <w:t>GENERATORCONTROLUNIT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99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地面电源控制组件</w:t>
            </w:r>
            <w:r>
              <w:rPr>
                <w:rFonts w:ascii="宋体" w:hAnsi="宋体" w:cs="Arial"/>
                <w:color w:val="auto"/>
                <w:kern w:val="0"/>
                <w:szCs w:val="21"/>
                <w:highlight w:val="none"/>
              </w:rPr>
              <w:t>GROUNDPOWERCONTROLUNIT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发电机控制组件</w:t>
            </w:r>
            <w:r>
              <w:rPr>
                <w:rFonts w:ascii="宋体" w:hAnsi="宋体" w:cs="Arial"/>
                <w:color w:val="auto"/>
                <w:kern w:val="0"/>
                <w:szCs w:val="21"/>
                <w:highlight w:val="none"/>
              </w:rPr>
              <w:t>GENERATORCONTROLUNIT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连接器</w:t>
            </w:r>
            <w:r>
              <w:rPr>
                <w:rFonts w:ascii="宋体" w:hAnsi="宋体" w:cs="Arial"/>
                <w:color w:val="auto"/>
                <w:kern w:val="0"/>
                <w:szCs w:val="21"/>
                <w:highlight w:val="none"/>
              </w:rPr>
              <w:t>CONTACTOR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静变流机</w:t>
            </w:r>
            <w:r>
              <w:rPr>
                <w:rFonts w:ascii="宋体" w:hAnsi="宋体" w:cs="Arial"/>
                <w:color w:val="auto"/>
                <w:kern w:val="0"/>
                <w:szCs w:val="21"/>
                <w:highlight w:val="none"/>
              </w:rPr>
              <w:t>STATICINVERTER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发电机备用电源控制组件</w:t>
            </w:r>
            <w:r>
              <w:rPr>
                <w:rFonts w:ascii="宋体" w:hAnsi="宋体" w:cs="Arial"/>
                <w:color w:val="auto"/>
                <w:kern w:val="0"/>
                <w:szCs w:val="21"/>
                <w:highlight w:val="none"/>
              </w:rPr>
              <w:t>GENAUXILIARYPOWERUNIT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滑梯SLIDE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厨房</w:t>
            </w:r>
            <w:r>
              <w:rPr>
                <w:rFonts w:ascii="宋体" w:hAnsi="宋体" w:cs="Arial"/>
                <w:color w:val="auto"/>
                <w:kern w:val="0"/>
                <w:szCs w:val="21"/>
                <w:highlight w:val="none"/>
              </w:rPr>
              <w:t>GALLEY</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烧水器</w:t>
            </w:r>
            <w:r>
              <w:rPr>
                <w:rFonts w:ascii="宋体" w:hAnsi="宋体" w:cs="Arial"/>
                <w:color w:val="auto"/>
                <w:kern w:val="0"/>
                <w:szCs w:val="21"/>
                <w:highlight w:val="none"/>
              </w:rPr>
              <w:t>WATERBOILER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5</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发动机</w:t>
            </w:r>
            <w:r>
              <w:rPr>
                <w:rFonts w:ascii="宋体" w:hAnsi="宋体" w:cs="Arial"/>
                <w:color w:val="auto"/>
                <w:kern w:val="0"/>
                <w:szCs w:val="21"/>
                <w:highlight w:val="none"/>
              </w:rPr>
              <w:t>APU</w:t>
            </w:r>
            <w:r>
              <w:rPr>
                <w:rFonts w:hint="eastAsia" w:ascii="宋体" w:hAnsi="宋体" w:cs="Arial"/>
                <w:color w:val="auto"/>
                <w:kern w:val="0"/>
                <w:szCs w:val="21"/>
                <w:highlight w:val="none"/>
              </w:rPr>
              <w:t>火警控制面板</w:t>
            </w:r>
            <w:r>
              <w:rPr>
                <w:rFonts w:ascii="宋体" w:hAnsi="宋体" w:cs="Arial"/>
                <w:color w:val="auto"/>
                <w:kern w:val="0"/>
                <w:szCs w:val="21"/>
                <w:highlight w:val="none"/>
              </w:rPr>
              <w:t>FIREPANELENGINEAPU</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火警探测组件</w:t>
            </w:r>
            <w:r>
              <w:rPr>
                <w:rFonts w:ascii="宋体" w:hAnsi="宋体" w:cs="Arial"/>
                <w:color w:val="auto"/>
                <w:kern w:val="0"/>
                <w:szCs w:val="21"/>
                <w:highlight w:val="none"/>
              </w:rPr>
              <w:t>FIREDETECTIONUNIT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吊架火警探测环路</w:t>
            </w:r>
            <w:r>
              <w:rPr>
                <w:rFonts w:ascii="宋体" w:hAnsi="宋体" w:cs="Arial"/>
                <w:color w:val="auto"/>
                <w:kern w:val="0"/>
                <w:szCs w:val="21"/>
                <w:highlight w:val="none"/>
              </w:rPr>
              <w:t>PYLONFIREDETECTOR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吊架火警探测环路</w:t>
            </w:r>
            <w:r>
              <w:rPr>
                <w:rFonts w:ascii="宋体" w:hAnsi="宋体" w:cs="Arial"/>
                <w:color w:val="auto"/>
                <w:kern w:val="0"/>
                <w:szCs w:val="21"/>
                <w:highlight w:val="none"/>
              </w:rPr>
              <w:t>PYLONFIREDETECTOR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烟雾探测控制组件</w:t>
            </w:r>
            <w:r>
              <w:rPr>
                <w:rFonts w:ascii="宋体" w:hAnsi="宋体" w:cs="Arial"/>
                <w:color w:val="auto"/>
                <w:kern w:val="0"/>
                <w:szCs w:val="21"/>
                <w:highlight w:val="none"/>
              </w:rPr>
              <w:t>SMOKEDET.CONTR.UNIT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火警探测组件</w:t>
            </w:r>
            <w:r>
              <w:rPr>
                <w:rFonts w:ascii="宋体" w:hAnsi="宋体" w:cs="Arial"/>
                <w:color w:val="auto"/>
                <w:kern w:val="0"/>
                <w:szCs w:val="21"/>
                <w:highlight w:val="none"/>
              </w:rPr>
              <w:t>FIREDETECTIONUNIT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火警过热探测器</w:t>
            </w:r>
            <w:r>
              <w:rPr>
                <w:rFonts w:ascii="宋体" w:hAnsi="宋体" w:cs="Arial"/>
                <w:color w:val="auto"/>
                <w:kern w:val="0"/>
                <w:szCs w:val="21"/>
                <w:highlight w:val="none"/>
              </w:rPr>
              <w:t>FIRE/OVHTDETECTOR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扰流板升降舵控制计算机</w:t>
            </w:r>
            <w:r>
              <w:rPr>
                <w:rFonts w:ascii="宋体" w:hAnsi="宋体" w:cs="Arial"/>
                <w:color w:val="auto"/>
                <w:kern w:val="0"/>
                <w:szCs w:val="21"/>
                <w:highlight w:val="none"/>
              </w:rPr>
              <w:t>SPOILERELEVATORCOMPUTER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升降度副翼计算器</w:t>
            </w:r>
            <w:r>
              <w:rPr>
                <w:rFonts w:ascii="宋体" w:hAnsi="宋体" w:cs="Arial"/>
                <w:color w:val="auto"/>
                <w:kern w:val="0"/>
                <w:szCs w:val="21"/>
                <w:highlight w:val="none"/>
              </w:rPr>
              <w:t>ELEVATORAILERONCOMPUTER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偏航阻尼伺服作动器</w:t>
            </w:r>
            <w:r>
              <w:rPr>
                <w:rFonts w:ascii="宋体" w:hAnsi="宋体" w:cs="Arial"/>
                <w:color w:val="auto"/>
                <w:kern w:val="0"/>
                <w:szCs w:val="21"/>
                <w:highlight w:val="none"/>
              </w:rPr>
              <w:t>YAWDAMPERSERVOACTUATOR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飞行数据控制连接器</w:t>
            </w:r>
            <w:r>
              <w:rPr>
                <w:rFonts w:ascii="宋体" w:hAnsi="宋体" w:cs="Arial"/>
                <w:color w:val="auto"/>
                <w:kern w:val="0"/>
                <w:szCs w:val="21"/>
                <w:highlight w:val="none"/>
              </w:rPr>
              <w:t>FLTCTLDATACONCENTRATOR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行程限制组件</w:t>
            </w:r>
            <w:r>
              <w:rPr>
                <w:rFonts w:ascii="宋体" w:hAnsi="宋体" w:cs="Arial"/>
                <w:color w:val="auto"/>
                <w:kern w:val="0"/>
                <w:szCs w:val="21"/>
                <w:highlight w:val="none"/>
              </w:rPr>
              <w:t>TRAVELLIMITATIONUNIT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119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方向舵配平作动器</w:t>
            </w:r>
            <w:r>
              <w:rPr>
                <w:rFonts w:ascii="宋体" w:hAnsi="宋体" w:cs="Arial"/>
                <w:color w:val="auto"/>
                <w:kern w:val="0"/>
                <w:szCs w:val="21"/>
                <w:highlight w:val="none"/>
              </w:rPr>
              <w:t>RUDDERTRIMACTUATOR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液压压力电门</w:t>
            </w:r>
            <w:r>
              <w:rPr>
                <w:rFonts w:ascii="宋体" w:hAnsi="宋体" w:cs="Arial"/>
                <w:color w:val="auto"/>
                <w:kern w:val="0"/>
                <w:szCs w:val="21"/>
                <w:highlight w:val="none"/>
              </w:rPr>
              <w:t>SWITCHPRESSUREHYD.</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内侧扰流板伺服控制作动筒</w:t>
            </w:r>
            <w:r>
              <w:rPr>
                <w:rFonts w:ascii="宋体" w:hAnsi="宋体" w:cs="Arial"/>
                <w:color w:val="auto"/>
                <w:kern w:val="0"/>
                <w:szCs w:val="21"/>
                <w:highlight w:val="none"/>
              </w:rPr>
              <w:t>INBD.SPOILERSERVOCONTROL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10</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副翼伺服控制作动通</w:t>
            </w:r>
            <w:r>
              <w:rPr>
                <w:rFonts w:ascii="宋体" w:hAnsi="宋体" w:cs="Arial"/>
                <w:color w:val="auto"/>
                <w:kern w:val="0"/>
                <w:szCs w:val="21"/>
                <w:highlight w:val="none"/>
              </w:rPr>
              <w:t>AILERONSERVOCONTROL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翼尖刹车</w:t>
            </w:r>
            <w:r>
              <w:rPr>
                <w:rFonts w:ascii="宋体" w:hAnsi="宋体" w:cs="Arial"/>
                <w:color w:val="auto"/>
                <w:kern w:val="0"/>
                <w:szCs w:val="21"/>
                <w:highlight w:val="none"/>
              </w:rPr>
              <w:t>WINGTIPBRAKE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459"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升降舵伺服控制作动器</w:t>
            </w:r>
            <w:r>
              <w:rPr>
                <w:rFonts w:ascii="宋体" w:hAnsi="宋体" w:cs="Arial"/>
                <w:color w:val="auto"/>
                <w:kern w:val="0"/>
                <w:szCs w:val="21"/>
                <w:highlight w:val="none"/>
              </w:rPr>
              <w:t>ELEVATORSERVOCONTROL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方向舵伺服控制作动器</w:t>
            </w:r>
            <w:r>
              <w:rPr>
                <w:rFonts w:ascii="宋体" w:hAnsi="宋体" w:cs="Arial"/>
                <w:color w:val="auto"/>
                <w:kern w:val="0"/>
                <w:szCs w:val="21"/>
                <w:highlight w:val="none"/>
              </w:rPr>
              <w:t>RUDDERSERVOCONTROL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燃油泵</w:t>
            </w:r>
            <w:r>
              <w:rPr>
                <w:rFonts w:ascii="宋体" w:hAnsi="宋体" w:cs="Arial"/>
                <w:color w:val="auto"/>
                <w:kern w:val="0"/>
                <w:szCs w:val="21"/>
                <w:highlight w:val="none"/>
              </w:rPr>
              <w:t>FUELPUMPCANISTER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4</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燃油控制管理计算机</w:t>
            </w:r>
            <w:r>
              <w:rPr>
                <w:rFonts w:ascii="宋体" w:hAnsi="宋体" w:cs="Arial"/>
                <w:color w:val="auto"/>
                <w:kern w:val="0"/>
                <w:szCs w:val="21"/>
                <w:highlight w:val="none"/>
              </w:rPr>
              <w:t>COMPUTER-FCMS</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加油预选器</w:t>
            </w:r>
            <w:r>
              <w:rPr>
                <w:rFonts w:ascii="宋体" w:hAnsi="宋体" w:cs="Arial"/>
                <w:color w:val="auto"/>
                <w:kern w:val="0"/>
                <w:szCs w:val="21"/>
                <w:highlight w:val="none"/>
              </w:rPr>
              <w:t>REFUELPRESELECTOR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129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加油活门</w:t>
            </w:r>
            <w:r>
              <w:rPr>
                <w:rFonts w:ascii="宋体" w:hAnsi="宋体" w:cs="Arial"/>
                <w:color w:val="auto"/>
                <w:kern w:val="0"/>
                <w:szCs w:val="21"/>
                <w:highlight w:val="none"/>
              </w:rPr>
              <w:t>REFUELVALVE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燃油交输伺服活门</w:t>
            </w:r>
            <w:r>
              <w:rPr>
                <w:rFonts w:ascii="宋体" w:hAnsi="宋体" w:cs="Arial"/>
                <w:color w:val="auto"/>
                <w:kern w:val="0"/>
                <w:szCs w:val="21"/>
                <w:highlight w:val="none"/>
              </w:rPr>
              <w:t>FUELCROSSFEEDVALVE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燃油转化活门作动器</w:t>
            </w:r>
            <w:r>
              <w:rPr>
                <w:rFonts w:ascii="宋体" w:hAnsi="宋体" w:cs="Arial"/>
                <w:color w:val="auto"/>
                <w:kern w:val="0"/>
                <w:szCs w:val="21"/>
                <w:highlight w:val="none"/>
              </w:rPr>
              <w:t>FUELTRANSFERVALVEACTUATOR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燃油放油转化活门</w:t>
            </w:r>
            <w:r>
              <w:rPr>
                <w:rFonts w:ascii="宋体" w:hAnsi="宋体" w:cs="Arial"/>
                <w:color w:val="auto"/>
                <w:kern w:val="0"/>
                <w:szCs w:val="21"/>
                <w:highlight w:val="none"/>
              </w:rPr>
              <w:t>FUELDEFUEL/TRANSFERVALVE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燃油传感器</w:t>
            </w:r>
            <w:r>
              <w:rPr>
                <w:rFonts w:ascii="宋体" w:hAnsi="宋体" w:cs="Arial"/>
                <w:color w:val="auto"/>
                <w:kern w:val="0"/>
                <w:szCs w:val="21"/>
                <w:highlight w:val="none"/>
              </w:rPr>
              <w:t>SENSOR-FUELLEVEL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燃油量传感器</w:t>
            </w:r>
            <w:r>
              <w:rPr>
                <w:rFonts w:ascii="宋体" w:hAnsi="宋体" w:cs="Arial"/>
                <w:color w:val="auto"/>
                <w:kern w:val="0"/>
                <w:szCs w:val="21"/>
                <w:highlight w:val="none"/>
              </w:rPr>
              <w:t>SENSOR-FUELLEVEL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浮子通气活门</w:t>
            </w:r>
            <w:r>
              <w:rPr>
                <w:rFonts w:ascii="宋体" w:hAnsi="宋体" w:cs="Arial"/>
                <w:color w:val="auto"/>
                <w:kern w:val="0"/>
                <w:szCs w:val="21"/>
                <w:highlight w:val="none"/>
              </w:rPr>
              <w:t>FLOATVENTVALVE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绿色液压系统油箱</w:t>
            </w:r>
            <w:r>
              <w:rPr>
                <w:rFonts w:ascii="宋体" w:hAnsi="宋体" w:cs="Arial"/>
                <w:color w:val="auto"/>
                <w:kern w:val="0"/>
                <w:szCs w:val="21"/>
                <w:highlight w:val="none"/>
              </w:rPr>
              <w:t>RESERVOIRGREEN</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蓝色液压系统油箱</w:t>
            </w:r>
            <w:r>
              <w:rPr>
                <w:rFonts w:ascii="宋体" w:hAnsi="宋体" w:cs="Arial"/>
                <w:color w:val="auto"/>
                <w:kern w:val="0"/>
                <w:szCs w:val="21"/>
                <w:highlight w:val="none"/>
              </w:rPr>
              <w:t>RESERVOIRBLUE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低压油滤</w:t>
            </w:r>
            <w:r>
              <w:rPr>
                <w:rFonts w:ascii="宋体" w:hAnsi="宋体" w:cs="Arial"/>
                <w:color w:val="auto"/>
                <w:kern w:val="0"/>
                <w:szCs w:val="21"/>
                <w:highlight w:val="none"/>
              </w:rPr>
              <w:t>FILTERHYD.LP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139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空气释压活门</w:t>
            </w:r>
            <w:r>
              <w:rPr>
                <w:rFonts w:ascii="宋体" w:hAnsi="宋体" w:cs="Arial"/>
                <w:color w:val="auto"/>
                <w:kern w:val="0"/>
                <w:szCs w:val="21"/>
                <w:highlight w:val="none"/>
              </w:rPr>
              <w:t>VALVERELIEFAIR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手动液压泵</w:t>
            </w:r>
            <w:r>
              <w:rPr>
                <w:rFonts w:ascii="宋体" w:hAnsi="宋体" w:cs="Arial"/>
                <w:color w:val="auto"/>
                <w:kern w:val="0"/>
                <w:szCs w:val="21"/>
                <w:highlight w:val="none"/>
              </w:rPr>
              <w:t>HYDRAULIKHANDPUMP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火警关断活门</w:t>
            </w:r>
            <w:r>
              <w:rPr>
                <w:rFonts w:ascii="宋体" w:hAnsi="宋体" w:cs="Arial"/>
                <w:color w:val="auto"/>
                <w:kern w:val="0"/>
                <w:szCs w:val="21"/>
                <w:highlight w:val="none"/>
              </w:rPr>
              <w:t>FIRE-SHUT-OFF-VALVE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高压释压活门</w:t>
            </w:r>
            <w:r>
              <w:rPr>
                <w:rFonts w:ascii="宋体" w:hAnsi="宋体" w:cs="Arial"/>
                <w:color w:val="auto"/>
                <w:kern w:val="0"/>
                <w:szCs w:val="21"/>
                <w:highlight w:val="none"/>
              </w:rPr>
              <w:t>VALVE,RELIEFH.P.</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优先活门</w:t>
            </w:r>
            <w:r>
              <w:rPr>
                <w:rFonts w:ascii="宋体" w:hAnsi="宋体" w:cs="Arial"/>
                <w:color w:val="auto"/>
                <w:kern w:val="0"/>
                <w:szCs w:val="21"/>
                <w:highlight w:val="none"/>
              </w:rPr>
              <w:t>VALVEPRIORITY</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储压器</w:t>
            </w:r>
            <w:r>
              <w:rPr>
                <w:rFonts w:ascii="宋体" w:hAnsi="宋体" w:cs="Arial"/>
                <w:color w:val="auto"/>
                <w:kern w:val="0"/>
                <w:szCs w:val="21"/>
                <w:highlight w:val="none"/>
              </w:rPr>
              <w:t>HYDR.ACCUMULATOR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动力转化组件</w:t>
            </w:r>
            <w:r>
              <w:rPr>
                <w:rFonts w:ascii="宋体" w:hAnsi="宋体" w:cs="Arial"/>
                <w:color w:val="auto"/>
                <w:kern w:val="0"/>
                <w:szCs w:val="21"/>
                <w:highlight w:val="none"/>
              </w:rPr>
              <w:t>POWERTRANSFERUNIT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地面服务总管</w:t>
            </w:r>
            <w:r>
              <w:rPr>
                <w:rFonts w:ascii="宋体" w:hAnsi="宋体" w:cs="Arial"/>
                <w:color w:val="auto"/>
                <w:kern w:val="0"/>
                <w:szCs w:val="21"/>
                <w:highlight w:val="none"/>
              </w:rPr>
              <w:t>GROUNDSERVICEMANIFO</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3</w:t>
            </w:r>
            <w:r>
              <w:rPr>
                <w:rFonts w:hint="eastAsia" w:ascii="宋体" w:hAnsi="宋体" w:cs="Arial"/>
                <w:color w:val="auto"/>
                <w:kern w:val="0"/>
                <w:szCs w:val="21"/>
                <w:highlight w:val="none"/>
              </w:rPr>
              <w:t>通活门</w:t>
            </w:r>
            <w:r>
              <w:rPr>
                <w:rFonts w:ascii="宋体" w:hAnsi="宋体" w:cs="Arial"/>
                <w:color w:val="auto"/>
                <w:kern w:val="0"/>
                <w:szCs w:val="21"/>
                <w:highlight w:val="none"/>
              </w:rPr>
              <w:t>VALVE,3/2WAY-</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液压压力电门</w:t>
            </w:r>
            <w:r>
              <w:rPr>
                <w:rFonts w:ascii="宋体" w:hAnsi="宋体" w:cs="Arial"/>
                <w:color w:val="auto"/>
                <w:kern w:val="0"/>
                <w:szCs w:val="21"/>
                <w:highlight w:val="none"/>
              </w:rPr>
              <w:t>SWITCHPRESSUREHYD.</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149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油箱油量指示器</w:t>
            </w:r>
            <w:r>
              <w:rPr>
                <w:rFonts w:ascii="宋体" w:hAnsi="宋体" w:cs="Arial"/>
                <w:color w:val="auto"/>
                <w:kern w:val="0"/>
                <w:szCs w:val="21"/>
                <w:highlight w:val="none"/>
              </w:rPr>
              <w:t>INDICATORQTY.RSVR.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风挡加温计算机</w:t>
            </w:r>
            <w:r>
              <w:rPr>
                <w:rFonts w:ascii="宋体" w:hAnsi="宋体" w:cs="Arial"/>
                <w:color w:val="auto"/>
                <w:kern w:val="0"/>
                <w:szCs w:val="21"/>
                <w:highlight w:val="none"/>
              </w:rPr>
              <w:t>WINDOWHEATCOMPUTER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皮托管加温计算机</w:t>
            </w:r>
            <w:r>
              <w:rPr>
                <w:rFonts w:ascii="宋体" w:hAnsi="宋体" w:cs="Arial"/>
                <w:color w:val="auto"/>
                <w:kern w:val="0"/>
                <w:szCs w:val="21"/>
                <w:highlight w:val="none"/>
              </w:rPr>
              <w:t>PROBESHEATCOMPUTER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飞行数据记录器</w:t>
            </w:r>
            <w:r>
              <w:rPr>
                <w:rFonts w:ascii="宋体" w:hAnsi="宋体" w:cs="Arial"/>
                <w:color w:val="auto"/>
                <w:kern w:val="0"/>
                <w:szCs w:val="21"/>
                <w:highlight w:val="none"/>
              </w:rPr>
              <w:t>FLIGHTDATARECORDER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数据管理组件</w:t>
            </w:r>
            <w:r>
              <w:rPr>
                <w:rFonts w:ascii="宋体" w:hAnsi="宋体" w:cs="Arial"/>
                <w:color w:val="auto"/>
                <w:kern w:val="0"/>
                <w:szCs w:val="21"/>
                <w:highlight w:val="none"/>
              </w:rPr>
              <w:t>DATAMANAGEMENTUNIT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中央故障显示接口组件</w:t>
            </w:r>
            <w:r>
              <w:rPr>
                <w:rFonts w:ascii="宋体" w:hAnsi="宋体" w:cs="Arial"/>
                <w:color w:val="auto"/>
                <w:kern w:val="0"/>
                <w:szCs w:val="21"/>
                <w:highlight w:val="none"/>
              </w:rPr>
              <w:t>CFDIU</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显示管理计算机</w:t>
            </w:r>
            <w:r>
              <w:rPr>
                <w:rFonts w:ascii="宋体" w:hAnsi="宋体" w:cs="Arial"/>
                <w:color w:val="auto"/>
                <w:kern w:val="0"/>
                <w:szCs w:val="21"/>
                <w:highlight w:val="none"/>
              </w:rPr>
              <w:t>DISPLAYMANAGEMENTCOMPUTER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系统数据集获器</w:t>
            </w:r>
            <w:r>
              <w:rPr>
                <w:rFonts w:ascii="宋体" w:hAnsi="宋体" w:cs="Arial"/>
                <w:color w:val="auto"/>
                <w:kern w:val="0"/>
                <w:szCs w:val="21"/>
                <w:highlight w:val="none"/>
              </w:rPr>
              <w:t>SDAC</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飞行警告管理计算机</w:t>
            </w:r>
            <w:r>
              <w:rPr>
                <w:rFonts w:ascii="宋体" w:hAnsi="宋体" w:cs="Arial"/>
                <w:color w:val="auto"/>
                <w:kern w:val="0"/>
                <w:szCs w:val="21"/>
                <w:highlight w:val="none"/>
              </w:rPr>
              <w:t>FLIGHTWARNINGCOMPUTER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时钟</w:t>
            </w:r>
            <w:r>
              <w:rPr>
                <w:rFonts w:ascii="宋体" w:hAnsi="宋体" w:cs="Arial"/>
                <w:color w:val="auto"/>
                <w:kern w:val="0"/>
                <w:szCs w:val="21"/>
                <w:highlight w:val="none"/>
              </w:rPr>
              <w:t>CLOCK</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159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显示组件</w:t>
            </w:r>
            <w:r>
              <w:rPr>
                <w:rFonts w:ascii="宋体" w:hAnsi="宋体" w:cs="Arial"/>
                <w:color w:val="auto"/>
                <w:kern w:val="0"/>
                <w:szCs w:val="21"/>
                <w:highlight w:val="none"/>
              </w:rPr>
              <w:t>DISPLAYUNIT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6</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ECAM</w:t>
            </w:r>
            <w:r>
              <w:rPr>
                <w:rFonts w:hint="eastAsia" w:ascii="宋体" w:hAnsi="宋体" w:cs="Arial"/>
                <w:color w:val="auto"/>
                <w:kern w:val="0"/>
                <w:szCs w:val="21"/>
                <w:highlight w:val="none"/>
              </w:rPr>
              <w:t>控制面板</w:t>
            </w:r>
            <w:r>
              <w:rPr>
                <w:rFonts w:ascii="宋体" w:hAnsi="宋体" w:cs="Arial"/>
                <w:color w:val="auto"/>
                <w:kern w:val="0"/>
                <w:szCs w:val="21"/>
                <w:highlight w:val="none"/>
              </w:rPr>
              <w:t>ECAMCONTROLPANEL</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驾驶舱喇叭</w:t>
            </w:r>
            <w:r>
              <w:rPr>
                <w:rFonts w:ascii="宋体" w:hAnsi="宋体" w:cs="Arial"/>
                <w:color w:val="auto"/>
                <w:kern w:val="0"/>
                <w:szCs w:val="21"/>
                <w:highlight w:val="none"/>
              </w:rPr>
              <w:t>COCKPITLOUDSPEAKERAMPLI</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刹车温度监控组件</w:t>
            </w:r>
            <w:r>
              <w:rPr>
                <w:rFonts w:ascii="宋体" w:hAnsi="宋体" w:cs="Arial"/>
                <w:color w:val="auto"/>
                <w:kern w:val="0"/>
                <w:szCs w:val="21"/>
                <w:highlight w:val="none"/>
              </w:rPr>
              <w:t>BRAKETEMPMONITORINGUNIT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00"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BRAKETEMPMONITORINGUNIT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前轮旋转机械组件</w:t>
            </w:r>
            <w:r>
              <w:rPr>
                <w:rFonts w:ascii="宋体" w:hAnsi="宋体" w:cs="Arial"/>
                <w:color w:val="auto"/>
                <w:kern w:val="0"/>
                <w:szCs w:val="21"/>
                <w:highlight w:val="none"/>
              </w:rPr>
              <w:t>NLG.ROTATINGMECHANISM</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起落架控制接口组件</w:t>
            </w:r>
            <w:r>
              <w:rPr>
                <w:rFonts w:ascii="宋体" w:hAnsi="宋体" w:cs="Arial"/>
                <w:color w:val="auto"/>
                <w:kern w:val="0"/>
                <w:szCs w:val="21"/>
                <w:highlight w:val="none"/>
              </w:rPr>
              <w:t>L.G.CONTROL/INTERFACEUNIT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起落架控制手柄</w:t>
            </w:r>
            <w:r>
              <w:rPr>
                <w:rFonts w:ascii="宋体" w:hAnsi="宋体" w:cs="Arial"/>
                <w:color w:val="auto"/>
                <w:kern w:val="0"/>
                <w:szCs w:val="21"/>
                <w:highlight w:val="none"/>
              </w:rPr>
              <w:t>LANDINGGEARCONTROLLEVER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刹车脚蹬传感器</w:t>
            </w:r>
            <w:r>
              <w:rPr>
                <w:rFonts w:ascii="宋体" w:hAnsi="宋体" w:cs="Arial"/>
                <w:color w:val="auto"/>
                <w:kern w:val="0"/>
                <w:szCs w:val="21"/>
                <w:highlight w:val="none"/>
              </w:rPr>
              <w:t>BRAKEPEDALTRANSMITTER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刹车转弯控制组件</w:t>
            </w:r>
            <w:r>
              <w:rPr>
                <w:rFonts w:ascii="宋体" w:hAnsi="宋体" w:cs="Arial"/>
                <w:color w:val="auto"/>
                <w:kern w:val="0"/>
                <w:szCs w:val="21"/>
                <w:highlight w:val="none"/>
              </w:rPr>
              <w:t>BRAKING/STEERINGCTL.UNIT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169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转弯灯</w:t>
            </w:r>
            <w:r>
              <w:rPr>
                <w:rFonts w:ascii="宋体" w:hAnsi="宋体" w:cs="Arial"/>
                <w:color w:val="auto"/>
                <w:kern w:val="0"/>
                <w:szCs w:val="21"/>
                <w:highlight w:val="none"/>
              </w:rPr>
              <w:t>RUNWAYTURNOFFLIGHT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大翼照明灯</w:t>
            </w:r>
            <w:r>
              <w:rPr>
                <w:rFonts w:ascii="宋体" w:hAnsi="宋体" w:cs="Arial"/>
                <w:color w:val="auto"/>
                <w:kern w:val="0"/>
                <w:szCs w:val="21"/>
                <w:highlight w:val="none"/>
              </w:rPr>
              <w:t>WING/ENGINESCANLIGHT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标志灯</w:t>
            </w:r>
            <w:r>
              <w:rPr>
                <w:rFonts w:ascii="宋体" w:hAnsi="宋体" w:cs="Arial"/>
                <w:color w:val="auto"/>
                <w:kern w:val="0"/>
                <w:szCs w:val="21"/>
                <w:highlight w:val="none"/>
              </w:rPr>
              <w:t>LOGOLIGHT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频闪灯</w:t>
            </w:r>
            <w:r>
              <w:rPr>
                <w:rFonts w:ascii="宋体" w:hAnsi="宋体" w:cs="Arial"/>
                <w:color w:val="auto"/>
                <w:kern w:val="0"/>
                <w:szCs w:val="21"/>
                <w:highlight w:val="none"/>
              </w:rPr>
              <w:t>STROBELIGHT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着陆灯</w:t>
            </w:r>
            <w:r>
              <w:rPr>
                <w:rFonts w:ascii="宋体" w:hAnsi="宋体" w:cs="Arial"/>
                <w:color w:val="auto"/>
                <w:kern w:val="0"/>
                <w:szCs w:val="21"/>
                <w:highlight w:val="none"/>
              </w:rPr>
              <w:t>LANDINGLIGHT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起飞灯</w:t>
            </w:r>
            <w:r>
              <w:rPr>
                <w:rFonts w:ascii="宋体" w:hAnsi="宋体" w:cs="Arial"/>
                <w:color w:val="auto"/>
                <w:kern w:val="0"/>
                <w:szCs w:val="21"/>
                <w:highlight w:val="none"/>
              </w:rPr>
              <w:t>TAKE-OFFLIGHT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滑行灯</w:t>
            </w:r>
            <w:r>
              <w:rPr>
                <w:rFonts w:ascii="宋体" w:hAnsi="宋体" w:cs="Arial"/>
                <w:color w:val="auto"/>
                <w:kern w:val="0"/>
                <w:szCs w:val="21"/>
                <w:highlight w:val="none"/>
              </w:rPr>
              <w:t>TAXILIGHT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翼尖导航灯</w:t>
            </w:r>
            <w:r>
              <w:rPr>
                <w:rFonts w:ascii="宋体" w:hAnsi="宋体" w:cs="Arial"/>
                <w:color w:val="auto"/>
                <w:kern w:val="0"/>
                <w:szCs w:val="21"/>
                <w:highlight w:val="none"/>
              </w:rPr>
              <w:t>WINGTIPNAVIGATIONLIGHT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惯导</w:t>
            </w:r>
            <w:r>
              <w:rPr>
                <w:rFonts w:ascii="宋体" w:hAnsi="宋体" w:cs="Arial"/>
                <w:color w:val="auto"/>
                <w:kern w:val="0"/>
                <w:szCs w:val="21"/>
                <w:highlight w:val="none"/>
              </w:rPr>
              <w:t>ADIRU</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TCAS</w:t>
            </w:r>
            <w:r>
              <w:rPr>
                <w:rFonts w:hint="eastAsia" w:ascii="宋体" w:hAnsi="宋体" w:cs="Arial"/>
                <w:color w:val="auto"/>
                <w:kern w:val="0"/>
                <w:szCs w:val="21"/>
                <w:highlight w:val="none"/>
              </w:rPr>
              <w:t>计算机</w:t>
            </w:r>
            <w:r>
              <w:rPr>
                <w:rFonts w:ascii="宋体" w:hAnsi="宋体" w:cs="Arial"/>
                <w:color w:val="auto"/>
                <w:kern w:val="0"/>
                <w:szCs w:val="21"/>
                <w:highlight w:val="none"/>
              </w:rPr>
              <w:t>TCASIICOMPUTER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179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ATC</w:t>
            </w:r>
            <w:r>
              <w:rPr>
                <w:rFonts w:hint="eastAsia" w:ascii="宋体" w:hAnsi="宋体" w:cs="Arial"/>
                <w:color w:val="auto"/>
                <w:kern w:val="0"/>
                <w:szCs w:val="21"/>
                <w:highlight w:val="none"/>
              </w:rPr>
              <w:t>收发机</w:t>
            </w:r>
            <w:r>
              <w:rPr>
                <w:rFonts w:ascii="宋体" w:hAnsi="宋体" w:cs="Arial"/>
                <w:color w:val="auto"/>
                <w:kern w:val="0"/>
                <w:szCs w:val="21"/>
                <w:highlight w:val="none"/>
              </w:rPr>
              <w:t>ATCTRANSPONDER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气象雷达收发机</w:t>
            </w:r>
            <w:r>
              <w:rPr>
                <w:rFonts w:ascii="宋体" w:hAnsi="宋体" w:cs="Arial"/>
                <w:color w:val="auto"/>
                <w:kern w:val="0"/>
                <w:szCs w:val="21"/>
                <w:highlight w:val="none"/>
              </w:rPr>
              <w:t>WEATHERRADARTRANSCEIVER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地形警告计算机</w:t>
            </w:r>
            <w:r>
              <w:rPr>
                <w:rFonts w:ascii="宋体" w:hAnsi="宋体" w:cs="Arial"/>
                <w:color w:val="auto"/>
                <w:kern w:val="0"/>
                <w:szCs w:val="21"/>
                <w:highlight w:val="none"/>
              </w:rPr>
              <w:t>GPWC</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备用磁罗盘</w:t>
            </w:r>
            <w:r>
              <w:rPr>
                <w:rFonts w:ascii="宋体" w:hAnsi="宋体" w:cs="Arial"/>
                <w:color w:val="auto"/>
                <w:kern w:val="0"/>
                <w:szCs w:val="21"/>
                <w:highlight w:val="none"/>
              </w:rPr>
              <w:t>STANDBYCOMPASS</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ADF</w:t>
            </w:r>
            <w:r>
              <w:rPr>
                <w:rFonts w:hint="eastAsia" w:ascii="宋体" w:hAnsi="宋体" w:cs="Arial"/>
                <w:color w:val="auto"/>
                <w:kern w:val="0"/>
                <w:szCs w:val="21"/>
                <w:highlight w:val="none"/>
              </w:rPr>
              <w:t>收发机</w:t>
            </w:r>
            <w:r>
              <w:rPr>
                <w:rFonts w:ascii="宋体" w:hAnsi="宋体" w:cs="Arial"/>
                <w:color w:val="auto"/>
                <w:kern w:val="0"/>
                <w:szCs w:val="21"/>
                <w:highlight w:val="none"/>
              </w:rPr>
              <w:t>ADFRECEIVER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184</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ILS</w:t>
            </w:r>
            <w:r>
              <w:rPr>
                <w:rFonts w:hint="eastAsia" w:ascii="宋体" w:hAnsi="宋体" w:cs="Arial"/>
                <w:color w:val="auto"/>
                <w:kern w:val="0"/>
                <w:szCs w:val="21"/>
                <w:highlight w:val="none"/>
              </w:rPr>
              <w:t>收发机</w:t>
            </w:r>
            <w:r>
              <w:rPr>
                <w:rFonts w:ascii="宋体" w:hAnsi="宋体" w:cs="Arial"/>
                <w:color w:val="auto"/>
                <w:kern w:val="0"/>
                <w:szCs w:val="21"/>
                <w:highlight w:val="none"/>
              </w:rPr>
              <w:t>ILSRECEIVER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6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185</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无线电高度表收发机</w:t>
            </w:r>
            <w:r>
              <w:rPr>
                <w:rFonts w:ascii="宋体" w:hAnsi="宋体" w:cs="Arial"/>
                <w:color w:val="auto"/>
                <w:kern w:val="0"/>
                <w:szCs w:val="21"/>
                <w:highlight w:val="none"/>
              </w:rPr>
              <w:t>RADIOALTIMETERTRANSCEIVER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186</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DME</w:t>
            </w:r>
            <w:r>
              <w:rPr>
                <w:rFonts w:hint="eastAsia" w:ascii="宋体" w:hAnsi="宋体" w:cs="Arial"/>
                <w:color w:val="auto"/>
                <w:kern w:val="0"/>
                <w:szCs w:val="21"/>
                <w:highlight w:val="none"/>
              </w:rPr>
              <w:t>收发机</w:t>
            </w:r>
            <w:r>
              <w:rPr>
                <w:rFonts w:ascii="宋体" w:hAnsi="宋体" w:cs="Arial"/>
                <w:color w:val="auto"/>
                <w:kern w:val="0"/>
                <w:szCs w:val="21"/>
                <w:highlight w:val="none"/>
              </w:rPr>
              <w:t>DMEINTERROGATOR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187</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备用高度表</w:t>
            </w:r>
            <w:r>
              <w:rPr>
                <w:rFonts w:ascii="宋体" w:hAnsi="宋体" w:cs="Arial"/>
                <w:color w:val="auto"/>
                <w:kern w:val="0"/>
                <w:szCs w:val="21"/>
                <w:highlight w:val="none"/>
              </w:rPr>
              <w:t>STANDBYALTIMETER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188</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VOR</w:t>
            </w:r>
            <w:r>
              <w:rPr>
                <w:rFonts w:hint="eastAsia" w:ascii="宋体" w:hAnsi="宋体" w:cs="Arial"/>
                <w:color w:val="auto"/>
                <w:kern w:val="0"/>
                <w:szCs w:val="21"/>
                <w:highlight w:val="none"/>
              </w:rPr>
              <w:t>收发机</w:t>
            </w:r>
            <w:r>
              <w:rPr>
                <w:rFonts w:ascii="宋体" w:hAnsi="宋体" w:cs="Arial"/>
                <w:color w:val="auto"/>
                <w:kern w:val="0"/>
                <w:szCs w:val="21"/>
                <w:highlight w:val="none"/>
              </w:rPr>
              <w:t>VORRECEIVER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189</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ascii="宋体" w:hAnsi="宋体" w:cs="Arial"/>
                <w:color w:val="auto"/>
                <w:kern w:val="0"/>
                <w:szCs w:val="21"/>
                <w:highlight w:val="none"/>
              </w:rPr>
              <w:t>ATC/TCAS</w:t>
            </w:r>
            <w:r>
              <w:rPr>
                <w:rFonts w:hint="eastAsia" w:ascii="宋体" w:hAnsi="宋体" w:cs="Arial"/>
                <w:color w:val="auto"/>
                <w:kern w:val="0"/>
                <w:szCs w:val="21"/>
                <w:highlight w:val="none"/>
              </w:rPr>
              <w:t>控制组件</w:t>
            </w:r>
            <w:r>
              <w:rPr>
                <w:rFonts w:ascii="宋体" w:hAnsi="宋体" w:cs="Arial"/>
                <w:color w:val="auto"/>
                <w:kern w:val="0"/>
                <w:szCs w:val="21"/>
                <w:highlight w:val="none"/>
              </w:rPr>
              <w:t>ATC/TCASCONTROLUNIT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190</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皮托管</w:t>
            </w:r>
            <w:r>
              <w:rPr>
                <w:rFonts w:ascii="宋体" w:hAnsi="宋体" w:cs="Arial"/>
                <w:color w:val="auto"/>
                <w:kern w:val="0"/>
                <w:szCs w:val="21"/>
                <w:highlight w:val="none"/>
              </w:rPr>
              <w:t>PITOTTUBE</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3</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191</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备用空速指示器</w:t>
            </w:r>
            <w:r>
              <w:rPr>
                <w:rFonts w:ascii="宋体" w:hAnsi="宋体" w:cs="Arial"/>
                <w:color w:val="auto"/>
                <w:kern w:val="0"/>
                <w:szCs w:val="21"/>
                <w:highlight w:val="none"/>
              </w:rPr>
              <w:t>STANDBYAIRSPEEDINDICATOR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192</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引气监控计算机</w:t>
            </w:r>
            <w:r>
              <w:rPr>
                <w:rFonts w:ascii="宋体" w:hAnsi="宋体" w:cs="Arial"/>
                <w:color w:val="auto"/>
                <w:kern w:val="0"/>
                <w:szCs w:val="21"/>
                <w:highlight w:val="none"/>
              </w:rPr>
              <w:t>BLEEDMONITORINGCOMPUTER</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2</w:t>
            </w:r>
          </w:p>
        </w:tc>
      </w:tr>
      <w:tr>
        <w:tblPrEx>
          <w:tblCellMar>
            <w:top w:w="0" w:type="dxa"/>
            <w:left w:w="108" w:type="dxa"/>
            <w:bottom w:w="0" w:type="dxa"/>
            <w:right w:w="108" w:type="dxa"/>
          </w:tblCellMar>
        </w:tblPrEx>
        <w:trPr>
          <w:gridAfter w:val="1"/>
          <w:wAfter w:w="7" w:type="pct"/>
          <w:trHeight w:val="312" w:hRule="atLeast"/>
        </w:trPr>
        <w:tc>
          <w:tcPr>
            <w:tcW w:w="449"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193</w:t>
            </w:r>
          </w:p>
        </w:tc>
        <w:tc>
          <w:tcPr>
            <w:tcW w:w="2164" w:type="pct"/>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Arial"/>
                <w:color w:val="auto"/>
                <w:kern w:val="0"/>
                <w:szCs w:val="21"/>
                <w:highlight w:val="none"/>
              </w:rPr>
            </w:pPr>
            <w:r>
              <w:rPr>
                <w:rFonts w:hint="eastAsia" w:ascii="宋体" w:hAnsi="宋体" w:cs="Arial"/>
                <w:color w:val="auto"/>
                <w:kern w:val="0"/>
                <w:szCs w:val="21"/>
                <w:highlight w:val="none"/>
              </w:rPr>
              <w:t>真空泵控制器</w:t>
            </w:r>
            <w:r>
              <w:rPr>
                <w:rFonts w:ascii="宋体" w:hAnsi="宋体" w:cs="Arial"/>
                <w:color w:val="auto"/>
                <w:kern w:val="0"/>
                <w:szCs w:val="21"/>
                <w:highlight w:val="none"/>
              </w:rPr>
              <w:t>CONTROLLER,VACUUMSYST</w:t>
            </w:r>
          </w:p>
        </w:tc>
        <w:tc>
          <w:tcPr>
            <w:tcW w:w="1514"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hint="eastAsia" w:ascii="宋体" w:hAnsi="宋体"/>
                <w:color w:val="auto"/>
                <w:szCs w:val="21"/>
                <w:highlight w:val="none"/>
                <w:shd w:val="clear" w:color="auto" w:fill="FFFFFF"/>
              </w:rPr>
              <w:t>与投标机型相配套</w:t>
            </w:r>
          </w:p>
        </w:tc>
        <w:tc>
          <w:tcPr>
            <w:tcW w:w="863" w:type="pct"/>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Arial"/>
                <w:color w:val="auto"/>
                <w:kern w:val="0"/>
                <w:szCs w:val="21"/>
                <w:highlight w:val="none"/>
              </w:rPr>
            </w:pPr>
            <w:r>
              <w:rPr>
                <w:rFonts w:ascii="宋体" w:hAnsi="宋体" w:cs="Arial"/>
                <w:color w:val="auto"/>
                <w:kern w:val="0"/>
                <w:szCs w:val="21"/>
                <w:highlight w:val="none"/>
              </w:rPr>
              <w:t>1</w:t>
            </w:r>
          </w:p>
        </w:tc>
      </w:tr>
      <w:bookmarkEnd w:id="32"/>
    </w:tbl>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附</w:t>
      </w:r>
      <w:r>
        <w:rPr>
          <w:rFonts w:hint="eastAsia" w:ascii="宋体" w:hAnsi="宋体"/>
          <w:b/>
          <w:bCs/>
          <w:color w:val="auto"/>
          <w:sz w:val="24"/>
          <w:highlight w:val="none"/>
          <w:shd w:val="clear" w:color="auto" w:fill="FFFFFF"/>
        </w:rPr>
        <w:t>件二</w:t>
      </w:r>
      <w:r>
        <w:rPr>
          <w:rFonts w:hint="eastAsia" w:ascii="宋体" w:hAnsi="宋体"/>
          <w:color w:val="auto"/>
          <w:sz w:val="24"/>
          <w:highlight w:val="none"/>
          <w:shd w:val="clear" w:color="auto" w:fill="FFFFFF"/>
        </w:rPr>
        <w:t>飞机验收标准</w:t>
      </w:r>
    </w:p>
    <w:p>
      <w:pPr>
        <w:snapToGrid w:val="0"/>
        <w:spacing w:line="360" w:lineRule="auto"/>
        <w:jc w:val="center"/>
        <w:rPr>
          <w:rFonts w:ascii="宋体" w:hAnsi="宋体"/>
          <w:b/>
          <w:bCs/>
          <w:color w:val="auto"/>
          <w:sz w:val="24"/>
          <w:highlight w:val="none"/>
          <w:shd w:val="clear" w:color="auto" w:fill="FFFFFF"/>
        </w:rPr>
      </w:pPr>
      <w:r>
        <w:rPr>
          <w:rFonts w:hint="eastAsia" w:ascii="宋体" w:hAnsi="宋体"/>
          <w:b/>
          <w:bCs/>
          <w:color w:val="auto"/>
          <w:sz w:val="24"/>
          <w:highlight w:val="none"/>
          <w:shd w:val="clear" w:color="auto" w:fill="FFFFFF"/>
        </w:rPr>
        <w:t>飞机验收标准</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验收共分三个阶段，第一阶段为飞机落地指定机场进行验收，主要完成以下三部分测试与检查，并对主要部件进行拍照与记录；第二阶段为运达学校固定场地验收，主要检查所运部件与机场落地时部件的一致性；第三阶段为组装完成各系统调试后，再次完成以下三部分的测试与检查工作。</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飞机验收标准主要分成三个部分，第一部分是</w:t>
      </w:r>
      <w:r>
        <w:rPr>
          <w:rFonts w:hint="eastAsia" w:ascii="宋体" w:hAnsi="宋体"/>
          <w:b/>
          <w:color w:val="auto"/>
          <w:sz w:val="24"/>
          <w:highlight w:val="none"/>
          <w:shd w:val="clear" w:color="auto" w:fill="FFFFFF"/>
        </w:rPr>
        <w:t>测试</w:t>
      </w:r>
      <w:r>
        <w:rPr>
          <w:rFonts w:hint="eastAsia" w:ascii="宋体" w:hAnsi="宋体"/>
          <w:color w:val="auto"/>
          <w:sz w:val="24"/>
          <w:highlight w:val="none"/>
          <w:shd w:val="clear" w:color="auto" w:fill="FFFFFF"/>
        </w:rPr>
        <w:t>，相关测试参照投标机型</w:t>
      </w:r>
      <w:r>
        <w:rPr>
          <w:rFonts w:ascii="宋体" w:hAnsi="宋体"/>
          <w:color w:val="auto"/>
          <w:sz w:val="24"/>
          <w:highlight w:val="none"/>
          <w:shd w:val="clear" w:color="auto" w:fill="FFFFFF"/>
        </w:rPr>
        <w:t>相关AMM手册章节完成，必须都是通过（通过的标准与手册要求的结果相符合），无法通过测试需要完成相关排故。第二部分是</w:t>
      </w:r>
      <w:r>
        <w:rPr>
          <w:rFonts w:ascii="宋体" w:hAnsi="宋体"/>
          <w:b/>
          <w:color w:val="auto"/>
          <w:sz w:val="24"/>
          <w:highlight w:val="none"/>
          <w:shd w:val="clear" w:color="auto" w:fill="FFFFFF"/>
        </w:rPr>
        <w:t>机上检查</w:t>
      </w:r>
      <w:r>
        <w:rPr>
          <w:rFonts w:ascii="宋体" w:hAnsi="宋体"/>
          <w:color w:val="auto"/>
          <w:sz w:val="24"/>
          <w:highlight w:val="none"/>
          <w:shd w:val="clear" w:color="auto" w:fill="FFFFFF"/>
        </w:rPr>
        <w:t>，主要是驾驶舱完成相关检查并且符合验收文件要求的状态，无不正常的故障代码，如不正常需要完成排故。第三部分为</w:t>
      </w:r>
      <w:r>
        <w:rPr>
          <w:rFonts w:ascii="宋体" w:hAnsi="宋体"/>
          <w:b/>
          <w:color w:val="auto"/>
          <w:sz w:val="24"/>
          <w:highlight w:val="none"/>
          <w:shd w:val="clear" w:color="auto" w:fill="FFFFFF"/>
        </w:rPr>
        <w:t>机下检查</w:t>
      </w:r>
      <w:r>
        <w:rPr>
          <w:rFonts w:ascii="宋体" w:hAnsi="宋体"/>
          <w:color w:val="auto"/>
          <w:sz w:val="24"/>
          <w:highlight w:val="none"/>
          <w:shd w:val="clear" w:color="auto" w:fill="FFFFFF"/>
        </w:rPr>
        <w:t>，主要完成</w:t>
      </w:r>
      <w:r>
        <w:rPr>
          <w:rFonts w:hint="eastAsia" w:ascii="宋体" w:hAnsi="宋体"/>
          <w:color w:val="auto"/>
          <w:sz w:val="24"/>
          <w:highlight w:val="none"/>
          <w:shd w:val="clear" w:color="auto" w:fill="FFFFFF"/>
        </w:rPr>
        <w:t>飞机外部可见区域的</w:t>
      </w:r>
      <w:r>
        <w:rPr>
          <w:rFonts w:ascii="宋体" w:hAnsi="宋体"/>
          <w:color w:val="auto"/>
          <w:sz w:val="24"/>
          <w:highlight w:val="none"/>
          <w:shd w:val="clear" w:color="auto" w:fill="FFFFFF"/>
        </w:rPr>
        <w:t>详细目视检查，检查出来的相关物理缺陷（如凹坑</w:t>
      </w:r>
      <w:r>
        <w:rPr>
          <w:rFonts w:hint="eastAsia" w:ascii="宋体" w:hAnsi="宋体"/>
          <w:color w:val="auto"/>
          <w:sz w:val="24"/>
          <w:highlight w:val="none"/>
          <w:shd w:val="clear" w:color="auto" w:fill="FFFFFF"/>
        </w:rPr>
        <w:t>等损伤</w:t>
      </w:r>
      <w:r>
        <w:rPr>
          <w:rFonts w:ascii="宋体" w:hAnsi="宋体"/>
          <w:color w:val="auto"/>
          <w:sz w:val="24"/>
          <w:highlight w:val="none"/>
          <w:shd w:val="clear" w:color="auto" w:fill="FFFFFF"/>
        </w:rPr>
        <w:t>）需要在手册允许的范围内。</w:t>
      </w:r>
    </w:p>
    <w:p>
      <w:pPr>
        <w:snapToGrid w:val="0"/>
        <w:spacing w:line="360" w:lineRule="auto"/>
        <w:ind w:firstLine="480" w:firstLineChars="200"/>
        <w:jc w:val="left"/>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飞机组装结束后，液压系统、燃油系统内、</w:t>
      </w:r>
      <w:r>
        <w:rPr>
          <w:rFonts w:ascii="宋体" w:hAnsi="宋体"/>
          <w:color w:val="auto"/>
          <w:sz w:val="24"/>
          <w:highlight w:val="none"/>
          <w:shd w:val="clear" w:color="auto" w:fill="FFFFFF"/>
        </w:rPr>
        <w:t>APU</w:t>
      </w:r>
      <w:r>
        <w:rPr>
          <w:rFonts w:hint="eastAsia" w:ascii="宋体" w:hAnsi="宋体"/>
          <w:color w:val="auto"/>
          <w:sz w:val="24"/>
          <w:highlight w:val="none"/>
          <w:shd w:val="clear" w:color="auto" w:fill="FFFFFF"/>
        </w:rPr>
        <w:t>系统各部件仅需完整在位。空调系统需能通过地面空调车能对客舱进行制冷或制暖。其他系统需满足</w:t>
      </w:r>
      <w:r>
        <w:rPr>
          <w:rFonts w:ascii="宋体" w:hAnsi="宋体"/>
          <w:color w:val="auto"/>
          <w:sz w:val="24"/>
          <w:highlight w:val="none"/>
          <w:shd w:val="clear" w:color="auto" w:fill="FFFFFF"/>
        </w:rPr>
        <w:t>147</w:t>
      </w:r>
      <w:r>
        <w:rPr>
          <w:rFonts w:hint="eastAsia" w:ascii="宋体" w:hAnsi="宋体"/>
          <w:color w:val="auto"/>
          <w:sz w:val="24"/>
          <w:highlight w:val="none"/>
          <w:shd w:val="clear" w:color="auto" w:fill="FFFFFF"/>
        </w:rPr>
        <w:t>申请要求。</w:t>
      </w:r>
    </w:p>
    <w:p>
      <w:pPr>
        <w:pStyle w:val="256"/>
        <w:numPr>
          <w:ilvl w:val="0"/>
          <w:numId w:val="4"/>
        </w:numPr>
        <w:snapToGrid w:val="0"/>
        <w:ind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测试</w:t>
      </w:r>
    </w:p>
    <w:tbl>
      <w:tblPr>
        <w:tblStyle w:val="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8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jc w:val="center"/>
              <w:rPr>
                <w:rFonts w:ascii="宋体" w:hAnsi="宋体"/>
                <w:bCs/>
                <w:color w:val="auto"/>
                <w:sz w:val="24"/>
                <w:highlight w:val="none"/>
              </w:rPr>
            </w:pPr>
            <w:r>
              <w:rPr>
                <w:rFonts w:hint="eastAsia" w:ascii="宋体" w:hAnsi="宋体"/>
                <w:bCs/>
                <w:color w:val="auto"/>
                <w:sz w:val="24"/>
                <w:highlight w:val="none"/>
              </w:rPr>
              <w:t>序号</w:t>
            </w:r>
          </w:p>
        </w:tc>
        <w:tc>
          <w:tcPr>
            <w:tcW w:w="4312" w:type="pct"/>
            <w:shd w:val="clear" w:color="auto" w:fill="auto"/>
            <w:vAlign w:val="center"/>
          </w:tcPr>
          <w:p>
            <w:pPr>
              <w:jc w:val="center"/>
              <w:rPr>
                <w:rFonts w:ascii="宋体" w:hAnsi="宋体"/>
                <w:bCs/>
                <w:color w:val="auto"/>
                <w:sz w:val="24"/>
                <w:highlight w:val="none"/>
              </w:rPr>
            </w:pPr>
            <w:r>
              <w:rPr>
                <w:rFonts w:hint="eastAsia" w:ascii="宋体" w:hAnsi="宋体"/>
                <w:bCs/>
                <w:color w:val="auto"/>
                <w:sz w:val="24"/>
                <w:highlight w:val="none"/>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空调系统测试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E</w:t>
            </w:r>
            <w:r>
              <w:rPr>
                <w:rFonts w:hint="eastAsia" w:ascii="宋体" w:hAnsi="宋体"/>
                <w:color w:val="auto"/>
                <w:sz w:val="24"/>
                <w:highlight w:val="none"/>
              </w:rPr>
              <w:t>VC（电子设备舱通风系统）测试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PC</w:t>
            </w:r>
            <w:r>
              <w:rPr>
                <w:rFonts w:hint="eastAsia" w:ascii="宋体" w:hAnsi="宋体"/>
                <w:color w:val="auto"/>
                <w:sz w:val="24"/>
                <w:highlight w:val="none"/>
              </w:rPr>
              <w:t>（增压系统）操作测试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FS</w:t>
            </w:r>
            <w:r>
              <w:rPr>
                <w:rFonts w:hint="eastAsia" w:ascii="宋体" w:hAnsi="宋体"/>
                <w:color w:val="auto"/>
                <w:sz w:val="24"/>
                <w:highlight w:val="none"/>
              </w:rPr>
              <w:t>（自动飞行系统）测试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CIDS</w:t>
            </w:r>
            <w:r>
              <w:rPr>
                <w:rFonts w:hint="eastAsia" w:ascii="宋体" w:hAnsi="宋体" w:cs="Arial"/>
                <w:color w:val="auto"/>
                <w:sz w:val="24"/>
                <w:highlight w:val="none"/>
                <w:shd w:val="clear" w:color="auto" w:fill="FFFFFF"/>
              </w:rPr>
              <w:t>（客舱内话数据系统）</w:t>
            </w:r>
            <w:r>
              <w:rPr>
                <w:rFonts w:ascii="宋体" w:hAnsi="宋体" w:cs="Arial"/>
                <w:color w:val="auto"/>
                <w:sz w:val="24"/>
                <w:highlight w:val="none"/>
                <w:shd w:val="clear" w:color="auto" w:fill="FFFFFF"/>
              </w:rPr>
              <w:t>上电测试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EFCS</w:t>
            </w:r>
            <w:r>
              <w:rPr>
                <w:rFonts w:hint="eastAsia" w:ascii="宋体" w:hAnsi="宋体" w:cs="Arial"/>
                <w:color w:val="auto"/>
                <w:sz w:val="24"/>
                <w:highlight w:val="none"/>
                <w:shd w:val="clear" w:color="auto" w:fill="FFFFFF"/>
              </w:rPr>
              <w:t>（电传式飞行操纵系统）测试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ascii="宋体" w:hAnsi="宋体" w:cs="Arial"/>
                <w:color w:val="auto"/>
                <w:sz w:val="24"/>
                <w:highlight w:val="none"/>
                <w:shd w:val="clear" w:color="auto" w:fill="FFFFFF"/>
              </w:rPr>
              <w:t>SEC</w:t>
            </w:r>
            <w:r>
              <w:rPr>
                <w:rFonts w:hint="eastAsia" w:ascii="宋体" w:hAnsi="宋体" w:cs="Arial"/>
                <w:color w:val="auto"/>
                <w:sz w:val="24"/>
                <w:highlight w:val="none"/>
                <w:shd w:val="clear" w:color="auto" w:fill="FFFFFF"/>
              </w:rPr>
              <w:t>（扰流板、升降舵计算机）</w:t>
            </w:r>
            <w:r>
              <w:rPr>
                <w:rFonts w:ascii="宋体" w:hAnsi="宋体" w:cs="Arial"/>
                <w:color w:val="auto"/>
                <w:sz w:val="24"/>
                <w:highlight w:val="none"/>
                <w:shd w:val="clear" w:color="auto" w:fill="FFFFFF"/>
              </w:rPr>
              <w:t>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s="Arial"/>
                <w:color w:val="auto"/>
                <w:sz w:val="24"/>
                <w:highlight w:val="none"/>
                <w:shd w:val="clear" w:color="auto" w:fill="FFFFFF"/>
              </w:rPr>
              <w:t>SFCC（襟缝翼控制计算机）操作测试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V</w:t>
            </w:r>
            <w:r>
              <w:rPr>
                <w:rFonts w:ascii="宋体" w:hAnsi="宋体" w:cs="Arial"/>
                <w:color w:val="auto"/>
                <w:sz w:val="24"/>
                <w:highlight w:val="none"/>
                <w:shd w:val="clear" w:color="auto" w:fill="FFFFFF"/>
              </w:rPr>
              <w:t>HF</w:t>
            </w:r>
            <w:r>
              <w:rPr>
                <w:rFonts w:hint="eastAsia" w:ascii="宋体" w:hAnsi="宋体" w:cs="Arial"/>
                <w:color w:val="auto"/>
                <w:sz w:val="24"/>
                <w:highlight w:val="none"/>
                <w:shd w:val="clear" w:color="auto" w:fill="FFFFFF"/>
              </w:rPr>
              <w:t>（甚高频通讯）测试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H</w:t>
            </w:r>
            <w:r>
              <w:rPr>
                <w:rFonts w:ascii="宋体" w:hAnsi="宋体" w:cs="Arial"/>
                <w:color w:val="auto"/>
                <w:sz w:val="24"/>
                <w:highlight w:val="none"/>
                <w:shd w:val="clear" w:color="auto" w:fill="FFFFFF"/>
              </w:rPr>
              <w:t>F</w:t>
            </w:r>
            <w:r>
              <w:rPr>
                <w:rFonts w:hint="eastAsia" w:ascii="宋体" w:hAnsi="宋体" w:cs="Arial"/>
                <w:color w:val="auto"/>
                <w:sz w:val="24"/>
                <w:highlight w:val="none"/>
                <w:shd w:val="clear" w:color="auto" w:fill="FFFFFF"/>
              </w:rPr>
              <w:t>（高频通讯）测试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hint="eastAsia" w:ascii="宋体" w:hAnsi="宋体" w:cs="Arial"/>
                <w:color w:val="auto"/>
                <w:sz w:val="24"/>
                <w:highlight w:val="none"/>
                <w:shd w:val="clear" w:color="auto" w:fill="FFFFFF"/>
              </w:rPr>
              <w:t>RM</w:t>
            </w:r>
            <w:r>
              <w:rPr>
                <w:rFonts w:ascii="宋体" w:hAnsi="宋体" w:cs="Arial"/>
                <w:color w:val="auto"/>
                <w:sz w:val="24"/>
                <w:highlight w:val="none"/>
                <w:shd w:val="clear" w:color="auto" w:fill="FFFFFF"/>
              </w:rPr>
              <w:t>P</w:t>
            </w:r>
            <w:r>
              <w:rPr>
                <w:rFonts w:hint="eastAsia" w:ascii="宋体" w:hAnsi="宋体" w:cs="Arial"/>
                <w:color w:val="auto"/>
                <w:sz w:val="24"/>
                <w:highlight w:val="none"/>
                <w:shd w:val="clear" w:color="auto" w:fill="FFFFFF"/>
              </w:rPr>
              <w:t>（无线电管理面板）面板测试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VOR</w:t>
            </w:r>
            <w:r>
              <w:rPr>
                <w:rFonts w:hint="eastAsia" w:ascii="宋体" w:hAnsi="宋体" w:cs="Arial"/>
                <w:color w:val="auto"/>
                <w:sz w:val="24"/>
                <w:highlight w:val="none"/>
                <w:shd w:val="clear" w:color="auto" w:fill="FFFFFF"/>
              </w:rPr>
              <w:t>（甚高频全向信标）测试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DME</w:t>
            </w:r>
            <w:r>
              <w:rPr>
                <w:rFonts w:hint="eastAsia" w:ascii="宋体" w:hAnsi="宋体" w:cs="Arial"/>
                <w:color w:val="auto"/>
                <w:sz w:val="24"/>
                <w:highlight w:val="none"/>
                <w:shd w:val="clear" w:color="auto" w:fill="FFFFFF"/>
              </w:rPr>
              <w:t>（测距仪）测试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ADF</w:t>
            </w:r>
            <w:r>
              <w:rPr>
                <w:rFonts w:hint="eastAsia" w:ascii="宋体" w:hAnsi="宋体" w:cs="Arial"/>
                <w:color w:val="auto"/>
                <w:sz w:val="24"/>
                <w:highlight w:val="none"/>
                <w:shd w:val="clear" w:color="auto" w:fill="FFFFFF"/>
              </w:rPr>
              <w:t>（自动定向机）测试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ILS</w:t>
            </w:r>
            <w:r>
              <w:rPr>
                <w:rFonts w:hint="eastAsia" w:ascii="宋体" w:hAnsi="宋体" w:cs="Arial"/>
                <w:color w:val="auto"/>
                <w:sz w:val="24"/>
                <w:highlight w:val="none"/>
                <w:shd w:val="clear" w:color="auto" w:fill="FFFFFF"/>
              </w:rPr>
              <w:t>（仪表着陆系统）测试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G</w:t>
            </w:r>
            <w:r>
              <w:rPr>
                <w:rFonts w:hint="eastAsia" w:ascii="宋体" w:hAnsi="宋体" w:cs="Arial"/>
                <w:color w:val="auto"/>
                <w:sz w:val="24"/>
                <w:highlight w:val="none"/>
                <w:shd w:val="clear" w:color="auto" w:fill="FFFFFF"/>
              </w:rPr>
              <w:t>AP</w:t>
            </w:r>
            <w:r>
              <w:rPr>
                <w:rFonts w:ascii="宋体" w:hAnsi="宋体" w:cs="Arial"/>
                <w:color w:val="auto"/>
                <w:sz w:val="24"/>
                <w:highlight w:val="none"/>
                <w:shd w:val="clear" w:color="auto" w:fill="FFFFFF"/>
              </w:rPr>
              <w:t>CU</w:t>
            </w:r>
            <w:r>
              <w:rPr>
                <w:rFonts w:hint="eastAsia" w:ascii="宋体" w:hAnsi="宋体" w:cs="Arial"/>
                <w:color w:val="auto"/>
                <w:sz w:val="24"/>
                <w:highlight w:val="none"/>
                <w:shd w:val="clear" w:color="auto" w:fill="FFFFFF"/>
              </w:rPr>
              <w:t>（地面辅助电源控制组件）测试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s="Arial"/>
                <w:color w:val="auto"/>
                <w:sz w:val="24"/>
                <w:highlight w:val="none"/>
                <w:shd w:val="clear" w:color="auto" w:fill="FFFFFF"/>
              </w:rPr>
            </w:pPr>
            <w:r>
              <w:rPr>
                <w:rFonts w:ascii="宋体" w:hAnsi="宋体" w:cs="Arial"/>
                <w:color w:val="auto"/>
                <w:sz w:val="24"/>
                <w:highlight w:val="none"/>
                <w:shd w:val="clear" w:color="auto" w:fill="FFFFFF"/>
              </w:rPr>
              <w:t>FMGC</w:t>
            </w:r>
            <w:r>
              <w:rPr>
                <w:rFonts w:hint="eastAsia" w:ascii="宋体" w:hAnsi="宋体" w:cs="Arial"/>
                <w:color w:val="auto"/>
                <w:sz w:val="24"/>
                <w:highlight w:val="none"/>
                <w:shd w:val="clear" w:color="auto" w:fill="FFFFFF"/>
              </w:rPr>
              <w:t>（飞机管理系统）测试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B</w:t>
            </w:r>
            <w:r>
              <w:rPr>
                <w:rFonts w:ascii="宋体" w:hAnsi="宋体"/>
                <w:color w:val="auto"/>
                <w:sz w:val="24"/>
                <w:highlight w:val="none"/>
              </w:rPr>
              <w:t>MC</w:t>
            </w:r>
            <w:r>
              <w:rPr>
                <w:rFonts w:hint="eastAsia" w:ascii="宋体" w:hAnsi="宋体"/>
                <w:color w:val="auto"/>
                <w:sz w:val="24"/>
                <w:highlight w:val="none"/>
              </w:rPr>
              <w:t>（引气管理系统）测试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shd w:val="clear" w:color="auto" w:fill="auto"/>
            <w:vAlign w:val="center"/>
          </w:tcPr>
          <w:p>
            <w:pPr>
              <w:pStyle w:val="256"/>
              <w:numPr>
                <w:ilvl w:val="0"/>
                <w:numId w:val="5"/>
              </w:numPr>
              <w:adjustRightInd/>
              <w:spacing w:line="240" w:lineRule="auto"/>
              <w:ind w:firstLineChars="0"/>
              <w:jc w:val="center"/>
              <w:rPr>
                <w:rFonts w:ascii="宋体" w:hAnsi="宋体" w:eastAsia="宋体"/>
                <w:color w:val="auto"/>
                <w:highlight w:val="none"/>
              </w:rPr>
            </w:pPr>
          </w:p>
        </w:tc>
        <w:tc>
          <w:tcPr>
            <w:tcW w:w="4312" w:type="pct"/>
            <w:shd w:val="clear" w:color="auto" w:fill="auto"/>
            <w:vAlign w:val="center"/>
          </w:tcPr>
          <w:p>
            <w:pPr>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PU</w:t>
            </w:r>
            <w:r>
              <w:rPr>
                <w:rFonts w:hint="eastAsia" w:ascii="宋体" w:hAnsi="宋体"/>
                <w:color w:val="auto"/>
                <w:sz w:val="24"/>
                <w:highlight w:val="none"/>
              </w:rPr>
              <w:t>（辅助动力）测试</w:t>
            </w:r>
          </w:p>
        </w:tc>
      </w:tr>
    </w:tbl>
    <w:p>
      <w:pPr>
        <w:spacing w:line="276" w:lineRule="auto"/>
        <w:jc w:val="left"/>
        <w:rPr>
          <w:rFonts w:ascii="宋体" w:hAnsi="宋体"/>
          <w:color w:val="auto"/>
          <w:sz w:val="24"/>
          <w:highlight w:val="none"/>
          <w:shd w:val="clear" w:color="auto" w:fill="FFFFFF"/>
        </w:rPr>
      </w:pPr>
    </w:p>
    <w:p>
      <w:pPr>
        <w:pStyle w:val="256"/>
        <w:numPr>
          <w:ilvl w:val="0"/>
          <w:numId w:val="4"/>
        </w:numPr>
        <w:snapToGrid w:val="0"/>
        <w:ind w:left="482"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机上区域检查</w:t>
      </w:r>
    </w:p>
    <w:p>
      <w:pPr>
        <w:numPr>
          <w:ilvl w:val="0"/>
          <w:numId w:val="6"/>
        </w:numPr>
        <w:snapToGrid w:val="0"/>
        <w:spacing w:line="360" w:lineRule="auto"/>
        <w:ind w:left="0" w:firstLine="480" w:firstLineChars="200"/>
        <w:rPr>
          <w:rFonts w:ascii="宋体" w:hAnsi="宋体"/>
          <w:color w:val="auto"/>
          <w:sz w:val="24"/>
          <w:highlight w:val="none"/>
        </w:rPr>
      </w:pPr>
      <w:r>
        <w:rPr>
          <w:rFonts w:ascii="宋体" w:hAnsi="宋体"/>
          <w:color w:val="auto"/>
          <w:sz w:val="24"/>
          <w:highlight w:val="none"/>
        </w:rPr>
        <w:t>驾驶舱和客舱区域</w:t>
      </w:r>
    </w:p>
    <w:p>
      <w:pPr>
        <w:pStyle w:val="256"/>
        <w:snapToGrid w:val="0"/>
        <w:ind w:left="482" w:firstLine="480"/>
        <w:jc w:val="left"/>
        <w:rPr>
          <w:rFonts w:ascii="宋体" w:hAnsi="宋体" w:eastAsia="宋体"/>
          <w:color w:val="auto"/>
          <w:highlight w:val="none"/>
          <w:shd w:val="clear" w:color="auto" w:fill="FFFFFF"/>
        </w:rPr>
      </w:pPr>
      <w:r>
        <w:rPr>
          <w:rFonts w:ascii="宋体" w:hAnsi="宋体" w:eastAsia="宋体"/>
          <w:color w:val="auto"/>
          <w:highlight w:val="none"/>
          <w:shd w:val="clear" w:color="auto" w:fill="FFFFFF"/>
        </w:rPr>
        <w:t>1.</w:t>
      </w:r>
      <w:r>
        <w:rPr>
          <w:rFonts w:ascii="宋体" w:hAnsi="宋体" w:eastAsia="宋体"/>
          <w:color w:val="auto"/>
          <w:highlight w:val="none"/>
          <w:shd w:val="clear" w:color="auto" w:fill="FFFFFF"/>
        </w:rPr>
        <w:tab/>
      </w:r>
      <w:r>
        <w:rPr>
          <w:rFonts w:ascii="宋体" w:hAnsi="宋体" w:eastAsia="宋体"/>
          <w:color w:val="auto"/>
          <w:highlight w:val="none"/>
          <w:shd w:val="clear" w:color="auto" w:fill="FFFFFF"/>
        </w:rPr>
        <w:t>检查ECAM上无除发动机以外的故障信息</w:t>
      </w:r>
    </w:p>
    <w:p>
      <w:pPr>
        <w:pStyle w:val="256"/>
        <w:snapToGrid w:val="0"/>
        <w:ind w:firstLine="480"/>
        <w:jc w:val="left"/>
        <w:rPr>
          <w:rFonts w:ascii="宋体" w:hAnsi="宋体" w:eastAsia="宋体"/>
          <w:color w:val="auto"/>
          <w:highlight w:val="none"/>
          <w:shd w:val="clear" w:color="auto" w:fill="FFFFFF"/>
        </w:rPr>
      </w:pPr>
      <w:r>
        <w:rPr>
          <w:rFonts w:ascii="宋体" w:hAnsi="宋体" w:eastAsia="宋体"/>
          <w:color w:val="auto"/>
          <w:highlight w:val="none"/>
          <w:shd w:val="clear" w:color="auto" w:fill="FFFFFF"/>
        </w:rPr>
        <w:t>2.</w:t>
      </w:r>
      <w:r>
        <w:rPr>
          <w:rFonts w:ascii="宋体" w:hAnsi="宋体" w:eastAsia="宋体"/>
          <w:color w:val="auto"/>
          <w:highlight w:val="none"/>
          <w:shd w:val="clear" w:color="auto" w:fill="FFFFFF"/>
        </w:rPr>
        <w:tab/>
      </w:r>
      <w:r>
        <w:rPr>
          <w:rFonts w:ascii="宋体" w:hAnsi="宋体" w:eastAsia="宋体"/>
          <w:color w:val="auto"/>
          <w:highlight w:val="none"/>
          <w:shd w:val="clear" w:color="auto" w:fill="FFFFFF"/>
        </w:rPr>
        <w:t>驾驶舱</w:t>
      </w:r>
      <w:r>
        <w:rPr>
          <w:rFonts w:hint="eastAsia" w:ascii="宋体" w:hAnsi="宋体" w:eastAsia="宋体"/>
          <w:color w:val="auto"/>
          <w:highlight w:val="none"/>
          <w:shd w:val="clear" w:color="auto" w:fill="FFFFFF"/>
        </w:rPr>
        <w:t>区域：机长、副驾及观察员</w:t>
      </w:r>
      <w:r>
        <w:rPr>
          <w:rFonts w:ascii="宋体" w:hAnsi="宋体" w:eastAsia="宋体"/>
          <w:color w:val="auto"/>
          <w:highlight w:val="none"/>
          <w:shd w:val="clear" w:color="auto" w:fill="FFFFFF"/>
        </w:rPr>
        <w:t>座椅功能完好，各操作面板及跳开关操作测试正常</w:t>
      </w:r>
      <w:r>
        <w:rPr>
          <w:rFonts w:hint="eastAsia" w:ascii="宋体" w:hAnsi="宋体" w:eastAsia="宋体"/>
          <w:color w:val="auto"/>
          <w:highlight w:val="none"/>
          <w:shd w:val="clear" w:color="auto" w:fill="FFFFFF"/>
        </w:rPr>
        <w:t>、灯光显示正常、电门/旋钮正常可用，显示器无裂纹且可正常显示、各面板电门上的功能标识清晰可见</w:t>
      </w:r>
      <w:r>
        <w:rPr>
          <w:rFonts w:ascii="宋体" w:hAnsi="宋体" w:eastAsia="宋体"/>
          <w:color w:val="auto"/>
          <w:highlight w:val="none"/>
          <w:shd w:val="clear" w:color="auto" w:fill="FFFFFF"/>
        </w:rPr>
        <w:t>，</w:t>
      </w:r>
      <w:r>
        <w:rPr>
          <w:rFonts w:hint="eastAsia" w:ascii="宋体" w:hAnsi="宋体" w:eastAsia="宋体"/>
          <w:color w:val="auto"/>
          <w:highlight w:val="none"/>
          <w:shd w:val="clear" w:color="auto" w:fill="FFFFFF"/>
        </w:rPr>
        <w:t>驾驶舱应急设备数量够且在位，</w:t>
      </w:r>
      <w:r>
        <w:rPr>
          <w:rFonts w:ascii="宋体" w:hAnsi="宋体" w:eastAsia="宋体"/>
          <w:color w:val="auto"/>
          <w:highlight w:val="none"/>
          <w:shd w:val="clear" w:color="auto" w:fill="FFFFFF"/>
        </w:rPr>
        <w:t>风挡</w:t>
      </w:r>
      <w:r>
        <w:rPr>
          <w:rFonts w:hint="eastAsia" w:ascii="宋体" w:hAnsi="宋体" w:eastAsia="宋体"/>
          <w:color w:val="auto"/>
          <w:highlight w:val="none"/>
          <w:shd w:val="clear" w:color="auto" w:fill="FFFFFF"/>
        </w:rPr>
        <w:t>、固定窗及滑动窗</w:t>
      </w:r>
      <w:r>
        <w:rPr>
          <w:rFonts w:ascii="宋体" w:hAnsi="宋体" w:eastAsia="宋体"/>
          <w:color w:val="auto"/>
          <w:highlight w:val="none"/>
          <w:shd w:val="clear" w:color="auto" w:fill="FFFFFF"/>
        </w:rPr>
        <w:t>玻璃无破损，</w:t>
      </w:r>
      <w:r>
        <w:rPr>
          <w:rFonts w:hint="eastAsia" w:ascii="宋体" w:hAnsi="宋体" w:eastAsia="宋体"/>
          <w:color w:val="auto"/>
          <w:highlight w:val="none"/>
          <w:shd w:val="clear" w:color="auto" w:fill="FFFFFF"/>
        </w:rPr>
        <w:t>备用灯泡盒内灯泡完整在位、</w:t>
      </w:r>
      <w:r>
        <w:rPr>
          <w:rFonts w:ascii="宋体" w:hAnsi="宋体" w:eastAsia="宋体"/>
          <w:color w:val="auto"/>
          <w:highlight w:val="none"/>
          <w:shd w:val="clear" w:color="auto" w:fill="FFFFFF"/>
        </w:rPr>
        <w:t>驾驶舱内装件无破损等</w:t>
      </w:r>
      <w:r>
        <w:rPr>
          <w:rFonts w:hint="eastAsia" w:ascii="宋体" w:hAnsi="宋体" w:eastAsia="宋体"/>
          <w:color w:val="auto"/>
          <w:highlight w:val="none"/>
          <w:shd w:val="clear" w:color="auto" w:fill="FFFFFF"/>
        </w:rPr>
        <w:t>。</w:t>
      </w:r>
    </w:p>
    <w:p>
      <w:pPr>
        <w:numPr>
          <w:ilvl w:val="0"/>
          <w:numId w:val="6"/>
        </w:numPr>
        <w:snapToGrid w:val="0"/>
        <w:spacing w:line="360" w:lineRule="auto"/>
        <w:ind w:left="0" w:firstLine="480" w:firstLineChars="200"/>
        <w:rPr>
          <w:rFonts w:ascii="宋体" w:hAnsi="宋体"/>
          <w:color w:val="auto"/>
          <w:sz w:val="24"/>
          <w:highlight w:val="none"/>
          <w:shd w:val="clear" w:color="auto" w:fill="FFFFFF"/>
        </w:rPr>
      </w:pPr>
      <w:r>
        <w:rPr>
          <w:rFonts w:ascii="宋体" w:hAnsi="宋体"/>
          <w:color w:val="auto"/>
          <w:sz w:val="24"/>
          <w:highlight w:val="none"/>
        </w:rPr>
        <w:t>前后厨房及厕所区域：</w:t>
      </w:r>
      <w:r>
        <w:rPr>
          <w:rFonts w:ascii="宋体" w:hAnsi="宋体"/>
          <w:color w:val="auto"/>
          <w:sz w:val="24"/>
          <w:highlight w:val="none"/>
          <w:shd w:val="clear" w:color="auto" w:fill="FFFFFF"/>
        </w:rPr>
        <w:t>厨房台面</w:t>
      </w:r>
      <w:r>
        <w:rPr>
          <w:rFonts w:hint="eastAsia" w:ascii="宋体" w:hAnsi="宋体"/>
          <w:color w:val="auto"/>
          <w:sz w:val="24"/>
          <w:highlight w:val="none"/>
          <w:shd w:val="clear" w:color="auto" w:fill="FFFFFF"/>
        </w:rPr>
        <w:t>和厕所门框及与地板连接区域</w:t>
      </w:r>
      <w:r>
        <w:rPr>
          <w:rFonts w:ascii="宋体" w:hAnsi="宋体"/>
          <w:color w:val="auto"/>
          <w:sz w:val="24"/>
          <w:highlight w:val="none"/>
          <w:shd w:val="clear" w:color="auto" w:fill="FFFFFF"/>
        </w:rPr>
        <w:t>无腐蚀破损变形、餐车齐全、餐车止挡、厕所门、厕所门锁、厕所洗手盆及水龙头、壁纸等完好无破损，厕所马桶冲洗活门工作正常</w:t>
      </w:r>
      <w:r>
        <w:rPr>
          <w:rFonts w:hint="eastAsia" w:ascii="宋体" w:hAnsi="宋体"/>
          <w:color w:val="auto"/>
          <w:sz w:val="24"/>
          <w:highlight w:val="none"/>
          <w:shd w:val="clear" w:color="auto" w:fill="FFFFFF"/>
        </w:rPr>
        <w:t>、厕所垃圾箱上部灭火瓶在位可用</w:t>
      </w:r>
      <w:r>
        <w:rPr>
          <w:rFonts w:ascii="宋体" w:hAnsi="宋体"/>
          <w:color w:val="auto"/>
          <w:sz w:val="24"/>
          <w:highlight w:val="none"/>
          <w:shd w:val="clear" w:color="auto" w:fill="FFFFFF"/>
        </w:rPr>
        <w:t>，地板革无鼓包破损等。</w:t>
      </w:r>
    </w:p>
    <w:p>
      <w:pPr>
        <w:numPr>
          <w:ilvl w:val="0"/>
          <w:numId w:val="6"/>
        </w:numPr>
        <w:snapToGrid w:val="0"/>
        <w:spacing w:line="360" w:lineRule="auto"/>
        <w:ind w:left="0" w:firstLine="480" w:firstLineChars="200"/>
        <w:rPr>
          <w:rFonts w:ascii="宋体" w:hAnsi="宋体"/>
          <w:color w:val="auto"/>
          <w:sz w:val="24"/>
          <w:highlight w:val="none"/>
        </w:rPr>
      </w:pPr>
      <w:r>
        <w:rPr>
          <w:rFonts w:ascii="宋体" w:hAnsi="宋体"/>
          <w:color w:val="auto"/>
          <w:sz w:val="24"/>
          <w:highlight w:val="none"/>
        </w:rPr>
        <w:t>客舱区域：行李架、灯光、侧壁版、内话系统、娱乐系统等完好</w:t>
      </w:r>
      <w:r>
        <w:rPr>
          <w:rFonts w:hint="eastAsia" w:ascii="宋体" w:hAnsi="宋体"/>
          <w:color w:val="auto"/>
          <w:sz w:val="24"/>
          <w:highlight w:val="none"/>
        </w:rPr>
        <w:t>、可用、</w:t>
      </w:r>
      <w:r>
        <w:rPr>
          <w:rFonts w:ascii="宋体" w:hAnsi="宋体"/>
          <w:color w:val="auto"/>
          <w:sz w:val="24"/>
          <w:highlight w:val="none"/>
        </w:rPr>
        <w:t>无破损</w:t>
      </w:r>
      <w:r>
        <w:rPr>
          <w:rFonts w:hint="eastAsia" w:ascii="宋体" w:hAnsi="宋体"/>
          <w:color w:val="auto"/>
          <w:sz w:val="24"/>
          <w:highlight w:val="none"/>
        </w:rPr>
        <w:t>。</w:t>
      </w:r>
    </w:p>
    <w:p>
      <w:pPr>
        <w:numPr>
          <w:ilvl w:val="0"/>
          <w:numId w:val="6"/>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客舱</w:t>
      </w:r>
      <w:r>
        <w:rPr>
          <w:rFonts w:ascii="宋体" w:hAnsi="宋体"/>
          <w:color w:val="auto"/>
          <w:sz w:val="24"/>
          <w:highlight w:val="none"/>
        </w:rPr>
        <w:t>座椅：座椅套、座椅地脚、</w:t>
      </w:r>
      <w:r>
        <w:rPr>
          <w:rFonts w:hint="eastAsia" w:ascii="宋体" w:hAnsi="宋体"/>
          <w:color w:val="auto"/>
          <w:sz w:val="24"/>
          <w:highlight w:val="none"/>
        </w:rPr>
        <w:t>座椅</w:t>
      </w:r>
      <w:r>
        <w:rPr>
          <w:rFonts w:ascii="宋体" w:hAnsi="宋体"/>
          <w:color w:val="auto"/>
          <w:sz w:val="24"/>
          <w:highlight w:val="none"/>
        </w:rPr>
        <w:t>作动筒、小桌板、座椅垫、座椅靠背、书报夹、扶手壳、脚蹬、杯托</w:t>
      </w:r>
      <w:r>
        <w:rPr>
          <w:rFonts w:hint="eastAsia" w:ascii="宋体" w:hAnsi="宋体"/>
          <w:color w:val="auto"/>
          <w:sz w:val="24"/>
          <w:highlight w:val="none"/>
        </w:rPr>
        <w:t>、旅客救生衣</w:t>
      </w:r>
      <w:r>
        <w:rPr>
          <w:rFonts w:ascii="宋体" w:hAnsi="宋体"/>
          <w:color w:val="auto"/>
          <w:sz w:val="24"/>
          <w:highlight w:val="none"/>
        </w:rPr>
        <w:t>等</w:t>
      </w:r>
      <w:r>
        <w:rPr>
          <w:rFonts w:hint="eastAsia" w:ascii="宋体" w:hAnsi="宋体"/>
          <w:color w:val="auto"/>
          <w:sz w:val="24"/>
          <w:highlight w:val="none"/>
        </w:rPr>
        <w:t>在位</w:t>
      </w:r>
      <w:r>
        <w:rPr>
          <w:rFonts w:ascii="宋体" w:hAnsi="宋体"/>
          <w:color w:val="auto"/>
          <w:sz w:val="24"/>
          <w:highlight w:val="none"/>
        </w:rPr>
        <w:t>完好</w:t>
      </w:r>
      <w:r>
        <w:rPr>
          <w:rFonts w:hint="eastAsia" w:ascii="宋体" w:hAnsi="宋体"/>
          <w:color w:val="auto"/>
          <w:sz w:val="24"/>
          <w:highlight w:val="none"/>
        </w:rPr>
        <w:t>可用、</w:t>
      </w:r>
      <w:r>
        <w:rPr>
          <w:rFonts w:ascii="宋体" w:hAnsi="宋体"/>
          <w:color w:val="auto"/>
          <w:sz w:val="24"/>
          <w:highlight w:val="none"/>
        </w:rPr>
        <w:t>无破损</w:t>
      </w:r>
      <w:r>
        <w:rPr>
          <w:rFonts w:hint="eastAsia" w:ascii="宋体" w:hAnsi="宋体"/>
          <w:color w:val="auto"/>
          <w:sz w:val="24"/>
          <w:highlight w:val="none"/>
        </w:rPr>
        <w:t>。</w:t>
      </w:r>
    </w:p>
    <w:p>
      <w:pPr>
        <w:pStyle w:val="256"/>
        <w:numPr>
          <w:ilvl w:val="0"/>
          <w:numId w:val="4"/>
        </w:numPr>
        <w:snapToGrid w:val="0"/>
        <w:ind w:left="482" w:firstLineChars="0"/>
        <w:jc w:val="left"/>
        <w:rPr>
          <w:rFonts w:ascii="宋体" w:hAnsi="宋体" w:eastAsia="宋体"/>
          <w:color w:val="auto"/>
          <w:highlight w:val="none"/>
          <w:shd w:val="clear" w:color="auto" w:fill="FFFFFF"/>
        </w:rPr>
      </w:pPr>
      <w:r>
        <w:rPr>
          <w:rFonts w:hint="eastAsia" w:ascii="宋体" w:hAnsi="宋体" w:eastAsia="宋体"/>
          <w:color w:val="auto"/>
          <w:highlight w:val="none"/>
          <w:shd w:val="clear" w:color="auto" w:fill="FFFFFF"/>
        </w:rPr>
        <w:t>机下区域检查</w:t>
      </w:r>
    </w:p>
    <w:p>
      <w:pPr>
        <w:numPr>
          <w:ilvl w:val="0"/>
          <w:numId w:val="7"/>
        </w:numPr>
        <w:snapToGrid w:val="0"/>
        <w:spacing w:line="360" w:lineRule="auto"/>
        <w:ind w:left="0" w:firstLine="426"/>
        <w:rPr>
          <w:rFonts w:ascii="宋体" w:hAnsi="宋体"/>
          <w:color w:val="auto"/>
          <w:sz w:val="24"/>
          <w:highlight w:val="none"/>
        </w:rPr>
      </w:pPr>
      <w:r>
        <w:rPr>
          <w:rFonts w:hint="eastAsia" w:ascii="宋体" w:hAnsi="宋体"/>
          <w:color w:val="auto"/>
          <w:sz w:val="24"/>
          <w:highlight w:val="none"/>
        </w:rPr>
        <w:t>左前机身部分</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AOA探头正常无明显损伤。</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RVSM红色区域无变形，无划伤，无雷击点。采样孔完好畅通无堵塞，无异物，无结冰。检查无损伤，无过热发黑迹象。</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ascii="宋体" w:hAnsi="宋体"/>
          <w:color w:val="auto"/>
          <w:sz w:val="24"/>
          <w:highlight w:val="none"/>
        </w:rPr>
        <w:t>812</w:t>
      </w:r>
      <w:r>
        <w:rPr>
          <w:rFonts w:hint="eastAsia" w:ascii="宋体" w:hAnsi="宋体"/>
          <w:color w:val="auto"/>
          <w:sz w:val="24"/>
          <w:highlight w:val="none"/>
        </w:rPr>
        <w:t>电子舱通风进气口活门在正常位，无堵塞，超控手柄正常。</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机组氧气瓶释压圆片绿色在位，无明显异常。</w:t>
      </w:r>
    </w:p>
    <w:p>
      <w:pPr>
        <w:numPr>
          <w:ilvl w:val="0"/>
          <w:numId w:val="8"/>
        </w:numPr>
        <w:snapToGrid w:val="0"/>
        <w:spacing w:line="360" w:lineRule="auto"/>
        <w:ind w:right="420" w:rightChars="200" w:firstLine="480" w:firstLineChars="200"/>
        <w:rPr>
          <w:rFonts w:ascii="宋体" w:hAnsi="宋体"/>
          <w:color w:val="auto"/>
          <w:sz w:val="24"/>
          <w:highlight w:val="none"/>
        </w:rPr>
      </w:pPr>
      <w:r>
        <w:rPr>
          <w:rFonts w:hint="eastAsia" w:ascii="宋体" w:hAnsi="宋体"/>
          <w:color w:val="auto"/>
          <w:sz w:val="24"/>
          <w:highlight w:val="none"/>
        </w:rPr>
        <w:t>机身外部蒙皮无明显损伤或异常情况。</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机头部分</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检查皮托管是否有弯曲，损伤，变形</w:t>
      </w:r>
      <w:r>
        <w:rPr>
          <w:rFonts w:hint="eastAsia" w:ascii="宋体" w:hAnsi="宋体"/>
          <w:color w:val="auto"/>
          <w:sz w:val="24"/>
          <w:highlight w:val="none"/>
        </w:rPr>
        <w:t>等明显异常情况。</w:t>
      </w:r>
    </w:p>
    <w:p>
      <w:pPr>
        <w:numPr>
          <w:ilvl w:val="0"/>
          <w:numId w:val="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TAT探头正常无明显损伤。</w:t>
      </w:r>
    </w:p>
    <w:p>
      <w:pPr>
        <w:numPr>
          <w:ilvl w:val="0"/>
          <w:numId w:val="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雷达罩清洁完好，导电条在位完好，无明显漆层剥落，凹坑，外来物损伤，分层或雷击痕迹，锁扣在正常位置。</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811电子舱门锁扣扣好齐平。外部蒙皮结构无裂纹</w:t>
      </w:r>
      <w:r>
        <w:rPr>
          <w:rFonts w:hint="eastAsia" w:ascii="宋体" w:hAnsi="宋体"/>
          <w:color w:val="auto"/>
          <w:sz w:val="24"/>
          <w:highlight w:val="none"/>
        </w:rPr>
        <w:t>，</w:t>
      </w:r>
      <w:r>
        <w:rPr>
          <w:rFonts w:ascii="宋体" w:hAnsi="宋体"/>
          <w:color w:val="auto"/>
          <w:sz w:val="24"/>
          <w:highlight w:val="none"/>
        </w:rPr>
        <w:t>划痕，凹坑，雷击点等损伤。封严完好在位，无腐蚀，变形，划痕等损伤。舱门按钮，手柄无腐蚀划痕变形等损伤</w:t>
      </w:r>
      <w:r>
        <w:rPr>
          <w:rFonts w:hint="eastAsia" w:ascii="宋体" w:hAnsi="宋体"/>
          <w:color w:val="auto"/>
          <w:sz w:val="24"/>
          <w:highlight w:val="none"/>
        </w:rPr>
        <w:t>，</w:t>
      </w:r>
      <w:r>
        <w:rPr>
          <w:rFonts w:ascii="宋体" w:hAnsi="宋体"/>
          <w:color w:val="auto"/>
          <w:sz w:val="24"/>
          <w:highlight w:val="none"/>
        </w:rPr>
        <w:t>可正常操作</w:t>
      </w:r>
      <w:r>
        <w:rPr>
          <w:rFonts w:hint="eastAsia" w:ascii="宋体" w:hAnsi="宋体"/>
          <w:color w:val="auto"/>
          <w:sz w:val="24"/>
          <w:highlight w:val="none"/>
        </w:rPr>
        <w:t>。</w:t>
      </w:r>
    </w:p>
    <w:p>
      <w:pPr>
        <w:numPr>
          <w:ilvl w:val="0"/>
          <w:numId w:val="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地面电源</w:t>
      </w:r>
      <w:r>
        <w:rPr>
          <w:rFonts w:hint="eastAsia" w:ascii="宋体" w:hAnsi="宋体"/>
          <w:color w:val="auto"/>
          <w:sz w:val="24"/>
          <w:highlight w:val="none"/>
        </w:rPr>
        <w:t>面板无变形或其他明显损伤，可正常操作。</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前起落架</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检查前轮</w:t>
      </w:r>
      <w:r>
        <w:rPr>
          <w:rFonts w:hint="eastAsia" w:ascii="宋体" w:hAnsi="宋体"/>
          <w:color w:val="auto"/>
          <w:sz w:val="24"/>
          <w:highlight w:val="none"/>
        </w:rPr>
        <w:t>无超过手册标准损伤，轮毂</w:t>
      </w:r>
      <w:r>
        <w:rPr>
          <w:rFonts w:ascii="宋体" w:hAnsi="宋体"/>
          <w:color w:val="auto"/>
          <w:sz w:val="24"/>
          <w:highlight w:val="none"/>
        </w:rPr>
        <w:t>螺杆在位无损伤，充气嘴防尘冒在位，防尘罩在位完好，螺钉在位完好，过压释放塞在位，定位红线对齐</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前起落架支柱</w:t>
      </w:r>
      <w:r>
        <w:rPr>
          <w:rFonts w:hint="eastAsia" w:ascii="宋体" w:hAnsi="宋体"/>
          <w:color w:val="auto"/>
          <w:sz w:val="24"/>
          <w:highlight w:val="none"/>
        </w:rPr>
        <w:t>及镜面</w:t>
      </w:r>
      <w:r>
        <w:rPr>
          <w:rFonts w:ascii="宋体" w:hAnsi="宋体"/>
          <w:color w:val="auto"/>
          <w:sz w:val="24"/>
          <w:highlight w:val="none"/>
        </w:rPr>
        <w:t>无损伤清洁完好，正常伸出，套筒无油液渗漏，封圈无脱出，附件连接牢固。目视检查扭力臂连接正常，无损伤，确认扭力臂连接销转动顺畅，封胶完好无脱落。连接销螺帽的保险紧固件完好。检查滑行</w:t>
      </w:r>
      <w:r>
        <w:rPr>
          <w:rFonts w:hint="eastAsia" w:ascii="宋体" w:hAnsi="宋体"/>
          <w:color w:val="auto"/>
          <w:sz w:val="24"/>
          <w:highlight w:val="none"/>
        </w:rPr>
        <w:t>灯</w:t>
      </w:r>
      <w:r>
        <w:rPr>
          <w:rFonts w:ascii="宋体" w:hAnsi="宋体"/>
          <w:color w:val="auto"/>
          <w:sz w:val="24"/>
          <w:highlight w:val="none"/>
        </w:rPr>
        <w:t>，起飞</w:t>
      </w:r>
      <w:r>
        <w:rPr>
          <w:rFonts w:hint="eastAsia" w:ascii="宋体" w:hAnsi="宋体"/>
          <w:color w:val="auto"/>
          <w:sz w:val="24"/>
          <w:highlight w:val="none"/>
        </w:rPr>
        <w:t>灯</w:t>
      </w:r>
      <w:r>
        <w:rPr>
          <w:rFonts w:ascii="宋体" w:hAnsi="宋体"/>
          <w:color w:val="auto"/>
          <w:sz w:val="24"/>
          <w:highlight w:val="none"/>
        </w:rPr>
        <w:t>，转弯灯完好无损伤，确认卡箍固定正常</w:t>
      </w:r>
      <w:r>
        <w:rPr>
          <w:rFonts w:hint="eastAsia" w:ascii="宋体" w:hAnsi="宋体"/>
          <w:color w:val="auto"/>
          <w:sz w:val="24"/>
          <w:highlight w:val="none"/>
        </w:rPr>
        <w:t>且</w:t>
      </w:r>
      <w:r>
        <w:rPr>
          <w:rFonts w:ascii="宋体" w:hAnsi="宋体"/>
          <w:color w:val="auto"/>
          <w:sz w:val="24"/>
          <w:highlight w:val="none"/>
        </w:rPr>
        <w:t>电插头无松动</w:t>
      </w:r>
      <w:r>
        <w:rPr>
          <w:rFonts w:hint="eastAsia" w:ascii="宋体" w:hAnsi="宋体"/>
          <w:color w:val="auto"/>
          <w:sz w:val="24"/>
          <w:highlight w:val="none"/>
        </w:rPr>
        <w:t>，刹车指示灯在位完好无损伤。</w:t>
      </w:r>
    </w:p>
    <w:p>
      <w:pPr>
        <w:numPr>
          <w:ilvl w:val="0"/>
          <w:numId w:val="1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所有液压管路无损伤和渗漏。</w:t>
      </w:r>
    </w:p>
    <w:p>
      <w:pPr>
        <w:numPr>
          <w:ilvl w:val="0"/>
          <w:numId w:val="1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检查轮舱无附着物，无表面损伤，无油液渗漏，清洁无油污，门封严在位无松脱。随动舱门外表面无损伤，密封条正常在位，舱门连杆无损伤，连接正常。舱内可见部件无损伤，无液压渗漏，各种插头连接正常。</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右前机身</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822及824电子舱门锁扣扣好齐平。外部蒙皮结构无裂纹</w:t>
      </w:r>
      <w:r>
        <w:rPr>
          <w:rFonts w:hint="eastAsia" w:ascii="宋体" w:hAnsi="宋体"/>
          <w:color w:val="auto"/>
          <w:sz w:val="24"/>
          <w:highlight w:val="none"/>
        </w:rPr>
        <w:t>，</w:t>
      </w:r>
      <w:r>
        <w:rPr>
          <w:rFonts w:ascii="宋体" w:hAnsi="宋体"/>
          <w:color w:val="auto"/>
          <w:sz w:val="24"/>
          <w:highlight w:val="none"/>
        </w:rPr>
        <w:t>划痕，凹坑，雷击点等损伤。封严完好在位，无腐蚀，变形，划痕等损伤。舱门按钮，手柄无腐蚀划痕变形等损伤</w:t>
      </w:r>
      <w:r>
        <w:rPr>
          <w:rFonts w:hint="eastAsia" w:ascii="宋体" w:hAnsi="宋体"/>
          <w:color w:val="auto"/>
          <w:sz w:val="24"/>
          <w:highlight w:val="none"/>
        </w:rPr>
        <w:t>，</w:t>
      </w:r>
      <w:r>
        <w:rPr>
          <w:rFonts w:ascii="宋体" w:hAnsi="宋体"/>
          <w:color w:val="auto"/>
          <w:sz w:val="24"/>
          <w:highlight w:val="none"/>
        </w:rPr>
        <w:t>可正常操作</w:t>
      </w:r>
      <w:r>
        <w:rPr>
          <w:rFonts w:hint="eastAsia" w:ascii="宋体" w:hAnsi="宋体"/>
          <w:color w:val="auto"/>
          <w:sz w:val="24"/>
          <w:highlight w:val="none"/>
        </w:rPr>
        <w:t>。</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电子舱通风出口活门</w:t>
      </w:r>
      <w:r>
        <w:rPr>
          <w:rFonts w:hint="eastAsia" w:ascii="宋体" w:hAnsi="宋体"/>
          <w:color w:val="auto"/>
          <w:sz w:val="24"/>
          <w:highlight w:val="none"/>
        </w:rPr>
        <w:t>在正常位，无堵塞。</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RVSM红色区域无变形，无划伤，无雷击点。采样孔完好畅通无堵塞，无异物，无结冰。检查无损伤，无过热发黑迹象。</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皮托管、AOA探头正常无明显损伤。</w:t>
      </w:r>
    </w:p>
    <w:p>
      <w:pPr>
        <w:numPr>
          <w:ilvl w:val="0"/>
          <w:numId w:val="1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前货舱门和选择手柄工作正常，无卡阻现象，机械机构无腐蚀，无污染，关闭状态时，与舱门外表面平齐。检查外表无损伤，盖板盖好，关闭后绿色指示出现。</w:t>
      </w:r>
    </w:p>
    <w:p>
      <w:pPr>
        <w:numPr>
          <w:ilvl w:val="0"/>
          <w:numId w:val="1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确认蒙皮结构完整光滑，无刮伤，划痕，分层，凹坑，裂纹，缺口，雷击等损伤。确认铆钉无腐蚀，缺损，雷击点，变形，松脱等结构问题</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下部机身</w:t>
      </w:r>
    </w:p>
    <w:p>
      <w:pPr>
        <w:numPr>
          <w:ilvl w:val="0"/>
          <w:numId w:val="12"/>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检查天线表面清洁，结构完好，固定螺钉在位无松动、封胶完好。</w:t>
      </w:r>
    </w:p>
    <w:p>
      <w:pPr>
        <w:spacing w:line="276" w:lineRule="auto"/>
        <w:ind w:left="420" w:firstLine="480" w:firstLineChars="200"/>
        <w:jc w:val="center"/>
        <w:rPr>
          <w:rFonts w:ascii="宋体" w:hAnsi="宋体"/>
          <w:color w:val="auto"/>
          <w:sz w:val="24"/>
          <w:highlight w:val="none"/>
        </w:rPr>
      </w:pPr>
      <w:r>
        <w:rPr>
          <w:rFonts w:ascii="宋体" w:hAnsi="宋体"/>
          <w:color w:val="auto"/>
          <w:sz w:val="24"/>
          <w:highlight w:val="none"/>
        </w:rPr>
        <w:drawing>
          <wp:inline distT="0" distB="0" distL="114300" distR="114300">
            <wp:extent cx="4323080" cy="2253615"/>
            <wp:effectExtent l="0" t="0" r="1270" b="0"/>
            <wp:docPr id="16" name="内容占位符 4"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内容占位符 4" descr="webwxgetmsgimg.jpg"/>
                    <pic:cNvPicPr>
                      <a:picLocks noChangeAspect="1"/>
                    </pic:cNvPicPr>
                  </pic:nvPicPr>
                  <pic:blipFill>
                    <a:blip r:embed="rId26" cstate="print"/>
                    <a:stretch>
                      <a:fillRect/>
                    </a:stretch>
                  </pic:blipFill>
                  <pic:spPr>
                    <a:xfrm>
                      <a:off x="0" y="0"/>
                      <a:ext cx="4347287" cy="2266534"/>
                    </a:xfrm>
                    <a:prstGeom prst="rect">
                      <a:avLst/>
                    </a:prstGeom>
                  </pic:spPr>
                </pic:pic>
              </a:graphicData>
            </a:graphic>
          </wp:inline>
        </w:drawing>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饮用水排放面板</w:t>
      </w:r>
      <w:r>
        <w:rPr>
          <w:rFonts w:hint="eastAsia" w:ascii="宋体" w:hAnsi="宋体"/>
          <w:color w:val="auto"/>
          <w:sz w:val="24"/>
          <w:highlight w:val="none"/>
        </w:rPr>
        <w:t>正常无损伤、排放口无堵塞。</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污水排放杆清洁，无血迹，油污，污垢，排放口无堵塞。无外来物损伤，无雷击，无凹陷，断裂。封胶完好</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冲压空气进口处下唇口无明显损伤，进口折流门无损伤，无明显松动，进气道内部无堵塞</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机腹船型</w:t>
      </w:r>
      <w:r>
        <w:rPr>
          <w:rFonts w:hint="eastAsia" w:ascii="宋体" w:hAnsi="宋体"/>
          <w:color w:val="auto"/>
          <w:sz w:val="24"/>
          <w:highlight w:val="none"/>
        </w:rPr>
        <w:t>整流</w:t>
      </w:r>
      <w:r>
        <w:rPr>
          <w:rFonts w:ascii="宋体" w:hAnsi="宋体"/>
          <w:color w:val="auto"/>
          <w:sz w:val="24"/>
          <w:highlight w:val="none"/>
        </w:rPr>
        <w:t>罩所有盖板无损伤，固定螺杆在位，无松脱，无丢失，无雷击点</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地面低压气源连接口盖板表面清洁，结构完好</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防撞灯表面清洁，结构完好，无破损，正常点亮</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中央邮箱磁性燃油游标尺凹线对齐，油尺收入，表面齐平，无油液渗出</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空调组件交换器的外界空气进口和排气口清洁无油污，结构完好，无外来物损伤，无外来物堵塞，无开裂</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大翼照明灯灯罩清洁无污物，灯罩在位无损伤，开裂。灯光工作正常</w:t>
      </w:r>
      <w:r>
        <w:rPr>
          <w:rFonts w:hint="eastAsia" w:ascii="宋体" w:hAnsi="宋体"/>
          <w:color w:val="auto"/>
          <w:sz w:val="24"/>
          <w:highlight w:val="none"/>
        </w:rPr>
        <w:t>。</w:t>
      </w:r>
    </w:p>
    <w:p>
      <w:pPr>
        <w:numPr>
          <w:ilvl w:val="0"/>
          <w:numId w:val="12"/>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检查应急门门把手与机身齐平应急滑梯在位完好，无开裂，局部隆起，翘曲</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右翼根</w:t>
      </w:r>
    </w:p>
    <w:p>
      <w:pPr>
        <w:numPr>
          <w:ilvl w:val="0"/>
          <w:numId w:val="1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黄系统地面</w:t>
      </w:r>
      <w:r>
        <w:rPr>
          <w:rFonts w:hint="eastAsia" w:ascii="宋体" w:hAnsi="宋体"/>
          <w:color w:val="auto"/>
          <w:sz w:val="24"/>
          <w:highlight w:val="none"/>
        </w:rPr>
        <w:t>液压舱</w:t>
      </w:r>
      <w:r>
        <w:rPr>
          <w:rFonts w:ascii="宋体" w:hAnsi="宋体"/>
          <w:color w:val="auto"/>
          <w:sz w:val="24"/>
          <w:highlight w:val="none"/>
        </w:rPr>
        <w:t>接近盖板关闭正常，表面无损伤，盖板连接绳未外露。该区域未见明显液压油的渗漏痕迹</w:t>
      </w:r>
      <w:r>
        <w:rPr>
          <w:rFonts w:hint="eastAsia" w:ascii="宋体" w:hAnsi="宋体"/>
          <w:color w:val="auto"/>
          <w:sz w:val="24"/>
          <w:highlight w:val="none"/>
        </w:rPr>
        <w:t>。</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加油面板开关正常，无损伤。内部按钮和灯光指示正常无损坏。</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右侧机翼及中央油箱燃油沉淀排放活门没有渗漏。</w:t>
      </w:r>
    </w:p>
    <w:p>
      <w:pPr>
        <w:numPr>
          <w:ilvl w:val="0"/>
          <w:numId w:val="1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着陆灯正常无损坏。</w:t>
      </w:r>
    </w:p>
    <w:p>
      <w:pPr>
        <w:numPr>
          <w:ilvl w:val="0"/>
          <w:numId w:val="1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2号发动机</w:t>
      </w:r>
    </w:p>
    <w:p>
      <w:pPr>
        <w:numPr>
          <w:ilvl w:val="0"/>
          <w:numId w:val="14"/>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发动机吊架盖板完整、无明显损伤、紧固件在位。</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右机翼</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加油口盖面板无燃油渗漏。盖板盖好锁定，红线对齐</w:t>
      </w:r>
      <w:r>
        <w:rPr>
          <w:rFonts w:hint="eastAsia" w:ascii="宋体" w:hAnsi="宋体"/>
          <w:color w:val="auto"/>
          <w:sz w:val="24"/>
          <w:highlight w:val="none"/>
        </w:rPr>
        <w:t>，可正常操作。</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通气油箱进气口无堵塞，无燃油渗漏，结构完整</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燃油超压保护器过压指示器十字指示片完整，在位</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大翼导航灯，频闪灯完好无损伤，外部罩子完好无损伤，封胶完好，外部清洁</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副翼下表面表面清洁，结构完整，无污染附着物，无变形，凹坑，无破损，无油液渗漏</w:t>
      </w:r>
      <w:r>
        <w:rPr>
          <w:rFonts w:hint="eastAsia" w:ascii="宋体" w:hAnsi="宋体"/>
          <w:color w:val="auto"/>
          <w:sz w:val="24"/>
          <w:highlight w:val="none"/>
        </w:rPr>
        <w:t>。</w:t>
      </w:r>
    </w:p>
    <w:p>
      <w:pPr>
        <w:numPr>
          <w:ilvl w:val="0"/>
          <w:numId w:val="15"/>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检查襟翼下表面清洁，结构完整，无外来物损伤，无凹坑，划痕。螺钉在位，无松动，脱落。封圈封条无脱出，整流罩无损伤无松动开裂</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右起落架</w:t>
      </w:r>
    </w:p>
    <w:p>
      <w:pPr>
        <w:numPr>
          <w:ilvl w:val="0"/>
          <w:numId w:val="16"/>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主轮无超手册损伤或磨损。</w:t>
      </w:r>
    </w:p>
    <w:p>
      <w:pPr>
        <w:numPr>
          <w:ilvl w:val="0"/>
          <w:numId w:val="16"/>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刹车伸缩量正常不低于2MM，刹车作动筒无渗油，温度传感器在位完好。</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减摆器清洁，无油污，无损伤，无变形。油面</w:t>
      </w:r>
      <w:r>
        <w:rPr>
          <w:rFonts w:hint="eastAsia" w:ascii="宋体" w:hAnsi="宋体"/>
          <w:color w:val="auto"/>
          <w:sz w:val="24"/>
          <w:highlight w:val="none"/>
        </w:rPr>
        <w:t>在正常位置。</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减震支柱滑筒无油液渗漏，</w:t>
      </w:r>
      <w:r>
        <w:rPr>
          <w:rFonts w:hint="eastAsia" w:ascii="宋体" w:hAnsi="宋体"/>
          <w:color w:val="auto"/>
          <w:sz w:val="24"/>
          <w:highlight w:val="none"/>
        </w:rPr>
        <w:t>无</w:t>
      </w:r>
      <w:r>
        <w:rPr>
          <w:rFonts w:ascii="宋体" w:hAnsi="宋体"/>
          <w:color w:val="auto"/>
          <w:sz w:val="24"/>
          <w:highlight w:val="none"/>
        </w:rPr>
        <w:t>划痕腐蚀，伸长正确，封圈无脱出</w:t>
      </w:r>
      <w:r>
        <w:rPr>
          <w:rFonts w:hint="eastAsia" w:ascii="宋体" w:hAnsi="宋体"/>
          <w:color w:val="auto"/>
          <w:sz w:val="24"/>
          <w:highlight w:val="none"/>
        </w:rPr>
        <w:t>。</w:t>
      </w:r>
    </w:p>
    <w:p>
      <w:pPr>
        <w:numPr>
          <w:ilvl w:val="0"/>
          <w:numId w:val="16"/>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液压管路链接完好，管路无渗漏。检查</w:t>
      </w:r>
      <w:r>
        <w:rPr>
          <w:rFonts w:hint="eastAsia" w:ascii="宋体" w:hAnsi="宋体"/>
          <w:color w:val="auto"/>
          <w:sz w:val="24"/>
          <w:highlight w:val="none"/>
        </w:rPr>
        <w:t>正常及</w:t>
      </w:r>
      <w:r>
        <w:rPr>
          <w:rFonts w:ascii="宋体" w:hAnsi="宋体"/>
          <w:color w:val="auto"/>
          <w:sz w:val="24"/>
          <w:highlight w:val="none"/>
        </w:rPr>
        <w:t>备用刹车伺服活门</w:t>
      </w:r>
      <w:r>
        <w:rPr>
          <w:rFonts w:hint="eastAsia" w:ascii="宋体" w:hAnsi="宋体"/>
          <w:color w:val="auto"/>
          <w:sz w:val="24"/>
          <w:highlight w:val="none"/>
        </w:rPr>
        <w:t>/组件</w:t>
      </w:r>
      <w:r>
        <w:rPr>
          <w:rFonts w:ascii="宋体" w:hAnsi="宋体"/>
          <w:color w:val="auto"/>
          <w:sz w:val="24"/>
          <w:highlight w:val="none"/>
        </w:rPr>
        <w:t>完好无渗漏，检查安全活门螺钉在位完好无渗漏。检查撑</w:t>
      </w:r>
      <w:r>
        <w:rPr>
          <w:rFonts w:hint="eastAsia" w:ascii="宋体" w:hAnsi="宋体"/>
          <w:color w:val="auto"/>
          <w:sz w:val="24"/>
          <w:highlight w:val="none"/>
        </w:rPr>
        <w:t>杆锁</w:t>
      </w:r>
      <w:r>
        <w:rPr>
          <w:rFonts w:ascii="宋体" w:hAnsi="宋体"/>
          <w:color w:val="auto"/>
          <w:sz w:val="24"/>
          <w:highlight w:val="none"/>
        </w:rPr>
        <w:t>作动筒完好无渗漏，检查接近电门清洁无损伤。在位电插头无松动，检查下</w:t>
      </w:r>
      <w:r>
        <w:rPr>
          <w:rFonts w:hint="eastAsia" w:ascii="宋体" w:hAnsi="宋体"/>
          <w:color w:val="auto"/>
          <w:sz w:val="24"/>
          <w:highlight w:val="none"/>
        </w:rPr>
        <w:t>位锁</w:t>
      </w:r>
      <w:r>
        <w:rPr>
          <w:rFonts w:ascii="宋体" w:hAnsi="宋体"/>
          <w:color w:val="auto"/>
          <w:sz w:val="24"/>
          <w:highlight w:val="none"/>
        </w:rPr>
        <w:t>弹簧</w:t>
      </w:r>
      <w:r>
        <w:rPr>
          <w:rFonts w:hint="eastAsia" w:ascii="宋体" w:hAnsi="宋体"/>
          <w:color w:val="auto"/>
          <w:sz w:val="24"/>
          <w:highlight w:val="none"/>
        </w:rPr>
        <w:t>在正常</w:t>
      </w:r>
      <w:r>
        <w:rPr>
          <w:rFonts w:ascii="宋体" w:hAnsi="宋体"/>
          <w:color w:val="auto"/>
          <w:sz w:val="24"/>
          <w:highlight w:val="none"/>
        </w:rPr>
        <w:t>位置，完整无断裂，链接处正常无脱落。附件连接固定完好，无松动脱落，无油液渗漏；清洁，无油污，无损伤。上锁销牢固无损伤，上锁组件无渗漏无损伤。起落架舱门周围清洁无损伤，封条完好，无油液渗漏</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右后机身</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勤务舱门关闭，清洁，无油迹，锁扣齐平，锁定，无液压油渗漏</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燃油排放口无堵塞，无损伤，无燃油渗漏</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机腹盖板清洁无污痕，无液压油，燃油，固定螺钉在位</w:t>
      </w:r>
      <w:r>
        <w:rPr>
          <w:rFonts w:hint="eastAsia" w:ascii="宋体" w:hAnsi="宋体"/>
          <w:color w:val="auto"/>
          <w:sz w:val="24"/>
          <w:highlight w:val="none"/>
        </w:rPr>
        <w:t>，无松动，缺失。封条安装平整无缺损。无外来物损伤，划伤，擦伤。前缘无分层，撕裂，无变形。</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无线电高度表</w:t>
      </w:r>
      <w:r>
        <w:rPr>
          <w:rFonts w:hint="eastAsia" w:ascii="宋体" w:hAnsi="宋体"/>
          <w:color w:val="auto"/>
          <w:sz w:val="24"/>
          <w:highlight w:val="none"/>
        </w:rPr>
        <w:t>及甚高频</w:t>
      </w:r>
      <w:r>
        <w:rPr>
          <w:rFonts w:ascii="宋体" w:hAnsi="宋体"/>
          <w:color w:val="auto"/>
          <w:sz w:val="24"/>
          <w:highlight w:val="none"/>
        </w:rPr>
        <w:t>天线结构完好，表面清洁，无损伤，封胶完好。</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机腹下排放口清洁，无堵塞，无油液渗出，无大量污水，水滴漏出</w:t>
      </w:r>
      <w:r>
        <w:rPr>
          <w:rFonts w:hint="eastAsia" w:ascii="宋体" w:hAnsi="宋体"/>
          <w:color w:val="auto"/>
          <w:sz w:val="24"/>
          <w:highlight w:val="none"/>
        </w:rPr>
        <w:t>。</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后货舱门</w:t>
      </w:r>
      <w:r>
        <w:rPr>
          <w:rFonts w:hint="eastAsia" w:ascii="宋体" w:hAnsi="宋体"/>
          <w:color w:val="auto"/>
          <w:sz w:val="24"/>
          <w:highlight w:val="none"/>
        </w:rPr>
        <w:t>和散货舱门舱门和选择手柄工作正常，无卡阻现象，机械机构无腐蚀，无污染，关闭状态时，与舱门外表面平齐。检查外表无损伤，盖板盖好。</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污水勤务面板</w:t>
      </w:r>
      <w:r>
        <w:rPr>
          <w:rFonts w:hint="eastAsia" w:ascii="宋体" w:hAnsi="宋体"/>
          <w:color w:val="auto"/>
          <w:sz w:val="24"/>
          <w:highlight w:val="none"/>
        </w:rPr>
        <w:t>操作正常无明显损伤。</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外流活门清洁，无外来物堵塞，无损伤，地面处于全开位置</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污水排放桅杆</w:t>
      </w:r>
      <w:r>
        <w:rPr>
          <w:rFonts w:hint="eastAsia" w:ascii="宋体" w:hAnsi="宋体"/>
          <w:color w:val="auto"/>
          <w:sz w:val="24"/>
          <w:highlight w:val="none"/>
        </w:rPr>
        <w:t>无明显损伤。</w:t>
      </w:r>
    </w:p>
    <w:p>
      <w:pPr>
        <w:numPr>
          <w:ilvl w:val="0"/>
          <w:numId w:val="17"/>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THS接近门舱门结构完好，表面清洁，无损伤，门在关闭位，锁扣锁好</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机尾</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水平安定面，升降舵，垂尾，方向舵舵面下表面无油液渗漏，无损伤，盖板螺钉在位无缺失，盖板结合处无油液渗漏，水平安定面前缘无外来物损伤。放电刷完好在位，无雷击。</w:t>
      </w:r>
    </w:p>
    <w:p>
      <w:pPr>
        <w:numPr>
          <w:ilvl w:val="0"/>
          <w:numId w:val="18"/>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PU舱门锁扣在位锁好，平齐。APU余油排放杆在位无损伤，清洁，排放口无油滴。APU进气口清洁无污物，油迹，无损伤</w:t>
      </w:r>
      <w:r>
        <w:rPr>
          <w:rFonts w:hint="eastAsia" w:ascii="宋体" w:hAnsi="宋体"/>
          <w:color w:val="auto"/>
          <w:sz w:val="24"/>
          <w:highlight w:val="none"/>
        </w:rPr>
        <w:t>。</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APU灭火瓶</w:t>
      </w:r>
      <w:r>
        <w:rPr>
          <w:rFonts w:hint="eastAsia" w:ascii="宋体" w:hAnsi="宋体"/>
          <w:color w:val="auto"/>
          <w:sz w:val="24"/>
          <w:highlight w:val="none"/>
        </w:rPr>
        <w:t>红色释放</w:t>
      </w:r>
      <w:r>
        <w:rPr>
          <w:rFonts w:ascii="宋体" w:hAnsi="宋体"/>
          <w:color w:val="auto"/>
          <w:sz w:val="24"/>
          <w:highlight w:val="none"/>
        </w:rPr>
        <w:t>指示</w:t>
      </w:r>
      <w:r>
        <w:rPr>
          <w:rFonts w:hint="eastAsia" w:ascii="宋体" w:hAnsi="宋体"/>
          <w:color w:val="auto"/>
          <w:sz w:val="24"/>
          <w:highlight w:val="none"/>
        </w:rPr>
        <w:t>片</w:t>
      </w:r>
      <w:r>
        <w:rPr>
          <w:rFonts w:ascii="宋体" w:hAnsi="宋体"/>
          <w:color w:val="auto"/>
          <w:sz w:val="24"/>
          <w:highlight w:val="none"/>
        </w:rPr>
        <w:t>在位完好。APU排气口无损伤，无变形，无油迹，无擦尾痕迹。</w:t>
      </w:r>
    </w:p>
    <w:p>
      <w:pPr>
        <w:numPr>
          <w:ilvl w:val="0"/>
          <w:numId w:val="18"/>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尾白灯和标志灯正常点亮，尾白灯灯罩完好无损伤。</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左后机身</w:t>
      </w:r>
    </w:p>
    <w:p>
      <w:pPr>
        <w:numPr>
          <w:ilvl w:val="0"/>
          <w:numId w:val="19"/>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水勤务面板</w:t>
      </w:r>
      <w:r>
        <w:rPr>
          <w:rFonts w:hint="eastAsia" w:ascii="宋体" w:hAnsi="宋体"/>
          <w:color w:val="auto"/>
          <w:sz w:val="24"/>
          <w:highlight w:val="none"/>
        </w:rPr>
        <w:t>开关正常无明显损伤。</w:t>
      </w:r>
    </w:p>
    <w:p>
      <w:pPr>
        <w:numPr>
          <w:ilvl w:val="0"/>
          <w:numId w:val="19"/>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液压</w:t>
      </w:r>
      <w:r>
        <w:rPr>
          <w:rFonts w:ascii="宋体" w:hAnsi="宋体"/>
          <w:color w:val="auto"/>
          <w:sz w:val="24"/>
          <w:highlight w:val="none"/>
        </w:rPr>
        <w:t>勤务舱门关闭，清洁，无油迹，锁扣齐平，锁定，无液压油渗漏</w:t>
      </w:r>
      <w:r>
        <w:rPr>
          <w:rFonts w:hint="eastAsia" w:ascii="宋体" w:hAnsi="宋体"/>
          <w:color w:val="auto"/>
          <w:sz w:val="24"/>
          <w:highlight w:val="none"/>
        </w:rPr>
        <w:t>，开关操作正常。</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左起落架</w:t>
      </w:r>
    </w:p>
    <w:p>
      <w:pPr>
        <w:numPr>
          <w:ilvl w:val="0"/>
          <w:numId w:val="2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主轮无超手册损伤或磨损。</w:t>
      </w:r>
    </w:p>
    <w:p>
      <w:pPr>
        <w:numPr>
          <w:ilvl w:val="0"/>
          <w:numId w:val="20"/>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刹车伸缩量正常不低于2MM，刹车作动筒无渗油，温度传感器在位完好。</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减摆器清洁，无油污，无损伤，无变形。油面</w:t>
      </w:r>
      <w:r>
        <w:rPr>
          <w:rFonts w:hint="eastAsia" w:ascii="宋体" w:hAnsi="宋体"/>
          <w:color w:val="auto"/>
          <w:sz w:val="24"/>
          <w:highlight w:val="none"/>
        </w:rPr>
        <w:t>在正常位置。</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减震支柱滑筒无油液渗漏，划痕腐蚀，伸长正确，封圈无脱出</w:t>
      </w:r>
      <w:r>
        <w:rPr>
          <w:rFonts w:hint="eastAsia" w:ascii="宋体" w:hAnsi="宋体"/>
          <w:color w:val="auto"/>
          <w:sz w:val="24"/>
          <w:highlight w:val="none"/>
        </w:rPr>
        <w:t>。</w:t>
      </w:r>
    </w:p>
    <w:p>
      <w:pPr>
        <w:numPr>
          <w:ilvl w:val="0"/>
          <w:numId w:val="20"/>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液压管路链接完好，管路无渗漏。检查</w:t>
      </w:r>
      <w:r>
        <w:rPr>
          <w:rFonts w:hint="eastAsia" w:ascii="宋体" w:hAnsi="宋体"/>
          <w:color w:val="auto"/>
          <w:sz w:val="24"/>
          <w:highlight w:val="none"/>
        </w:rPr>
        <w:t>正常及</w:t>
      </w:r>
      <w:r>
        <w:rPr>
          <w:rFonts w:ascii="宋体" w:hAnsi="宋体"/>
          <w:color w:val="auto"/>
          <w:sz w:val="24"/>
          <w:highlight w:val="none"/>
        </w:rPr>
        <w:t>备用刹车伺服活门</w:t>
      </w:r>
      <w:r>
        <w:rPr>
          <w:rFonts w:hint="eastAsia" w:ascii="宋体" w:hAnsi="宋体"/>
          <w:color w:val="auto"/>
          <w:sz w:val="24"/>
          <w:highlight w:val="none"/>
        </w:rPr>
        <w:t>/组件</w:t>
      </w:r>
      <w:r>
        <w:rPr>
          <w:rFonts w:ascii="宋体" w:hAnsi="宋体"/>
          <w:color w:val="auto"/>
          <w:sz w:val="24"/>
          <w:highlight w:val="none"/>
        </w:rPr>
        <w:t>完好无渗漏，检查安全活门螺钉在位完好无渗漏。检查斜撑作动筒完好无渗漏，检查接近电门清洁无损伤。在位电插头无松动，检查下所弹簧正位置，完整无断裂，链接处正常无脱落。附件连接固定完好，无松动脱落，无油液渗漏；清洁，无油污，无损伤。上锁销牢固无损伤，上锁组件无渗漏无损伤。起落架舱门周围清洁无损伤，封条完好，无油液渗漏</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左机翼</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加油口盖面板无燃油渗漏。盖板盖好锁定，红线对齐</w:t>
      </w:r>
      <w:r>
        <w:rPr>
          <w:rFonts w:hint="eastAsia" w:ascii="宋体" w:hAnsi="宋体"/>
          <w:color w:val="auto"/>
          <w:sz w:val="24"/>
          <w:highlight w:val="none"/>
        </w:rPr>
        <w:t>，可正常操作。</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通气油箱进气口无堵塞，无燃油渗漏，结构完整</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燃油超压保护器过压指示器十字指示片完整，在位</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大翼导航灯，频闪灯完好无损伤，外部罩子完好无损伤，封胶完好，外部清洁</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翼尖小翼结构完整，无损伤，表面清洁，无雷击，翼尖上放电刷完好无损伤，无缺失，无雷击。</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副翼下表面表面清洁，结构完整，无污染附着物，无变形，凹坑，无破损，无油液渗漏</w:t>
      </w:r>
      <w:r>
        <w:rPr>
          <w:rFonts w:hint="eastAsia" w:ascii="宋体" w:hAnsi="宋体"/>
          <w:color w:val="auto"/>
          <w:sz w:val="24"/>
          <w:highlight w:val="none"/>
        </w:rPr>
        <w:t>。</w:t>
      </w:r>
    </w:p>
    <w:p>
      <w:pPr>
        <w:numPr>
          <w:ilvl w:val="0"/>
          <w:numId w:val="21"/>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检查襟翼下表面清洁，结构完整，无外来物损伤，无凹坑，划痕。螺钉在位，无松动，脱落。封圈封条无脱出，整流罩无损伤无松动开裂</w:t>
      </w:r>
      <w:r>
        <w:rPr>
          <w:rFonts w:hint="eastAsia" w:ascii="宋体" w:hAnsi="宋体"/>
          <w:color w:val="auto"/>
          <w:sz w:val="24"/>
          <w:highlight w:val="none"/>
        </w:rPr>
        <w:t>。</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1号发动机</w:t>
      </w:r>
    </w:p>
    <w:p>
      <w:pPr>
        <w:numPr>
          <w:ilvl w:val="0"/>
          <w:numId w:val="22"/>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发动机吊架盖板完整无明显损伤、紧固件在位。</w:t>
      </w:r>
    </w:p>
    <w:p>
      <w:pPr>
        <w:numPr>
          <w:ilvl w:val="0"/>
          <w:numId w:val="7"/>
        </w:numPr>
        <w:snapToGrid w:val="0"/>
        <w:spacing w:line="360" w:lineRule="auto"/>
        <w:ind w:left="0" w:firstLine="480" w:firstLineChars="200"/>
        <w:rPr>
          <w:rFonts w:ascii="宋体" w:hAnsi="宋体"/>
          <w:color w:val="auto"/>
          <w:sz w:val="24"/>
          <w:highlight w:val="none"/>
        </w:rPr>
      </w:pPr>
      <w:r>
        <w:rPr>
          <w:rFonts w:hint="eastAsia" w:ascii="宋体" w:hAnsi="宋体"/>
          <w:color w:val="auto"/>
          <w:sz w:val="24"/>
          <w:highlight w:val="none"/>
        </w:rPr>
        <w:t>左中机翼</w:t>
      </w:r>
    </w:p>
    <w:p>
      <w:pPr>
        <w:numPr>
          <w:ilvl w:val="0"/>
          <w:numId w:val="2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燃油沉淀排放活门没有渗漏，</w:t>
      </w:r>
    </w:p>
    <w:p>
      <w:pPr>
        <w:numPr>
          <w:ilvl w:val="0"/>
          <w:numId w:val="23"/>
        </w:num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着陆灯正常无损坏。</w:t>
      </w:r>
    </w:p>
    <w:p>
      <w:pPr>
        <w:numPr>
          <w:ilvl w:val="0"/>
          <w:numId w:val="2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缝翼表面光滑，结构完整，无外来物损伤，无油液渗出，无划伤，凹痕，腐蚀</w:t>
      </w:r>
      <w:r>
        <w:rPr>
          <w:rFonts w:hint="eastAsia" w:ascii="宋体" w:hAnsi="宋体"/>
          <w:color w:val="auto"/>
          <w:sz w:val="24"/>
          <w:highlight w:val="none"/>
        </w:rPr>
        <w:t>。</w:t>
      </w:r>
    </w:p>
    <w:p>
      <w:pPr>
        <w:numPr>
          <w:ilvl w:val="0"/>
          <w:numId w:val="23"/>
        </w:num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检查RAT门关闭正常，外表面清洁，无油液渗漏，结构完整，无变形</w:t>
      </w:r>
    </w:p>
    <w:p>
      <w:pPr>
        <w:spacing w:line="276" w:lineRule="auto"/>
        <w:rPr>
          <w:rFonts w:ascii="宋体" w:hAnsi="宋体"/>
          <w:color w:val="auto"/>
          <w:sz w:val="24"/>
          <w:highlight w:val="none"/>
          <w:shd w:val="clear" w:color="auto" w:fill="FFFFFF"/>
        </w:rPr>
      </w:pPr>
      <w:r>
        <w:rPr>
          <w:rFonts w:ascii="宋体" w:hAnsi="宋体"/>
          <w:color w:val="auto"/>
          <w:sz w:val="24"/>
          <w:highlight w:val="none"/>
          <w:shd w:val="clear" w:color="auto" w:fill="FFFFFF"/>
        </w:rPr>
        <w:br w:type="page"/>
      </w: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航空发动机</w:t>
      </w:r>
    </w:p>
    <w:p>
      <w:pPr>
        <w:pStyle w:val="256"/>
        <w:snapToGrid w:val="0"/>
        <w:ind w:firstLine="482"/>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此部分采购内容主要为采购与机身相匹配的发动机，该发动机各部件完整在位，能正常安装在飞机机翼下吊点上。需要提供针对该型号的发动机培训课件，且该课件为C</w:t>
      </w:r>
      <w:r>
        <w:rPr>
          <w:rFonts w:ascii="宋体" w:hAnsi="宋体" w:eastAsia="宋体"/>
          <w:color w:val="auto"/>
          <w:highlight w:val="none"/>
          <w:shd w:val="clear" w:color="auto" w:fill="FFFFFF"/>
        </w:rPr>
        <w:t>CAR147</w:t>
      </w:r>
      <w:r>
        <w:rPr>
          <w:rFonts w:hint="eastAsia" w:ascii="宋体" w:hAnsi="宋体" w:eastAsia="宋体"/>
          <w:color w:val="auto"/>
          <w:highlight w:val="none"/>
          <w:shd w:val="clear" w:color="auto" w:fill="FFFFFF"/>
        </w:rPr>
        <w:t>培训单位批准课件。</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（一）主要参数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（1）发动机型号为CFM56-5系列或V2500系列。▲发动机型号必须与机身构型相匹配。</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供货发动机可以是首次验收时飞机自带的发动机，也可以另行提供满足参数要求的发动机。</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（3）数量：</w:t>
      </w:r>
      <w:r>
        <w:rPr>
          <w:rFonts w:ascii="宋体" w:hAnsi="宋体"/>
          <w:color w:val="auto"/>
          <w:sz w:val="24"/>
          <w:highlight w:val="none"/>
          <w:shd w:val="clear" w:color="auto" w:fill="FFFFFF"/>
        </w:rPr>
        <w:t>2</w:t>
      </w:r>
      <w:r>
        <w:rPr>
          <w:rFonts w:hint="eastAsia" w:ascii="宋体" w:hAnsi="宋体"/>
          <w:color w:val="auto"/>
          <w:sz w:val="24"/>
          <w:highlight w:val="none"/>
          <w:shd w:val="clear" w:color="auto" w:fill="FFFFFF"/>
        </w:rPr>
        <w:t>台；</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（4）发动机包含唇口、进气道、尾喷及尾推等结构部件，蒙皮、盖板及其他附属部件完整在位，部件齐全，可自由运转正常，无可见损伤。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（5）发动机核心机本体、风扇叶片、风扇机匣、压气机、涡轮、燃烧室、EEC/EC</w:t>
      </w:r>
      <w:r>
        <w:rPr>
          <w:rFonts w:ascii="宋体" w:hAnsi="宋体"/>
          <w:color w:val="auto"/>
          <w:sz w:val="24"/>
          <w:highlight w:val="none"/>
          <w:shd w:val="clear" w:color="auto" w:fill="FFFFFF"/>
        </w:rPr>
        <w:t>U</w:t>
      </w:r>
      <w:r>
        <w:rPr>
          <w:rFonts w:hint="eastAsia" w:ascii="宋体" w:hAnsi="宋体"/>
          <w:color w:val="auto"/>
          <w:sz w:val="24"/>
          <w:highlight w:val="none"/>
          <w:shd w:val="clear" w:color="auto" w:fill="FFFFFF"/>
        </w:rPr>
        <w:t>部件齐全，EDP（发动机驱动泵及相关油滤、电门）、EGT热电偶和接线盒等部件齐全，各系统管路线路完整无损伤。</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（6）发动机转子转动灵活、无异常响声，齿轮箱传动机构运转正常。</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7</w:t>
      </w:r>
      <w:r>
        <w:rPr>
          <w:rFonts w:hint="eastAsia" w:ascii="宋体" w:hAnsi="宋体"/>
          <w:color w:val="auto"/>
          <w:sz w:val="24"/>
          <w:highlight w:val="none"/>
          <w:shd w:val="clear" w:color="auto" w:fill="FFFFFF"/>
        </w:rPr>
        <w:t>）发动机最后一次从飞机上拆下时航空公司提供的QEC要保留在发动机上，不能被换掉。</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8</w:t>
      </w:r>
      <w:r>
        <w:rPr>
          <w:rFonts w:hint="eastAsia" w:ascii="宋体" w:hAnsi="宋体"/>
          <w:color w:val="auto"/>
          <w:sz w:val="24"/>
          <w:highlight w:val="none"/>
          <w:shd w:val="clear" w:color="auto" w:fill="FFFFFF"/>
        </w:rPr>
        <w:t>）发动机附件表面清洁，无锈蚀，如有锈蚀应做防锈处理。</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9</w:t>
      </w:r>
      <w:r>
        <w:rPr>
          <w:rFonts w:hint="eastAsia" w:ascii="宋体" w:hAnsi="宋体"/>
          <w:color w:val="auto"/>
          <w:sz w:val="24"/>
          <w:highlight w:val="none"/>
          <w:shd w:val="clear" w:color="auto" w:fill="FFFFFF"/>
        </w:rPr>
        <w:t>）供方必须把发动机装在支架上运到学院并提供发动机支架，后续学校在搬迁发动机时，至少提供一次免费运输支架转运。</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（二）技术资料与技术培训</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1</w:t>
      </w:r>
      <w:r>
        <w:rPr>
          <w:rFonts w:hint="eastAsia" w:ascii="宋体" w:hAnsi="宋体"/>
          <w:color w:val="auto"/>
          <w:sz w:val="24"/>
          <w:highlight w:val="none"/>
          <w:shd w:val="clear" w:color="auto" w:fill="FFFFFF"/>
        </w:rPr>
        <w:t>）配备该型号发动机的培训课件、实训工卡。</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（2）供方须提供此型发动机的孔探、引气系统健康测试和发动机试车理论培训，并提供上述培训的参考资料和课件。</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w:t>
      </w:r>
      <w:r>
        <w:rPr>
          <w:rFonts w:ascii="宋体" w:hAnsi="宋体"/>
          <w:color w:val="auto"/>
          <w:sz w:val="24"/>
          <w:highlight w:val="none"/>
          <w:shd w:val="clear" w:color="auto" w:fill="FFFFFF"/>
        </w:rPr>
        <w:t>3</w:t>
      </w:r>
      <w:r>
        <w:rPr>
          <w:rFonts w:hint="eastAsia" w:ascii="宋体" w:hAnsi="宋体"/>
          <w:color w:val="auto"/>
          <w:sz w:val="24"/>
          <w:highlight w:val="none"/>
          <w:shd w:val="clear" w:color="auto" w:fill="FFFFFF"/>
        </w:rPr>
        <w:t>）提供该型号发动机航线维护和试车培训。</w:t>
      </w:r>
    </w:p>
    <w:p>
      <w:pPr>
        <w:snapToGrid w:val="0"/>
        <w:spacing w:line="360"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（三）货物的运输</w:t>
      </w:r>
    </w:p>
    <w:p>
      <w:pPr>
        <w:snapToGrid w:val="0"/>
        <w:spacing w:line="360" w:lineRule="auto"/>
        <w:ind w:firstLine="480" w:firstLineChars="200"/>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▲供方按甲方要求，于合同签订后6个自然月内运输到指定场地并安装到飞机，运输过程中产生的费用由乙方承担（不限于叉车、吊机的租借费用等）。</w:t>
      </w:r>
    </w:p>
    <w:p>
      <w:pPr>
        <w:widowControl/>
        <w:spacing w:line="276" w:lineRule="auto"/>
        <w:jc w:val="left"/>
        <w:rPr>
          <w:rFonts w:ascii="宋体" w:hAnsi="宋体"/>
          <w:color w:val="auto"/>
          <w:sz w:val="24"/>
          <w:highlight w:val="none"/>
        </w:rPr>
      </w:pPr>
      <w:r>
        <w:rPr>
          <w:rFonts w:ascii="宋体" w:hAnsi="宋体"/>
          <w:color w:val="auto"/>
          <w:sz w:val="24"/>
          <w:highlight w:val="none"/>
        </w:rPr>
        <w:br w:type="page"/>
      </w: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发动机拆装专用工具</w:t>
      </w:r>
    </w:p>
    <w:p>
      <w:pPr>
        <w:rPr>
          <w:rFonts w:ascii="宋体" w:hAnsi="宋体"/>
          <w:color w:val="auto"/>
          <w:sz w:val="24"/>
          <w:szCs w:val="28"/>
          <w:highlight w:val="none"/>
        </w:rPr>
      </w:pPr>
      <w:r>
        <w:rPr>
          <w:rFonts w:hint="eastAsia" w:ascii="宋体" w:hAnsi="宋体"/>
          <w:color w:val="auto"/>
          <w:sz w:val="24"/>
          <w:szCs w:val="28"/>
          <w:highlight w:val="none"/>
        </w:rPr>
        <w:t>（一）V</w:t>
      </w:r>
      <w:r>
        <w:rPr>
          <w:rFonts w:ascii="宋体" w:hAnsi="宋体"/>
          <w:color w:val="auto"/>
          <w:sz w:val="24"/>
          <w:szCs w:val="28"/>
          <w:highlight w:val="none"/>
        </w:rPr>
        <w:t>2500</w:t>
      </w:r>
      <w:r>
        <w:rPr>
          <w:rFonts w:hint="eastAsia" w:ascii="宋体" w:hAnsi="宋体"/>
          <w:color w:val="auto"/>
          <w:sz w:val="24"/>
          <w:szCs w:val="28"/>
          <w:highlight w:val="none"/>
        </w:rPr>
        <w:t>发动机拆装工具</w:t>
      </w:r>
    </w:p>
    <w:tbl>
      <w:tblPr>
        <w:tblStyle w:val="62"/>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243"/>
        <w:gridCol w:w="2384"/>
        <w:gridCol w:w="405"/>
        <w:gridCol w:w="595"/>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43" w:type="dxa"/>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2384" w:type="dxa"/>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件号</w:t>
            </w:r>
          </w:p>
        </w:tc>
        <w:tc>
          <w:tcPr>
            <w:tcW w:w="405" w:type="dxa"/>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595" w:type="dxa"/>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3515" w:type="dxa"/>
            <w:shd w:val="clear" w:color="auto" w:fill="auto"/>
            <w:noWrap/>
            <w:vAlign w:val="center"/>
          </w:tcPr>
          <w:p>
            <w:pPr>
              <w:widowControl/>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对应工作项目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V2500进气道脚垫</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进入进气道工作时防止刮擦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V2500发动机包皮防撞套</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发动机包皮打开后防碰撞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V2500反推防撞套</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V25FTFZT</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快</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打开反推防止碰擦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燃油油封适配器</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IAE1R18685</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V2500发动机换发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HAMMERSLIDING</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IAE1J12125</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LEVERPULLER</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IAE1J12121或IAE1J12020</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PULLERPUSHER</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IAE1J12004</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CONTAINER-STORAGE</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IAE1J12091</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BOLT-PULLER</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IAE1J12188</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BOLT-PULLER</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IAE1J12141</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V2500发动机叶片拆装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IAE1R19416</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V2500EEC发动机电子控制4000KS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IAE1R18001</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V2500燃油流量计4010KS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IAE1R18254</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V2500VSV作动筒4022KS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IAE1R18891</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V2500VSV作动筒4022KS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IAE1J13504</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V2500ACC活门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IAE1N20010</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V2500发动机HPC7、10级放气活门功能测试和电磁阀测试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专用销子</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IAE1N20049</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V2500HCU反推控制组件4101KS14101KS2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专用扳手</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IAE1R18002</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V2500发动机风冷式滑油冷却器（ACOC)拆装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IAE1F10082</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V2500滑油回油滤6001EM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95" w:type="dxa"/>
            <w:shd w:val="clear" w:color="auto" w:fill="auto"/>
            <w:noWrap/>
            <w:vAlign w:val="center"/>
          </w:tcPr>
          <w:p>
            <w:pPr>
              <w:pStyle w:val="256"/>
              <w:widowControl/>
              <w:numPr>
                <w:ilvl w:val="0"/>
                <w:numId w:val="24"/>
              </w:numPr>
              <w:snapToGrid w:val="0"/>
              <w:spacing w:line="240" w:lineRule="auto"/>
              <w:ind w:left="0" w:firstLine="0" w:firstLineChars="0"/>
              <w:jc w:val="center"/>
              <w:rPr>
                <w:rFonts w:ascii="宋体" w:hAnsi="宋体" w:eastAsia="宋体" w:cs="宋体"/>
                <w:color w:val="auto"/>
                <w:kern w:val="0"/>
                <w:sz w:val="21"/>
                <w:szCs w:val="21"/>
                <w:highlight w:val="none"/>
              </w:rPr>
            </w:pPr>
          </w:p>
        </w:tc>
        <w:tc>
          <w:tcPr>
            <w:tcW w:w="2243"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跳开关保险夹</w:t>
            </w:r>
          </w:p>
        </w:tc>
        <w:tc>
          <w:tcPr>
            <w:tcW w:w="2384"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c>
          <w:tcPr>
            <w:tcW w:w="405" w:type="dxa"/>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9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3515" w:type="dxa"/>
            <w:shd w:val="clear" w:color="auto" w:fill="auto"/>
            <w:noWrap/>
            <w:vAlign w:val="center"/>
          </w:tcPr>
          <w:p>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N/A</w:t>
            </w:r>
          </w:p>
        </w:tc>
      </w:tr>
    </w:tbl>
    <w:p>
      <w:pPr>
        <w:rPr>
          <w:rFonts w:ascii="宋体" w:hAnsi="宋体"/>
          <w:color w:val="auto"/>
          <w:sz w:val="24"/>
          <w:szCs w:val="28"/>
          <w:highlight w:val="none"/>
        </w:rPr>
      </w:pPr>
      <w:r>
        <w:rPr>
          <w:rFonts w:hint="eastAsia" w:ascii="宋体" w:hAnsi="宋体"/>
          <w:color w:val="auto"/>
          <w:sz w:val="24"/>
          <w:szCs w:val="28"/>
          <w:highlight w:val="none"/>
        </w:rPr>
        <w:t>（二）</w:t>
      </w:r>
      <w:r>
        <w:rPr>
          <w:rFonts w:ascii="宋体" w:hAnsi="宋体"/>
          <w:color w:val="auto"/>
          <w:sz w:val="24"/>
          <w:szCs w:val="28"/>
          <w:highlight w:val="none"/>
        </w:rPr>
        <w:t>CFM56-5</w:t>
      </w:r>
      <w:r>
        <w:rPr>
          <w:rFonts w:hint="eastAsia" w:ascii="宋体" w:hAnsi="宋体"/>
          <w:color w:val="auto"/>
          <w:sz w:val="24"/>
          <w:szCs w:val="28"/>
          <w:highlight w:val="none"/>
        </w:rPr>
        <w:t>系列</w:t>
      </w:r>
      <w:r>
        <w:rPr>
          <w:rFonts w:ascii="宋体" w:hAnsi="宋体"/>
          <w:color w:val="auto"/>
          <w:sz w:val="24"/>
          <w:szCs w:val="28"/>
          <w:highlight w:val="none"/>
        </w:rPr>
        <w:t>发动机专用拆装工具</w:t>
      </w:r>
    </w:p>
    <w:tbl>
      <w:tblPr>
        <w:tblStyle w:val="62"/>
        <w:tblW w:w="9737" w:type="dxa"/>
        <w:tblInd w:w="0" w:type="dxa"/>
        <w:tblLayout w:type="fixed"/>
        <w:tblCellMar>
          <w:top w:w="0" w:type="dxa"/>
          <w:left w:w="108" w:type="dxa"/>
          <w:bottom w:w="0" w:type="dxa"/>
          <w:right w:w="108" w:type="dxa"/>
        </w:tblCellMar>
      </w:tblPr>
      <w:tblGrid>
        <w:gridCol w:w="799"/>
        <w:gridCol w:w="3478"/>
        <w:gridCol w:w="771"/>
        <w:gridCol w:w="900"/>
        <w:gridCol w:w="3789"/>
      </w:tblGrid>
      <w:tr>
        <w:tblPrEx>
          <w:tblCellMar>
            <w:top w:w="0" w:type="dxa"/>
            <w:left w:w="108" w:type="dxa"/>
            <w:bottom w:w="0" w:type="dxa"/>
            <w:right w:w="108" w:type="dxa"/>
          </w:tblCellMar>
        </w:tblPrEx>
        <w:trPr>
          <w:trHeight w:val="0" w:hRule="atLeast"/>
        </w:trPr>
        <w:tc>
          <w:tcPr>
            <w:tcW w:w="79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34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77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数量</w:t>
            </w:r>
          </w:p>
        </w:tc>
        <w:tc>
          <w:tcPr>
            <w:tcW w:w="9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378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对应工作项目</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HCU抑制销</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CFM56发动机高压引气活门(HPV)拆装指南</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CFM56-5发动机孔探</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3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TOOLSET-JACKSCREW</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3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PINGUIDE-SPINNERREARCONE</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3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STANDSTORAGE-FAVBLADES</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CFM56风扇叶片润滑</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襟封翼手柄锁</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CFM56发动机ECU更换</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VBV手动控制扳手</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CFM56-5发动机VBV燃油齿轮马达</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PULLER</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WRENCHSET</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ADAPTER</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3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TOOLSET-JACKSCREW</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3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SEALOLANDMAGNETICSEAL</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FIXTURE</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p>
            <w:pPr>
              <w:pStyle w:val="2"/>
              <w:jc w:val="center"/>
              <w:rPr>
                <w:color w:val="auto"/>
                <w:highlight w:val="none"/>
              </w:rPr>
            </w:pPr>
            <w:r>
              <w:rPr>
                <w:rFonts w:hint="eastAsia" w:ascii="宋体" w:hAnsi="宋体" w:cs="宋体"/>
                <w:color w:val="auto"/>
                <w:kern w:val="0"/>
                <w:szCs w:val="21"/>
                <w:highlight w:val="none"/>
              </w:rPr>
              <w:t>856A2609G01</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CFM56-5发动机燃油泵及油滤组件HMU</w:t>
            </w:r>
          </w:p>
        </w:tc>
      </w:tr>
      <w:tr>
        <w:tblPrEx>
          <w:tblCellMar>
            <w:top w:w="0" w:type="dxa"/>
            <w:left w:w="108" w:type="dxa"/>
            <w:bottom w:w="0" w:type="dxa"/>
            <w:right w:w="108" w:type="dxa"/>
          </w:tblCellMar>
        </w:tblPrEx>
        <w:trPr>
          <w:trHeight w:val="0" w:hRule="atLeast"/>
        </w:trPr>
        <w:tc>
          <w:tcPr>
            <w:tcW w:w="79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c>
          <w:tcPr>
            <w:tcW w:w="347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专用工具</w:t>
            </w:r>
          </w:p>
          <w:p>
            <w:pPr>
              <w:pStyle w:val="2"/>
              <w:jc w:val="center"/>
              <w:rPr>
                <w:color w:val="auto"/>
                <w:highlight w:val="none"/>
              </w:rPr>
            </w:pPr>
            <w:r>
              <w:rPr>
                <w:rFonts w:hint="eastAsia" w:ascii="宋体" w:hAnsi="宋体" w:cs="宋体"/>
                <w:color w:val="auto"/>
                <w:kern w:val="0"/>
                <w:szCs w:val="21"/>
                <w:highlight w:val="none"/>
              </w:rPr>
              <w:t>856A2664G01</w:t>
            </w:r>
          </w:p>
        </w:tc>
        <w:tc>
          <w:tcPr>
            <w:tcW w:w="7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EA</w:t>
            </w:r>
          </w:p>
        </w:tc>
        <w:tc>
          <w:tcPr>
            <w:tcW w:w="37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CFM56-5发动机VBV燃油驱动马达，主作动活门，软轴</w:t>
            </w:r>
          </w:p>
        </w:tc>
      </w:tr>
    </w:tbl>
    <w:p>
      <w:pPr>
        <w:snapToGrid w:val="0"/>
        <w:spacing w:line="360" w:lineRule="auto"/>
        <w:rPr>
          <w:rFonts w:ascii="宋体" w:hAnsi="宋体"/>
          <w:color w:val="auto"/>
          <w:sz w:val="24"/>
          <w:szCs w:val="28"/>
          <w:highlight w:val="none"/>
        </w:rPr>
      </w:pPr>
      <w:r>
        <w:rPr>
          <w:rFonts w:hint="eastAsia" w:ascii="宋体" w:hAnsi="宋体"/>
          <w:color w:val="auto"/>
          <w:sz w:val="24"/>
          <w:szCs w:val="28"/>
          <w:highlight w:val="none"/>
        </w:rPr>
        <w:t>（三）工具的收纳</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1.收纳用工具车</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提供满足上述专用工具收纳的工具车两个，用于分别收纳两套工具；</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工具车要求：使用高品质聚乙烯漆喷涂，喷砂表面，油漆分布均匀、不易脱落，有效防锈；工具车抽屉可以</w:t>
      </w:r>
      <w:r>
        <w:rPr>
          <w:rFonts w:ascii="宋体" w:hAnsi="宋体" w:eastAsia="宋体"/>
          <w:color w:val="auto"/>
          <w:szCs w:val="28"/>
          <w:highlight w:val="none"/>
        </w:rPr>
        <w:t>100%全开，有效增加了抽屉的使用空间</w:t>
      </w:r>
      <w:r>
        <w:rPr>
          <w:rFonts w:hint="eastAsia" w:ascii="宋体" w:hAnsi="宋体" w:eastAsia="宋体"/>
          <w:color w:val="auto"/>
          <w:szCs w:val="28"/>
          <w:highlight w:val="none"/>
        </w:rPr>
        <w:t>；筒式中控锁设计，提高了工具车的使用安全性；工具车的顶、底板厚度为</w:t>
      </w:r>
      <w:r>
        <w:rPr>
          <w:rFonts w:ascii="宋体" w:hAnsi="宋体" w:eastAsia="宋体"/>
          <w:color w:val="auto"/>
          <w:szCs w:val="28"/>
          <w:highlight w:val="none"/>
        </w:rPr>
        <w:t>1.5mm，其他部位厚度为0.9mm</w:t>
      </w:r>
      <w:r>
        <w:rPr>
          <w:rFonts w:hint="eastAsia" w:ascii="宋体" w:hAnsi="宋体" w:eastAsia="宋体"/>
          <w:color w:val="auto"/>
          <w:szCs w:val="28"/>
          <w:highlight w:val="none"/>
        </w:rPr>
        <w:t>，单个抽屉承重为</w:t>
      </w:r>
      <w:r>
        <w:rPr>
          <w:rFonts w:ascii="宋体" w:hAnsi="宋体" w:eastAsia="宋体"/>
          <w:color w:val="auto"/>
          <w:szCs w:val="28"/>
          <w:highlight w:val="none"/>
        </w:rPr>
        <w:t>45kg,共7层抽屉</w:t>
      </w:r>
      <w:r>
        <w:rPr>
          <w:rFonts w:hint="eastAsia" w:ascii="宋体" w:hAnsi="宋体" w:eastAsia="宋体"/>
          <w:color w:val="auto"/>
          <w:szCs w:val="28"/>
          <w:highlight w:val="none"/>
        </w:rPr>
        <w:t>；</w:t>
      </w:r>
      <w:r>
        <w:rPr>
          <w:rFonts w:ascii="宋体" w:hAnsi="宋体" w:eastAsia="宋体"/>
          <w:color w:val="auto"/>
          <w:szCs w:val="28"/>
          <w:highlight w:val="none"/>
        </w:rPr>
        <w:t>抽屉宽度为：677MM，深度：501MM,高度：946MM</w:t>
      </w:r>
      <w:r>
        <w:rPr>
          <w:rFonts w:hint="eastAsia" w:ascii="宋体" w:hAnsi="宋体" w:eastAsia="宋体"/>
          <w:color w:val="auto"/>
          <w:szCs w:val="28"/>
          <w:highlight w:val="none"/>
        </w:rPr>
        <w:t>整体承重为</w:t>
      </w:r>
      <w:r>
        <w:rPr>
          <w:rFonts w:ascii="宋体" w:hAnsi="宋体" w:eastAsia="宋体"/>
          <w:color w:val="auto"/>
          <w:szCs w:val="28"/>
          <w:highlight w:val="none"/>
        </w:rPr>
        <w:t>500kg</w:t>
      </w:r>
      <w:r>
        <w:rPr>
          <w:rFonts w:hint="eastAsia" w:ascii="宋体" w:hAnsi="宋体" w:eastAsia="宋体"/>
          <w:color w:val="auto"/>
          <w:szCs w:val="28"/>
          <w:highlight w:val="none"/>
        </w:rPr>
        <w:t>；重型</w:t>
      </w:r>
      <w:r>
        <w:rPr>
          <w:rFonts w:ascii="宋体" w:hAnsi="宋体" w:eastAsia="宋体"/>
          <w:color w:val="auto"/>
          <w:szCs w:val="28"/>
          <w:highlight w:val="none"/>
        </w:rPr>
        <w:t>TPR脚轮5x1.25"，其中两个脚轮可转向且带锁止。</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工具收纳要求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根据工具类型进行分类并做好刻模收纳，确保每样专用工具有唯一的存储位置，在相应位置处有与工具件号相匹配的文字标签，便于专用工具的查找与收纳整理。工具车应预留后续使用中补充工具的存储位置，确保该工具车的长期有效。</w:t>
      </w:r>
    </w:p>
    <w:p>
      <w:pPr>
        <w:pStyle w:val="256"/>
        <w:snapToGrid w:val="0"/>
        <w:ind w:firstLine="0" w:firstLineChars="0"/>
        <w:rPr>
          <w:rFonts w:ascii="宋体" w:hAnsi="宋体" w:eastAsia="宋体"/>
          <w:color w:val="auto"/>
          <w:szCs w:val="28"/>
          <w:highlight w:val="none"/>
        </w:rPr>
      </w:pPr>
      <w:r>
        <w:rPr>
          <w:rFonts w:hint="eastAsia" w:ascii="宋体" w:hAnsi="宋体" w:eastAsia="宋体"/>
          <w:color w:val="auto"/>
          <w:szCs w:val="28"/>
          <w:highlight w:val="none"/>
        </w:rPr>
        <w:t>（四）服务与保障</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w:t>
      </w:r>
      <w:r>
        <w:rPr>
          <w:rFonts w:ascii="宋体" w:hAnsi="宋体" w:eastAsia="宋体"/>
          <w:color w:val="auto"/>
          <w:szCs w:val="28"/>
          <w:highlight w:val="none"/>
        </w:rPr>
        <w:t>.</w:t>
      </w:r>
      <w:r>
        <w:rPr>
          <w:rFonts w:hint="eastAsia" w:ascii="宋体" w:hAnsi="宋体" w:eastAsia="宋体"/>
          <w:color w:val="auto"/>
          <w:szCs w:val="28"/>
          <w:highlight w:val="none"/>
        </w:rPr>
        <w:t>对专用工具进行现场使用、保养、校准的培训；</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提供</w:t>
      </w:r>
      <w:bookmarkStart w:id="34" w:name="_Hlk102698714"/>
      <w:r>
        <w:rPr>
          <w:rFonts w:ascii="宋体" w:hAnsi="宋体" w:eastAsia="宋体"/>
          <w:color w:val="auto"/>
          <w:szCs w:val="28"/>
          <w:highlight w:val="none"/>
        </w:rPr>
        <w:t>V2500发动机</w:t>
      </w:r>
      <w:r>
        <w:rPr>
          <w:rFonts w:hint="eastAsia" w:ascii="宋体" w:hAnsi="宋体" w:eastAsia="宋体"/>
          <w:color w:val="auto"/>
          <w:szCs w:val="28"/>
          <w:highlight w:val="none"/>
        </w:rPr>
        <w:t>或C</w:t>
      </w:r>
      <w:r>
        <w:rPr>
          <w:rFonts w:ascii="宋体" w:hAnsi="宋体" w:eastAsia="宋体"/>
          <w:color w:val="auto"/>
          <w:szCs w:val="28"/>
          <w:highlight w:val="none"/>
        </w:rPr>
        <w:t>FM56-5B</w:t>
      </w:r>
      <w:r>
        <w:rPr>
          <w:rFonts w:hint="eastAsia" w:ascii="宋体" w:hAnsi="宋体" w:eastAsia="宋体"/>
          <w:color w:val="auto"/>
          <w:szCs w:val="28"/>
          <w:highlight w:val="none"/>
        </w:rPr>
        <w:t>发动机</w:t>
      </w:r>
      <w:bookmarkEnd w:id="34"/>
      <w:r>
        <w:rPr>
          <w:rFonts w:ascii="宋体" w:hAnsi="宋体" w:eastAsia="宋体"/>
          <w:color w:val="auto"/>
          <w:szCs w:val="28"/>
          <w:highlight w:val="none"/>
        </w:rPr>
        <w:t>维修</w:t>
      </w:r>
      <w:r>
        <w:rPr>
          <w:rFonts w:hint="eastAsia" w:ascii="宋体" w:hAnsi="宋体" w:eastAsia="宋体"/>
          <w:color w:val="auto"/>
          <w:szCs w:val="28"/>
          <w:highlight w:val="none"/>
        </w:rPr>
        <w:t>专项培训</w:t>
      </w:r>
      <w:r>
        <w:rPr>
          <w:rFonts w:ascii="宋体" w:hAnsi="宋体" w:eastAsia="宋体"/>
          <w:color w:val="auto"/>
          <w:szCs w:val="28"/>
          <w:highlight w:val="none"/>
        </w:rPr>
        <w:t>工卡</w:t>
      </w:r>
      <w:r>
        <w:rPr>
          <w:rFonts w:hint="eastAsia" w:ascii="宋体" w:hAnsi="宋体" w:eastAsia="宋体"/>
          <w:color w:val="auto"/>
          <w:szCs w:val="28"/>
          <w:highlight w:val="none"/>
        </w:rPr>
        <w:t>各</w:t>
      </w:r>
      <w:r>
        <w:rPr>
          <w:rFonts w:ascii="宋体" w:hAnsi="宋体" w:eastAsia="宋体"/>
          <w:color w:val="auto"/>
          <w:szCs w:val="28"/>
          <w:highlight w:val="none"/>
        </w:rPr>
        <w:t>不少于10份</w:t>
      </w:r>
      <w:r>
        <w:rPr>
          <w:rFonts w:hint="eastAsia" w:ascii="宋体" w:hAnsi="宋体" w:eastAsia="宋体"/>
          <w:color w:val="auto"/>
          <w:szCs w:val="28"/>
          <w:highlight w:val="none"/>
        </w:rPr>
        <w:t>；</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3</w:t>
      </w:r>
      <w:r>
        <w:rPr>
          <w:rFonts w:ascii="宋体" w:hAnsi="宋体" w:eastAsia="宋体"/>
          <w:color w:val="auto"/>
          <w:szCs w:val="28"/>
          <w:highlight w:val="none"/>
        </w:rPr>
        <w:t>.</w:t>
      </w:r>
      <w:r>
        <w:rPr>
          <w:rFonts w:hint="eastAsia" w:ascii="宋体" w:hAnsi="宋体" w:eastAsia="宋体"/>
          <w:color w:val="auto"/>
          <w:szCs w:val="28"/>
          <w:highlight w:val="none"/>
        </w:rPr>
        <w:t>提供各实训工卡中所涉及的耗材，数量满足至少8人的实训；</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4</w:t>
      </w:r>
      <w:r>
        <w:rPr>
          <w:rFonts w:ascii="宋体" w:hAnsi="宋体" w:eastAsia="宋体"/>
          <w:color w:val="auto"/>
          <w:szCs w:val="28"/>
          <w:highlight w:val="none"/>
        </w:rPr>
        <w:t>.提供V2500发动机</w:t>
      </w:r>
      <w:r>
        <w:rPr>
          <w:rFonts w:hint="eastAsia" w:ascii="宋体" w:hAnsi="宋体" w:eastAsia="宋体"/>
          <w:color w:val="auto"/>
          <w:szCs w:val="28"/>
          <w:highlight w:val="none"/>
        </w:rPr>
        <w:t>或C</w:t>
      </w:r>
      <w:r>
        <w:rPr>
          <w:rFonts w:ascii="宋体" w:hAnsi="宋体" w:eastAsia="宋体"/>
          <w:color w:val="auto"/>
          <w:szCs w:val="28"/>
          <w:highlight w:val="none"/>
        </w:rPr>
        <w:t>FM56-5B</w:t>
      </w:r>
      <w:r>
        <w:rPr>
          <w:rFonts w:hint="eastAsia" w:ascii="宋体" w:hAnsi="宋体" w:eastAsia="宋体"/>
          <w:color w:val="auto"/>
          <w:szCs w:val="28"/>
          <w:highlight w:val="none"/>
        </w:rPr>
        <w:t>发动机维修</w:t>
      </w:r>
      <w:r>
        <w:rPr>
          <w:rFonts w:ascii="宋体" w:hAnsi="宋体" w:eastAsia="宋体"/>
          <w:color w:val="auto"/>
          <w:szCs w:val="28"/>
          <w:highlight w:val="none"/>
        </w:rPr>
        <w:t>视频</w:t>
      </w:r>
      <w:r>
        <w:rPr>
          <w:rFonts w:hint="eastAsia" w:ascii="宋体" w:hAnsi="宋体" w:eastAsia="宋体"/>
          <w:color w:val="auto"/>
          <w:szCs w:val="28"/>
          <w:highlight w:val="none"/>
        </w:rPr>
        <w:t>各</w:t>
      </w:r>
      <w:r>
        <w:rPr>
          <w:rFonts w:ascii="宋体" w:hAnsi="宋体" w:eastAsia="宋体"/>
          <w:color w:val="auto"/>
          <w:szCs w:val="28"/>
          <w:highlight w:val="none"/>
        </w:rPr>
        <w:t>不少于5份</w:t>
      </w:r>
      <w:r>
        <w:rPr>
          <w:rFonts w:hint="eastAsia" w:ascii="宋体" w:hAnsi="宋体" w:eastAsia="宋体"/>
          <w:color w:val="auto"/>
          <w:szCs w:val="28"/>
          <w:highlight w:val="none"/>
        </w:rPr>
        <w:t>并提供专项培训课件（此课件为C</w:t>
      </w:r>
      <w:r>
        <w:rPr>
          <w:rFonts w:ascii="宋体" w:hAnsi="宋体" w:eastAsia="宋体"/>
          <w:color w:val="auto"/>
          <w:szCs w:val="28"/>
          <w:highlight w:val="none"/>
        </w:rPr>
        <w:t>CAR147</w:t>
      </w:r>
      <w:r>
        <w:rPr>
          <w:rFonts w:hint="eastAsia" w:ascii="宋体" w:hAnsi="宋体" w:eastAsia="宋体"/>
          <w:color w:val="auto"/>
          <w:szCs w:val="28"/>
          <w:highlight w:val="none"/>
        </w:rPr>
        <w:t>培训单位批准）。</w:t>
      </w:r>
    </w:p>
    <w:p>
      <w:pPr>
        <w:widowControl/>
        <w:snapToGrid w:val="0"/>
        <w:spacing w:line="360" w:lineRule="auto"/>
        <w:jc w:val="left"/>
        <w:rPr>
          <w:rFonts w:ascii="宋体" w:hAnsi="宋体"/>
          <w:b/>
          <w:bCs/>
          <w:color w:val="auto"/>
          <w:sz w:val="24"/>
          <w:highlight w:val="none"/>
          <w:shd w:val="clear" w:color="auto" w:fill="FFFFFF"/>
        </w:rPr>
      </w:pPr>
    </w:p>
    <w:p>
      <w:pPr>
        <w:pStyle w:val="256"/>
        <w:numPr>
          <w:ilvl w:val="0"/>
          <w:numId w:val="1"/>
        </w:numPr>
        <w:snapToGrid w:val="0"/>
        <w:ind w:firstLineChars="0"/>
        <w:rPr>
          <w:rFonts w:ascii="宋体" w:hAnsi="宋体" w:eastAsia="宋体"/>
          <w:b/>
          <w:bCs/>
          <w:color w:val="auto"/>
          <w:highlight w:val="none"/>
          <w:shd w:val="clear" w:color="auto" w:fill="FFFFFF"/>
        </w:rPr>
      </w:pPr>
      <w:r>
        <w:rPr>
          <w:rFonts w:hint="eastAsia" w:ascii="宋体" w:hAnsi="宋体" w:eastAsia="宋体"/>
          <w:b/>
          <w:bCs/>
          <w:color w:val="auto"/>
          <w:highlight w:val="none"/>
          <w:shd w:val="clear" w:color="auto" w:fill="FFFFFF"/>
        </w:rPr>
        <w:t>地面设备参数</w:t>
      </w:r>
    </w:p>
    <w:p>
      <w:pPr>
        <w:pStyle w:val="256"/>
        <w:snapToGrid w:val="0"/>
        <w:ind w:firstLine="482"/>
        <w:rPr>
          <w:rFonts w:ascii="宋体" w:hAnsi="宋体" w:eastAsia="宋体"/>
          <w:color w:val="auto"/>
          <w:highlight w:val="none"/>
          <w:shd w:val="clear" w:color="auto" w:fill="FFFFFF"/>
        </w:rPr>
      </w:pPr>
      <w:r>
        <w:rPr>
          <w:rFonts w:hint="eastAsia" w:ascii="宋体" w:hAnsi="宋体" w:eastAsia="宋体"/>
          <w:b/>
          <w:bCs/>
          <w:color w:val="auto"/>
          <w:highlight w:val="none"/>
          <w:shd w:val="clear" w:color="auto" w:fill="FFFFFF"/>
        </w:rPr>
        <w:t>项目概况：</w:t>
      </w:r>
      <w:r>
        <w:rPr>
          <w:rFonts w:hint="eastAsia" w:ascii="宋体" w:hAnsi="宋体" w:eastAsia="宋体"/>
          <w:color w:val="auto"/>
          <w:highlight w:val="none"/>
          <w:shd w:val="clear" w:color="auto" w:fill="FFFFFF"/>
        </w:rPr>
        <w:t>此部分采购内容主要为与大飞机相对应的各类梯架、地面空调车、电源车与登高车。以上设备应都为航空公司或机场使用的主流设备，所有设备应包含现场培训服务，具体要求参见详细参数。</w:t>
      </w:r>
    </w:p>
    <w:p>
      <w:pPr>
        <w:snapToGrid w:val="0"/>
        <w:spacing w:line="360" w:lineRule="auto"/>
        <w:jc w:val="left"/>
        <w:rPr>
          <w:rFonts w:ascii="宋体" w:hAnsi="宋体" w:cs="仿宋"/>
          <w:bCs/>
          <w:color w:val="auto"/>
          <w:sz w:val="24"/>
          <w:highlight w:val="none"/>
        </w:rPr>
      </w:pPr>
      <w:r>
        <w:rPr>
          <w:rFonts w:hint="eastAsia" w:ascii="宋体" w:hAnsi="宋体" w:cs="仿宋"/>
          <w:bCs/>
          <w:color w:val="auto"/>
          <w:sz w:val="24"/>
          <w:highlight w:val="none"/>
        </w:rPr>
        <w:t>▲（一）工作梯</w:t>
      </w:r>
      <w:r>
        <w:rPr>
          <w:rFonts w:hint="eastAsia" w:ascii="宋体" w:hAnsi="宋体" w:cs="仿宋"/>
          <w:b/>
          <w:color w:val="auto"/>
          <w:sz w:val="24"/>
          <w:highlight w:val="none"/>
        </w:rPr>
        <w:t>（所有参数均为实质性条款）</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1.工作梯通用技术要求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（1）产品设计宗旨：安全便利、轻巧美观。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（2）遵循的标准</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ISO14122/GB17888机械安全—进入机械的固定设施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ISO12100/GB/T15706机械安全—设计通则</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ISO15614-2焊接工艺性试验—第2部分：铝和铝合金的弧焊</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ISO/TR17671-4/GB/T22086铝及铝合金弧焊推荐工艺</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BSEN1915飞机地面支持设备一般要求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第1部分：基本安全要求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第2部分：稳定性和强度要求，计算和试验方法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BSEN12312-8飞机地面支持设备一般要求：楼梯与平台</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GB25849移动式升降平台—设计计算、安全要求和测试方法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GB50429铝合金结构设计规范</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w:t>
      </w:r>
      <w:r>
        <w:rPr>
          <w:rFonts w:ascii="宋体" w:hAnsi="宋体" w:eastAsia="宋体"/>
          <w:color w:val="auto"/>
          <w:szCs w:val="28"/>
          <w:highlight w:val="none"/>
        </w:rPr>
        <w:t>.</w:t>
      </w:r>
      <w:r>
        <w:rPr>
          <w:rFonts w:hint="eastAsia" w:ascii="宋体" w:hAnsi="宋体" w:eastAsia="宋体"/>
          <w:color w:val="auto"/>
          <w:szCs w:val="28"/>
          <w:highlight w:val="none"/>
        </w:rPr>
        <w:t>主体材料要求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(1)基本要求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本次拟采购的工作梯均在露天或机库使用，应具有良好的可靠性和稳定性，并具备一定的抗风能力和锁定装置，投标人须提供抗风等级证明材料。工作梯采用高强度的铝合金型材制作，型材材质为6063或6061，表面阳极氧化或静电粉末喷涂处理，氧化膜厚不低于15um，喷涂厚度不低于60um，耐腐蚀、免维护。梯子突出部位和工作实践中容易刮碰飞机的地方，厂家在制造过程中应采取必要的防护缓冲措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(2)规格要求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a.工作梯踏板为高强度铝合金型材制作、截面尺寸为220x40mm，踏板冲鳄鱼嘴形状防滑孔使工作台面具备良好的防滑性，确保雨雪天气都能正常使用；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b.铝合金型材的边梁设有内加强肋条和连接槽，边梁型材截面尺寸有30x80mm、40x80mm、30x160mm，可根据工作梯的不同载荷要求来选用；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c.铝合金的护栏采用规格为Φ42x3.0mm的铝管制作，并配套专用的护栏座型材；</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d.铝合金型材的支架材料型材截面有100x100mm、80x80mm、30x80mm、40x80mm；</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e.所有铝型材的选用都保证强度和刚性、同时满足工作梯的轻巧与美观要求；</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3</w:t>
      </w:r>
      <w:r>
        <w:rPr>
          <w:rFonts w:hint="eastAsia" w:ascii="宋体" w:hAnsi="宋体" w:eastAsia="宋体"/>
          <w:color w:val="auto"/>
          <w:szCs w:val="28"/>
          <w:highlight w:val="none"/>
        </w:rPr>
        <w:t>.结构形式</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(1)基本结构</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工作梯整体采用铝合金型材组装及焊接相结合的结构形式制作。</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(2)具体组成</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a.平台边梁与踏板：采用特制的铝合金压块型材通过螺栓连接，平台应按4000N/㎡的等效均布载荷设计，需按标准提供设计计算依据；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b.楼梯边梁与踏板：踏板端面与铝板焊接后通过螺栓与边梁连接；</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c.支架间的连接：根据产品结构特点可采用焊接或螺栓连接方式；</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d.护栏采用液压弯管机弯制、TIG焊接，特殊工作梯平台护栏设计升降护栏或特制护栏，登机梯采用推拉式护栏，所有护栏应能承受水平方向垂直施加载荷500N/㎡以上，需按标准提供设计计算依据；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e.2米及以上工作梯设有牵引杆，方便车辆长距离拖拽。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f.工作梯底座宽度不小于高度的1/2，且不能小于400MM，旋转脚轮只能装在登梯一侧。</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4.</w:t>
      </w:r>
      <w:r>
        <w:rPr>
          <w:rFonts w:hint="eastAsia" w:ascii="宋体" w:hAnsi="宋体" w:eastAsia="宋体"/>
          <w:color w:val="auto"/>
          <w:szCs w:val="28"/>
          <w:highlight w:val="none"/>
        </w:rPr>
        <w:t>工作梯附件与配件</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工作梯架靠近飞机侧平台要求装有耐老化的防撞橡胶型材，材质：三元乙丙橡胶，使用可靠，安装方便，外形美观，防撞条的结构形式为专业开模定制。工作梯架靠近飞机侧护栏要求装有耐老化的防撞发泡管、外包黄色的布基胶带缠绕。</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b.专业设计用于配套工作梯的稳定器，使用维护方便，安全可靠；</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c.工作梯所有连接螺栓等标准件均采用A2-70材质的不锈钢，并配有自锁螺帽；</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d.工作梯采用20cm或25cm直径的环球/科顺脚轮,定向脚轮可采用40cm直径的知名品牌实心橡胶轮。</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e.带升降功能工作梯传动结构本身需具备自锁功能，保证运行平稳可靠、维护便利、无卡阻现象，传动系统中还需设有安全限位装置和防坠落锁装置，确保作业人员与飞机安全。</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f.工作梯应有说明铭牌，内容至少应包括：名称、制造厂商、平台高度、总高度、最大载荷或承载人数、出厂日期，字迹清洗可见。</w:t>
      </w:r>
    </w:p>
    <w:p>
      <w:pPr>
        <w:pStyle w:val="256"/>
        <w:snapToGrid w:val="0"/>
        <w:ind w:firstLine="566" w:firstLineChars="236"/>
        <w:rPr>
          <w:rFonts w:ascii="宋体" w:hAnsi="宋体" w:eastAsia="宋体"/>
          <w:color w:val="auto"/>
          <w:szCs w:val="28"/>
          <w:highlight w:val="none"/>
        </w:rPr>
      </w:pPr>
      <w:r>
        <w:rPr>
          <w:rFonts w:ascii="宋体" w:hAnsi="宋体" w:eastAsia="宋体"/>
          <w:color w:val="auto"/>
          <w:szCs w:val="28"/>
          <w:highlight w:val="none"/>
        </w:rPr>
        <w:t>5.</w:t>
      </w:r>
      <w:r>
        <w:rPr>
          <w:rFonts w:hint="eastAsia" w:ascii="宋体" w:hAnsi="宋体" w:eastAsia="宋体"/>
          <w:color w:val="auto"/>
          <w:szCs w:val="28"/>
          <w:highlight w:val="none"/>
        </w:rPr>
        <w:t>焊接要求</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a.为保证焊接质量，铝合金结构的焊接工艺（WPS）需通过第三方检测机构的认证，参与工作梯焊接人员均需持有专业的铝焊工资质证书。</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b.所有铝合金的铝焊必须均匀美观，焊后钝化处理。</w:t>
      </w:r>
    </w:p>
    <w:p>
      <w:pPr>
        <w:pStyle w:val="256"/>
        <w:snapToGrid w:val="0"/>
        <w:ind w:firstLine="566" w:firstLineChars="236"/>
        <w:rPr>
          <w:rFonts w:ascii="宋体" w:hAnsi="宋体" w:eastAsia="宋体"/>
          <w:color w:val="auto"/>
          <w:szCs w:val="28"/>
          <w:highlight w:val="none"/>
        </w:rPr>
      </w:pPr>
      <w:r>
        <w:rPr>
          <w:rFonts w:hint="eastAsia" w:ascii="宋体" w:hAnsi="宋体" w:eastAsia="宋体"/>
          <w:color w:val="auto"/>
          <w:szCs w:val="28"/>
          <w:highlight w:val="none"/>
        </w:rPr>
        <w:t>6</w:t>
      </w:r>
      <w:r>
        <w:rPr>
          <w:rFonts w:ascii="宋体" w:hAnsi="宋体" w:eastAsia="宋体"/>
          <w:color w:val="auto"/>
          <w:szCs w:val="28"/>
          <w:highlight w:val="none"/>
        </w:rPr>
        <w:t>.</w:t>
      </w:r>
      <w:r>
        <w:rPr>
          <w:rFonts w:hint="eastAsia" w:ascii="宋体" w:hAnsi="宋体" w:eastAsia="宋体"/>
          <w:color w:val="auto"/>
          <w:szCs w:val="28"/>
          <w:highlight w:val="none"/>
        </w:rPr>
        <w:t>工作梯具体设计要求表</w:t>
      </w:r>
    </w:p>
    <w:tbl>
      <w:tblPr>
        <w:tblStyle w:val="62"/>
        <w:tblW w:w="9733" w:type="dxa"/>
        <w:tblInd w:w="0" w:type="dxa"/>
        <w:tblLayout w:type="fixed"/>
        <w:tblCellMar>
          <w:top w:w="0" w:type="dxa"/>
          <w:left w:w="108" w:type="dxa"/>
          <w:bottom w:w="0" w:type="dxa"/>
          <w:right w:w="108" w:type="dxa"/>
        </w:tblCellMar>
      </w:tblPr>
      <w:tblGrid>
        <w:gridCol w:w="642"/>
        <w:gridCol w:w="2316"/>
        <w:gridCol w:w="5224"/>
        <w:gridCol w:w="793"/>
        <w:gridCol w:w="758"/>
      </w:tblGrid>
      <w:tr>
        <w:tblPrEx>
          <w:tblCellMar>
            <w:top w:w="0" w:type="dxa"/>
            <w:left w:w="108" w:type="dxa"/>
            <w:bottom w:w="0" w:type="dxa"/>
            <w:right w:w="108" w:type="dxa"/>
          </w:tblCellMar>
        </w:tblPrEx>
        <w:tc>
          <w:tcPr>
            <w:tcW w:w="6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316"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名称</w:t>
            </w:r>
          </w:p>
        </w:tc>
        <w:tc>
          <w:tcPr>
            <w:tcW w:w="5224"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技术参数</w:t>
            </w:r>
          </w:p>
        </w:tc>
        <w:tc>
          <w:tcPr>
            <w:tcW w:w="793"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数量</w:t>
            </w:r>
          </w:p>
        </w:tc>
        <w:tc>
          <w:tcPr>
            <w:tcW w:w="758"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2316" w:type="dxa"/>
            <w:tcBorders>
              <w:top w:val="nil"/>
              <w:left w:val="nil"/>
              <w:bottom w:val="single" w:color="auto" w:sz="4" w:space="0"/>
              <w:right w:val="single" w:color="auto" w:sz="4" w:space="0"/>
            </w:tcBorders>
            <w:shd w:val="clear" w:color="auto" w:fill="auto"/>
            <w:vAlign w:val="center"/>
          </w:tcPr>
          <w:p>
            <w:pPr>
              <w:widowControl/>
              <w:snapToGrid w:val="0"/>
              <w:ind w:left="-666" w:leftChars="-317" w:firstLine="634" w:firstLineChars="30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1.5米维修工作梯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梯架材质：高强度耐用金属材质台面踏板：防滑铝花纹板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楼梯踏板：鳄鱼嘴或防滑条纹踏板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台面尺寸：440mmX600mm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承载载荷：250kg</w:t>
            </w:r>
          </w:p>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drawing>
                <wp:inline distT="0" distB="0" distL="0" distR="0">
                  <wp:extent cx="1409700" cy="147828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4145" cy="1483995"/>
                          </a:xfrm>
                          <a:prstGeom prst="rect">
                            <a:avLst/>
                          </a:prstGeom>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2</w:t>
            </w:r>
          </w:p>
        </w:tc>
        <w:tc>
          <w:tcPr>
            <w:tcW w:w="2316"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1.8米工作梯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台面踏板：防滑铝花纹板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楼梯踏板：鳄鱼嘴或防滑条纹踏板</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台面尺寸：800mmX1000mm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承载载荷：300kg</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稳定结构：连杆机构</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66545" cy="199326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66545" cy="1993265"/>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3</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勤务登机门维修梯</w:t>
            </w:r>
          </w:p>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（自制不锈钢）</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台面尺寸：1560mmX1200mm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台面高度：3200mm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伸缩护栏：高度1100mm,长度调节范围0</w:t>
            </w:r>
            <w:r>
              <w:rPr>
                <w:rFonts w:hint="eastAsia" w:ascii="微软雅黑" w:hAnsi="微软雅黑" w:eastAsia="微软雅黑" w:cs="微软雅黑"/>
                <w:bCs/>
                <w:color w:val="auto"/>
                <w:kern w:val="0"/>
                <w:szCs w:val="21"/>
                <w:highlight w:val="none"/>
              </w:rPr>
              <w:t>〜</w:t>
            </w:r>
            <w:r>
              <w:rPr>
                <w:rFonts w:hint="eastAsia" w:ascii="宋体" w:hAnsi="宋体" w:cs="宋体"/>
                <w:bCs/>
                <w:color w:val="auto"/>
                <w:kern w:val="0"/>
                <w:szCs w:val="21"/>
                <w:highlight w:val="none"/>
              </w:rPr>
              <w:t>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承载载荷：300kg</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牵引速度：=10km/h</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24000" cy="18961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24000" cy="1896110"/>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4</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后货舱维护梯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台面尺寸：1000mmX2000mm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台面高度：1900mm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承载载荷：400kg</w:t>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5</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前货舱维护梯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台面尺寸：1000mmX2000mm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台面高度：1900mm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护栏高度：1100mm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楼梯宽度：1000mm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承载载荷：400kg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24000" cy="164020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24000" cy="1640205"/>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6</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发动机维护梯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台面尺寸：660mmX500mm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台面高度：1500mm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护栏高度：560mm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楼梯角度：65°</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承载载荷：150kg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554480" cy="179260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54480" cy="1792605"/>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7</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电子舱工作梯（自制）</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梯架材质：高强度耐用金属材质</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踏板形式：鳄鱼嘴或防滑条纹</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台面尺寸：300mmX500mm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台面高度：2800mm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楼梯宽度：800mm</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楼梯角度：50°</w:t>
            </w:r>
            <w:r>
              <w:rPr>
                <w:rFonts w:hint="eastAsia" w:ascii="宋体" w:hAnsi="宋体" w:cs="宋体"/>
                <w:bCs/>
                <w:color w:val="auto"/>
                <w:kern w:val="0"/>
                <w:szCs w:val="21"/>
                <w:highlight w:val="none"/>
              </w:rPr>
              <w:br w:type="textWrapping"/>
            </w:r>
            <w:r>
              <w:rPr>
                <w:rFonts w:hint="eastAsia" w:ascii="宋体" w:hAnsi="宋体" w:cs="宋体"/>
                <w:bCs/>
                <w:color w:val="auto"/>
                <w:kern w:val="0"/>
                <w:szCs w:val="21"/>
                <w:highlight w:val="none"/>
              </w:rPr>
              <w:t>承载载荷：150kg</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1481455" cy="1713230"/>
                  <wp:effectExtent l="0" t="0" r="1206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81455" cy="1713230"/>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8</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贵宾登机梯</w:t>
            </w:r>
          </w:p>
        </w:tc>
        <w:tc>
          <w:tcPr>
            <w:tcW w:w="5224" w:type="dxa"/>
            <w:tcBorders>
              <w:top w:val="nil"/>
              <w:left w:val="nil"/>
              <w:bottom w:val="single" w:color="auto" w:sz="4" w:space="0"/>
              <w:right w:val="single" w:color="auto" w:sz="4" w:space="0"/>
            </w:tcBorders>
            <w:shd w:val="clear" w:color="auto" w:fill="auto"/>
            <w:vAlign w:val="center"/>
          </w:tcPr>
          <w:p>
            <w:pPr>
              <w:widowControl/>
              <w:snapToGrid w:val="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手推客梯车是一种用作旅客上下飞机的专用机动设备，满足并符合MH/T6029-2003,AHM913等民航相关标准。适用于舱门高度从2100~3200mm的飞机，该车结合新颖的设计理念及科学的制造，液压升降高低位幅度大，踏板在高低位时保持着平行面，四点定位采用液压一体式操作，与传统的手推客梯车相比，整车结构具有更高的安全性、轻便性等优点。同时非机动客梯车，降低了运行及维修成本。实用机型包括：A300,A310,A320,B737,C919等适航机型。登机平台高度调节范围：约2200mm-3200mm重量：1500-2000kg半密闭雨蓬配套最大载客数20人登机平台尺寸：1960*1660mm雨棚高度：1800-2000mm</w:t>
            </w:r>
          </w:p>
          <w:p>
            <w:pPr>
              <w:widowControl/>
              <w:snapToGrid w:val="0"/>
              <w:jc w:val="left"/>
              <w:rPr>
                <w:rFonts w:ascii="宋体" w:hAnsi="宋体" w:cs="宋体"/>
                <w:bCs/>
                <w:color w:val="auto"/>
                <w:kern w:val="0"/>
                <w:szCs w:val="21"/>
                <w:highlight w:val="none"/>
              </w:rPr>
            </w:pPr>
            <w:r>
              <w:rPr>
                <w:rFonts w:ascii="宋体" w:hAnsi="宋体" w:cs="宋体"/>
                <w:bCs/>
                <w:color w:val="auto"/>
                <w:kern w:val="0"/>
                <w:szCs w:val="21"/>
                <w:highlight w:val="none"/>
              </w:rPr>
              <w:drawing>
                <wp:inline distT="0" distB="0" distL="0" distR="0">
                  <wp:extent cx="2371725" cy="216408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71725" cy="2164080"/>
                          </a:xfrm>
                          <a:prstGeom prst="rect">
                            <a:avLst/>
                          </a:prstGeom>
                          <a:noFill/>
                        </pic:spPr>
                      </pic:pic>
                    </a:graphicData>
                  </a:graphic>
                </wp:inline>
              </w:drawing>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9</w:t>
            </w:r>
          </w:p>
        </w:tc>
        <w:tc>
          <w:tcPr>
            <w:tcW w:w="23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飞机尾部托架</w:t>
            </w:r>
          </w:p>
        </w:tc>
        <w:tc>
          <w:tcPr>
            <w:tcW w:w="5224" w:type="dxa"/>
            <w:tcBorders>
              <w:top w:val="nil"/>
              <w:left w:val="nil"/>
              <w:bottom w:val="single" w:color="auto" w:sz="4" w:space="0"/>
              <w:right w:val="single" w:color="auto" w:sz="4" w:space="0"/>
            </w:tcBorders>
            <w:shd w:val="clear" w:color="auto" w:fill="auto"/>
            <w:vAlign w:val="center"/>
          </w:tcPr>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机身尾部托架主要有底架总成、托架总成、螺旋升降机构、活动轮轮总成、支撑总成组成。</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外形尺寸：</w:t>
            </w:r>
            <w:r>
              <w:rPr>
                <w:rFonts w:ascii="宋体" w:hAnsi="宋体" w:eastAsia="宋体"/>
                <w:bCs/>
                <w:color w:val="auto"/>
                <w:sz w:val="21"/>
                <w:szCs w:val="21"/>
                <w:highlight w:val="none"/>
              </w:rPr>
              <w:t>1500</w:t>
            </w:r>
            <w:r>
              <w:rPr>
                <w:rFonts w:hint="eastAsia" w:ascii="宋体" w:hAnsi="宋体" w:eastAsia="宋体"/>
                <w:bCs/>
                <w:color w:val="auto"/>
                <w:sz w:val="21"/>
                <w:szCs w:val="21"/>
                <w:highlight w:val="none"/>
              </w:rPr>
              <w:t>mm</w:t>
            </w:r>
            <w:r>
              <w:rPr>
                <w:rFonts w:ascii="宋体" w:hAnsi="宋体" w:eastAsia="宋体"/>
                <w:bCs/>
                <w:color w:val="auto"/>
                <w:sz w:val="21"/>
                <w:szCs w:val="21"/>
                <w:highlight w:val="none"/>
              </w:rPr>
              <w:t>*60</w:t>
            </w:r>
            <w:r>
              <w:rPr>
                <w:rFonts w:hint="eastAsia" w:ascii="宋体" w:hAnsi="宋体" w:eastAsia="宋体"/>
                <w:bCs/>
                <w:color w:val="auto"/>
                <w:sz w:val="21"/>
                <w:szCs w:val="21"/>
                <w:highlight w:val="none"/>
              </w:rPr>
              <w:t>mm</w:t>
            </w:r>
            <w:r>
              <w:rPr>
                <w:rFonts w:ascii="宋体" w:hAnsi="宋体" w:eastAsia="宋体"/>
                <w:bCs/>
                <w:color w:val="auto"/>
                <w:sz w:val="21"/>
                <w:szCs w:val="21"/>
                <w:highlight w:val="none"/>
              </w:rPr>
              <w:t>*2400</w:t>
            </w:r>
            <w:r>
              <w:rPr>
                <w:rFonts w:hint="eastAsia" w:ascii="宋体" w:hAnsi="宋体" w:eastAsia="宋体"/>
                <w:bCs/>
                <w:color w:val="auto"/>
                <w:sz w:val="21"/>
                <w:szCs w:val="21"/>
                <w:highlight w:val="none"/>
              </w:rPr>
              <w:t>mm（未升高、行程5</w:t>
            </w:r>
            <w:r>
              <w:rPr>
                <w:rFonts w:ascii="宋体" w:hAnsi="宋体" w:eastAsia="宋体"/>
                <w:bCs/>
                <w:color w:val="auto"/>
                <w:sz w:val="21"/>
                <w:szCs w:val="21"/>
                <w:highlight w:val="none"/>
              </w:rPr>
              <w:t>00</w:t>
            </w:r>
            <w:r>
              <w:rPr>
                <w:rFonts w:hint="eastAsia" w:ascii="宋体" w:hAnsi="宋体" w:eastAsia="宋体"/>
                <w:bCs/>
                <w:color w:val="auto"/>
                <w:sz w:val="21"/>
                <w:szCs w:val="21"/>
                <w:highlight w:val="none"/>
              </w:rPr>
              <w:t>mm长*宽*高）</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托架底架总成材料采用抗弯、抗扭性能高的工字钢和槽钢，底部配备4个可锁定的活动轮。</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螺旋升降机构是整个托架的重要组成部分，其主要由手柄、螺杆、螺母和导向键构成。</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为适应恶劣环境要求，托架外部应做好表面处理并喷漆处理。</w:t>
            </w:r>
          </w:p>
          <w:p>
            <w:pPr>
              <w:pStyle w:val="256"/>
              <w:numPr>
                <w:ilvl w:val="0"/>
                <w:numId w:val="25"/>
              </w:numPr>
              <w:snapToGrid w:val="0"/>
              <w:spacing w:line="240" w:lineRule="auto"/>
              <w:ind w:firstLineChars="0"/>
              <w:rPr>
                <w:rFonts w:ascii="宋体" w:hAnsi="宋体" w:eastAsia="宋体"/>
                <w:bCs/>
                <w:color w:val="auto"/>
                <w:sz w:val="21"/>
                <w:szCs w:val="21"/>
                <w:highlight w:val="none"/>
              </w:rPr>
            </w:pPr>
            <w:r>
              <w:rPr>
                <w:rFonts w:hint="eastAsia" w:ascii="宋体" w:hAnsi="宋体" w:eastAsia="宋体"/>
                <w:bCs/>
                <w:color w:val="auto"/>
                <w:sz w:val="21"/>
                <w:szCs w:val="21"/>
                <w:highlight w:val="none"/>
              </w:rPr>
              <w:t>支撑总成</w:t>
            </w:r>
            <w:r>
              <w:rPr>
                <w:rFonts w:ascii="宋体" w:hAnsi="宋体" w:eastAsia="宋体"/>
                <w:bCs/>
                <w:color w:val="auto"/>
                <w:sz w:val="21"/>
                <w:szCs w:val="21"/>
                <w:highlight w:val="none"/>
              </w:rPr>
              <w:t>材料：镀锌钢管，壁厚≥3mm</w:t>
            </w:r>
            <w:r>
              <w:rPr>
                <w:rFonts w:hint="eastAsia" w:ascii="宋体" w:hAnsi="宋体" w:eastAsia="宋体"/>
                <w:bCs/>
                <w:color w:val="auto"/>
                <w:sz w:val="21"/>
                <w:szCs w:val="21"/>
                <w:highlight w:val="none"/>
              </w:rPr>
              <w:t>，</w:t>
            </w:r>
            <w:r>
              <w:rPr>
                <w:rFonts w:ascii="宋体" w:hAnsi="宋体" w:eastAsia="宋体"/>
                <w:bCs/>
                <w:color w:val="auto"/>
                <w:sz w:val="21"/>
                <w:szCs w:val="21"/>
                <w:highlight w:val="none"/>
              </w:rPr>
              <w:t>外观喷涂黄色防锈油漆。</w:t>
            </w:r>
          </w:p>
          <w:p>
            <w:pPr>
              <w:pStyle w:val="256"/>
              <w:numPr>
                <w:ilvl w:val="0"/>
                <w:numId w:val="25"/>
              </w:numPr>
              <w:snapToGrid w:val="0"/>
              <w:spacing w:line="240" w:lineRule="auto"/>
              <w:ind w:firstLineChars="0"/>
              <w:rPr>
                <w:rFonts w:ascii="宋体" w:hAnsi="宋体" w:eastAsia="宋体" w:cs="宋体"/>
                <w:bCs/>
                <w:color w:val="auto"/>
                <w:kern w:val="0"/>
                <w:sz w:val="21"/>
                <w:szCs w:val="21"/>
                <w:highlight w:val="none"/>
              </w:rPr>
            </w:pPr>
            <w:r>
              <w:rPr>
                <w:rFonts w:hint="eastAsia" w:ascii="宋体" w:hAnsi="宋体" w:eastAsia="宋体"/>
                <w:bCs/>
                <w:color w:val="auto"/>
                <w:sz w:val="21"/>
                <w:szCs w:val="21"/>
                <w:highlight w:val="none"/>
              </w:rPr>
              <w:t>托架总成由宽1</w:t>
            </w:r>
            <w:r>
              <w:rPr>
                <w:rFonts w:ascii="宋体" w:hAnsi="宋体" w:eastAsia="宋体"/>
                <w:bCs/>
                <w:color w:val="auto"/>
                <w:sz w:val="21"/>
                <w:szCs w:val="21"/>
                <w:highlight w:val="none"/>
              </w:rPr>
              <w:t>60</w:t>
            </w:r>
            <w:r>
              <w:rPr>
                <w:rFonts w:hint="eastAsia" w:ascii="宋体" w:hAnsi="宋体" w:eastAsia="宋体"/>
                <w:bCs/>
                <w:color w:val="auto"/>
                <w:sz w:val="21"/>
                <w:szCs w:val="21"/>
                <w:highlight w:val="none"/>
              </w:rPr>
              <w:t>mm槽钢制作，上部铺设实木及胶皮垫，保护飞机结构及涂层。</w:t>
            </w:r>
          </w:p>
        </w:tc>
        <w:tc>
          <w:tcPr>
            <w:tcW w:w="79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p>
        </w:tc>
        <w:tc>
          <w:tcPr>
            <w:tcW w:w="758" w:type="dxa"/>
            <w:tcBorders>
              <w:top w:val="nil"/>
              <w:left w:val="nil"/>
              <w:bottom w:val="single" w:color="auto" w:sz="4" w:space="0"/>
              <w:right w:val="single" w:color="auto" w:sz="4" w:space="0"/>
            </w:tcBorders>
            <w:shd w:val="clear" w:color="auto" w:fill="auto"/>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个</w:t>
            </w:r>
          </w:p>
        </w:tc>
      </w:tr>
      <w:tr>
        <w:tblPrEx>
          <w:tblCellMar>
            <w:top w:w="0" w:type="dxa"/>
            <w:left w:w="108" w:type="dxa"/>
            <w:bottom w:w="0" w:type="dxa"/>
            <w:right w:w="108" w:type="dxa"/>
          </w:tblCellMar>
        </w:tblPrEx>
        <w:tc>
          <w:tcPr>
            <w:tcW w:w="6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ascii="宋体" w:hAnsi="宋体" w:cs="宋体"/>
                <w:bCs/>
                <w:color w:val="auto"/>
                <w:kern w:val="0"/>
                <w:szCs w:val="21"/>
                <w:highlight w:val="none"/>
              </w:rPr>
              <w:t>0</w:t>
            </w:r>
          </w:p>
        </w:tc>
        <w:tc>
          <w:tcPr>
            <w:tcW w:w="2316"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cs="宋体"/>
                <w:bCs/>
                <w:color w:val="auto"/>
                <w:kern w:val="0"/>
                <w:szCs w:val="21"/>
                <w:highlight w:val="none"/>
              </w:rPr>
            </w:pPr>
            <w:r>
              <w:rPr>
                <w:rFonts w:hint="eastAsia" w:ascii="宋体" w:hAnsi="宋体"/>
                <w:bCs/>
                <w:color w:val="auto"/>
                <w:szCs w:val="21"/>
                <w:highlight w:val="none"/>
                <w:shd w:val="clear" w:color="auto" w:fill="FFFFFF"/>
              </w:rPr>
              <w:t>飞机牵引杆</w:t>
            </w:r>
          </w:p>
        </w:tc>
        <w:tc>
          <w:tcPr>
            <w:tcW w:w="522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飞机牵引杆（机械式）</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1.调节高度：200~600mm</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2.外形尺寸：长5215x宽780mm</w:t>
            </w:r>
          </w:p>
          <w:p>
            <w:pPr>
              <w:snapToGrid w:val="0"/>
              <w:jc w:val="left"/>
              <w:rPr>
                <w:rFonts w:ascii="宋体" w:hAnsi="宋体"/>
                <w:bCs/>
                <w:color w:val="auto"/>
                <w:szCs w:val="21"/>
                <w:highlight w:val="none"/>
                <w:shd w:val="clear" w:color="auto" w:fill="FFFFFF"/>
              </w:rPr>
            </w:pPr>
            <w:r>
              <w:rPr>
                <w:rFonts w:hint="eastAsia" w:ascii="宋体" w:hAnsi="宋体"/>
                <w:bCs/>
                <w:color w:val="auto"/>
                <w:szCs w:val="21"/>
                <w:highlight w:val="none"/>
                <w:shd w:val="clear" w:color="auto" w:fill="FFFFFF"/>
              </w:rPr>
              <w:t>3.举升方式：手摇</w:t>
            </w:r>
          </w:p>
          <w:p>
            <w:pPr>
              <w:snapToGrid w:val="0"/>
              <w:rPr>
                <w:rFonts w:ascii="宋体" w:hAnsi="宋体"/>
                <w:bCs/>
                <w:color w:val="auto"/>
                <w:szCs w:val="21"/>
                <w:highlight w:val="none"/>
              </w:rPr>
            </w:pPr>
            <w:r>
              <w:rPr>
                <w:rFonts w:hint="eastAsia" w:ascii="宋体" w:hAnsi="宋体"/>
                <w:bCs/>
                <w:color w:val="auto"/>
                <w:szCs w:val="21"/>
                <w:highlight w:val="none"/>
                <w:shd w:val="clear" w:color="auto" w:fill="FFFFFF"/>
              </w:rPr>
              <w:t>4.结构组成：拖头、杆身、升降支架、机械式升降机构</w:t>
            </w:r>
          </w:p>
        </w:tc>
        <w:tc>
          <w:tcPr>
            <w:tcW w:w="79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bCs/>
                <w:color w:val="auto"/>
                <w:kern w:val="0"/>
                <w:szCs w:val="21"/>
                <w:highlight w:val="none"/>
              </w:rPr>
            </w:pPr>
            <w:r>
              <w:rPr>
                <w:rFonts w:hint="eastAsia" w:ascii="宋体" w:hAnsi="宋体"/>
                <w:bCs/>
                <w:color w:val="auto"/>
                <w:szCs w:val="21"/>
                <w:highlight w:val="none"/>
                <w:shd w:val="clear" w:color="auto" w:fill="FFFFFF"/>
              </w:rPr>
              <w:t>1</w:t>
            </w:r>
          </w:p>
        </w:tc>
        <w:tc>
          <w:tcPr>
            <w:tcW w:w="75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cs="宋体"/>
                <w:bCs/>
                <w:color w:val="auto"/>
                <w:kern w:val="0"/>
                <w:szCs w:val="21"/>
                <w:highlight w:val="none"/>
              </w:rPr>
            </w:pPr>
            <w:r>
              <w:rPr>
                <w:rFonts w:hint="eastAsia" w:ascii="宋体" w:hAnsi="宋体" w:cs="宋体"/>
                <w:bCs/>
                <w:color w:val="auto"/>
                <w:szCs w:val="21"/>
                <w:highlight w:val="none"/>
              </w:rPr>
              <w:t>个</w:t>
            </w:r>
          </w:p>
        </w:tc>
      </w:tr>
    </w:tbl>
    <w:p>
      <w:pPr>
        <w:pStyle w:val="256"/>
        <w:snapToGrid w:val="0"/>
        <w:ind w:firstLine="566" w:firstLineChars="236"/>
        <w:rPr>
          <w:rFonts w:ascii="宋体" w:hAnsi="宋体" w:eastAsia="宋体" w:cs="仿宋"/>
          <w:bCs/>
          <w:color w:val="auto"/>
          <w:highlight w:val="none"/>
        </w:rPr>
      </w:pPr>
      <w:r>
        <w:rPr>
          <w:rFonts w:hint="eastAsia" w:ascii="宋体" w:hAnsi="宋体" w:eastAsia="宋体"/>
          <w:color w:val="auto"/>
          <w:szCs w:val="28"/>
          <w:highlight w:val="none"/>
        </w:rPr>
        <w:t>7</w:t>
      </w:r>
      <w:r>
        <w:rPr>
          <w:rFonts w:ascii="宋体" w:hAnsi="宋体" w:eastAsia="宋体"/>
          <w:color w:val="auto"/>
          <w:szCs w:val="28"/>
          <w:highlight w:val="none"/>
        </w:rPr>
        <w:t>.</w:t>
      </w:r>
      <w:r>
        <w:rPr>
          <w:rFonts w:hint="eastAsia" w:ascii="宋体" w:hAnsi="宋体" w:eastAsia="宋体"/>
          <w:color w:val="auto"/>
          <w:szCs w:val="28"/>
          <w:highlight w:val="none"/>
        </w:rPr>
        <w:t>常用备件和消耗材料</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（1）中标人须提供常用备件和消耗材料清单，清单包括名称、型号、订货号、生产厂家、价格、优惠及供货周期。</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（2）中标人须在供货范围内提供满足2年设备正常运行所需的备件和耗材。</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▲（二）地面空调车</w:t>
      </w:r>
      <w:r>
        <w:rPr>
          <w:rFonts w:hint="eastAsia" w:ascii="宋体" w:hAnsi="宋体" w:cs="仿宋"/>
          <w:b/>
          <w:color w:val="auto"/>
          <w:sz w:val="24"/>
          <w:highlight w:val="none"/>
        </w:rPr>
        <w:t>（所有参数均为实质性条款）</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地面空调车是整体单元式特种空调，装置采用外部接入</w:t>
      </w:r>
      <w:r>
        <w:rPr>
          <w:rFonts w:ascii="宋体" w:hAnsi="宋体" w:cs="仿宋"/>
          <w:bCs/>
          <w:color w:val="auto"/>
          <w:sz w:val="24"/>
          <w:highlight w:val="none"/>
        </w:rPr>
        <w:t>380V三相交流电源，采用蒸汽压</w:t>
      </w:r>
      <w:r>
        <w:rPr>
          <w:rFonts w:hint="eastAsia" w:ascii="宋体" w:hAnsi="宋体" w:cs="仿宋"/>
          <w:bCs/>
          <w:color w:val="auto"/>
          <w:sz w:val="24"/>
          <w:highlight w:val="none"/>
        </w:rPr>
        <w:t>缩式制冷循环、热泵循环和</w:t>
      </w:r>
      <w:r>
        <w:rPr>
          <w:rFonts w:ascii="宋体" w:hAnsi="宋体" w:cs="仿宋"/>
          <w:bCs/>
          <w:color w:val="auto"/>
          <w:sz w:val="24"/>
          <w:highlight w:val="none"/>
        </w:rPr>
        <w:t>PTC电加热系统的飞机“地面服务”设备，空调机组对吸入外界新</w:t>
      </w:r>
      <w:r>
        <w:rPr>
          <w:rFonts w:hint="eastAsia" w:ascii="宋体" w:hAnsi="宋体" w:cs="仿宋"/>
          <w:bCs/>
          <w:color w:val="auto"/>
          <w:sz w:val="24"/>
          <w:highlight w:val="none"/>
        </w:rPr>
        <w:t>空气进行冷却或加热、过滤、除湿等处理，然后通过高压鼓风机及管路输送，用于机务维修</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保障时的机舱</w:t>
      </w:r>
      <w:r>
        <w:rPr>
          <w:rFonts w:ascii="宋体" w:hAnsi="宋体" w:cs="仿宋"/>
          <w:bCs/>
          <w:color w:val="auto"/>
          <w:sz w:val="24"/>
          <w:highlight w:val="none"/>
        </w:rPr>
        <w:t>(客舱、货舱、设备舱)空气调节。</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机务空调车是“可移动式”、“外接电源”、“全新风”空调机组；</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机务空调车具有“制冷”、“通风”功能；</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机组具有“高风压”、“大温差送风”、“远距风管输送”等特性；</w:t>
      </w:r>
    </w:p>
    <w:p>
      <w:pPr>
        <w:snapToGrid w:val="0"/>
        <w:spacing w:line="360" w:lineRule="auto"/>
        <w:ind w:firstLine="480" w:firstLineChars="200"/>
        <w:rPr>
          <w:rFonts w:ascii="宋体" w:hAnsi="宋体" w:cs="仿宋"/>
          <w:bCs/>
          <w:color w:val="auto"/>
          <w:sz w:val="24"/>
          <w:highlight w:val="none"/>
        </w:rPr>
      </w:pPr>
      <w:r>
        <w:rPr>
          <w:rFonts w:hint="eastAsia" w:ascii="MS Gothic" w:hAnsi="MS Gothic" w:eastAsia="MS Gothic" w:cs="MS Gothic"/>
          <w:bCs/>
          <w:color w:val="auto"/>
          <w:sz w:val="24"/>
          <w:highlight w:val="none"/>
        </w:rPr>
        <w:t>➢</w:t>
      </w:r>
      <w:r>
        <w:rPr>
          <w:rFonts w:ascii="宋体" w:hAnsi="宋体" w:cs="仿宋"/>
          <w:bCs/>
          <w:color w:val="auto"/>
          <w:sz w:val="24"/>
          <w:highlight w:val="none"/>
        </w:rPr>
        <w:t>“模块化”设计，机组适应拖车式安装、固定式安装和车载安装等多种安装形式；</w:t>
      </w:r>
    </w:p>
    <w:tbl>
      <w:tblPr>
        <w:tblStyle w:val="63"/>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82"/>
        <w:gridCol w:w="851"/>
        <w:gridCol w:w="992"/>
        <w:gridCol w:w="851"/>
        <w:gridCol w:w="893"/>
        <w:gridCol w:w="709"/>
        <w:gridCol w:w="1418"/>
        <w:gridCol w:w="708"/>
        <w:gridCol w:w="107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735"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制冷容量</w:t>
            </w:r>
          </w:p>
        </w:tc>
        <w:tc>
          <w:tcPr>
            <w:tcW w:w="78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制冷量K</w:t>
            </w:r>
            <w:r>
              <w:rPr>
                <w:rFonts w:ascii="宋体" w:hAnsi="宋体" w:cs="仿宋"/>
                <w:bCs/>
                <w:color w:val="auto"/>
                <w:szCs w:val="21"/>
                <w:highlight w:val="none"/>
              </w:rPr>
              <w:t>W</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制热量K</w:t>
            </w:r>
            <w:r>
              <w:rPr>
                <w:rFonts w:ascii="宋体" w:hAnsi="宋体" w:cs="仿宋"/>
                <w:bCs/>
                <w:color w:val="auto"/>
                <w:szCs w:val="21"/>
                <w:highlight w:val="none"/>
              </w:rPr>
              <w:t>W</w:t>
            </w:r>
          </w:p>
        </w:tc>
        <w:tc>
          <w:tcPr>
            <w:tcW w:w="99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送风量m</w:t>
            </w:r>
            <w:r>
              <w:rPr>
                <w:rFonts w:ascii="宋体" w:hAnsi="宋体" w:cs="仿宋"/>
                <w:bCs/>
                <w:color w:val="auto"/>
                <w:szCs w:val="21"/>
                <w:highlight w:val="none"/>
              </w:rPr>
              <w:t>3/</w:t>
            </w:r>
            <w:r>
              <w:rPr>
                <w:rFonts w:hint="eastAsia" w:ascii="宋体" w:hAnsi="宋体" w:cs="仿宋"/>
                <w:bCs/>
                <w:color w:val="auto"/>
                <w:szCs w:val="21"/>
                <w:highlight w:val="none"/>
              </w:rPr>
              <w:t>h</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送风压力P</w:t>
            </w:r>
            <w:r>
              <w:rPr>
                <w:rFonts w:ascii="宋体" w:hAnsi="宋体" w:cs="仿宋"/>
                <w:bCs/>
                <w:color w:val="auto"/>
                <w:szCs w:val="21"/>
                <w:highlight w:val="none"/>
              </w:rPr>
              <w:t>A</w:t>
            </w:r>
          </w:p>
        </w:tc>
        <w:tc>
          <w:tcPr>
            <w:tcW w:w="893"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输入功率K</w:t>
            </w:r>
            <w:r>
              <w:rPr>
                <w:rFonts w:ascii="宋体" w:hAnsi="宋体" w:cs="仿宋"/>
                <w:bCs/>
                <w:color w:val="auto"/>
                <w:szCs w:val="21"/>
                <w:highlight w:val="none"/>
              </w:rPr>
              <w:t>W</w:t>
            </w:r>
          </w:p>
        </w:tc>
        <w:tc>
          <w:tcPr>
            <w:tcW w:w="709"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能源</w:t>
            </w:r>
          </w:p>
        </w:tc>
        <w:tc>
          <w:tcPr>
            <w:tcW w:w="141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适用</w:t>
            </w:r>
          </w:p>
        </w:tc>
        <w:tc>
          <w:tcPr>
            <w:tcW w:w="70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噪声d</w:t>
            </w:r>
            <w:r>
              <w:rPr>
                <w:rFonts w:ascii="宋体" w:hAnsi="宋体" w:cs="仿宋"/>
                <w:bCs/>
                <w:color w:val="auto"/>
                <w:szCs w:val="21"/>
                <w:highlight w:val="none"/>
              </w:rPr>
              <w:t>BA</w:t>
            </w:r>
          </w:p>
        </w:tc>
        <w:tc>
          <w:tcPr>
            <w:tcW w:w="1077"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尺寸</w:t>
            </w:r>
          </w:p>
        </w:tc>
        <w:tc>
          <w:tcPr>
            <w:tcW w:w="855"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重量K</w:t>
            </w:r>
            <w:r>
              <w:rPr>
                <w:rFonts w:ascii="宋体" w:hAnsi="宋体" w:cs="仿宋"/>
                <w:bCs/>
                <w:color w:val="auto"/>
                <w:szCs w:val="21"/>
                <w:highlight w:val="none"/>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35"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2</w:t>
            </w:r>
            <w:r>
              <w:rPr>
                <w:rFonts w:ascii="宋体" w:hAnsi="宋体" w:cs="仿宋"/>
                <w:bCs/>
                <w:color w:val="auto"/>
                <w:szCs w:val="21"/>
                <w:highlight w:val="none"/>
              </w:rPr>
              <w:t>2TR</w:t>
            </w:r>
          </w:p>
        </w:tc>
        <w:tc>
          <w:tcPr>
            <w:tcW w:w="78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7</w:t>
            </w:r>
            <w:r>
              <w:rPr>
                <w:rFonts w:ascii="宋体" w:hAnsi="宋体" w:cs="仿宋"/>
                <w:bCs/>
                <w:color w:val="auto"/>
                <w:szCs w:val="21"/>
                <w:highlight w:val="none"/>
              </w:rPr>
              <w:t>0</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4</w:t>
            </w:r>
            <w:r>
              <w:rPr>
                <w:rFonts w:ascii="宋体" w:hAnsi="宋体" w:cs="仿宋"/>
                <w:bCs/>
                <w:color w:val="auto"/>
                <w:szCs w:val="21"/>
                <w:highlight w:val="none"/>
              </w:rPr>
              <w:t>0</w:t>
            </w:r>
          </w:p>
        </w:tc>
        <w:tc>
          <w:tcPr>
            <w:tcW w:w="992"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≥5</w:t>
            </w:r>
            <w:r>
              <w:rPr>
                <w:rFonts w:ascii="宋体" w:hAnsi="宋体" w:cs="仿宋"/>
                <w:bCs/>
                <w:color w:val="auto"/>
                <w:szCs w:val="21"/>
                <w:highlight w:val="none"/>
              </w:rPr>
              <w:t>000</w:t>
            </w:r>
          </w:p>
        </w:tc>
        <w:tc>
          <w:tcPr>
            <w:tcW w:w="851"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5</w:t>
            </w:r>
            <w:r>
              <w:rPr>
                <w:rFonts w:ascii="宋体" w:hAnsi="宋体" w:cs="仿宋"/>
                <w:bCs/>
                <w:color w:val="auto"/>
                <w:szCs w:val="21"/>
                <w:highlight w:val="none"/>
              </w:rPr>
              <w:t>000</w:t>
            </w:r>
          </w:p>
        </w:tc>
        <w:tc>
          <w:tcPr>
            <w:tcW w:w="893"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4</w:t>
            </w:r>
            <w:r>
              <w:rPr>
                <w:rFonts w:ascii="宋体" w:hAnsi="宋体" w:cs="仿宋"/>
                <w:bCs/>
                <w:color w:val="auto"/>
                <w:szCs w:val="21"/>
                <w:highlight w:val="none"/>
              </w:rPr>
              <w:t>5</w:t>
            </w:r>
          </w:p>
        </w:tc>
        <w:tc>
          <w:tcPr>
            <w:tcW w:w="709"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3</w:t>
            </w:r>
            <w:r>
              <w:rPr>
                <w:rFonts w:ascii="宋体" w:hAnsi="宋体" w:cs="仿宋"/>
                <w:bCs/>
                <w:color w:val="auto"/>
                <w:szCs w:val="21"/>
                <w:highlight w:val="none"/>
              </w:rPr>
              <w:t>80VAC</w:t>
            </w:r>
          </w:p>
        </w:tc>
        <w:tc>
          <w:tcPr>
            <w:tcW w:w="141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B</w:t>
            </w:r>
            <w:r>
              <w:rPr>
                <w:rFonts w:ascii="宋体" w:hAnsi="宋体" w:cs="仿宋"/>
                <w:bCs/>
                <w:color w:val="auto"/>
                <w:szCs w:val="21"/>
                <w:highlight w:val="none"/>
              </w:rPr>
              <w:t>737</w:t>
            </w:r>
            <w:r>
              <w:rPr>
                <w:rFonts w:hint="eastAsia" w:ascii="宋体" w:hAnsi="宋体" w:cs="仿宋"/>
                <w:bCs/>
                <w:color w:val="auto"/>
                <w:szCs w:val="21"/>
                <w:highlight w:val="none"/>
              </w:rPr>
              <w:t>/A</w:t>
            </w:r>
            <w:r>
              <w:rPr>
                <w:rFonts w:ascii="宋体" w:hAnsi="宋体" w:cs="仿宋"/>
                <w:bCs/>
                <w:color w:val="auto"/>
                <w:szCs w:val="21"/>
                <w:highlight w:val="none"/>
              </w:rPr>
              <w:t>320</w:t>
            </w:r>
          </w:p>
        </w:tc>
        <w:tc>
          <w:tcPr>
            <w:tcW w:w="708"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7</w:t>
            </w:r>
            <w:r>
              <w:rPr>
                <w:rFonts w:ascii="宋体" w:hAnsi="宋体" w:cs="仿宋"/>
                <w:bCs/>
                <w:color w:val="auto"/>
                <w:szCs w:val="21"/>
                <w:highlight w:val="none"/>
              </w:rPr>
              <w:t>0</w:t>
            </w:r>
          </w:p>
        </w:tc>
        <w:tc>
          <w:tcPr>
            <w:tcW w:w="1077" w:type="dxa"/>
            <w:vAlign w:val="center"/>
          </w:tcPr>
          <w:p>
            <w:pPr>
              <w:jc w:val="center"/>
              <w:rPr>
                <w:rFonts w:ascii="宋体" w:hAnsi="宋体" w:cs="仿宋"/>
                <w:bCs/>
                <w:color w:val="auto"/>
                <w:szCs w:val="21"/>
                <w:highlight w:val="none"/>
              </w:rPr>
            </w:pPr>
            <w:r>
              <w:rPr>
                <w:rFonts w:ascii="宋体" w:hAnsi="宋体" w:cs="仿宋"/>
                <w:bCs/>
                <w:color w:val="auto"/>
                <w:szCs w:val="21"/>
                <w:highlight w:val="none"/>
              </w:rPr>
              <w:t>2750</w:t>
            </w:r>
            <w:r>
              <w:rPr>
                <w:rFonts w:hint="eastAsia" w:ascii="宋体" w:hAnsi="宋体" w:cs="仿宋"/>
                <w:bCs/>
                <w:color w:val="auto"/>
                <w:szCs w:val="21"/>
                <w:highlight w:val="none"/>
              </w:rPr>
              <w:t>×</w:t>
            </w:r>
            <w:r>
              <w:rPr>
                <w:rFonts w:ascii="宋体" w:hAnsi="宋体" w:cs="仿宋"/>
                <w:bCs/>
                <w:color w:val="auto"/>
                <w:szCs w:val="21"/>
                <w:highlight w:val="none"/>
              </w:rPr>
              <w:t>1600</w:t>
            </w:r>
            <w:r>
              <w:rPr>
                <w:rFonts w:hint="eastAsia" w:ascii="宋体" w:hAnsi="宋体" w:cs="仿宋"/>
                <w:bCs/>
                <w:color w:val="auto"/>
                <w:szCs w:val="21"/>
                <w:highlight w:val="none"/>
              </w:rPr>
              <w:t>×</w:t>
            </w:r>
            <w:r>
              <w:rPr>
                <w:rFonts w:ascii="宋体" w:hAnsi="宋体" w:cs="仿宋"/>
                <w:bCs/>
                <w:color w:val="auto"/>
                <w:szCs w:val="21"/>
                <w:highlight w:val="none"/>
              </w:rPr>
              <w:t>1950</w:t>
            </w:r>
          </w:p>
        </w:tc>
        <w:tc>
          <w:tcPr>
            <w:tcW w:w="855" w:type="dxa"/>
            <w:vAlign w:val="center"/>
          </w:tcPr>
          <w:p>
            <w:pPr>
              <w:jc w:val="center"/>
              <w:rPr>
                <w:rFonts w:ascii="宋体" w:hAnsi="宋体" w:cs="仿宋"/>
                <w:bCs/>
                <w:color w:val="auto"/>
                <w:szCs w:val="21"/>
                <w:highlight w:val="none"/>
              </w:rPr>
            </w:pPr>
            <w:r>
              <w:rPr>
                <w:rFonts w:hint="eastAsia" w:ascii="宋体" w:hAnsi="宋体" w:cs="仿宋"/>
                <w:bCs/>
                <w:color w:val="auto"/>
                <w:szCs w:val="21"/>
                <w:highlight w:val="none"/>
              </w:rPr>
              <w:t>1</w:t>
            </w:r>
            <w:r>
              <w:rPr>
                <w:rFonts w:ascii="宋体" w:hAnsi="宋体" w:cs="仿宋"/>
                <w:bCs/>
                <w:color w:val="auto"/>
                <w:szCs w:val="21"/>
                <w:highlight w:val="none"/>
              </w:rPr>
              <w:t>470</w:t>
            </w:r>
          </w:p>
        </w:tc>
      </w:tr>
    </w:tbl>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设备工作原理：设备由外接</w:t>
      </w:r>
      <w:r>
        <w:rPr>
          <w:rFonts w:ascii="宋体" w:hAnsi="宋体" w:cs="仿宋"/>
          <w:bCs/>
          <w:color w:val="auto"/>
          <w:sz w:val="24"/>
          <w:highlight w:val="none"/>
        </w:rPr>
        <w:t>380VAC动力电提供动力源，通过驱动制冷系统和鼓风机工作；</w:t>
      </w:r>
      <w:r>
        <w:rPr>
          <w:rFonts w:hint="eastAsia" w:ascii="宋体" w:hAnsi="宋体" w:cs="仿宋"/>
          <w:bCs/>
          <w:color w:val="auto"/>
          <w:sz w:val="24"/>
          <w:highlight w:val="none"/>
        </w:rPr>
        <w:t>夏季时，通过两套独立的蒸气压缩式制冷循环系统提供冷量来源，冷却吸入机组的环境热空气；冬季时，通过风机加热、一套热泵制热循环和一套独立的表面不带电的</w:t>
      </w:r>
      <w:r>
        <w:rPr>
          <w:rFonts w:ascii="宋体" w:hAnsi="宋体" w:cs="仿宋"/>
          <w:bCs/>
          <w:color w:val="auto"/>
          <w:sz w:val="24"/>
          <w:highlight w:val="none"/>
        </w:rPr>
        <w:t>PTC电加热系统，</w:t>
      </w:r>
      <w:r>
        <w:rPr>
          <w:rFonts w:hint="eastAsia" w:ascii="宋体" w:hAnsi="宋体" w:cs="仿宋"/>
          <w:bCs/>
          <w:color w:val="auto"/>
          <w:sz w:val="24"/>
          <w:highlight w:val="none"/>
        </w:rPr>
        <w:t>加热吸入机组的环境冷空气；经鼓风系统和送风管道将冷却</w:t>
      </w:r>
      <w:r>
        <w:rPr>
          <w:rFonts w:ascii="宋体" w:hAnsi="宋体" w:cs="仿宋"/>
          <w:bCs/>
          <w:color w:val="auto"/>
          <w:sz w:val="24"/>
          <w:highlight w:val="none"/>
        </w:rPr>
        <w:t>/加热后的空气送入飞机内部，以</w:t>
      </w:r>
      <w:r>
        <w:rPr>
          <w:rFonts w:hint="eastAsia" w:ascii="宋体" w:hAnsi="宋体" w:cs="仿宋"/>
          <w:bCs/>
          <w:color w:val="auto"/>
          <w:sz w:val="24"/>
          <w:highlight w:val="none"/>
        </w:rPr>
        <w:t>调节飞机内部环境空气状态。</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空调从外界（机场）吸入新鲜空气，通过空调系统的运行，对吸入外界空气进行冷却（或加热）、除湿和过滤，然后通过送风软管送入飞机机舱，对飞机舱内空气环境进行调节，满足机内换气通风和冷却发热的电子设备要求。</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机务空调车，适应于B737/</w:t>
      </w:r>
      <w:r>
        <w:rPr>
          <w:rFonts w:hint="eastAsia" w:ascii="宋体" w:hAnsi="宋体" w:cs="仿宋"/>
          <w:bCs/>
          <w:color w:val="auto"/>
          <w:sz w:val="24"/>
          <w:highlight w:val="none"/>
        </w:rPr>
        <w:t>A</w:t>
      </w:r>
      <w:r>
        <w:rPr>
          <w:rFonts w:ascii="宋体" w:hAnsi="宋体" w:cs="仿宋"/>
          <w:bCs/>
          <w:color w:val="auto"/>
          <w:sz w:val="24"/>
          <w:highlight w:val="none"/>
        </w:rPr>
        <w:t>320系列飞机整机降/升温或飞机内部无大量热源（包</w:t>
      </w:r>
      <w:r>
        <w:rPr>
          <w:rFonts w:hint="eastAsia" w:ascii="宋体" w:hAnsi="宋体" w:cs="仿宋"/>
          <w:bCs/>
          <w:color w:val="auto"/>
          <w:sz w:val="24"/>
          <w:highlight w:val="none"/>
        </w:rPr>
        <w:t>括乘客散热）状态下的机务保障空气调节，设备采用的专用输入、输出状态的人为可控调节的设计，配合可以快速切换的风管状态，当飞机空调系统未拆除时，可用于飞机地面空调接口供风；当飞机空调系统拆除时，可用分风小车直接对于飞机机舱的空调通风。</w:t>
      </w:r>
    </w:p>
    <w:p>
      <w:pPr>
        <w:jc w:val="center"/>
        <w:rPr>
          <w:rFonts w:ascii="宋体" w:hAnsi="宋体" w:cs="仿宋"/>
          <w:bCs/>
          <w:color w:val="auto"/>
          <w:sz w:val="24"/>
          <w:highlight w:val="none"/>
        </w:rPr>
      </w:pPr>
      <w:r>
        <w:rPr>
          <w:rFonts w:ascii="宋体" w:hAnsi="宋体" w:cs="仿宋"/>
          <w:bCs/>
          <w:color w:val="auto"/>
          <w:sz w:val="24"/>
          <w:highlight w:val="none"/>
        </w:rPr>
        <w:drawing>
          <wp:inline distT="0" distB="0" distL="0" distR="0">
            <wp:extent cx="6005195" cy="4024630"/>
            <wp:effectExtent l="0" t="0" r="1460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005195" cy="4024630"/>
                    </a:xfrm>
                    <a:prstGeom prst="rect">
                      <a:avLst/>
                    </a:prstGeom>
                    <a:noFill/>
                  </pic:spPr>
                </pic:pic>
              </a:graphicData>
            </a:graphic>
          </wp:inline>
        </w:drawing>
      </w:r>
    </w:p>
    <w:p>
      <w:pPr>
        <w:ind w:firstLine="480" w:firstLineChars="200"/>
        <w:rPr>
          <w:rFonts w:ascii="宋体" w:hAnsi="宋体" w:cs="仿宋"/>
          <w:bCs/>
          <w:color w:val="auto"/>
          <w:sz w:val="24"/>
          <w:highlight w:val="none"/>
        </w:rPr>
      </w:pPr>
      <w:r>
        <w:rPr>
          <w:rFonts w:hint="eastAsia" w:ascii="宋体" w:hAnsi="宋体" w:cs="仿宋"/>
          <w:bCs/>
          <w:color w:val="auto"/>
          <w:sz w:val="24"/>
          <w:highlight w:val="none"/>
        </w:rPr>
        <w:t>主要性能参数：</w:t>
      </w:r>
    </w:p>
    <w:tbl>
      <w:tblPr>
        <w:tblStyle w:val="62"/>
        <w:tblW w:w="9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9"/>
        <w:gridCol w:w="5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产品名称</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飞机机务空调车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制冷量</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70KW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送风量</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5000m3/h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送风静压</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5000Pa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制冷温度可调范围</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5</w:t>
            </w:r>
            <w:r>
              <w:rPr>
                <w:rFonts w:hint="eastAsia" w:ascii="宋体" w:hAnsi="宋体" w:cs="宋体"/>
                <w:bCs/>
                <w:color w:val="auto"/>
                <w:kern w:val="0"/>
                <w:szCs w:val="21"/>
                <w:highlight w:val="none"/>
              </w:rPr>
              <w:t>～</w:t>
            </w:r>
            <w:r>
              <w:rPr>
                <w:rFonts w:ascii="宋体" w:hAnsi="宋体" w:cs="宋体"/>
                <w:bCs/>
                <w:color w:val="auto"/>
                <w:kern w:val="0"/>
                <w:szCs w:val="21"/>
                <w:highlight w:val="none"/>
              </w:rPr>
              <w:t>25</w:t>
            </w:r>
            <w:r>
              <w:rPr>
                <w:rFonts w:hint="eastAsia" w:ascii="宋体" w:hAnsi="宋体" w:cs="宋体"/>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制热温度可调范围</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30</w:t>
            </w:r>
            <w:r>
              <w:rPr>
                <w:rFonts w:hint="eastAsia" w:ascii="宋体" w:hAnsi="宋体" w:cs="宋体"/>
                <w:bCs/>
                <w:color w:val="auto"/>
                <w:kern w:val="0"/>
                <w:szCs w:val="21"/>
                <w:highlight w:val="none"/>
              </w:rPr>
              <w:t>～</w:t>
            </w:r>
            <w:r>
              <w:rPr>
                <w:rFonts w:ascii="宋体" w:hAnsi="宋体" w:cs="宋体"/>
                <w:bCs/>
                <w:color w:val="auto"/>
                <w:kern w:val="0"/>
                <w:szCs w:val="21"/>
                <w:highlight w:val="none"/>
              </w:rPr>
              <w:t>50</w:t>
            </w:r>
            <w:r>
              <w:rPr>
                <w:rFonts w:hint="eastAsia" w:ascii="宋体" w:hAnsi="宋体" w:cs="宋体"/>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供风湿度</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湿度≤</w:t>
            </w:r>
            <w:r>
              <w:rPr>
                <w:rFonts w:ascii="宋体" w:hAnsi="宋体" w:cs="宋体"/>
                <w:bCs/>
                <w:color w:val="auto"/>
                <w:kern w:val="0"/>
                <w:szCs w:val="21"/>
                <w:highlight w:val="none"/>
              </w:rPr>
              <w:t>60</w:t>
            </w:r>
            <w:r>
              <w:rPr>
                <w:rFonts w:hint="eastAsia" w:ascii="宋体" w:hAnsi="宋体" w:cs="宋体"/>
                <w:bCs/>
                <w:color w:val="auto"/>
                <w:kern w:val="0"/>
                <w:szCs w:val="21"/>
                <w:highlight w:val="none"/>
              </w:rPr>
              <w:t>％，不含游离水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供风清洁度</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固体杂质含量不超过</w:t>
            </w:r>
            <w:r>
              <w:rPr>
                <w:rFonts w:ascii="宋体" w:hAnsi="宋体" w:cs="宋体"/>
                <w:bCs/>
                <w:color w:val="auto"/>
                <w:kern w:val="0"/>
                <w:szCs w:val="21"/>
                <w:highlight w:val="none"/>
              </w:rPr>
              <w:t>0.05g/m</w:t>
            </w:r>
            <w:r>
              <w:rPr>
                <w:rFonts w:hint="eastAsia" w:ascii="宋体" w:hAnsi="宋体" w:cs="宋体"/>
                <w:bCs/>
                <w:color w:val="auto"/>
                <w:kern w:val="0"/>
                <w:szCs w:val="21"/>
                <w:highlight w:val="none"/>
              </w:rPr>
              <w:t>³，最大颗粒物不超过</w:t>
            </w:r>
            <w:r>
              <w:rPr>
                <w:rFonts w:ascii="宋体" w:hAnsi="宋体" w:cs="宋体"/>
                <w:bCs/>
                <w:color w:val="auto"/>
                <w:kern w:val="0"/>
                <w:szCs w:val="21"/>
                <w:highlight w:val="none"/>
              </w:rPr>
              <w:t>50μm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电源供应</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380VAC/50HZ</w:t>
            </w:r>
            <w:r>
              <w:rPr>
                <w:rFonts w:hint="eastAsia" w:ascii="宋体" w:hAnsi="宋体" w:cs="宋体"/>
                <w:bCs/>
                <w:color w:val="auto"/>
                <w:kern w:val="0"/>
                <w:szCs w:val="21"/>
                <w:highlight w:val="none"/>
              </w:rPr>
              <w:t>±</w:t>
            </w:r>
            <w:r>
              <w:rPr>
                <w:rFonts w:ascii="宋体" w:hAnsi="宋体" w:cs="宋体"/>
                <w:bCs/>
                <w:color w:val="auto"/>
                <w:kern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输入总功率</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45KW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额定工作电流</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90A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噪音</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70dBA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重量</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1470KG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外形尺寸</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2750x1600x1950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安装方式</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拖曳式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出风口</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1</w:t>
            </w:r>
            <w:r>
              <w:rPr>
                <w:rFonts w:hint="eastAsia" w:ascii="宋体" w:hAnsi="宋体" w:cs="宋体"/>
                <w:bCs/>
                <w:color w:val="auto"/>
                <w:kern w:val="0"/>
                <w:szCs w:val="21"/>
                <w:highlight w:val="none"/>
              </w:rPr>
              <w:t>个，无级可调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压缩机运行指示</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可操作性</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简单按钮控制，可单人操作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连续工作能力</w:t>
            </w:r>
          </w:p>
        </w:tc>
        <w:tc>
          <w:tcPr>
            <w:tcW w:w="5554"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vAlign w:val="center"/>
          </w:tcPr>
          <w:p>
            <w:pPr>
              <w:autoSpaceDE w:val="0"/>
              <w:autoSpaceDN w:val="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适用机型</w:t>
            </w:r>
          </w:p>
        </w:tc>
        <w:tc>
          <w:tcPr>
            <w:tcW w:w="5554" w:type="dxa"/>
            <w:vAlign w:val="center"/>
          </w:tcPr>
          <w:p>
            <w:pPr>
              <w:autoSpaceDE w:val="0"/>
              <w:autoSpaceDN w:val="0"/>
              <w:jc w:val="center"/>
              <w:rPr>
                <w:rFonts w:ascii="宋体" w:hAnsi="宋体" w:cs="宋体"/>
                <w:bCs/>
                <w:color w:val="auto"/>
                <w:kern w:val="0"/>
                <w:szCs w:val="21"/>
                <w:highlight w:val="none"/>
              </w:rPr>
            </w:pPr>
            <w:r>
              <w:rPr>
                <w:rFonts w:ascii="宋体" w:hAnsi="宋体" w:cs="宋体"/>
                <w:bCs/>
                <w:color w:val="auto"/>
                <w:kern w:val="0"/>
                <w:szCs w:val="21"/>
                <w:highlight w:val="none"/>
              </w:rPr>
              <w:t>B737/A320</w:t>
            </w:r>
            <w:r>
              <w:rPr>
                <w:rFonts w:hint="eastAsia" w:ascii="宋体" w:hAnsi="宋体" w:cs="宋体"/>
                <w:bCs/>
                <w:color w:val="auto"/>
                <w:kern w:val="0"/>
                <w:szCs w:val="21"/>
                <w:highlight w:val="none"/>
              </w:rPr>
              <w:t>及以下</w:t>
            </w:r>
          </w:p>
        </w:tc>
      </w:tr>
    </w:tbl>
    <w:p>
      <w:pPr>
        <w:ind w:firstLine="480" w:firstLineChars="200"/>
        <w:rPr>
          <w:rFonts w:ascii="宋体" w:hAnsi="宋体" w:cs="仿宋"/>
          <w:bCs/>
          <w:color w:val="auto"/>
          <w:sz w:val="24"/>
          <w:highlight w:val="none"/>
        </w:rPr>
      </w:pPr>
    </w:p>
    <w:p>
      <w:pPr>
        <w:snapToGrid w:val="0"/>
        <w:spacing w:line="360" w:lineRule="auto"/>
        <w:rPr>
          <w:rFonts w:ascii="宋体" w:hAnsi="宋体" w:cs="仿宋"/>
          <w:bCs/>
          <w:color w:val="auto"/>
          <w:sz w:val="24"/>
          <w:highlight w:val="none"/>
        </w:rPr>
      </w:pPr>
      <w:r>
        <w:rPr>
          <w:rFonts w:hint="eastAsia" w:ascii="宋体" w:hAnsi="宋体" w:cs="仿宋"/>
          <w:bCs/>
          <w:color w:val="auto"/>
          <w:sz w:val="24"/>
          <w:highlight w:val="none"/>
        </w:rPr>
        <w:t>▲</w:t>
      </w:r>
      <w:r>
        <w:rPr>
          <w:rFonts w:hint="eastAsia" w:ascii="宋体" w:hAnsi="宋体" w:cs="仿宋"/>
          <w:b/>
          <w:color w:val="auto"/>
          <w:sz w:val="24"/>
          <w:highlight w:val="none"/>
        </w:rPr>
        <w:t>（三）飞机地面交直流一体电源车（所有参数均为实质性条款）</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该设备为新型交直流一体电源，专为民航客机和军用飞机等在生产检测、维修和维护时提供</w:t>
      </w:r>
      <w:r>
        <w:rPr>
          <w:rFonts w:ascii="宋体" w:hAnsi="宋体" w:cs="仿宋"/>
          <w:bCs/>
          <w:color w:val="auto"/>
          <w:sz w:val="24"/>
          <w:highlight w:val="none"/>
        </w:rPr>
        <w:t>400Hz中频和28V直流的外部供电。产品规格具备90KVA的中频电源以及28V/600A的输出能力，交流、直流供电相互独立，互不干扰，满足不同需求的应用场合。采用十二脉冲整流，高性能FPGA作为中央处理器，纯数字测量控制技术，LCD屏显示，造型新颖美观、结构设计合理，具有高稳定性和高可靠性,低失真正弦输出，动态响应快，飞机供电连锁等功能，而且集十几种电参数测量监控，140多种故障诊断保护功能于一身，完全</w:t>
      </w:r>
      <w:r>
        <w:rPr>
          <w:rFonts w:hint="eastAsia" w:ascii="宋体" w:hAnsi="宋体" w:cs="仿宋"/>
          <w:bCs/>
          <w:color w:val="auto"/>
          <w:sz w:val="24"/>
          <w:highlight w:val="none"/>
        </w:rPr>
        <w:t>满足室外</w:t>
      </w:r>
      <w:r>
        <w:rPr>
          <w:rFonts w:ascii="宋体" w:hAnsi="宋体" w:cs="仿宋"/>
          <w:bCs/>
          <w:color w:val="auto"/>
          <w:sz w:val="24"/>
          <w:highlight w:val="none"/>
        </w:rPr>
        <w:t>IP55防护等级，超宽-40~55℃的工作温度范围，良好的电磁兼容性等等，是一台安全，可靠，高效，纯净的高端航空地面电源。适用于机场及飞机制造、检测、维修等应用场合。</w:t>
      </w:r>
    </w:p>
    <w:p>
      <w:pPr>
        <w:spacing w:line="276" w:lineRule="auto"/>
        <w:ind w:firstLine="480" w:firstLineChars="200"/>
        <w:rPr>
          <w:rFonts w:ascii="宋体" w:hAnsi="宋体"/>
          <w:bCs/>
          <w:color w:val="auto"/>
          <w:sz w:val="24"/>
          <w:highlight w:val="none"/>
        </w:rPr>
      </w:pPr>
      <w:r>
        <w:rPr>
          <w:rFonts w:ascii="宋体" w:hAnsi="宋体"/>
          <w:bCs/>
          <w:color w:val="auto"/>
          <w:sz w:val="24"/>
          <w:highlight w:val="none"/>
        </w:rPr>
        <w:object>
          <v:shape id="_x0000_i1025" o:spt="75" type="#_x0000_t75" style="height:289.2pt;width:444.6pt;" o:ole="t" filled="f" o:preferrelative="t" stroked="f" coordsize="21600,21600">
            <v:path/>
            <v:fill on="f" focussize="0,0"/>
            <v:stroke on="f" joinstyle="miter"/>
            <v:imagedata r:id="rId36" cropleft="13559f" croptop="2363f" cropright="7729f" cropbottom="3965f" o:title=""/>
            <o:lock v:ext="edit" aspectratio="t"/>
            <w10:wrap type="none"/>
            <w10:anchorlock/>
          </v:shape>
          <o:OLEObject Type="Embed" ProgID="AutoCAD.Drawing.18" ShapeID="_x0000_i1025" DrawAspect="Content" ObjectID="_1468075725" r:id="rId35">
            <o:LockedField>false</o:LockedField>
          </o:OLEObject>
        </w:objec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w:t>
      </w:r>
      <w:r>
        <w:rPr>
          <w:rFonts w:hint="eastAsia" w:ascii="宋体" w:hAnsi="宋体" w:cs="仿宋"/>
          <w:bCs/>
          <w:color w:val="auto"/>
          <w:sz w:val="24"/>
          <w:highlight w:val="none"/>
        </w:rPr>
        <w:t>飞机地面静变电源具有以下技术特点：</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采用十二脉冲整流技术，输入电流失真度低，功率因数高，对电网污染小。</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中频输出采用纯数字控制，高频SPWM波和全桥逆变技术，整机效率高。</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直流输出采用纯数字控制，PWM逆变技术，整机效率高。</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过载能力强，交流支持400％电流过载、直流支持300%电流过载。</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优良的输出稳定性，快速的动态响应。</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保护功能完备，保障电源设备正常运行和负载的安全。</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可存储多达1000个错误信息，通过故障代码迅速定位故障原因。</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黑匣子功能（最近的200条错误信息），查询故障时电源的内外部参数。</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总输出时间及总损耗功率；记录用户最近的50条操作记录。</w:t>
      </w:r>
    </w:p>
    <w:p>
      <w:pPr>
        <w:pStyle w:val="256"/>
        <w:numPr>
          <w:ilvl w:val="0"/>
          <w:numId w:val="26"/>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LCD显示。界面清晰直观，操作简单易用。</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w:t>
      </w:r>
      <w:r>
        <w:rPr>
          <w:rFonts w:ascii="宋体" w:hAnsi="宋体" w:cs="仿宋"/>
          <w:bCs/>
          <w:color w:val="auto"/>
          <w:sz w:val="24"/>
          <w:highlight w:val="none"/>
        </w:rPr>
        <w:t>.</w:t>
      </w:r>
      <w:r>
        <w:rPr>
          <w:rFonts w:hint="eastAsia" w:ascii="宋体" w:hAnsi="宋体" w:cs="仿宋"/>
          <w:bCs/>
          <w:color w:val="auto"/>
          <w:sz w:val="24"/>
          <w:highlight w:val="none"/>
        </w:rPr>
        <w:t>产品功能</w:t>
      </w:r>
    </w:p>
    <w:p>
      <w:pPr>
        <w:pStyle w:val="256"/>
        <w:numPr>
          <w:ilvl w:val="0"/>
          <w:numId w:val="27"/>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400Hz正弦波电压输出</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飞机地面静变电源具有良好的输出特性。总谐波含量</w:t>
      </w:r>
      <w:r>
        <w:rPr>
          <w:rFonts w:ascii="宋体" w:hAnsi="宋体" w:eastAsia="宋体" w:cs="仿宋"/>
          <w:bCs/>
          <w:color w:val="auto"/>
          <w:highlight w:val="none"/>
        </w:rPr>
        <w:t>&lt;2%，电压调制量&lt;1.0%（典型的&lt;0.5%）。</w:t>
      </w:r>
    </w:p>
    <w:p>
      <w:pPr>
        <w:pStyle w:val="256"/>
        <w:numPr>
          <w:ilvl w:val="0"/>
          <w:numId w:val="27"/>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28VDC电压输出</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飞机地面静变电源具有良好的输出特性，</w:t>
      </w:r>
      <w:r>
        <w:rPr>
          <w:rFonts w:ascii="宋体" w:hAnsi="宋体" w:eastAsia="宋体" w:cs="仿宋"/>
          <w:bCs/>
          <w:color w:val="auto"/>
          <w:highlight w:val="none"/>
        </w:rPr>
        <w:t>Vrms&lt;200mV。</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输出线压降补偿</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补偿输出线缆压降，保证飞机电源输入端电压。</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联锁供电功能</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用户可在设置页面设置联锁供电功能开启或旁路。</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内置保护电路</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具有输入过欠压、输入过欠频；输出过欠压、输出过载、短路；飞机连锁供电保护；过热等多种保护，保护电源及用户设备安全。</w:t>
      </w:r>
    </w:p>
    <w:p>
      <w:pPr>
        <w:pStyle w:val="256"/>
        <w:numPr>
          <w:ilvl w:val="0"/>
          <w:numId w:val="27"/>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故障检测功能</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系统在工作的任何时间和状态下，循环进行自检，检查系统内部工作参数，如果不正常，系统将报出故障。具备完备的故障指示功能，用户可通过故障代码快速查找报警原因。</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3</w:t>
      </w:r>
      <w:r>
        <w:rPr>
          <w:rFonts w:ascii="宋体" w:hAnsi="宋体" w:cs="仿宋"/>
          <w:bCs/>
          <w:color w:val="auto"/>
          <w:sz w:val="24"/>
          <w:highlight w:val="none"/>
        </w:rPr>
        <w:t>.</w:t>
      </w:r>
      <w:r>
        <w:rPr>
          <w:rFonts w:hint="eastAsia" w:ascii="宋体" w:hAnsi="宋体" w:cs="仿宋"/>
          <w:bCs/>
          <w:color w:val="auto"/>
          <w:sz w:val="24"/>
          <w:highlight w:val="none"/>
        </w:rPr>
        <w:t>面板功能</w: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通过按键启动停止电源及设定电源工作参数，并且通过</w:t>
      </w:r>
      <w:r>
        <w:rPr>
          <w:rFonts w:ascii="宋体" w:hAnsi="宋体" w:cs="仿宋"/>
          <w:bCs/>
          <w:color w:val="auto"/>
          <w:sz w:val="24"/>
          <w:highlight w:val="none"/>
        </w:rPr>
        <w:t>LCD液晶提供输出状态的显示，具体功能有：</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分别启动或者停止两路输出</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灯检</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报警状态复位</w:t>
      </w:r>
      <w:r>
        <w:rPr>
          <w:rFonts w:hint="eastAsia" w:ascii="宋体" w:hAnsi="宋体" w:eastAsia="宋体" w:cs="仿宋"/>
          <w:bCs/>
          <w:color w:val="auto"/>
          <w:highlight w:val="none"/>
        </w:rPr>
        <w:t>；</w:t>
      </w:r>
    </w:p>
    <w:p>
      <w:pPr>
        <w:pStyle w:val="256"/>
        <w:numPr>
          <w:ilvl w:val="0"/>
          <w:numId w:val="28"/>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设定工作参数。</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输出电压</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电源出厂前，设备设置在额定输出电压，如果需要（如由于供电电缆造成的电压降），可以调整输出电压值。中频输出电压的调整范围为</w:t>
      </w:r>
      <w:r>
        <w:rPr>
          <w:rFonts w:ascii="宋体" w:hAnsi="宋体" w:eastAsia="宋体" w:cs="仿宋"/>
          <w:bCs/>
          <w:color w:val="auto"/>
          <w:highlight w:val="none"/>
        </w:rPr>
        <w:t>100V-130V，直流输出电压为20V-32V。</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输出电压补偿</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在大功率输出时，若输出线缆两端压降超过</w:t>
      </w:r>
      <w:r>
        <w:rPr>
          <w:rFonts w:ascii="宋体" w:hAnsi="宋体" w:eastAsia="宋体" w:cs="仿宋"/>
          <w:bCs/>
          <w:color w:val="auto"/>
          <w:highlight w:val="none"/>
        </w:rPr>
        <w:t>0.8V，应在带负载的情形下考虑电缆压降，并考虑使用输出电压补偿功能。可以通过调整输出电压补偿值的大小，使输出插头的电压调整到要求值。</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设置联锁旁路</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联锁安全系统可以旁路。参数设置为“旁路”，电源可在无联锁供电的情形下输出。参数设置为“使能”，电源只有在检索到联锁信号后才可能输出。</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设置风扇连续运转</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风扇连续运转设置为“常规”，表示风扇的开关由温度控制，为了旁路温度开关，例如在测试状态将其设置为“恒定”，风扇将连续全速运转。</w:t>
      </w:r>
    </w:p>
    <w:p>
      <w:pPr>
        <w:pStyle w:val="256"/>
        <w:numPr>
          <w:ilvl w:val="0"/>
          <w:numId w:val="29"/>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日期和时间</w:t>
      </w:r>
    </w:p>
    <w:p>
      <w:pPr>
        <w:pStyle w:val="256"/>
        <w:snapToGrid w:val="0"/>
        <w:ind w:left="840" w:firstLine="0" w:firstLineChars="0"/>
        <w:rPr>
          <w:rFonts w:ascii="宋体" w:hAnsi="宋体" w:eastAsia="宋体" w:cs="仿宋"/>
          <w:bCs/>
          <w:color w:val="auto"/>
          <w:highlight w:val="none"/>
        </w:rPr>
      </w:pPr>
      <w:r>
        <w:rPr>
          <w:rFonts w:hint="eastAsia" w:ascii="宋体" w:hAnsi="宋体" w:eastAsia="宋体" w:cs="仿宋"/>
          <w:bCs/>
          <w:color w:val="auto"/>
          <w:highlight w:val="none"/>
        </w:rPr>
        <w:t>电源内置有时钟用来显示日期和时间。它可以显示年、月、日、时、分、秒。</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4.</w:t>
      </w:r>
      <w:r>
        <w:rPr>
          <w:rFonts w:hint="eastAsia" w:ascii="宋体" w:hAnsi="宋体" w:cs="仿宋"/>
          <w:bCs/>
          <w:color w:val="auto"/>
          <w:sz w:val="24"/>
          <w:highlight w:val="none"/>
        </w:rPr>
        <w:t>产品性能</w:t>
      </w:r>
    </w:p>
    <w:tbl>
      <w:tblPr>
        <w:tblStyle w:val="62"/>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3"/>
        <w:gridCol w:w="1102"/>
        <w:gridCol w:w="1104"/>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输入</w:t>
            </w: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相数</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三相三线+PE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380V±15%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频率</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45Hz-63Hz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整流方式</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12脉冲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线电流畸变</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功率因数</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效率</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＞0.93（满载）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交流输出</w:t>
            </w: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额定功率</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90KVA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3×115V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频率</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400Hz±0.1%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额定电流</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3×260A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功率因数</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0.7滞后到0.95超前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电压稳定度</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瞬态特性</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ΔU＜10%，恢复时间＜10mS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总谐波含量</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波峰因数</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电压调制量</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相移</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120</w:t>
            </w:r>
            <w:r>
              <w:rPr>
                <w:rFonts w:ascii="宋体" w:hAnsi="宋体"/>
                <w:bCs/>
                <w:color w:val="auto"/>
                <w:szCs w:val="21"/>
                <w:highlight w:val="none"/>
              </w:rPr>
              <w:t>°</w:t>
            </w:r>
            <w:r>
              <w:rPr>
                <w:rFonts w:hint="eastAsia" w:ascii="宋体" w:hAnsi="宋体"/>
                <w:bCs/>
                <w:color w:val="auto"/>
                <w:szCs w:val="21"/>
                <w:highlight w:val="none"/>
              </w:rPr>
              <w:t>±2</w:t>
            </w:r>
            <w:r>
              <w:rPr>
                <w:rFonts w:ascii="宋体" w:hAnsi="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numPr>
                <w:ilvl w:val="1"/>
                <w:numId w:val="0"/>
              </w:num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三相电压不平衡</w:t>
            </w:r>
          </w:p>
        </w:tc>
        <w:tc>
          <w:tcPr>
            <w:tcW w:w="6174" w:type="dxa"/>
          </w:tcPr>
          <w:p>
            <w:pPr>
              <w:snapToGrid w:val="0"/>
              <w:jc w:val="center"/>
              <w:rPr>
                <w:rFonts w:ascii="宋体" w:hAnsi="宋体"/>
                <w:bCs/>
                <w:color w:val="auto"/>
                <w:szCs w:val="21"/>
                <w:highlight w:val="none"/>
              </w:rPr>
            </w:pPr>
            <w:r>
              <w:rPr>
                <w:rFonts w:hint="eastAsia" w:ascii="宋体" w:hAnsi="宋体"/>
                <w:bCs/>
                <w:color w:val="auto"/>
                <w:szCs w:val="21"/>
                <w:highlight w:val="none"/>
              </w:rPr>
              <w:t>各相电压的最大差值≤3V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numPr>
                <w:ilvl w:val="1"/>
                <w:numId w:val="0"/>
              </w:num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电压补偿值</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0-9V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输出过载</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125%过载</w:t>
            </w:r>
            <w:r>
              <w:rPr>
                <w:rFonts w:hint="eastAsia" w:ascii="宋体" w:hAnsi="宋体"/>
                <w:bCs/>
                <w:color w:val="auto"/>
                <w:szCs w:val="21"/>
                <w:highlight w:val="none"/>
              </w:rPr>
              <w:tab/>
            </w:r>
            <w:r>
              <w:rPr>
                <w:rFonts w:hint="eastAsia" w:ascii="宋体" w:hAnsi="宋体"/>
                <w:bCs/>
                <w:color w:val="auto"/>
                <w:szCs w:val="21"/>
                <w:highlight w:val="none"/>
              </w:rPr>
              <w:t>可工作600秒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150%过载</w:t>
            </w:r>
            <w:r>
              <w:rPr>
                <w:rFonts w:hint="eastAsia" w:ascii="宋体" w:hAnsi="宋体"/>
                <w:bCs/>
                <w:color w:val="auto"/>
                <w:szCs w:val="21"/>
                <w:highlight w:val="none"/>
              </w:rPr>
              <w:tab/>
            </w:r>
            <w:r>
              <w:rPr>
                <w:rFonts w:hint="eastAsia" w:ascii="宋体" w:hAnsi="宋体"/>
                <w:bCs/>
                <w:color w:val="auto"/>
                <w:szCs w:val="21"/>
                <w:highlight w:val="none"/>
              </w:rPr>
              <w:t>可工作60秒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200%过载</w:t>
            </w:r>
            <w:r>
              <w:rPr>
                <w:rFonts w:hint="eastAsia" w:ascii="宋体" w:hAnsi="宋体"/>
                <w:bCs/>
                <w:color w:val="auto"/>
                <w:szCs w:val="21"/>
                <w:highlight w:val="none"/>
              </w:rPr>
              <w:tab/>
            </w:r>
            <w:r>
              <w:rPr>
                <w:rFonts w:hint="eastAsia" w:ascii="宋体" w:hAnsi="宋体"/>
                <w:bCs/>
                <w:color w:val="auto"/>
                <w:szCs w:val="21"/>
                <w:highlight w:val="none"/>
              </w:rPr>
              <w:t>可工作30秒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300%过载</w:t>
            </w:r>
            <w:r>
              <w:rPr>
                <w:rFonts w:hint="eastAsia" w:ascii="宋体" w:hAnsi="宋体"/>
                <w:bCs/>
                <w:color w:val="auto"/>
                <w:szCs w:val="21"/>
                <w:highlight w:val="none"/>
              </w:rPr>
              <w:tab/>
            </w:r>
            <w:r>
              <w:rPr>
                <w:rFonts w:hint="eastAsia" w:ascii="宋体" w:hAnsi="宋体"/>
                <w:bCs/>
                <w:color w:val="auto"/>
                <w:szCs w:val="21"/>
                <w:highlight w:val="none"/>
              </w:rPr>
              <w:t>可工作10秒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400%过载</w:t>
            </w:r>
            <w:r>
              <w:rPr>
                <w:rFonts w:hint="eastAsia" w:ascii="宋体" w:hAnsi="宋体"/>
                <w:bCs/>
                <w:color w:val="auto"/>
                <w:szCs w:val="21"/>
                <w:highlight w:val="none"/>
              </w:rPr>
              <w:tab/>
            </w:r>
            <w:r>
              <w:rPr>
                <w:rFonts w:hint="eastAsia" w:ascii="宋体" w:hAnsi="宋体"/>
                <w:bCs/>
                <w:color w:val="auto"/>
                <w:szCs w:val="21"/>
                <w:highlight w:val="none"/>
              </w:rPr>
              <w:t>可工作1秒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直流输出</w:t>
            </w: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额定电压</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28V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额定电流</w:t>
            </w:r>
          </w:p>
        </w:tc>
        <w:tc>
          <w:tcPr>
            <w:tcW w:w="6174" w:type="dxa"/>
            <w:vAlign w:val="center"/>
          </w:tcPr>
          <w:p>
            <w:pPr>
              <w:snapToGrid w:val="0"/>
              <w:jc w:val="center"/>
              <w:rPr>
                <w:rFonts w:ascii="宋体" w:hAnsi="宋体"/>
                <w:bCs/>
                <w:color w:val="auto"/>
                <w:szCs w:val="21"/>
                <w:highlight w:val="none"/>
              </w:rPr>
            </w:pPr>
            <w:r>
              <w:rPr>
                <w:rFonts w:ascii="宋体" w:hAnsi="宋体"/>
                <w:bCs/>
                <w:color w:val="auto"/>
                <w:szCs w:val="21"/>
                <w:highlight w:val="none"/>
              </w:rPr>
              <w:t>6</w:t>
            </w:r>
            <w:r>
              <w:rPr>
                <w:rFonts w:hint="eastAsia" w:ascii="宋体" w:hAnsi="宋体"/>
                <w:bCs/>
                <w:color w:val="auto"/>
                <w:szCs w:val="21"/>
                <w:highlight w:val="none"/>
              </w:rPr>
              <w:t>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输出电压精度</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输出电流精度</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1102" w:type="dxa"/>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纹波</w:t>
            </w:r>
          </w:p>
          <w:p>
            <w:pPr>
              <w:snapToGrid w:val="0"/>
              <w:jc w:val="center"/>
              <w:rPr>
                <w:rFonts w:ascii="宋体" w:hAnsi="宋体"/>
                <w:b/>
                <w:color w:val="auto"/>
                <w:szCs w:val="21"/>
                <w:highlight w:val="none"/>
              </w:rPr>
            </w:pPr>
            <w:r>
              <w:rPr>
                <w:rFonts w:hint="eastAsia" w:ascii="宋体" w:hAnsi="宋体"/>
                <w:b/>
                <w:color w:val="auto"/>
                <w:szCs w:val="21"/>
                <w:highlight w:val="none"/>
              </w:rPr>
              <w:t>噪声</w:t>
            </w:r>
          </w:p>
        </w:tc>
        <w:tc>
          <w:tcPr>
            <w:tcW w:w="1104" w:type="dxa"/>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Vrms</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150mV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电压补偿值</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0-4V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输出过载</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125%过载</w:t>
            </w:r>
            <w:r>
              <w:rPr>
                <w:rFonts w:hint="eastAsia" w:ascii="宋体" w:hAnsi="宋体"/>
                <w:bCs/>
                <w:color w:val="auto"/>
                <w:szCs w:val="21"/>
                <w:highlight w:val="none"/>
              </w:rPr>
              <w:tab/>
            </w:r>
            <w:r>
              <w:rPr>
                <w:rFonts w:hint="eastAsia" w:ascii="宋体" w:hAnsi="宋体"/>
                <w:bCs/>
                <w:color w:val="auto"/>
                <w:szCs w:val="21"/>
                <w:highlight w:val="none"/>
              </w:rPr>
              <w:t>可工作600秒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200%过载</w:t>
            </w:r>
            <w:r>
              <w:rPr>
                <w:rFonts w:hint="eastAsia" w:ascii="宋体" w:hAnsi="宋体"/>
                <w:bCs/>
                <w:color w:val="auto"/>
                <w:szCs w:val="21"/>
                <w:highlight w:val="none"/>
              </w:rPr>
              <w:tab/>
            </w:r>
            <w:r>
              <w:rPr>
                <w:rFonts w:hint="eastAsia" w:ascii="宋体" w:hAnsi="宋体"/>
                <w:bCs/>
                <w:color w:val="auto"/>
                <w:szCs w:val="21"/>
                <w:highlight w:val="none"/>
              </w:rPr>
              <w:t>可工作15秒</w:t>
            </w:r>
          </w:p>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300%过载</w:t>
            </w:r>
            <w:r>
              <w:rPr>
                <w:rFonts w:hint="eastAsia" w:ascii="宋体" w:hAnsi="宋体"/>
                <w:bCs/>
                <w:color w:val="auto"/>
                <w:szCs w:val="21"/>
                <w:highlight w:val="none"/>
              </w:rPr>
              <w:tab/>
            </w:r>
            <w:r>
              <w:rPr>
                <w:rFonts w:hint="eastAsia" w:ascii="宋体" w:hAnsi="宋体"/>
                <w:bCs/>
                <w:color w:val="auto"/>
                <w:szCs w:val="21"/>
                <w:highlight w:val="none"/>
              </w:rPr>
              <w:t>可工作2秒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restart"/>
            <w:tcBorders>
              <w:right w:val="single" w:color="auto" w:sz="8" w:space="0"/>
            </w:tcBorders>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设置</w:t>
            </w: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电压输出</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100-130V（交流）；20-32V（直流）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时间</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年，月，日，时，分，秒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联锁供电</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打开/旁路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风扇</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恒速/常规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故障记录</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查阅/清除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gridSpan w:val="2"/>
            <w:vMerge w:val="continue"/>
            <w:tcBorders>
              <w:right w:val="single" w:color="auto" w:sz="8" w:space="0"/>
            </w:tcBorders>
            <w:vAlign w:val="center"/>
          </w:tcPr>
          <w:p>
            <w:pPr>
              <w:snapToGrid w:val="0"/>
              <w:jc w:val="center"/>
              <w:rPr>
                <w:rFonts w:ascii="宋体" w:hAnsi="宋体"/>
                <w:b/>
                <w:color w:val="auto"/>
                <w:szCs w:val="21"/>
                <w:highlight w:val="none"/>
              </w:rPr>
            </w:pPr>
          </w:p>
        </w:tc>
        <w:tc>
          <w:tcPr>
            <w:tcW w:w="2206" w:type="dxa"/>
            <w:gridSpan w:val="2"/>
            <w:tcBorders>
              <w:left w:val="single" w:color="auto" w:sz="8" w:space="0"/>
            </w:tcBorders>
            <w:vAlign w:val="center"/>
          </w:tcPr>
          <w:p>
            <w:pPr>
              <w:snapToGrid w:val="0"/>
              <w:ind w:right="210" w:rightChars="100"/>
              <w:rPr>
                <w:rFonts w:ascii="宋体" w:hAnsi="宋体"/>
                <w:b/>
                <w:color w:val="auto"/>
                <w:szCs w:val="21"/>
                <w:highlight w:val="none"/>
              </w:rPr>
            </w:pPr>
            <w:r>
              <w:rPr>
                <w:rFonts w:hint="eastAsia" w:ascii="宋体" w:hAnsi="宋体"/>
                <w:b/>
                <w:color w:val="auto"/>
                <w:szCs w:val="21"/>
                <w:highlight w:val="none"/>
              </w:rPr>
              <w:t>功率记录</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查阅/清除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保护</w:t>
            </w: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输入过欠电压保护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Merge w:val="continue"/>
            <w:vAlign w:val="center"/>
          </w:tcPr>
          <w:p>
            <w:pPr>
              <w:snapToGrid w:val="0"/>
              <w:jc w:val="center"/>
              <w:rPr>
                <w:rFonts w:ascii="宋体" w:hAnsi="宋体"/>
                <w:b/>
                <w:color w:val="auto"/>
                <w:szCs w:val="21"/>
                <w:highlight w:val="none"/>
              </w:rPr>
            </w:pP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关键单元过热保护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Merge w:val="continue"/>
            <w:vAlign w:val="center"/>
          </w:tcPr>
          <w:p>
            <w:pPr>
              <w:snapToGrid w:val="0"/>
              <w:jc w:val="center"/>
              <w:rPr>
                <w:rFonts w:ascii="宋体" w:hAnsi="宋体"/>
                <w:b/>
                <w:color w:val="auto"/>
                <w:szCs w:val="21"/>
                <w:highlight w:val="none"/>
              </w:rPr>
            </w:pP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电源内部各供电电源监视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Merge w:val="continue"/>
            <w:vAlign w:val="center"/>
          </w:tcPr>
          <w:p>
            <w:pPr>
              <w:snapToGrid w:val="0"/>
              <w:jc w:val="center"/>
              <w:rPr>
                <w:rFonts w:ascii="宋体" w:hAnsi="宋体"/>
                <w:b/>
                <w:color w:val="auto"/>
                <w:szCs w:val="21"/>
                <w:highlight w:val="none"/>
              </w:rPr>
            </w:pP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输出过欠压（参照MH/T6018标准）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Merge w:val="continue"/>
            <w:vAlign w:val="center"/>
          </w:tcPr>
          <w:p>
            <w:pPr>
              <w:snapToGrid w:val="0"/>
              <w:jc w:val="center"/>
              <w:rPr>
                <w:rFonts w:ascii="宋体" w:hAnsi="宋体"/>
                <w:b/>
                <w:color w:val="auto"/>
                <w:szCs w:val="21"/>
                <w:highlight w:val="none"/>
              </w:rPr>
            </w:pPr>
          </w:p>
        </w:tc>
        <w:tc>
          <w:tcPr>
            <w:tcW w:w="6174" w:type="dxa"/>
            <w:vAlign w:val="center"/>
          </w:tcPr>
          <w:p>
            <w:pPr>
              <w:snapToGrid w:val="0"/>
              <w:ind w:right="210" w:rightChars="100"/>
              <w:jc w:val="center"/>
              <w:rPr>
                <w:rFonts w:ascii="宋体" w:hAnsi="宋体"/>
                <w:bCs/>
                <w:color w:val="auto"/>
                <w:szCs w:val="21"/>
                <w:highlight w:val="none"/>
              </w:rPr>
            </w:pPr>
            <w:r>
              <w:rPr>
                <w:rFonts w:hint="eastAsia" w:ascii="宋体" w:hAnsi="宋体"/>
                <w:bCs/>
                <w:color w:val="auto"/>
                <w:szCs w:val="21"/>
                <w:highlight w:val="none"/>
              </w:rPr>
              <w:t>输出过载保护，输出短路保护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可靠性</w:t>
            </w: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MTBF</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continue"/>
            <w:vAlign w:val="center"/>
          </w:tcPr>
          <w:p>
            <w:pPr>
              <w:snapToGrid w:val="0"/>
              <w:jc w:val="center"/>
              <w:rPr>
                <w:rFonts w:ascii="宋体" w:hAnsi="宋体"/>
                <w:b/>
                <w:color w:val="auto"/>
                <w:szCs w:val="21"/>
                <w:highlight w:val="none"/>
              </w:rPr>
            </w:pP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MTTR</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restart"/>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环境</w:t>
            </w: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防护等级</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IP55（室外操作）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continue"/>
            <w:vAlign w:val="center"/>
          </w:tcPr>
          <w:p>
            <w:pPr>
              <w:snapToGrid w:val="0"/>
              <w:jc w:val="center"/>
              <w:rPr>
                <w:rFonts w:ascii="宋体" w:hAnsi="宋体"/>
                <w:b/>
                <w:color w:val="auto"/>
                <w:szCs w:val="21"/>
                <w:highlight w:val="none"/>
              </w:rPr>
            </w:pP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工作温度</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continue"/>
            <w:vAlign w:val="center"/>
          </w:tcPr>
          <w:p>
            <w:pPr>
              <w:snapToGrid w:val="0"/>
              <w:jc w:val="center"/>
              <w:rPr>
                <w:rFonts w:ascii="宋体" w:hAnsi="宋体"/>
                <w:b/>
                <w:color w:val="auto"/>
                <w:szCs w:val="21"/>
                <w:highlight w:val="none"/>
              </w:rPr>
            </w:pP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相对湿度</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10~100%RH(不凝露)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2" w:type="dxa"/>
            <w:vMerge w:val="continue"/>
            <w:vAlign w:val="center"/>
          </w:tcPr>
          <w:p>
            <w:pPr>
              <w:snapToGrid w:val="0"/>
              <w:jc w:val="center"/>
              <w:rPr>
                <w:rFonts w:ascii="宋体" w:hAnsi="宋体"/>
                <w:b/>
                <w:color w:val="auto"/>
                <w:szCs w:val="21"/>
                <w:highlight w:val="none"/>
              </w:rPr>
            </w:pPr>
          </w:p>
        </w:tc>
        <w:tc>
          <w:tcPr>
            <w:tcW w:w="2229" w:type="dxa"/>
            <w:gridSpan w:val="3"/>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噪音</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≤65dB（A）@1m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体积（W×H×Dmm）</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1900×1625×1090（含拖车）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1" w:type="dxa"/>
            <w:gridSpan w:val="4"/>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重量</w:t>
            </w:r>
          </w:p>
        </w:tc>
        <w:tc>
          <w:tcPr>
            <w:tcW w:w="6174" w:type="dxa"/>
            <w:vAlign w:val="center"/>
          </w:tcPr>
          <w:p>
            <w:pPr>
              <w:snapToGrid w:val="0"/>
              <w:jc w:val="center"/>
              <w:rPr>
                <w:rFonts w:ascii="宋体" w:hAnsi="宋体"/>
                <w:bCs/>
                <w:color w:val="auto"/>
                <w:szCs w:val="21"/>
                <w:highlight w:val="none"/>
              </w:rPr>
            </w:pPr>
            <w:r>
              <w:rPr>
                <w:rFonts w:hint="eastAsia" w:ascii="宋体" w:hAnsi="宋体"/>
                <w:bCs/>
                <w:color w:val="auto"/>
                <w:szCs w:val="21"/>
                <w:highlight w:val="none"/>
              </w:rPr>
              <w:t>8</w:t>
            </w:r>
            <w:r>
              <w:rPr>
                <w:rFonts w:ascii="宋体" w:hAnsi="宋体"/>
                <w:bCs/>
                <w:color w:val="auto"/>
                <w:szCs w:val="21"/>
                <w:highlight w:val="none"/>
              </w:rPr>
              <w:t>5</w:t>
            </w:r>
            <w:r>
              <w:rPr>
                <w:rFonts w:hint="eastAsia" w:ascii="宋体" w:hAnsi="宋体"/>
                <w:bCs/>
                <w:color w:val="auto"/>
                <w:szCs w:val="21"/>
                <w:highlight w:val="none"/>
              </w:rPr>
              <w:t>0Kg（含拖车）</w:t>
            </w:r>
          </w:p>
        </w:tc>
      </w:tr>
    </w:tbl>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5.</w:t>
      </w:r>
      <w:r>
        <w:rPr>
          <w:rFonts w:hint="eastAsia" w:ascii="宋体" w:hAnsi="宋体" w:cs="仿宋"/>
          <w:bCs/>
          <w:color w:val="auto"/>
          <w:sz w:val="24"/>
          <w:highlight w:val="none"/>
        </w:rPr>
        <w:t>产品执行标准</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GJB150—2009</w:t>
      </w:r>
      <w:r>
        <w:rPr>
          <w:rFonts w:ascii="宋体" w:hAnsi="宋体" w:eastAsia="宋体" w:cs="仿宋"/>
          <w:bCs/>
          <w:color w:val="auto"/>
          <w:highlight w:val="none"/>
        </w:rPr>
        <w:tab/>
      </w:r>
      <w:r>
        <w:rPr>
          <w:rFonts w:ascii="宋体" w:hAnsi="宋体" w:eastAsia="宋体" w:cs="仿宋"/>
          <w:bCs/>
          <w:color w:val="auto"/>
          <w:highlight w:val="none"/>
        </w:rPr>
        <w:t>军用设备环境试验方法</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GJB151A—97</w:t>
      </w:r>
      <w:r>
        <w:rPr>
          <w:rFonts w:ascii="宋体" w:hAnsi="宋体" w:eastAsia="宋体" w:cs="仿宋"/>
          <w:bCs/>
          <w:color w:val="auto"/>
          <w:highlight w:val="none"/>
        </w:rPr>
        <w:tab/>
      </w:r>
      <w:r>
        <w:rPr>
          <w:rFonts w:ascii="宋体" w:hAnsi="宋体" w:eastAsia="宋体" w:cs="仿宋"/>
          <w:bCs/>
          <w:color w:val="auto"/>
          <w:highlight w:val="none"/>
        </w:rPr>
        <w:t>军用设备和分系统电磁发射和敏感度要求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GJB152A—97</w:t>
      </w:r>
      <w:r>
        <w:rPr>
          <w:rFonts w:ascii="宋体" w:hAnsi="宋体" w:eastAsia="宋体" w:cs="仿宋"/>
          <w:bCs/>
          <w:color w:val="auto"/>
          <w:highlight w:val="none"/>
        </w:rPr>
        <w:tab/>
      </w:r>
      <w:r>
        <w:rPr>
          <w:rFonts w:ascii="宋体" w:hAnsi="宋体" w:eastAsia="宋体" w:cs="仿宋"/>
          <w:bCs/>
          <w:color w:val="auto"/>
          <w:highlight w:val="none"/>
        </w:rPr>
        <w:t>军用设备和分系统电磁发射和敏感度测量</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GJB181B—2012</w:t>
      </w:r>
      <w:r>
        <w:rPr>
          <w:rFonts w:ascii="宋体" w:hAnsi="宋体" w:eastAsia="宋体" w:cs="仿宋"/>
          <w:bCs/>
          <w:color w:val="auto"/>
          <w:highlight w:val="none"/>
        </w:rPr>
        <w:tab/>
      </w:r>
      <w:r>
        <w:rPr>
          <w:rFonts w:ascii="宋体" w:hAnsi="宋体" w:eastAsia="宋体" w:cs="仿宋"/>
          <w:bCs/>
          <w:color w:val="auto"/>
          <w:highlight w:val="none"/>
        </w:rPr>
        <w:t>飞机供电特性</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GJB572A—2006</w:t>
      </w:r>
      <w:r>
        <w:rPr>
          <w:rFonts w:ascii="宋体" w:hAnsi="宋体" w:eastAsia="宋体" w:cs="仿宋"/>
          <w:bCs/>
          <w:color w:val="auto"/>
          <w:highlight w:val="none"/>
        </w:rPr>
        <w:tab/>
      </w:r>
      <w:r>
        <w:rPr>
          <w:rFonts w:ascii="宋体" w:hAnsi="宋体" w:eastAsia="宋体" w:cs="仿宋"/>
          <w:bCs/>
          <w:color w:val="auto"/>
          <w:highlight w:val="none"/>
        </w:rPr>
        <w:t>飞机地面电源供电特性及一般要求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GJB1440-92</w:t>
      </w:r>
      <w:r>
        <w:rPr>
          <w:rFonts w:ascii="宋体" w:hAnsi="宋体" w:eastAsia="宋体" w:cs="仿宋"/>
          <w:bCs/>
          <w:color w:val="auto"/>
          <w:highlight w:val="none"/>
        </w:rPr>
        <w:tab/>
      </w:r>
      <w:r>
        <w:rPr>
          <w:rFonts w:ascii="宋体" w:hAnsi="宋体" w:eastAsia="宋体" w:cs="仿宋"/>
          <w:bCs/>
          <w:color w:val="auto"/>
          <w:highlight w:val="none"/>
        </w:rPr>
        <w:tab/>
      </w:r>
      <w:r>
        <w:rPr>
          <w:rFonts w:ascii="宋体" w:hAnsi="宋体" w:eastAsia="宋体" w:cs="仿宋"/>
          <w:bCs/>
          <w:color w:val="auto"/>
          <w:highlight w:val="none"/>
        </w:rPr>
        <w:t>电气电子设备机壳定义和基本要求</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GJB3091—97</w:t>
      </w:r>
      <w:r>
        <w:rPr>
          <w:rFonts w:ascii="宋体" w:hAnsi="宋体" w:eastAsia="宋体" w:cs="仿宋"/>
          <w:bCs/>
          <w:color w:val="auto"/>
          <w:highlight w:val="none"/>
        </w:rPr>
        <w:tab/>
      </w:r>
      <w:r>
        <w:rPr>
          <w:rFonts w:ascii="宋体" w:hAnsi="宋体" w:eastAsia="宋体" w:cs="仿宋"/>
          <w:bCs/>
          <w:color w:val="auto"/>
          <w:highlight w:val="none"/>
        </w:rPr>
        <w:t>雷达配电分系统性能测试方法三相交流电源</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GJB5189-2003</w:t>
      </w:r>
      <w:r>
        <w:rPr>
          <w:rFonts w:ascii="宋体" w:hAnsi="宋体" w:eastAsia="宋体" w:cs="仿宋"/>
          <w:bCs/>
          <w:color w:val="auto"/>
          <w:highlight w:val="none"/>
        </w:rPr>
        <w:tab/>
      </w:r>
      <w:r>
        <w:rPr>
          <w:rFonts w:ascii="宋体" w:hAnsi="宋体" w:eastAsia="宋体" w:cs="仿宋"/>
          <w:bCs/>
          <w:color w:val="auto"/>
          <w:highlight w:val="none"/>
        </w:rPr>
        <w:t>飞机供电特性参数测试方法</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ISO6858-1982</w:t>
      </w:r>
      <w:r>
        <w:rPr>
          <w:rFonts w:ascii="宋体" w:hAnsi="宋体" w:eastAsia="宋体" w:cs="仿宋"/>
          <w:bCs/>
          <w:color w:val="auto"/>
          <w:highlight w:val="none"/>
        </w:rPr>
        <w:tab/>
      </w:r>
      <w:r>
        <w:rPr>
          <w:rFonts w:ascii="宋体" w:hAnsi="宋体" w:eastAsia="宋体" w:cs="仿宋"/>
          <w:bCs/>
          <w:color w:val="auto"/>
          <w:highlight w:val="none"/>
        </w:rPr>
        <w:t>Aircraft-Groundsupportelectricalsupplies-Generalrequirements</w:t>
      </w:r>
    </w:p>
    <w:p>
      <w:pPr>
        <w:pStyle w:val="256"/>
        <w:numPr>
          <w:ilvl w:val="0"/>
          <w:numId w:val="30"/>
        </w:numPr>
        <w:snapToGrid w:val="0"/>
        <w:ind w:firstLineChars="0"/>
        <w:rPr>
          <w:rFonts w:ascii="宋体" w:hAnsi="宋体" w:eastAsia="宋体" w:cs="仿宋"/>
          <w:bCs/>
          <w:color w:val="auto"/>
          <w:highlight w:val="none"/>
        </w:rPr>
      </w:pPr>
      <w:r>
        <w:rPr>
          <w:rFonts w:ascii="宋体" w:hAnsi="宋体" w:eastAsia="宋体" w:cs="仿宋"/>
          <w:bCs/>
          <w:color w:val="auto"/>
          <w:highlight w:val="none"/>
        </w:rPr>
        <w:t>MH/T6018—2014地面静态电源</w:t>
      </w:r>
    </w:p>
    <w:p>
      <w:pPr>
        <w:pStyle w:val="256"/>
        <w:numPr>
          <w:ilvl w:val="255"/>
          <w:numId w:val="0"/>
        </w:numPr>
        <w:snapToGrid w:val="0"/>
        <w:ind w:left="840"/>
        <w:rPr>
          <w:rFonts w:ascii="宋体" w:hAnsi="宋体" w:eastAsia="宋体" w:cs="仿宋"/>
          <w:bCs/>
          <w:color w:val="auto"/>
          <w:highlight w:val="none"/>
        </w:rPr>
      </w:pPr>
      <w:r>
        <w:rPr>
          <w:rFonts w:hint="eastAsia" w:ascii="宋体" w:hAnsi="宋体" w:eastAsia="宋体" w:cs="仿宋"/>
          <w:bCs/>
          <w:color w:val="auto"/>
          <w:highlight w:val="none"/>
        </w:rPr>
        <w:t>产品需有民航局认可的资质证书。</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6.</w:t>
      </w:r>
      <w:r>
        <w:rPr>
          <w:rFonts w:hint="eastAsia" w:ascii="宋体" w:hAnsi="宋体" w:cs="仿宋"/>
          <w:bCs/>
          <w:color w:val="auto"/>
          <w:sz w:val="24"/>
          <w:highlight w:val="none"/>
        </w:rPr>
        <w:t>产品样式</w:t>
      </w:r>
    </w:p>
    <w:p>
      <w:pPr>
        <w:ind w:firstLine="480" w:firstLineChars="200"/>
        <w:rPr>
          <w:rFonts w:ascii="宋体" w:hAnsi="宋体"/>
          <w:bCs/>
          <w:color w:val="auto"/>
          <w:sz w:val="24"/>
          <w:highlight w:val="none"/>
        </w:rPr>
      </w:pPr>
      <w:r>
        <w:rPr>
          <w:rFonts w:ascii="宋体" w:hAnsi="宋体"/>
          <w:bCs/>
          <w:color w:val="auto"/>
          <w:sz w:val="24"/>
          <w:highlight w:val="none"/>
        </w:rPr>
        <w:object>
          <v:shape id="_x0000_i1026" o:spt="75" type="#_x0000_t75" style="height:231.6pt;width:438.6pt;" o:ole="t" filled="f" o:preferrelative="t" stroked="f" coordsize="21600,21600">
            <v:path/>
            <v:fill on="f" focussize="0,0"/>
            <v:stroke on="f" joinstyle="miter"/>
            <v:imagedata r:id="rId38" o:title=""/>
            <o:lock v:ext="edit" aspectratio="t"/>
            <w10:wrap type="none"/>
            <w10:anchorlock/>
          </v:shape>
          <o:OLEObject Type="Embed" ProgID="AutoCAD.Drawing.18" ShapeID="_x0000_i1026" DrawAspect="Content" ObjectID="_1468075726" r:id="rId37">
            <o:LockedField>false</o:LockedField>
          </o:OLEObject>
        </w:object>
      </w:r>
    </w:p>
    <w:p>
      <w:pPr>
        <w:snapToGrid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7</w:t>
      </w:r>
      <w:r>
        <w:rPr>
          <w:rFonts w:ascii="宋体" w:hAnsi="宋体" w:cs="仿宋"/>
          <w:bCs/>
          <w:color w:val="auto"/>
          <w:sz w:val="24"/>
          <w:highlight w:val="none"/>
        </w:rPr>
        <w:t>.</w:t>
      </w:r>
      <w:r>
        <w:rPr>
          <w:rFonts w:hint="eastAsia" w:ascii="宋体" w:hAnsi="宋体" w:cs="仿宋"/>
          <w:bCs/>
          <w:color w:val="auto"/>
          <w:sz w:val="24"/>
          <w:highlight w:val="none"/>
        </w:rPr>
        <w:t>关于输入及输出插头：电缆长度根据现场使用环境具体情况来选择，交流、直流输出插头均为标准插头，保证使用安全可靠。</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8.</w:t>
      </w:r>
      <w:r>
        <w:rPr>
          <w:rFonts w:hint="eastAsia" w:ascii="宋体" w:hAnsi="宋体" w:cs="仿宋"/>
          <w:bCs/>
          <w:color w:val="auto"/>
          <w:sz w:val="24"/>
          <w:highlight w:val="none"/>
        </w:rPr>
        <w:t>所投电源车必须能够在中国民用航空局网站查询到设备通告</w:t>
      </w:r>
    </w:p>
    <w:p>
      <w:pPr>
        <w:snapToGrid w:val="0"/>
        <w:spacing w:line="360" w:lineRule="auto"/>
        <w:ind w:firstLine="480" w:firstLineChars="200"/>
        <w:rPr>
          <w:rFonts w:ascii="宋体" w:hAnsi="宋体" w:cs="仿宋"/>
          <w:bCs/>
          <w:color w:val="auto"/>
          <w:sz w:val="24"/>
          <w:highlight w:val="none"/>
        </w:rPr>
      </w:pPr>
      <w:r>
        <w:rPr>
          <w:rFonts w:ascii="宋体" w:hAnsi="宋体" w:cs="仿宋"/>
          <w:bCs/>
          <w:color w:val="auto"/>
          <w:sz w:val="24"/>
          <w:highlight w:val="none"/>
        </w:rPr>
        <w:t>9.</w:t>
      </w:r>
      <w:r>
        <w:rPr>
          <w:rFonts w:hint="eastAsia" w:ascii="宋体" w:hAnsi="宋体" w:cs="仿宋"/>
          <w:bCs/>
          <w:color w:val="auto"/>
          <w:sz w:val="24"/>
          <w:highlight w:val="none"/>
        </w:rPr>
        <w:t>培训：</w:t>
      </w:r>
    </w:p>
    <w:p>
      <w:pPr>
        <w:pStyle w:val="256"/>
        <w:numPr>
          <w:ilvl w:val="0"/>
          <w:numId w:val="31"/>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投标人应安排使用人为期5个工作日的设备培训，费用计入投标价中，费用应包括培训人员国际或国内往返机票、食宿、交通、医疗和意外保险、培训教材等相关费用。</w:t>
      </w:r>
    </w:p>
    <w:p>
      <w:pPr>
        <w:pStyle w:val="256"/>
        <w:numPr>
          <w:ilvl w:val="0"/>
          <w:numId w:val="31"/>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投标人应组织5个工作日的现场培训，现场培训内容包括但不限于：</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设备工作原理；</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设备的整体技术性能及结构配置；</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设备的操作方法；</w:t>
      </w:r>
    </w:p>
    <w:p>
      <w:pPr>
        <w:pStyle w:val="256"/>
        <w:numPr>
          <w:ilvl w:val="0"/>
          <w:numId w:val="32"/>
        </w:numPr>
        <w:snapToGrid w:val="0"/>
        <w:ind w:firstLineChars="0"/>
        <w:rPr>
          <w:rFonts w:ascii="宋体" w:hAnsi="宋体" w:eastAsia="宋体" w:cs="仿宋"/>
          <w:bCs/>
          <w:color w:val="auto"/>
          <w:highlight w:val="none"/>
        </w:rPr>
      </w:pPr>
      <w:r>
        <w:rPr>
          <w:rFonts w:hint="eastAsia" w:ascii="宋体" w:hAnsi="宋体" w:eastAsia="宋体" w:cs="仿宋"/>
          <w:bCs/>
          <w:color w:val="auto"/>
          <w:highlight w:val="none"/>
        </w:rPr>
        <w:t>设备的维护及故障排除。</w:t>
      </w:r>
    </w:p>
    <w:p>
      <w:pPr>
        <w:spacing w:line="276" w:lineRule="auto"/>
        <w:rPr>
          <w:rFonts w:ascii="宋体" w:hAnsi="宋体" w:cs="仿宋"/>
          <w:b/>
          <w:color w:val="auto"/>
          <w:sz w:val="24"/>
          <w:highlight w:val="none"/>
        </w:rPr>
      </w:pPr>
      <w:r>
        <w:rPr>
          <w:rFonts w:hint="eastAsia" w:ascii="宋体" w:hAnsi="宋体" w:cs="仿宋"/>
          <w:bCs/>
          <w:color w:val="auto"/>
          <w:sz w:val="24"/>
          <w:highlight w:val="none"/>
        </w:rPr>
        <w:t>▲</w:t>
      </w:r>
      <w:r>
        <w:rPr>
          <w:rFonts w:hint="eastAsia" w:ascii="宋体" w:hAnsi="宋体" w:cs="仿宋"/>
          <w:b/>
          <w:color w:val="auto"/>
          <w:sz w:val="24"/>
          <w:highlight w:val="none"/>
        </w:rPr>
        <w:t>（四）地面登高车（所有参数均为实质性条款）</w:t>
      </w:r>
    </w:p>
    <w:p>
      <w:pPr>
        <w:numPr>
          <w:ilvl w:val="0"/>
          <w:numId w:val="33"/>
        </w:numPr>
        <w:adjustRightInd/>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主要性能</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升降机配置有;应急开关，角度限位行程开关，双向液压锁，平衡阀，两侧示宽灯等，它们的作用特点是:</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应急系统应能保证高空作业车作业人员安全返回地面。</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高空作业车工作臂结构都是是二节折臂，工作斗能容纳2-3人同时作业。</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该车上、下两套操作系统，在工作斗(篮筐)上和转合上(旋转支架)均可完成各项升降作业动作、行走时只能在蓝框内完成。</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底盘具备凹凸平衡功能。</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升降系统自带安全保护装置。</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液压系统自带断油保压功能。</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所有转动部位均安装有润滑轴承。</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障碍物误触安全专装置。</w:t>
      </w:r>
    </w:p>
    <w:p>
      <w:pPr>
        <w:numPr>
          <w:ilvl w:val="1"/>
          <w:numId w:val="34"/>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油缸下降缓冲安全阀等装置。</w:t>
      </w:r>
    </w:p>
    <w:p>
      <w:pPr>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功能叙述:曲臂升降机具有大功率发电机行走系统、可以大距离跨越障碍物作业、具有平衡伸缩功能、可以升高后行走、篮筐可以大角度上下调节，障碍物误触安全装置、360度大譬回旋等功能、具有停车制动功能、行走平衡功能、转向平衡系统、斜坡支限平衡系统、全比例控制配合底部同步功能、自带安全保护装置、具有故障报警系统。</w:t>
      </w:r>
    </w:p>
    <w:p>
      <w:pPr>
        <w:spacing w:line="276"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液压系统自带断油保压功能、手动下降功能、油缸下降缓冲安全阀等装置、所有转动部位均安装有无油润滑轴承。</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2、升降机使用的油料</w:t>
      </w:r>
    </w:p>
    <w:p>
      <w:pPr>
        <w:numPr>
          <w:ilvl w:val="0"/>
          <w:numId w:val="35"/>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液压系统、冬季使用N32#抗磨液压油。</w:t>
      </w:r>
    </w:p>
    <w:p>
      <w:pPr>
        <w:numPr>
          <w:ilvl w:val="0"/>
          <w:numId w:val="35"/>
        </w:numPr>
        <w:adjustRightInd/>
        <w:spacing w:line="276" w:lineRule="auto"/>
        <w:rPr>
          <w:rFonts w:ascii="宋体" w:hAnsi="宋体" w:cs="仿宋"/>
          <w:bCs/>
          <w:color w:val="auto"/>
          <w:sz w:val="24"/>
          <w:highlight w:val="none"/>
        </w:rPr>
      </w:pPr>
      <w:r>
        <w:rPr>
          <w:rFonts w:hint="eastAsia" w:ascii="宋体" w:hAnsi="宋体" w:cs="仿宋"/>
          <w:bCs/>
          <w:color w:val="auto"/>
          <w:sz w:val="24"/>
          <w:highlight w:val="none"/>
        </w:rPr>
        <w:t>液压系统、夏季使用N46#抗磨液压油。</w:t>
      </w:r>
    </w:p>
    <w:p>
      <w:pPr>
        <w:spacing w:line="276" w:lineRule="auto"/>
        <w:rPr>
          <w:rFonts w:ascii="宋体" w:hAnsi="宋体" w:cs="仿宋"/>
          <w:bCs/>
          <w:color w:val="auto"/>
          <w:sz w:val="24"/>
          <w:highlight w:val="none"/>
        </w:rPr>
      </w:pPr>
      <w:r>
        <w:rPr>
          <w:rFonts w:hint="eastAsia" w:ascii="宋体" w:hAnsi="宋体" w:cs="仿宋"/>
          <w:bCs/>
          <w:color w:val="auto"/>
          <w:sz w:val="24"/>
          <w:highlight w:val="none"/>
        </w:rPr>
        <w:t>3、主要技术参数</w:t>
      </w:r>
    </w:p>
    <w:tbl>
      <w:tblPr>
        <w:tblStyle w:val="62"/>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365"/>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序号</w:t>
            </w:r>
          </w:p>
        </w:tc>
        <w:tc>
          <w:tcPr>
            <w:tcW w:w="4365" w:type="dxa"/>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项目</w:t>
            </w:r>
          </w:p>
        </w:tc>
        <w:tc>
          <w:tcPr>
            <w:tcW w:w="3867" w:type="dxa"/>
            <w:shd w:val="clear" w:color="auto" w:fill="95B3D7"/>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最大工作高度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最大平台高度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最大作业半径</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最大跨越高度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最大载重量</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驱动类型</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电机后桥驱动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7</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电瓶容量</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2V×24/250AH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8</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充电器</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48V/30A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9</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行走电机</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AC5.5kw/48V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10</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升降电机</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4kw</w:t>
            </w:r>
            <w:r>
              <w:rPr>
                <w:rFonts w:ascii="宋体" w:hAnsi="宋体" w:cs="仿宋"/>
                <w:bCs/>
                <w:color w:val="auto"/>
                <w:sz w:val="24"/>
                <w:highlight w:val="none"/>
              </w:rPr>
              <w:t>/</w:t>
            </w:r>
            <w:r>
              <w:rPr>
                <w:rFonts w:hint="eastAsia" w:ascii="宋体" w:hAnsi="宋体" w:cs="仿宋"/>
                <w:bCs/>
                <w:color w:val="auto"/>
                <w:sz w:val="24"/>
                <w:highlight w:val="none"/>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11</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工作台尺寸</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1.53*0.78m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ascii="宋体" w:hAnsi="宋体" w:cs="仿宋"/>
                <w:bCs/>
                <w:color w:val="auto"/>
                <w:sz w:val="24"/>
                <w:highlight w:val="none"/>
              </w:rPr>
              <w:t>12</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最大外形尺寸</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5.76*1.</w:t>
            </w:r>
            <w:r>
              <w:rPr>
                <w:rFonts w:ascii="宋体" w:hAnsi="宋体" w:cs="仿宋"/>
                <w:bCs/>
                <w:color w:val="auto"/>
                <w:sz w:val="24"/>
                <w:highlight w:val="none"/>
              </w:rPr>
              <w:t>6</w:t>
            </w:r>
            <w:r>
              <w:rPr>
                <w:rFonts w:hint="eastAsia" w:ascii="宋体" w:hAnsi="宋体" w:cs="仿宋"/>
                <w:bCs/>
                <w:color w:val="auto"/>
                <w:sz w:val="24"/>
                <w:highlight w:val="none"/>
              </w:rPr>
              <w:t>7*2.09m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13</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收缩后工作台距地面高度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14</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轴距</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1907mm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轮距</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4</w:t>
            </w:r>
            <w:r>
              <w:rPr>
                <w:rFonts w:hint="eastAsia" w:ascii="宋体" w:hAnsi="宋体" w:cs="仿宋"/>
                <w:bCs/>
                <w:color w:val="auto"/>
                <w:sz w:val="24"/>
                <w:highlight w:val="none"/>
              </w:rPr>
              <w:t>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16</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大臂数量</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3节（第三节为伸缩臂）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17</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大臂偏摆</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18</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飞臂变幅范围</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19</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行走速度（收车状态）</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4km/h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20</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底盘最大允许角度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21</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转台旋转角度</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355°非连续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22</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爬坡能力</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23</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驱动转向形式</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后轮驱动前轮转向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24</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最小转弯半径</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外轮4.4m内轮2.25m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25</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平台旋转角度（选配功能）</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26</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控制电压</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27</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轮胎</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28×9-15实心轮胎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28</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液压油箱容积</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60L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6"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29</w:t>
            </w:r>
          </w:p>
        </w:tc>
        <w:tc>
          <w:tcPr>
            <w:tcW w:w="4365"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设备自重</w:t>
            </w:r>
          </w:p>
        </w:tc>
        <w:tc>
          <w:tcPr>
            <w:tcW w:w="3867" w:type="dxa"/>
            <w:vAlign w:val="center"/>
          </w:tcPr>
          <w:p>
            <w:pPr>
              <w:spacing w:line="276" w:lineRule="auto"/>
              <w:rPr>
                <w:rFonts w:ascii="宋体" w:hAnsi="宋体" w:cs="仿宋"/>
                <w:bCs/>
                <w:color w:val="auto"/>
                <w:sz w:val="24"/>
                <w:highlight w:val="none"/>
              </w:rPr>
            </w:pPr>
            <w:r>
              <w:rPr>
                <w:rFonts w:hint="eastAsia" w:ascii="宋体" w:hAnsi="宋体" w:cs="仿宋"/>
                <w:bCs/>
                <w:color w:val="auto"/>
                <w:sz w:val="24"/>
                <w:highlight w:val="none"/>
              </w:rPr>
              <w:t>5300kg</w:t>
            </w:r>
          </w:p>
        </w:tc>
      </w:tr>
    </w:tbl>
    <w:p>
      <w:pPr>
        <w:spacing w:line="276" w:lineRule="auto"/>
        <w:rPr>
          <w:rFonts w:ascii="宋体" w:hAnsi="宋体" w:cs="仿宋"/>
          <w:bCs/>
          <w:color w:val="auto"/>
          <w:sz w:val="24"/>
          <w:highlight w:val="none"/>
        </w:rPr>
      </w:pPr>
      <w:r>
        <w:rPr>
          <w:rFonts w:hint="eastAsia" w:ascii="宋体" w:hAnsi="宋体" w:cs="仿宋"/>
          <w:bCs/>
          <w:color w:val="auto"/>
          <w:sz w:val="24"/>
          <w:highlight w:val="none"/>
        </w:rPr>
        <w:t>3</w:t>
      </w:r>
      <w:r>
        <w:rPr>
          <w:rFonts w:ascii="宋体" w:hAnsi="宋体" w:cs="仿宋"/>
          <w:bCs/>
          <w:color w:val="auto"/>
          <w:sz w:val="24"/>
          <w:highlight w:val="none"/>
        </w:rPr>
        <w:t>.</w:t>
      </w:r>
      <w:r>
        <w:rPr>
          <w:rFonts w:hint="eastAsia" w:ascii="宋体" w:hAnsi="宋体" w:cs="仿宋"/>
          <w:bCs/>
          <w:color w:val="auto"/>
          <w:sz w:val="24"/>
          <w:highlight w:val="none"/>
        </w:rPr>
        <w:t>参考图片</w:t>
      </w:r>
    </w:p>
    <w:p>
      <w:pPr>
        <w:spacing w:line="276" w:lineRule="auto"/>
        <w:rPr>
          <w:rFonts w:ascii="宋体" w:hAnsi="宋体" w:cs="仿宋"/>
          <w:bCs/>
          <w:color w:val="auto"/>
          <w:sz w:val="24"/>
          <w:highlight w:val="none"/>
        </w:rPr>
      </w:pPr>
      <w:r>
        <w:rPr>
          <w:rFonts w:ascii="宋体" w:hAnsi="宋体" w:cs="仿宋"/>
          <w:bCs/>
          <w:color w:val="auto"/>
          <w:sz w:val="24"/>
          <w:highlight w:val="none"/>
        </w:rPr>
        <w:drawing>
          <wp:inline distT="0" distB="0" distL="114300" distR="114300">
            <wp:extent cx="2712085" cy="3624580"/>
            <wp:effectExtent l="0" t="0" r="12065" b="13970"/>
            <wp:docPr id="6" name="图片 6" descr="dfbfa8a6b96ddb5592dbb46ecb46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fbfa8a6b96ddb5592dbb46ecb460f9"/>
                    <pic:cNvPicPr>
                      <a:picLocks noChangeAspect="1"/>
                    </pic:cNvPicPr>
                  </pic:nvPicPr>
                  <pic:blipFill>
                    <a:blip r:embed="rId39"/>
                    <a:srcRect l="14766" t="895" r="6694" b="2719"/>
                    <a:stretch>
                      <a:fillRect/>
                    </a:stretch>
                  </pic:blipFill>
                  <pic:spPr>
                    <a:xfrm>
                      <a:off x="0" y="0"/>
                      <a:ext cx="2712085" cy="3624580"/>
                    </a:xfrm>
                    <a:prstGeom prst="rect">
                      <a:avLst/>
                    </a:prstGeom>
                    <a:noFill/>
                    <a:ln>
                      <a:noFill/>
                    </a:ln>
                  </pic:spPr>
                </pic:pic>
              </a:graphicData>
            </a:graphic>
          </wp:inline>
        </w:drawing>
      </w:r>
      <w:r>
        <w:rPr>
          <w:rFonts w:ascii="宋体" w:hAnsi="宋体" w:cs="仿宋"/>
          <w:bCs/>
          <w:color w:val="auto"/>
          <w:sz w:val="24"/>
          <w:highlight w:val="none"/>
        </w:rPr>
        <w:drawing>
          <wp:inline distT="0" distB="0" distL="0" distR="0">
            <wp:extent cx="3246755" cy="3246755"/>
            <wp:effectExtent l="0" t="0" r="1079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46755" cy="3246755"/>
                    </a:xfrm>
                    <a:prstGeom prst="rect">
                      <a:avLst/>
                    </a:prstGeom>
                    <a:noFill/>
                    <a:ln>
                      <a:noFill/>
                    </a:ln>
                  </pic:spPr>
                </pic:pic>
              </a:graphicData>
            </a:graphic>
          </wp:inline>
        </w:drawing>
      </w:r>
    </w:p>
    <w:p>
      <w:pPr>
        <w:spacing w:line="276" w:lineRule="auto"/>
        <w:rPr>
          <w:rFonts w:ascii="宋体" w:hAnsi="宋体" w:cs="仿宋"/>
          <w:bCs/>
          <w:color w:val="auto"/>
          <w:sz w:val="24"/>
          <w:highlight w:val="none"/>
        </w:rPr>
      </w:pPr>
    </w:p>
    <w:p>
      <w:pPr>
        <w:widowControl/>
        <w:jc w:val="left"/>
        <w:rPr>
          <w:rFonts w:ascii="宋体" w:hAnsi="宋体" w:cs="仿宋"/>
          <w:color w:val="auto"/>
          <w:szCs w:val="21"/>
          <w:highlight w:val="none"/>
        </w:rPr>
      </w:pPr>
      <w:r>
        <w:rPr>
          <w:rFonts w:ascii="宋体" w:hAnsi="宋体" w:cs="仿宋"/>
          <w:color w:val="auto"/>
          <w:szCs w:val="21"/>
          <w:highlight w:val="none"/>
        </w:rPr>
        <w:br w:type="page"/>
      </w:r>
    </w:p>
    <w:p>
      <w:pPr>
        <w:widowControl/>
        <w:snapToGrid w:val="0"/>
        <w:spacing w:line="360" w:lineRule="auto"/>
        <w:jc w:val="left"/>
        <w:rPr>
          <w:rFonts w:ascii="宋体" w:hAnsi="宋体" w:cs="宋体"/>
          <w:b/>
          <w:bCs/>
          <w:color w:val="auto"/>
          <w:sz w:val="24"/>
          <w:highlight w:val="none"/>
        </w:rPr>
      </w:pPr>
      <w:bookmarkStart w:id="35" w:name="_Hlk112413554"/>
      <w:r>
        <w:rPr>
          <w:rFonts w:hint="eastAsia" w:ascii="宋体" w:hAnsi="宋体" w:cs="宋体"/>
          <w:b/>
          <w:bCs/>
          <w:color w:val="auto"/>
          <w:sz w:val="24"/>
          <w:highlight w:val="none"/>
        </w:rPr>
        <w:t>五、</w:t>
      </w:r>
      <w:bookmarkEnd w:id="35"/>
      <w:r>
        <w:rPr>
          <w:rFonts w:hint="eastAsia" w:ascii="宋体" w:hAnsi="宋体" w:cs="仿宋"/>
          <w:b/>
          <w:bCs/>
          <w:color w:val="auto"/>
          <w:sz w:val="24"/>
          <w:highlight w:val="none"/>
        </w:rPr>
        <w:t>飞机内饰翻新、喷漆与结构可视化改装</w:t>
      </w:r>
    </w:p>
    <w:p>
      <w:pPr>
        <w:adjustRightInd/>
        <w:spacing w:line="276" w:lineRule="auto"/>
        <w:ind w:firstLine="482" w:firstLineChars="200"/>
        <w:rPr>
          <w:rFonts w:ascii="宋体" w:hAnsi="宋体"/>
          <w:b/>
          <w:bCs/>
          <w:color w:val="auto"/>
          <w:sz w:val="24"/>
          <w:highlight w:val="none"/>
          <w:shd w:val="clear" w:color="auto" w:fill="FFFFFF"/>
        </w:rPr>
      </w:pPr>
      <w:r>
        <w:rPr>
          <w:rFonts w:hint="eastAsia" w:ascii="宋体" w:hAnsi="宋体"/>
          <w:b/>
          <w:bCs/>
          <w:color w:val="auto"/>
          <w:sz w:val="24"/>
          <w:highlight w:val="none"/>
          <w:shd w:val="clear" w:color="auto" w:fill="FFFFFF"/>
        </w:rPr>
        <w:t>项目概况：</w:t>
      </w:r>
      <w:r>
        <w:rPr>
          <w:rFonts w:hint="eastAsia" w:ascii="宋体" w:hAnsi="宋体"/>
          <w:color w:val="auto"/>
          <w:sz w:val="24"/>
          <w:highlight w:val="none"/>
          <w:shd w:val="clear" w:color="auto" w:fill="FFFFFF"/>
        </w:rPr>
        <w:t>根据甲方的需要结合飞机的实际情况，完成飞机的内饰翻新；按照甲方要求，按规范完成飞机外表面的喷漆工作；根据甲方的要求，完成飞机结构可视化改造工作，确保方便学员观察与操作。在整机翻新、喷漆及结构可视化施工过程中，施工工艺要符合行业规范，施工安全由中标方承担主体责任。</w:t>
      </w:r>
    </w:p>
    <w:p>
      <w:pPr>
        <w:adjustRightInd/>
        <w:spacing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（一）飞机内饰的翻新</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1.内饰清洁包含：驾驶舱、厨房、厕所、客舱内装（含壁板、顶板、隔板等）、座椅套、地毯、地板、地毯座椅拆除后清洁客舱地板及座椅导轨，防止座椅导轨腐蚀造成损伤。</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2.前后登机门厨房区域地板革更换：地板革采用航空专用地板革耐高温、耐磨损阻燃材质和飞机手册相同材质件号，并铺设环氧板防水膜，铺设完成后并重新封胶防止污水流入而腐蚀结构</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3.行李架有损伤的整体维修：行李箱门全部拆下翻新并喷航空专用油漆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4.检查餐车门、衣帽柜、厕所门、经济舱与头等舱隔板壁纸，更换损坏的壁纸（壁纸采用手册要求型号壁纸）</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检查所有头等舱座椅、经济舱座椅，全部拆除并检查所有座椅上的座椅地脚、作动筒、小桌板、座椅垫、座椅靠背、书报夹、扶手壳、脚蹬、杯托等，有损坏的全部更换，检修完成后重新根据手册要求的尺寸安装座椅</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6.检查所有客舱地板，如有损坏进行维修，如无法维修更换损坏的地板，采用相同材质地板,进行更换维修。</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（二）飞机外表面的整机喷漆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rPr>
        <w:tab/>
      </w:r>
      <w:r>
        <w:rPr>
          <w:rFonts w:hint="eastAsia" w:ascii="宋体" w:hAnsi="宋体" w:cs="宋体"/>
          <w:color w:val="auto"/>
          <w:sz w:val="24"/>
          <w:highlight w:val="none"/>
        </w:rPr>
        <w:t>飞机喷涂施工前应对飞机外表进行详细的检查，锈蚀严重的紧固件必须进行更换。发生腐蚀的飞机部件应参照飞机SRM手册要求进行处理，并进行防腐处理。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rPr>
        <w:tab/>
      </w:r>
      <w:r>
        <w:rPr>
          <w:rFonts w:hint="eastAsia" w:ascii="宋体" w:hAnsi="宋体" w:cs="宋体"/>
          <w:color w:val="auto"/>
          <w:sz w:val="24"/>
          <w:highlight w:val="none"/>
        </w:rPr>
        <w:t>飞机喷涂所用的油漆、清洁剂、退漆液、耗材必须符合飞机厂家的修理和维护手册要求，底漆应选用BMS10-11和BMS10-79标准底漆，面漆应选用PPG厂家CA8000系列聚氨脂高固态面漆。</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rPr>
        <w:tab/>
      </w:r>
      <w:r>
        <w:rPr>
          <w:rFonts w:hint="eastAsia" w:ascii="宋体" w:hAnsi="宋体" w:cs="宋体"/>
          <w:color w:val="auto"/>
          <w:sz w:val="24"/>
          <w:highlight w:val="none"/>
        </w:rPr>
        <w:t>供应商应提供详细的整机喷涂方案，方案应围绕人、机、料、法、环来编制。整机喷涂使用的溶剂、油漆、退漆液、消耗品、工具设备、人员配置、施工程序、验收标准应包含在内。溶剂、油漆、退漆液、消耗品应提供详细的件号及对应手册要求。</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rPr>
        <w:tab/>
      </w:r>
      <w:r>
        <w:rPr>
          <w:rFonts w:hint="eastAsia" w:ascii="宋体" w:hAnsi="宋体" w:cs="宋体"/>
          <w:color w:val="auto"/>
          <w:sz w:val="24"/>
          <w:highlight w:val="none"/>
        </w:rPr>
        <w:t>皮托管、外部灯光、橡胶封严,弹性封严，硅封严和特氟龙压条、客舱窗户，驾驶舱窗户，通气孔，钛合金和钢部件（包括按钮和弹簧锁），外部所有的灯，平尾标牌和滑动板区域等应做好保护，避免被溶剂或油漆污染或损害。</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rPr>
        <w:tab/>
      </w:r>
      <w:r>
        <w:rPr>
          <w:rFonts w:hint="eastAsia" w:ascii="宋体" w:hAnsi="宋体" w:cs="宋体"/>
          <w:color w:val="auto"/>
          <w:sz w:val="24"/>
          <w:highlight w:val="none"/>
        </w:rPr>
        <w:t>不要喷标示飞机基准的三角板和其他标示板。不要喷排水管，天线，静压口，TAT、迎角风标传感器，客舱压力控制活门和电子舱蒙皮温度传感器。</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rPr>
        <w:tab/>
      </w:r>
      <w:r>
        <w:rPr>
          <w:rFonts w:hint="eastAsia" w:ascii="宋体" w:hAnsi="宋体" w:cs="宋体"/>
          <w:color w:val="auto"/>
          <w:sz w:val="24"/>
          <w:highlight w:val="none"/>
        </w:rPr>
        <w:t>应对金属的表面进行必要的化学处理，以提高漆膜的附着力和耐腐蚀性，清除各种油脂、污垢，以保证涂层具有优良的防腐蚀性能及涂层与被涂物表面具有良好的附着力。</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rPr>
        <w:tab/>
      </w:r>
      <w:r>
        <w:rPr>
          <w:rFonts w:hint="eastAsia" w:ascii="宋体" w:hAnsi="宋体" w:cs="宋体"/>
          <w:color w:val="auto"/>
          <w:sz w:val="24"/>
          <w:highlight w:val="none"/>
        </w:rPr>
        <w:t>飞机退漆或打磨后露出金属，必须采取阳极化处理，从而增强机体的耐腐蚀能力。</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color w:val="auto"/>
          <w:sz w:val="24"/>
          <w:highlight w:val="none"/>
        </w:rPr>
        <w:tab/>
      </w:r>
      <w:r>
        <w:rPr>
          <w:rFonts w:hint="eastAsia" w:ascii="宋体" w:hAnsi="宋体" w:cs="宋体"/>
          <w:color w:val="auto"/>
          <w:sz w:val="24"/>
          <w:highlight w:val="none"/>
        </w:rPr>
        <w:t>参照飞机原厂标准检查并测试漆层,确保漆层质量符合要求，油漆涂层应该光滑、一致、没有污物，无桔皮皱纹，无松弛下陷等明显的表面缺陷。</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color w:val="auto"/>
          <w:sz w:val="24"/>
          <w:highlight w:val="none"/>
        </w:rPr>
        <w:tab/>
      </w:r>
      <w:r>
        <w:rPr>
          <w:rFonts w:hint="eastAsia" w:ascii="宋体" w:hAnsi="宋体" w:cs="宋体"/>
          <w:color w:val="auto"/>
          <w:sz w:val="24"/>
          <w:highlight w:val="none"/>
        </w:rPr>
        <w:t>应提供整机喷涂效果图，包括飞机彩绘、学校名称和LOG</w:t>
      </w:r>
      <w:r>
        <w:rPr>
          <w:rFonts w:ascii="宋体" w:hAnsi="宋体" w:cs="宋体"/>
          <w:color w:val="auto"/>
          <w:sz w:val="24"/>
          <w:highlight w:val="none"/>
        </w:rPr>
        <w:t>0</w:t>
      </w:r>
      <w:r>
        <w:rPr>
          <w:rFonts w:hint="eastAsia" w:ascii="宋体" w:hAnsi="宋体" w:cs="宋体"/>
          <w:color w:val="auto"/>
          <w:sz w:val="24"/>
          <w:highlight w:val="none"/>
        </w:rPr>
        <w:t>等。</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（三）飞机的可视化改装</w:t>
      </w:r>
    </w:p>
    <w:p>
      <w:pPr>
        <w:numPr>
          <w:ilvl w:val="0"/>
          <w:numId w:val="36"/>
        </w:numPr>
        <w:adjustRightInd/>
        <w:spacing w:line="276" w:lineRule="auto"/>
        <w:jc w:val="left"/>
        <w:rPr>
          <w:rFonts w:ascii="宋体" w:hAnsi="宋体" w:cs="宋体"/>
          <w:color w:val="auto"/>
          <w:sz w:val="24"/>
          <w:highlight w:val="none"/>
        </w:rPr>
      </w:pPr>
      <w:r>
        <w:rPr>
          <w:rFonts w:hint="eastAsia" w:ascii="宋体" w:hAnsi="宋体" w:cs="宋体"/>
          <w:color w:val="auto"/>
          <w:sz w:val="24"/>
          <w:highlight w:val="none"/>
        </w:rPr>
        <w:t>飞机中央油箱展示：</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拆除中央油箱上部座椅、地板，对中央油箱区域进行清洁，确保无杂物、无污渍、无油脂。</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中央油箱上部铺设透明防爆钢化玻璃用于展示中央油箱结构区域，玻璃厚度不低于10mm，玻璃必须满足优越的耐火性、高强度、安全性、高耐候性等特点。玻璃上方可以站人行走，承重500KG以上。</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在中央油箱钢索和管路所在区域应设计至少一块可以开合的玻璃，用于接近钢索和管路，可以完成钢索、钢索连接器、滑轮、扇形盘、松紧螺套、张力补偿器的检查、测量、校验及管路拆装等工作。</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透过玻璃可以观察钢索操纵机构的作动，如钢索与扇形盘及滑轮间的传动等，更加清晰的了解飞机传动方式。</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所选用的钢化玻璃必须符合GB15763.2-2005标准。钢化玻璃和中央油箱间应根据实际情况安装足够的不锈钢支撑，确保满足钢化玻璃足够的承载要求。开合玻璃应用不锈钢合页，开合把手应为隐藏式。</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安装前必须进行检查、校正，确保玻璃与地板平齐，非开合区域应使用密封胶进行密封。</w:t>
      </w:r>
    </w:p>
    <w:p>
      <w:pPr>
        <w:numPr>
          <w:ilvl w:val="0"/>
          <w:numId w:val="36"/>
        </w:numPr>
        <w:adjustRightInd/>
        <w:spacing w:line="276" w:lineRule="auto"/>
        <w:jc w:val="left"/>
        <w:rPr>
          <w:rFonts w:ascii="宋体" w:hAnsi="宋体" w:cs="宋体"/>
          <w:color w:val="auto"/>
          <w:sz w:val="24"/>
          <w:highlight w:val="none"/>
        </w:rPr>
      </w:pPr>
      <w:r>
        <w:rPr>
          <w:rFonts w:hint="eastAsia" w:ascii="宋体" w:hAnsi="宋体" w:cs="宋体"/>
          <w:color w:val="auto"/>
          <w:sz w:val="24"/>
          <w:highlight w:val="none"/>
        </w:rPr>
        <w:t>80VU电子架可视化展示：</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拆除前货舱FR24处壁板，对80VU电子架相邻结构清洁，确保无杂物、无污渍、无油渍。</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80VU主电子架前部安装厚度不低于5mm的防爆钢化玻璃，用于展示80VU主电子架。玻璃必须满足优越的耐火性、高强度、安全性、高耐候性等特点。</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80VU电子架前部安装两块可以对开的玻璃，安装2个不锈钢把手，可以接近80VU主电子架后部，可以实现电子部件识别、线束困扎等项目。</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所选用的钢化玻璃必须符合GB15763.2-2005标准，开合玻璃应用不锈钢合页。</w:t>
      </w:r>
    </w:p>
    <w:p>
      <w:pPr>
        <w:adjustRightInd/>
        <w:spacing w:line="276"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安装前必须进行检查、校正，确保玻璃与配合结构平齐，非开合区域应使用密封胶进行密封。</w:t>
      </w:r>
    </w:p>
    <w:p>
      <w:pPr>
        <w:pStyle w:val="256"/>
        <w:snapToGrid w:val="0"/>
        <w:ind w:firstLine="482"/>
        <w:jc w:val="left"/>
        <w:rPr>
          <w:rFonts w:ascii="宋体" w:hAnsi="宋体" w:eastAsia="宋体"/>
          <w:b/>
          <w:color w:val="auto"/>
          <w:highlight w:val="none"/>
        </w:rPr>
      </w:pPr>
      <w:r>
        <w:rPr>
          <w:rFonts w:hint="eastAsia" w:ascii="宋体" w:hAnsi="宋体" w:eastAsia="宋体"/>
          <w:b/>
          <w:color w:val="auto"/>
          <w:highlight w:val="none"/>
        </w:rPr>
        <w:t>（二）服务与售后</w:t>
      </w:r>
    </w:p>
    <w:p>
      <w:pPr>
        <w:pStyle w:val="256"/>
        <w:snapToGrid w:val="0"/>
        <w:ind w:firstLine="480"/>
        <w:jc w:val="left"/>
        <w:rPr>
          <w:rFonts w:ascii="宋体" w:hAnsi="宋体" w:eastAsia="宋体" w:cs="Calibri"/>
          <w:color w:val="auto"/>
          <w:highlight w:val="none"/>
        </w:rPr>
      </w:pPr>
      <w:r>
        <w:rPr>
          <w:rFonts w:hint="eastAsia" w:ascii="宋体" w:hAnsi="宋体" w:eastAsia="宋体"/>
          <w:color w:val="auto"/>
          <w:highlight w:val="none"/>
        </w:rPr>
        <w:t>供货厂家对于采购的设备应选派专业技术人员，到校提供现场培训，包括不限于提供培训课件、培训教材等等，保证校方操作人员完全熟悉设备调试、使用、维护为止，线下培训时长不少于</w:t>
      </w:r>
      <w:r>
        <w:rPr>
          <w:rFonts w:ascii="宋体" w:hAnsi="宋体" w:eastAsia="宋体"/>
          <w:color w:val="auto"/>
          <w:highlight w:val="none"/>
        </w:rPr>
        <w:t>60</w:t>
      </w:r>
      <w:r>
        <w:rPr>
          <w:rFonts w:hint="eastAsia" w:ascii="宋体" w:hAnsi="宋体" w:eastAsia="宋体"/>
          <w:color w:val="auto"/>
          <w:highlight w:val="none"/>
        </w:rPr>
        <w:t>个小时，同时应积极响应设备的后续质保问题。</w:t>
      </w:r>
    </w:p>
    <w:p>
      <w:pPr>
        <w:snapToGrid w:val="0"/>
        <w:spacing w:line="360" w:lineRule="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三、拟采购标的的商务要求</w:t>
      </w:r>
    </w:p>
    <w:p>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1.交付（实施）的时间（期限）：</w:t>
      </w:r>
    </w:p>
    <w:p>
      <w:pPr>
        <w:spacing w:line="360" w:lineRule="auto"/>
        <w:ind w:firstLine="480" w:firstLineChars="200"/>
        <w:jc w:val="left"/>
        <w:rPr>
          <w:rFonts w:ascii="宋体" w:hAnsi="宋体"/>
          <w:color w:val="auto"/>
          <w:sz w:val="24"/>
          <w:highlight w:val="none"/>
          <w:u w:val="single"/>
        </w:rPr>
      </w:pPr>
      <w:r>
        <w:rPr>
          <w:rFonts w:hint="eastAsia" w:ascii="宋体" w:hAnsi="宋体" w:cs="仿宋_GB2312"/>
          <w:color w:val="auto"/>
          <w:sz w:val="24"/>
          <w:highlight w:val="none"/>
          <w:u w:val="none"/>
        </w:rPr>
        <w:t xml:space="preserve">1.1 </w:t>
      </w:r>
      <w:r>
        <w:rPr>
          <w:rFonts w:hint="eastAsia" w:ascii="宋体" w:hAnsi="宋体"/>
          <w:color w:val="auto"/>
          <w:sz w:val="24"/>
          <w:highlight w:val="none"/>
          <w:u w:val="none"/>
        </w:rPr>
        <w:t>▲</w:t>
      </w:r>
      <w:r>
        <w:rPr>
          <w:rFonts w:hint="eastAsia" w:ascii="宋体" w:hAnsi="宋体" w:cs="仿宋_GB2312"/>
          <w:color w:val="auto"/>
          <w:sz w:val="24"/>
          <w:highlight w:val="none"/>
          <w:u w:val="none"/>
        </w:rPr>
        <w:t>总体</w:t>
      </w:r>
      <w:r>
        <w:rPr>
          <w:rFonts w:hint="eastAsia" w:ascii="宋体" w:hAnsi="宋体" w:cs="仿宋_GB2312"/>
          <w:color w:val="auto"/>
          <w:sz w:val="24"/>
          <w:highlight w:val="none"/>
        </w:rPr>
        <w:t>交付（实施）的时间（期限）：</w:t>
      </w:r>
      <w:r>
        <w:rPr>
          <w:rFonts w:hint="eastAsia" w:ascii="宋体" w:hAnsi="宋体" w:cs="仿宋_GB2312"/>
          <w:color w:val="auto"/>
          <w:sz w:val="24"/>
          <w:highlight w:val="none"/>
          <w:u w:val="single"/>
        </w:rPr>
        <w:t>2023年</w:t>
      </w:r>
      <w:r>
        <w:rPr>
          <w:rFonts w:hint="eastAsia" w:ascii="宋体" w:hAnsi="宋体" w:cs="仿宋_GB2312"/>
          <w:color w:val="auto"/>
          <w:sz w:val="24"/>
          <w:highlight w:val="none"/>
          <w:u w:val="single"/>
          <w:lang w:val="en-US" w:eastAsia="zh-CN"/>
        </w:rPr>
        <w:t>9</w:t>
      </w:r>
      <w:r>
        <w:rPr>
          <w:rFonts w:hint="eastAsia" w:ascii="宋体" w:hAnsi="宋体" w:cs="仿宋_GB2312"/>
          <w:color w:val="auto"/>
          <w:sz w:val="24"/>
          <w:highlight w:val="none"/>
          <w:u w:val="single"/>
        </w:rPr>
        <w:t>月</w:t>
      </w:r>
      <w:r>
        <w:rPr>
          <w:rFonts w:hint="eastAsia" w:ascii="宋体" w:hAnsi="宋体" w:cs="仿宋_GB2312"/>
          <w:color w:val="auto"/>
          <w:sz w:val="24"/>
          <w:highlight w:val="none"/>
          <w:u w:val="single"/>
          <w:lang w:val="en-US" w:eastAsia="zh-CN"/>
        </w:rPr>
        <w:t>1</w:t>
      </w:r>
      <w:r>
        <w:rPr>
          <w:rFonts w:hint="eastAsia" w:ascii="宋体" w:hAnsi="宋体" w:cs="仿宋_GB2312"/>
          <w:color w:val="auto"/>
          <w:sz w:val="24"/>
          <w:highlight w:val="none"/>
          <w:u w:val="single"/>
        </w:rPr>
        <w:t>日前完成</w:t>
      </w:r>
      <w:r>
        <w:rPr>
          <w:rFonts w:hint="eastAsia" w:ascii="宋体" w:hAnsi="宋体"/>
          <w:color w:val="auto"/>
          <w:sz w:val="24"/>
          <w:highlight w:val="none"/>
          <w:u w:val="single"/>
        </w:rPr>
        <w:t xml:space="preserve"> </w:t>
      </w:r>
    </w:p>
    <w:p>
      <w:pPr>
        <w:spacing w:line="360" w:lineRule="auto"/>
        <w:ind w:firstLine="480" w:firstLineChars="200"/>
        <w:jc w:val="left"/>
        <w:rPr>
          <w:rFonts w:ascii="宋体" w:hAnsi="宋体" w:cs="仿宋_GB2312"/>
          <w:color w:val="auto"/>
          <w:sz w:val="24"/>
          <w:highlight w:val="none"/>
        </w:rPr>
      </w:pPr>
      <w:r>
        <w:rPr>
          <w:rFonts w:hint="eastAsia" w:ascii="宋体" w:hAnsi="宋体"/>
          <w:color w:val="auto"/>
          <w:sz w:val="24"/>
          <w:highlight w:val="none"/>
          <w:u w:val="none"/>
        </w:rPr>
        <w:t>1.2 ▲分步骤</w:t>
      </w:r>
      <w:r>
        <w:rPr>
          <w:rFonts w:hint="eastAsia" w:ascii="宋体" w:hAnsi="宋体" w:cs="仿宋_GB2312"/>
          <w:color w:val="auto"/>
          <w:sz w:val="24"/>
          <w:highlight w:val="none"/>
        </w:rPr>
        <w:t>交付（实施）的时间（期限）：</w:t>
      </w:r>
    </w:p>
    <w:tbl>
      <w:tblPr>
        <w:tblStyle w:val="63"/>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276"/>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序号</w:t>
            </w:r>
          </w:p>
        </w:tc>
        <w:tc>
          <w:tcPr>
            <w:tcW w:w="2276"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期限</w:t>
            </w:r>
          </w:p>
        </w:tc>
        <w:tc>
          <w:tcPr>
            <w:tcW w:w="6260" w:type="dxa"/>
          </w:tcPr>
          <w:p>
            <w:pPr>
              <w:jc w:val="left"/>
              <w:rPr>
                <w:rFonts w:ascii="宋体" w:hAnsi="宋体" w:cs="仿宋_GB2312"/>
                <w:color w:val="auto"/>
                <w:szCs w:val="21"/>
                <w:highlight w:val="none"/>
              </w:rPr>
            </w:pPr>
            <w:r>
              <w:rPr>
                <w:rFonts w:hint="eastAsia" w:ascii="宋体" w:hAnsi="宋体" w:cs="仿宋_GB2312"/>
                <w:color w:val="auto"/>
                <w:szCs w:val="21"/>
                <w:highlight w:val="none"/>
              </w:rPr>
              <w:t>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1</w:t>
            </w:r>
          </w:p>
        </w:tc>
        <w:tc>
          <w:tcPr>
            <w:tcW w:w="2276" w:type="dxa"/>
            <w:vAlign w:val="center"/>
          </w:tcPr>
          <w:p>
            <w:pP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u w:val="none"/>
                <w:lang w:val="en-US" w:eastAsia="zh-CN"/>
              </w:rPr>
              <w:t>合同签订后4个月内</w:t>
            </w:r>
          </w:p>
        </w:tc>
        <w:tc>
          <w:tcPr>
            <w:tcW w:w="6260" w:type="dxa"/>
            <w:vAlign w:val="center"/>
          </w:tcPr>
          <w:p>
            <w:pPr>
              <w:rPr>
                <w:rFonts w:ascii="宋体" w:hAnsi="宋体" w:cs="仿宋_GB2312"/>
                <w:color w:val="auto"/>
                <w:szCs w:val="21"/>
                <w:highlight w:val="none"/>
              </w:rPr>
            </w:pPr>
            <w:r>
              <w:rPr>
                <w:rFonts w:hint="eastAsia" w:ascii="宋体" w:hAnsi="宋体" w:cs="仿宋_GB2312"/>
                <w:color w:val="auto"/>
                <w:szCs w:val="21"/>
                <w:highlight w:val="none"/>
                <w:u w:val="none"/>
              </w:rPr>
              <w:t>完成飞机首次验收（执行最后一个航班到双方共同确定浙江省内及周边省市机场且确保飞机能够满足附件二《飞机验收标准》）。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2</w:t>
            </w:r>
          </w:p>
        </w:tc>
        <w:tc>
          <w:tcPr>
            <w:tcW w:w="2276" w:type="dxa"/>
            <w:vAlign w:val="center"/>
          </w:tcPr>
          <w:p>
            <w:pP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u w:val="none"/>
                <w:lang w:val="en-US" w:eastAsia="zh-CN"/>
              </w:rPr>
              <w:t>完成飞机首次验收后2个月内</w:t>
            </w:r>
          </w:p>
        </w:tc>
        <w:tc>
          <w:tcPr>
            <w:tcW w:w="6260" w:type="dxa"/>
            <w:vAlign w:val="center"/>
          </w:tcPr>
          <w:p>
            <w:pPr>
              <w:rPr>
                <w:rFonts w:ascii="宋体" w:hAnsi="宋体" w:cs="仿宋_GB2312"/>
                <w:color w:val="auto"/>
                <w:szCs w:val="21"/>
                <w:highlight w:val="none"/>
              </w:rPr>
            </w:pPr>
            <w:r>
              <w:rPr>
                <w:rFonts w:hint="eastAsia" w:ascii="宋体" w:hAnsi="宋体" w:cs="仿宋_GB2312"/>
                <w:color w:val="auto"/>
                <w:szCs w:val="21"/>
                <w:highlight w:val="none"/>
                <w:u w:val="none"/>
              </w:rPr>
              <w:t>飞机拆解后运输到</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指定场地进行组装、调试，完成无损复装。地面设备送达</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指定场地、进行安装调试并通过验收。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3</w:t>
            </w:r>
          </w:p>
        </w:tc>
        <w:tc>
          <w:tcPr>
            <w:tcW w:w="2276" w:type="dxa"/>
            <w:vAlign w:val="center"/>
          </w:tcPr>
          <w:p>
            <w:pPr>
              <w:rPr>
                <w:rFonts w:ascii="宋体" w:hAnsi="宋体" w:cs="仿宋_GB2312"/>
                <w:color w:val="auto"/>
                <w:szCs w:val="21"/>
                <w:highlight w:val="none"/>
                <w:u w:val="single"/>
              </w:rPr>
            </w:pPr>
            <w:r>
              <w:rPr>
                <w:rFonts w:ascii="宋体" w:hAnsi="宋体" w:cs="仿宋_GB2312"/>
                <w:color w:val="auto"/>
                <w:szCs w:val="21"/>
                <w:highlight w:val="none"/>
                <w:u w:val="none"/>
              </w:rPr>
              <w:t>2023年5月31日</w:t>
            </w:r>
          </w:p>
        </w:tc>
        <w:tc>
          <w:tcPr>
            <w:tcW w:w="6260" w:type="dxa"/>
            <w:vAlign w:val="center"/>
          </w:tcPr>
          <w:p>
            <w:pPr>
              <w:rPr>
                <w:rFonts w:hint="eastAsia" w:ascii="宋体" w:hAnsi="宋体" w:cs="仿宋_GB2312"/>
                <w:color w:val="auto"/>
                <w:szCs w:val="21"/>
                <w:highlight w:val="none"/>
              </w:rPr>
            </w:pPr>
            <w:r>
              <w:rPr>
                <w:rFonts w:hint="eastAsia" w:ascii="宋体" w:hAnsi="宋体" w:cs="仿宋_GB2312"/>
                <w:color w:val="auto"/>
                <w:szCs w:val="21"/>
                <w:highlight w:val="none"/>
                <w:u w:val="none"/>
              </w:rPr>
              <w:t>航空发动机运输到</w:t>
            </w:r>
            <w:r>
              <w:rPr>
                <w:rFonts w:hint="eastAsia" w:ascii="宋体" w:hAnsi="宋体"/>
                <w:color w:val="auto"/>
                <w:szCs w:val="21"/>
                <w:highlight w:val="none"/>
                <w:u w:val="none"/>
              </w:rPr>
              <w:t>杭州技师学院</w:t>
            </w:r>
            <w:r>
              <w:rPr>
                <w:rFonts w:hint="eastAsia" w:ascii="宋体" w:hAnsi="宋体" w:cs="仿宋_GB2312"/>
                <w:color w:val="auto"/>
                <w:szCs w:val="21"/>
                <w:highlight w:val="none"/>
                <w:u w:val="none"/>
              </w:rPr>
              <w:t>指定场地并安装到飞机并通过验收；发动机拆装专用工具运输到交货地点并通过验收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Align w:val="center"/>
          </w:tcPr>
          <w:p>
            <w:pPr>
              <w:jc w:val="center"/>
              <w:rPr>
                <w:rFonts w:ascii="宋体" w:hAnsi="宋体" w:cs="仿宋_GB2312"/>
                <w:color w:val="auto"/>
                <w:szCs w:val="21"/>
                <w:highlight w:val="none"/>
              </w:rPr>
            </w:pPr>
            <w:r>
              <w:rPr>
                <w:rFonts w:ascii="宋体" w:hAnsi="宋体" w:cs="仿宋_GB2312"/>
                <w:color w:val="auto"/>
                <w:szCs w:val="21"/>
                <w:highlight w:val="none"/>
              </w:rPr>
              <w:t>4</w:t>
            </w:r>
          </w:p>
        </w:tc>
        <w:tc>
          <w:tcPr>
            <w:tcW w:w="2276" w:type="dxa"/>
            <w:vAlign w:val="center"/>
          </w:tcPr>
          <w:p>
            <w:pPr>
              <w:rPr>
                <w:rFonts w:ascii="宋体" w:hAnsi="宋体" w:cs="仿宋_GB2312"/>
                <w:color w:val="auto"/>
                <w:szCs w:val="21"/>
                <w:highlight w:val="none"/>
                <w:u w:val="single"/>
              </w:rPr>
            </w:pPr>
            <w:r>
              <w:rPr>
                <w:rFonts w:ascii="宋体" w:hAnsi="宋体" w:cs="仿宋_GB2312"/>
                <w:color w:val="auto"/>
                <w:szCs w:val="21"/>
                <w:highlight w:val="none"/>
                <w:u w:val="none"/>
              </w:rPr>
              <w:t>2023年9</w:t>
            </w:r>
            <w:r>
              <w:rPr>
                <w:rFonts w:hint="eastAsia" w:ascii="宋体" w:hAnsi="宋体" w:cs="仿宋_GB2312"/>
                <w:color w:val="auto"/>
                <w:szCs w:val="21"/>
                <w:highlight w:val="none"/>
                <w:u w:val="none"/>
              </w:rPr>
              <w:t>月</w:t>
            </w:r>
            <w:r>
              <w:rPr>
                <w:rFonts w:hint="eastAsia" w:ascii="宋体" w:hAnsi="宋体" w:cs="仿宋_GB2312"/>
                <w:color w:val="auto"/>
                <w:szCs w:val="21"/>
                <w:highlight w:val="none"/>
                <w:u w:val="none"/>
                <w:lang w:val="en-US" w:eastAsia="zh-CN"/>
              </w:rPr>
              <w:t>1</w:t>
            </w:r>
            <w:r>
              <w:rPr>
                <w:rFonts w:hint="eastAsia" w:ascii="宋体" w:hAnsi="宋体" w:cs="仿宋_GB2312"/>
                <w:color w:val="auto"/>
                <w:szCs w:val="21"/>
                <w:highlight w:val="none"/>
                <w:u w:val="none"/>
              </w:rPr>
              <w:t>日</w:t>
            </w:r>
          </w:p>
        </w:tc>
        <w:tc>
          <w:tcPr>
            <w:tcW w:w="6260" w:type="dxa"/>
            <w:vAlign w:val="center"/>
          </w:tcPr>
          <w:p>
            <w:pPr>
              <w:rPr>
                <w:rFonts w:hint="eastAsia" w:ascii="宋体" w:hAnsi="宋体" w:cs="仿宋_GB2312"/>
                <w:color w:val="auto"/>
                <w:szCs w:val="21"/>
                <w:highlight w:val="none"/>
              </w:rPr>
            </w:pPr>
            <w:r>
              <w:rPr>
                <w:rFonts w:hint="eastAsia" w:ascii="宋体" w:hAnsi="宋体" w:cs="仿宋_GB2312"/>
                <w:color w:val="auto"/>
                <w:szCs w:val="21"/>
                <w:highlight w:val="none"/>
                <w:u w:val="none"/>
              </w:rPr>
              <w:t>完成飞机内饰翻新、喷漆与结构可视化改装并通过验收</w:t>
            </w:r>
          </w:p>
        </w:tc>
      </w:tr>
    </w:tbl>
    <w:p>
      <w:pPr>
        <w:spacing w:line="360" w:lineRule="auto"/>
        <w:ind w:firstLine="480" w:firstLineChars="200"/>
        <w:jc w:val="left"/>
        <w:rPr>
          <w:rFonts w:ascii="宋体" w:hAnsi="宋体"/>
          <w:color w:val="auto"/>
          <w:sz w:val="24"/>
          <w:highlight w:val="none"/>
          <w:u w:val="single"/>
        </w:rPr>
      </w:pPr>
      <w:r>
        <w:rPr>
          <w:rFonts w:hint="eastAsia" w:ascii="宋体" w:hAnsi="宋体" w:cs="仿宋_GB2312"/>
          <w:color w:val="auto"/>
          <w:sz w:val="24"/>
          <w:highlight w:val="none"/>
        </w:rPr>
        <w:t>2.交付（实施）的地点（范围）：</w:t>
      </w:r>
      <w:r>
        <w:rPr>
          <w:rFonts w:hint="eastAsia" w:ascii="宋体" w:hAnsi="宋体"/>
          <w:color w:val="auto"/>
          <w:sz w:val="24"/>
          <w:highlight w:val="none"/>
          <w:u w:val="single"/>
        </w:rPr>
        <w:t xml:space="preserve"> 杭州技师学院 </w:t>
      </w:r>
    </w:p>
    <w:p>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3.▲付款条件（进度和方式）</w:t>
      </w:r>
    </w:p>
    <w:tbl>
      <w:tblPr>
        <w:tblStyle w:val="62"/>
        <w:tblW w:w="9781"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619"/>
        <w:gridCol w:w="81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02" w:hRule="atLeast"/>
        </w:trPr>
        <w:tc>
          <w:tcPr>
            <w:tcW w:w="1619" w:type="dxa"/>
            <w:shd w:val="clear" w:color="auto" w:fill="auto"/>
            <w:vAlign w:val="center"/>
          </w:tcPr>
          <w:p>
            <w:pPr>
              <w:snapToGrid w:val="0"/>
              <w:jc w:val="center"/>
              <w:rPr>
                <w:rFonts w:ascii="宋体" w:hAnsi="宋体" w:cs="仿宋_GB2312"/>
                <w:b/>
                <w:bCs/>
                <w:color w:val="auto"/>
                <w:szCs w:val="21"/>
                <w:highlight w:val="none"/>
              </w:rPr>
            </w:pPr>
            <w:r>
              <w:rPr>
                <w:rFonts w:hint="eastAsia" w:ascii="宋体" w:hAnsi="宋体" w:cs="仿宋_GB2312"/>
                <w:b/>
                <w:bCs/>
                <w:color w:val="auto"/>
                <w:szCs w:val="21"/>
                <w:highlight w:val="none"/>
              </w:rPr>
              <w:t>序号</w:t>
            </w:r>
          </w:p>
        </w:tc>
        <w:tc>
          <w:tcPr>
            <w:tcW w:w="8162" w:type="dxa"/>
            <w:shd w:val="clear" w:color="auto" w:fill="auto"/>
            <w:vAlign w:val="center"/>
          </w:tcPr>
          <w:p>
            <w:pPr>
              <w:snapToGrid w:val="0"/>
              <w:jc w:val="center"/>
              <w:rPr>
                <w:rFonts w:ascii="宋体" w:hAnsi="宋体" w:cs="仿宋_GB2312"/>
                <w:b/>
                <w:bCs/>
                <w:color w:val="auto"/>
                <w:szCs w:val="21"/>
                <w:highlight w:val="none"/>
              </w:rPr>
            </w:pPr>
            <w:r>
              <w:rPr>
                <w:rFonts w:hint="eastAsia" w:ascii="宋体" w:hAnsi="宋体" w:cs="仿宋_GB2312"/>
                <w:b/>
                <w:bCs/>
                <w:color w:val="auto"/>
                <w:szCs w:val="21"/>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1619" w:type="dxa"/>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1</w:t>
            </w:r>
          </w:p>
        </w:tc>
        <w:tc>
          <w:tcPr>
            <w:tcW w:w="8162" w:type="dxa"/>
            <w:shd w:val="clear" w:color="auto" w:fill="auto"/>
          </w:tcPr>
          <w:p>
            <w:pPr>
              <w:snapToGrid w:val="0"/>
              <w:jc w:val="left"/>
              <w:rPr>
                <w:rFonts w:ascii="宋体" w:hAnsi="宋体" w:cs="仿宋_GB2312"/>
                <w:color w:val="auto"/>
                <w:szCs w:val="21"/>
                <w:highlight w:val="none"/>
              </w:rPr>
            </w:pPr>
            <w:r>
              <w:rPr>
                <w:rFonts w:hint="eastAsia" w:ascii="宋体" w:hAnsi="宋体" w:cs="仿宋_GB2312"/>
                <w:color w:val="auto"/>
                <w:szCs w:val="21"/>
                <w:highlight w:val="none"/>
              </w:rPr>
              <w:t>合同签订后，甲方收到乙方出具符合要求的正规发票后七个工作日内支付2</w:t>
            </w:r>
            <w:r>
              <w:rPr>
                <w:rFonts w:ascii="宋体" w:hAnsi="宋体" w:cs="仿宋_GB2312"/>
                <w:color w:val="auto"/>
                <w:szCs w:val="21"/>
                <w:highlight w:val="none"/>
              </w:rPr>
              <w:t>022</w:t>
            </w:r>
            <w:r>
              <w:rPr>
                <w:rFonts w:hint="eastAsia" w:ascii="宋体" w:hAnsi="宋体" w:cs="仿宋_GB2312"/>
                <w:color w:val="auto"/>
                <w:szCs w:val="21"/>
                <w:highlight w:val="none"/>
              </w:rPr>
              <w:t>年本项目预算金额4</w:t>
            </w:r>
            <w:r>
              <w:rPr>
                <w:rFonts w:ascii="宋体" w:hAnsi="宋体" w:cs="仿宋_GB2312"/>
                <w:color w:val="auto"/>
                <w:szCs w:val="21"/>
                <w:highlight w:val="none"/>
              </w:rPr>
              <w:t>0</w:t>
            </w:r>
            <w:r>
              <w:rPr>
                <w:rFonts w:hint="eastAsia" w:ascii="宋体" w:hAnsi="宋体" w:cs="仿宋_GB2312"/>
                <w:color w:val="auto"/>
                <w:szCs w:val="21"/>
                <w:highlight w:val="none"/>
              </w:rPr>
              <w:t>%的预付款。乙方应当提交银行、保险公司等金融机构出具的足额预付款保函等担保措施。</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1619" w:type="dxa"/>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2</w:t>
            </w:r>
          </w:p>
        </w:tc>
        <w:tc>
          <w:tcPr>
            <w:tcW w:w="8162" w:type="dxa"/>
            <w:shd w:val="clear" w:color="auto" w:fill="auto"/>
          </w:tcPr>
          <w:p>
            <w:pPr>
              <w:snapToGrid w:val="0"/>
              <w:jc w:val="left"/>
              <w:rPr>
                <w:rFonts w:ascii="宋体" w:hAnsi="宋体" w:cs="仿宋_GB2312"/>
                <w:color w:val="auto"/>
                <w:szCs w:val="21"/>
                <w:highlight w:val="none"/>
              </w:rPr>
            </w:pPr>
            <w:r>
              <w:rPr>
                <w:rFonts w:hint="eastAsia" w:ascii="宋体" w:hAnsi="Arial" w:cs="Arial"/>
                <w:snapToGrid w:val="0"/>
                <w:color w:val="auto"/>
                <w:szCs w:val="21"/>
                <w:highlight w:val="none"/>
              </w:rPr>
              <w:t>飞机第一次验收合格后，</w:t>
            </w:r>
            <w:r>
              <w:rPr>
                <w:rFonts w:hint="eastAsia" w:ascii="宋体" w:hAnsi="Arial" w:cs="Arial"/>
                <w:snapToGrid w:val="0"/>
                <w:color w:val="auto"/>
                <w:szCs w:val="21"/>
                <w:highlight w:val="none"/>
                <w:lang w:val="en-US" w:eastAsia="zh-CN"/>
              </w:rPr>
              <w:t>若验收合格时间在2022年12月10日前，则</w:t>
            </w:r>
            <w:r>
              <w:rPr>
                <w:rFonts w:hint="eastAsia" w:ascii="宋体" w:hAnsi="Arial" w:cs="Arial"/>
                <w:snapToGrid w:val="0"/>
                <w:color w:val="auto"/>
                <w:szCs w:val="21"/>
                <w:highlight w:val="none"/>
              </w:rPr>
              <w:t>甲方收到乙方出具符合要求的正规发票后</w:t>
            </w:r>
            <w:r>
              <w:rPr>
                <w:rFonts w:hint="eastAsia" w:hAnsi="Arial" w:cs="Arial"/>
                <w:snapToGrid w:val="0"/>
                <w:color w:val="auto"/>
                <w:szCs w:val="21"/>
                <w:highlight w:val="none"/>
              </w:rPr>
              <w:t>七</w:t>
            </w:r>
            <w:r>
              <w:rPr>
                <w:rFonts w:hint="eastAsia" w:ascii="宋体" w:hAnsi="Arial" w:cs="Arial"/>
                <w:snapToGrid w:val="0"/>
                <w:color w:val="auto"/>
                <w:szCs w:val="21"/>
                <w:highlight w:val="none"/>
              </w:rPr>
              <w:t>个工作日内支付2022年800万预算金额的60%</w:t>
            </w:r>
            <w:r>
              <w:rPr>
                <w:rFonts w:hint="eastAsia" w:ascii="宋体" w:hAnsi="Arial" w:cs="Arial"/>
                <w:snapToGrid w:val="0"/>
                <w:color w:val="auto"/>
                <w:szCs w:val="21"/>
                <w:highlight w:val="none"/>
                <w:lang w:eastAsia="zh-CN"/>
              </w:rPr>
              <w:t>；</w:t>
            </w:r>
            <w:r>
              <w:rPr>
                <w:rFonts w:hint="eastAsia" w:ascii="宋体" w:hAnsi="Arial" w:cs="Arial"/>
                <w:snapToGrid w:val="0"/>
                <w:color w:val="auto"/>
                <w:szCs w:val="21"/>
                <w:highlight w:val="none"/>
                <w:lang w:val="en-US" w:eastAsia="zh-CN"/>
              </w:rPr>
              <w:t>若验收合格时间在2022年12月10日后，则待财政预算重新下达后支付上述款项。</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75" w:hRule="atLeast"/>
        </w:trPr>
        <w:tc>
          <w:tcPr>
            <w:tcW w:w="1619" w:type="dxa"/>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3</w:t>
            </w:r>
          </w:p>
        </w:tc>
        <w:tc>
          <w:tcPr>
            <w:tcW w:w="8162" w:type="dxa"/>
            <w:shd w:val="clear" w:color="auto" w:fill="auto"/>
          </w:tcPr>
          <w:p>
            <w:pPr>
              <w:snapToGrid w:val="0"/>
              <w:jc w:val="left"/>
              <w:rPr>
                <w:rFonts w:ascii="宋体" w:hAnsi="Arial" w:cs="Arial"/>
                <w:snapToGrid w:val="0"/>
                <w:color w:val="auto"/>
                <w:szCs w:val="21"/>
                <w:highlight w:val="none"/>
              </w:rPr>
            </w:pPr>
            <w:r>
              <w:rPr>
                <w:rFonts w:hint="eastAsia" w:ascii="宋体" w:hAnsi="宋体" w:cs="仿宋_GB2312"/>
                <w:color w:val="auto"/>
                <w:szCs w:val="21"/>
                <w:highlight w:val="none"/>
                <w:u w:val="none"/>
                <w:lang w:val="en-US" w:eastAsia="zh-CN"/>
              </w:rPr>
              <w:t>完成飞机首次验收后2个月内，</w:t>
            </w:r>
            <w:r>
              <w:rPr>
                <w:rFonts w:hint="eastAsia" w:ascii="宋体" w:hAnsi="Arial" w:cs="Arial"/>
                <w:snapToGrid w:val="0"/>
                <w:color w:val="auto"/>
                <w:szCs w:val="21"/>
                <w:highlight w:val="none"/>
              </w:rPr>
              <w:t>完成飞机拆解并运输到杭州技师学院指定场地进行组装、调试，完成无损复装；地面设备应送达杭州技师学院指定场地、进行安装调试并验收合格后，甲方2023年预算下达情况下，在收到乙方出具符合要求的正规发票后七个工作日内支付2023年500万预算金额的</w:t>
            </w:r>
            <w:r>
              <w:rPr>
                <w:rFonts w:ascii="宋体" w:hAnsi="Arial" w:cs="Arial"/>
                <w:snapToGrid w:val="0"/>
                <w:color w:val="auto"/>
                <w:szCs w:val="21"/>
                <w:highlight w:val="none"/>
              </w:rPr>
              <w:t>40</w:t>
            </w:r>
            <w:r>
              <w:rPr>
                <w:rFonts w:hint="eastAsia" w:ascii="宋体" w:hAnsi="Arial" w:cs="Arial"/>
                <w:snapToGrid w:val="0"/>
                <w:color w:val="auto"/>
                <w:szCs w:val="21"/>
                <w:highlight w:val="none"/>
              </w:rPr>
              <w:t>%。</w:t>
            </w:r>
            <w:r>
              <w:rPr>
                <w:rFonts w:ascii="宋体" w:hAnsi="Arial" w:cs="Arial"/>
                <w:snapToGrid w:val="0"/>
                <w:color w:val="auto"/>
                <w:szCs w:val="21"/>
                <w:highlight w:val="none"/>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trPr>
        <w:tc>
          <w:tcPr>
            <w:tcW w:w="1619" w:type="dxa"/>
            <w:shd w:val="clear" w:color="auto" w:fill="auto"/>
            <w:vAlign w:val="center"/>
          </w:tcPr>
          <w:p>
            <w:pPr>
              <w:snapToGrid w:val="0"/>
              <w:jc w:val="center"/>
              <w:rPr>
                <w:rFonts w:ascii="宋体" w:hAnsi="宋体" w:cs="仿宋_GB2312"/>
                <w:color w:val="auto"/>
                <w:szCs w:val="21"/>
                <w:highlight w:val="none"/>
              </w:rPr>
            </w:pPr>
            <w:r>
              <w:rPr>
                <w:rFonts w:hint="eastAsia" w:ascii="宋体" w:hAnsi="宋体" w:cs="仿宋_GB2312"/>
                <w:color w:val="auto"/>
                <w:szCs w:val="21"/>
                <w:highlight w:val="none"/>
              </w:rPr>
              <w:t>4</w:t>
            </w:r>
          </w:p>
        </w:tc>
        <w:tc>
          <w:tcPr>
            <w:tcW w:w="8162" w:type="dxa"/>
            <w:shd w:val="clear" w:color="auto" w:fill="auto"/>
            <w:vAlign w:val="top"/>
          </w:tcPr>
          <w:p>
            <w:pPr>
              <w:snapToGrid w:val="0"/>
              <w:jc w:val="left"/>
              <w:rPr>
                <w:rFonts w:ascii="宋体" w:hAnsi="Arial" w:cs="Arial"/>
                <w:snapToGrid w:val="0"/>
                <w:color w:val="auto"/>
                <w:szCs w:val="21"/>
                <w:highlight w:val="none"/>
              </w:rPr>
            </w:pPr>
            <w:r>
              <w:rPr>
                <w:rFonts w:hint="eastAsia" w:ascii="宋体" w:hAnsi="Arial" w:cs="Arial"/>
                <w:snapToGrid w:val="0"/>
                <w:color w:val="auto"/>
                <w:szCs w:val="21"/>
                <w:highlight w:val="none"/>
              </w:rPr>
              <w:t>乙方应于</w:t>
            </w:r>
            <w:r>
              <w:rPr>
                <w:rFonts w:ascii="宋体" w:hAnsi="Arial" w:cs="Arial"/>
                <w:snapToGrid w:val="0"/>
                <w:color w:val="auto"/>
                <w:szCs w:val="21"/>
                <w:highlight w:val="none"/>
              </w:rPr>
              <w:t>2023年5月31日</w:t>
            </w:r>
            <w:r>
              <w:rPr>
                <w:rFonts w:hint="eastAsia" w:ascii="宋体" w:hAnsi="Arial" w:cs="Arial"/>
                <w:snapToGrid w:val="0"/>
                <w:color w:val="auto"/>
                <w:szCs w:val="21"/>
                <w:highlight w:val="none"/>
              </w:rPr>
              <w:t>前，航空发动机运输到杭州技师学院指定场地并安装到飞机上且通过验收、发动机拆装专用工具运输到交货地点并通过验收；在</w:t>
            </w:r>
            <w:r>
              <w:rPr>
                <w:rFonts w:ascii="宋体" w:hAnsi="Arial" w:cs="Arial"/>
                <w:snapToGrid w:val="0"/>
                <w:color w:val="auto"/>
                <w:szCs w:val="21"/>
                <w:highlight w:val="none"/>
              </w:rPr>
              <w:t>2023年9月</w:t>
            </w:r>
            <w:r>
              <w:rPr>
                <w:rFonts w:hint="eastAsia" w:ascii="宋体" w:hAnsi="Arial" w:cs="Arial"/>
                <w:snapToGrid w:val="0"/>
                <w:color w:val="auto"/>
                <w:szCs w:val="21"/>
                <w:highlight w:val="none"/>
                <w:lang w:val="en-US" w:eastAsia="zh-CN"/>
              </w:rPr>
              <w:t>1</w:t>
            </w:r>
            <w:r>
              <w:rPr>
                <w:rFonts w:ascii="宋体" w:hAnsi="Arial" w:cs="Arial"/>
                <w:snapToGrid w:val="0"/>
                <w:color w:val="auto"/>
                <w:szCs w:val="21"/>
                <w:highlight w:val="none"/>
              </w:rPr>
              <w:t>日前完成飞机内饰翻新、喷漆与结构可视化改装并通过验收</w:t>
            </w:r>
            <w:r>
              <w:rPr>
                <w:rFonts w:hint="eastAsia" w:ascii="宋体" w:hAnsi="Arial" w:cs="Arial"/>
                <w:snapToGrid w:val="0"/>
                <w:color w:val="auto"/>
                <w:szCs w:val="21"/>
                <w:highlight w:val="none"/>
              </w:rPr>
              <w:t>，甲方2023年预算下达情况下，在收到乙方出具符合要求的正规发票后七个工作日内支付不超过人民币</w:t>
            </w:r>
            <w:r>
              <w:rPr>
                <w:rFonts w:ascii="宋体" w:hAnsi="Arial" w:cs="Arial"/>
                <w:snapToGrid w:val="0"/>
                <w:color w:val="auto"/>
                <w:szCs w:val="21"/>
                <w:highlight w:val="none"/>
              </w:rPr>
              <w:t>300</w:t>
            </w:r>
            <w:r>
              <w:rPr>
                <w:rFonts w:hint="eastAsia" w:ascii="宋体" w:hAnsi="Arial" w:cs="Arial"/>
                <w:snapToGrid w:val="0"/>
                <w:color w:val="auto"/>
                <w:szCs w:val="21"/>
                <w:highlight w:val="none"/>
              </w:rPr>
              <w:t>万元的合同剩余金额。</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59" w:hRule="atLeast"/>
        </w:trPr>
        <w:tc>
          <w:tcPr>
            <w:tcW w:w="1619" w:type="dxa"/>
            <w:shd w:val="clear" w:color="auto" w:fill="auto"/>
            <w:vAlign w:val="center"/>
          </w:tcPr>
          <w:p>
            <w:pPr>
              <w:snapToGrid w:val="0"/>
              <w:jc w:val="center"/>
              <w:rPr>
                <w:rFonts w:ascii="宋体" w:hAnsi="宋体" w:cs="仿宋_GB2312"/>
                <w:color w:val="auto"/>
                <w:szCs w:val="21"/>
                <w:highlight w:val="none"/>
              </w:rPr>
            </w:pPr>
            <w:r>
              <w:rPr>
                <w:rFonts w:ascii="宋体" w:hAnsi="宋体" w:cs="仿宋_GB2312"/>
                <w:color w:val="auto"/>
                <w:szCs w:val="21"/>
                <w:highlight w:val="none"/>
              </w:rPr>
              <w:t>4</w:t>
            </w:r>
          </w:p>
        </w:tc>
        <w:tc>
          <w:tcPr>
            <w:tcW w:w="8162" w:type="dxa"/>
            <w:shd w:val="clear" w:color="auto" w:fill="auto"/>
            <w:vAlign w:val="top"/>
          </w:tcPr>
          <w:p>
            <w:pPr>
              <w:snapToGrid w:val="0"/>
              <w:jc w:val="left"/>
              <w:rPr>
                <w:rFonts w:hint="eastAsia" w:ascii="宋体" w:hAnsi="Arial" w:cs="Arial"/>
                <w:snapToGrid w:val="0"/>
                <w:color w:val="auto"/>
                <w:szCs w:val="21"/>
                <w:highlight w:val="none"/>
              </w:rPr>
            </w:pPr>
            <w:r>
              <w:rPr>
                <w:rFonts w:hint="eastAsia" w:ascii="宋体" w:hAnsi="Arial" w:cs="Arial"/>
                <w:snapToGrid w:val="0"/>
                <w:color w:val="auto"/>
                <w:szCs w:val="21"/>
                <w:highlight w:val="none"/>
              </w:rPr>
              <w:t>项目整体通过验收后，如仍有合同剩余金额未支付，则于</w:t>
            </w:r>
            <w:r>
              <w:rPr>
                <w:rFonts w:ascii="宋体" w:hAnsi="Arial" w:cs="Arial"/>
                <w:snapToGrid w:val="0"/>
                <w:color w:val="auto"/>
                <w:szCs w:val="21"/>
                <w:highlight w:val="none"/>
              </w:rPr>
              <w:t>2024</w:t>
            </w:r>
            <w:r>
              <w:rPr>
                <w:rFonts w:hint="eastAsia" w:ascii="宋体" w:hAnsi="Arial" w:cs="Arial"/>
                <w:snapToGrid w:val="0"/>
                <w:color w:val="auto"/>
                <w:szCs w:val="21"/>
                <w:highlight w:val="none"/>
              </w:rPr>
              <w:t>年预算下达后，甲方收到乙方出具符合要求的正规发票后七个工作日内支付。</w:t>
            </w:r>
          </w:p>
        </w:tc>
      </w:tr>
    </w:tbl>
    <w:p>
      <w:pPr>
        <w:snapToGrid w:val="0"/>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4.售后服务要求</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4.1、合同商品从验收合格之日起，乙方提供的设备实行免费保修不少于三年。</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4.2、投标人须提供经验收合格后质保期按招标文件标内说明执行。(投标人可根据自身实力作出更长时间的质保承诺)。在此期间，投标人应免费处理因质量发生的故障。</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4.3、投标人必须有可靠的售后服务保障。乙方需设立7*24(根据服务级别)的值班响应电话(列出电话号码)，并安排有经验的工程师接受申告。当设备出现故障时，甲方通过乙方指定的值班响应电话进行故障报修或技术咨询。乙方应保证服务时间内，95%以上的呼叫接通时间小于30秒；当乙方需要查阅相关资料再对甲方的问题进行回复时，应确保在30分钟内回复，30分钟内故障未修复则升级为现场支持服务。</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4.4、 投标人提供的设备，必须符合招标文件及其投标文件规定的要求，如有不符，采购人可以无条件退货，造成的损失由中标人承担。</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4.5 、投标人、供货人名称必须一致，否则作违约处理，其履约保证金不予退还。</w:t>
      </w:r>
    </w:p>
    <w:p>
      <w:pPr>
        <w:snapToGrid w:val="0"/>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5</w:t>
      </w:r>
      <w:r>
        <w:rPr>
          <w:rFonts w:ascii="宋体" w:hAnsi="宋体" w:cs="仿宋_GB2312"/>
          <w:color w:val="auto"/>
          <w:sz w:val="24"/>
          <w:highlight w:val="none"/>
        </w:rPr>
        <w:t>.</w:t>
      </w:r>
      <w:r>
        <w:rPr>
          <w:rFonts w:hint="eastAsia" w:ascii="宋体" w:hAnsi="宋体" w:cs="仿宋_GB2312"/>
          <w:color w:val="auto"/>
          <w:sz w:val="24"/>
          <w:highlight w:val="none"/>
        </w:rPr>
        <w:t>本标项所有项目未正式验收前，所需相关手续批复、运输协调等所有与顺利交付有关事项都应有中标方承担。</w:t>
      </w:r>
    </w:p>
    <w:p>
      <w:pPr>
        <w:snapToGrid w:val="0"/>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6</w:t>
      </w:r>
      <w:r>
        <w:rPr>
          <w:rFonts w:hint="eastAsia" w:ascii="宋体" w:hAnsi="宋体" w:cs="仿宋_GB2312"/>
          <w:color w:val="auto"/>
          <w:sz w:val="24"/>
          <w:highlight w:val="none"/>
        </w:rPr>
        <w:t>.其他商务要求（包装和运输、保险等）</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jc w:val="left"/>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三、采购项目的其他要求</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1、项目总体要求</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1.1、本项目所列仅为设备的基本要求，投标人须按有关标准及规范完成本次招标配件设备的供货、运输（含保险、装卸车）、安装、调试与检验、通过有关质量部门检测合格、质保期服务等各项工作，并保证设备使用的安全性与可靠性。</w:t>
      </w:r>
    </w:p>
    <w:p>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u w:val="single"/>
        </w:rPr>
        <w:t>1.2、投标人的最终报价由投标人自担全部风险责任，中标后不得以任何理由调整报价或追加任何费用。如实际施工安装中发生数量的调整需经采购单位同意，增减数量的结算按相应投标价格计算。各竞标人应认真核算安全措施费及其他所需费用，凡未列入的，将被视为均已包含在投标总报价中。采购人不再增加任何涉及到本项目所需的费用。各投标人拟采取的竞争措施和提供给招标采购单位的优惠条件应在投标文件中列明。</w:t>
      </w:r>
    </w:p>
    <w:p>
      <w:pPr>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6" w:name="_Toc184313238"/>
      <w:bookmarkEnd w:id="36"/>
      <w:bookmarkStart w:id="37" w:name="_Toc184314415"/>
      <w:bookmarkEnd w:id="37"/>
      <w:bookmarkStart w:id="38" w:name="_Toc184310291"/>
      <w:bookmarkEnd w:id="38"/>
      <w:bookmarkStart w:id="39" w:name="_Toc184312067"/>
      <w:bookmarkEnd w:id="39"/>
      <w:bookmarkStart w:id="40" w:name="_Toc184313292"/>
      <w:bookmarkEnd w:id="40"/>
      <w:bookmarkStart w:id="41" w:name="_Toc184314466"/>
      <w:bookmarkEnd w:id="41"/>
      <w:bookmarkStart w:id="42" w:name="_Toc184313271"/>
      <w:bookmarkEnd w:id="42"/>
      <w:bookmarkStart w:id="43" w:name="_Toc184312124"/>
      <w:bookmarkEnd w:id="43"/>
      <w:bookmarkStart w:id="44" w:name="_Toc184310296"/>
      <w:bookmarkEnd w:id="44"/>
      <w:bookmarkStart w:id="45" w:name="_Toc184310284"/>
      <w:bookmarkEnd w:id="45"/>
      <w:bookmarkStart w:id="46" w:name="_Toc184308069"/>
      <w:bookmarkEnd w:id="46"/>
      <w:bookmarkStart w:id="47" w:name="_Toc184313266"/>
      <w:bookmarkEnd w:id="47"/>
      <w:bookmarkStart w:id="48" w:name="_Toc184310286"/>
      <w:bookmarkEnd w:id="48"/>
      <w:bookmarkStart w:id="49" w:name="_Toc184314447"/>
      <w:bookmarkEnd w:id="49"/>
      <w:bookmarkStart w:id="50" w:name="_Toc184308053"/>
      <w:bookmarkEnd w:id="50"/>
      <w:bookmarkStart w:id="51" w:name="_Toc184312071"/>
      <w:bookmarkEnd w:id="51"/>
      <w:bookmarkStart w:id="52" w:name="_Toc184308106"/>
      <w:bookmarkEnd w:id="52"/>
      <w:bookmarkStart w:id="53" w:name="_Toc184313278"/>
      <w:bookmarkEnd w:id="53"/>
      <w:bookmarkStart w:id="54" w:name="_Toc184310274"/>
      <w:bookmarkEnd w:id="54"/>
      <w:bookmarkStart w:id="55" w:name="_Toc184310275"/>
      <w:bookmarkEnd w:id="55"/>
      <w:bookmarkStart w:id="56" w:name="_Toc184312127"/>
      <w:bookmarkEnd w:id="56"/>
      <w:bookmarkStart w:id="57" w:name="_Toc184310306"/>
      <w:bookmarkEnd w:id="57"/>
      <w:bookmarkStart w:id="58" w:name="_Toc184310312"/>
      <w:bookmarkEnd w:id="58"/>
      <w:bookmarkStart w:id="59" w:name="_Toc184308093"/>
      <w:bookmarkEnd w:id="59"/>
      <w:bookmarkStart w:id="60" w:name="_Toc184313297"/>
      <w:bookmarkEnd w:id="60"/>
      <w:bookmarkStart w:id="61" w:name="_Toc184314449"/>
      <w:bookmarkEnd w:id="61"/>
      <w:bookmarkStart w:id="62" w:name="_Toc184308043"/>
      <w:bookmarkEnd w:id="62"/>
      <w:bookmarkStart w:id="63" w:name="_Toc184310332"/>
      <w:bookmarkEnd w:id="63"/>
      <w:bookmarkStart w:id="64" w:name="_Toc184312078"/>
      <w:bookmarkEnd w:id="64"/>
      <w:bookmarkStart w:id="65" w:name="_Toc184313279"/>
      <w:bookmarkEnd w:id="65"/>
      <w:bookmarkStart w:id="66" w:name="_Toc184308067"/>
      <w:bookmarkEnd w:id="66"/>
      <w:bookmarkStart w:id="67" w:name="_Toc184314478"/>
      <w:bookmarkEnd w:id="67"/>
      <w:bookmarkStart w:id="68" w:name="_Toc184310314"/>
      <w:bookmarkEnd w:id="68"/>
      <w:bookmarkStart w:id="69" w:name="_Toc184314410"/>
      <w:bookmarkEnd w:id="69"/>
      <w:bookmarkStart w:id="70" w:name="_Toc184312113"/>
      <w:bookmarkEnd w:id="70"/>
      <w:bookmarkStart w:id="71" w:name="_Toc184313296"/>
      <w:bookmarkEnd w:id="71"/>
      <w:bookmarkStart w:id="72" w:name="_Toc184313244"/>
      <w:bookmarkEnd w:id="72"/>
      <w:bookmarkStart w:id="73" w:name="_Toc184312122"/>
      <w:bookmarkEnd w:id="73"/>
      <w:bookmarkStart w:id="74" w:name="_Toc184308086"/>
      <w:bookmarkEnd w:id="74"/>
      <w:bookmarkStart w:id="75" w:name="_Toc184312136"/>
      <w:bookmarkEnd w:id="75"/>
      <w:bookmarkStart w:id="76" w:name="_Toc184310329"/>
      <w:bookmarkEnd w:id="76"/>
      <w:bookmarkStart w:id="77" w:name="_Toc184310301"/>
      <w:bookmarkEnd w:id="77"/>
      <w:bookmarkStart w:id="78" w:name="_Toc184313306"/>
      <w:bookmarkEnd w:id="78"/>
      <w:bookmarkStart w:id="79" w:name="_Toc184314454"/>
      <w:bookmarkEnd w:id="79"/>
      <w:bookmarkStart w:id="80" w:name="_Toc184314428"/>
      <w:bookmarkEnd w:id="80"/>
      <w:bookmarkStart w:id="81" w:name="_Toc184312101"/>
      <w:bookmarkEnd w:id="81"/>
      <w:bookmarkStart w:id="82" w:name="_Toc184312137"/>
      <w:bookmarkEnd w:id="82"/>
      <w:bookmarkStart w:id="83" w:name="_Toc184310318"/>
      <w:bookmarkEnd w:id="83"/>
      <w:bookmarkStart w:id="84" w:name="_Toc184308105"/>
      <w:bookmarkEnd w:id="84"/>
      <w:bookmarkStart w:id="85" w:name="_Toc184308104"/>
      <w:bookmarkEnd w:id="85"/>
      <w:bookmarkStart w:id="86" w:name="_Toc184312121"/>
      <w:bookmarkEnd w:id="86"/>
      <w:bookmarkStart w:id="87" w:name="_Toc184312126"/>
      <w:bookmarkEnd w:id="87"/>
      <w:bookmarkStart w:id="88" w:name="_Toc184313282"/>
      <w:bookmarkEnd w:id="88"/>
      <w:bookmarkStart w:id="89" w:name="_Toc184313260"/>
      <w:bookmarkEnd w:id="89"/>
      <w:bookmarkStart w:id="90" w:name="_Toc184312075"/>
      <w:bookmarkEnd w:id="90"/>
      <w:bookmarkStart w:id="91" w:name="_Toc184313287"/>
      <w:bookmarkEnd w:id="91"/>
      <w:bookmarkStart w:id="92" w:name="_Toc184310282"/>
      <w:bookmarkEnd w:id="92"/>
      <w:bookmarkStart w:id="93" w:name="_Toc184308103"/>
      <w:bookmarkEnd w:id="93"/>
      <w:bookmarkStart w:id="94" w:name="_Toc184310316"/>
      <w:bookmarkEnd w:id="94"/>
      <w:bookmarkStart w:id="95" w:name="_Toc184313256"/>
      <w:bookmarkEnd w:id="95"/>
      <w:bookmarkStart w:id="96" w:name="_Toc184314451"/>
      <w:bookmarkEnd w:id="96"/>
      <w:bookmarkStart w:id="97" w:name="_Toc184308095"/>
      <w:bookmarkEnd w:id="97"/>
      <w:bookmarkStart w:id="98" w:name="_Toc184308066"/>
      <w:bookmarkEnd w:id="98"/>
      <w:bookmarkStart w:id="99" w:name="_Toc184308079"/>
      <w:bookmarkEnd w:id="99"/>
      <w:bookmarkStart w:id="100" w:name="_Toc184308107"/>
      <w:bookmarkEnd w:id="100"/>
      <w:bookmarkStart w:id="101" w:name="_Toc184313252"/>
      <w:bookmarkEnd w:id="101"/>
      <w:bookmarkStart w:id="102" w:name="_Toc184312099"/>
      <w:bookmarkEnd w:id="102"/>
      <w:bookmarkStart w:id="103" w:name="_Toc184314433"/>
      <w:bookmarkEnd w:id="103"/>
      <w:bookmarkStart w:id="104" w:name="_Toc184313284"/>
      <w:bookmarkEnd w:id="104"/>
      <w:bookmarkStart w:id="105" w:name="_Toc184313281"/>
      <w:bookmarkEnd w:id="105"/>
      <w:bookmarkStart w:id="106" w:name="_Toc184308050"/>
      <w:bookmarkEnd w:id="106"/>
      <w:bookmarkStart w:id="107" w:name="_Toc184313283"/>
      <w:bookmarkEnd w:id="107"/>
      <w:bookmarkStart w:id="108" w:name="_Toc184310272"/>
      <w:bookmarkEnd w:id="108"/>
      <w:bookmarkStart w:id="109" w:name="_Toc184314429"/>
      <w:bookmarkEnd w:id="109"/>
      <w:bookmarkStart w:id="110" w:name="_Toc184313263"/>
      <w:bookmarkEnd w:id="110"/>
      <w:bookmarkStart w:id="111" w:name="_Toc184310299"/>
      <w:bookmarkEnd w:id="111"/>
      <w:bookmarkStart w:id="112" w:name="_Toc184314437"/>
      <w:bookmarkEnd w:id="112"/>
      <w:bookmarkStart w:id="113" w:name="_Toc184310331"/>
      <w:bookmarkEnd w:id="113"/>
      <w:bookmarkStart w:id="114" w:name="_Toc184313264"/>
      <w:bookmarkEnd w:id="114"/>
      <w:bookmarkStart w:id="115" w:name="_Toc184308100"/>
      <w:bookmarkEnd w:id="115"/>
      <w:bookmarkStart w:id="116" w:name="_Toc184308098"/>
      <w:bookmarkEnd w:id="116"/>
      <w:bookmarkStart w:id="117" w:name="_Toc184310297"/>
      <w:bookmarkEnd w:id="117"/>
      <w:bookmarkStart w:id="118" w:name="_Toc184312087"/>
      <w:bookmarkEnd w:id="118"/>
      <w:bookmarkStart w:id="119" w:name="_Toc184313247"/>
      <w:bookmarkEnd w:id="119"/>
      <w:bookmarkStart w:id="120" w:name="_Toc184314448"/>
      <w:bookmarkEnd w:id="120"/>
      <w:bookmarkStart w:id="121" w:name="_Toc184314436"/>
      <w:bookmarkEnd w:id="121"/>
      <w:bookmarkStart w:id="122" w:name="_Toc184314422"/>
      <w:bookmarkEnd w:id="122"/>
      <w:bookmarkStart w:id="123" w:name="_Toc184312080"/>
      <w:bookmarkEnd w:id="123"/>
      <w:bookmarkStart w:id="124" w:name="_Toc184308102"/>
      <w:bookmarkEnd w:id="124"/>
      <w:bookmarkStart w:id="125" w:name="_Toc184308048"/>
      <w:bookmarkEnd w:id="125"/>
      <w:bookmarkStart w:id="126" w:name="_Toc184308039"/>
      <w:bookmarkEnd w:id="126"/>
      <w:bookmarkStart w:id="127" w:name="_Toc184313289"/>
      <w:bookmarkEnd w:id="127"/>
      <w:bookmarkStart w:id="128" w:name="_Toc184314457"/>
      <w:bookmarkEnd w:id="128"/>
      <w:bookmarkStart w:id="129" w:name="_Toc184310302"/>
      <w:bookmarkEnd w:id="129"/>
      <w:bookmarkStart w:id="130" w:name="_Toc184314480"/>
      <w:bookmarkEnd w:id="130"/>
      <w:bookmarkStart w:id="131" w:name="_Toc184312083"/>
      <w:bookmarkEnd w:id="131"/>
      <w:bookmarkStart w:id="132" w:name="_Toc184314459"/>
      <w:bookmarkEnd w:id="132"/>
      <w:bookmarkStart w:id="133" w:name="_Toc184310288"/>
      <w:bookmarkEnd w:id="133"/>
      <w:bookmarkStart w:id="134" w:name="_Toc184308052"/>
      <w:bookmarkEnd w:id="134"/>
      <w:bookmarkStart w:id="135" w:name="_Toc184310309"/>
      <w:bookmarkEnd w:id="135"/>
      <w:bookmarkStart w:id="136" w:name="_Toc184308076"/>
      <w:bookmarkEnd w:id="136"/>
      <w:bookmarkStart w:id="137" w:name="_Toc184312089"/>
      <w:bookmarkEnd w:id="137"/>
      <w:bookmarkStart w:id="138" w:name="_Toc184310313"/>
      <w:bookmarkEnd w:id="138"/>
      <w:bookmarkStart w:id="139" w:name="_Toc184310321"/>
      <w:bookmarkEnd w:id="139"/>
      <w:bookmarkStart w:id="140" w:name="_Toc184310292"/>
      <w:bookmarkEnd w:id="140"/>
      <w:bookmarkStart w:id="141" w:name="_Toc184310303"/>
      <w:bookmarkEnd w:id="141"/>
      <w:bookmarkStart w:id="142" w:name="_Toc184308063"/>
      <w:bookmarkEnd w:id="142"/>
      <w:bookmarkStart w:id="143" w:name="_Toc184310283"/>
      <w:bookmarkEnd w:id="143"/>
      <w:bookmarkStart w:id="144" w:name="_Toc184314472"/>
      <w:bookmarkEnd w:id="144"/>
      <w:bookmarkStart w:id="145" w:name="_Toc184312116"/>
      <w:bookmarkEnd w:id="145"/>
      <w:bookmarkStart w:id="146" w:name="_Toc184308060"/>
      <w:bookmarkEnd w:id="146"/>
      <w:bookmarkStart w:id="147" w:name="_Toc184312114"/>
      <w:bookmarkEnd w:id="147"/>
      <w:bookmarkStart w:id="148" w:name="_Toc184310285"/>
      <w:bookmarkEnd w:id="148"/>
      <w:bookmarkStart w:id="149" w:name="_Toc184308089"/>
      <w:bookmarkEnd w:id="149"/>
      <w:bookmarkStart w:id="150" w:name="_Toc184314468"/>
      <w:bookmarkEnd w:id="150"/>
      <w:bookmarkStart w:id="151" w:name="_Toc184314452"/>
      <w:bookmarkEnd w:id="151"/>
      <w:bookmarkStart w:id="152" w:name="_Toc184314481"/>
      <w:bookmarkEnd w:id="152"/>
      <w:bookmarkStart w:id="153" w:name="_Toc184308057"/>
      <w:bookmarkEnd w:id="153"/>
      <w:bookmarkStart w:id="154" w:name="_Toc184312139"/>
      <w:bookmarkEnd w:id="154"/>
      <w:bookmarkStart w:id="155" w:name="_Toc184310315"/>
      <w:bookmarkEnd w:id="155"/>
      <w:bookmarkStart w:id="156" w:name="_Toc184308090"/>
      <w:bookmarkEnd w:id="156"/>
      <w:bookmarkStart w:id="157" w:name="_Toc184313272"/>
      <w:bookmarkEnd w:id="157"/>
      <w:bookmarkStart w:id="158" w:name="_Toc184312091"/>
      <w:bookmarkEnd w:id="158"/>
      <w:bookmarkStart w:id="159" w:name="_Toc184314438"/>
      <w:bookmarkEnd w:id="159"/>
      <w:bookmarkStart w:id="160" w:name="_Toc184312104"/>
      <w:bookmarkEnd w:id="160"/>
      <w:bookmarkStart w:id="161" w:name="_Toc184313291"/>
      <w:bookmarkEnd w:id="161"/>
      <w:bookmarkStart w:id="162" w:name="_Toc184313262"/>
      <w:bookmarkEnd w:id="162"/>
      <w:bookmarkStart w:id="163" w:name="_Toc184312070"/>
      <w:bookmarkEnd w:id="163"/>
      <w:bookmarkStart w:id="164" w:name="_Toc184313246"/>
      <w:bookmarkEnd w:id="164"/>
      <w:bookmarkStart w:id="165" w:name="_Toc184314446"/>
      <w:bookmarkEnd w:id="165"/>
      <w:bookmarkStart w:id="166" w:name="_Toc184310342"/>
      <w:bookmarkEnd w:id="166"/>
      <w:bookmarkStart w:id="167" w:name="_Toc184312079"/>
      <w:bookmarkEnd w:id="167"/>
      <w:bookmarkStart w:id="168" w:name="_Toc184313239"/>
      <w:bookmarkEnd w:id="168"/>
      <w:bookmarkStart w:id="169" w:name="_Toc184308044"/>
      <w:bookmarkEnd w:id="169"/>
      <w:bookmarkStart w:id="170" w:name="_Toc184310319"/>
      <w:bookmarkEnd w:id="170"/>
      <w:bookmarkStart w:id="171" w:name="_Toc184308101"/>
      <w:bookmarkEnd w:id="171"/>
      <w:bookmarkStart w:id="172" w:name="_Toc184308058"/>
      <w:bookmarkEnd w:id="172"/>
      <w:bookmarkStart w:id="173" w:name="_Toc184313241"/>
      <w:bookmarkEnd w:id="173"/>
      <w:bookmarkStart w:id="174" w:name="_Toc184308056"/>
      <w:bookmarkEnd w:id="174"/>
      <w:bookmarkStart w:id="175" w:name="_Toc184314432"/>
      <w:bookmarkEnd w:id="175"/>
      <w:bookmarkStart w:id="176" w:name="_Toc184313243"/>
      <w:bookmarkEnd w:id="176"/>
      <w:bookmarkStart w:id="177" w:name="_Toc184308088"/>
      <w:bookmarkEnd w:id="177"/>
      <w:bookmarkStart w:id="178" w:name="_Toc184314475"/>
      <w:bookmarkEnd w:id="178"/>
      <w:bookmarkStart w:id="179" w:name="_Toc184313277"/>
      <w:bookmarkEnd w:id="179"/>
      <w:bookmarkStart w:id="180" w:name="_Toc184313293"/>
      <w:bookmarkEnd w:id="180"/>
      <w:bookmarkStart w:id="181" w:name="_Toc184312115"/>
      <w:bookmarkEnd w:id="181"/>
      <w:bookmarkStart w:id="182" w:name="_Toc184312068"/>
      <w:bookmarkEnd w:id="182"/>
      <w:bookmarkStart w:id="183" w:name="_Toc184313274"/>
      <w:bookmarkEnd w:id="183"/>
      <w:bookmarkStart w:id="184" w:name="_Toc184314464"/>
      <w:bookmarkEnd w:id="184"/>
      <w:bookmarkStart w:id="185" w:name="_Toc184314411"/>
      <w:bookmarkEnd w:id="185"/>
      <w:bookmarkStart w:id="186" w:name="_Toc184313251"/>
      <w:bookmarkEnd w:id="186"/>
      <w:bookmarkStart w:id="187" w:name="_Toc184310294"/>
      <w:bookmarkEnd w:id="187"/>
      <w:bookmarkStart w:id="188" w:name="_Toc184310328"/>
      <w:bookmarkEnd w:id="188"/>
      <w:bookmarkStart w:id="189" w:name="_Toc184308096"/>
      <w:bookmarkEnd w:id="189"/>
      <w:bookmarkStart w:id="190" w:name="_Toc184312085"/>
      <w:bookmarkEnd w:id="190"/>
      <w:bookmarkStart w:id="191" w:name="_Toc184314425"/>
      <w:bookmarkEnd w:id="191"/>
      <w:bookmarkStart w:id="192" w:name="_Toc184308042"/>
      <w:bookmarkEnd w:id="192"/>
      <w:bookmarkStart w:id="193" w:name="_Toc184308045"/>
      <w:bookmarkEnd w:id="193"/>
      <w:bookmarkStart w:id="194" w:name="_Toc184314417"/>
      <w:bookmarkEnd w:id="194"/>
      <w:bookmarkStart w:id="195" w:name="_Toc184312129"/>
      <w:bookmarkEnd w:id="195"/>
      <w:bookmarkStart w:id="196" w:name="_Toc184308064"/>
      <w:bookmarkEnd w:id="196"/>
      <w:bookmarkStart w:id="197" w:name="_Toc184312097"/>
      <w:bookmarkEnd w:id="197"/>
      <w:bookmarkStart w:id="198" w:name="_Toc184310326"/>
      <w:bookmarkEnd w:id="198"/>
      <w:bookmarkStart w:id="199" w:name="_Toc184308084"/>
      <w:bookmarkEnd w:id="199"/>
      <w:bookmarkStart w:id="200" w:name="_Toc184314465"/>
      <w:bookmarkEnd w:id="200"/>
      <w:bookmarkStart w:id="201" w:name="_Toc184313245"/>
      <w:bookmarkEnd w:id="201"/>
      <w:bookmarkStart w:id="202" w:name="_Toc184312119"/>
      <w:bookmarkEnd w:id="202"/>
      <w:bookmarkStart w:id="203" w:name="_Toc184313254"/>
      <w:bookmarkEnd w:id="203"/>
      <w:bookmarkStart w:id="204" w:name="_Toc184310276"/>
      <w:bookmarkEnd w:id="204"/>
      <w:bookmarkStart w:id="205" w:name="_Toc184312094"/>
      <w:bookmarkEnd w:id="205"/>
      <w:bookmarkStart w:id="206" w:name="_Toc184312128"/>
      <w:bookmarkEnd w:id="206"/>
      <w:bookmarkStart w:id="207" w:name="_Toc184312108"/>
      <w:bookmarkEnd w:id="207"/>
      <w:bookmarkStart w:id="208" w:name="_Toc184308091"/>
      <w:bookmarkEnd w:id="208"/>
      <w:bookmarkStart w:id="209" w:name="_Toc184310325"/>
      <w:bookmarkEnd w:id="209"/>
      <w:bookmarkStart w:id="210" w:name="_Toc184314441"/>
      <w:bookmarkEnd w:id="210"/>
      <w:bookmarkStart w:id="211" w:name="_Toc184314412"/>
      <w:bookmarkEnd w:id="211"/>
      <w:bookmarkStart w:id="212" w:name="_Toc184308085"/>
      <w:bookmarkEnd w:id="212"/>
      <w:bookmarkStart w:id="213" w:name="_Toc184312077"/>
      <w:bookmarkEnd w:id="213"/>
      <w:bookmarkStart w:id="214" w:name="_Toc184313248"/>
      <w:bookmarkEnd w:id="214"/>
      <w:bookmarkStart w:id="215" w:name="_Toc184314443"/>
      <w:bookmarkEnd w:id="215"/>
      <w:bookmarkStart w:id="216" w:name="_Toc184310273"/>
      <w:bookmarkEnd w:id="216"/>
      <w:bookmarkStart w:id="217" w:name="_Toc184313276"/>
      <w:bookmarkEnd w:id="217"/>
      <w:bookmarkStart w:id="218" w:name="_Toc184308082"/>
      <w:bookmarkEnd w:id="218"/>
      <w:bookmarkStart w:id="219" w:name="_Toc184308097"/>
      <w:bookmarkEnd w:id="219"/>
      <w:bookmarkStart w:id="220" w:name="_Toc184314416"/>
      <w:bookmarkEnd w:id="220"/>
      <w:bookmarkStart w:id="221" w:name="_Toc184312120"/>
      <w:bookmarkEnd w:id="221"/>
      <w:bookmarkStart w:id="222" w:name="_Toc184310339"/>
      <w:bookmarkEnd w:id="222"/>
      <w:bookmarkStart w:id="223" w:name="_Toc184308081"/>
      <w:bookmarkEnd w:id="223"/>
      <w:bookmarkStart w:id="224" w:name="_Toc184313273"/>
      <w:bookmarkEnd w:id="224"/>
      <w:bookmarkStart w:id="225" w:name="_Toc184308038"/>
      <w:bookmarkEnd w:id="225"/>
      <w:bookmarkStart w:id="226" w:name="_Toc184314431"/>
      <w:bookmarkEnd w:id="226"/>
      <w:bookmarkStart w:id="227" w:name="_Toc184314469"/>
      <w:bookmarkEnd w:id="227"/>
      <w:bookmarkStart w:id="228" w:name="_Toc184312084"/>
      <w:bookmarkEnd w:id="228"/>
      <w:bookmarkStart w:id="229" w:name="_Toc184308046"/>
      <w:bookmarkEnd w:id="229"/>
      <w:bookmarkStart w:id="230" w:name="_Toc184313299"/>
      <w:bookmarkEnd w:id="230"/>
      <w:bookmarkStart w:id="231" w:name="_Toc184310323"/>
      <w:bookmarkEnd w:id="231"/>
      <w:bookmarkStart w:id="232" w:name="_Toc184310320"/>
      <w:bookmarkEnd w:id="232"/>
      <w:bookmarkStart w:id="233" w:name="_Toc184308099"/>
      <w:bookmarkEnd w:id="233"/>
      <w:bookmarkStart w:id="234" w:name="_Toc184308092"/>
      <w:bookmarkEnd w:id="234"/>
      <w:bookmarkStart w:id="235" w:name="_Toc184312095"/>
      <w:bookmarkEnd w:id="235"/>
      <w:bookmarkStart w:id="236" w:name="_Toc184314458"/>
      <w:bookmarkEnd w:id="236"/>
      <w:bookmarkStart w:id="237" w:name="_Toc184313295"/>
      <w:bookmarkEnd w:id="237"/>
      <w:bookmarkStart w:id="238" w:name="_Toc184314474"/>
      <w:bookmarkEnd w:id="238"/>
      <w:bookmarkStart w:id="239" w:name="_Toc184313308"/>
      <w:bookmarkEnd w:id="239"/>
      <w:bookmarkStart w:id="240" w:name="_Toc184310337"/>
      <w:bookmarkEnd w:id="240"/>
      <w:bookmarkStart w:id="241" w:name="_Toc184314477"/>
      <w:bookmarkEnd w:id="241"/>
      <w:bookmarkStart w:id="242" w:name="_Toc184308070"/>
      <w:bookmarkEnd w:id="242"/>
      <w:bookmarkStart w:id="243" w:name="_Toc184314463"/>
      <w:bookmarkEnd w:id="243"/>
      <w:bookmarkStart w:id="244" w:name="_Toc184313300"/>
      <w:bookmarkEnd w:id="244"/>
      <w:bookmarkStart w:id="245" w:name="_Toc184310277"/>
      <w:bookmarkEnd w:id="245"/>
      <w:bookmarkStart w:id="246" w:name="_Toc184314462"/>
      <w:bookmarkEnd w:id="246"/>
      <w:bookmarkStart w:id="247" w:name="_Toc184308037"/>
      <w:bookmarkEnd w:id="247"/>
      <w:bookmarkStart w:id="248" w:name="_Toc184314460"/>
      <w:bookmarkEnd w:id="248"/>
      <w:bookmarkStart w:id="249" w:name="_Toc184310327"/>
      <w:bookmarkEnd w:id="249"/>
      <w:bookmarkStart w:id="250" w:name="_Toc184310279"/>
      <w:bookmarkEnd w:id="250"/>
      <w:bookmarkStart w:id="251" w:name="_Toc184314479"/>
      <w:bookmarkEnd w:id="251"/>
      <w:bookmarkStart w:id="252" w:name="_Toc184312105"/>
      <w:bookmarkEnd w:id="252"/>
      <w:bookmarkStart w:id="253" w:name="_Toc184314440"/>
      <w:bookmarkEnd w:id="253"/>
      <w:bookmarkStart w:id="254" w:name="_Toc184312086"/>
      <w:bookmarkEnd w:id="254"/>
      <w:bookmarkStart w:id="255" w:name="_Toc184310322"/>
      <w:bookmarkEnd w:id="255"/>
      <w:bookmarkStart w:id="256" w:name="_Toc184314434"/>
      <w:bookmarkEnd w:id="256"/>
      <w:bookmarkStart w:id="257" w:name="_Toc184313298"/>
      <w:bookmarkEnd w:id="257"/>
      <w:bookmarkStart w:id="258" w:name="_Toc184314476"/>
      <w:bookmarkEnd w:id="258"/>
      <w:bookmarkStart w:id="259" w:name="_Toc184312134"/>
      <w:bookmarkEnd w:id="259"/>
      <w:bookmarkStart w:id="260" w:name="_Toc184312112"/>
      <w:bookmarkEnd w:id="260"/>
      <w:bookmarkStart w:id="261" w:name="_Toc184313242"/>
      <w:bookmarkEnd w:id="261"/>
      <w:bookmarkStart w:id="262" w:name="_Toc184308083"/>
      <w:bookmarkEnd w:id="262"/>
      <w:bookmarkStart w:id="263" w:name="_Toc184313294"/>
      <w:bookmarkEnd w:id="263"/>
      <w:bookmarkStart w:id="264" w:name="_Toc184313255"/>
      <w:bookmarkEnd w:id="264"/>
      <w:bookmarkStart w:id="265" w:name="_Toc184313257"/>
      <w:bookmarkEnd w:id="265"/>
      <w:bookmarkStart w:id="266" w:name="_Toc184310278"/>
      <w:bookmarkEnd w:id="266"/>
      <w:bookmarkStart w:id="267" w:name="_Toc184312098"/>
      <w:bookmarkEnd w:id="267"/>
      <w:bookmarkStart w:id="268" w:name="_Toc184310335"/>
      <w:bookmarkEnd w:id="268"/>
      <w:bookmarkStart w:id="269" w:name="_Toc184312123"/>
      <w:bookmarkEnd w:id="269"/>
      <w:bookmarkStart w:id="270" w:name="_Toc184308094"/>
      <w:bookmarkEnd w:id="270"/>
      <w:bookmarkStart w:id="271" w:name="_Toc184310338"/>
      <w:bookmarkEnd w:id="271"/>
      <w:bookmarkStart w:id="272" w:name="_Toc184312093"/>
      <w:bookmarkEnd w:id="272"/>
      <w:bookmarkStart w:id="273" w:name="_Toc184312092"/>
      <w:bookmarkEnd w:id="273"/>
      <w:bookmarkStart w:id="274" w:name="_Toc184314467"/>
      <w:bookmarkEnd w:id="274"/>
      <w:bookmarkStart w:id="275" w:name="_Toc184314430"/>
      <w:bookmarkEnd w:id="275"/>
      <w:bookmarkStart w:id="276" w:name="_Toc184310308"/>
      <w:bookmarkEnd w:id="276"/>
      <w:bookmarkStart w:id="277" w:name="_Toc184308059"/>
      <w:bookmarkEnd w:id="277"/>
      <w:bookmarkStart w:id="278" w:name="_Toc184314471"/>
      <w:bookmarkEnd w:id="278"/>
      <w:bookmarkStart w:id="279" w:name="_Toc184313259"/>
      <w:bookmarkEnd w:id="279"/>
      <w:bookmarkStart w:id="280" w:name="_Toc184312082"/>
      <w:bookmarkEnd w:id="280"/>
      <w:bookmarkStart w:id="281" w:name="_Toc184314420"/>
      <w:bookmarkEnd w:id="281"/>
      <w:bookmarkStart w:id="282" w:name="_Toc184313253"/>
      <w:bookmarkEnd w:id="282"/>
      <w:bookmarkStart w:id="283" w:name="_Toc184308040"/>
      <w:bookmarkEnd w:id="283"/>
      <w:bookmarkStart w:id="284" w:name="_Toc184310305"/>
      <w:bookmarkEnd w:id="284"/>
      <w:bookmarkStart w:id="285" w:name="_Toc184313270"/>
      <w:bookmarkEnd w:id="285"/>
      <w:bookmarkStart w:id="286" w:name="_Toc184310317"/>
      <w:bookmarkEnd w:id="286"/>
      <w:bookmarkStart w:id="287" w:name="_Toc184312069"/>
      <w:bookmarkEnd w:id="287"/>
      <w:bookmarkStart w:id="288" w:name="_Toc184310341"/>
      <w:bookmarkEnd w:id="288"/>
      <w:bookmarkStart w:id="289" w:name="_Toc184310334"/>
      <w:bookmarkEnd w:id="289"/>
      <w:bookmarkStart w:id="290" w:name="_Toc184310336"/>
      <w:bookmarkEnd w:id="290"/>
      <w:bookmarkStart w:id="291" w:name="_Toc184312135"/>
      <w:bookmarkEnd w:id="291"/>
      <w:bookmarkStart w:id="292" w:name="_Toc184314455"/>
      <w:bookmarkEnd w:id="292"/>
      <w:bookmarkStart w:id="293" w:name="_Toc184312076"/>
      <w:bookmarkEnd w:id="293"/>
      <w:bookmarkStart w:id="294" w:name="_Toc184313280"/>
      <w:bookmarkEnd w:id="294"/>
      <w:bookmarkStart w:id="295" w:name="_Toc184310324"/>
      <w:bookmarkEnd w:id="295"/>
      <w:bookmarkStart w:id="296" w:name="_Toc184310310"/>
      <w:bookmarkEnd w:id="296"/>
      <w:bookmarkStart w:id="297" w:name="_Toc184313301"/>
      <w:bookmarkEnd w:id="297"/>
      <w:bookmarkStart w:id="298" w:name="_Toc184313249"/>
      <w:bookmarkEnd w:id="298"/>
      <w:bookmarkStart w:id="299" w:name="_Toc184310300"/>
      <w:bookmarkEnd w:id="299"/>
      <w:bookmarkStart w:id="300" w:name="_Toc184312100"/>
      <w:bookmarkEnd w:id="300"/>
      <w:bookmarkStart w:id="301" w:name="_Toc184314470"/>
      <w:bookmarkEnd w:id="301"/>
      <w:bookmarkStart w:id="302" w:name="_Toc184308074"/>
      <w:bookmarkEnd w:id="302"/>
      <w:bookmarkStart w:id="303" w:name="_Toc184312096"/>
      <w:bookmarkEnd w:id="303"/>
      <w:bookmarkStart w:id="304" w:name="_Toc184312132"/>
      <w:bookmarkEnd w:id="304"/>
      <w:bookmarkStart w:id="305" w:name="_Toc184310343"/>
      <w:bookmarkEnd w:id="305"/>
      <w:bookmarkStart w:id="306" w:name="_Toc184310304"/>
      <w:bookmarkEnd w:id="306"/>
      <w:bookmarkStart w:id="307" w:name="_Toc184312111"/>
      <w:bookmarkEnd w:id="307"/>
      <w:bookmarkStart w:id="308" w:name="_Toc184312133"/>
      <w:bookmarkEnd w:id="308"/>
      <w:bookmarkStart w:id="309" w:name="_Toc184314423"/>
      <w:bookmarkEnd w:id="309"/>
      <w:bookmarkStart w:id="310" w:name="_Toc184308061"/>
      <w:bookmarkEnd w:id="310"/>
      <w:bookmarkStart w:id="311" w:name="_Toc184308108"/>
      <w:bookmarkEnd w:id="311"/>
      <w:bookmarkStart w:id="312" w:name="_Toc184312088"/>
      <w:bookmarkEnd w:id="312"/>
      <w:bookmarkStart w:id="313" w:name="_Toc184314453"/>
      <w:bookmarkEnd w:id="313"/>
      <w:bookmarkStart w:id="314" w:name="_Toc184308075"/>
      <w:bookmarkEnd w:id="314"/>
      <w:bookmarkStart w:id="315" w:name="_Toc184314461"/>
      <w:bookmarkEnd w:id="315"/>
      <w:bookmarkStart w:id="316" w:name="_Toc184313269"/>
      <w:bookmarkEnd w:id="316"/>
      <w:bookmarkStart w:id="317" w:name="_Toc184312074"/>
      <w:bookmarkEnd w:id="317"/>
      <w:bookmarkStart w:id="318" w:name="_Toc184314424"/>
      <w:bookmarkEnd w:id="318"/>
      <w:bookmarkStart w:id="319" w:name="_Toc184310298"/>
      <w:bookmarkEnd w:id="319"/>
      <w:bookmarkStart w:id="320" w:name="_Toc184313267"/>
      <w:bookmarkEnd w:id="320"/>
      <w:bookmarkStart w:id="321" w:name="_Toc184312102"/>
      <w:bookmarkEnd w:id="321"/>
      <w:bookmarkStart w:id="322" w:name="_Toc184313285"/>
      <w:bookmarkEnd w:id="322"/>
      <w:bookmarkStart w:id="323" w:name="_Toc184310290"/>
      <w:bookmarkEnd w:id="323"/>
      <w:bookmarkStart w:id="324" w:name="_Toc184312131"/>
      <w:bookmarkEnd w:id="324"/>
      <w:bookmarkStart w:id="325" w:name="_Toc184313309"/>
      <w:bookmarkEnd w:id="325"/>
      <w:bookmarkStart w:id="326" w:name="_Toc184312103"/>
      <w:bookmarkEnd w:id="326"/>
      <w:bookmarkStart w:id="327" w:name="_Toc184313305"/>
      <w:bookmarkEnd w:id="327"/>
      <w:bookmarkStart w:id="328" w:name="_Toc184312118"/>
      <w:bookmarkEnd w:id="328"/>
      <w:bookmarkStart w:id="329" w:name="_Toc184314421"/>
      <w:bookmarkEnd w:id="329"/>
      <w:bookmarkStart w:id="330" w:name="_Toc184313250"/>
      <w:bookmarkEnd w:id="330"/>
      <w:bookmarkStart w:id="331" w:name="_Toc184308078"/>
      <w:bookmarkEnd w:id="331"/>
      <w:bookmarkStart w:id="332" w:name="_Toc184310333"/>
      <w:bookmarkEnd w:id="332"/>
      <w:bookmarkStart w:id="333" w:name="_Toc184312109"/>
      <w:bookmarkEnd w:id="333"/>
      <w:bookmarkStart w:id="334" w:name="_Toc184308062"/>
      <w:bookmarkEnd w:id="334"/>
      <w:bookmarkStart w:id="335" w:name="_Toc184308068"/>
      <w:bookmarkEnd w:id="335"/>
      <w:bookmarkStart w:id="336" w:name="_Toc184312138"/>
      <w:bookmarkEnd w:id="336"/>
      <w:bookmarkStart w:id="337" w:name="_Toc184313275"/>
      <w:bookmarkEnd w:id="337"/>
      <w:bookmarkStart w:id="338" w:name="_Toc184308051"/>
      <w:bookmarkEnd w:id="338"/>
      <w:bookmarkStart w:id="339" w:name="_Toc184312117"/>
      <w:bookmarkEnd w:id="339"/>
      <w:bookmarkStart w:id="340" w:name="_Toc184312090"/>
      <w:bookmarkEnd w:id="340"/>
      <w:bookmarkStart w:id="341" w:name="_Toc184313310"/>
      <w:bookmarkEnd w:id="341"/>
      <w:bookmarkStart w:id="342" w:name="_Toc184314444"/>
      <w:bookmarkEnd w:id="342"/>
      <w:bookmarkStart w:id="343" w:name="_Toc184308077"/>
      <w:bookmarkEnd w:id="343"/>
      <w:bookmarkStart w:id="344" w:name="_Toc184310307"/>
      <w:bookmarkEnd w:id="344"/>
      <w:bookmarkStart w:id="345" w:name="_Toc184308065"/>
      <w:bookmarkEnd w:id="345"/>
      <w:bookmarkStart w:id="346" w:name="_Toc184314414"/>
      <w:bookmarkEnd w:id="346"/>
      <w:bookmarkStart w:id="347" w:name="_Toc184312106"/>
      <w:bookmarkEnd w:id="347"/>
      <w:bookmarkStart w:id="348" w:name="_Toc184308054"/>
      <w:bookmarkEnd w:id="348"/>
      <w:bookmarkStart w:id="349" w:name="_Toc184314435"/>
      <w:bookmarkEnd w:id="349"/>
      <w:bookmarkStart w:id="350" w:name="_Toc184313290"/>
      <w:bookmarkEnd w:id="350"/>
      <w:bookmarkStart w:id="351" w:name="_Toc184313261"/>
      <w:bookmarkEnd w:id="351"/>
      <w:bookmarkStart w:id="352" w:name="_Toc184308071"/>
      <w:bookmarkEnd w:id="352"/>
      <w:bookmarkStart w:id="353" w:name="_Toc184310295"/>
      <w:bookmarkEnd w:id="353"/>
      <w:bookmarkStart w:id="354" w:name="_Toc184308047"/>
      <w:bookmarkEnd w:id="354"/>
      <w:bookmarkStart w:id="355" w:name="_Toc184313303"/>
      <w:bookmarkEnd w:id="355"/>
      <w:bookmarkStart w:id="356" w:name="_Toc184314413"/>
      <w:bookmarkEnd w:id="356"/>
      <w:bookmarkStart w:id="357" w:name="_Toc184314473"/>
      <w:bookmarkEnd w:id="357"/>
      <w:bookmarkStart w:id="358" w:name="_Toc184312072"/>
      <w:bookmarkEnd w:id="358"/>
      <w:bookmarkStart w:id="359" w:name="_Toc184313240"/>
      <w:bookmarkEnd w:id="359"/>
      <w:bookmarkStart w:id="360" w:name="_Toc184310293"/>
      <w:bookmarkEnd w:id="360"/>
      <w:bookmarkStart w:id="361" w:name="_Toc184313302"/>
      <w:bookmarkEnd w:id="361"/>
      <w:bookmarkStart w:id="362" w:name="_Toc184314456"/>
      <w:bookmarkEnd w:id="362"/>
      <w:bookmarkStart w:id="363" w:name="_Toc184313307"/>
      <w:bookmarkEnd w:id="363"/>
      <w:bookmarkStart w:id="364" w:name="_Toc184313258"/>
      <w:bookmarkEnd w:id="364"/>
      <w:bookmarkStart w:id="365" w:name="_Toc184310281"/>
      <w:bookmarkEnd w:id="365"/>
      <w:bookmarkStart w:id="366" w:name="_Toc184310340"/>
      <w:bookmarkEnd w:id="366"/>
      <w:bookmarkStart w:id="367" w:name="_Toc184308072"/>
      <w:bookmarkEnd w:id="367"/>
      <w:bookmarkStart w:id="368" w:name="_Toc184313288"/>
      <w:bookmarkEnd w:id="368"/>
      <w:bookmarkStart w:id="369" w:name="_Toc184312125"/>
      <w:bookmarkEnd w:id="369"/>
      <w:bookmarkStart w:id="370" w:name="_Toc184310330"/>
      <w:bookmarkEnd w:id="370"/>
      <w:bookmarkStart w:id="371" w:name="_Toc184310287"/>
      <w:bookmarkEnd w:id="371"/>
      <w:bookmarkStart w:id="372" w:name="_Toc184310289"/>
      <w:bookmarkEnd w:id="372"/>
      <w:bookmarkStart w:id="373" w:name="_Toc184314439"/>
      <w:bookmarkEnd w:id="373"/>
      <w:bookmarkStart w:id="374" w:name="_Toc184313268"/>
      <w:bookmarkEnd w:id="374"/>
      <w:bookmarkStart w:id="375" w:name="_Toc184314419"/>
      <w:bookmarkEnd w:id="375"/>
      <w:bookmarkStart w:id="376" w:name="_Toc184310344"/>
      <w:bookmarkEnd w:id="376"/>
      <w:bookmarkStart w:id="377" w:name="_Toc184313286"/>
      <w:bookmarkEnd w:id="377"/>
      <w:bookmarkStart w:id="378" w:name="_Toc184308036"/>
      <w:bookmarkEnd w:id="378"/>
      <w:bookmarkStart w:id="379" w:name="_Toc184308041"/>
      <w:bookmarkEnd w:id="379"/>
      <w:bookmarkStart w:id="380" w:name="_Toc184308073"/>
      <w:bookmarkEnd w:id="380"/>
      <w:bookmarkStart w:id="381" w:name="_Toc184314445"/>
      <w:bookmarkEnd w:id="381"/>
      <w:bookmarkStart w:id="382" w:name="_Toc184312073"/>
      <w:bookmarkEnd w:id="382"/>
      <w:bookmarkStart w:id="383" w:name="_Toc184310280"/>
      <w:bookmarkEnd w:id="383"/>
      <w:bookmarkStart w:id="384" w:name="_Toc184313265"/>
      <w:bookmarkEnd w:id="384"/>
      <w:bookmarkStart w:id="385" w:name="_Toc184308080"/>
      <w:bookmarkEnd w:id="385"/>
      <w:bookmarkStart w:id="386" w:name="_Toc184314427"/>
      <w:bookmarkEnd w:id="386"/>
      <w:bookmarkStart w:id="387" w:name="_Toc184308049"/>
      <w:bookmarkEnd w:id="387"/>
      <w:bookmarkStart w:id="388" w:name="_Toc184314442"/>
      <w:bookmarkEnd w:id="388"/>
      <w:bookmarkStart w:id="389" w:name="_Toc184313304"/>
      <w:bookmarkEnd w:id="389"/>
      <w:bookmarkStart w:id="390" w:name="_Toc184312107"/>
      <w:bookmarkEnd w:id="390"/>
      <w:bookmarkStart w:id="391" w:name="_Toc184312110"/>
      <w:bookmarkEnd w:id="391"/>
      <w:bookmarkStart w:id="392" w:name="_Toc184308087"/>
      <w:bookmarkEnd w:id="392"/>
      <w:bookmarkStart w:id="393" w:name="_Toc184312081"/>
      <w:bookmarkEnd w:id="393"/>
      <w:bookmarkStart w:id="394" w:name="_Toc184308055"/>
      <w:bookmarkEnd w:id="394"/>
      <w:bookmarkStart w:id="395" w:name="_Toc184314426"/>
      <w:bookmarkEnd w:id="395"/>
      <w:bookmarkStart w:id="396" w:name="_Toc184314418"/>
      <w:bookmarkEnd w:id="396"/>
      <w:bookmarkStart w:id="397" w:name="_Toc184314450"/>
      <w:bookmarkEnd w:id="397"/>
      <w:bookmarkStart w:id="398" w:name="_Toc184310311"/>
      <w:bookmarkEnd w:id="398"/>
      <w:bookmarkStart w:id="399" w:name="_Toc184312130"/>
      <w:bookmarkEnd w:id="399"/>
      <w:bookmarkStart w:id="400" w:name="_Toc184314482"/>
      <w:bookmarkEnd w:id="400"/>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727"/>
        <w:gridCol w:w="6365"/>
        <w:gridCol w:w="707"/>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dxa"/>
            <w:gridSpan w:val="2"/>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评审内容及分值</w:t>
            </w:r>
          </w:p>
        </w:tc>
        <w:tc>
          <w:tcPr>
            <w:tcW w:w="6365" w:type="dxa"/>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细则</w:t>
            </w:r>
          </w:p>
        </w:tc>
        <w:tc>
          <w:tcPr>
            <w:tcW w:w="707" w:type="dxa"/>
            <w:vAlign w:val="center"/>
          </w:tcPr>
          <w:p>
            <w:pPr>
              <w:snapToGrid w:val="0"/>
              <w:jc w:val="center"/>
              <w:rPr>
                <w:rFonts w:ascii="宋体" w:hAnsi="宋体" w:cs="宋体"/>
                <w:b/>
                <w:color w:val="auto"/>
                <w:szCs w:val="21"/>
                <w:highlight w:val="none"/>
              </w:rPr>
            </w:pPr>
            <w:r>
              <w:rPr>
                <w:rFonts w:hint="eastAsia" w:ascii="宋体" w:hAnsi="宋体" w:cs="宋体"/>
                <w:b/>
                <w:color w:val="auto"/>
                <w:szCs w:val="21"/>
                <w:highlight w:val="none"/>
              </w:rPr>
              <w:t>分数</w:t>
            </w:r>
          </w:p>
        </w:tc>
        <w:tc>
          <w:tcPr>
            <w:tcW w:w="948" w:type="dxa"/>
            <w:vAlign w:val="center"/>
          </w:tcPr>
          <w:p>
            <w:pPr>
              <w:snapToGrid w:val="0"/>
              <w:jc w:val="left"/>
              <w:rPr>
                <w:rFonts w:ascii="宋体" w:hAnsi="宋体" w:cs="宋体"/>
                <w:b/>
                <w:color w:val="auto"/>
                <w:szCs w:val="21"/>
                <w:highlight w:val="none"/>
              </w:rPr>
            </w:pPr>
            <w:r>
              <w:rPr>
                <w:rFonts w:hint="eastAsia" w:ascii="宋体" w:hAnsi="宋体" w:cs="宋体"/>
                <w:b/>
                <w:color w:val="auto"/>
                <w:szCs w:val="21"/>
                <w:highlight w:val="none"/>
              </w:rPr>
              <w:t>投标文件中评标标准相应的商务技术资料目录</w:t>
            </w:r>
            <w:r>
              <w:rPr>
                <w:rFonts w:hint="eastAsia" w:ascii="宋体" w:hAnsi="宋体" w:cs="宋体"/>
                <w:b/>
                <w:color w:val="auto"/>
                <w:szCs w:val="21"/>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dxa"/>
            <w:gridSpan w:val="2"/>
            <w:vAlign w:val="center"/>
          </w:tcPr>
          <w:p>
            <w:pPr>
              <w:snapToGrid w:val="0"/>
              <w:jc w:val="center"/>
              <w:rPr>
                <w:rFonts w:ascii="宋体" w:hAnsi="宋体" w:cs="宋体"/>
                <w:bCs/>
                <w:color w:val="auto"/>
                <w:szCs w:val="21"/>
                <w:highlight w:val="none"/>
              </w:rPr>
            </w:pPr>
            <w:r>
              <w:rPr>
                <w:rFonts w:hint="eastAsia" w:ascii="宋体" w:hAnsi="宋体" w:cs="宋体"/>
                <w:b/>
                <w:bCs/>
                <w:color w:val="auto"/>
                <w:szCs w:val="21"/>
                <w:highlight w:val="none"/>
              </w:rPr>
              <w:t>1、投标报价</w:t>
            </w:r>
          </w:p>
        </w:tc>
        <w:tc>
          <w:tcPr>
            <w:tcW w:w="6365" w:type="dxa"/>
          </w:tcPr>
          <w:p>
            <w:pPr>
              <w:snapToGrid w:val="0"/>
              <w:rPr>
                <w:rFonts w:ascii="宋体" w:hAnsi="宋体" w:cs="宋体"/>
                <w:bCs/>
                <w:color w:val="auto"/>
                <w:szCs w:val="21"/>
                <w:highlight w:val="none"/>
              </w:rPr>
            </w:pPr>
            <w:r>
              <w:rPr>
                <w:rFonts w:hint="eastAsia" w:ascii="宋体" w:hAnsi="宋体" w:cs="宋体"/>
                <w:bCs/>
                <w:color w:val="auto"/>
                <w:szCs w:val="21"/>
                <w:highlight w:val="none"/>
              </w:rPr>
              <w:t>有效投标报价的最低价作为评标基准价，其最低报价为满分；按［投标报价得分=（评标基准价/投标报价）*30］的计算公式计算。</w:t>
            </w:r>
          </w:p>
          <w:p>
            <w:pPr>
              <w:snapToGrid w:val="0"/>
              <w:rPr>
                <w:rFonts w:ascii="宋体" w:hAnsi="宋体" w:cs="宋体"/>
                <w:bCs/>
                <w:color w:val="auto"/>
                <w:szCs w:val="21"/>
                <w:highlight w:val="none"/>
              </w:rPr>
            </w:pPr>
            <w:r>
              <w:rPr>
                <w:rFonts w:hint="eastAsia" w:ascii="宋体" w:hAnsi="宋体" w:cs="宋体"/>
                <w:bCs/>
                <w:color w:val="auto"/>
                <w:szCs w:val="21"/>
                <w:highlight w:val="none"/>
              </w:rPr>
              <w:t>评标过程中，不得去掉报价中的最高报价和最低报价。</w:t>
            </w:r>
          </w:p>
          <w:p>
            <w:pPr>
              <w:snapToGrid w:val="0"/>
              <w:rPr>
                <w:rFonts w:ascii="宋体" w:hAnsi="宋体" w:cs="宋体"/>
                <w:bCs/>
                <w:color w:val="auto"/>
                <w:szCs w:val="21"/>
                <w:highlight w:val="none"/>
              </w:rPr>
            </w:pPr>
            <w:r>
              <w:rPr>
                <w:rFonts w:hint="eastAsia" w:ascii="宋体" w:hAnsi="宋体" w:cs="宋体"/>
                <w:bCs/>
                <w:color w:val="auto"/>
                <w:szCs w:val="21"/>
                <w:highlight w:val="none"/>
              </w:rPr>
              <w:t>因落实政府采购政策需要进行价格调整的，以调整后的价格计算评标基准价和投标报价。</w:t>
            </w:r>
          </w:p>
        </w:tc>
        <w:tc>
          <w:tcPr>
            <w:tcW w:w="707" w:type="dxa"/>
            <w:vAlign w:val="center"/>
          </w:tcPr>
          <w:p>
            <w:pPr>
              <w:snapToGrid w:val="0"/>
              <w:jc w:val="center"/>
              <w:rPr>
                <w:rFonts w:ascii="宋体" w:hAnsi="宋体" w:cs="宋体"/>
                <w:bCs/>
                <w:color w:val="auto"/>
                <w:szCs w:val="21"/>
                <w:highlight w:val="none"/>
              </w:rPr>
            </w:pPr>
            <w:r>
              <w:rPr>
                <w:rFonts w:hint="eastAsia" w:ascii="宋体" w:hAnsi="宋体" w:cs="宋体"/>
                <w:bCs/>
                <w:color w:val="auto"/>
                <w:szCs w:val="21"/>
                <w:highlight w:val="none"/>
              </w:rPr>
              <w:t>30</w:t>
            </w:r>
          </w:p>
        </w:tc>
        <w:tc>
          <w:tcPr>
            <w:tcW w:w="948" w:type="dxa"/>
            <w:vAlign w:val="center"/>
          </w:tcPr>
          <w:p>
            <w:pPr>
              <w:snapToGrid w:val="0"/>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restart"/>
            <w:vAlign w:val="center"/>
          </w:tcPr>
          <w:p>
            <w:pPr>
              <w:snapToGrid w:val="0"/>
              <w:jc w:val="center"/>
              <w:rPr>
                <w:rFonts w:ascii="宋体" w:hAnsi="宋体" w:cs="宋体"/>
                <w:b/>
                <w:bCs/>
                <w:color w:val="auto"/>
                <w:szCs w:val="21"/>
                <w:highlight w:val="none"/>
              </w:rPr>
            </w:pPr>
            <w:r>
              <w:rPr>
                <w:rFonts w:hint="eastAsia" w:ascii="宋体" w:hAnsi="宋体" w:cs="宋体"/>
                <w:b/>
                <w:bCs/>
                <w:color w:val="auto"/>
                <w:szCs w:val="21"/>
                <w:highlight w:val="none"/>
              </w:rPr>
              <w:t>2、技术部分</w:t>
            </w: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飞机综合评定</w:t>
            </w:r>
          </w:p>
        </w:tc>
        <w:tc>
          <w:tcPr>
            <w:tcW w:w="6365" w:type="dxa"/>
            <w:vAlign w:val="center"/>
          </w:tcPr>
          <w:p>
            <w:pPr>
              <w:snapToGrid w:val="0"/>
              <w:rPr>
                <w:rFonts w:ascii="宋体" w:hAnsi="宋体" w:cs="宋体"/>
                <w:bCs/>
                <w:color w:val="auto"/>
                <w:szCs w:val="21"/>
                <w:highlight w:val="none"/>
              </w:rPr>
            </w:pPr>
            <w:r>
              <w:rPr>
                <w:rFonts w:hint="eastAsia" w:ascii="宋体" w:hAnsi="宋体" w:cs="宋体"/>
                <w:bCs/>
                <w:color w:val="auto"/>
                <w:szCs w:val="21"/>
                <w:highlight w:val="none"/>
              </w:rPr>
              <w:t>评标委员会根据招标文件要求，通过对机型综合情况进行评定：</w:t>
            </w:r>
          </w:p>
          <w:p>
            <w:pPr>
              <w:snapToGrid w:val="0"/>
              <w:rPr>
                <w:rFonts w:ascii="宋体" w:hAnsi="宋体" w:cs="宋体"/>
                <w:bCs/>
                <w:color w:val="auto"/>
                <w:szCs w:val="21"/>
                <w:highlight w:val="none"/>
              </w:rPr>
            </w:pPr>
            <w:r>
              <w:rPr>
                <w:rFonts w:hint="eastAsia" w:ascii="宋体" w:hAnsi="宋体" w:cs="宋体"/>
                <w:bCs/>
                <w:color w:val="auto"/>
                <w:szCs w:val="21"/>
                <w:highlight w:val="none"/>
              </w:rPr>
              <w:t>（1）飞机机龄，共8分：</w:t>
            </w:r>
          </w:p>
          <w:p>
            <w:pPr>
              <w:snapToGrid w:val="0"/>
              <w:rPr>
                <w:rFonts w:ascii="宋体" w:hAnsi="宋体" w:cs="宋体"/>
                <w:bCs/>
                <w:color w:val="auto"/>
                <w:szCs w:val="21"/>
                <w:highlight w:val="none"/>
              </w:rPr>
            </w:pPr>
            <w:r>
              <w:rPr>
                <w:rFonts w:hint="eastAsia" w:ascii="宋体" w:hAnsi="宋体" w:cs="宋体"/>
                <w:bCs/>
                <w:color w:val="auto"/>
                <w:szCs w:val="21"/>
                <w:highlight w:val="none"/>
              </w:rPr>
              <w:t>①飞机机龄≤</w:t>
            </w:r>
            <w:r>
              <w:rPr>
                <w:rFonts w:ascii="宋体" w:hAnsi="宋体" w:cs="宋体"/>
                <w:bCs/>
                <w:color w:val="auto"/>
                <w:szCs w:val="21"/>
                <w:highlight w:val="none"/>
              </w:rPr>
              <w:t>24</w:t>
            </w:r>
            <w:r>
              <w:rPr>
                <w:rFonts w:hint="eastAsia" w:ascii="宋体" w:hAnsi="宋体" w:cs="宋体"/>
                <w:bCs/>
                <w:color w:val="auto"/>
                <w:szCs w:val="21"/>
                <w:highlight w:val="none"/>
              </w:rPr>
              <w:t>年：得8分；</w:t>
            </w:r>
          </w:p>
          <w:p>
            <w:pPr>
              <w:snapToGrid w:val="0"/>
              <w:rPr>
                <w:rFonts w:ascii="宋体" w:hAnsi="宋体" w:cs="宋体"/>
                <w:bCs/>
                <w:color w:val="auto"/>
                <w:szCs w:val="21"/>
                <w:highlight w:val="none"/>
              </w:rPr>
            </w:pPr>
            <w:r>
              <w:rPr>
                <w:rFonts w:hint="eastAsia" w:ascii="宋体" w:hAnsi="宋体" w:cs="宋体"/>
                <w:bCs/>
                <w:color w:val="auto"/>
                <w:szCs w:val="21"/>
                <w:highlight w:val="none"/>
              </w:rPr>
              <w:t>②2</w:t>
            </w:r>
            <w:r>
              <w:rPr>
                <w:rFonts w:ascii="宋体" w:hAnsi="宋体" w:cs="宋体"/>
                <w:bCs/>
                <w:color w:val="auto"/>
                <w:szCs w:val="21"/>
                <w:highlight w:val="none"/>
              </w:rPr>
              <w:t>4</w:t>
            </w:r>
            <w:r>
              <w:rPr>
                <w:rFonts w:hint="eastAsia" w:ascii="宋体" w:hAnsi="宋体" w:cs="宋体"/>
                <w:bCs/>
                <w:color w:val="auto"/>
                <w:szCs w:val="21"/>
                <w:highlight w:val="none"/>
              </w:rPr>
              <w:t>年＜飞机机龄≤</w:t>
            </w:r>
            <w:r>
              <w:rPr>
                <w:rFonts w:ascii="宋体" w:hAnsi="宋体" w:cs="宋体"/>
                <w:bCs/>
                <w:color w:val="auto"/>
                <w:szCs w:val="21"/>
                <w:highlight w:val="none"/>
              </w:rPr>
              <w:t>42</w:t>
            </w:r>
            <w:r>
              <w:rPr>
                <w:rFonts w:hint="eastAsia" w:ascii="宋体" w:hAnsi="宋体" w:cs="宋体"/>
                <w:bCs/>
                <w:color w:val="auto"/>
                <w:szCs w:val="21"/>
                <w:highlight w:val="none"/>
              </w:rPr>
              <w:t>年的，在8分基础上，按照每超出满1年折合</w:t>
            </w:r>
            <w:r>
              <w:rPr>
                <w:rFonts w:ascii="宋体" w:hAnsi="宋体" w:cs="宋体"/>
                <w:bCs/>
                <w:color w:val="auto"/>
                <w:szCs w:val="21"/>
                <w:highlight w:val="none"/>
              </w:rPr>
              <w:t>0.4</w:t>
            </w:r>
            <w:r>
              <w:rPr>
                <w:rFonts w:hint="eastAsia" w:ascii="宋体" w:hAnsi="宋体" w:cs="宋体"/>
                <w:bCs/>
                <w:color w:val="auto"/>
                <w:szCs w:val="21"/>
                <w:highlight w:val="none"/>
              </w:rPr>
              <w:t>分进行等比例扣除；</w:t>
            </w:r>
          </w:p>
          <w:p>
            <w:pPr>
              <w:pStyle w:val="2"/>
              <w:rPr>
                <w:color w:val="auto"/>
                <w:highlight w:val="none"/>
              </w:rPr>
            </w:pPr>
            <w:r>
              <w:rPr>
                <w:rFonts w:hint="eastAsia"/>
                <w:color w:val="auto"/>
                <w:highlight w:val="none"/>
              </w:rPr>
              <w:t>③飞机机龄＞4</w:t>
            </w:r>
            <w:r>
              <w:rPr>
                <w:color w:val="auto"/>
                <w:highlight w:val="none"/>
              </w:rPr>
              <w:t>2</w:t>
            </w:r>
            <w:r>
              <w:rPr>
                <w:rFonts w:hint="eastAsia"/>
                <w:color w:val="auto"/>
                <w:highlight w:val="none"/>
              </w:rPr>
              <w:t>年，得0</w:t>
            </w:r>
            <w:r>
              <w:rPr>
                <w:color w:val="auto"/>
                <w:highlight w:val="none"/>
              </w:rPr>
              <w:t>.8</w:t>
            </w:r>
            <w:r>
              <w:rPr>
                <w:rFonts w:hint="eastAsia"/>
                <w:color w:val="auto"/>
                <w:highlight w:val="none"/>
              </w:rPr>
              <w:t>分。</w:t>
            </w:r>
          </w:p>
          <w:p>
            <w:pPr>
              <w:snapToGrid w:val="0"/>
              <w:rPr>
                <w:rFonts w:hint="eastAsia" w:ascii="宋体" w:hAnsi="宋体" w:cs="宋体"/>
                <w:bCs/>
                <w:color w:val="auto"/>
                <w:szCs w:val="21"/>
                <w:highlight w:val="none"/>
              </w:rPr>
            </w:pPr>
          </w:p>
          <w:p>
            <w:pPr>
              <w:snapToGrid w:val="0"/>
              <w:rPr>
                <w:rFonts w:ascii="宋体" w:hAnsi="宋体" w:cs="宋体"/>
                <w:bCs/>
                <w:color w:val="auto"/>
                <w:szCs w:val="21"/>
                <w:highlight w:val="none"/>
              </w:rPr>
            </w:pPr>
            <w:r>
              <w:rPr>
                <w:rFonts w:hint="eastAsia" w:ascii="宋体" w:hAnsi="宋体" w:cs="宋体"/>
                <w:bCs/>
                <w:color w:val="auto"/>
                <w:szCs w:val="21"/>
                <w:highlight w:val="none"/>
              </w:rPr>
              <w:t>（2）飞机飞行循环数，共3分：</w:t>
            </w:r>
          </w:p>
          <w:p>
            <w:pPr>
              <w:snapToGrid w:val="0"/>
              <w:rPr>
                <w:rFonts w:ascii="宋体" w:hAnsi="宋体" w:cs="宋体"/>
                <w:bCs/>
                <w:color w:val="auto"/>
                <w:szCs w:val="21"/>
                <w:highlight w:val="none"/>
              </w:rPr>
            </w:pPr>
            <w:r>
              <w:rPr>
                <w:rFonts w:hint="eastAsia" w:ascii="宋体" w:hAnsi="宋体" w:cs="宋体"/>
                <w:bCs/>
                <w:color w:val="auto"/>
                <w:szCs w:val="21"/>
                <w:highlight w:val="none"/>
              </w:rPr>
              <w:t>①飞行循环≤36000循环的，得3分；</w:t>
            </w:r>
          </w:p>
          <w:p>
            <w:pPr>
              <w:snapToGrid w:val="0"/>
              <w:rPr>
                <w:rFonts w:ascii="宋体" w:hAnsi="宋体" w:cs="宋体"/>
                <w:bCs/>
                <w:color w:val="auto"/>
                <w:szCs w:val="21"/>
                <w:highlight w:val="none"/>
              </w:rPr>
            </w:pPr>
            <w:r>
              <w:rPr>
                <w:rFonts w:hint="eastAsia" w:ascii="宋体" w:hAnsi="宋体" w:cs="宋体"/>
                <w:bCs/>
                <w:color w:val="auto"/>
                <w:szCs w:val="21"/>
                <w:highlight w:val="none"/>
              </w:rPr>
              <w:t>②</w:t>
            </w:r>
            <w:r>
              <w:rPr>
                <w:rFonts w:ascii="宋体" w:hAnsi="宋体" w:cs="宋体"/>
                <w:bCs/>
                <w:color w:val="auto"/>
                <w:szCs w:val="21"/>
                <w:highlight w:val="none"/>
              </w:rPr>
              <w:t>36000</w:t>
            </w:r>
            <w:r>
              <w:rPr>
                <w:rFonts w:hint="eastAsia" w:ascii="宋体" w:hAnsi="宋体" w:cs="宋体"/>
                <w:bCs/>
                <w:color w:val="auto"/>
                <w:szCs w:val="21"/>
                <w:highlight w:val="none"/>
              </w:rPr>
              <w:t>循环＜飞行循环数≤</w:t>
            </w:r>
            <w:r>
              <w:rPr>
                <w:rFonts w:ascii="宋体" w:hAnsi="宋体" w:cs="宋体"/>
                <w:bCs/>
                <w:color w:val="auto"/>
                <w:szCs w:val="21"/>
                <w:highlight w:val="none"/>
              </w:rPr>
              <w:t>48000</w:t>
            </w:r>
            <w:r>
              <w:rPr>
                <w:rFonts w:hint="eastAsia" w:ascii="宋体" w:hAnsi="宋体" w:cs="宋体"/>
                <w:bCs/>
                <w:color w:val="auto"/>
                <w:szCs w:val="21"/>
                <w:highlight w:val="none"/>
              </w:rPr>
              <w:t>循环，在3分基础上，按照每超过2</w:t>
            </w:r>
            <w:r>
              <w:rPr>
                <w:rFonts w:ascii="宋体" w:hAnsi="宋体" w:cs="宋体"/>
                <w:bCs/>
                <w:color w:val="auto"/>
                <w:szCs w:val="21"/>
                <w:highlight w:val="none"/>
              </w:rPr>
              <w:t>400</w:t>
            </w:r>
            <w:r>
              <w:rPr>
                <w:rFonts w:hint="eastAsia" w:ascii="宋体" w:hAnsi="宋体" w:cs="宋体"/>
                <w:bCs/>
                <w:color w:val="auto"/>
                <w:szCs w:val="21"/>
                <w:highlight w:val="none"/>
              </w:rPr>
              <w:t>飞行循环，折合0</w:t>
            </w:r>
            <w:r>
              <w:rPr>
                <w:rFonts w:ascii="宋体" w:hAnsi="宋体" w:cs="宋体"/>
                <w:bCs/>
                <w:color w:val="auto"/>
                <w:szCs w:val="21"/>
                <w:highlight w:val="none"/>
              </w:rPr>
              <w:t>.4</w:t>
            </w:r>
            <w:r>
              <w:rPr>
                <w:rFonts w:hint="eastAsia" w:ascii="宋体" w:hAnsi="宋体" w:cs="宋体"/>
                <w:bCs/>
                <w:color w:val="auto"/>
                <w:szCs w:val="21"/>
                <w:highlight w:val="none"/>
              </w:rPr>
              <w:t>分等比例扣除；</w:t>
            </w:r>
          </w:p>
          <w:p>
            <w:pPr>
              <w:snapToGrid w:val="0"/>
              <w:rPr>
                <w:rFonts w:ascii="宋体" w:hAnsi="宋体" w:cs="宋体"/>
                <w:bCs/>
                <w:color w:val="auto"/>
                <w:szCs w:val="21"/>
                <w:highlight w:val="none"/>
              </w:rPr>
            </w:pPr>
            <w:r>
              <w:rPr>
                <w:rFonts w:hint="eastAsia" w:ascii="宋体" w:hAnsi="宋体" w:cs="宋体"/>
                <w:bCs/>
                <w:color w:val="auto"/>
                <w:szCs w:val="21"/>
                <w:highlight w:val="none"/>
              </w:rPr>
              <w:t>③飞行循环＞</w:t>
            </w:r>
            <w:r>
              <w:rPr>
                <w:rFonts w:ascii="宋体" w:hAnsi="宋体" w:cs="宋体"/>
                <w:bCs/>
                <w:color w:val="auto"/>
                <w:szCs w:val="21"/>
                <w:highlight w:val="none"/>
              </w:rPr>
              <w:t>48000</w:t>
            </w:r>
            <w:r>
              <w:rPr>
                <w:rFonts w:hint="eastAsia" w:ascii="宋体" w:hAnsi="宋体" w:cs="宋体"/>
                <w:bCs/>
                <w:color w:val="auto"/>
                <w:szCs w:val="21"/>
                <w:highlight w:val="none"/>
              </w:rPr>
              <w:t>飞行循环，得0</w:t>
            </w:r>
            <w:r>
              <w:rPr>
                <w:rFonts w:ascii="宋体" w:hAnsi="宋体" w:cs="宋体"/>
                <w:bCs/>
                <w:color w:val="auto"/>
                <w:szCs w:val="21"/>
                <w:highlight w:val="none"/>
              </w:rPr>
              <w:t>.6</w:t>
            </w:r>
            <w:r>
              <w:rPr>
                <w:rFonts w:hint="eastAsia" w:ascii="宋体" w:hAnsi="宋体" w:cs="宋体"/>
                <w:bCs/>
                <w:color w:val="auto"/>
                <w:szCs w:val="21"/>
                <w:highlight w:val="none"/>
              </w:rPr>
              <w:t>分。</w:t>
            </w:r>
          </w:p>
          <w:p>
            <w:pPr>
              <w:snapToGrid w:val="0"/>
              <w:rPr>
                <w:rFonts w:hint="eastAsia" w:ascii="宋体" w:hAnsi="宋体" w:cs="宋体"/>
                <w:bCs/>
                <w:color w:val="auto"/>
                <w:szCs w:val="21"/>
                <w:highlight w:val="none"/>
              </w:rPr>
            </w:pPr>
          </w:p>
          <w:p>
            <w:pPr>
              <w:snapToGrid w:val="0"/>
              <w:rPr>
                <w:rFonts w:ascii="宋体" w:hAnsi="宋体" w:cs="宋体"/>
                <w:bCs/>
                <w:color w:val="auto"/>
                <w:szCs w:val="21"/>
                <w:highlight w:val="none"/>
              </w:rPr>
            </w:pPr>
            <w:r>
              <w:rPr>
                <w:rFonts w:hint="eastAsia" w:ascii="宋体" w:hAnsi="宋体" w:cs="宋体"/>
                <w:bCs/>
                <w:color w:val="auto"/>
                <w:szCs w:val="21"/>
                <w:highlight w:val="none"/>
              </w:rPr>
              <w:t>（3）飞机结构完整性、飞机系统部附件状况、电气部分状况、起落架状况：提供所投飞机相关区域照片或视频，下列共计8项，每项0.5分，共4分。</w:t>
            </w:r>
          </w:p>
          <w:p>
            <w:pPr>
              <w:snapToGrid w:val="0"/>
              <w:rPr>
                <w:rFonts w:ascii="宋体" w:hAnsi="宋体" w:cs="宋体"/>
                <w:bCs/>
                <w:color w:val="auto"/>
                <w:szCs w:val="21"/>
                <w:highlight w:val="none"/>
              </w:rPr>
            </w:pPr>
            <w:r>
              <w:rPr>
                <w:rFonts w:hint="eastAsia" w:ascii="宋体" w:hAnsi="宋体" w:cs="宋体"/>
                <w:bCs/>
                <w:color w:val="auto"/>
                <w:szCs w:val="21"/>
                <w:highlight w:val="none"/>
              </w:rPr>
              <w:t>①飞机机头及前部机身区域：风挡、雷达罩、迎角传感器、皮托管、静压孔、全温探头、电子设备通风进出口活门、地面电源面板及盖板、电子舱门、前货舱门、货舱内部全局清晰可见；</w:t>
            </w:r>
          </w:p>
          <w:p>
            <w:pPr>
              <w:snapToGrid w:val="0"/>
              <w:jc w:val="left"/>
              <w:rPr>
                <w:rFonts w:ascii="宋体" w:hAnsi="宋体" w:cs="宋体"/>
                <w:bCs/>
                <w:color w:val="auto"/>
                <w:szCs w:val="21"/>
                <w:highlight w:val="none"/>
              </w:rPr>
            </w:pPr>
            <w:r>
              <w:rPr>
                <w:rFonts w:hint="eastAsia" w:ascii="宋体" w:hAnsi="宋体" w:cs="宋体"/>
                <w:bCs/>
                <w:color w:val="auto"/>
                <w:szCs w:val="21"/>
                <w:highlight w:val="none"/>
              </w:rPr>
              <w:t>②机身中段区域：水排放面板/桅杆、ATC/DME/MB/TCAS/VHF/GPS/ADF/RA天线、空调冲压进气/排气口、防撞灯、大翼照明灯、舷窗、逃生窗清晰可见；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③机身后段及机尾：水勤务面板及盖板、水平安定面/升降舵、垂尾/方向舵、放电刷、APU舱门及APU舱内部全局、APU进气口/排气口、航行灯/频闪灯/航徽灯、后货舱门、货舱内部及全局、液压勤务盖板、RAT门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④机翼及发动机区域：机翼整体及各段油箱盖板、油箱通气口、加油面板、前后缘增升装置、副翼、扰流板、翼梢小翼、放电刷、航行灯/频闪灯/着陆灯、发动机吊架、发动机短舱清晰可见；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⑤驾驶舱区域：驾驶舱门、驾驶舱各系统面板/显示器/仪表/跳开关面板/操纵装置、氧气面罩、座椅清晰可见；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⑥厨房/厕所区域：客舱门、客舱服务/广播面板、马桶、水、厨房设备及面板、餐车清晰可见；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⑦客舱：座椅、旅客娱乐、行李架、逃生窗、内饰及地面清晰可见；</w:t>
            </w:r>
          </w:p>
          <w:p>
            <w:pPr>
              <w:snapToGrid w:val="0"/>
              <w:rPr>
                <w:rFonts w:ascii="宋体" w:hAnsi="宋体" w:cs="宋体"/>
                <w:bCs/>
                <w:color w:val="auto"/>
                <w:szCs w:val="21"/>
                <w:highlight w:val="none"/>
              </w:rPr>
            </w:pPr>
            <w:r>
              <w:rPr>
                <w:rFonts w:hint="eastAsia" w:ascii="宋体" w:hAnsi="宋体" w:cs="宋体"/>
                <w:bCs/>
                <w:color w:val="auto"/>
                <w:szCs w:val="21"/>
                <w:highlight w:val="none"/>
              </w:rPr>
              <w:t>⑧电子舱：电子设备舱内部全局清晰可见。</w:t>
            </w:r>
          </w:p>
          <w:p>
            <w:pPr>
              <w:snapToGrid w:val="0"/>
              <w:rPr>
                <w:rFonts w:ascii="宋体" w:hAnsi="宋体" w:cs="宋体"/>
                <w:bCs/>
                <w:color w:val="auto"/>
                <w:szCs w:val="21"/>
                <w:highlight w:val="none"/>
              </w:rPr>
            </w:pPr>
          </w:p>
          <w:p>
            <w:pPr>
              <w:snapToGrid w:val="0"/>
              <w:rPr>
                <w:rFonts w:ascii="宋体" w:hAnsi="宋体" w:cs="宋体"/>
                <w:bCs/>
                <w:color w:val="auto"/>
                <w:szCs w:val="21"/>
                <w:highlight w:val="none"/>
              </w:rPr>
            </w:pPr>
            <w:r>
              <w:rPr>
                <w:rFonts w:hint="eastAsia" w:ascii="宋体" w:hAnsi="宋体" w:cs="宋体"/>
                <w:bCs/>
                <w:color w:val="auto"/>
                <w:szCs w:val="21"/>
                <w:highlight w:val="none"/>
              </w:rPr>
              <w:t>注：</w:t>
            </w:r>
          </w:p>
          <w:p>
            <w:pPr>
              <w:snapToGrid w:val="0"/>
              <w:rPr>
                <w:rFonts w:ascii="宋体" w:hAnsi="宋体" w:cs="宋体"/>
                <w:bCs/>
                <w:color w:val="auto"/>
                <w:szCs w:val="21"/>
                <w:highlight w:val="none"/>
              </w:rPr>
            </w:pPr>
            <w:r>
              <w:rPr>
                <w:rFonts w:hint="eastAsia" w:ascii="宋体" w:hAnsi="宋体" w:cs="宋体"/>
                <w:bCs/>
                <w:color w:val="auto"/>
                <w:szCs w:val="21"/>
                <w:highlight w:val="none"/>
              </w:rPr>
              <w:t>（1）提供的相关说明，佐证材料要加盖有效印章；对不满足要求的，评标时不予采用。</w:t>
            </w:r>
          </w:p>
          <w:p>
            <w:pPr>
              <w:pStyle w:val="2"/>
              <w:snapToGrid w:val="0"/>
              <w:rPr>
                <w:rFonts w:ascii="宋体" w:hAnsi="宋体" w:cs="宋体"/>
                <w:bCs/>
                <w:color w:val="auto"/>
                <w:szCs w:val="21"/>
                <w:highlight w:val="none"/>
              </w:rPr>
            </w:pPr>
            <w:r>
              <w:rPr>
                <w:rFonts w:hint="eastAsia" w:ascii="宋体" w:hAnsi="宋体" w:cs="宋体"/>
                <w:bCs/>
                <w:color w:val="auto"/>
                <w:szCs w:val="21"/>
                <w:highlight w:val="none"/>
              </w:rPr>
              <w:t>（2）如中标后供货飞机与投标飞机不一致，视作虚假应标。</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15</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飞机适航性</w:t>
            </w:r>
          </w:p>
        </w:tc>
        <w:tc>
          <w:tcPr>
            <w:tcW w:w="6365" w:type="dxa"/>
            <w:vAlign w:val="center"/>
          </w:tcPr>
          <w:p>
            <w:pPr>
              <w:snapToGrid w:val="0"/>
              <w:rPr>
                <w:rFonts w:hint="eastAsia"/>
                <w:color w:val="auto"/>
                <w:highlight w:val="none"/>
              </w:rPr>
            </w:pPr>
            <w:r>
              <w:rPr>
                <w:rFonts w:hint="eastAsia"/>
                <w:color w:val="auto"/>
                <w:highlight w:val="none"/>
                <w:lang w:val="en-US" w:eastAsia="zh-CN"/>
              </w:rPr>
              <w:t>1.</w:t>
            </w:r>
            <w:r>
              <w:rPr>
                <w:rFonts w:hint="eastAsia"/>
                <w:color w:val="auto"/>
                <w:highlight w:val="none"/>
              </w:rPr>
              <w:t>所投飞机为满足适航条件的现役飞机，提供以下相关适航证明的材料，提供飞机运营人适航证、电台证、国际登记证（共</w:t>
            </w:r>
            <w:r>
              <w:rPr>
                <w:color w:val="auto"/>
                <w:highlight w:val="none"/>
              </w:rPr>
              <w:t>3</w:t>
            </w:r>
            <w:r>
              <w:rPr>
                <w:rFonts w:hint="eastAsia"/>
                <w:color w:val="auto"/>
                <w:highlight w:val="none"/>
              </w:rPr>
              <w:t>分，每少1项，减1分）。</w:t>
            </w:r>
          </w:p>
          <w:p>
            <w:pPr>
              <w:snapToGrid w:val="0"/>
              <w:rPr>
                <w:color w:val="auto"/>
                <w:highlight w:val="none"/>
              </w:rPr>
            </w:pPr>
            <w:r>
              <w:rPr>
                <w:rFonts w:hint="eastAsia"/>
                <w:color w:val="auto"/>
                <w:highlight w:val="none"/>
                <w:lang w:val="en-US" w:eastAsia="zh-CN"/>
              </w:rPr>
              <w:t>2.</w:t>
            </w:r>
            <w:r>
              <w:rPr>
                <w:rFonts w:hint="eastAsia"/>
                <w:color w:val="auto"/>
                <w:highlight w:val="none"/>
              </w:rPr>
              <w:t>提供附件三《飞机验收标准》中测试部分中，相关系统测试测试页截图，</w:t>
            </w:r>
            <w:r>
              <w:rPr>
                <w:color w:val="auto"/>
                <w:highlight w:val="none"/>
              </w:rPr>
              <w:t>19</w:t>
            </w:r>
            <w:r>
              <w:rPr>
                <w:rFonts w:hint="eastAsia"/>
                <w:color w:val="auto"/>
                <w:highlight w:val="none"/>
              </w:rPr>
              <w:t>项全部测试通过得</w:t>
            </w:r>
            <w:r>
              <w:rPr>
                <w:rFonts w:hint="eastAsia"/>
                <w:color w:val="auto"/>
                <w:highlight w:val="none"/>
                <w:lang w:val="en-US" w:eastAsia="zh-CN"/>
              </w:rPr>
              <w:t>3</w:t>
            </w:r>
            <w:r>
              <w:rPr>
                <w:rFonts w:hint="eastAsia"/>
                <w:color w:val="auto"/>
                <w:highlight w:val="none"/>
              </w:rPr>
              <w:t>分，每缺少</w:t>
            </w:r>
            <w:r>
              <w:rPr>
                <w:color w:val="auto"/>
                <w:highlight w:val="none"/>
              </w:rPr>
              <w:t>1</w:t>
            </w:r>
            <w:r>
              <w:rPr>
                <w:rFonts w:hint="eastAsia"/>
                <w:color w:val="auto"/>
                <w:highlight w:val="none"/>
              </w:rPr>
              <w:t>项测试减1分，扣完为止。</w:t>
            </w:r>
          </w:p>
        </w:tc>
        <w:tc>
          <w:tcPr>
            <w:tcW w:w="707" w:type="dxa"/>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Align w:val="center"/>
          </w:tcPr>
          <w:p>
            <w:pPr>
              <w:snapToGrid w:val="0"/>
              <w:jc w:val="center"/>
              <w:rPr>
                <w:rFonts w:ascii="宋体" w:hAnsi="宋体" w:cs="宋体"/>
                <w:strike/>
                <w:color w:val="auto"/>
                <w:szCs w:val="21"/>
                <w:highlight w:val="none"/>
              </w:rPr>
            </w:pPr>
            <w:r>
              <w:rPr>
                <w:rFonts w:hint="eastAsia" w:ascii="宋体" w:hAnsi="宋体" w:cs="宋体"/>
                <w:color w:val="auto"/>
                <w:szCs w:val="21"/>
                <w:highlight w:val="none"/>
              </w:rPr>
              <w:t>随机资料</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提供所投飞机的随机资料（相关记录和手册），根据满足要求情况进行评分，全部提供并满足要求得10分，有不满足或缺漏则按情况减分。</w:t>
            </w:r>
          </w:p>
          <w:p>
            <w:pPr>
              <w:snapToGrid w:val="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飞机随机相应技术资料文件和维修档案文件齐全，相关文件符合CAAC飞机引进的适航标准。（电子版或纸版）</w:t>
            </w:r>
          </w:p>
          <w:p>
            <w:pPr>
              <w:pStyle w:val="256"/>
              <w:snapToGrid w:val="0"/>
              <w:spacing w:line="240" w:lineRule="auto"/>
              <w:ind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r>
              <w:rPr>
                <w:rFonts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rPr>
              <w:t>技术资料文件，飞机维修手册（AMM）、结构修理手册（SRM）、线路手册(</w:t>
            </w:r>
            <w:r>
              <w:rPr>
                <w:rFonts w:ascii="宋体" w:hAnsi="宋体" w:eastAsia="宋体" w:cs="宋体"/>
                <w:color w:val="auto"/>
                <w:sz w:val="21"/>
                <w:szCs w:val="21"/>
                <w:highlight w:val="none"/>
                <w:shd w:val="clear" w:color="auto" w:fill="FFFFFF"/>
              </w:rPr>
              <w:t>AWM</w:t>
            </w:r>
            <w:r>
              <w:rPr>
                <w:rFonts w:hint="eastAsia" w:ascii="宋体" w:hAnsi="宋体" w:eastAsia="宋体" w:cs="宋体"/>
                <w:color w:val="auto"/>
                <w:sz w:val="21"/>
                <w:szCs w:val="21"/>
                <w:highlight w:val="none"/>
                <w:shd w:val="clear" w:color="auto" w:fill="FFFFFF"/>
              </w:rPr>
              <w:t>)、排故手册(TSM)、零部件手册(IPC)、标准工卡(JOP CARD)、维修方案(MPD)、最低设备清单/构型缺损清单(MEL/CDL)</w:t>
            </w:r>
            <w:r>
              <w:rPr>
                <w:rFonts w:hint="eastAsia" w:ascii="宋体" w:hAnsi="宋体" w:eastAsia="宋体" w:cs="宋体"/>
                <w:color w:val="auto"/>
                <w:sz w:val="21"/>
                <w:szCs w:val="21"/>
                <w:highlight w:val="none"/>
              </w:rPr>
              <w:t>。（提供大飞机以上所提及每一本手册的部分截图得1分，若缺项不得分）</w:t>
            </w:r>
          </w:p>
          <w:p>
            <w:pPr>
              <w:pStyle w:val="256"/>
              <w:snapToGrid w:val="0"/>
              <w:spacing w:line="240" w:lineRule="auto"/>
              <w:ind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2</w:t>
            </w:r>
            <w:r>
              <w:rPr>
                <w:rFonts w:ascii="宋体" w:hAnsi="宋体" w:eastAsia="宋体" w:cs="宋体"/>
                <w:color w:val="auto"/>
                <w:sz w:val="21"/>
                <w:szCs w:val="21"/>
                <w:highlight w:val="none"/>
                <w:shd w:val="clear" w:color="auto" w:fill="FFFFFF"/>
              </w:rPr>
              <w:t>.</w:t>
            </w:r>
            <w:r>
              <w:rPr>
                <w:rFonts w:hint="eastAsia" w:ascii="宋体" w:hAnsi="宋体" w:eastAsia="宋体" w:cs="宋体"/>
                <w:color w:val="auto"/>
                <w:sz w:val="21"/>
                <w:szCs w:val="21"/>
                <w:highlight w:val="none"/>
                <w:shd w:val="clear" w:color="auto" w:fill="FFFFFF"/>
              </w:rPr>
              <w:t>飞行记录本（FLB）、客舱记录本(CLB)</w:t>
            </w:r>
            <w:r>
              <w:rPr>
                <w:rFonts w:hint="eastAsia" w:ascii="宋体" w:hAnsi="宋体" w:eastAsia="宋体" w:cs="宋体"/>
                <w:color w:val="auto"/>
                <w:sz w:val="21"/>
                <w:szCs w:val="21"/>
                <w:highlight w:val="none"/>
              </w:rPr>
              <w:t>。（提供以上所提及每一本记录本的部分截图得1分，若缺项不得分）</w:t>
            </w:r>
          </w:p>
          <w:p>
            <w:pPr>
              <w:pStyle w:val="256"/>
              <w:snapToGrid w:val="0"/>
              <w:spacing w:line="240" w:lineRule="auto"/>
              <w:ind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3</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提供时控（HT）件清单，剩余小时循环日历日记录，且相关时控件剩余FH（飞行小时数）大于100小时，FC（飞行循环数）大于50FC，日历日大于60天。（提供以上清单部分截图，若剩余小时、循环、日历日满足条件得1分，若不满足不得分）</w:t>
            </w:r>
          </w:p>
          <w:p>
            <w:pPr>
              <w:pStyle w:val="256"/>
              <w:snapToGrid w:val="0"/>
              <w:spacing w:line="240" w:lineRule="auto"/>
              <w:ind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4</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提供部件(OCCM)清单,2021年1月1日后更换部件，提供FAA/CAAC/EASA证书。（提供以上清单部分截图，且能提供1个更换部件FAA/CAAC/EASA认定证书得1分，若不满足不得分）</w:t>
            </w:r>
          </w:p>
          <w:p>
            <w:pPr>
              <w:pStyle w:val="256"/>
              <w:snapToGrid w:val="0"/>
              <w:spacing w:line="240" w:lineRule="auto"/>
              <w:ind w:firstLine="0" w:firstLineChars="0"/>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t>5</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提供起落架时寿件（LLP）清单，历史执行大修报告（Shop vist）。（提供以上全部相关文件部分截图得1分，若不满足不得分）</w:t>
            </w:r>
          </w:p>
          <w:p>
            <w:pPr>
              <w:pStyle w:val="256"/>
              <w:tabs>
                <w:tab w:val="left" w:pos="0"/>
              </w:tabs>
              <w:snapToGrid w:val="0"/>
              <w:spacing w:line="240" w:lineRule="auto"/>
              <w:ind w:firstLine="0" w:firstLineChars="0"/>
              <w:jc w:val="left"/>
              <w:rPr>
                <w:rFonts w:ascii="宋体" w:hAnsi="宋体" w:eastAsia="宋体" w:cs="宋体"/>
                <w:color w:val="auto"/>
                <w:sz w:val="21"/>
                <w:szCs w:val="21"/>
                <w:highlight w:val="none"/>
              </w:rPr>
            </w:pPr>
            <w:r>
              <w:rPr>
                <w:rFonts w:ascii="宋体" w:hAnsi="宋体" w:eastAsia="宋体" w:cs="宋体"/>
                <w:color w:val="auto"/>
                <w:sz w:val="21"/>
                <w:szCs w:val="21"/>
                <w:highlight w:val="none"/>
              </w:rPr>
              <w:t>6.</w:t>
            </w:r>
            <w:r>
              <w:rPr>
                <w:rFonts w:hint="eastAsia" w:ascii="宋体" w:hAnsi="宋体" w:eastAsia="宋体" w:cs="宋体"/>
                <w:color w:val="auto"/>
                <w:sz w:val="21"/>
                <w:szCs w:val="21"/>
                <w:highlight w:val="none"/>
              </w:rPr>
              <w:t>提供飞机的无事故声明或质量声明。（若可提供得1分，若不满足不得分）</w:t>
            </w:r>
          </w:p>
          <w:p>
            <w:pPr>
              <w:pStyle w:val="256"/>
              <w:tabs>
                <w:tab w:val="left" w:pos="0"/>
              </w:tabs>
              <w:snapToGrid w:val="0"/>
              <w:spacing w:line="240" w:lineRule="auto"/>
              <w:ind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提供该机型</w:t>
            </w:r>
            <w:r>
              <w:rPr>
                <w:rFonts w:hint="eastAsia" w:ascii="宋体" w:hAnsi="宋体" w:eastAsia="宋体" w:cs="宋体"/>
                <w:color w:val="auto"/>
                <w:sz w:val="21"/>
                <w:szCs w:val="21"/>
                <w:highlight w:val="none"/>
                <w:lang w:val="en-US" w:eastAsia="zh-CN"/>
              </w:rPr>
              <w:t>制造</w:t>
            </w:r>
            <w:r>
              <w:rPr>
                <w:rFonts w:hint="eastAsia" w:ascii="宋体" w:hAnsi="宋体" w:eastAsia="宋体" w:cs="宋体"/>
                <w:color w:val="auto"/>
                <w:sz w:val="21"/>
                <w:szCs w:val="21"/>
                <w:highlight w:val="none"/>
              </w:rPr>
              <w:t>公司的维修方案（MPD），部分截图即可。（提供以上文件部分截图得1分，若不满足不得分）</w:t>
            </w:r>
          </w:p>
          <w:p>
            <w:pPr>
              <w:pStyle w:val="256"/>
              <w:tabs>
                <w:tab w:val="left" w:pos="0"/>
              </w:tabs>
              <w:snapToGrid w:val="0"/>
              <w:spacing w:line="240" w:lineRule="auto"/>
              <w:ind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提供飞机适航指令（AD）/服务通告（SB）执行记录。（提供以上所有文件部分截图得1分，若不满足不得分）</w:t>
            </w:r>
          </w:p>
          <w:p>
            <w:pPr>
              <w:tabs>
                <w:tab w:val="left" w:pos="0"/>
              </w:tabs>
              <w:snapToGrid w:val="0"/>
              <w:jc w:val="left"/>
              <w:rPr>
                <w:rFonts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w:t>
            </w:r>
            <w:r>
              <w:rPr>
                <w:rFonts w:hint="eastAsia" w:ascii="宋体" w:hAnsi="宋体" w:cs="宋体"/>
                <w:color w:val="auto"/>
                <w:szCs w:val="21"/>
                <w:highlight w:val="none"/>
              </w:rPr>
              <w:t>提供重要结构修理清单（MAJOR STRUCTURAL REPAIR LIST）。（提供以上文件截图得1分，若不满足不得分）</w:t>
            </w:r>
          </w:p>
          <w:p>
            <w:pPr>
              <w:pStyle w:val="256"/>
              <w:tabs>
                <w:tab w:val="left" w:pos="0"/>
              </w:tabs>
              <w:snapToGrid w:val="0"/>
              <w:spacing w:line="240" w:lineRule="auto"/>
              <w:ind w:firstLine="0" w:firstLineChars="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ascii="宋体" w:hAnsi="宋体" w:eastAsia="宋体" w:cs="宋体"/>
                <w:color w:val="auto"/>
                <w:sz w:val="21"/>
                <w:szCs w:val="21"/>
                <w:highlight w:val="none"/>
              </w:rPr>
              <w:t>0.</w:t>
            </w:r>
            <w:r>
              <w:rPr>
                <w:rFonts w:hint="eastAsia" w:ascii="宋体" w:hAnsi="宋体" w:eastAsia="宋体" w:cs="宋体"/>
                <w:color w:val="auto"/>
                <w:sz w:val="21"/>
                <w:szCs w:val="21"/>
                <w:highlight w:val="none"/>
              </w:rPr>
              <w:t>提供飞机维修定检记录（Aircraft Maintenance Check History）。（提供以上文件截图得1分，若不满足不得分）</w:t>
            </w:r>
          </w:p>
        </w:tc>
        <w:tc>
          <w:tcPr>
            <w:tcW w:w="707" w:type="dxa"/>
            <w:vAlign w:val="center"/>
          </w:tcPr>
          <w:p>
            <w:pPr>
              <w:snapToGrid w:val="0"/>
              <w:jc w:val="center"/>
              <w:rPr>
                <w:rFonts w:ascii="宋体" w:hAnsi="宋体" w:cs="宋体"/>
                <w:strike/>
                <w:color w:val="auto"/>
                <w:szCs w:val="21"/>
                <w:highlight w:val="none"/>
              </w:rPr>
            </w:pPr>
            <w:r>
              <w:rPr>
                <w:rFonts w:hint="eastAsia" w:ascii="宋体" w:hAnsi="宋体" w:cs="宋体"/>
                <w:color w:val="auto"/>
                <w:szCs w:val="21"/>
                <w:highlight w:val="none"/>
              </w:rPr>
              <w:t>10</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发动机状态</w:t>
            </w:r>
          </w:p>
        </w:tc>
        <w:tc>
          <w:tcPr>
            <w:tcW w:w="6365" w:type="dxa"/>
            <w:vAlign w:val="center"/>
          </w:tcPr>
          <w:p>
            <w:pPr>
              <w:pStyle w:val="2"/>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所提供的发动机若为CFM56-5B</w:t>
            </w:r>
            <w:r>
              <w:rPr>
                <w:color w:val="auto"/>
                <w:highlight w:val="none"/>
              </w:rPr>
              <w:t>/</w:t>
            </w:r>
            <w:r>
              <w:rPr>
                <w:rFonts w:hint="eastAsia"/>
                <w:color w:val="auto"/>
                <w:highlight w:val="none"/>
              </w:rPr>
              <w:t>V2500-A5得</w:t>
            </w:r>
            <w:r>
              <w:rPr>
                <w:rFonts w:hint="eastAsia"/>
                <w:color w:val="auto"/>
                <w:highlight w:val="none"/>
                <w:lang w:val="en-US" w:eastAsia="zh-CN"/>
              </w:rPr>
              <w:t>2</w:t>
            </w:r>
            <w:r>
              <w:rPr>
                <w:rFonts w:hint="eastAsia"/>
                <w:color w:val="auto"/>
                <w:highlight w:val="none"/>
              </w:rPr>
              <w:t>分，其余型号发动机不得分。</w:t>
            </w:r>
          </w:p>
          <w:p>
            <w:pPr>
              <w:pStyle w:val="2"/>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color w:val="auto"/>
                <w:highlight w:val="none"/>
              </w:rPr>
              <w:t>所</w:t>
            </w:r>
            <w:r>
              <w:rPr>
                <w:rFonts w:hint="eastAsia" w:ascii="宋体" w:hAnsi="宋体" w:cs="宋体"/>
                <w:color w:val="auto"/>
                <w:szCs w:val="21"/>
                <w:highlight w:val="none"/>
                <w:lang w:val="en-US" w:eastAsia="zh-CN"/>
              </w:rPr>
              <w:t>供货的发动机是首次验收时飞机自带的发动机，每台得1分，最高得2分；</w:t>
            </w:r>
            <w:r>
              <w:rPr>
                <w:rFonts w:hint="eastAsia"/>
                <w:color w:val="auto"/>
                <w:highlight w:val="none"/>
              </w:rPr>
              <w:t>所</w:t>
            </w:r>
            <w:r>
              <w:rPr>
                <w:rFonts w:hint="eastAsia" w:ascii="宋体" w:hAnsi="宋体" w:cs="宋体"/>
                <w:color w:val="auto"/>
                <w:szCs w:val="21"/>
                <w:highlight w:val="none"/>
                <w:lang w:val="en-US" w:eastAsia="zh-CN"/>
              </w:rPr>
              <w:t>供货的发动机是另行提供的发动机，不得分。</w:t>
            </w:r>
          </w:p>
          <w:p>
            <w:pPr>
              <w:snapToGrid w:val="0"/>
              <w:rPr>
                <w:rFonts w:ascii="宋体" w:hAnsi="宋体" w:cs="宋体"/>
                <w:color w:val="auto"/>
                <w:szCs w:val="21"/>
                <w:highlight w:val="none"/>
              </w:rPr>
            </w:pPr>
            <w:r>
              <w:rPr>
                <w:rFonts w:hint="eastAsia" w:ascii="宋体" w:hAnsi="宋体" w:cs="宋体"/>
                <w:color w:val="auto"/>
                <w:szCs w:val="21"/>
                <w:highlight w:val="none"/>
                <w:lang w:val="en-US" w:eastAsia="zh-CN"/>
              </w:rPr>
              <w:t>注：如投标发动机型号与投标飞机发动机构型不一致，则视作不满足招标文件的实质性要求，投标无效。</w:t>
            </w:r>
          </w:p>
        </w:tc>
        <w:tc>
          <w:tcPr>
            <w:tcW w:w="707" w:type="dxa"/>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Merge w:val="continue"/>
            <w:vAlign w:val="center"/>
          </w:tcPr>
          <w:p>
            <w:pPr>
              <w:snapToGrid w:val="0"/>
              <w:jc w:val="center"/>
              <w:rPr>
                <w:rFonts w:ascii="宋体" w:hAnsi="宋体" w:cs="宋体"/>
                <w:color w:val="auto"/>
                <w:szCs w:val="21"/>
                <w:highlight w:val="none"/>
              </w:rPr>
            </w:pP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所提供2台投标发动机，分别按照如下标准进行打分，并将分数累加。技术参数：使用循环≤30000得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分，30000＜使用循环≤40000得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分，40000＜使用循环≤50000得</w:t>
            </w:r>
            <w:r>
              <w:rPr>
                <w:rFonts w:hint="eastAsia" w:ascii="宋体" w:hAnsi="宋体" w:cs="宋体"/>
                <w:color w:val="auto"/>
                <w:szCs w:val="21"/>
                <w:highlight w:val="none"/>
                <w:lang w:val="en-US" w:eastAsia="zh-CN"/>
              </w:rPr>
              <w:t>0.5</w:t>
            </w:r>
            <w:r>
              <w:rPr>
                <w:rFonts w:hint="eastAsia" w:ascii="宋体" w:hAnsi="宋体" w:cs="宋体"/>
                <w:color w:val="auto"/>
                <w:szCs w:val="21"/>
                <w:highlight w:val="none"/>
              </w:rPr>
              <w:t>分，使用循环＞50000不得分，若无法提供发动机使用循环的证明文件或使用循环不详，该项目不得分。</w:t>
            </w:r>
          </w:p>
        </w:tc>
        <w:tc>
          <w:tcPr>
            <w:tcW w:w="707" w:type="dxa"/>
            <w:vAlign w:val="center"/>
          </w:tcPr>
          <w:p>
            <w:pPr>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Merge w:val="continue"/>
            <w:vAlign w:val="center"/>
          </w:tcPr>
          <w:p>
            <w:pPr>
              <w:snapToGrid w:val="0"/>
              <w:jc w:val="center"/>
              <w:rPr>
                <w:rFonts w:ascii="宋体" w:hAnsi="宋体" w:cs="宋体"/>
                <w:color w:val="auto"/>
                <w:szCs w:val="21"/>
                <w:highlight w:val="none"/>
              </w:rPr>
            </w:pP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提供2台投标发动机的实机照片，包含但不限于发动机铭牌（铭牌上该发动机件号、序号清楚）、发动机主视、叶片、外部附件图片。（少一处照片减</w:t>
            </w:r>
            <w:r>
              <w:rPr>
                <w:rFonts w:ascii="宋体" w:hAnsi="宋体" w:cs="宋体"/>
                <w:color w:val="auto"/>
                <w:szCs w:val="21"/>
                <w:highlight w:val="none"/>
              </w:rPr>
              <w:t>0.5</w:t>
            </w:r>
            <w:r>
              <w:rPr>
                <w:rFonts w:hint="eastAsia" w:ascii="宋体" w:hAnsi="宋体" w:cs="宋体"/>
                <w:color w:val="auto"/>
                <w:szCs w:val="21"/>
                <w:highlight w:val="none"/>
              </w:rPr>
              <w:t>分，扣完为止）</w:t>
            </w:r>
          </w:p>
          <w:p>
            <w:pPr>
              <w:snapToGrid w:val="0"/>
              <w:rPr>
                <w:rFonts w:ascii="宋体" w:hAnsi="宋体" w:cs="宋体"/>
                <w:color w:val="auto"/>
                <w:szCs w:val="21"/>
                <w:highlight w:val="none"/>
              </w:rPr>
            </w:pPr>
            <w:r>
              <w:rPr>
                <w:rFonts w:hint="eastAsia" w:ascii="宋体" w:hAnsi="宋体" w:cs="宋体"/>
                <w:color w:val="auto"/>
                <w:szCs w:val="21"/>
                <w:highlight w:val="none"/>
              </w:rPr>
              <w:t>注：如中标后供货发动机与投标发动机不一致，视作虚假应标。</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 xml:space="preserve"> </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Merge w:val="continue"/>
            <w:vAlign w:val="center"/>
          </w:tcPr>
          <w:p>
            <w:pPr>
              <w:snapToGrid w:val="0"/>
              <w:jc w:val="center"/>
              <w:rPr>
                <w:rFonts w:ascii="宋体" w:hAnsi="宋体" w:cs="宋体"/>
                <w:color w:val="auto"/>
                <w:szCs w:val="21"/>
                <w:highlight w:val="none"/>
              </w:rPr>
            </w:pP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提供发动孔探报告、发动机无事故证明、发动机培训手册部分截图。（每少一项减</w:t>
            </w:r>
            <w:r>
              <w:rPr>
                <w:rFonts w:ascii="宋体" w:hAnsi="宋体" w:cs="宋体"/>
                <w:color w:val="auto"/>
                <w:szCs w:val="21"/>
                <w:highlight w:val="none"/>
              </w:rPr>
              <w:t>0.5</w:t>
            </w:r>
            <w:r>
              <w:rPr>
                <w:rFonts w:hint="eastAsia" w:ascii="宋体" w:hAnsi="宋体" w:cs="宋体"/>
                <w:color w:val="auto"/>
                <w:szCs w:val="21"/>
                <w:highlight w:val="none"/>
              </w:rPr>
              <w:t>分，扣完为止）</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1</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restar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3、项目方案</w:t>
            </w:r>
          </w:p>
        </w:tc>
        <w:tc>
          <w:tcPr>
            <w:tcW w:w="727" w:type="dxa"/>
            <w:vAlign w:val="center"/>
          </w:tcPr>
          <w:p>
            <w:pPr>
              <w:snapToGrid w:val="0"/>
              <w:jc w:val="center"/>
              <w:rPr>
                <w:rFonts w:hint="eastAsia" w:ascii="宋体" w:hAnsi="宋体" w:eastAsia="宋体" w:cs="宋体"/>
                <w:i w:val="0"/>
                <w:iCs w:val="0"/>
                <w:color w:val="auto"/>
                <w:szCs w:val="21"/>
                <w:highlight w:val="none"/>
                <w:lang w:val="en-US" w:eastAsia="zh-CN"/>
              </w:rPr>
            </w:pPr>
            <w:r>
              <w:rPr>
                <w:rFonts w:hint="eastAsia" w:ascii="宋体" w:hAnsi="宋体" w:cs="宋体"/>
                <w:i w:val="0"/>
                <w:iCs w:val="0"/>
                <w:color w:val="auto"/>
                <w:szCs w:val="21"/>
                <w:highlight w:val="none"/>
                <w:lang w:val="en-US" w:eastAsia="zh-CN"/>
              </w:rPr>
              <w:t>飞机交货期</w:t>
            </w:r>
          </w:p>
        </w:tc>
        <w:tc>
          <w:tcPr>
            <w:tcW w:w="6365" w:type="dxa"/>
            <w:vAlign w:val="center"/>
          </w:tcPr>
          <w:p>
            <w:pPr>
              <w:snapToGrid w:val="0"/>
              <w:rPr>
                <w:rFonts w:hint="default" w:ascii="宋体" w:hAnsi="宋体" w:cs="宋体"/>
                <w:i w:val="0"/>
                <w:iCs w:val="0"/>
                <w:color w:val="auto"/>
                <w:szCs w:val="21"/>
                <w:highlight w:val="none"/>
              </w:rPr>
            </w:pPr>
            <w:r>
              <w:rPr>
                <w:rFonts w:hint="eastAsia" w:ascii="宋体" w:hAnsi="宋体" w:cs="宋体"/>
                <w:i w:val="0"/>
                <w:iCs w:val="0"/>
                <w:color w:val="auto"/>
                <w:szCs w:val="21"/>
                <w:highlight w:val="none"/>
                <w:lang w:val="en-US" w:eastAsia="zh-CN"/>
              </w:rPr>
              <w:t>承诺能够确保在2022年12月10日前完成</w:t>
            </w:r>
            <w:r>
              <w:rPr>
                <w:rFonts w:hint="eastAsia" w:ascii="宋体" w:hAnsi="宋体" w:cs="仿宋_GB2312"/>
                <w:color w:val="auto"/>
                <w:szCs w:val="21"/>
                <w:highlight w:val="none"/>
                <w:u w:val="none"/>
              </w:rPr>
              <w:t>飞机首次验收</w:t>
            </w:r>
            <w:r>
              <w:rPr>
                <w:rFonts w:hint="eastAsia" w:ascii="宋体" w:hAnsi="宋体" w:cs="仿宋_GB2312"/>
                <w:color w:val="auto"/>
                <w:szCs w:val="21"/>
                <w:highlight w:val="none"/>
                <w:u w:val="none"/>
                <w:lang w:eastAsia="zh-CN"/>
              </w:rPr>
              <w:t>，</w:t>
            </w:r>
            <w:r>
              <w:rPr>
                <w:rFonts w:hint="eastAsia" w:ascii="宋体" w:hAnsi="宋体" w:cs="仿宋_GB2312"/>
                <w:color w:val="auto"/>
                <w:szCs w:val="21"/>
                <w:highlight w:val="none"/>
                <w:u w:val="none"/>
                <w:lang w:val="en-US" w:eastAsia="zh-CN"/>
              </w:rPr>
              <w:t>得2分；未承诺完成不得分。承诺完成但最终实施时无法按期完成的，</w:t>
            </w:r>
            <w:r>
              <w:rPr>
                <w:rFonts w:hint="eastAsia" w:ascii="宋体" w:hAnsi="宋体" w:cs="宋体"/>
                <w:bCs/>
                <w:color w:val="auto"/>
                <w:szCs w:val="21"/>
                <w:highlight w:val="none"/>
              </w:rPr>
              <w:t>视作虚假应标。</w:t>
            </w:r>
          </w:p>
        </w:tc>
        <w:tc>
          <w:tcPr>
            <w:tcW w:w="707" w:type="dxa"/>
            <w:vAlign w:val="center"/>
          </w:tcPr>
          <w:p>
            <w:pPr>
              <w:snapToGrid w:val="0"/>
              <w:jc w:val="center"/>
              <w:rPr>
                <w:rFonts w:hint="default" w:ascii="宋体" w:hAnsi="宋体" w:eastAsia="宋体" w:cs="宋体"/>
                <w:bCs w:val="0"/>
                <w:i w:val="0"/>
                <w:iCs w:val="0"/>
                <w:color w:val="auto"/>
                <w:szCs w:val="21"/>
                <w:highlight w:val="none"/>
                <w:lang w:val="en-US" w:eastAsia="zh-CN"/>
              </w:rPr>
            </w:pPr>
            <w:r>
              <w:rPr>
                <w:rFonts w:hint="eastAsia" w:ascii="宋体" w:hAnsi="宋体" w:cs="宋体"/>
                <w:bCs w:val="0"/>
                <w:i w:val="0"/>
                <w:iCs w:val="0"/>
                <w:color w:val="auto"/>
                <w:szCs w:val="21"/>
                <w:highlight w:val="none"/>
                <w:lang w:val="en-US" w:eastAsia="zh-CN"/>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hint="eastAsia" w:ascii="宋体" w:hAnsi="宋体" w:cs="宋体"/>
                <w:color w:val="auto"/>
                <w:szCs w:val="21"/>
                <w:highlight w:val="none"/>
              </w:rPr>
            </w:pPr>
          </w:p>
        </w:tc>
        <w:tc>
          <w:tcPr>
            <w:tcW w:w="727"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飞机拆解与组装方案</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飞机需进行无损拆解，提供所投飞机拆解方案，需包含:①飞机机身拆解部位图片；②操纵钢索拆解方案；③管路拆除方案；④飞机电缆导线拆解方案；⑤起落架拆解方案；⑥大翼拆解方案；⑦飞机水平安定面拆解方案；⑧飞机垂尾拆解方案；⑨重要零部件拆解方案；⑩部件保护存放方案。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拆解方案内容科学全面，拆解步骤详细且有图文并茂解说的，切实可行，能保证飞机完好无损的，得2分；</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拆解方案内容基本全面、可行，能保证飞机无大损害的，得1分；</w:t>
            </w:r>
          </w:p>
          <w:p>
            <w:pPr>
              <w:snapToGrid w:val="0"/>
              <w:rPr>
                <w:rFonts w:ascii="宋体" w:hAnsi="宋体" w:cs="宋体"/>
                <w:color w:val="auto"/>
                <w:szCs w:val="21"/>
                <w:highlight w:val="none"/>
              </w:rPr>
            </w:pPr>
            <w:r>
              <w:rPr>
                <w:rFonts w:hint="eastAsia" w:ascii="宋体" w:hAnsi="宋体" w:cs="宋体"/>
                <w:color w:val="auto"/>
                <w:szCs w:val="21"/>
                <w:highlight w:val="none"/>
              </w:rPr>
              <w:t>拆解方案内容不全面、不可行或未提供的，无法保证飞机无大损害的，得0分。</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飞机组装方案包含：①机身对接；②飞机大翼安装；③起落架安装；④尾翼安装；⑤发动机安装；⑥飞机电缆导线连接安装；⑦操纵钢索连接；⑧管路连接。赋分规则如下：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飞机组装方案内容全面、切实可行，工艺技术精湛，得2分；</w:t>
            </w:r>
          </w:p>
          <w:p>
            <w:pPr>
              <w:snapToGrid w:val="0"/>
              <w:rPr>
                <w:rFonts w:ascii="宋体" w:hAnsi="宋体" w:cs="宋体"/>
                <w:color w:val="auto"/>
                <w:szCs w:val="21"/>
                <w:highlight w:val="none"/>
              </w:rPr>
            </w:pPr>
            <w:r>
              <w:rPr>
                <w:rFonts w:hint="eastAsia" w:ascii="宋体" w:hAnsi="宋体" w:cs="宋体"/>
                <w:color w:val="auto"/>
                <w:szCs w:val="21"/>
                <w:highlight w:val="none"/>
              </w:rPr>
              <w:t>飞机组装方案内容全面、基本可行，工艺技术符合基本要求，得1分；</w:t>
            </w:r>
          </w:p>
          <w:p>
            <w:pPr>
              <w:snapToGrid w:val="0"/>
              <w:rPr>
                <w:rFonts w:hint="eastAsia" w:ascii="宋体" w:hAnsi="宋体" w:cs="宋体"/>
                <w:color w:val="auto"/>
                <w:szCs w:val="21"/>
                <w:highlight w:val="none"/>
              </w:rPr>
            </w:pPr>
            <w:r>
              <w:rPr>
                <w:rFonts w:hint="eastAsia" w:ascii="宋体" w:hAnsi="宋体" w:cs="宋体"/>
                <w:color w:val="auto"/>
                <w:szCs w:val="21"/>
                <w:highlight w:val="none"/>
              </w:rPr>
              <w:t>飞机组装方案内容不全面、工艺技术差或未提供的，得0分。</w:t>
            </w:r>
          </w:p>
        </w:tc>
        <w:tc>
          <w:tcPr>
            <w:tcW w:w="707"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Align w:val="center"/>
          </w:tcPr>
          <w:p>
            <w:pPr>
              <w:snapToGrid w:val="0"/>
              <w:jc w:val="center"/>
              <w:rPr>
                <w:rFonts w:ascii="宋体" w:hAnsi="宋体" w:cs="宋体"/>
                <w:i/>
                <w:iCs/>
                <w:color w:val="auto"/>
                <w:szCs w:val="21"/>
                <w:highlight w:val="none"/>
              </w:rPr>
            </w:pPr>
            <w:r>
              <w:rPr>
                <w:rFonts w:hint="eastAsia" w:ascii="宋体" w:hAnsi="宋体" w:cs="宋体"/>
                <w:color w:val="auto"/>
                <w:szCs w:val="21"/>
                <w:highlight w:val="none"/>
              </w:rPr>
              <w:t>飞机运输方案</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运输方案具备运输风险分析、运输作业方案以及包装方案（含车辆使用和飞机部件固定）和安全措施方案内容体现①防雨；②防震；③防滚；④防碰；⑤防磨伤；⑥防丢失；⑦防火。赋分规则如下：</w:t>
            </w:r>
          </w:p>
          <w:p>
            <w:pPr>
              <w:snapToGrid w:val="0"/>
              <w:rPr>
                <w:rFonts w:ascii="宋体" w:hAnsi="宋体" w:cs="宋体"/>
                <w:color w:val="auto"/>
                <w:szCs w:val="21"/>
                <w:highlight w:val="none"/>
              </w:rPr>
            </w:pPr>
            <w:r>
              <w:rPr>
                <w:rFonts w:hint="eastAsia" w:ascii="宋体" w:hAnsi="宋体" w:cs="宋体"/>
                <w:color w:val="auto"/>
                <w:szCs w:val="21"/>
                <w:highlight w:val="none"/>
              </w:rPr>
              <w:t>运输方案内容具体全面，科学合理，对各阶段的重点难点剖析到位，技术性方案切实可行，得2分；</w:t>
            </w:r>
          </w:p>
          <w:p>
            <w:pPr>
              <w:snapToGrid w:val="0"/>
              <w:rPr>
                <w:rFonts w:ascii="宋体" w:hAnsi="宋体" w:cs="宋体"/>
                <w:color w:val="auto"/>
                <w:szCs w:val="21"/>
                <w:highlight w:val="none"/>
              </w:rPr>
            </w:pPr>
            <w:r>
              <w:rPr>
                <w:rFonts w:hint="eastAsia" w:ascii="宋体" w:hAnsi="宋体" w:cs="宋体"/>
                <w:color w:val="auto"/>
                <w:szCs w:val="21"/>
                <w:highlight w:val="none"/>
              </w:rPr>
              <w:t>运输方案较为具体全面，重点难点分析无明显错误，得1分；</w:t>
            </w:r>
          </w:p>
          <w:p>
            <w:pPr>
              <w:snapToGrid w:val="0"/>
              <w:rPr>
                <w:rFonts w:ascii="宋体" w:hAnsi="宋体" w:cs="宋体"/>
                <w:i/>
                <w:iCs/>
                <w:color w:val="auto"/>
                <w:szCs w:val="21"/>
                <w:highlight w:val="none"/>
              </w:rPr>
            </w:pPr>
            <w:r>
              <w:rPr>
                <w:rFonts w:hint="eastAsia" w:ascii="宋体" w:hAnsi="宋体" w:cs="宋体"/>
                <w:color w:val="auto"/>
                <w:szCs w:val="21"/>
                <w:highlight w:val="none"/>
              </w:rPr>
              <w:t>方案不够全面或未提供的，重点难点分析有明显错误或未提供，得0分。</w:t>
            </w:r>
          </w:p>
        </w:tc>
        <w:tc>
          <w:tcPr>
            <w:tcW w:w="707" w:type="dxa"/>
            <w:vAlign w:val="center"/>
          </w:tcPr>
          <w:p>
            <w:pPr>
              <w:snapToGrid w:val="0"/>
              <w:jc w:val="center"/>
              <w:rPr>
                <w:rFonts w:ascii="宋体" w:hAnsi="宋体" w:cs="宋体"/>
                <w:bCs/>
                <w:i/>
                <w:iCs/>
                <w:color w:val="auto"/>
                <w:szCs w:val="21"/>
                <w:highlight w:val="none"/>
              </w:rPr>
            </w:pPr>
            <w:r>
              <w:rPr>
                <w:rFonts w:hint="eastAsia"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飞机喷漆方案</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提供喷漆人员在民航局授权的指定培训机构参加过飞机结构修理-飞机喷漆的项目培训，并取得相应培训机构颁发的培训合格证书，至少提供4份，共1分，每少提供一份减0</w:t>
            </w:r>
            <w:r>
              <w:rPr>
                <w:rFonts w:ascii="宋体" w:hAnsi="宋体" w:cs="宋体"/>
                <w:color w:val="auto"/>
                <w:szCs w:val="21"/>
                <w:highlight w:val="none"/>
              </w:rPr>
              <w:t>.5</w:t>
            </w:r>
            <w:r>
              <w:rPr>
                <w:rFonts w:hint="eastAsia" w:ascii="宋体" w:hAnsi="宋体" w:cs="宋体"/>
                <w:color w:val="auto"/>
                <w:szCs w:val="21"/>
                <w:highlight w:val="none"/>
              </w:rPr>
              <w:t>分，扣完为止。</w:t>
            </w:r>
          </w:p>
          <w:p>
            <w:pPr>
              <w:snapToGrid w:val="0"/>
              <w:rPr>
                <w:rFonts w:ascii="宋体" w:hAnsi="宋体" w:cs="宋体"/>
                <w:color w:val="auto"/>
                <w:szCs w:val="21"/>
                <w:highlight w:val="none"/>
              </w:rPr>
            </w:pPr>
            <w:r>
              <w:rPr>
                <w:rFonts w:hint="eastAsia" w:ascii="宋体" w:hAnsi="宋体" w:cs="宋体"/>
                <w:color w:val="auto"/>
                <w:szCs w:val="21"/>
                <w:highlight w:val="none"/>
              </w:rPr>
              <w:t>体现喷漆方案专业性：（人员、现场准备、物料、安全、质量保证、实效等）提供完善的喷漆方案得1分，不完善不得分。</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 w:val="24"/>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restart"/>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4、企业实力</w:t>
            </w:r>
          </w:p>
        </w:tc>
        <w:tc>
          <w:tcPr>
            <w:tcW w:w="727" w:type="dxa"/>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项目实施单位资质</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如飞机拆解组装工作由投标人执行且投标人是CCAR-145的机体维修单位且具备民航局批准的投标大飞机相应型号的航空器拆解能力（须提供中国民航局颁发的CCAR-145证书扫描件原件并加盖投标人公章），则得3分；</w:t>
            </w:r>
          </w:p>
          <w:p>
            <w:pPr>
              <w:snapToGrid w:val="0"/>
              <w:rPr>
                <w:rFonts w:ascii="宋体" w:hAnsi="宋体" w:cs="宋体"/>
                <w:color w:val="auto"/>
                <w:szCs w:val="21"/>
                <w:highlight w:val="none"/>
              </w:rPr>
            </w:pPr>
            <w:r>
              <w:rPr>
                <w:rFonts w:hint="eastAsia" w:ascii="宋体" w:hAnsi="宋体" w:cs="宋体"/>
                <w:color w:val="auto"/>
                <w:szCs w:val="21"/>
                <w:highlight w:val="none"/>
              </w:rPr>
              <w:t>如投标人通过外委第三方CCAR-145机体维修单位拆解及组装工作，需提供中国民航局颁发给第三方的CCAR-145机体维修证书（该单位需具备中国民航局批准的投标大飞机相应型号的航空器拆解能力）的扫描件原件并加盖CCAR-145单位的公章，且提供双方拆解组装的意向书或合同复印件并加盖投标人公章），则得3分。</w:t>
            </w:r>
          </w:p>
          <w:p>
            <w:pPr>
              <w:snapToGrid w:val="0"/>
              <w:rPr>
                <w:rFonts w:ascii="宋体" w:hAnsi="宋体" w:cs="宋体"/>
                <w:color w:val="auto"/>
                <w:szCs w:val="21"/>
                <w:highlight w:val="none"/>
              </w:rPr>
            </w:pPr>
            <w:r>
              <w:rPr>
                <w:rFonts w:hint="eastAsia" w:ascii="宋体" w:hAnsi="宋体" w:cs="宋体"/>
                <w:color w:val="auto"/>
                <w:szCs w:val="21"/>
                <w:highlight w:val="none"/>
              </w:rPr>
              <w:t>如飞机拆解组装工作由投标人执行且投标人是CCAR-145的机体维修单位（须提供中国民航局颁发的CCAR-145证书扫描件原件并加盖投标人公章），则得1分；</w:t>
            </w:r>
          </w:p>
          <w:p>
            <w:pPr>
              <w:snapToGrid w:val="0"/>
              <w:rPr>
                <w:rFonts w:ascii="宋体" w:hAnsi="宋体" w:cs="宋体"/>
                <w:color w:val="auto"/>
                <w:szCs w:val="21"/>
                <w:highlight w:val="none"/>
              </w:rPr>
            </w:pPr>
            <w:r>
              <w:rPr>
                <w:rFonts w:hint="eastAsia" w:ascii="宋体" w:hAnsi="宋体" w:cs="宋体"/>
                <w:color w:val="auto"/>
                <w:szCs w:val="21"/>
                <w:highlight w:val="none"/>
              </w:rPr>
              <w:t>如投标人通过外委第三方CCAR-145机体维修单位拆解及组装工作，（需提供中国民航局颁发给第三方的CCAR-145机体维修证书的扫描件原件并加盖CCAR-145单位的公章，且提供双方拆解组装的意向书或合同复印件并加盖投标人公章），则得1分。</w:t>
            </w:r>
          </w:p>
          <w:p>
            <w:pPr>
              <w:snapToGrid w:val="0"/>
              <w:rPr>
                <w:rFonts w:ascii="宋体" w:hAnsi="宋体" w:cs="宋体"/>
                <w:color w:val="auto"/>
                <w:szCs w:val="21"/>
                <w:highlight w:val="none"/>
              </w:rPr>
            </w:pPr>
            <w:r>
              <w:rPr>
                <w:rFonts w:hint="eastAsia" w:ascii="宋体" w:hAnsi="宋体" w:cs="宋体"/>
                <w:color w:val="auto"/>
                <w:szCs w:val="21"/>
                <w:highlight w:val="none"/>
              </w:rPr>
              <w:t>不满足上述要求或未提供完整的证明材料得0分。</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3</w:t>
            </w:r>
          </w:p>
        </w:tc>
        <w:tc>
          <w:tcPr>
            <w:tcW w:w="948" w:type="dxa"/>
            <w:vAlign w:val="center"/>
          </w:tcPr>
          <w:p>
            <w:pPr>
              <w:snapToGrid w:val="0"/>
              <w:jc w:val="center"/>
              <w:rPr>
                <w:rFonts w:ascii="宋体" w:hAnsi="宋体" w:cs="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b/>
                <w:bCs/>
                <w:color w:val="auto"/>
                <w:szCs w:val="21"/>
                <w:highlight w:val="none"/>
              </w:rPr>
            </w:pPr>
          </w:p>
        </w:tc>
        <w:tc>
          <w:tcPr>
            <w:tcW w:w="727" w:type="dxa"/>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项目人员资质</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投标人拟派项目人员具备维修执照，每提供1名持照人员得0.</w:t>
            </w:r>
            <w:r>
              <w:rPr>
                <w:rFonts w:ascii="宋体" w:hAnsi="宋体" w:cs="宋体"/>
                <w:color w:val="auto"/>
                <w:szCs w:val="21"/>
                <w:highlight w:val="none"/>
              </w:rPr>
              <w:t>5</w:t>
            </w:r>
            <w:r>
              <w:rPr>
                <w:rFonts w:hint="eastAsia" w:ascii="宋体" w:hAnsi="宋体" w:cs="宋体"/>
                <w:color w:val="auto"/>
                <w:szCs w:val="21"/>
                <w:highlight w:val="none"/>
              </w:rPr>
              <w:t>分，最高得2分。维修执照复印件加盖投标企业公章装订在投标文件中。未能提供的，不得分。（根据最新维修人员管理规定执照已不再区分ME/AV/STR）。</w:t>
            </w:r>
          </w:p>
        </w:tc>
        <w:tc>
          <w:tcPr>
            <w:tcW w:w="70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color w:val="auto"/>
                <w:szCs w:val="21"/>
                <w:highlight w:val="none"/>
              </w:rPr>
            </w:pP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企业基本情况</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投标人具有质量管理体系认证证书（</w:t>
            </w:r>
            <w:r>
              <w:rPr>
                <w:rFonts w:ascii="宋体" w:hAnsi="宋体" w:cs="宋体"/>
                <w:color w:val="auto"/>
                <w:szCs w:val="21"/>
                <w:highlight w:val="none"/>
              </w:rPr>
              <w:t>0.5</w:t>
            </w:r>
            <w:r>
              <w:rPr>
                <w:rFonts w:hint="eastAsia" w:ascii="宋体" w:hAnsi="宋体" w:cs="宋体"/>
                <w:color w:val="auto"/>
                <w:szCs w:val="21"/>
                <w:highlight w:val="none"/>
              </w:rPr>
              <w:t>分）、职业健康管理体系认证证书（</w:t>
            </w:r>
            <w:r>
              <w:rPr>
                <w:rFonts w:ascii="宋体" w:hAnsi="宋体" w:cs="宋体"/>
                <w:color w:val="auto"/>
                <w:szCs w:val="21"/>
                <w:highlight w:val="none"/>
              </w:rPr>
              <w:t>0.5</w:t>
            </w:r>
            <w:r>
              <w:rPr>
                <w:rFonts w:hint="eastAsia" w:ascii="宋体" w:hAnsi="宋体" w:cs="宋体"/>
                <w:color w:val="auto"/>
                <w:szCs w:val="21"/>
                <w:highlight w:val="none"/>
              </w:rPr>
              <w:t>分）提供相应的证明材料。</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1</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5、类似业绩</w:t>
            </w: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类似业绩</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提供近3年内150座及以上大型飞机销售类项目业绩（以合同签订日期为准），每提供1份得</w:t>
            </w:r>
            <w:r>
              <w:rPr>
                <w:rFonts w:ascii="宋体" w:hAnsi="宋体" w:cs="宋体"/>
                <w:color w:val="auto"/>
                <w:szCs w:val="21"/>
                <w:highlight w:val="none"/>
              </w:rPr>
              <w:t>1</w:t>
            </w:r>
            <w:r>
              <w:rPr>
                <w:rFonts w:hint="eastAsia" w:ascii="宋体" w:hAnsi="宋体" w:cs="宋体"/>
                <w:color w:val="auto"/>
                <w:szCs w:val="21"/>
                <w:highlight w:val="none"/>
              </w:rPr>
              <w:t>分，最高得</w:t>
            </w:r>
            <w:r>
              <w:rPr>
                <w:rFonts w:ascii="宋体" w:hAnsi="宋体" w:cs="宋体"/>
                <w:color w:val="auto"/>
                <w:szCs w:val="21"/>
                <w:highlight w:val="none"/>
              </w:rPr>
              <w:t>3</w:t>
            </w:r>
            <w:r>
              <w:rPr>
                <w:rFonts w:hint="eastAsia" w:ascii="宋体" w:hAnsi="宋体" w:cs="宋体"/>
                <w:color w:val="auto"/>
                <w:szCs w:val="21"/>
                <w:highlight w:val="none"/>
              </w:rPr>
              <w:t>分，不提供不得分。须提供中标通知书、或采购合同复印件加盖单位公章（原件备查）。</w:t>
            </w:r>
          </w:p>
        </w:tc>
        <w:tc>
          <w:tcPr>
            <w:tcW w:w="70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3</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6、售后服务</w:t>
            </w: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售后服务年限</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售后服务年限满足采购要求的基础上每增加一年得1分，最多得2分。</w:t>
            </w:r>
          </w:p>
        </w:tc>
        <w:tc>
          <w:tcPr>
            <w:tcW w:w="707" w:type="dxa"/>
            <w:vAlign w:val="center"/>
          </w:tcPr>
          <w:p>
            <w:pPr>
              <w:snapToGrid w:val="0"/>
              <w:jc w:val="center"/>
              <w:rPr>
                <w:rFonts w:ascii="宋体" w:hAnsi="宋体" w:cs="宋体"/>
                <w:b/>
                <w:bCs/>
                <w:color w:val="auto"/>
                <w:szCs w:val="21"/>
                <w:highlight w:val="none"/>
              </w:rPr>
            </w:pPr>
            <w:r>
              <w:rPr>
                <w:rFonts w:hint="eastAsia"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color w:val="auto"/>
                <w:szCs w:val="21"/>
                <w:highlight w:val="none"/>
              </w:rPr>
            </w:pP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日常维护保养方案</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日常维护保养方案思路清晰全面，可操作性强且每年维护保养不少于4次得2分；日常维护保养方案思路不清晰，不全面，可操作性一般，得1分；日常维护保养方案思路混乱或不提供的不得分。</w:t>
            </w:r>
          </w:p>
        </w:tc>
        <w:tc>
          <w:tcPr>
            <w:tcW w:w="70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color w:val="auto"/>
                <w:szCs w:val="21"/>
                <w:highlight w:val="none"/>
              </w:rPr>
            </w:pPr>
          </w:p>
        </w:tc>
        <w:tc>
          <w:tcPr>
            <w:tcW w:w="727" w:type="dxa"/>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售后</w:t>
            </w:r>
          </w:p>
          <w:p>
            <w:pPr>
              <w:snapToGrid w:val="0"/>
              <w:jc w:val="center"/>
              <w:rPr>
                <w:rFonts w:ascii="宋体" w:hAnsi="宋体" w:cs="宋体"/>
                <w:color w:val="auto"/>
                <w:szCs w:val="21"/>
                <w:highlight w:val="none"/>
              </w:rPr>
            </w:pPr>
            <w:r>
              <w:rPr>
                <w:rFonts w:hint="eastAsia" w:ascii="宋体" w:hAnsi="宋体" w:cs="宋体"/>
                <w:color w:val="auto"/>
                <w:szCs w:val="21"/>
                <w:highlight w:val="none"/>
              </w:rPr>
              <w:t>维修方案</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（1）售后维修方案思路清晰全面，可操作性强，得</w:t>
            </w:r>
            <w:r>
              <w:rPr>
                <w:rFonts w:ascii="宋体" w:hAnsi="宋体" w:cs="宋体"/>
                <w:color w:val="auto"/>
                <w:szCs w:val="21"/>
                <w:highlight w:val="none"/>
              </w:rPr>
              <w:t>1</w:t>
            </w:r>
            <w:r>
              <w:rPr>
                <w:rFonts w:hint="eastAsia" w:ascii="宋体" w:hAnsi="宋体" w:cs="宋体"/>
                <w:color w:val="auto"/>
                <w:szCs w:val="21"/>
                <w:highlight w:val="none"/>
              </w:rPr>
              <w:t>分；售后服务方案思路不清晰，不全面，可操作性一般，得</w:t>
            </w:r>
            <w:r>
              <w:rPr>
                <w:rFonts w:ascii="宋体" w:hAnsi="宋体" w:cs="宋体"/>
                <w:color w:val="auto"/>
                <w:szCs w:val="21"/>
                <w:highlight w:val="none"/>
              </w:rPr>
              <w:t>0.5</w:t>
            </w:r>
            <w:r>
              <w:rPr>
                <w:rFonts w:hint="eastAsia" w:ascii="宋体" w:hAnsi="宋体" w:cs="宋体"/>
                <w:color w:val="auto"/>
                <w:szCs w:val="21"/>
                <w:highlight w:val="none"/>
              </w:rPr>
              <w:t>分；售后服务方案思路混乱或不提供的不得分。</w:t>
            </w:r>
          </w:p>
          <w:p>
            <w:pPr>
              <w:snapToGrid w:val="0"/>
              <w:rPr>
                <w:rFonts w:ascii="宋体" w:hAnsi="宋体" w:cs="宋体"/>
                <w:color w:val="auto"/>
                <w:szCs w:val="21"/>
                <w:highlight w:val="none"/>
              </w:rPr>
            </w:pPr>
            <w:r>
              <w:rPr>
                <w:rFonts w:hint="eastAsia" w:ascii="宋体" w:hAnsi="宋体" w:cs="宋体"/>
                <w:color w:val="auto"/>
                <w:szCs w:val="21"/>
                <w:highlight w:val="none"/>
              </w:rPr>
              <w:t>（2）如投标人通过外委第三方CCAR-145机体维修单位后勤服务（需提供中国民航局颁发给第三方的CCAR-145机体维修证书的扫描件且提供双方后勤维护的合同复印件），则得</w:t>
            </w:r>
            <w:r>
              <w:rPr>
                <w:rFonts w:ascii="宋体" w:hAnsi="宋体" w:cs="宋体"/>
                <w:color w:val="auto"/>
                <w:szCs w:val="21"/>
                <w:highlight w:val="none"/>
              </w:rPr>
              <w:t>1</w:t>
            </w:r>
            <w:r>
              <w:rPr>
                <w:rFonts w:hint="eastAsia" w:ascii="宋体" w:hAnsi="宋体" w:cs="宋体"/>
                <w:color w:val="auto"/>
                <w:szCs w:val="21"/>
                <w:highlight w:val="none"/>
              </w:rPr>
              <w:t>分。</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7、培训</w:t>
            </w:r>
          </w:p>
        </w:tc>
        <w:tc>
          <w:tcPr>
            <w:tcW w:w="727" w:type="dxa"/>
            <w:vMerge w:val="restart"/>
            <w:vAlign w:val="center"/>
          </w:tcPr>
          <w:p>
            <w:pPr>
              <w:snapToGrid w:val="0"/>
              <w:jc w:val="center"/>
              <w:rPr>
                <w:rFonts w:ascii="宋体" w:hAnsi="宋体" w:cs="宋体"/>
                <w:color w:val="auto"/>
                <w:szCs w:val="21"/>
                <w:highlight w:val="none"/>
              </w:rPr>
            </w:pPr>
            <w:r>
              <w:rPr>
                <w:rFonts w:hint="eastAsia" w:ascii="宋体" w:hAnsi="宋体" w:cs="宋体"/>
                <w:color w:val="auto"/>
                <w:szCs w:val="21"/>
                <w:highlight w:val="none"/>
              </w:rPr>
              <w:t>培训服务</w:t>
            </w: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所提供机型培训课件与发动机培训课件，应都为CCAR147培训单位批准的课件，共</w:t>
            </w:r>
            <w:r>
              <w:rPr>
                <w:rFonts w:ascii="宋体" w:hAnsi="宋体" w:cs="宋体"/>
                <w:color w:val="auto"/>
                <w:szCs w:val="21"/>
                <w:highlight w:val="none"/>
              </w:rPr>
              <w:t>1</w:t>
            </w:r>
            <w:r>
              <w:rPr>
                <w:rFonts w:hint="eastAsia" w:ascii="宋体" w:hAnsi="宋体" w:cs="宋体"/>
                <w:color w:val="auto"/>
                <w:szCs w:val="21"/>
                <w:highlight w:val="none"/>
              </w:rPr>
              <w:t>分，若为非培训机构使用课件不得分。</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1</w:t>
            </w:r>
          </w:p>
        </w:tc>
        <w:tc>
          <w:tcPr>
            <w:tcW w:w="948" w:type="dxa"/>
            <w:vAlign w:val="center"/>
          </w:tcPr>
          <w:p>
            <w:pPr>
              <w:snapToGrid w:val="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Merge w:val="continue"/>
            <w:vAlign w:val="center"/>
          </w:tcPr>
          <w:p>
            <w:pPr>
              <w:snapToGrid w:val="0"/>
              <w:jc w:val="center"/>
              <w:rPr>
                <w:rFonts w:ascii="宋体" w:hAnsi="宋体" w:cs="宋体"/>
                <w:color w:val="auto"/>
                <w:szCs w:val="21"/>
                <w:highlight w:val="none"/>
              </w:rPr>
            </w:pPr>
          </w:p>
        </w:tc>
        <w:tc>
          <w:tcPr>
            <w:tcW w:w="727" w:type="dxa"/>
            <w:vMerge w:val="continue"/>
            <w:vAlign w:val="center"/>
          </w:tcPr>
          <w:p>
            <w:pPr>
              <w:snapToGrid w:val="0"/>
              <w:jc w:val="center"/>
              <w:rPr>
                <w:rFonts w:ascii="宋体" w:hAnsi="宋体" w:cs="宋体"/>
                <w:color w:val="auto"/>
                <w:szCs w:val="21"/>
                <w:highlight w:val="none"/>
              </w:rPr>
            </w:pPr>
          </w:p>
        </w:tc>
        <w:tc>
          <w:tcPr>
            <w:tcW w:w="6365" w:type="dxa"/>
            <w:vAlign w:val="center"/>
          </w:tcPr>
          <w:p>
            <w:pPr>
              <w:snapToGrid w:val="0"/>
              <w:rPr>
                <w:rFonts w:ascii="宋体" w:hAnsi="宋体" w:cs="宋体"/>
                <w:color w:val="auto"/>
                <w:szCs w:val="21"/>
                <w:highlight w:val="none"/>
              </w:rPr>
            </w:pPr>
            <w:r>
              <w:rPr>
                <w:rFonts w:hint="eastAsia" w:ascii="宋体" w:hAnsi="宋体" w:cs="宋体"/>
                <w:color w:val="auto"/>
                <w:szCs w:val="21"/>
                <w:highlight w:val="none"/>
              </w:rPr>
              <w:t>（1）可提供招标文件中要求的大飞机机型培训，投标人可提供自己或外委第三方培训机构（需提供中国民航局颁发给第三方的CCAR-147民用航空器维修培训机构合格审定规定的证书，外委的需提双方培训协议或合同复印件），则得</w:t>
            </w:r>
            <w:r>
              <w:rPr>
                <w:rFonts w:ascii="宋体" w:hAnsi="宋体" w:cs="宋体"/>
                <w:color w:val="auto"/>
                <w:szCs w:val="21"/>
                <w:highlight w:val="none"/>
              </w:rPr>
              <w:t>1</w:t>
            </w:r>
            <w:r>
              <w:rPr>
                <w:rFonts w:hint="eastAsia" w:ascii="宋体" w:hAnsi="宋体" w:cs="宋体"/>
                <w:color w:val="auto"/>
                <w:szCs w:val="21"/>
                <w:highlight w:val="none"/>
              </w:rPr>
              <w:t>分。</w:t>
            </w:r>
          </w:p>
          <w:p>
            <w:pPr>
              <w:snapToGrid w:val="0"/>
              <w:rPr>
                <w:rFonts w:ascii="宋体" w:hAnsi="宋体" w:cs="宋体"/>
                <w:color w:val="auto"/>
                <w:szCs w:val="21"/>
                <w:highlight w:val="none"/>
              </w:rPr>
            </w:pPr>
            <w:r>
              <w:rPr>
                <w:rFonts w:hint="eastAsia" w:ascii="宋体" w:hAnsi="宋体" w:cs="宋体"/>
                <w:color w:val="auto"/>
                <w:szCs w:val="21"/>
                <w:highlight w:val="none"/>
              </w:rPr>
              <w:t>（2）派驻投标方培训教员，具有投标飞机生产厂家授权教员得1分。</w:t>
            </w:r>
          </w:p>
        </w:tc>
        <w:tc>
          <w:tcPr>
            <w:tcW w:w="707" w:type="dxa"/>
            <w:vAlign w:val="center"/>
          </w:tcPr>
          <w:p>
            <w:pPr>
              <w:snapToGrid w:val="0"/>
              <w:jc w:val="center"/>
              <w:rPr>
                <w:rFonts w:ascii="宋体" w:hAnsi="宋体" w:cs="宋体"/>
                <w:color w:val="auto"/>
                <w:szCs w:val="21"/>
                <w:highlight w:val="none"/>
              </w:rPr>
            </w:pPr>
            <w:r>
              <w:rPr>
                <w:rFonts w:ascii="宋体" w:hAnsi="宋体" w:cs="宋体"/>
                <w:color w:val="auto"/>
                <w:szCs w:val="21"/>
                <w:highlight w:val="none"/>
              </w:rPr>
              <w:t>2</w:t>
            </w:r>
          </w:p>
        </w:tc>
        <w:tc>
          <w:tcPr>
            <w:tcW w:w="948" w:type="dxa"/>
            <w:vAlign w:val="center"/>
          </w:tcPr>
          <w:p>
            <w:pPr>
              <w:snapToGrid w:val="0"/>
              <w:jc w:val="center"/>
              <w:rPr>
                <w:rFonts w:ascii="宋体" w:hAnsi="宋体" w:cs="宋体"/>
                <w:color w:val="auto"/>
                <w:szCs w:val="21"/>
                <w:highlight w:val="none"/>
              </w:rPr>
            </w:pPr>
          </w:p>
        </w:tc>
      </w:tr>
    </w:tbl>
    <w:p>
      <w:pPr>
        <w:snapToGrid w:val="0"/>
        <w:spacing w:line="360" w:lineRule="auto"/>
        <w:jc w:val="center"/>
        <w:rPr>
          <w:rFonts w:ascii="宋体" w:hAnsi="宋体" w:cs="宋体"/>
          <w:b/>
          <w:color w:val="auto"/>
          <w:sz w:val="32"/>
          <w:szCs w:val="20"/>
          <w:highlight w:val="none"/>
        </w:rPr>
      </w:pPr>
      <w:bookmarkStart w:id="571" w:name="_GoBack"/>
      <w:bookmarkEnd w:id="571"/>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废标后，采购机构应当将废标理由通知所有投标人。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1"/>
      <w:bookmarkStart w:id="401" w:name="第五部分"/>
      <w:bookmarkStart w:id="402" w:name="_Toc86217003"/>
    </w:p>
    <w:p>
      <w:pPr>
        <w:spacing w:line="360" w:lineRule="auto"/>
        <w:ind w:left="720" w:leftChars="343" w:firstLine="1084" w:firstLineChars="300"/>
        <w:outlineLvl w:val="0"/>
        <w:rPr>
          <w:rFonts w:ascii="宋体" w:hAnsi="宋体" w:cs="宋体"/>
          <w:b/>
          <w:color w:val="auto"/>
          <w:sz w:val="36"/>
          <w:szCs w:val="36"/>
          <w:highlight w:val="none"/>
        </w:rPr>
        <w:sectPr>
          <w:pgSz w:w="11907" w:h="16840"/>
          <w:pgMar w:top="1440" w:right="1080" w:bottom="1440" w:left="1080" w:header="851" w:footer="851" w:gutter="0"/>
          <w:cols w:space="720" w:num="1"/>
        </w:sect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700"/>
        <w:rPr>
          <w:rFonts w:ascii="宋体" w:hAnsi="宋体" w:cs="宋体"/>
          <w:color w:val="auto"/>
          <w:szCs w:val="24"/>
          <w:highlight w:val="none"/>
        </w:rPr>
      </w:pPr>
    </w:p>
    <w:p>
      <w:pPr>
        <w:pStyle w:val="700"/>
        <w:rPr>
          <w:rFonts w:ascii="宋体" w:hAnsi="宋体" w:cs="宋体"/>
          <w:color w:val="auto"/>
          <w:szCs w:val="24"/>
          <w:highlight w:val="none"/>
        </w:rPr>
      </w:pPr>
    </w:p>
    <w:p>
      <w:pPr>
        <w:pStyle w:val="700"/>
        <w:jc w:val="center"/>
        <w:rPr>
          <w:rFonts w:ascii="宋体" w:hAnsi="宋体" w:cs="宋体"/>
          <w:color w:val="auto"/>
          <w:szCs w:val="24"/>
          <w:highlight w:val="none"/>
        </w:rPr>
      </w:pPr>
    </w:p>
    <w:p>
      <w:pPr>
        <w:pStyle w:val="700"/>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700"/>
        <w:rPr>
          <w:rFonts w:ascii="宋体" w:hAnsi="宋体" w:cs="宋体"/>
          <w:color w:val="auto"/>
          <w:szCs w:val="24"/>
          <w:highlight w:val="none"/>
        </w:rPr>
      </w:pPr>
    </w:p>
    <w:p>
      <w:pPr>
        <w:pStyle w:val="700"/>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7"/>
        <w:spacing w:before="120" w:line="22" w:lineRule="atLeast"/>
        <w:rPr>
          <w:rFonts w:ascii="宋体" w:hAnsi="宋体" w:eastAsia="宋体" w:cs="宋体"/>
          <w:color w:val="auto"/>
          <w:szCs w:val="24"/>
          <w:highlight w:val="none"/>
        </w:rPr>
      </w:pPr>
    </w:p>
    <w:p>
      <w:pPr>
        <w:pStyle w:val="597"/>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40" w:right="1080" w:bottom="1440" w:left="1080" w:header="851" w:footer="851" w:gutter="0"/>
          <w:cols w:space="720" w:num="1"/>
        </w:sectPr>
      </w:pP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杭州技师学院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（同前页项目名称）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为该项目中标供应商。现于中标通知书发出之日起三十日内，按照采购文件确定的事项签订本合同。</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杭州技师学院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napToGrid w:val="0"/>
        <w:ind w:firstLine="482" w:firstLineChars="200"/>
        <w:outlineLvl w:val="0"/>
        <w:rPr>
          <w:rFonts w:ascii="宋体" w:hAnsi="宋体" w:cs="宋体"/>
          <w:b/>
          <w:color w:val="auto"/>
          <w:sz w:val="24"/>
          <w:highlight w:val="none"/>
        </w:rPr>
      </w:pPr>
      <w:bookmarkStart w:id="403" w:name="_Toc24059"/>
      <w:bookmarkStart w:id="404" w:name="_Toc3029"/>
      <w:bookmarkStart w:id="405" w:name="_Toc2232"/>
      <w:r>
        <w:rPr>
          <w:rFonts w:hint="eastAsia" w:ascii="宋体" w:hAnsi="宋体" w:cs="宋体"/>
          <w:b/>
          <w:color w:val="auto"/>
          <w:sz w:val="24"/>
          <w:highlight w:val="none"/>
        </w:rPr>
        <w:t>1.1 合同组成部分</w:t>
      </w:r>
      <w:bookmarkEnd w:id="403"/>
      <w:bookmarkEnd w:id="404"/>
      <w:bookmarkEnd w:id="405"/>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投标文件（含澄清或者说明文件）；</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napToGrid w:val="0"/>
        <w:ind w:firstLine="482" w:firstLineChars="200"/>
        <w:outlineLvl w:val="0"/>
        <w:rPr>
          <w:rFonts w:ascii="宋体" w:hAnsi="宋体" w:cs="宋体"/>
          <w:b/>
          <w:color w:val="auto"/>
          <w:sz w:val="24"/>
          <w:highlight w:val="none"/>
        </w:rPr>
      </w:pPr>
      <w:bookmarkStart w:id="406" w:name="_Toc24300"/>
      <w:bookmarkStart w:id="407" w:name="_Toc27126"/>
      <w:bookmarkStart w:id="408" w:name="_Toc21295"/>
      <w:r>
        <w:rPr>
          <w:rFonts w:hint="eastAsia" w:ascii="宋体" w:hAnsi="宋体" w:cs="宋体"/>
          <w:b/>
          <w:color w:val="auto"/>
          <w:sz w:val="24"/>
          <w:highlight w:val="none"/>
        </w:rPr>
        <w:t>1.2 货物</w:t>
      </w:r>
      <w:bookmarkEnd w:id="406"/>
      <w:bookmarkEnd w:id="407"/>
      <w:bookmarkEnd w:id="408"/>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ind w:firstLine="482" w:firstLineChars="200"/>
        <w:outlineLvl w:val="0"/>
        <w:rPr>
          <w:rFonts w:ascii="宋体" w:hAnsi="宋体" w:cs="宋体"/>
          <w:b/>
          <w:color w:val="auto"/>
          <w:sz w:val="24"/>
          <w:highlight w:val="none"/>
        </w:rPr>
      </w:pPr>
      <w:bookmarkStart w:id="409" w:name="_Toc21631"/>
      <w:bookmarkStart w:id="410" w:name="_Toc21551"/>
      <w:bookmarkStart w:id="411" w:name="_Toc23292"/>
      <w:r>
        <w:rPr>
          <w:rFonts w:hint="eastAsia" w:ascii="宋体" w:hAnsi="宋体" w:cs="宋体"/>
          <w:b/>
          <w:color w:val="auto"/>
          <w:sz w:val="24"/>
          <w:highlight w:val="none"/>
        </w:rPr>
        <w:t>1.3 价款</w:t>
      </w:r>
      <w:bookmarkEnd w:id="409"/>
      <w:bookmarkEnd w:id="410"/>
      <w:bookmarkEnd w:id="411"/>
    </w:p>
    <w:p>
      <w:pPr>
        <w:snapToGrid w:val="0"/>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napToGrid w:val="0"/>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4309"/>
        <w:gridCol w:w="3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430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430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430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430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4309"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8"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3230"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Ansi="宋体" w:cs="宋体"/>
                <w:color w:val="auto"/>
                <w:sz w:val="24"/>
                <w:szCs w:val="24"/>
                <w:highlight w:val="none"/>
              </w:rPr>
            </w:pPr>
          </w:p>
        </w:tc>
      </w:tr>
    </w:tbl>
    <w:p>
      <w:pPr>
        <w:snapToGrid w:val="0"/>
        <w:spacing w:line="360" w:lineRule="auto"/>
        <w:ind w:firstLine="482" w:firstLineChars="200"/>
        <w:outlineLvl w:val="0"/>
        <w:rPr>
          <w:rFonts w:ascii="宋体" w:hAnsi="宋体" w:cs="宋体"/>
          <w:b/>
          <w:color w:val="auto"/>
          <w:sz w:val="24"/>
          <w:highlight w:val="none"/>
        </w:rPr>
      </w:pPr>
      <w:bookmarkStart w:id="412" w:name="_Toc1814"/>
      <w:bookmarkStart w:id="413" w:name="_Toc22618"/>
      <w:bookmarkStart w:id="414" w:name="_Toc10340"/>
      <w:r>
        <w:rPr>
          <w:rFonts w:hint="eastAsia" w:ascii="宋体" w:hAnsi="宋体" w:cs="宋体"/>
          <w:b/>
          <w:color w:val="auto"/>
          <w:sz w:val="24"/>
          <w:highlight w:val="none"/>
        </w:rPr>
        <w:t>1.4 付款</w:t>
      </w:r>
      <w:bookmarkEnd w:id="412"/>
      <w:bookmarkEnd w:id="413"/>
      <w:bookmarkEnd w:id="414"/>
      <w:r>
        <w:rPr>
          <w:rFonts w:hint="eastAsia" w:ascii="宋体" w:hAnsi="宋体" w:cs="宋体"/>
          <w:b/>
          <w:color w:val="auto"/>
          <w:sz w:val="24"/>
          <w:highlight w:val="none"/>
        </w:rPr>
        <w:t>方式、时间和条件</w:t>
      </w:r>
    </w:p>
    <w:p>
      <w:pPr>
        <w:pStyle w:val="958"/>
        <w:snapToGrid w:val="0"/>
        <w:spacing w:before="0" w:beforeAutospacing="0" w:after="0" w:afterAutospacing="0" w:line="360" w:lineRule="auto"/>
        <w:ind w:firstLine="480"/>
        <w:rPr>
          <w:color w:val="auto"/>
          <w:highlight w:val="none"/>
        </w:rPr>
      </w:pPr>
      <w:r>
        <w:rPr>
          <w:rFonts w:hint="eastAsia"/>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napToGrid w:val="0"/>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1.4.4资金支付的方式、时间和条件详见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napToGrid w:val="0"/>
        <w:spacing w:line="360" w:lineRule="auto"/>
        <w:ind w:firstLine="482" w:firstLineChars="200"/>
        <w:outlineLvl w:val="0"/>
        <w:rPr>
          <w:rFonts w:ascii="宋体" w:hAnsi="宋体" w:cs="宋体"/>
          <w:b/>
          <w:color w:val="auto"/>
          <w:sz w:val="24"/>
          <w:highlight w:val="none"/>
        </w:rPr>
      </w:pPr>
      <w:bookmarkStart w:id="415" w:name="_Toc19304"/>
      <w:bookmarkStart w:id="416" w:name="_Toc32071"/>
      <w:bookmarkStart w:id="417" w:name="_Toc2846"/>
      <w:r>
        <w:rPr>
          <w:rFonts w:hint="eastAsia" w:ascii="宋体" w:hAnsi="宋体" w:cs="宋体"/>
          <w:b/>
          <w:color w:val="auto"/>
          <w:sz w:val="24"/>
          <w:highlight w:val="none"/>
        </w:rPr>
        <w:t>1.5 货物交付期限、地点和方式</w:t>
      </w:r>
      <w:bookmarkEnd w:id="415"/>
      <w:bookmarkEnd w:id="416"/>
      <w:bookmarkEnd w:id="417"/>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18" w:name="_Toc19554"/>
      <w:bookmarkStart w:id="419" w:name="_Toc21423"/>
      <w:bookmarkStart w:id="420" w:name="_Toc27250"/>
      <w:r>
        <w:rPr>
          <w:rFonts w:hint="eastAsia" w:ascii="宋体" w:hAnsi="宋体" w:cs="宋体"/>
          <w:b/>
          <w:color w:val="auto"/>
          <w:sz w:val="24"/>
          <w:highlight w:val="none"/>
        </w:rPr>
        <w:t>1.6 违约责任</w:t>
      </w:r>
      <w:bookmarkEnd w:id="418"/>
      <w:bookmarkEnd w:id="419"/>
      <w:bookmarkEnd w:id="420"/>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napToGrid w:val="0"/>
        <w:spacing w:line="360" w:lineRule="auto"/>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1.6.7违约责任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napToGrid w:val="0"/>
        <w:spacing w:line="360" w:lineRule="auto"/>
        <w:ind w:firstLine="482" w:firstLineChars="200"/>
        <w:outlineLvl w:val="0"/>
        <w:rPr>
          <w:rFonts w:ascii="宋体" w:hAnsi="宋体" w:cs="宋体"/>
          <w:b/>
          <w:color w:val="auto"/>
          <w:sz w:val="24"/>
          <w:highlight w:val="none"/>
        </w:rPr>
      </w:pPr>
      <w:bookmarkStart w:id="421" w:name="_Toc15583"/>
      <w:bookmarkStart w:id="422" w:name="_Toc28375"/>
      <w:bookmarkStart w:id="423" w:name="_Toc16021"/>
      <w:r>
        <w:rPr>
          <w:rFonts w:hint="eastAsia" w:ascii="宋体" w:hAnsi="宋体" w:cs="宋体"/>
          <w:b/>
          <w:color w:val="auto"/>
          <w:sz w:val="24"/>
          <w:highlight w:val="none"/>
        </w:rPr>
        <w:t>1.7 合同争议的解决</w:t>
      </w:r>
      <w:bookmarkEnd w:id="421"/>
      <w:bookmarkEnd w:id="422"/>
      <w:bookmarkEnd w:id="423"/>
    </w:p>
    <w:p>
      <w:pPr>
        <w:snapToGrid w:val="0"/>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napToGrid w:val="0"/>
        <w:spacing w:line="360" w:lineRule="auto"/>
        <w:ind w:firstLine="482" w:firstLineChars="200"/>
        <w:outlineLvl w:val="0"/>
        <w:rPr>
          <w:rFonts w:ascii="宋体" w:hAnsi="宋体" w:cs="宋体"/>
          <w:b/>
          <w:color w:val="auto"/>
          <w:sz w:val="24"/>
          <w:highlight w:val="none"/>
        </w:rPr>
      </w:pPr>
      <w:bookmarkStart w:id="424" w:name="_Toc7245"/>
      <w:bookmarkStart w:id="425" w:name="_Toc15322"/>
      <w:bookmarkStart w:id="426" w:name="_Toc11173"/>
      <w:r>
        <w:rPr>
          <w:rFonts w:hint="eastAsia" w:ascii="宋体" w:hAnsi="宋体" w:cs="宋体"/>
          <w:b/>
          <w:color w:val="auto"/>
          <w:sz w:val="24"/>
          <w:highlight w:val="none"/>
        </w:rPr>
        <w:t>1.8 合同生效</w:t>
      </w:r>
      <w:bookmarkEnd w:id="424"/>
      <w:bookmarkEnd w:id="425"/>
      <w:bookmarkEnd w:id="426"/>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pPr>
        <w:autoSpaceDE w:val="0"/>
        <w:autoSpaceDN w:val="0"/>
        <w:snapToGrid w:val="0"/>
        <w:spacing w:line="360" w:lineRule="auto"/>
        <w:rPr>
          <w:rFonts w:ascii="宋体" w:hAnsi="宋体" w:cs="宋体"/>
          <w:color w:val="auto"/>
          <w:sz w:val="24"/>
          <w:highlight w:val="none"/>
          <w:lang w:val="zh-CN"/>
        </w:rPr>
      </w:pP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napToGrid w:val="0"/>
        <w:spacing w:line="360" w:lineRule="auto"/>
        <w:rPr>
          <w:rFonts w:ascii="宋体" w:hAnsi="宋体" w:cs="宋体"/>
          <w:color w:val="auto"/>
          <w:sz w:val="24"/>
          <w:highlight w:val="none"/>
          <w:lang w:val="zh-CN"/>
        </w:rPr>
      </w:pP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napToGrid w:val="0"/>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widowControl/>
        <w:spacing w:line="560" w:lineRule="exact"/>
        <w:jc w:val="left"/>
        <w:rPr>
          <w:rFonts w:ascii="宋体" w:hAnsi="宋体" w:cs="宋体"/>
          <w:b/>
          <w:color w:val="auto"/>
          <w:sz w:val="24"/>
          <w:highlight w:val="none"/>
        </w:rPr>
      </w:pPr>
      <w:bookmarkStart w:id="427" w:name="_Toc331685783"/>
    </w:p>
    <w:p>
      <w:pPr>
        <w:pStyle w:val="700"/>
        <w:spacing w:line="560" w:lineRule="exact"/>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bookmarkEnd w:id="427"/>
    </w:p>
    <w:p>
      <w:pPr>
        <w:snapToGrid w:val="0"/>
        <w:spacing w:line="360" w:lineRule="auto"/>
        <w:ind w:firstLine="482" w:firstLineChars="200"/>
        <w:outlineLvl w:val="0"/>
        <w:rPr>
          <w:rFonts w:ascii="宋体" w:hAnsi="宋体" w:cs="宋体"/>
          <w:b/>
          <w:color w:val="auto"/>
          <w:sz w:val="24"/>
          <w:highlight w:val="none"/>
        </w:rPr>
      </w:pPr>
      <w:bookmarkStart w:id="428" w:name="_Ref467378499"/>
      <w:bookmarkStart w:id="429" w:name="_Toc19614"/>
      <w:bookmarkStart w:id="430" w:name="_Ref467379225"/>
      <w:bookmarkStart w:id="431" w:name="_Ref467379195"/>
      <w:bookmarkStart w:id="432" w:name="_Toc279701240"/>
      <w:bookmarkStart w:id="433" w:name="_Ref467379101"/>
      <w:bookmarkStart w:id="434" w:name="_Ref467378404"/>
      <w:bookmarkStart w:id="435" w:name="_Toc487900349"/>
      <w:bookmarkStart w:id="436" w:name="_Ref467379205"/>
      <w:bookmarkStart w:id="437" w:name="_Toc259093669"/>
      <w:bookmarkStart w:id="438" w:name="_Ref467379214"/>
      <w:bookmarkStart w:id="439" w:name="_Toc28763"/>
      <w:bookmarkStart w:id="440" w:name="_Ref467378463"/>
      <w:bookmarkStart w:id="441" w:name="_Ref467379109"/>
      <w:bookmarkStart w:id="442" w:name="_Toc16917"/>
      <w:bookmarkStart w:id="443" w:name="_Ref467379094"/>
      <w:r>
        <w:rPr>
          <w:rFonts w:hint="eastAsia" w:ascii="宋体" w:hAnsi="宋体" w:cs="宋体"/>
          <w:b/>
          <w:color w:val="auto"/>
          <w:sz w:val="24"/>
          <w:highlight w:val="none"/>
        </w:rPr>
        <w:t>2.1 定义</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napToGrid w:val="0"/>
        <w:spacing w:line="360" w:lineRule="auto"/>
        <w:ind w:firstLine="480" w:firstLineChars="200"/>
        <w:rPr>
          <w:rFonts w:ascii="宋体" w:hAnsi="宋体" w:cs="宋体"/>
          <w:color w:val="auto"/>
          <w:sz w:val="24"/>
          <w:highlight w:val="none"/>
        </w:rPr>
      </w:pPr>
      <w:bookmarkStart w:id="444" w:name="_Ref467378840"/>
      <w:r>
        <w:rPr>
          <w:rFonts w:hint="eastAsia" w:ascii="宋体" w:hAnsi="宋体" w:cs="宋体"/>
          <w:color w:val="auto"/>
          <w:sz w:val="24"/>
          <w:highlight w:val="none"/>
        </w:rPr>
        <w:t>2.1.4 “甲方”系指与中标供应商签署合同的采购人</w:t>
      </w:r>
      <w:bookmarkEnd w:id="444"/>
      <w:r>
        <w:rPr>
          <w:rFonts w:hint="eastAsia" w:ascii="宋体" w:hAnsi="宋体" w:cs="宋体"/>
          <w:color w:val="auto"/>
          <w:sz w:val="24"/>
          <w:highlight w:val="none"/>
        </w:rPr>
        <w:t>；采购人委托采购代理机构代表其与乙方签订合同的，采购人的授权委托书作为合同附件。</w:t>
      </w:r>
    </w:p>
    <w:p>
      <w:pPr>
        <w:snapToGrid w:val="0"/>
        <w:spacing w:line="360" w:lineRule="auto"/>
        <w:ind w:firstLine="480" w:firstLineChars="200"/>
        <w:rPr>
          <w:rFonts w:ascii="宋体" w:hAnsi="宋体" w:cs="宋体"/>
          <w:color w:val="auto"/>
          <w:sz w:val="24"/>
          <w:highlight w:val="none"/>
        </w:rPr>
      </w:pPr>
      <w:bookmarkStart w:id="445" w:name="_Ref467379400"/>
      <w:r>
        <w:rPr>
          <w:rFonts w:hint="eastAsia" w:ascii="宋体" w:hAnsi="宋体" w:cs="宋体"/>
          <w:color w:val="auto"/>
          <w:sz w:val="24"/>
          <w:highlight w:val="none"/>
        </w:rPr>
        <w:t>2.1.5 “乙方”系指根据合同约定交付货物的中标供应商</w:t>
      </w:r>
      <w:bookmarkEnd w:id="445"/>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napToGrid w:val="0"/>
        <w:spacing w:line="360" w:lineRule="auto"/>
        <w:ind w:firstLine="480" w:firstLineChars="200"/>
        <w:rPr>
          <w:rFonts w:ascii="宋体" w:hAnsi="宋体" w:cs="宋体"/>
          <w:color w:val="auto"/>
          <w:sz w:val="24"/>
          <w:highlight w:val="none"/>
        </w:rPr>
      </w:pPr>
      <w:bookmarkStart w:id="446" w:name="_Ref467379436"/>
      <w:r>
        <w:rPr>
          <w:rFonts w:hint="eastAsia" w:ascii="宋体" w:hAnsi="宋体" w:cs="宋体"/>
          <w:color w:val="auto"/>
          <w:sz w:val="24"/>
          <w:highlight w:val="none"/>
        </w:rPr>
        <w:t>2.1.6 “现场”系指合同约定货物将要运至或者安装的地点。</w:t>
      </w:r>
      <w:bookmarkEnd w:id="446"/>
    </w:p>
    <w:p>
      <w:pPr>
        <w:snapToGrid w:val="0"/>
        <w:spacing w:line="360" w:lineRule="auto"/>
        <w:ind w:firstLine="482" w:firstLineChars="200"/>
        <w:outlineLvl w:val="0"/>
        <w:rPr>
          <w:rFonts w:ascii="宋体" w:hAnsi="宋体" w:cs="宋体"/>
          <w:b/>
          <w:color w:val="auto"/>
          <w:sz w:val="24"/>
          <w:highlight w:val="none"/>
        </w:rPr>
      </w:pPr>
      <w:bookmarkStart w:id="447" w:name="_Toc32504"/>
      <w:bookmarkStart w:id="448" w:name="_Toc259093670"/>
      <w:bookmarkStart w:id="449" w:name="_Toc279701241"/>
      <w:bookmarkStart w:id="450" w:name="_Toc487900350"/>
      <w:bookmarkStart w:id="451" w:name="_Toc13336"/>
      <w:bookmarkStart w:id="452" w:name="_Toc27635"/>
      <w:r>
        <w:rPr>
          <w:rFonts w:hint="eastAsia" w:ascii="宋体" w:hAnsi="宋体" w:cs="宋体"/>
          <w:b/>
          <w:color w:val="auto"/>
          <w:sz w:val="24"/>
          <w:highlight w:val="none"/>
        </w:rPr>
        <w:t>2.2 技术规范</w:t>
      </w:r>
      <w:bookmarkEnd w:id="447"/>
      <w:bookmarkEnd w:id="448"/>
      <w:bookmarkEnd w:id="449"/>
      <w:bookmarkEnd w:id="450"/>
      <w:bookmarkEnd w:id="451"/>
      <w:bookmarkEnd w:id="452"/>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napToGrid w:val="0"/>
        <w:spacing w:line="360" w:lineRule="auto"/>
        <w:ind w:firstLine="482" w:firstLineChars="200"/>
        <w:outlineLvl w:val="0"/>
        <w:rPr>
          <w:rFonts w:ascii="宋体" w:hAnsi="宋体" w:cs="宋体"/>
          <w:b/>
          <w:color w:val="auto"/>
          <w:sz w:val="24"/>
          <w:highlight w:val="none"/>
        </w:rPr>
      </w:pPr>
      <w:bookmarkStart w:id="453" w:name="_Toc279701242"/>
      <w:bookmarkStart w:id="454" w:name="_Toc487900351"/>
      <w:bookmarkStart w:id="455" w:name="_Toc27853"/>
      <w:bookmarkStart w:id="456" w:name="_Toc9829"/>
      <w:bookmarkStart w:id="457" w:name="_Toc31634"/>
      <w:bookmarkStart w:id="458" w:name="_Toc259093671"/>
      <w:r>
        <w:rPr>
          <w:rFonts w:hint="eastAsia" w:ascii="宋体" w:hAnsi="宋体" w:cs="宋体"/>
          <w:b/>
          <w:color w:val="auto"/>
          <w:sz w:val="24"/>
          <w:highlight w:val="none"/>
        </w:rPr>
        <w:t>2.3 知识产权</w:t>
      </w:r>
      <w:bookmarkEnd w:id="453"/>
      <w:bookmarkEnd w:id="454"/>
      <w:bookmarkEnd w:id="455"/>
      <w:bookmarkEnd w:id="456"/>
      <w:bookmarkEnd w:id="457"/>
      <w:bookmarkEnd w:id="458"/>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59" w:name="_Toc11932"/>
      <w:bookmarkStart w:id="460" w:name="_Toc4194"/>
      <w:bookmarkStart w:id="461" w:name="_Toc29149"/>
      <w:r>
        <w:rPr>
          <w:rFonts w:hint="eastAsia" w:ascii="宋体" w:hAnsi="宋体" w:cs="宋体"/>
          <w:b/>
          <w:color w:val="auto"/>
          <w:sz w:val="24"/>
          <w:highlight w:val="none"/>
        </w:rPr>
        <w:t>2.4 包装和装运</w:t>
      </w:r>
      <w:bookmarkEnd w:id="459"/>
      <w:bookmarkEnd w:id="460"/>
      <w:bookmarkEnd w:id="461"/>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62" w:name="_Toc487900354"/>
      <w:bookmarkStart w:id="463" w:name="_Ref467379527"/>
      <w:bookmarkStart w:id="464" w:name="_Ref467378591"/>
      <w:bookmarkStart w:id="465" w:name="_Ref467379542"/>
      <w:bookmarkStart w:id="466" w:name="_Toc259093674"/>
      <w:bookmarkStart w:id="467" w:name="_Ref467379536"/>
      <w:bookmarkStart w:id="468" w:name="_Ref467378541"/>
      <w:bookmarkStart w:id="469" w:name="_Toc279701245"/>
      <w:bookmarkStart w:id="470" w:name="_Toc30272"/>
      <w:bookmarkStart w:id="471" w:name="_Toc26182"/>
      <w:bookmarkStart w:id="472" w:name="_Toc19074"/>
      <w:r>
        <w:rPr>
          <w:rFonts w:hint="eastAsia" w:ascii="宋体" w:hAnsi="宋体" w:cs="宋体"/>
          <w:b/>
          <w:color w:val="auto"/>
          <w:sz w:val="24"/>
          <w:highlight w:val="none"/>
        </w:rPr>
        <w:t>2.</w:t>
      </w:r>
      <w:bookmarkEnd w:id="462"/>
      <w:bookmarkEnd w:id="463"/>
      <w:bookmarkEnd w:id="464"/>
      <w:bookmarkEnd w:id="465"/>
      <w:bookmarkEnd w:id="466"/>
      <w:bookmarkEnd w:id="467"/>
      <w:bookmarkEnd w:id="468"/>
      <w:bookmarkEnd w:id="469"/>
      <w:r>
        <w:rPr>
          <w:rFonts w:hint="eastAsia" w:ascii="宋体" w:hAnsi="宋体" w:cs="宋体"/>
          <w:b/>
          <w:color w:val="auto"/>
          <w:sz w:val="24"/>
          <w:highlight w:val="none"/>
        </w:rPr>
        <w:t>5 履约检查和问题反馈</w:t>
      </w:r>
      <w:bookmarkEnd w:id="470"/>
      <w:bookmarkEnd w:id="471"/>
      <w:bookmarkEnd w:id="472"/>
    </w:p>
    <w:p>
      <w:pPr>
        <w:snapToGrid w:val="0"/>
        <w:spacing w:line="360" w:lineRule="auto"/>
        <w:ind w:firstLine="480" w:firstLineChars="200"/>
        <w:rPr>
          <w:rFonts w:ascii="宋体" w:hAnsi="宋体" w:cs="宋体"/>
          <w:color w:val="auto"/>
          <w:sz w:val="24"/>
          <w:highlight w:val="none"/>
        </w:rPr>
      </w:pPr>
      <w:bookmarkStart w:id="473" w:name="_Ref467379657"/>
      <w:r>
        <w:rPr>
          <w:rFonts w:hint="eastAsia" w:ascii="宋体" w:hAnsi="宋体" w:cs="宋体"/>
          <w:color w:val="auto"/>
          <w:sz w:val="24"/>
          <w:highlight w:val="none"/>
        </w:rPr>
        <w:t>2.5.1</w:t>
      </w:r>
      <w:bookmarkEnd w:id="473"/>
      <w:bookmarkStart w:id="474" w:name="_Toc186431854"/>
      <w:bookmarkStart w:id="475" w:name="_Toc259093676"/>
      <w:bookmarkStart w:id="476" w:name="_Ref467379807"/>
      <w:bookmarkStart w:id="477" w:name="_Toc279701247"/>
      <w:bookmarkStart w:id="478" w:name="_Toc487900357"/>
      <w:bookmarkStart w:id="479" w:name="_Ref467379793"/>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74"/>
      <w:bookmarkStart w:id="480" w:name="_Toc186431855"/>
      <w:r>
        <w:rPr>
          <w:rFonts w:hint="eastAsia" w:ascii="宋体" w:hAnsi="宋体" w:cs="宋体"/>
          <w:color w:val="auto"/>
          <w:sz w:val="24"/>
          <w:highlight w:val="none"/>
        </w:rPr>
        <w:t>。</w:t>
      </w:r>
    </w:p>
    <w:bookmarkEnd w:id="475"/>
    <w:bookmarkEnd w:id="476"/>
    <w:bookmarkEnd w:id="477"/>
    <w:bookmarkEnd w:id="478"/>
    <w:bookmarkEnd w:id="479"/>
    <w:bookmarkEnd w:id="480"/>
    <w:p>
      <w:pPr>
        <w:snapToGrid w:val="0"/>
        <w:spacing w:line="360" w:lineRule="auto"/>
        <w:ind w:firstLine="482" w:firstLineChars="200"/>
        <w:outlineLvl w:val="0"/>
        <w:rPr>
          <w:rFonts w:ascii="宋体" w:hAnsi="宋体" w:cs="宋体"/>
          <w:b/>
          <w:color w:val="auto"/>
          <w:sz w:val="24"/>
          <w:highlight w:val="none"/>
        </w:rPr>
      </w:pPr>
      <w:bookmarkStart w:id="481" w:name="_Toc279701248"/>
      <w:bookmarkStart w:id="482" w:name="_Ref467379923"/>
      <w:bookmarkStart w:id="483" w:name="_Ref467379863"/>
      <w:bookmarkStart w:id="484" w:name="_Toc259093677"/>
      <w:bookmarkStart w:id="485" w:name="_Toc487900358"/>
      <w:bookmarkStart w:id="486" w:name="_Ref467379852"/>
      <w:bookmarkStart w:id="487" w:name="_Toc3225"/>
      <w:bookmarkStart w:id="488" w:name="_Toc16110"/>
      <w:bookmarkStart w:id="489" w:name="_Toc774"/>
      <w:r>
        <w:rPr>
          <w:rFonts w:hint="eastAsia" w:ascii="宋体" w:hAnsi="宋体" w:cs="宋体"/>
          <w:b/>
          <w:color w:val="auto"/>
          <w:sz w:val="24"/>
          <w:highlight w:val="none"/>
        </w:rPr>
        <w:t>2.6 技术资料</w:t>
      </w:r>
      <w:bookmarkEnd w:id="481"/>
      <w:bookmarkEnd w:id="482"/>
      <w:bookmarkEnd w:id="483"/>
      <w:bookmarkEnd w:id="484"/>
      <w:bookmarkEnd w:id="485"/>
      <w:bookmarkEnd w:id="486"/>
      <w:r>
        <w:rPr>
          <w:rFonts w:hint="eastAsia" w:ascii="宋体" w:hAnsi="宋体" w:cs="宋体"/>
          <w:b/>
          <w:color w:val="auto"/>
          <w:sz w:val="24"/>
          <w:highlight w:val="none"/>
        </w:rPr>
        <w:t>和保密义务</w:t>
      </w:r>
      <w:bookmarkEnd w:id="487"/>
      <w:bookmarkEnd w:id="488"/>
      <w:bookmarkEnd w:id="48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napToGrid w:val="0"/>
        <w:spacing w:line="360" w:lineRule="auto"/>
        <w:ind w:firstLine="482" w:firstLineChars="200"/>
        <w:outlineLvl w:val="0"/>
        <w:rPr>
          <w:rFonts w:ascii="宋体" w:hAnsi="宋体" w:cs="宋体"/>
          <w:b/>
          <w:color w:val="auto"/>
          <w:sz w:val="24"/>
          <w:highlight w:val="none"/>
        </w:rPr>
      </w:pPr>
      <w:bookmarkStart w:id="490" w:name="_Toc7860"/>
      <w:r>
        <w:rPr>
          <w:rFonts w:hint="eastAsia" w:ascii="宋体" w:hAnsi="宋体" w:cs="宋体"/>
          <w:b/>
          <w:color w:val="auto"/>
          <w:sz w:val="24"/>
          <w:highlight w:val="none"/>
        </w:rPr>
        <w:t>2.7 质量保证</w:t>
      </w:r>
      <w:bookmarkEnd w:id="490"/>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napToGrid w:val="0"/>
        <w:spacing w:line="360" w:lineRule="auto"/>
        <w:ind w:firstLine="482" w:firstLineChars="200"/>
        <w:outlineLvl w:val="0"/>
        <w:rPr>
          <w:rFonts w:ascii="宋体" w:hAnsi="宋体" w:cs="宋体"/>
          <w:b/>
          <w:color w:val="auto"/>
          <w:sz w:val="24"/>
          <w:highlight w:val="none"/>
        </w:rPr>
      </w:pPr>
      <w:bookmarkStart w:id="491" w:name="_Toc17244"/>
      <w:bookmarkStart w:id="492" w:name="_Toc487900362"/>
      <w:bookmarkStart w:id="493" w:name="_Toc259093681"/>
      <w:bookmarkStart w:id="494" w:name="_Toc279701252"/>
      <w:r>
        <w:rPr>
          <w:rFonts w:hint="eastAsia" w:ascii="宋体" w:hAnsi="宋体" w:cs="宋体"/>
          <w:b/>
          <w:color w:val="auto"/>
          <w:sz w:val="24"/>
          <w:highlight w:val="none"/>
        </w:rPr>
        <w:t>2.8 货物的风险负担</w:t>
      </w:r>
      <w:bookmarkEnd w:id="491"/>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ascii="宋体" w:hAnsi="宋体" w:cs="宋体"/>
          <w:b/>
          <w:color w:val="auto"/>
          <w:sz w:val="24"/>
          <w:highlight w:val="none"/>
        </w:rPr>
      </w:pPr>
      <w:bookmarkStart w:id="495" w:name="_Toc14055"/>
      <w:r>
        <w:rPr>
          <w:rFonts w:hint="eastAsia" w:ascii="宋体" w:hAnsi="宋体" w:cs="宋体"/>
          <w:b/>
          <w:color w:val="auto"/>
          <w:sz w:val="24"/>
          <w:highlight w:val="none"/>
        </w:rPr>
        <w:t>2.9 延迟交货</w:t>
      </w:r>
      <w:bookmarkEnd w:id="492"/>
      <w:bookmarkEnd w:id="493"/>
      <w:bookmarkEnd w:id="494"/>
      <w:bookmarkEnd w:id="495"/>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napToGrid w:val="0"/>
        <w:spacing w:line="360" w:lineRule="auto"/>
        <w:ind w:firstLine="482" w:firstLineChars="200"/>
        <w:outlineLvl w:val="0"/>
        <w:rPr>
          <w:rFonts w:ascii="宋体" w:hAnsi="宋体" w:cs="宋体"/>
          <w:b/>
          <w:color w:val="auto"/>
          <w:sz w:val="24"/>
          <w:highlight w:val="none"/>
        </w:rPr>
      </w:pPr>
      <w:bookmarkStart w:id="496" w:name="_Toc7502"/>
      <w:bookmarkStart w:id="497" w:name="_Toc279701254"/>
      <w:bookmarkStart w:id="498" w:name="_Toc487900364"/>
      <w:bookmarkStart w:id="499" w:name="_Toc259093683"/>
      <w:bookmarkStart w:id="500" w:name="_Ref467378121"/>
      <w:r>
        <w:rPr>
          <w:rFonts w:hint="eastAsia" w:ascii="宋体" w:hAnsi="宋体" w:cs="宋体"/>
          <w:b/>
          <w:color w:val="auto"/>
          <w:sz w:val="24"/>
          <w:highlight w:val="none"/>
        </w:rPr>
        <w:t>2.10 合同变更</w:t>
      </w:r>
      <w:bookmarkEnd w:id="496"/>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1" w:name="_Toc487900369"/>
      <w:bookmarkStart w:id="502" w:name="_Toc259093688"/>
      <w:bookmarkStart w:id="503" w:name="_Toc279701259"/>
    </w:p>
    <w:p>
      <w:pPr>
        <w:snapToGrid w:val="0"/>
        <w:spacing w:line="360" w:lineRule="auto"/>
        <w:ind w:firstLine="482" w:firstLineChars="200"/>
        <w:outlineLvl w:val="0"/>
        <w:rPr>
          <w:rFonts w:ascii="宋体" w:hAnsi="宋体" w:cs="宋体"/>
          <w:b/>
          <w:color w:val="auto"/>
          <w:sz w:val="24"/>
          <w:highlight w:val="none"/>
        </w:rPr>
      </w:pPr>
      <w:bookmarkStart w:id="504" w:name="_Toc15237"/>
      <w:bookmarkStart w:id="505" w:name="_Toc10366"/>
      <w:bookmarkStart w:id="506" w:name="_Toc22955"/>
      <w:r>
        <w:rPr>
          <w:rFonts w:hint="eastAsia" w:ascii="宋体" w:hAnsi="宋体" w:cs="宋体"/>
          <w:b/>
          <w:color w:val="auto"/>
          <w:sz w:val="24"/>
          <w:highlight w:val="none"/>
        </w:rPr>
        <w:t>2.11 合同转让</w:t>
      </w:r>
      <w:bookmarkEnd w:id="501"/>
      <w:bookmarkEnd w:id="502"/>
      <w:bookmarkEnd w:id="503"/>
      <w:r>
        <w:rPr>
          <w:rFonts w:hint="eastAsia" w:ascii="宋体" w:hAnsi="宋体" w:cs="宋体"/>
          <w:b/>
          <w:color w:val="auto"/>
          <w:sz w:val="24"/>
          <w:highlight w:val="none"/>
        </w:rPr>
        <w:t>和分包</w:t>
      </w:r>
      <w:bookmarkEnd w:id="504"/>
      <w:bookmarkEnd w:id="505"/>
      <w:bookmarkEnd w:id="506"/>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napToGrid w:val="0"/>
        <w:spacing w:line="360" w:lineRule="auto"/>
        <w:ind w:firstLine="482" w:firstLineChars="200"/>
        <w:outlineLvl w:val="0"/>
        <w:rPr>
          <w:rFonts w:ascii="宋体" w:hAnsi="宋体" w:cs="宋体"/>
          <w:b/>
          <w:color w:val="auto"/>
          <w:sz w:val="24"/>
          <w:highlight w:val="none"/>
        </w:rPr>
      </w:pPr>
      <w:bookmarkStart w:id="507" w:name="_Toc14066"/>
      <w:bookmarkStart w:id="508" w:name="_Toc16508"/>
      <w:bookmarkStart w:id="509" w:name="_Toc13566"/>
      <w:r>
        <w:rPr>
          <w:rFonts w:hint="eastAsia" w:ascii="宋体" w:hAnsi="宋体" w:cs="宋体"/>
          <w:b/>
          <w:color w:val="auto"/>
          <w:sz w:val="24"/>
          <w:highlight w:val="none"/>
        </w:rPr>
        <w:t>2.12 不可抗力</w:t>
      </w:r>
      <w:bookmarkEnd w:id="507"/>
      <w:bookmarkEnd w:id="508"/>
      <w:bookmarkEnd w:id="50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napToGrid w:val="0"/>
        <w:spacing w:line="360" w:lineRule="auto"/>
        <w:ind w:firstLine="482" w:firstLineChars="200"/>
        <w:outlineLvl w:val="0"/>
        <w:rPr>
          <w:rFonts w:ascii="宋体" w:hAnsi="宋体" w:cs="宋体"/>
          <w:b/>
          <w:color w:val="auto"/>
          <w:sz w:val="24"/>
          <w:highlight w:val="none"/>
        </w:rPr>
      </w:pPr>
      <w:bookmarkStart w:id="510" w:name="_Toc30676"/>
      <w:bookmarkStart w:id="511" w:name="_Toc259093684"/>
      <w:bookmarkStart w:id="512" w:name="_Toc279701255"/>
      <w:bookmarkStart w:id="513" w:name="_Toc689"/>
      <w:bookmarkStart w:id="514" w:name="_Toc487900365"/>
      <w:bookmarkStart w:id="515" w:name="_Toc6969"/>
      <w:r>
        <w:rPr>
          <w:rFonts w:hint="eastAsia" w:ascii="宋体" w:hAnsi="宋体" w:cs="宋体"/>
          <w:b/>
          <w:color w:val="auto"/>
          <w:sz w:val="24"/>
          <w:highlight w:val="none"/>
        </w:rPr>
        <w:t>2.13 税费</w:t>
      </w:r>
      <w:bookmarkEnd w:id="510"/>
      <w:bookmarkEnd w:id="511"/>
      <w:bookmarkEnd w:id="512"/>
      <w:bookmarkEnd w:id="513"/>
      <w:bookmarkEnd w:id="514"/>
      <w:bookmarkEnd w:id="515"/>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napToGrid w:val="0"/>
        <w:spacing w:line="360" w:lineRule="auto"/>
        <w:ind w:firstLine="482" w:firstLineChars="200"/>
        <w:outlineLvl w:val="0"/>
        <w:rPr>
          <w:rFonts w:ascii="宋体" w:hAnsi="宋体" w:cs="宋体"/>
          <w:b/>
          <w:color w:val="auto"/>
          <w:sz w:val="24"/>
          <w:highlight w:val="none"/>
        </w:rPr>
      </w:pPr>
      <w:bookmarkStart w:id="516" w:name="_Toc16959"/>
      <w:bookmarkStart w:id="517" w:name="_Toc487900368"/>
      <w:bookmarkStart w:id="518" w:name="_Toc8298"/>
      <w:bookmarkStart w:id="519" w:name="_Toc279701258"/>
      <w:bookmarkStart w:id="520" w:name="_Toc7102"/>
      <w:bookmarkStart w:id="521" w:name="_Toc259093687"/>
      <w:r>
        <w:rPr>
          <w:rFonts w:hint="eastAsia" w:ascii="宋体" w:hAnsi="宋体" w:cs="宋体"/>
          <w:b/>
          <w:color w:val="auto"/>
          <w:sz w:val="24"/>
          <w:highlight w:val="none"/>
        </w:rPr>
        <w:t>2.14乙方破产</w:t>
      </w:r>
      <w:bookmarkEnd w:id="516"/>
      <w:bookmarkEnd w:id="517"/>
      <w:bookmarkEnd w:id="518"/>
      <w:bookmarkEnd w:id="519"/>
      <w:bookmarkEnd w:id="520"/>
      <w:bookmarkEnd w:id="521"/>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napToGrid w:val="0"/>
        <w:spacing w:line="360" w:lineRule="auto"/>
        <w:ind w:firstLine="482" w:firstLineChars="200"/>
        <w:outlineLvl w:val="0"/>
        <w:rPr>
          <w:rFonts w:ascii="宋体" w:hAnsi="宋体" w:cs="宋体"/>
          <w:b/>
          <w:color w:val="auto"/>
          <w:sz w:val="24"/>
          <w:highlight w:val="none"/>
        </w:rPr>
      </w:pPr>
      <w:bookmarkStart w:id="522" w:name="_Toc29333"/>
      <w:bookmarkStart w:id="523" w:name="_Toc15387"/>
      <w:bookmarkStart w:id="524" w:name="_Toc6134"/>
      <w:r>
        <w:rPr>
          <w:rFonts w:hint="eastAsia" w:ascii="宋体" w:hAnsi="宋体" w:cs="宋体"/>
          <w:b/>
          <w:color w:val="auto"/>
          <w:sz w:val="24"/>
          <w:highlight w:val="none"/>
        </w:rPr>
        <w:t>2.15 合同中止、终止</w:t>
      </w:r>
      <w:bookmarkEnd w:id="522"/>
      <w:bookmarkEnd w:id="523"/>
      <w:bookmarkEnd w:id="524"/>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napToGrid w:val="0"/>
        <w:spacing w:line="360" w:lineRule="auto"/>
        <w:ind w:firstLine="482" w:firstLineChars="200"/>
        <w:outlineLvl w:val="0"/>
        <w:rPr>
          <w:rFonts w:ascii="宋体" w:hAnsi="宋体" w:cs="宋体"/>
          <w:b/>
          <w:color w:val="auto"/>
          <w:sz w:val="24"/>
          <w:highlight w:val="none"/>
        </w:rPr>
      </w:pPr>
      <w:bookmarkStart w:id="525" w:name="_Toc14563"/>
      <w:bookmarkStart w:id="526" w:name="_Toc6596"/>
      <w:bookmarkStart w:id="527" w:name="_Toc1125"/>
      <w:r>
        <w:rPr>
          <w:rFonts w:hint="eastAsia" w:ascii="宋体" w:hAnsi="宋体" w:cs="宋体"/>
          <w:b/>
          <w:color w:val="auto"/>
          <w:sz w:val="24"/>
          <w:highlight w:val="none"/>
        </w:rPr>
        <w:t>2.16检验和验收</w:t>
      </w:r>
      <w:bookmarkEnd w:id="525"/>
      <w:bookmarkEnd w:id="526"/>
      <w:bookmarkEnd w:id="527"/>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7"/>
    <w:bookmarkEnd w:id="498"/>
    <w:bookmarkEnd w:id="499"/>
    <w:bookmarkEnd w:id="500"/>
    <w:p>
      <w:pPr>
        <w:snapToGrid w:val="0"/>
        <w:spacing w:line="360" w:lineRule="auto"/>
        <w:ind w:firstLine="482" w:firstLineChars="200"/>
        <w:outlineLvl w:val="0"/>
        <w:rPr>
          <w:rFonts w:ascii="宋体" w:hAnsi="宋体" w:cs="宋体"/>
          <w:b/>
          <w:color w:val="auto"/>
          <w:sz w:val="24"/>
          <w:highlight w:val="none"/>
        </w:rPr>
      </w:pPr>
      <w:bookmarkStart w:id="528" w:name="_Toc259093690"/>
      <w:bookmarkStart w:id="529" w:name="_Toc279701261"/>
      <w:bookmarkStart w:id="530" w:name="_Toc487900371"/>
      <w:bookmarkStart w:id="531" w:name="_Toc19604"/>
      <w:bookmarkStart w:id="532" w:name="_Toc11284"/>
      <w:bookmarkStart w:id="533" w:name="_Toc25182"/>
      <w:r>
        <w:rPr>
          <w:rFonts w:hint="eastAsia" w:ascii="宋体" w:hAnsi="宋体" w:cs="宋体"/>
          <w:b/>
          <w:color w:val="auto"/>
          <w:sz w:val="24"/>
          <w:highlight w:val="none"/>
        </w:rPr>
        <w:t>2.17 通知</w:t>
      </w:r>
      <w:bookmarkEnd w:id="528"/>
      <w:bookmarkEnd w:id="529"/>
      <w:bookmarkEnd w:id="530"/>
      <w:r>
        <w:rPr>
          <w:rFonts w:hint="eastAsia" w:ascii="宋体" w:hAnsi="宋体" w:cs="宋体"/>
          <w:b/>
          <w:color w:val="auto"/>
          <w:sz w:val="24"/>
          <w:highlight w:val="none"/>
        </w:rPr>
        <w:t>和送达</w:t>
      </w:r>
      <w:bookmarkEnd w:id="531"/>
      <w:bookmarkEnd w:id="532"/>
      <w:bookmarkEnd w:id="533"/>
    </w:p>
    <w:p>
      <w:pPr>
        <w:snapToGrid w:val="0"/>
        <w:spacing w:line="360" w:lineRule="auto"/>
        <w:ind w:firstLine="480" w:firstLineChars="200"/>
        <w:rPr>
          <w:rFonts w:ascii="宋体" w:hAnsi="宋体" w:cs="宋体"/>
          <w:color w:val="auto"/>
          <w:sz w:val="24"/>
          <w:highlight w:val="none"/>
        </w:rPr>
      </w:pPr>
      <w:bookmarkStart w:id="534" w:name="_Toc3135"/>
      <w:bookmarkStart w:id="535" w:name="_Toc6698"/>
      <w:bookmarkStart w:id="536" w:name="_Toc487900372"/>
      <w:bookmarkStart w:id="537" w:name="_Toc259093691"/>
      <w:bookmarkStart w:id="538" w:name="_Toc27970126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34"/>
      <w:bookmarkEnd w:id="535"/>
    </w:p>
    <w:p>
      <w:pPr>
        <w:snapToGrid w:val="0"/>
        <w:spacing w:line="360" w:lineRule="auto"/>
        <w:ind w:firstLine="480" w:firstLineChars="200"/>
        <w:rPr>
          <w:rFonts w:ascii="宋体" w:hAnsi="宋体" w:cs="宋体"/>
          <w:color w:val="auto"/>
          <w:sz w:val="24"/>
          <w:highlight w:val="none"/>
        </w:rPr>
      </w:pPr>
      <w:bookmarkStart w:id="539" w:name="_Toc23128"/>
      <w:bookmarkStart w:id="540"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9"/>
      <w:bookmarkEnd w:id="540"/>
    </w:p>
    <w:p>
      <w:pPr>
        <w:snapToGrid w:val="0"/>
        <w:spacing w:line="360" w:lineRule="auto"/>
        <w:ind w:firstLine="482" w:firstLineChars="200"/>
        <w:outlineLvl w:val="0"/>
        <w:rPr>
          <w:rFonts w:ascii="宋体" w:hAnsi="宋体" w:cs="宋体"/>
          <w:b/>
          <w:color w:val="auto"/>
          <w:sz w:val="24"/>
          <w:highlight w:val="none"/>
        </w:rPr>
      </w:pPr>
      <w:bookmarkStart w:id="541" w:name="_Toc4355"/>
      <w:bookmarkStart w:id="542" w:name="_Toc18540"/>
      <w:bookmarkStart w:id="543" w:name="_Toc30599"/>
      <w:r>
        <w:rPr>
          <w:rFonts w:hint="eastAsia" w:ascii="宋体" w:hAnsi="宋体" w:cs="宋体"/>
          <w:b/>
          <w:color w:val="auto"/>
          <w:sz w:val="24"/>
          <w:highlight w:val="none"/>
        </w:rPr>
        <w:t>2.18 计量单位</w:t>
      </w:r>
      <w:bookmarkEnd w:id="536"/>
      <w:bookmarkEnd w:id="537"/>
      <w:bookmarkEnd w:id="538"/>
      <w:bookmarkEnd w:id="541"/>
      <w:bookmarkEnd w:id="542"/>
      <w:bookmarkEnd w:id="543"/>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napToGrid w:val="0"/>
        <w:spacing w:line="360" w:lineRule="auto"/>
        <w:ind w:firstLine="482" w:firstLineChars="200"/>
        <w:outlineLvl w:val="0"/>
        <w:rPr>
          <w:rFonts w:ascii="宋体" w:hAnsi="宋体" w:cs="宋体"/>
          <w:b/>
          <w:color w:val="auto"/>
          <w:sz w:val="24"/>
          <w:highlight w:val="none"/>
        </w:rPr>
      </w:pPr>
      <w:bookmarkStart w:id="544" w:name="_Toc259093692"/>
      <w:bookmarkStart w:id="545" w:name="_Toc487900373"/>
      <w:bookmarkStart w:id="546" w:name="_Toc12773"/>
      <w:bookmarkStart w:id="547" w:name="_Toc279701263"/>
      <w:bookmarkStart w:id="548" w:name="_Toc10330"/>
      <w:bookmarkStart w:id="549" w:name="_Toc18567"/>
      <w:r>
        <w:rPr>
          <w:rFonts w:hint="eastAsia" w:ascii="宋体" w:hAnsi="宋体" w:cs="宋体"/>
          <w:b/>
          <w:color w:val="auto"/>
          <w:sz w:val="24"/>
          <w:highlight w:val="none"/>
        </w:rPr>
        <w:t>2.19 合同使用的文字和适用的法律</w:t>
      </w:r>
      <w:bookmarkEnd w:id="544"/>
      <w:bookmarkEnd w:id="545"/>
      <w:bookmarkEnd w:id="546"/>
      <w:bookmarkEnd w:id="547"/>
      <w:bookmarkEnd w:id="548"/>
      <w:bookmarkEnd w:id="549"/>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napToGrid w:val="0"/>
        <w:spacing w:line="360" w:lineRule="auto"/>
        <w:ind w:firstLine="482" w:firstLineChars="200"/>
        <w:outlineLvl w:val="0"/>
        <w:rPr>
          <w:rFonts w:ascii="宋体" w:hAnsi="宋体" w:cs="宋体"/>
          <w:b/>
          <w:color w:val="auto"/>
          <w:sz w:val="24"/>
          <w:highlight w:val="none"/>
        </w:rPr>
      </w:pPr>
      <w:bookmarkStart w:id="550" w:name="_Toc16673"/>
      <w:bookmarkStart w:id="551" w:name="_Toc279701264"/>
      <w:bookmarkStart w:id="552" w:name="_Toc259093693"/>
      <w:bookmarkStart w:id="553" w:name="_Toc3148"/>
      <w:bookmarkStart w:id="554" w:name="_Toc12004"/>
      <w:bookmarkStart w:id="555" w:name="_Toc487900374"/>
      <w:r>
        <w:rPr>
          <w:rFonts w:hint="eastAsia" w:ascii="宋体" w:hAnsi="宋体" w:cs="宋体"/>
          <w:b/>
          <w:color w:val="auto"/>
          <w:sz w:val="24"/>
          <w:highlight w:val="none"/>
        </w:rPr>
        <w:t>2.20 履约保证金</w:t>
      </w:r>
      <w:bookmarkEnd w:id="550"/>
      <w:bookmarkEnd w:id="551"/>
      <w:bookmarkEnd w:id="552"/>
      <w:bookmarkEnd w:id="553"/>
      <w:bookmarkEnd w:id="554"/>
    </w:p>
    <w:p>
      <w:pPr>
        <w:pStyle w:val="958"/>
        <w:snapToGrid w:val="0"/>
        <w:spacing w:before="0" w:beforeAutospacing="0" w:after="0" w:afterAutospacing="0" w:line="360" w:lineRule="auto"/>
        <w:ind w:firstLine="420"/>
        <w:rPr>
          <w:color w:val="auto"/>
          <w:highlight w:val="none"/>
        </w:rPr>
      </w:pPr>
      <w:r>
        <w:rPr>
          <w:rFonts w:hint="eastAsia"/>
          <w:color w:val="auto"/>
          <w:highlight w:val="none"/>
        </w:rPr>
        <w:t>2.20.1 采购文件要求乙方提交履约保证金的，乙方应按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2.5%的履约保证金；鼓励和支持乙方以银行、保险公司出具的保函形式提供履约保证，乙方以银行、保险公司出具保函形式提交履约保证金的，甲方不得拒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2.20.2  甲方在项目验收结束后及时退还履约保证金。甲方在项目通过验收之日起</w:t>
      </w:r>
      <w:r>
        <w:rPr>
          <w:rFonts w:hint="eastAsia" w:ascii="宋体" w:hAnsi="宋体" w:cs="宋体"/>
          <w:color w:val="auto"/>
          <w:sz w:val="24"/>
          <w:highlight w:val="none"/>
          <w:u w:val="single"/>
        </w:rPr>
        <w:t xml:space="preserve"> 5 </w:t>
      </w:r>
      <w:r>
        <w:rPr>
          <w:rFonts w:hint="eastAsia" w:ascii="宋体" w:hAnsi="宋体" w:cs="宋体"/>
          <w:color w:val="auto"/>
          <w:sz w:val="24"/>
          <w:highlight w:val="none"/>
        </w:rPr>
        <w:t>个工作日内，按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约定的方式将履约保证金退还乙方，逾期退还的，乙方可要求甲方支付违约金，违约金按每迟延退还一日的应退还而未退还金额的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2.20.4 甲方根据杭州市政府采购网公布的供应商履约评价情况减免履约保证金。乙方履约验收评价总分为100分的，甲方免收履约保证金；评价总分在90分以上的，收取履约保证金为合同金额0.5%；评价总分在不满90分或者暂无评分的，收取履约保证金为合同金额1%。</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2.20.5甲方在乙方履行完合同约定义务事项后及时退还，延迟退还的，应当按照合同约定和法律规定承担相应的赔偿责任。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2.21对于因甲方原因导致变更、中止或者终止政府采购合同的，甲方应当依照合同约定对供应商受到的损失予以赔偿或者补偿。</w:t>
      </w:r>
    </w:p>
    <w:bookmarkEnd w:id="555"/>
    <w:p>
      <w:pPr>
        <w:snapToGrid w:val="0"/>
        <w:spacing w:line="360" w:lineRule="auto"/>
        <w:ind w:firstLine="482" w:firstLineChars="200"/>
        <w:outlineLvl w:val="0"/>
        <w:rPr>
          <w:rFonts w:ascii="宋体" w:hAnsi="宋体" w:cs="宋体"/>
          <w:b/>
          <w:color w:val="auto"/>
          <w:sz w:val="24"/>
          <w:highlight w:val="none"/>
        </w:rPr>
      </w:pPr>
      <w:bookmarkStart w:id="556" w:name="_Toc6885"/>
      <w:bookmarkStart w:id="557" w:name="_Toc14001"/>
      <w:bookmarkStart w:id="558" w:name="_Toc19890"/>
      <w:r>
        <w:rPr>
          <w:rFonts w:hint="eastAsia" w:ascii="宋体" w:hAnsi="宋体" w:cs="宋体"/>
          <w:b/>
          <w:color w:val="auto"/>
          <w:sz w:val="24"/>
          <w:highlight w:val="none"/>
        </w:rPr>
        <w:t>2.22合同份数</w:t>
      </w:r>
      <w:bookmarkEnd w:id="556"/>
      <w:bookmarkEnd w:id="557"/>
      <w:bookmarkEnd w:id="558"/>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pStyle w:val="700"/>
        <w:spacing w:after="0"/>
        <w:ind w:left="0" w:leftChars="0" w:firstLine="0" w:firstLineChars="0"/>
        <w:jc w:val="center"/>
        <w:rPr>
          <w:rFonts w:ascii="宋体" w:hAnsi="宋体" w:cs="宋体"/>
          <w:b/>
          <w:color w:val="auto"/>
          <w:szCs w:val="24"/>
          <w:highlight w:val="none"/>
        </w:rPr>
      </w:pPr>
      <w:r>
        <w:rPr>
          <w:rFonts w:hint="eastAsia" w:ascii="宋体" w:hAnsi="宋体" w:cs="宋体"/>
          <w:color w:val="auto"/>
          <w:kern w:val="0"/>
          <w:szCs w:val="24"/>
          <w:highlight w:val="none"/>
        </w:rPr>
        <w:br w:type="page"/>
      </w:r>
      <w:bookmarkStart w:id="559" w:name="_Toc331685784"/>
      <w:r>
        <w:rPr>
          <w:rFonts w:hint="eastAsia" w:ascii="宋体" w:hAnsi="宋体" w:cs="宋体"/>
          <w:b/>
          <w:color w:val="auto"/>
          <w:szCs w:val="24"/>
          <w:highlight w:val="none"/>
        </w:rPr>
        <w:t xml:space="preserve"> </w:t>
      </w:r>
      <w:bookmarkEnd w:id="559"/>
      <w:r>
        <w:rPr>
          <w:rFonts w:hint="eastAsia" w:ascii="宋体" w:hAnsi="宋体" w:cs="宋体"/>
          <w:b/>
          <w:color w:val="auto"/>
          <w:szCs w:val="24"/>
          <w:highlight w:val="none"/>
        </w:rPr>
        <w:t>第三部分  合同专用条款</w:t>
      </w:r>
    </w:p>
    <w:p>
      <w:pPr>
        <w:snapToGrid w:val="0"/>
        <w:spacing w:line="360" w:lineRule="auto"/>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5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4"/>
        <w:gridCol w:w="82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4" w:type="dxa"/>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21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1.4.4</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1.6.7</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8213"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8213"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2.4.2</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8213" w:type="dxa"/>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4" w:type="dxa"/>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2.20.1</w:t>
            </w:r>
          </w:p>
        </w:tc>
        <w:tc>
          <w:tcPr>
            <w:tcW w:w="8213" w:type="dxa"/>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4"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2.20.2 </w:t>
            </w:r>
          </w:p>
        </w:tc>
        <w:tc>
          <w:tcPr>
            <w:tcW w:w="8213"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4"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2.22 </w:t>
            </w:r>
          </w:p>
        </w:tc>
        <w:tc>
          <w:tcPr>
            <w:tcW w:w="8213" w:type="dxa"/>
            <w:vAlign w:val="center"/>
          </w:tcPr>
          <w:p>
            <w:pPr>
              <w:spacing w:line="360" w:lineRule="auto"/>
              <w:rPr>
                <w:rFonts w:ascii="宋体" w:hAnsi="宋体" w:cs="宋体"/>
                <w:color w:val="auto"/>
                <w:sz w:val="24"/>
                <w:highlight w:val="none"/>
              </w:rPr>
            </w:pP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1"/>
      <w:r>
        <w:rPr>
          <w:rFonts w:hint="eastAsia" w:ascii="宋体" w:hAnsi="宋体" w:cs="宋体"/>
          <w:b/>
          <w:color w:val="auto"/>
          <w:sz w:val="36"/>
          <w:szCs w:val="20"/>
          <w:highlight w:val="none"/>
        </w:rPr>
        <w:t xml:space="preserve"> </w:t>
      </w:r>
      <w:bookmarkEnd w:id="402"/>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杭州技师学院、浙江中诺招标代理有限公司：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color w:val="auto"/>
          <w:highlight w:val="none"/>
          <w:lang w:val="zh-CN"/>
        </w:rPr>
        <w:sectPr>
          <w:pgSz w:w="11906" w:h="16838"/>
          <w:pgMar w:top="1276" w:right="1418" w:bottom="1247" w:left="1418" w:header="851" w:footer="992" w:gutter="0"/>
          <w:cols w:space="720" w:num="1"/>
          <w:titlePg/>
          <w:docGrid w:linePitch="312" w:charSpace="0"/>
        </w:sectPr>
      </w:pPr>
    </w:p>
    <w:p>
      <w:pPr>
        <w:pStyle w:val="41"/>
        <w:rPr>
          <w:color w:val="auto"/>
          <w:highlight w:val="none"/>
          <w:lang w:val="zh-CN"/>
        </w:rPr>
      </w:pPr>
    </w:p>
    <w:p>
      <w:pPr>
        <w:pStyle w:val="41"/>
        <w:rPr>
          <w:color w:val="auto"/>
          <w:highlight w:val="none"/>
          <w:lang w:val="zh-CN"/>
        </w:rPr>
      </w:pP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pStyle w:val="26"/>
        <w:rPr>
          <w:color w:val="auto"/>
          <w:highlight w:val="none"/>
        </w:rPr>
      </w:pP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杭州技师学院、浙江中诺招标代理有限公司：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pStyle w:val="26"/>
        <w:rPr>
          <w:color w:val="auto"/>
          <w:highlight w:val="none"/>
        </w:rPr>
      </w:pP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7"/>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w:t>
      </w:r>
    </w:p>
    <w:p>
      <w:pPr>
        <w:widowControl/>
        <w:spacing w:line="360" w:lineRule="auto"/>
        <w:ind w:firstLine="120" w:firstLineChars="50"/>
        <w:jc w:val="left"/>
        <w:rPr>
          <w:rFonts w:ascii="宋体" w:hAnsi="宋体" w:cs="宋体"/>
          <w:color w:val="auto"/>
          <w:sz w:val="24"/>
          <w:highlight w:val="none"/>
        </w:rPr>
      </w:pPr>
      <w:bookmarkStart w:id="560"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60"/>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节能产品认证证书（本项目拟采购的产品不属于政府强制采购的节能产品品目清单范围的，无需提供）</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pStyle w:val="4"/>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4</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88"/>
        <w:gridCol w:w="1129"/>
        <w:gridCol w:w="1277"/>
        <w:gridCol w:w="281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2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525"/>
        <w:gridCol w:w="3394"/>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525"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394"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21"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525" w:type="dxa"/>
          </w:tcPr>
          <w:p>
            <w:pPr>
              <w:jc w:val="center"/>
              <w:rPr>
                <w:rFonts w:ascii="宋体" w:hAnsi="宋体" w:cs="宋体"/>
                <w:b/>
                <w:color w:val="auto"/>
                <w:kern w:val="0"/>
                <w:sz w:val="32"/>
                <w:szCs w:val="32"/>
                <w:highlight w:val="none"/>
              </w:rPr>
            </w:pPr>
          </w:p>
        </w:tc>
        <w:tc>
          <w:tcPr>
            <w:tcW w:w="3394" w:type="dxa"/>
          </w:tcPr>
          <w:p>
            <w:pPr>
              <w:jc w:val="center"/>
              <w:rPr>
                <w:rFonts w:ascii="宋体" w:hAnsi="宋体" w:cs="宋体"/>
                <w:b/>
                <w:color w:val="auto"/>
                <w:kern w:val="0"/>
                <w:sz w:val="32"/>
                <w:szCs w:val="32"/>
                <w:highlight w:val="none"/>
              </w:rPr>
            </w:pPr>
          </w:p>
        </w:tc>
        <w:tc>
          <w:tcPr>
            <w:tcW w:w="1221"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525" w:type="dxa"/>
          </w:tcPr>
          <w:p>
            <w:pPr>
              <w:jc w:val="center"/>
              <w:rPr>
                <w:rFonts w:ascii="宋体" w:hAnsi="宋体" w:cs="宋体"/>
                <w:b/>
                <w:color w:val="auto"/>
                <w:kern w:val="0"/>
                <w:sz w:val="32"/>
                <w:szCs w:val="32"/>
                <w:highlight w:val="none"/>
              </w:rPr>
            </w:pPr>
          </w:p>
        </w:tc>
        <w:tc>
          <w:tcPr>
            <w:tcW w:w="3394" w:type="dxa"/>
          </w:tcPr>
          <w:p>
            <w:pPr>
              <w:jc w:val="center"/>
              <w:rPr>
                <w:rFonts w:ascii="宋体" w:hAnsi="宋体" w:cs="宋体"/>
                <w:b/>
                <w:color w:val="auto"/>
                <w:kern w:val="0"/>
                <w:sz w:val="32"/>
                <w:szCs w:val="32"/>
                <w:highlight w:val="none"/>
              </w:rPr>
            </w:pPr>
          </w:p>
        </w:tc>
        <w:tc>
          <w:tcPr>
            <w:tcW w:w="1221"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525" w:type="dxa"/>
          </w:tcPr>
          <w:p>
            <w:pPr>
              <w:jc w:val="center"/>
              <w:rPr>
                <w:rFonts w:ascii="宋体" w:hAnsi="宋体" w:cs="宋体"/>
                <w:b/>
                <w:color w:val="auto"/>
                <w:kern w:val="0"/>
                <w:sz w:val="32"/>
                <w:szCs w:val="32"/>
                <w:highlight w:val="none"/>
              </w:rPr>
            </w:pPr>
          </w:p>
        </w:tc>
        <w:tc>
          <w:tcPr>
            <w:tcW w:w="3394" w:type="dxa"/>
          </w:tcPr>
          <w:p>
            <w:pPr>
              <w:jc w:val="center"/>
              <w:rPr>
                <w:rFonts w:ascii="宋体" w:hAnsi="宋体" w:cs="宋体"/>
                <w:b/>
                <w:color w:val="auto"/>
                <w:kern w:val="0"/>
                <w:sz w:val="32"/>
                <w:szCs w:val="32"/>
                <w:highlight w:val="none"/>
              </w:rPr>
            </w:pPr>
          </w:p>
        </w:tc>
        <w:tc>
          <w:tcPr>
            <w:tcW w:w="1221"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26"/>
        <w:rPr>
          <w:color w:val="auto"/>
          <w:highlight w:val="none"/>
        </w:rPr>
      </w:pP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杭州技师学院、浙江中诺招标代理有限公司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教学用大飞机采购项目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61" w:name="_Hlk101259491"/>
      <w:r>
        <w:rPr>
          <w:rFonts w:hint="eastAsia" w:ascii="宋体" w:hAnsi="宋体" w:eastAsia="宋体" w:cs="宋体"/>
          <w:color w:val="auto"/>
          <w:sz w:val="32"/>
          <w:szCs w:val="32"/>
          <w:highlight w:val="none"/>
        </w:rPr>
        <w:t>（如果有）</w:t>
      </w:r>
      <w:bookmarkEnd w:id="561"/>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1"/>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tabs>
          <w:tab w:val="left" w:pos="8085"/>
        </w:tabs>
        <w:spacing w:line="360" w:lineRule="auto"/>
        <w:ind w:firstLine="1285" w:firstLineChars="400"/>
        <w:jc w:val="left"/>
        <w:rPr>
          <w:rFonts w:ascii="宋体" w:hAnsi="宋体" w:cs="宋体"/>
          <w:b/>
          <w:color w:val="auto"/>
          <w:sz w:val="32"/>
          <w:szCs w:val="32"/>
          <w:highlight w:val="none"/>
        </w:rPr>
      </w:pPr>
      <w:r>
        <w:rPr>
          <w:rFonts w:hint="eastAsia" w:ascii="宋体" w:hAnsi="宋体" w:cs="宋体"/>
          <w:b/>
          <w:color w:val="auto"/>
          <w:sz w:val="32"/>
          <w:szCs w:val="32"/>
          <w:highlight w:val="none"/>
        </w:rPr>
        <w:t>政府采购支持中小企业信用融资相关事项通知</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一、适用对象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二、相关信息获取方式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三、　政府采购信用融资操作流程：</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（一）线上融资模式：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1.供应商根据合作银行提供的方案，自行选择金融产品，并办理开户等手续；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2.供应商中标后，可通过杭州市政府采购网或“浙里办”测算授信额度；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3.采购合同签订后，供应商在杭州市政府采购网或“浙里办”向合作银行发出融资申请；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4.审批通过后，在线办理放贷手续。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（二）线下融资模式：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1.供应商根据合作银行提供的方案，自行选择金融产品，向合作银行提出信用资格预审，并办理开户等手续；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2.采购合同签订后，供应商在杭州市政府采购网或“浙里办”向合作银行发出融资申请；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4.审批通过后，合作银行应按照合作备忘录中约定的审批放款期限和优惠利率及时予以放款。</w:t>
      </w:r>
    </w:p>
    <w:p>
      <w:pPr>
        <w:pStyle w:val="4"/>
        <w:numPr>
          <w:ilvl w:val="255"/>
          <w:numId w:val="0"/>
        </w:numPr>
        <w:ind w:firstLine="960" w:firstLineChars="4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（三）杭州e融平台申请融资</w:t>
      </w:r>
    </w:p>
    <w:p>
      <w:pPr>
        <w:pStyle w:val="4"/>
        <w:numPr>
          <w:ilvl w:val="255"/>
          <w:numId w:val="0"/>
        </w:numPr>
        <w:ind w:firstLine="960" w:firstLineChars="4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供应商通过杭州e融平台政采贷专区，自行选择金融产品，按规定手续办理贷款流程。</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四、注意事项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color w:val="auto"/>
          <w:kern w:val="0"/>
          <w:sz w:val="24"/>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562" w:name="_Toc465665161"/>
      <w:r>
        <w:rPr>
          <w:rFonts w:hint="eastAsia" w:ascii="宋体" w:hAnsi="宋体" w:cs="宋体"/>
          <w:color w:val="auto"/>
          <w:highlight w:val="none"/>
        </w:rPr>
        <w:t>附件</w:t>
      </w:r>
      <w:bookmarkEnd w:id="562"/>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63" w:name="OLE_LINK14"/>
      <w:bookmarkStart w:id="564" w:name="OLE_LINK13"/>
      <w:r>
        <w:rPr>
          <w:rFonts w:hint="eastAsia" w:ascii="宋体" w:hAnsi="宋体" w:cs="宋体"/>
          <w:b/>
          <w:color w:val="auto"/>
          <w:spacing w:val="6"/>
          <w:sz w:val="32"/>
          <w:szCs w:val="32"/>
          <w:highlight w:val="none"/>
        </w:rPr>
        <w:t>残疾人福利性单位声明函</w:t>
      </w:r>
    </w:p>
    <w:bookmarkEnd w:id="563"/>
    <w:bookmarkEnd w:id="564"/>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杭州技师学院、浙江中诺招标代理有限公司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你方组织的教学用大飞机采购项目项目【招标编号：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6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65"/>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宋体" w:hAnsi="宋体" w:cs="宋体"/>
          <w:b/>
          <w:color w:val="auto"/>
          <w:kern w:val="0"/>
          <w:sz w:val="24"/>
          <w:highlight w:val="none"/>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教学用大飞机采购项目【招标编号：</w:t>
      </w:r>
      <w:r>
        <w:rPr>
          <w:rFonts w:hint="eastAsia" w:ascii="宋体" w:hAnsi="宋体" w:cs="宋体"/>
          <w:color w:val="auto"/>
          <w:sz w:val="24"/>
          <w:highlight w:val="none"/>
          <w:lang w:eastAsia="zh-CN"/>
        </w:rPr>
        <w:t>ZJZN-22930-JY24-01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auto"/>
          <w:kern w:val="0"/>
          <w:sz w:val="24"/>
          <w:highlight w:val="none"/>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6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66"/>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7</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杭州技师学院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教学用大飞机采购项目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p>
      <w:pPr>
        <w:rPr>
          <w:color w:val="auto"/>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bookmarkStart w:id="567" w:name="_Toc91899912"/>
    <w:bookmarkStart w:id="568" w:name="_Toc164085800"/>
    <w:bookmarkStart w:id="569" w:name="_Toc36110187"/>
    <w:bookmarkStart w:id="570" w:name="_Toc131845147"/>
    <w:r>
      <w:rPr>
        <w:rFonts w:hint="eastAsia" w:ascii="仿宋_GB2312" w:eastAsia="仿宋_GB2312"/>
        <w:kern w:val="0"/>
        <w:szCs w:val="21"/>
      </w:rPr>
      <w:t xml:space="preserve"> 页</w:t>
    </w:r>
    <w:bookmarkEnd w:id="567"/>
    <w:bookmarkEnd w:id="568"/>
    <w:bookmarkEnd w:id="569"/>
    <w:bookmarkEnd w:id="57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4F1C4"/>
    <w:multiLevelType w:val="singleLevel"/>
    <w:tmpl w:val="8A04F1C4"/>
    <w:lvl w:ilvl="0" w:tentative="0">
      <w:start w:val="1"/>
      <w:numFmt w:val="chineseCountingThousand"/>
      <w:lvlText w:val="(%1)"/>
      <w:lvlJc w:val="left"/>
      <w:pPr>
        <w:ind w:left="420" w:hanging="420"/>
      </w:pPr>
    </w:lvl>
  </w:abstractNum>
  <w:abstractNum w:abstractNumId="1">
    <w:nsid w:val="9ACB033F"/>
    <w:multiLevelType w:val="singleLevel"/>
    <w:tmpl w:val="9ACB033F"/>
    <w:lvl w:ilvl="0" w:tentative="0">
      <w:start w:val="1"/>
      <w:numFmt w:val="decimal"/>
      <w:lvlText w:val="%1."/>
      <w:lvlJc w:val="left"/>
      <w:pPr>
        <w:ind w:left="420" w:hanging="420"/>
      </w:pPr>
      <w:rPr>
        <w:rFonts w:hint="eastAsia"/>
      </w:rPr>
    </w:lvl>
  </w:abstractNum>
  <w:abstractNum w:abstractNumId="2">
    <w:nsid w:val="9B9DD1EC"/>
    <w:multiLevelType w:val="singleLevel"/>
    <w:tmpl w:val="9B9DD1EC"/>
    <w:lvl w:ilvl="0" w:tentative="0">
      <w:start w:val="1"/>
      <w:numFmt w:val="decimal"/>
      <w:lvlText w:val="%1."/>
      <w:lvlJc w:val="left"/>
      <w:pPr>
        <w:ind w:left="420" w:hanging="420"/>
      </w:pPr>
      <w:rPr>
        <w:rFonts w:hint="eastAsia"/>
      </w:rPr>
    </w:lvl>
  </w:abstractNum>
  <w:abstractNum w:abstractNumId="3">
    <w:nsid w:val="9E9E60D0"/>
    <w:multiLevelType w:val="singleLevel"/>
    <w:tmpl w:val="9E9E60D0"/>
    <w:lvl w:ilvl="0" w:tentative="0">
      <w:start w:val="1"/>
      <w:numFmt w:val="decimal"/>
      <w:suff w:val="nothing"/>
      <w:lvlText w:val="%1、"/>
      <w:lvlJc w:val="left"/>
    </w:lvl>
  </w:abstractNum>
  <w:abstractNum w:abstractNumId="4">
    <w:nsid w:val="9F923AF0"/>
    <w:multiLevelType w:val="singleLevel"/>
    <w:tmpl w:val="9F923AF0"/>
    <w:lvl w:ilvl="0" w:tentative="0">
      <w:start w:val="1"/>
      <w:numFmt w:val="decimal"/>
      <w:lvlText w:val="%1."/>
      <w:lvlJc w:val="left"/>
      <w:pPr>
        <w:ind w:left="420" w:hanging="420"/>
      </w:pPr>
      <w:rPr>
        <w:rFonts w:hint="eastAsia"/>
      </w:rPr>
    </w:lvl>
  </w:abstractNum>
  <w:abstractNum w:abstractNumId="5">
    <w:nsid w:val="AA29197F"/>
    <w:multiLevelType w:val="singleLevel"/>
    <w:tmpl w:val="AA29197F"/>
    <w:lvl w:ilvl="0" w:tentative="0">
      <w:start w:val="1"/>
      <w:numFmt w:val="decimal"/>
      <w:lvlText w:val="%1."/>
      <w:lvlJc w:val="left"/>
      <w:pPr>
        <w:ind w:left="420" w:hanging="420"/>
      </w:pPr>
      <w:rPr>
        <w:rFonts w:hint="eastAsia"/>
      </w:rPr>
    </w:lvl>
  </w:abstractNum>
  <w:abstractNum w:abstractNumId="6">
    <w:nsid w:val="B18BE877"/>
    <w:multiLevelType w:val="singleLevel"/>
    <w:tmpl w:val="B18BE877"/>
    <w:lvl w:ilvl="0" w:tentative="0">
      <w:start w:val="1"/>
      <w:numFmt w:val="decimal"/>
      <w:lvlText w:val="%1."/>
      <w:lvlJc w:val="left"/>
      <w:pPr>
        <w:ind w:left="420" w:hanging="420"/>
      </w:pPr>
      <w:rPr>
        <w:rFonts w:hint="eastAsia"/>
      </w:rPr>
    </w:lvl>
  </w:abstractNum>
  <w:abstractNum w:abstractNumId="7">
    <w:nsid w:val="B7B6B0D3"/>
    <w:multiLevelType w:val="singleLevel"/>
    <w:tmpl w:val="B7B6B0D3"/>
    <w:lvl w:ilvl="0" w:tentative="0">
      <w:start w:val="1"/>
      <w:numFmt w:val="decimal"/>
      <w:lvlText w:val="%1."/>
      <w:lvlJc w:val="left"/>
      <w:pPr>
        <w:ind w:left="420" w:hanging="420"/>
      </w:pPr>
      <w:rPr>
        <w:rFonts w:hint="eastAsia"/>
      </w:rPr>
    </w:lvl>
  </w:abstractNum>
  <w:abstractNum w:abstractNumId="8">
    <w:nsid w:val="BB008A97"/>
    <w:multiLevelType w:val="singleLevel"/>
    <w:tmpl w:val="BB008A97"/>
    <w:lvl w:ilvl="0" w:tentative="0">
      <w:start w:val="1"/>
      <w:numFmt w:val="decimal"/>
      <w:lvlText w:val="%1."/>
      <w:lvlJc w:val="left"/>
      <w:pPr>
        <w:ind w:left="420" w:hanging="420"/>
      </w:pPr>
      <w:rPr>
        <w:rFonts w:hint="eastAsia"/>
      </w:rPr>
    </w:lvl>
  </w:abstractNum>
  <w:abstractNum w:abstractNumId="9">
    <w:nsid w:val="DB1BB91A"/>
    <w:multiLevelType w:val="singleLevel"/>
    <w:tmpl w:val="DB1BB91A"/>
    <w:lvl w:ilvl="0" w:tentative="0">
      <w:start w:val="1"/>
      <w:numFmt w:val="decimal"/>
      <w:lvlText w:val="%1."/>
      <w:lvlJc w:val="left"/>
      <w:pPr>
        <w:ind w:left="420" w:hanging="420"/>
      </w:pPr>
      <w:rPr>
        <w:rFonts w:hint="eastAsia"/>
      </w:rPr>
    </w:lvl>
  </w:abstractNum>
  <w:abstractNum w:abstractNumId="10">
    <w:nsid w:val="0A33FC12"/>
    <w:multiLevelType w:val="singleLevel"/>
    <w:tmpl w:val="0A33FC12"/>
    <w:lvl w:ilvl="0" w:tentative="0">
      <w:start w:val="1"/>
      <w:numFmt w:val="decimal"/>
      <w:lvlText w:val="%1."/>
      <w:lvlJc w:val="left"/>
      <w:pPr>
        <w:ind w:left="420" w:hanging="420"/>
      </w:pPr>
      <w:rPr>
        <w:rFonts w:hint="eastAsia"/>
      </w:rPr>
    </w:lvl>
  </w:abstractNum>
  <w:abstractNum w:abstractNumId="11">
    <w:nsid w:val="0FE91DB8"/>
    <w:multiLevelType w:val="multilevel"/>
    <w:tmpl w:val="0FE91DB8"/>
    <w:lvl w:ilvl="0" w:tentative="0">
      <w:start w:val="1"/>
      <w:numFmt w:val="decimal"/>
      <w:lvlText w:val="（%1）."/>
      <w:lvlJc w:val="left"/>
      <w:pPr>
        <w:ind w:left="840" w:hanging="420"/>
      </w:pPr>
      <w:rPr>
        <w:rFonts w:hint="eastAsia"/>
      </w:rPr>
    </w:lvl>
    <w:lvl w:ilvl="1" w:tentative="0">
      <w:start w:val="0"/>
      <w:numFmt w:val="bullet"/>
      <w:lvlText w:val="※"/>
      <w:lvlJc w:val="left"/>
      <w:pPr>
        <w:ind w:left="1200" w:hanging="360"/>
      </w:pPr>
      <w:rPr>
        <w:rFonts w:hint="eastAsia" w:ascii="宋体" w:hAnsi="宋体" w:eastAsia="宋体" w:cs="仿宋"/>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10D6EE12"/>
    <w:multiLevelType w:val="singleLevel"/>
    <w:tmpl w:val="10D6EE12"/>
    <w:lvl w:ilvl="0" w:tentative="0">
      <w:start w:val="1"/>
      <w:numFmt w:val="decimal"/>
      <w:lvlText w:val="%1."/>
      <w:lvlJc w:val="left"/>
      <w:pPr>
        <w:ind w:left="420" w:hanging="420"/>
      </w:pPr>
      <w:rPr>
        <w:rFonts w:hint="eastAsia"/>
      </w:rPr>
    </w:lvl>
  </w:abstractNum>
  <w:abstractNum w:abstractNumId="13">
    <w:nsid w:val="1787556D"/>
    <w:multiLevelType w:val="multilevel"/>
    <w:tmpl w:val="1787556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B02CCB9"/>
    <w:multiLevelType w:val="singleLevel"/>
    <w:tmpl w:val="1B02CCB9"/>
    <w:lvl w:ilvl="0" w:tentative="0">
      <w:start w:val="1"/>
      <w:numFmt w:val="decimal"/>
      <w:lvlText w:val="%1."/>
      <w:lvlJc w:val="left"/>
      <w:pPr>
        <w:ind w:left="420" w:hanging="420"/>
      </w:pPr>
      <w:rPr>
        <w:rFonts w:hint="eastAsia"/>
      </w:rPr>
    </w:lvl>
  </w:abstractNum>
  <w:abstractNum w:abstractNumId="15">
    <w:nsid w:val="1BE31699"/>
    <w:multiLevelType w:val="multilevel"/>
    <w:tmpl w:val="1BE31699"/>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C5B1661"/>
    <w:multiLevelType w:val="multilevel"/>
    <w:tmpl w:val="1C5B166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3F952B7"/>
    <w:multiLevelType w:val="multilevel"/>
    <w:tmpl w:val="23F952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7E379F5"/>
    <w:multiLevelType w:val="multilevel"/>
    <w:tmpl w:val="27E379F5"/>
    <w:lvl w:ilvl="0" w:tentative="0">
      <w:start w:val="1"/>
      <w:numFmt w:val="decimal"/>
      <w:lvlText w:val="（%1）."/>
      <w:lvlJc w:val="left"/>
      <w:pPr>
        <w:ind w:left="840" w:hanging="420"/>
      </w:pPr>
      <w:rPr>
        <w:rFonts w:hint="eastAsia"/>
      </w:rPr>
    </w:lvl>
    <w:lvl w:ilvl="1" w:tentative="0">
      <w:start w:val="0"/>
      <w:numFmt w:val="bullet"/>
      <w:lvlText w:val="※"/>
      <w:lvlJc w:val="left"/>
      <w:pPr>
        <w:ind w:left="1200" w:hanging="360"/>
      </w:pPr>
      <w:rPr>
        <w:rFonts w:hint="eastAsia" w:ascii="宋体" w:hAnsi="宋体" w:eastAsia="宋体" w:cs="仿宋"/>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296CFF35"/>
    <w:multiLevelType w:val="singleLevel"/>
    <w:tmpl w:val="296CFF35"/>
    <w:lvl w:ilvl="0" w:tentative="0">
      <w:start w:val="1"/>
      <w:numFmt w:val="decimal"/>
      <w:lvlText w:val="%1."/>
      <w:lvlJc w:val="left"/>
      <w:pPr>
        <w:ind w:left="420" w:hanging="420"/>
      </w:pPr>
      <w:rPr>
        <w:rFonts w:hint="eastAsia"/>
      </w:rPr>
    </w:lvl>
  </w:abstractNum>
  <w:abstractNum w:abstractNumId="20">
    <w:nsid w:val="2B62026F"/>
    <w:multiLevelType w:val="multilevel"/>
    <w:tmpl w:val="2B6202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C2E2CA4"/>
    <w:multiLevelType w:val="multilevel"/>
    <w:tmpl w:val="2C2E2C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EDE4775"/>
    <w:multiLevelType w:val="multilevel"/>
    <w:tmpl w:val="2EDE4775"/>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DB62550"/>
    <w:multiLevelType w:val="multilevel"/>
    <w:tmpl w:val="3DB62550"/>
    <w:lvl w:ilvl="0" w:tentative="0">
      <w:start w:val="1"/>
      <w:numFmt w:val="decimal"/>
      <w:lvlText w:val="（%1）."/>
      <w:lvlJc w:val="left"/>
      <w:pPr>
        <w:ind w:left="84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11A55CE"/>
    <w:multiLevelType w:val="multilevel"/>
    <w:tmpl w:val="411A55C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418D07D4"/>
    <w:multiLevelType w:val="multilevel"/>
    <w:tmpl w:val="418D07D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2934A83"/>
    <w:multiLevelType w:val="multilevel"/>
    <w:tmpl w:val="42934A83"/>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43E90249"/>
    <w:multiLevelType w:val="singleLevel"/>
    <w:tmpl w:val="43E90249"/>
    <w:lvl w:ilvl="0" w:tentative="0">
      <w:start w:val="1"/>
      <w:numFmt w:val="decimal"/>
      <w:lvlText w:val="%1."/>
      <w:lvlJc w:val="left"/>
      <w:pPr>
        <w:ind w:left="420" w:hanging="420"/>
      </w:pPr>
      <w:rPr>
        <w:rFonts w:hint="eastAsia"/>
      </w:rPr>
    </w:lvl>
  </w:abstractNum>
  <w:abstractNum w:abstractNumId="28">
    <w:nsid w:val="47595D5C"/>
    <w:multiLevelType w:val="multilevel"/>
    <w:tmpl w:val="47595D5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56FB2DDB"/>
    <w:multiLevelType w:val="multilevel"/>
    <w:tmpl w:val="56FB2DDB"/>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60376C43"/>
    <w:multiLevelType w:val="multilevel"/>
    <w:tmpl w:val="60376C4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65972EB1"/>
    <w:multiLevelType w:val="singleLevel"/>
    <w:tmpl w:val="65972EB1"/>
    <w:lvl w:ilvl="0" w:tentative="0">
      <w:start w:val="1"/>
      <w:numFmt w:val="decimal"/>
      <w:lvlText w:val="%1."/>
      <w:lvlJc w:val="left"/>
      <w:pPr>
        <w:ind w:left="420" w:hanging="420"/>
      </w:pPr>
      <w:rPr>
        <w:rFonts w:hint="eastAsia"/>
      </w:rPr>
    </w:lvl>
  </w:abstractNum>
  <w:abstractNum w:abstractNumId="32">
    <w:nsid w:val="68ECA082"/>
    <w:multiLevelType w:val="singleLevel"/>
    <w:tmpl w:val="68ECA082"/>
    <w:lvl w:ilvl="0" w:tentative="0">
      <w:start w:val="1"/>
      <w:numFmt w:val="decimal"/>
      <w:lvlText w:val="%1."/>
      <w:lvlJc w:val="left"/>
      <w:pPr>
        <w:ind w:left="420" w:hanging="420"/>
      </w:pPr>
      <w:rPr>
        <w:rFonts w:hint="eastAsia"/>
      </w:rPr>
    </w:lvl>
  </w:abstractNum>
  <w:abstractNum w:abstractNumId="33">
    <w:nsid w:val="787592CF"/>
    <w:multiLevelType w:val="singleLevel"/>
    <w:tmpl w:val="787592CF"/>
    <w:lvl w:ilvl="0" w:tentative="0">
      <w:start w:val="1"/>
      <w:numFmt w:val="decimal"/>
      <w:lvlText w:val="%1."/>
      <w:lvlJc w:val="left"/>
      <w:pPr>
        <w:ind w:left="420" w:hanging="420"/>
      </w:pPr>
      <w:rPr>
        <w:rFonts w:hint="eastAsia"/>
      </w:rPr>
    </w:lvl>
  </w:abstractNum>
  <w:abstractNum w:abstractNumId="34">
    <w:nsid w:val="7F8261B5"/>
    <w:multiLevelType w:val="multilevel"/>
    <w:tmpl w:val="7F8261B5"/>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FBD4CD0"/>
    <w:multiLevelType w:val="singleLevel"/>
    <w:tmpl w:val="7FBD4CD0"/>
    <w:lvl w:ilvl="0" w:tentative="0">
      <w:start w:val="1"/>
      <w:numFmt w:val="chineseCountingThousand"/>
      <w:lvlText w:val="(%1)"/>
      <w:lvlJc w:val="left"/>
      <w:pPr>
        <w:ind w:left="420" w:hanging="420"/>
      </w:pPr>
    </w:lvl>
  </w:abstractNum>
  <w:num w:numId="1">
    <w:abstractNumId w:val="20"/>
  </w:num>
  <w:num w:numId="2">
    <w:abstractNumId w:val="30"/>
  </w:num>
  <w:num w:numId="3">
    <w:abstractNumId w:val="21"/>
  </w:num>
  <w:num w:numId="4">
    <w:abstractNumId w:val="34"/>
  </w:num>
  <w:num w:numId="5">
    <w:abstractNumId w:val="25"/>
  </w:num>
  <w:num w:numId="6">
    <w:abstractNumId w:val="0"/>
  </w:num>
  <w:num w:numId="7">
    <w:abstractNumId w:val="35"/>
  </w:num>
  <w:num w:numId="8">
    <w:abstractNumId w:val="10"/>
  </w:num>
  <w:num w:numId="9">
    <w:abstractNumId w:val="7"/>
  </w:num>
  <w:num w:numId="10">
    <w:abstractNumId w:val="31"/>
  </w:num>
  <w:num w:numId="11">
    <w:abstractNumId w:val="27"/>
  </w:num>
  <w:num w:numId="12">
    <w:abstractNumId w:val="32"/>
  </w:num>
  <w:num w:numId="13">
    <w:abstractNumId w:val="12"/>
  </w:num>
  <w:num w:numId="14">
    <w:abstractNumId w:val="9"/>
  </w:num>
  <w:num w:numId="15">
    <w:abstractNumId w:val="1"/>
  </w:num>
  <w:num w:numId="16">
    <w:abstractNumId w:val="5"/>
  </w:num>
  <w:num w:numId="17">
    <w:abstractNumId w:val="8"/>
  </w:num>
  <w:num w:numId="18">
    <w:abstractNumId w:val="2"/>
  </w:num>
  <w:num w:numId="19">
    <w:abstractNumId w:val="4"/>
  </w:num>
  <w:num w:numId="20">
    <w:abstractNumId w:val="14"/>
  </w:num>
  <w:num w:numId="21">
    <w:abstractNumId w:val="6"/>
  </w:num>
  <w:num w:numId="22">
    <w:abstractNumId w:val="33"/>
  </w:num>
  <w:num w:numId="23">
    <w:abstractNumId w:val="19"/>
  </w:num>
  <w:num w:numId="24">
    <w:abstractNumId w:val="16"/>
  </w:num>
  <w:num w:numId="25">
    <w:abstractNumId w:val="17"/>
  </w:num>
  <w:num w:numId="26">
    <w:abstractNumId w:val="26"/>
  </w:num>
  <w:num w:numId="27">
    <w:abstractNumId w:val="29"/>
  </w:num>
  <w:num w:numId="28">
    <w:abstractNumId w:val="13"/>
  </w:num>
  <w:num w:numId="29">
    <w:abstractNumId w:val="15"/>
  </w:num>
  <w:num w:numId="30">
    <w:abstractNumId w:val="11"/>
  </w:num>
  <w:num w:numId="31">
    <w:abstractNumId w:val="18"/>
  </w:num>
  <w:num w:numId="32">
    <w:abstractNumId w:val="22"/>
  </w:num>
  <w:num w:numId="33">
    <w:abstractNumId w:val="3"/>
  </w:num>
  <w:num w:numId="34">
    <w:abstractNumId w:val="23"/>
  </w:num>
  <w:num w:numId="35">
    <w:abstractNumId w:val="2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lYjBjNjYwZjlkMmE3MDE0YTZiNDk4NTI1OGM1MDMifQ=="/>
  </w:docVars>
  <w:rsids>
    <w:rsidRoot w:val="00172A27"/>
    <w:rsid w:val="00000451"/>
    <w:rsid w:val="0000108B"/>
    <w:rsid w:val="0000133D"/>
    <w:rsid w:val="00001509"/>
    <w:rsid w:val="000032B2"/>
    <w:rsid w:val="0000363B"/>
    <w:rsid w:val="0000493D"/>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1E3"/>
    <w:rsid w:val="00025350"/>
    <w:rsid w:val="000253E5"/>
    <w:rsid w:val="00025776"/>
    <w:rsid w:val="00026EAC"/>
    <w:rsid w:val="000270F2"/>
    <w:rsid w:val="00027540"/>
    <w:rsid w:val="00027C08"/>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3189"/>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5FB5"/>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2CB"/>
    <w:rsid w:val="0008580E"/>
    <w:rsid w:val="00085A0E"/>
    <w:rsid w:val="00085C4F"/>
    <w:rsid w:val="00086EFD"/>
    <w:rsid w:val="00086F8A"/>
    <w:rsid w:val="0008701B"/>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A98"/>
    <w:rsid w:val="000F7D4B"/>
    <w:rsid w:val="001004B2"/>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38D"/>
    <w:rsid w:val="0011585B"/>
    <w:rsid w:val="00115B1A"/>
    <w:rsid w:val="001160FF"/>
    <w:rsid w:val="001164F4"/>
    <w:rsid w:val="001167B8"/>
    <w:rsid w:val="001168F8"/>
    <w:rsid w:val="001176FF"/>
    <w:rsid w:val="0012153F"/>
    <w:rsid w:val="0012159D"/>
    <w:rsid w:val="00121804"/>
    <w:rsid w:val="00121EC9"/>
    <w:rsid w:val="0012208F"/>
    <w:rsid w:val="001224FE"/>
    <w:rsid w:val="001231D3"/>
    <w:rsid w:val="001232A7"/>
    <w:rsid w:val="00123388"/>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27F52"/>
    <w:rsid w:val="00131A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3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688"/>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6F6C"/>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967"/>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1C99"/>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96F"/>
    <w:rsid w:val="00216E7B"/>
    <w:rsid w:val="00217E1F"/>
    <w:rsid w:val="002204BC"/>
    <w:rsid w:val="00220AEE"/>
    <w:rsid w:val="00220F7B"/>
    <w:rsid w:val="002213CE"/>
    <w:rsid w:val="00221AF7"/>
    <w:rsid w:val="00222494"/>
    <w:rsid w:val="00222775"/>
    <w:rsid w:val="00222A31"/>
    <w:rsid w:val="00222CF6"/>
    <w:rsid w:val="00224037"/>
    <w:rsid w:val="002244E4"/>
    <w:rsid w:val="00224D2A"/>
    <w:rsid w:val="00224D8D"/>
    <w:rsid w:val="0022555A"/>
    <w:rsid w:val="00226242"/>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4FF4"/>
    <w:rsid w:val="00245565"/>
    <w:rsid w:val="002458C1"/>
    <w:rsid w:val="00245E62"/>
    <w:rsid w:val="002460D0"/>
    <w:rsid w:val="00246357"/>
    <w:rsid w:val="00247422"/>
    <w:rsid w:val="00247BA2"/>
    <w:rsid w:val="00250870"/>
    <w:rsid w:val="0025151C"/>
    <w:rsid w:val="0025184F"/>
    <w:rsid w:val="00251967"/>
    <w:rsid w:val="002527A6"/>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575C8"/>
    <w:rsid w:val="0026119C"/>
    <w:rsid w:val="00261AFE"/>
    <w:rsid w:val="00261CF6"/>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0F7"/>
    <w:rsid w:val="0027244F"/>
    <w:rsid w:val="00273052"/>
    <w:rsid w:val="002739CE"/>
    <w:rsid w:val="00273C5F"/>
    <w:rsid w:val="002741D4"/>
    <w:rsid w:val="002743AC"/>
    <w:rsid w:val="0027499D"/>
    <w:rsid w:val="002751CA"/>
    <w:rsid w:val="0027544D"/>
    <w:rsid w:val="00276561"/>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508"/>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6CEB"/>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05C"/>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6AC2"/>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A7D"/>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C5E"/>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1CE"/>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161"/>
    <w:rsid w:val="00332265"/>
    <w:rsid w:val="00332862"/>
    <w:rsid w:val="00332D52"/>
    <w:rsid w:val="00333337"/>
    <w:rsid w:val="00333A28"/>
    <w:rsid w:val="00333B6C"/>
    <w:rsid w:val="00334927"/>
    <w:rsid w:val="003360AD"/>
    <w:rsid w:val="0033631D"/>
    <w:rsid w:val="003369C7"/>
    <w:rsid w:val="003373A6"/>
    <w:rsid w:val="00337409"/>
    <w:rsid w:val="00337E18"/>
    <w:rsid w:val="00337FF5"/>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D70"/>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104"/>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1D69"/>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464"/>
    <w:rsid w:val="003A1804"/>
    <w:rsid w:val="003A1C44"/>
    <w:rsid w:val="003A20D5"/>
    <w:rsid w:val="003A24CC"/>
    <w:rsid w:val="003A2512"/>
    <w:rsid w:val="003A2A53"/>
    <w:rsid w:val="003A2EE8"/>
    <w:rsid w:val="003A373C"/>
    <w:rsid w:val="003A4998"/>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3A7"/>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5B2"/>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64F"/>
    <w:rsid w:val="004210C0"/>
    <w:rsid w:val="004211DD"/>
    <w:rsid w:val="00421762"/>
    <w:rsid w:val="00421D4B"/>
    <w:rsid w:val="00421ED8"/>
    <w:rsid w:val="00422907"/>
    <w:rsid w:val="00422E59"/>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176"/>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9C7"/>
    <w:rsid w:val="00444A1F"/>
    <w:rsid w:val="00444FC6"/>
    <w:rsid w:val="00445874"/>
    <w:rsid w:val="00445C38"/>
    <w:rsid w:val="0044686B"/>
    <w:rsid w:val="004475F7"/>
    <w:rsid w:val="00450256"/>
    <w:rsid w:val="0045057B"/>
    <w:rsid w:val="0045069B"/>
    <w:rsid w:val="00450B22"/>
    <w:rsid w:val="00451709"/>
    <w:rsid w:val="004518FA"/>
    <w:rsid w:val="00451A02"/>
    <w:rsid w:val="0045277C"/>
    <w:rsid w:val="00453507"/>
    <w:rsid w:val="00453592"/>
    <w:rsid w:val="004543AB"/>
    <w:rsid w:val="004545EC"/>
    <w:rsid w:val="00455967"/>
    <w:rsid w:val="00455EB7"/>
    <w:rsid w:val="00455F71"/>
    <w:rsid w:val="00456272"/>
    <w:rsid w:val="0045679C"/>
    <w:rsid w:val="00456DC8"/>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E83"/>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744"/>
    <w:rsid w:val="00492AF9"/>
    <w:rsid w:val="00492B76"/>
    <w:rsid w:val="00492CB3"/>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30A"/>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267"/>
    <w:rsid w:val="00515973"/>
    <w:rsid w:val="00516069"/>
    <w:rsid w:val="00517AC8"/>
    <w:rsid w:val="00517C3E"/>
    <w:rsid w:val="005207D8"/>
    <w:rsid w:val="0052091D"/>
    <w:rsid w:val="005212F4"/>
    <w:rsid w:val="00521908"/>
    <w:rsid w:val="005224BC"/>
    <w:rsid w:val="00522928"/>
    <w:rsid w:val="00522FF1"/>
    <w:rsid w:val="00523946"/>
    <w:rsid w:val="0052397A"/>
    <w:rsid w:val="0052456F"/>
    <w:rsid w:val="005256D6"/>
    <w:rsid w:val="00525AD8"/>
    <w:rsid w:val="00526429"/>
    <w:rsid w:val="005266C1"/>
    <w:rsid w:val="005267F4"/>
    <w:rsid w:val="005269D3"/>
    <w:rsid w:val="00527317"/>
    <w:rsid w:val="00527ED6"/>
    <w:rsid w:val="0053024F"/>
    <w:rsid w:val="00530C94"/>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688"/>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081B"/>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6C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812"/>
    <w:rsid w:val="005E09CA"/>
    <w:rsid w:val="005E1AB4"/>
    <w:rsid w:val="005E255B"/>
    <w:rsid w:val="005E2CF7"/>
    <w:rsid w:val="005E37FD"/>
    <w:rsid w:val="005E4543"/>
    <w:rsid w:val="005E4888"/>
    <w:rsid w:val="005E4A1C"/>
    <w:rsid w:val="005E56C9"/>
    <w:rsid w:val="005E5CF7"/>
    <w:rsid w:val="005E5FF0"/>
    <w:rsid w:val="005E642A"/>
    <w:rsid w:val="005E65A7"/>
    <w:rsid w:val="005E721E"/>
    <w:rsid w:val="005F04E4"/>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3C"/>
    <w:rsid w:val="0061299E"/>
    <w:rsid w:val="006130D0"/>
    <w:rsid w:val="0061355D"/>
    <w:rsid w:val="006139F7"/>
    <w:rsid w:val="00613AA2"/>
    <w:rsid w:val="00614906"/>
    <w:rsid w:val="0061516C"/>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5E69"/>
    <w:rsid w:val="00636CC7"/>
    <w:rsid w:val="00637F27"/>
    <w:rsid w:val="006405EC"/>
    <w:rsid w:val="00640A4D"/>
    <w:rsid w:val="006418F2"/>
    <w:rsid w:val="00641A84"/>
    <w:rsid w:val="00641B05"/>
    <w:rsid w:val="00641DA1"/>
    <w:rsid w:val="00641E5B"/>
    <w:rsid w:val="00642C69"/>
    <w:rsid w:val="0064330A"/>
    <w:rsid w:val="00643623"/>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05B"/>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2FF"/>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2E35"/>
    <w:rsid w:val="00693867"/>
    <w:rsid w:val="00693B73"/>
    <w:rsid w:val="006945A1"/>
    <w:rsid w:val="00694A53"/>
    <w:rsid w:val="006952DE"/>
    <w:rsid w:val="00695985"/>
    <w:rsid w:val="00695C78"/>
    <w:rsid w:val="00695E6C"/>
    <w:rsid w:val="00695EAC"/>
    <w:rsid w:val="00696C79"/>
    <w:rsid w:val="00697068"/>
    <w:rsid w:val="006973DF"/>
    <w:rsid w:val="006977DE"/>
    <w:rsid w:val="00697D5F"/>
    <w:rsid w:val="006A0098"/>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A7FAB"/>
    <w:rsid w:val="006B0580"/>
    <w:rsid w:val="006B0DA2"/>
    <w:rsid w:val="006B0F70"/>
    <w:rsid w:val="006B1486"/>
    <w:rsid w:val="006B169F"/>
    <w:rsid w:val="006B1BEB"/>
    <w:rsid w:val="006B1D06"/>
    <w:rsid w:val="006B2138"/>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13D"/>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896"/>
    <w:rsid w:val="00705E93"/>
    <w:rsid w:val="007062AF"/>
    <w:rsid w:val="007069AE"/>
    <w:rsid w:val="007069D4"/>
    <w:rsid w:val="00706C89"/>
    <w:rsid w:val="00707967"/>
    <w:rsid w:val="00710257"/>
    <w:rsid w:val="00710587"/>
    <w:rsid w:val="007107D5"/>
    <w:rsid w:val="00710C0A"/>
    <w:rsid w:val="007119DC"/>
    <w:rsid w:val="00711CC7"/>
    <w:rsid w:val="0071230A"/>
    <w:rsid w:val="0071294A"/>
    <w:rsid w:val="00712BDD"/>
    <w:rsid w:val="00712E1E"/>
    <w:rsid w:val="00712F37"/>
    <w:rsid w:val="00713A6B"/>
    <w:rsid w:val="00713CB5"/>
    <w:rsid w:val="007143BB"/>
    <w:rsid w:val="0071499C"/>
    <w:rsid w:val="00714F9D"/>
    <w:rsid w:val="007154D8"/>
    <w:rsid w:val="00715577"/>
    <w:rsid w:val="0071604D"/>
    <w:rsid w:val="00716050"/>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0C3"/>
    <w:rsid w:val="007359F3"/>
    <w:rsid w:val="00735D53"/>
    <w:rsid w:val="0073618A"/>
    <w:rsid w:val="007364A3"/>
    <w:rsid w:val="00736740"/>
    <w:rsid w:val="007378FD"/>
    <w:rsid w:val="007403FE"/>
    <w:rsid w:val="00740614"/>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0D2"/>
    <w:rsid w:val="007B63FC"/>
    <w:rsid w:val="007B6708"/>
    <w:rsid w:val="007B6C20"/>
    <w:rsid w:val="007B6E8D"/>
    <w:rsid w:val="007C029E"/>
    <w:rsid w:val="007C0636"/>
    <w:rsid w:val="007C07A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4E75"/>
    <w:rsid w:val="007D5BA2"/>
    <w:rsid w:val="007D5ED3"/>
    <w:rsid w:val="007D682F"/>
    <w:rsid w:val="007D6FB9"/>
    <w:rsid w:val="007D7211"/>
    <w:rsid w:val="007E0595"/>
    <w:rsid w:val="007E0A63"/>
    <w:rsid w:val="007E0C63"/>
    <w:rsid w:val="007E0E05"/>
    <w:rsid w:val="007E0F5D"/>
    <w:rsid w:val="007E23A1"/>
    <w:rsid w:val="007E259F"/>
    <w:rsid w:val="007E29F6"/>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14E"/>
    <w:rsid w:val="007F78E8"/>
    <w:rsid w:val="007F7F8F"/>
    <w:rsid w:val="00800509"/>
    <w:rsid w:val="0080078E"/>
    <w:rsid w:val="00800B7F"/>
    <w:rsid w:val="008012B1"/>
    <w:rsid w:val="00801D63"/>
    <w:rsid w:val="0080348B"/>
    <w:rsid w:val="0080383A"/>
    <w:rsid w:val="00803D82"/>
    <w:rsid w:val="00803D98"/>
    <w:rsid w:val="008052CE"/>
    <w:rsid w:val="0080548A"/>
    <w:rsid w:val="008058D0"/>
    <w:rsid w:val="00806A4C"/>
    <w:rsid w:val="0080705B"/>
    <w:rsid w:val="0080723C"/>
    <w:rsid w:val="00807F71"/>
    <w:rsid w:val="00807F7D"/>
    <w:rsid w:val="0081000F"/>
    <w:rsid w:val="00812657"/>
    <w:rsid w:val="00812A1A"/>
    <w:rsid w:val="00812DFF"/>
    <w:rsid w:val="008135BD"/>
    <w:rsid w:val="0081362F"/>
    <w:rsid w:val="0081383A"/>
    <w:rsid w:val="0081400F"/>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11F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9EE"/>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0B"/>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322"/>
    <w:rsid w:val="00894E1A"/>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2918"/>
    <w:rsid w:val="008B2F99"/>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5625"/>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6BD"/>
    <w:rsid w:val="008D6D6D"/>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445"/>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3799F"/>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C30"/>
    <w:rsid w:val="00955ED2"/>
    <w:rsid w:val="00956647"/>
    <w:rsid w:val="00956CF3"/>
    <w:rsid w:val="00957380"/>
    <w:rsid w:val="00957409"/>
    <w:rsid w:val="00957499"/>
    <w:rsid w:val="00957ED2"/>
    <w:rsid w:val="009604AE"/>
    <w:rsid w:val="009609AF"/>
    <w:rsid w:val="00960DE4"/>
    <w:rsid w:val="009610C7"/>
    <w:rsid w:val="00961164"/>
    <w:rsid w:val="009612A4"/>
    <w:rsid w:val="00961867"/>
    <w:rsid w:val="009619EC"/>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93E"/>
    <w:rsid w:val="00976BBE"/>
    <w:rsid w:val="00977349"/>
    <w:rsid w:val="00977A16"/>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802"/>
    <w:rsid w:val="009D1AAC"/>
    <w:rsid w:val="009D1BDB"/>
    <w:rsid w:val="009D298F"/>
    <w:rsid w:val="009D2F9C"/>
    <w:rsid w:val="009D4207"/>
    <w:rsid w:val="009D4E4A"/>
    <w:rsid w:val="009D5130"/>
    <w:rsid w:val="009D53D1"/>
    <w:rsid w:val="009D53FB"/>
    <w:rsid w:val="009D56A4"/>
    <w:rsid w:val="009D6081"/>
    <w:rsid w:val="009D64BF"/>
    <w:rsid w:val="009D678C"/>
    <w:rsid w:val="009D6B9A"/>
    <w:rsid w:val="009D6D30"/>
    <w:rsid w:val="009D7523"/>
    <w:rsid w:val="009D76B5"/>
    <w:rsid w:val="009D7AF1"/>
    <w:rsid w:val="009D7BC7"/>
    <w:rsid w:val="009D7FAC"/>
    <w:rsid w:val="009E0109"/>
    <w:rsid w:val="009E0342"/>
    <w:rsid w:val="009E06C7"/>
    <w:rsid w:val="009E098B"/>
    <w:rsid w:val="009E09AB"/>
    <w:rsid w:val="009E0D7D"/>
    <w:rsid w:val="009E0DAF"/>
    <w:rsid w:val="009E19BB"/>
    <w:rsid w:val="009E1C47"/>
    <w:rsid w:val="009E2D59"/>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124"/>
    <w:rsid w:val="009F143E"/>
    <w:rsid w:val="009F1DE8"/>
    <w:rsid w:val="009F2186"/>
    <w:rsid w:val="009F227C"/>
    <w:rsid w:val="009F28DC"/>
    <w:rsid w:val="009F2EDB"/>
    <w:rsid w:val="009F33DC"/>
    <w:rsid w:val="009F3572"/>
    <w:rsid w:val="009F37A9"/>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49EA"/>
    <w:rsid w:val="00A254AB"/>
    <w:rsid w:val="00A259F2"/>
    <w:rsid w:val="00A266CC"/>
    <w:rsid w:val="00A2686B"/>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6EEF"/>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42"/>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1C68"/>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0C5F"/>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47F"/>
    <w:rsid w:val="00AA1DA8"/>
    <w:rsid w:val="00AA222C"/>
    <w:rsid w:val="00AA2264"/>
    <w:rsid w:val="00AA238E"/>
    <w:rsid w:val="00AA2483"/>
    <w:rsid w:val="00AA253B"/>
    <w:rsid w:val="00AA29F8"/>
    <w:rsid w:val="00AA3243"/>
    <w:rsid w:val="00AA388F"/>
    <w:rsid w:val="00AA3C4C"/>
    <w:rsid w:val="00AA408E"/>
    <w:rsid w:val="00AA42F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2CCF"/>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17E70"/>
    <w:rsid w:val="00B20760"/>
    <w:rsid w:val="00B2125C"/>
    <w:rsid w:val="00B21676"/>
    <w:rsid w:val="00B219E1"/>
    <w:rsid w:val="00B21ECF"/>
    <w:rsid w:val="00B22150"/>
    <w:rsid w:val="00B226DE"/>
    <w:rsid w:val="00B22FB5"/>
    <w:rsid w:val="00B241D5"/>
    <w:rsid w:val="00B24BE9"/>
    <w:rsid w:val="00B2551D"/>
    <w:rsid w:val="00B25F8C"/>
    <w:rsid w:val="00B260BB"/>
    <w:rsid w:val="00B260BE"/>
    <w:rsid w:val="00B26677"/>
    <w:rsid w:val="00B26A96"/>
    <w:rsid w:val="00B274E3"/>
    <w:rsid w:val="00B2765C"/>
    <w:rsid w:val="00B27C4B"/>
    <w:rsid w:val="00B30563"/>
    <w:rsid w:val="00B3069E"/>
    <w:rsid w:val="00B30A76"/>
    <w:rsid w:val="00B30E48"/>
    <w:rsid w:val="00B31246"/>
    <w:rsid w:val="00B32295"/>
    <w:rsid w:val="00B33AB5"/>
    <w:rsid w:val="00B3412E"/>
    <w:rsid w:val="00B343E0"/>
    <w:rsid w:val="00B34478"/>
    <w:rsid w:val="00B35B6D"/>
    <w:rsid w:val="00B35D53"/>
    <w:rsid w:val="00B367C4"/>
    <w:rsid w:val="00B36D3E"/>
    <w:rsid w:val="00B37B8E"/>
    <w:rsid w:val="00B40222"/>
    <w:rsid w:val="00B404C3"/>
    <w:rsid w:val="00B4082F"/>
    <w:rsid w:val="00B415E2"/>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83C"/>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4A22"/>
    <w:rsid w:val="00B755B6"/>
    <w:rsid w:val="00B75977"/>
    <w:rsid w:val="00B75A48"/>
    <w:rsid w:val="00B75CC0"/>
    <w:rsid w:val="00B76021"/>
    <w:rsid w:val="00B76FCD"/>
    <w:rsid w:val="00B76FFF"/>
    <w:rsid w:val="00B77409"/>
    <w:rsid w:val="00B7764D"/>
    <w:rsid w:val="00B8003B"/>
    <w:rsid w:val="00B804F8"/>
    <w:rsid w:val="00B8095A"/>
    <w:rsid w:val="00B81274"/>
    <w:rsid w:val="00B815D3"/>
    <w:rsid w:val="00B81742"/>
    <w:rsid w:val="00B817B5"/>
    <w:rsid w:val="00B823A6"/>
    <w:rsid w:val="00B82AB0"/>
    <w:rsid w:val="00B83E76"/>
    <w:rsid w:val="00B83FA0"/>
    <w:rsid w:val="00B84156"/>
    <w:rsid w:val="00B846E6"/>
    <w:rsid w:val="00B8537B"/>
    <w:rsid w:val="00B85586"/>
    <w:rsid w:val="00B861FE"/>
    <w:rsid w:val="00B86289"/>
    <w:rsid w:val="00B863B3"/>
    <w:rsid w:val="00B869D3"/>
    <w:rsid w:val="00B86CF8"/>
    <w:rsid w:val="00B86E44"/>
    <w:rsid w:val="00B87359"/>
    <w:rsid w:val="00B87C7D"/>
    <w:rsid w:val="00B87F1C"/>
    <w:rsid w:val="00B90D8D"/>
    <w:rsid w:val="00B91263"/>
    <w:rsid w:val="00B91B61"/>
    <w:rsid w:val="00B9217C"/>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256"/>
    <w:rsid w:val="00BA050E"/>
    <w:rsid w:val="00BA1289"/>
    <w:rsid w:val="00BA14B2"/>
    <w:rsid w:val="00BA15DC"/>
    <w:rsid w:val="00BA1E2F"/>
    <w:rsid w:val="00BA1EB8"/>
    <w:rsid w:val="00BA2C82"/>
    <w:rsid w:val="00BA3532"/>
    <w:rsid w:val="00BA378C"/>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9E8"/>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6E88"/>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0DA"/>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13CF"/>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0DAA"/>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2ABF"/>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7F"/>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1BF6"/>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976EB"/>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307"/>
    <w:rsid w:val="00CB4550"/>
    <w:rsid w:val="00CB4F39"/>
    <w:rsid w:val="00CB52A4"/>
    <w:rsid w:val="00CB537C"/>
    <w:rsid w:val="00CB5A26"/>
    <w:rsid w:val="00CB5C2A"/>
    <w:rsid w:val="00CB645B"/>
    <w:rsid w:val="00CB6A93"/>
    <w:rsid w:val="00CB6C79"/>
    <w:rsid w:val="00CB77C3"/>
    <w:rsid w:val="00CB7E9C"/>
    <w:rsid w:val="00CC0072"/>
    <w:rsid w:val="00CC027A"/>
    <w:rsid w:val="00CC0915"/>
    <w:rsid w:val="00CC1398"/>
    <w:rsid w:val="00CC1AF5"/>
    <w:rsid w:val="00CC1B74"/>
    <w:rsid w:val="00CC291E"/>
    <w:rsid w:val="00CC2B4A"/>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632"/>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4936"/>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2F8"/>
    <w:rsid w:val="00D17AE8"/>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0EF9"/>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4867"/>
    <w:rsid w:val="00D753A9"/>
    <w:rsid w:val="00D753E9"/>
    <w:rsid w:val="00D755F7"/>
    <w:rsid w:val="00D75DDB"/>
    <w:rsid w:val="00D75E4B"/>
    <w:rsid w:val="00D774F4"/>
    <w:rsid w:val="00D77687"/>
    <w:rsid w:val="00D77AF6"/>
    <w:rsid w:val="00D77FDA"/>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B04"/>
    <w:rsid w:val="00DA0175"/>
    <w:rsid w:val="00DA099C"/>
    <w:rsid w:val="00DA0F18"/>
    <w:rsid w:val="00DA2125"/>
    <w:rsid w:val="00DA21EC"/>
    <w:rsid w:val="00DA24DE"/>
    <w:rsid w:val="00DA270C"/>
    <w:rsid w:val="00DA281F"/>
    <w:rsid w:val="00DA3C5B"/>
    <w:rsid w:val="00DA3D23"/>
    <w:rsid w:val="00DA3D5D"/>
    <w:rsid w:val="00DA4A61"/>
    <w:rsid w:val="00DA50BC"/>
    <w:rsid w:val="00DA5897"/>
    <w:rsid w:val="00DA5AFE"/>
    <w:rsid w:val="00DA61AB"/>
    <w:rsid w:val="00DA61CD"/>
    <w:rsid w:val="00DA6EE2"/>
    <w:rsid w:val="00DA718A"/>
    <w:rsid w:val="00DA71F3"/>
    <w:rsid w:val="00DA78CF"/>
    <w:rsid w:val="00DA78D5"/>
    <w:rsid w:val="00DA7A89"/>
    <w:rsid w:val="00DA7BF4"/>
    <w:rsid w:val="00DB052F"/>
    <w:rsid w:val="00DB14D3"/>
    <w:rsid w:val="00DB154B"/>
    <w:rsid w:val="00DB1BDC"/>
    <w:rsid w:val="00DB2181"/>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1C6C"/>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6FD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A5E"/>
    <w:rsid w:val="00DF6AE5"/>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1F2A"/>
    <w:rsid w:val="00E1224C"/>
    <w:rsid w:val="00E1254C"/>
    <w:rsid w:val="00E12BDF"/>
    <w:rsid w:val="00E13326"/>
    <w:rsid w:val="00E13D07"/>
    <w:rsid w:val="00E14356"/>
    <w:rsid w:val="00E14961"/>
    <w:rsid w:val="00E14D76"/>
    <w:rsid w:val="00E15183"/>
    <w:rsid w:val="00E15D6C"/>
    <w:rsid w:val="00E1720B"/>
    <w:rsid w:val="00E203DE"/>
    <w:rsid w:val="00E20CE7"/>
    <w:rsid w:val="00E21626"/>
    <w:rsid w:val="00E217B1"/>
    <w:rsid w:val="00E222FA"/>
    <w:rsid w:val="00E22482"/>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389"/>
    <w:rsid w:val="00E31687"/>
    <w:rsid w:val="00E31699"/>
    <w:rsid w:val="00E31761"/>
    <w:rsid w:val="00E31812"/>
    <w:rsid w:val="00E31889"/>
    <w:rsid w:val="00E31CE7"/>
    <w:rsid w:val="00E333D5"/>
    <w:rsid w:val="00E3394F"/>
    <w:rsid w:val="00E33A0B"/>
    <w:rsid w:val="00E34A2F"/>
    <w:rsid w:val="00E34CF1"/>
    <w:rsid w:val="00E35A45"/>
    <w:rsid w:val="00E35F7F"/>
    <w:rsid w:val="00E36392"/>
    <w:rsid w:val="00E36B32"/>
    <w:rsid w:val="00E37A6F"/>
    <w:rsid w:val="00E37A9C"/>
    <w:rsid w:val="00E40222"/>
    <w:rsid w:val="00E40406"/>
    <w:rsid w:val="00E4082B"/>
    <w:rsid w:val="00E40835"/>
    <w:rsid w:val="00E408EC"/>
    <w:rsid w:val="00E409B5"/>
    <w:rsid w:val="00E40BCB"/>
    <w:rsid w:val="00E41F65"/>
    <w:rsid w:val="00E4208F"/>
    <w:rsid w:val="00E42E94"/>
    <w:rsid w:val="00E43006"/>
    <w:rsid w:val="00E4312A"/>
    <w:rsid w:val="00E4331B"/>
    <w:rsid w:val="00E43551"/>
    <w:rsid w:val="00E437FA"/>
    <w:rsid w:val="00E45232"/>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286"/>
    <w:rsid w:val="00E57932"/>
    <w:rsid w:val="00E606C4"/>
    <w:rsid w:val="00E60811"/>
    <w:rsid w:val="00E60AB8"/>
    <w:rsid w:val="00E6103E"/>
    <w:rsid w:val="00E6185F"/>
    <w:rsid w:val="00E61D32"/>
    <w:rsid w:val="00E63C60"/>
    <w:rsid w:val="00E64050"/>
    <w:rsid w:val="00E64B7B"/>
    <w:rsid w:val="00E6514D"/>
    <w:rsid w:val="00E65161"/>
    <w:rsid w:val="00E652C9"/>
    <w:rsid w:val="00E655E3"/>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1BE2"/>
    <w:rsid w:val="00EA29E4"/>
    <w:rsid w:val="00EA2E21"/>
    <w:rsid w:val="00EA2EAA"/>
    <w:rsid w:val="00EA380C"/>
    <w:rsid w:val="00EA613D"/>
    <w:rsid w:val="00EA6744"/>
    <w:rsid w:val="00EA7308"/>
    <w:rsid w:val="00EA7474"/>
    <w:rsid w:val="00EB0386"/>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5F5"/>
    <w:rsid w:val="00EC5817"/>
    <w:rsid w:val="00EC594C"/>
    <w:rsid w:val="00EC5C7B"/>
    <w:rsid w:val="00EC66AA"/>
    <w:rsid w:val="00EC68A9"/>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3D5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2E00"/>
    <w:rsid w:val="00F13A10"/>
    <w:rsid w:val="00F14B08"/>
    <w:rsid w:val="00F14B4B"/>
    <w:rsid w:val="00F14B68"/>
    <w:rsid w:val="00F14CD1"/>
    <w:rsid w:val="00F15115"/>
    <w:rsid w:val="00F15567"/>
    <w:rsid w:val="00F15A85"/>
    <w:rsid w:val="00F15C81"/>
    <w:rsid w:val="00F15D8C"/>
    <w:rsid w:val="00F15F18"/>
    <w:rsid w:val="00F16B86"/>
    <w:rsid w:val="00F16E1A"/>
    <w:rsid w:val="00F16F92"/>
    <w:rsid w:val="00F17C3E"/>
    <w:rsid w:val="00F20197"/>
    <w:rsid w:val="00F20369"/>
    <w:rsid w:val="00F20607"/>
    <w:rsid w:val="00F208BB"/>
    <w:rsid w:val="00F209C0"/>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AE5"/>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0F8"/>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3AA"/>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161"/>
    <w:rsid w:val="00FF5C6A"/>
    <w:rsid w:val="00FF651D"/>
    <w:rsid w:val="00FF6843"/>
    <w:rsid w:val="00FF6C25"/>
    <w:rsid w:val="010651D9"/>
    <w:rsid w:val="011F6449"/>
    <w:rsid w:val="01236AFB"/>
    <w:rsid w:val="018C5646"/>
    <w:rsid w:val="019F7441"/>
    <w:rsid w:val="01B37585"/>
    <w:rsid w:val="01D55165"/>
    <w:rsid w:val="01DF6BF8"/>
    <w:rsid w:val="01EC2C57"/>
    <w:rsid w:val="025F0711"/>
    <w:rsid w:val="026B2E25"/>
    <w:rsid w:val="02824D4D"/>
    <w:rsid w:val="02DC4B10"/>
    <w:rsid w:val="02DD76CE"/>
    <w:rsid w:val="02F36323"/>
    <w:rsid w:val="02F5619C"/>
    <w:rsid w:val="031E6F4C"/>
    <w:rsid w:val="0326446A"/>
    <w:rsid w:val="032D5555"/>
    <w:rsid w:val="036634D2"/>
    <w:rsid w:val="03DD35E4"/>
    <w:rsid w:val="04076900"/>
    <w:rsid w:val="041A5A3B"/>
    <w:rsid w:val="042311BA"/>
    <w:rsid w:val="042B157A"/>
    <w:rsid w:val="048F763B"/>
    <w:rsid w:val="049F330E"/>
    <w:rsid w:val="04AA775C"/>
    <w:rsid w:val="04AF1889"/>
    <w:rsid w:val="04F0317B"/>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BD7E3A"/>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9D21CB"/>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3A41D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E570BB"/>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2D22EB"/>
    <w:rsid w:val="146D271E"/>
    <w:rsid w:val="14982588"/>
    <w:rsid w:val="149A5AD9"/>
    <w:rsid w:val="14A7619D"/>
    <w:rsid w:val="14F275B8"/>
    <w:rsid w:val="150536C3"/>
    <w:rsid w:val="150C1963"/>
    <w:rsid w:val="151447A0"/>
    <w:rsid w:val="154A6454"/>
    <w:rsid w:val="15762120"/>
    <w:rsid w:val="16A8729C"/>
    <w:rsid w:val="16B33777"/>
    <w:rsid w:val="16BC70A7"/>
    <w:rsid w:val="16C6339E"/>
    <w:rsid w:val="16E9549B"/>
    <w:rsid w:val="172F2D79"/>
    <w:rsid w:val="17557BEF"/>
    <w:rsid w:val="17D349C1"/>
    <w:rsid w:val="1830729E"/>
    <w:rsid w:val="1870062C"/>
    <w:rsid w:val="187C29FC"/>
    <w:rsid w:val="18817102"/>
    <w:rsid w:val="18830A15"/>
    <w:rsid w:val="18852B28"/>
    <w:rsid w:val="188B5321"/>
    <w:rsid w:val="19932372"/>
    <w:rsid w:val="19A20DD5"/>
    <w:rsid w:val="19A41AAB"/>
    <w:rsid w:val="19AE03F1"/>
    <w:rsid w:val="1A071A03"/>
    <w:rsid w:val="1A1F16AE"/>
    <w:rsid w:val="1A236262"/>
    <w:rsid w:val="1A3B3A9D"/>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22FF1"/>
    <w:rsid w:val="1C88086E"/>
    <w:rsid w:val="1D266CE1"/>
    <w:rsid w:val="1D3963AF"/>
    <w:rsid w:val="1D5F33F8"/>
    <w:rsid w:val="1D6A673C"/>
    <w:rsid w:val="1D833BB4"/>
    <w:rsid w:val="1D9247AE"/>
    <w:rsid w:val="1DAE3A23"/>
    <w:rsid w:val="1DB567EC"/>
    <w:rsid w:val="1DF51A98"/>
    <w:rsid w:val="1E3D060F"/>
    <w:rsid w:val="1E3F7D2E"/>
    <w:rsid w:val="1E4134E4"/>
    <w:rsid w:val="1E5062B3"/>
    <w:rsid w:val="1E523514"/>
    <w:rsid w:val="1E714A66"/>
    <w:rsid w:val="1E802593"/>
    <w:rsid w:val="1E8B6156"/>
    <w:rsid w:val="1EA703CC"/>
    <w:rsid w:val="1EB7330C"/>
    <w:rsid w:val="1EBB4EBE"/>
    <w:rsid w:val="1F0A0FF3"/>
    <w:rsid w:val="1F5771FF"/>
    <w:rsid w:val="1F6E2A1F"/>
    <w:rsid w:val="1FE868A9"/>
    <w:rsid w:val="1FF5429C"/>
    <w:rsid w:val="20034907"/>
    <w:rsid w:val="20173E4B"/>
    <w:rsid w:val="204E48BC"/>
    <w:rsid w:val="208921B3"/>
    <w:rsid w:val="20973DEB"/>
    <w:rsid w:val="20B26522"/>
    <w:rsid w:val="20B44310"/>
    <w:rsid w:val="20E12F34"/>
    <w:rsid w:val="211116EB"/>
    <w:rsid w:val="216133FC"/>
    <w:rsid w:val="21C33AB5"/>
    <w:rsid w:val="21D56769"/>
    <w:rsid w:val="21E52EF3"/>
    <w:rsid w:val="21F7445F"/>
    <w:rsid w:val="21FB5D7B"/>
    <w:rsid w:val="22015E94"/>
    <w:rsid w:val="220B1C3D"/>
    <w:rsid w:val="221D1D20"/>
    <w:rsid w:val="22334A87"/>
    <w:rsid w:val="223A2BBB"/>
    <w:rsid w:val="22BE6801"/>
    <w:rsid w:val="233500BF"/>
    <w:rsid w:val="23377FF7"/>
    <w:rsid w:val="236B425F"/>
    <w:rsid w:val="23836192"/>
    <w:rsid w:val="23901F29"/>
    <w:rsid w:val="239C0061"/>
    <w:rsid w:val="23B908A4"/>
    <w:rsid w:val="23E95BEF"/>
    <w:rsid w:val="23FD0064"/>
    <w:rsid w:val="245375B0"/>
    <w:rsid w:val="24642C0A"/>
    <w:rsid w:val="249162C7"/>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840A9"/>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B6A7D"/>
    <w:rsid w:val="30DF1478"/>
    <w:rsid w:val="30EC586F"/>
    <w:rsid w:val="319C6071"/>
    <w:rsid w:val="31AC537E"/>
    <w:rsid w:val="31E3679B"/>
    <w:rsid w:val="31E732FD"/>
    <w:rsid w:val="32517576"/>
    <w:rsid w:val="32BE5C2C"/>
    <w:rsid w:val="32FB6478"/>
    <w:rsid w:val="331E10EA"/>
    <w:rsid w:val="33263B3F"/>
    <w:rsid w:val="335E1DDC"/>
    <w:rsid w:val="336963EB"/>
    <w:rsid w:val="33816EEB"/>
    <w:rsid w:val="33EB55CD"/>
    <w:rsid w:val="33EC4C02"/>
    <w:rsid w:val="340D2360"/>
    <w:rsid w:val="3410665D"/>
    <w:rsid w:val="34211214"/>
    <w:rsid w:val="342E63AB"/>
    <w:rsid w:val="34950E68"/>
    <w:rsid w:val="34986E94"/>
    <w:rsid w:val="34AF62C9"/>
    <w:rsid w:val="34CB4388"/>
    <w:rsid w:val="34FA6E12"/>
    <w:rsid w:val="35017D8B"/>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1C43A2"/>
    <w:rsid w:val="39636459"/>
    <w:rsid w:val="396B7F6C"/>
    <w:rsid w:val="39B417A9"/>
    <w:rsid w:val="39DF758F"/>
    <w:rsid w:val="39FC5695"/>
    <w:rsid w:val="3A006D8E"/>
    <w:rsid w:val="3A3651E5"/>
    <w:rsid w:val="3A3A2266"/>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B10CB0"/>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590533"/>
    <w:rsid w:val="425A02DC"/>
    <w:rsid w:val="42613FF3"/>
    <w:rsid w:val="42660D96"/>
    <w:rsid w:val="428667D2"/>
    <w:rsid w:val="42C77F7C"/>
    <w:rsid w:val="42CD1CE0"/>
    <w:rsid w:val="42E1381E"/>
    <w:rsid w:val="42ED6459"/>
    <w:rsid w:val="42FE58DD"/>
    <w:rsid w:val="43174B3D"/>
    <w:rsid w:val="434B790E"/>
    <w:rsid w:val="4360274F"/>
    <w:rsid w:val="43617C63"/>
    <w:rsid w:val="43977AB6"/>
    <w:rsid w:val="43A3342B"/>
    <w:rsid w:val="43C77C27"/>
    <w:rsid w:val="43DE09EE"/>
    <w:rsid w:val="44002FAD"/>
    <w:rsid w:val="449101DD"/>
    <w:rsid w:val="44DE1391"/>
    <w:rsid w:val="451B225C"/>
    <w:rsid w:val="452410C9"/>
    <w:rsid w:val="45317DFB"/>
    <w:rsid w:val="456D3CE4"/>
    <w:rsid w:val="4579042C"/>
    <w:rsid w:val="457C5711"/>
    <w:rsid w:val="457F0571"/>
    <w:rsid w:val="45851176"/>
    <w:rsid w:val="45C63B94"/>
    <w:rsid w:val="460E7DA5"/>
    <w:rsid w:val="46422483"/>
    <w:rsid w:val="4659254A"/>
    <w:rsid w:val="465B0637"/>
    <w:rsid w:val="465E3F0D"/>
    <w:rsid w:val="466A16E6"/>
    <w:rsid w:val="46893F2B"/>
    <w:rsid w:val="46C4686E"/>
    <w:rsid w:val="477B778F"/>
    <w:rsid w:val="478203EC"/>
    <w:rsid w:val="47B025FA"/>
    <w:rsid w:val="47BE292C"/>
    <w:rsid w:val="4809698F"/>
    <w:rsid w:val="4811697D"/>
    <w:rsid w:val="48136CBE"/>
    <w:rsid w:val="487A3E25"/>
    <w:rsid w:val="488B5503"/>
    <w:rsid w:val="48937E21"/>
    <w:rsid w:val="489A0361"/>
    <w:rsid w:val="48B94FF3"/>
    <w:rsid w:val="48E37AAB"/>
    <w:rsid w:val="48FD4B4C"/>
    <w:rsid w:val="490A68E0"/>
    <w:rsid w:val="491055FE"/>
    <w:rsid w:val="495F5B3E"/>
    <w:rsid w:val="496F77D7"/>
    <w:rsid w:val="497654FD"/>
    <w:rsid w:val="49B64211"/>
    <w:rsid w:val="49B8399A"/>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3F4319"/>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3900FD"/>
    <w:rsid w:val="5244713B"/>
    <w:rsid w:val="525C7843"/>
    <w:rsid w:val="52615633"/>
    <w:rsid w:val="526F4DE4"/>
    <w:rsid w:val="52977FD4"/>
    <w:rsid w:val="52A25790"/>
    <w:rsid w:val="52A96B6F"/>
    <w:rsid w:val="52B45975"/>
    <w:rsid w:val="52D94AA4"/>
    <w:rsid w:val="52EA3A62"/>
    <w:rsid w:val="52F50BB8"/>
    <w:rsid w:val="53097272"/>
    <w:rsid w:val="53544462"/>
    <w:rsid w:val="5397158E"/>
    <w:rsid w:val="53FB76D0"/>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3F2BC5"/>
    <w:rsid w:val="566B6D1E"/>
    <w:rsid w:val="57032A2C"/>
    <w:rsid w:val="570F5219"/>
    <w:rsid w:val="575D12B5"/>
    <w:rsid w:val="57610A87"/>
    <w:rsid w:val="577B1140"/>
    <w:rsid w:val="577B7F21"/>
    <w:rsid w:val="577F181B"/>
    <w:rsid w:val="57921984"/>
    <w:rsid w:val="579737F0"/>
    <w:rsid w:val="57974F16"/>
    <w:rsid w:val="57AB7B30"/>
    <w:rsid w:val="57AF5251"/>
    <w:rsid w:val="57B26373"/>
    <w:rsid w:val="57B63F04"/>
    <w:rsid w:val="57CD20C2"/>
    <w:rsid w:val="57D675AB"/>
    <w:rsid w:val="57D825B0"/>
    <w:rsid w:val="57D95FDD"/>
    <w:rsid w:val="58917D2F"/>
    <w:rsid w:val="5894085C"/>
    <w:rsid w:val="58AE4F0C"/>
    <w:rsid w:val="58B85899"/>
    <w:rsid w:val="58E363A9"/>
    <w:rsid w:val="590043CF"/>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AF1EB5"/>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927A3"/>
    <w:rsid w:val="5E7A0F3F"/>
    <w:rsid w:val="5EFC7377"/>
    <w:rsid w:val="5F06174D"/>
    <w:rsid w:val="5F3A3602"/>
    <w:rsid w:val="5F45733B"/>
    <w:rsid w:val="5F6277C6"/>
    <w:rsid w:val="5F6D0B1D"/>
    <w:rsid w:val="5F8D0B82"/>
    <w:rsid w:val="5FCC5339"/>
    <w:rsid w:val="5FE34A5B"/>
    <w:rsid w:val="5FFE1E36"/>
    <w:rsid w:val="60232584"/>
    <w:rsid w:val="603E1879"/>
    <w:rsid w:val="607330CE"/>
    <w:rsid w:val="60825176"/>
    <w:rsid w:val="609F2AC4"/>
    <w:rsid w:val="60FA2EE8"/>
    <w:rsid w:val="61054A27"/>
    <w:rsid w:val="610A52BC"/>
    <w:rsid w:val="611D2366"/>
    <w:rsid w:val="61363D84"/>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3D424E4"/>
    <w:rsid w:val="64055776"/>
    <w:rsid w:val="64240056"/>
    <w:rsid w:val="643E143A"/>
    <w:rsid w:val="64491666"/>
    <w:rsid w:val="647F36D2"/>
    <w:rsid w:val="648B6EEF"/>
    <w:rsid w:val="64C158BF"/>
    <w:rsid w:val="64CE2EAA"/>
    <w:rsid w:val="653C3090"/>
    <w:rsid w:val="65854376"/>
    <w:rsid w:val="658767BE"/>
    <w:rsid w:val="65892531"/>
    <w:rsid w:val="66195831"/>
    <w:rsid w:val="662E75B1"/>
    <w:rsid w:val="66342C2E"/>
    <w:rsid w:val="663E784C"/>
    <w:rsid w:val="666770EE"/>
    <w:rsid w:val="668B6A45"/>
    <w:rsid w:val="66D22E34"/>
    <w:rsid w:val="672F3F24"/>
    <w:rsid w:val="673E055F"/>
    <w:rsid w:val="67551CE3"/>
    <w:rsid w:val="67797D00"/>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55E9B"/>
    <w:rsid w:val="6ADE0BD1"/>
    <w:rsid w:val="6AE96859"/>
    <w:rsid w:val="6B147746"/>
    <w:rsid w:val="6B24787C"/>
    <w:rsid w:val="6B573233"/>
    <w:rsid w:val="6B5B6274"/>
    <w:rsid w:val="6B935D53"/>
    <w:rsid w:val="6BC30F80"/>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FE0196"/>
    <w:rsid w:val="75067759"/>
    <w:rsid w:val="752E6DCD"/>
    <w:rsid w:val="7551380D"/>
    <w:rsid w:val="75600BE5"/>
    <w:rsid w:val="7564475C"/>
    <w:rsid w:val="7583797F"/>
    <w:rsid w:val="75D20F1D"/>
    <w:rsid w:val="75DA2C18"/>
    <w:rsid w:val="75F54412"/>
    <w:rsid w:val="761D08E0"/>
    <w:rsid w:val="765D347C"/>
    <w:rsid w:val="76826699"/>
    <w:rsid w:val="7693738F"/>
    <w:rsid w:val="76C87133"/>
    <w:rsid w:val="76CD08D5"/>
    <w:rsid w:val="76DB4B92"/>
    <w:rsid w:val="77052AA4"/>
    <w:rsid w:val="77136511"/>
    <w:rsid w:val="77340A39"/>
    <w:rsid w:val="77351FD0"/>
    <w:rsid w:val="77472422"/>
    <w:rsid w:val="775A5E9A"/>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192609"/>
    <w:rsid w:val="7D491C6C"/>
    <w:rsid w:val="7D5429C0"/>
    <w:rsid w:val="7D6E6D43"/>
    <w:rsid w:val="7DB57A34"/>
    <w:rsid w:val="7DC2684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toc 2"/>
    <w:basedOn w:val="1"/>
    <w:next w:val="1"/>
    <w:qFormat/>
    <w:uiPriority w:val="0"/>
    <w:pPr>
      <w:ind w:left="420" w:leftChars="2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4"/>
    <w:qFormat/>
    <w:uiPriority w:val="0"/>
    <w:rPr>
      <w:b/>
      <w:bCs/>
    </w:rPr>
  </w:style>
  <w:style w:type="paragraph" w:styleId="60">
    <w:name w:val="Body Text First Indent"/>
    <w:basedOn w:val="24"/>
    <w:link w:val="319"/>
    <w:qFormat/>
    <w:uiPriority w:val="0"/>
    <w:pPr>
      <w:ind w:firstLine="420"/>
    </w:pPr>
    <w:rPr>
      <w:rFonts w:hAnsi="Calibri" w:cs="Times New Roman"/>
      <w:snapToGrid/>
      <w:szCs w:val="20"/>
    </w:rPr>
  </w:style>
  <w:style w:type="paragraph" w:styleId="61">
    <w:name w:val="Body Text First Indent 2"/>
    <w:basedOn w:val="26"/>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1"/>
    <w:qFormat/>
    <w:uiPriority w:val="0"/>
    <w:rPr>
      <w:rFonts w:ascii="宋体" w:hAnsi="宋体"/>
      <w:kern w:val="2"/>
      <w:sz w:val="21"/>
      <w:szCs w:val="24"/>
    </w:rPr>
  </w:style>
  <w:style w:type="character" w:customStyle="1" w:styleId="120">
    <w:name w:val="font11"/>
    <w:basedOn w:val="69"/>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1"/>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basedOn w:val="69"/>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basedOn w:val="69"/>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99"/>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0"/>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basedOn w:val="69"/>
    <w:qFormat/>
    <w:uiPriority w:val="0"/>
    <w:rPr>
      <w:rFonts w:hint="eastAsia" w:ascii="仿宋" w:hAnsi="仿宋" w:eastAsia="仿宋" w:cs="仿宋"/>
      <w:color w:val="000000"/>
      <w:sz w:val="22"/>
      <w:szCs w:val="22"/>
      <w:u w:val="none"/>
    </w:rPr>
  </w:style>
  <w:style w:type="character" w:customStyle="1" w:styleId="962">
    <w:name w:val="font101"/>
    <w:basedOn w:val="69"/>
    <w:qFormat/>
    <w:uiPriority w:val="0"/>
    <w:rPr>
      <w:rFonts w:hint="eastAsia" w:ascii="宋体" w:hAnsi="宋体" w:eastAsia="宋体" w:cs="宋体"/>
      <w:color w:val="000000"/>
      <w:sz w:val="15"/>
      <w:szCs w:val="15"/>
      <w:u w:val="none"/>
    </w:rPr>
  </w:style>
  <w:style w:type="character" w:customStyle="1" w:styleId="963">
    <w:name w:val="font112"/>
    <w:basedOn w:val="69"/>
    <w:qFormat/>
    <w:uiPriority w:val="0"/>
    <w:rPr>
      <w:rFonts w:ascii="Arial" w:hAnsi="Arial" w:cs="Arial"/>
      <w:color w:val="000000"/>
      <w:sz w:val="24"/>
      <w:szCs w:val="24"/>
      <w:u w:val="none"/>
    </w:rPr>
  </w:style>
  <w:style w:type="character" w:customStyle="1" w:styleId="964">
    <w:name w:val="font121"/>
    <w:basedOn w:val="69"/>
    <w:qFormat/>
    <w:uiPriority w:val="0"/>
    <w:rPr>
      <w:rFonts w:ascii="Calibri" w:hAnsi="Calibri" w:cs="Calibri"/>
      <w:color w:val="000000"/>
      <w:sz w:val="24"/>
      <w:szCs w:val="24"/>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wmf"/><Relationship Id="rId37" Type="http://schemas.openxmlformats.org/officeDocument/2006/relationships/oleObject" Target="embeddings/oleObject2.bin"/><Relationship Id="rId36" Type="http://schemas.openxmlformats.org/officeDocument/2006/relationships/image" Target="media/image10.wmf"/><Relationship Id="rId35" Type="http://schemas.openxmlformats.org/officeDocument/2006/relationships/oleObject" Target="embeddings/oleObject1.bin"/><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3A77F-B6A0-44E9-8EFF-9E239CA3ED5F}">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112</Pages>
  <Words>59894</Words>
  <Characters>68494</Characters>
  <Lines>548</Lines>
  <Paragraphs>154</Paragraphs>
  <TotalTime>41</TotalTime>
  <ScaleCrop>false</ScaleCrop>
  <LinksUpToDate>false</LinksUpToDate>
  <CharactersWithSpaces>73992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2022-09-30T01:04:00Z</dcterms:created>
  <dc:creator>玥</dc:creator>
  <cp:lastModifiedBy>用户</cp:lastModifiedBy>
  <cp:lastPrinted>2022-09-29T00:41:00Z</cp:lastPrinted>
  <dcterms:modified xsi:type="dcterms:W3CDTF">2022-10-09T05:25:16Z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9C4B2FC8318F4BFA971E69936F855868</vt:lpwstr>
  </property>
  <property fmtid="{D5CDD505-2E9C-101B-9397-08002B2CF9AE}" pid="5" name="commondata">
    <vt:lpwstr>eyJoZGlkIjoiNGNlMmFkMDQ1NDY0ZmRiM2Q0NjY4NTFjN2IwMTllYjMifQ==</vt:lpwstr>
  </property>
</Properties>
</file>