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00" w:lineRule="auto"/>
        <w:jc w:val="center"/>
        <w:rPr>
          <w:rFonts w:ascii="宋体" w:hAnsi="宋体" w:cs="宋体"/>
          <w:b/>
          <w:szCs w:val="21"/>
        </w:rPr>
      </w:pPr>
    </w:p>
    <w:p>
      <w:pPr>
        <w:snapToGrid w:val="0"/>
        <w:spacing w:line="300" w:lineRule="auto"/>
        <w:jc w:val="center"/>
        <w:rPr>
          <w:rFonts w:ascii="宋体" w:hAnsi="宋体" w:cs="宋体"/>
          <w:b/>
          <w:szCs w:val="21"/>
        </w:rPr>
      </w:pPr>
    </w:p>
    <w:p>
      <w:pPr>
        <w:snapToGrid w:val="0"/>
        <w:spacing w:line="300" w:lineRule="auto"/>
        <w:rPr>
          <w:rFonts w:ascii="宋体" w:hAnsi="宋体" w:cs="宋体"/>
          <w:b/>
          <w:szCs w:val="21"/>
        </w:rPr>
      </w:pPr>
    </w:p>
    <w:p>
      <w:pPr>
        <w:snapToGrid w:val="0"/>
        <w:spacing w:line="300" w:lineRule="auto"/>
        <w:jc w:val="center"/>
        <w:rPr>
          <w:rFonts w:ascii="宋体" w:hAnsi="宋体" w:cs="宋体"/>
          <w:b/>
          <w:sz w:val="84"/>
          <w:szCs w:val="84"/>
        </w:rPr>
      </w:pPr>
      <w:r>
        <w:rPr>
          <w:rFonts w:hint="eastAsia" w:ascii="宋体" w:hAnsi="宋体" w:cs="宋体"/>
          <w:b/>
          <w:sz w:val="84"/>
          <w:szCs w:val="84"/>
        </w:rPr>
        <w:t>杭州殡仪馆</w:t>
      </w:r>
    </w:p>
    <w:p>
      <w:pPr>
        <w:snapToGrid w:val="0"/>
        <w:spacing w:line="300" w:lineRule="auto"/>
        <w:jc w:val="center"/>
        <w:rPr>
          <w:rFonts w:ascii="宋体" w:hAnsi="宋体" w:cs="宋体"/>
          <w:b/>
          <w:sz w:val="58"/>
          <w:szCs w:val="58"/>
        </w:rPr>
      </w:pPr>
      <w:r>
        <w:rPr>
          <w:rFonts w:hint="eastAsia" w:ascii="宋体" w:hAnsi="宋体" w:cs="宋体"/>
          <w:b/>
          <w:sz w:val="58"/>
          <w:szCs w:val="58"/>
        </w:rPr>
        <w:t>2022年花圈供货服务采购项目</w:t>
      </w:r>
    </w:p>
    <w:p>
      <w:pPr>
        <w:snapToGrid w:val="0"/>
        <w:spacing w:line="300" w:lineRule="auto"/>
        <w:jc w:val="center"/>
        <w:rPr>
          <w:rFonts w:ascii="宋体" w:hAnsi="宋体" w:cs="宋体"/>
          <w:b/>
          <w:sz w:val="48"/>
          <w:szCs w:val="48"/>
        </w:rPr>
      </w:pPr>
    </w:p>
    <w:p>
      <w:pPr>
        <w:snapToGrid w:val="0"/>
        <w:spacing w:line="300" w:lineRule="auto"/>
        <w:jc w:val="center"/>
        <w:rPr>
          <w:rFonts w:ascii="宋体" w:hAnsi="宋体" w:cs="宋体"/>
          <w:b/>
          <w:sz w:val="100"/>
          <w:szCs w:val="100"/>
        </w:rPr>
      </w:pPr>
      <w:r>
        <w:rPr>
          <w:rFonts w:hint="eastAsia" w:ascii="宋体" w:hAnsi="宋体" w:cs="宋体"/>
          <w:b/>
          <w:sz w:val="100"/>
          <w:szCs w:val="100"/>
        </w:rPr>
        <w:t>采购文件</w:t>
      </w:r>
    </w:p>
    <w:p>
      <w:pPr>
        <w:snapToGrid w:val="0"/>
        <w:spacing w:line="300" w:lineRule="auto"/>
        <w:jc w:val="center"/>
        <w:rPr>
          <w:rFonts w:ascii="宋体" w:hAnsi="宋体" w:cs="宋体"/>
          <w:b/>
          <w:szCs w:val="21"/>
        </w:rPr>
      </w:pPr>
    </w:p>
    <w:p>
      <w:pPr>
        <w:snapToGrid w:val="0"/>
        <w:spacing w:line="300" w:lineRule="auto"/>
        <w:jc w:val="center"/>
        <w:rPr>
          <w:rFonts w:ascii="宋体" w:hAnsi="宋体" w:cs="宋体"/>
          <w:b/>
          <w:szCs w:val="21"/>
        </w:rPr>
      </w:pPr>
    </w:p>
    <w:p>
      <w:pPr>
        <w:snapToGrid w:val="0"/>
        <w:spacing w:line="300" w:lineRule="auto"/>
        <w:jc w:val="center"/>
        <w:rPr>
          <w:rFonts w:ascii="宋体" w:hAnsi="宋体" w:cs="宋体"/>
          <w:b/>
          <w:szCs w:val="21"/>
        </w:rPr>
      </w:pPr>
    </w:p>
    <w:p>
      <w:pPr>
        <w:snapToGrid w:val="0"/>
        <w:spacing w:line="300" w:lineRule="auto"/>
        <w:jc w:val="center"/>
        <w:rPr>
          <w:rFonts w:ascii="宋体" w:hAnsi="宋体" w:cs="宋体"/>
          <w:b/>
          <w:szCs w:val="21"/>
        </w:rPr>
      </w:pPr>
    </w:p>
    <w:p>
      <w:pPr>
        <w:snapToGrid w:val="0"/>
        <w:spacing w:line="300" w:lineRule="auto"/>
        <w:ind w:firstLine="2711" w:firstLineChars="900"/>
        <w:rPr>
          <w:rFonts w:ascii="宋体" w:hAnsi="宋体" w:cs="宋体"/>
          <w:b/>
          <w:sz w:val="30"/>
          <w:szCs w:val="30"/>
        </w:rPr>
      </w:pPr>
      <w:r>
        <w:rPr>
          <w:rFonts w:hint="eastAsia" w:ascii="宋体" w:hAnsi="宋体" w:cs="宋体"/>
          <w:b/>
          <w:sz w:val="30"/>
          <w:szCs w:val="30"/>
        </w:rPr>
        <w:t>采购方式：公开招标</w:t>
      </w:r>
    </w:p>
    <w:p>
      <w:pPr>
        <w:snapToGrid w:val="0"/>
        <w:spacing w:line="300" w:lineRule="auto"/>
        <w:ind w:firstLine="2711" w:firstLineChars="900"/>
        <w:rPr>
          <w:rFonts w:ascii="宋体" w:hAnsi="宋体" w:cs="宋体"/>
          <w:b/>
          <w:sz w:val="30"/>
          <w:szCs w:val="30"/>
        </w:rPr>
      </w:pPr>
      <w:r>
        <w:rPr>
          <w:rFonts w:hint="eastAsia" w:ascii="宋体" w:hAnsi="宋体" w:cs="宋体"/>
          <w:b/>
          <w:sz w:val="30"/>
          <w:szCs w:val="30"/>
        </w:rPr>
        <w:t>项目编号：</w:t>
      </w:r>
      <w:r>
        <w:rPr>
          <w:rFonts w:hint="eastAsia" w:ascii="宋体" w:hAnsi="宋体" w:cs="宋体"/>
          <w:b/>
          <w:sz w:val="30"/>
          <w:szCs w:val="30"/>
          <w:u w:val="single"/>
        </w:rPr>
        <w:t>ZJZN-21988-HB11-01</w:t>
      </w:r>
    </w:p>
    <w:p>
      <w:pPr>
        <w:snapToGrid w:val="0"/>
        <w:spacing w:line="300" w:lineRule="auto"/>
        <w:ind w:firstLine="1046" w:firstLineChars="496"/>
        <w:rPr>
          <w:rFonts w:ascii="宋体" w:hAnsi="宋体" w:cs="宋体"/>
          <w:b/>
          <w:szCs w:val="21"/>
        </w:rPr>
      </w:pPr>
    </w:p>
    <w:p>
      <w:pPr>
        <w:snapToGrid w:val="0"/>
        <w:spacing w:line="300" w:lineRule="auto"/>
        <w:ind w:firstLine="1046" w:firstLineChars="496"/>
        <w:rPr>
          <w:rFonts w:ascii="宋体" w:hAnsi="宋体" w:cs="宋体"/>
          <w:b/>
          <w:szCs w:val="21"/>
        </w:rPr>
      </w:pPr>
    </w:p>
    <w:p>
      <w:pPr>
        <w:snapToGrid w:val="0"/>
        <w:spacing w:line="300" w:lineRule="auto"/>
        <w:ind w:firstLine="1046" w:firstLineChars="496"/>
        <w:rPr>
          <w:rFonts w:ascii="宋体" w:hAnsi="宋体" w:cs="宋体"/>
          <w:b/>
          <w:szCs w:val="21"/>
        </w:rPr>
      </w:pPr>
    </w:p>
    <w:p>
      <w:pPr>
        <w:snapToGrid w:val="0"/>
        <w:spacing w:line="300" w:lineRule="auto"/>
        <w:ind w:firstLine="1046" w:firstLineChars="496"/>
        <w:rPr>
          <w:rFonts w:ascii="宋体" w:hAnsi="宋体" w:cs="宋体"/>
          <w:b/>
          <w:szCs w:val="21"/>
        </w:rPr>
      </w:pPr>
    </w:p>
    <w:p>
      <w:pPr>
        <w:snapToGrid w:val="0"/>
        <w:spacing w:line="300" w:lineRule="auto"/>
        <w:ind w:firstLine="1046" w:firstLineChars="496"/>
        <w:rPr>
          <w:rFonts w:ascii="宋体" w:hAnsi="宋体" w:cs="宋体"/>
          <w:b/>
          <w:szCs w:val="21"/>
        </w:rPr>
      </w:pPr>
    </w:p>
    <w:p>
      <w:pPr>
        <w:snapToGrid w:val="0"/>
        <w:spacing w:line="300" w:lineRule="auto"/>
        <w:ind w:firstLine="1046" w:firstLineChars="496"/>
        <w:rPr>
          <w:rFonts w:ascii="宋体" w:hAnsi="宋体" w:cs="宋体"/>
          <w:b/>
          <w:szCs w:val="21"/>
        </w:rPr>
      </w:pPr>
    </w:p>
    <w:tbl>
      <w:tblPr>
        <w:tblStyle w:val="44"/>
        <w:tblW w:w="0" w:type="auto"/>
        <w:jc w:val="center"/>
        <w:tblLayout w:type="fixed"/>
        <w:tblCellMar>
          <w:top w:w="0" w:type="dxa"/>
          <w:left w:w="108" w:type="dxa"/>
          <w:bottom w:w="0" w:type="dxa"/>
          <w:right w:w="108" w:type="dxa"/>
        </w:tblCellMar>
      </w:tblPr>
      <w:tblGrid>
        <w:gridCol w:w="2204"/>
        <w:gridCol w:w="3840"/>
      </w:tblGrid>
      <w:tr>
        <w:tblPrEx>
          <w:tblCellMar>
            <w:top w:w="0" w:type="dxa"/>
            <w:left w:w="108" w:type="dxa"/>
            <w:bottom w:w="0" w:type="dxa"/>
            <w:right w:w="108" w:type="dxa"/>
          </w:tblCellMar>
        </w:tblPrEx>
        <w:trPr>
          <w:jc w:val="center"/>
        </w:trPr>
        <w:tc>
          <w:tcPr>
            <w:tcW w:w="2204" w:type="dxa"/>
          </w:tcPr>
          <w:p>
            <w:pPr>
              <w:snapToGrid w:val="0"/>
              <w:spacing w:line="300" w:lineRule="auto"/>
              <w:rPr>
                <w:rFonts w:ascii="宋体" w:hAnsi="宋体" w:cs="宋体"/>
                <w:b/>
                <w:szCs w:val="21"/>
              </w:rPr>
            </w:pPr>
            <w:r>
              <w:rPr>
                <w:rFonts w:hint="eastAsia" w:ascii="宋体" w:hAnsi="宋体" w:cs="宋体"/>
                <w:b/>
                <w:sz w:val="30"/>
                <w:szCs w:val="30"/>
              </w:rPr>
              <w:t>采   购   人：</w:t>
            </w:r>
          </w:p>
        </w:tc>
        <w:tc>
          <w:tcPr>
            <w:tcW w:w="3840" w:type="dxa"/>
          </w:tcPr>
          <w:p>
            <w:pPr>
              <w:snapToGrid w:val="0"/>
              <w:spacing w:line="300" w:lineRule="auto"/>
              <w:jc w:val="distribute"/>
              <w:rPr>
                <w:rFonts w:ascii="宋体" w:hAnsi="宋体" w:cs="宋体"/>
                <w:b/>
                <w:szCs w:val="21"/>
              </w:rPr>
            </w:pPr>
            <w:r>
              <w:rPr>
                <w:rFonts w:hint="eastAsia" w:ascii="宋体" w:hAnsi="宋体" w:cs="宋体"/>
                <w:b/>
                <w:sz w:val="30"/>
                <w:szCs w:val="30"/>
              </w:rPr>
              <w:t>杭州殡仪馆</w:t>
            </w:r>
          </w:p>
        </w:tc>
      </w:tr>
      <w:tr>
        <w:tblPrEx>
          <w:tblCellMar>
            <w:top w:w="0" w:type="dxa"/>
            <w:left w:w="108" w:type="dxa"/>
            <w:bottom w:w="0" w:type="dxa"/>
            <w:right w:w="108" w:type="dxa"/>
          </w:tblCellMar>
        </w:tblPrEx>
        <w:trPr>
          <w:jc w:val="center"/>
        </w:trPr>
        <w:tc>
          <w:tcPr>
            <w:tcW w:w="2204" w:type="dxa"/>
          </w:tcPr>
          <w:p>
            <w:pPr>
              <w:snapToGrid w:val="0"/>
              <w:spacing w:line="300" w:lineRule="auto"/>
              <w:rPr>
                <w:rFonts w:ascii="宋体" w:hAnsi="宋体" w:cs="宋体"/>
                <w:b/>
                <w:szCs w:val="21"/>
              </w:rPr>
            </w:pPr>
            <w:r>
              <w:rPr>
                <w:rFonts w:hint="eastAsia" w:ascii="宋体" w:hAnsi="宋体" w:cs="宋体"/>
                <w:b/>
                <w:sz w:val="30"/>
                <w:szCs w:val="30"/>
              </w:rPr>
              <w:t>采购代理机构：</w:t>
            </w:r>
          </w:p>
        </w:tc>
        <w:tc>
          <w:tcPr>
            <w:tcW w:w="3840" w:type="dxa"/>
          </w:tcPr>
          <w:p>
            <w:pPr>
              <w:snapToGrid w:val="0"/>
              <w:spacing w:line="300" w:lineRule="auto"/>
              <w:jc w:val="distribute"/>
              <w:rPr>
                <w:rFonts w:ascii="宋体" w:hAnsi="宋体" w:cs="宋体"/>
                <w:b/>
                <w:szCs w:val="21"/>
              </w:rPr>
            </w:pPr>
            <w:r>
              <w:rPr>
                <w:rFonts w:hint="eastAsia" w:ascii="宋体" w:hAnsi="宋体" w:cs="宋体"/>
                <w:b/>
                <w:sz w:val="30"/>
                <w:szCs w:val="30"/>
              </w:rPr>
              <w:t>浙江中诺招标代理有限公司</w:t>
            </w:r>
          </w:p>
        </w:tc>
      </w:tr>
    </w:tbl>
    <w:p>
      <w:pPr>
        <w:snapToGrid w:val="0"/>
        <w:spacing w:line="300" w:lineRule="auto"/>
        <w:ind w:firstLine="1046" w:firstLineChars="496"/>
        <w:rPr>
          <w:rFonts w:ascii="宋体" w:hAnsi="宋体" w:cs="宋体"/>
          <w:b/>
          <w:szCs w:val="21"/>
        </w:rPr>
      </w:pPr>
    </w:p>
    <w:p>
      <w:pPr>
        <w:snapToGrid w:val="0"/>
        <w:spacing w:line="300" w:lineRule="auto"/>
        <w:jc w:val="center"/>
        <w:rPr>
          <w:rFonts w:ascii="宋体" w:hAnsi="宋体" w:cs="宋体"/>
          <w:b/>
          <w:sz w:val="30"/>
          <w:szCs w:val="30"/>
        </w:rPr>
      </w:pPr>
      <w:r>
        <w:rPr>
          <w:rFonts w:hint="eastAsia" w:ascii="宋体" w:hAnsi="宋体" w:cs="宋体"/>
          <w:b/>
          <w:sz w:val="30"/>
          <w:szCs w:val="30"/>
        </w:rPr>
        <w:t>二〇二二年一月</w:t>
      </w:r>
    </w:p>
    <w:p>
      <w:pPr>
        <w:pStyle w:val="4"/>
        <w:rPr>
          <w:rFonts w:ascii="宋体" w:hAnsi="宋体" w:eastAsia="宋体" w:cs="宋体"/>
          <w:color w:val="auto"/>
        </w:rPr>
      </w:pPr>
      <w:r>
        <w:rPr>
          <w:rFonts w:hint="eastAsia" w:ascii="宋体" w:hAnsi="宋体" w:eastAsia="宋体" w:cs="宋体"/>
          <w:color w:val="auto"/>
        </w:rPr>
        <w:br w:type="page"/>
      </w:r>
      <w:bookmarkStart w:id="0" w:name="_Toc516132581"/>
      <w:r>
        <w:rPr>
          <w:rFonts w:hint="eastAsia" w:ascii="宋体" w:hAnsi="宋体" w:eastAsia="宋体" w:cs="宋体"/>
          <w:color w:val="auto"/>
        </w:rPr>
        <w:t>目录</w:t>
      </w:r>
      <w:bookmarkEnd w:id="0"/>
    </w:p>
    <w:p>
      <w:pPr>
        <w:pStyle w:val="28"/>
        <w:rPr>
          <w:rFonts w:ascii="宋体" w:hAnsi="宋体" w:cs="宋体"/>
          <w:b w:val="0"/>
          <w:bCs w:val="0"/>
          <w:caps w:val="0"/>
          <w:szCs w:val="22"/>
        </w:rPr>
      </w:pPr>
      <w:r>
        <w:rPr>
          <w:rFonts w:hint="eastAsia" w:ascii="宋体" w:hAnsi="宋体" w:cs="宋体"/>
          <w:b w:val="0"/>
          <w:bCs w:val="0"/>
          <w:caps w:val="0"/>
          <w:sz w:val="24"/>
        </w:rPr>
        <w:fldChar w:fldCharType="begin"/>
      </w:r>
      <w:r>
        <w:rPr>
          <w:rFonts w:hint="eastAsia" w:ascii="宋体" w:hAnsi="宋体" w:cs="宋体"/>
          <w:b w:val="0"/>
          <w:bCs w:val="0"/>
          <w:caps w:val="0"/>
          <w:sz w:val="24"/>
        </w:rPr>
        <w:instrText xml:space="preserve"> TOC \o "1-1" \h \z </w:instrText>
      </w:r>
      <w:r>
        <w:rPr>
          <w:rFonts w:hint="eastAsia" w:ascii="宋体" w:hAnsi="宋体" w:cs="宋体"/>
          <w:b w:val="0"/>
          <w:bCs w:val="0"/>
          <w:caps w:val="0"/>
          <w:sz w:val="24"/>
        </w:rPr>
        <w:fldChar w:fldCharType="separate"/>
      </w:r>
      <w:r>
        <w:fldChar w:fldCharType="begin"/>
      </w:r>
      <w:r>
        <w:instrText xml:space="preserve"> HYPERLINK \l "_Toc516132581" </w:instrText>
      </w:r>
      <w:r>
        <w:fldChar w:fldCharType="separate"/>
      </w:r>
      <w:r>
        <w:rPr>
          <w:rStyle w:val="51"/>
          <w:rFonts w:hint="eastAsia" w:ascii="宋体" w:hAnsi="宋体" w:cs="宋体"/>
          <w:color w:val="auto"/>
        </w:rPr>
        <w:t>目录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_Toc516132581 \h </w:instrText>
      </w:r>
      <w:r>
        <w:rPr>
          <w:rFonts w:hint="eastAsia" w:ascii="宋体" w:hAnsi="宋体" w:cs="宋体"/>
        </w:rPr>
        <w:fldChar w:fldCharType="separate"/>
      </w:r>
      <w:r>
        <w:rPr>
          <w:rFonts w:hint="eastAsia" w:ascii="宋体" w:hAnsi="宋体" w:cs="宋体"/>
        </w:rPr>
        <w:t>2</w:t>
      </w:r>
      <w:r>
        <w:rPr>
          <w:rFonts w:hint="eastAsia" w:ascii="宋体" w:hAnsi="宋体" w:cs="宋体"/>
        </w:rPr>
        <w:fldChar w:fldCharType="end"/>
      </w:r>
      <w:r>
        <w:rPr>
          <w:rFonts w:hint="eastAsia" w:ascii="宋体" w:hAnsi="宋体" w:cs="宋体"/>
        </w:rPr>
        <w:fldChar w:fldCharType="end"/>
      </w:r>
    </w:p>
    <w:p>
      <w:pPr>
        <w:pStyle w:val="28"/>
        <w:rPr>
          <w:rFonts w:ascii="宋体" w:hAnsi="宋体" w:cs="宋体"/>
          <w:b w:val="0"/>
          <w:bCs w:val="0"/>
          <w:caps w:val="0"/>
          <w:szCs w:val="22"/>
        </w:rPr>
      </w:pPr>
      <w:r>
        <w:fldChar w:fldCharType="begin"/>
      </w:r>
      <w:r>
        <w:instrText xml:space="preserve"> HYPERLINK \l "_Toc516132582" </w:instrText>
      </w:r>
      <w:r>
        <w:fldChar w:fldCharType="separate"/>
      </w:r>
      <w:r>
        <w:rPr>
          <w:rStyle w:val="51"/>
          <w:rFonts w:hint="eastAsia" w:ascii="宋体" w:hAnsi="宋体" w:cs="宋体"/>
          <w:color w:val="auto"/>
        </w:rPr>
        <w:t>第一章  采购公告</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_Toc516132582 \h </w:instrText>
      </w:r>
      <w:r>
        <w:rPr>
          <w:rFonts w:hint="eastAsia" w:ascii="宋体" w:hAnsi="宋体" w:cs="宋体"/>
        </w:rPr>
        <w:fldChar w:fldCharType="separate"/>
      </w:r>
      <w:r>
        <w:rPr>
          <w:rFonts w:hint="eastAsia" w:ascii="宋体" w:hAnsi="宋体" w:cs="宋体"/>
        </w:rPr>
        <w:t>3</w:t>
      </w:r>
      <w:r>
        <w:rPr>
          <w:rFonts w:hint="eastAsia" w:ascii="宋体" w:hAnsi="宋体" w:cs="宋体"/>
        </w:rPr>
        <w:fldChar w:fldCharType="end"/>
      </w:r>
      <w:r>
        <w:rPr>
          <w:rFonts w:hint="eastAsia" w:ascii="宋体" w:hAnsi="宋体" w:cs="宋体"/>
        </w:rPr>
        <w:fldChar w:fldCharType="end"/>
      </w:r>
    </w:p>
    <w:p>
      <w:pPr>
        <w:pStyle w:val="28"/>
        <w:rPr>
          <w:rFonts w:ascii="宋体" w:hAnsi="宋体" w:cs="宋体"/>
          <w:b w:val="0"/>
          <w:bCs w:val="0"/>
          <w:caps w:val="0"/>
          <w:szCs w:val="22"/>
        </w:rPr>
      </w:pPr>
      <w:r>
        <w:fldChar w:fldCharType="begin"/>
      </w:r>
      <w:r>
        <w:instrText xml:space="preserve"> HYPERLINK \l "_Toc516132583" </w:instrText>
      </w:r>
      <w:r>
        <w:fldChar w:fldCharType="separate"/>
      </w:r>
      <w:r>
        <w:rPr>
          <w:rStyle w:val="51"/>
          <w:rFonts w:hint="eastAsia" w:ascii="宋体" w:hAnsi="宋体" w:cs="宋体"/>
          <w:color w:val="auto"/>
        </w:rPr>
        <w:t>第二章  投标人须知</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_Toc516132583 \h </w:instrText>
      </w:r>
      <w:r>
        <w:rPr>
          <w:rFonts w:hint="eastAsia" w:ascii="宋体" w:hAnsi="宋体" w:cs="宋体"/>
        </w:rPr>
        <w:fldChar w:fldCharType="separate"/>
      </w:r>
      <w:r>
        <w:rPr>
          <w:rFonts w:hint="eastAsia" w:ascii="宋体" w:hAnsi="宋体" w:cs="宋体"/>
        </w:rPr>
        <w:t>6</w:t>
      </w:r>
      <w:r>
        <w:rPr>
          <w:rFonts w:hint="eastAsia" w:ascii="宋体" w:hAnsi="宋体" w:cs="宋体"/>
        </w:rPr>
        <w:fldChar w:fldCharType="end"/>
      </w:r>
      <w:r>
        <w:rPr>
          <w:rFonts w:hint="eastAsia" w:ascii="宋体" w:hAnsi="宋体" w:cs="宋体"/>
        </w:rPr>
        <w:fldChar w:fldCharType="end"/>
      </w:r>
    </w:p>
    <w:p>
      <w:pPr>
        <w:pStyle w:val="28"/>
        <w:rPr>
          <w:rFonts w:ascii="宋体" w:hAnsi="宋体" w:cs="宋体"/>
          <w:b w:val="0"/>
          <w:bCs w:val="0"/>
          <w:caps w:val="0"/>
          <w:szCs w:val="22"/>
        </w:rPr>
      </w:pPr>
      <w:r>
        <w:fldChar w:fldCharType="begin"/>
      </w:r>
      <w:r>
        <w:instrText xml:space="preserve"> HYPERLINK \l "_Toc516132584" </w:instrText>
      </w:r>
      <w:r>
        <w:fldChar w:fldCharType="separate"/>
      </w:r>
      <w:r>
        <w:rPr>
          <w:rStyle w:val="51"/>
          <w:rFonts w:hint="eastAsia" w:ascii="宋体" w:hAnsi="宋体" w:cs="宋体"/>
          <w:color w:val="auto"/>
        </w:rPr>
        <w:t>第三章  采购需求总体要求</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_Toc516132584 \h </w:instrText>
      </w:r>
      <w:r>
        <w:rPr>
          <w:rFonts w:hint="eastAsia" w:ascii="宋体" w:hAnsi="宋体" w:cs="宋体"/>
        </w:rPr>
        <w:fldChar w:fldCharType="separate"/>
      </w:r>
      <w:r>
        <w:rPr>
          <w:rFonts w:hint="eastAsia" w:ascii="宋体" w:hAnsi="宋体" w:cs="宋体"/>
        </w:rPr>
        <w:t>19</w:t>
      </w:r>
      <w:r>
        <w:rPr>
          <w:rFonts w:hint="eastAsia" w:ascii="宋体" w:hAnsi="宋体" w:cs="宋体"/>
        </w:rPr>
        <w:fldChar w:fldCharType="end"/>
      </w:r>
      <w:r>
        <w:rPr>
          <w:rFonts w:hint="eastAsia" w:ascii="宋体" w:hAnsi="宋体" w:cs="宋体"/>
        </w:rPr>
        <w:fldChar w:fldCharType="end"/>
      </w:r>
    </w:p>
    <w:p>
      <w:pPr>
        <w:pStyle w:val="28"/>
        <w:rPr>
          <w:rFonts w:ascii="宋体" w:hAnsi="宋体" w:cs="宋体"/>
          <w:b w:val="0"/>
          <w:bCs w:val="0"/>
          <w:caps w:val="0"/>
          <w:szCs w:val="22"/>
        </w:rPr>
      </w:pPr>
      <w:r>
        <w:fldChar w:fldCharType="begin"/>
      </w:r>
      <w:r>
        <w:instrText xml:space="preserve"> HYPERLINK \l "_Toc516132585" </w:instrText>
      </w:r>
      <w:r>
        <w:fldChar w:fldCharType="separate"/>
      </w:r>
      <w:r>
        <w:rPr>
          <w:rStyle w:val="51"/>
          <w:rFonts w:hint="eastAsia" w:ascii="宋体" w:hAnsi="宋体" w:cs="宋体"/>
          <w:color w:val="auto"/>
        </w:rPr>
        <w:t>第四章  采购需求具体要求</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_Toc516132585 \h </w:instrText>
      </w:r>
      <w:r>
        <w:rPr>
          <w:rFonts w:hint="eastAsia" w:ascii="宋体" w:hAnsi="宋体" w:cs="宋体"/>
        </w:rPr>
        <w:fldChar w:fldCharType="separate"/>
      </w:r>
      <w:r>
        <w:rPr>
          <w:rFonts w:hint="eastAsia" w:ascii="宋体" w:hAnsi="宋体" w:cs="宋体"/>
        </w:rPr>
        <w:t>21</w:t>
      </w:r>
      <w:r>
        <w:rPr>
          <w:rFonts w:hint="eastAsia" w:ascii="宋体" w:hAnsi="宋体" w:cs="宋体"/>
        </w:rPr>
        <w:fldChar w:fldCharType="end"/>
      </w:r>
      <w:r>
        <w:rPr>
          <w:rFonts w:hint="eastAsia" w:ascii="宋体" w:hAnsi="宋体" w:cs="宋体"/>
        </w:rPr>
        <w:fldChar w:fldCharType="end"/>
      </w:r>
    </w:p>
    <w:p>
      <w:pPr>
        <w:pStyle w:val="28"/>
        <w:rPr>
          <w:rFonts w:ascii="宋体" w:hAnsi="宋体" w:cs="宋体"/>
          <w:b w:val="0"/>
          <w:bCs w:val="0"/>
          <w:caps w:val="0"/>
          <w:szCs w:val="22"/>
        </w:rPr>
      </w:pPr>
      <w:r>
        <w:fldChar w:fldCharType="begin"/>
      </w:r>
      <w:r>
        <w:instrText xml:space="preserve"> HYPERLINK \l "_Toc516132586" </w:instrText>
      </w:r>
      <w:r>
        <w:fldChar w:fldCharType="separate"/>
      </w:r>
      <w:r>
        <w:rPr>
          <w:rStyle w:val="51"/>
          <w:rFonts w:hint="eastAsia" w:ascii="宋体" w:hAnsi="宋体" w:cs="宋体"/>
          <w:color w:val="auto"/>
        </w:rPr>
        <w:t>第五章  采购合同（参考范本）</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_Toc516132586 \h </w:instrText>
      </w:r>
      <w:r>
        <w:rPr>
          <w:rFonts w:hint="eastAsia" w:ascii="宋体" w:hAnsi="宋体" w:cs="宋体"/>
        </w:rPr>
        <w:fldChar w:fldCharType="separate"/>
      </w:r>
      <w:r>
        <w:rPr>
          <w:rFonts w:hint="eastAsia" w:ascii="宋体" w:hAnsi="宋体" w:cs="宋体"/>
        </w:rPr>
        <w:t>29</w:t>
      </w:r>
      <w:r>
        <w:rPr>
          <w:rFonts w:hint="eastAsia" w:ascii="宋体" w:hAnsi="宋体" w:cs="宋体"/>
        </w:rPr>
        <w:fldChar w:fldCharType="end"/>
      </w:r>
      <w:r>
        <w:rPr>
          <w:rFonts w:hint="eastAsia" w:ascii="宋体" w:hAnsi="宋体" w:cs="宋体"/>
        </w:rPr>
        <w:fldChar w:fldCharType="end"/>
      </w:r>
    </w:p>
    <w:p>
      <w:pPr>
        <w:pStyle w:val="28"/>
        <w:rPr>
          <w:rFonts w:ascii="宋体" w:hAnsi="宋体" w:cs="宋体"/>
          <w:b w:val="0"/>
          <w:bCs w:val="0"/>
          <w:caps w:val="0"/>
          <w:szCs w:val="22"/>
        </w:rPr>
      </w:pPr>
      <w:r>
        <w:fldChar w:fldCharType="begin"/>
      </w:r>
      <w:r>
        <w:instrText xml:space="preserve"> HYPERLINK \l "_Toc516132587" </w:instrText>
      </w:r>
      <w:r>
        <w:fldChar w:fldCharType="separate"/>
      </w:r>
      <w:r>
        <w:rPr>
          <w:rStyle w:val="51"/>
          <w:rFonts w:hint="eastAsia" w:ascii="宋体" w:hAnsi="宋体" w:cs="宋体"/>
          <w:color w:val="auto"/>
        </w:rPr>
        <w:t>第六章  评标办法</w:t>
      </w:r>
      <w:r>
        <w:rPr>
          <w:rFonts w:hint="eastAsia" w:ascii="宋体" w:hAnsi="宋体" w:cs="宋体"/>
        </w:rPr>
        <w:tab/>
      </w:r>
      <w:r>
        <w:rPr>
          <w:rFonts w:hint="eastAsia" w:ascii="宋体" w:hAnsi="宋体" w:cs="宋体"/>
        </w:rPr>
        <w:t>31</w:t>
      </w:r>
      <w:r>
        <w:rPr>
          <w:rFonts w:hint="eastAsia" w:ascii="宋体" w:hAnsi="宋体" w:cs="宋体"/>
        </w:rPr>
        <w:fldChar w:fldCharType="end"/>
      </w:r>
    </w:p>
    <w:p>
      <w:pPr>
        <w:pStyle w:val="28"/>
        <w:rPr>
          <w:rFonts w:ascii="宋体" w:hAnsi="宋体" w:cs="宋体"/>
          <w:b w:val="0"/>
          <w:bCs w:val="0"/>
          <w:caps w:val="0"/>
          <w:szCs w:val="22"/>
        </w:rPr>
      </w:pPr>
      <w:r>
        <w:fldChar w:fldCharType="begin"/>
      </w:r>
      <w:r>
        <w:instrText xml:space="preserve"> HYPERLINK \l "_Toc516132588" </w:instrText>
      </w:r>
      <w:r>
        <w:fldChar w:fldCharType="separate"/>
      </w:r>
      <w:r>
        <w:rPr>
          <w:rStyle w:val="51"/>
          <w:rFonts w:hint="eastAsia" w:ascii="宋体" w:hAnsi="宋体" w:cs="宋体"/>
          <w:color w:val="auto"/>
        </w:rPr>
        <w:t>第七章  投标文件格式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_Toc516132588 \h </w:instrText>
      </w:r>
      <w:r>
        <w:rPr>
          <w:rFonts w:hint="eastAsia" w:ascii="宋体" w:hAnsi="宋体" w:cs="宋体"/>
        </w:rPr>
        <w:fldChar w:fldCharType="separate"/>
      </w:r>
      <w:r>
        <w:rPr>
          <w:rFonts w:hint="eastAsia" w:ascii="宋体" w:hAnsi="宋体" w:cs="宋体"/>
        </w:rPr>
        <w:t>36</w:t>
      </w:r>
      <w:r>
        <w:rPr>
          <w:rFonts w:hint="eastAsia" w:ascii="宋体" w:hAnsi="宋体" w:cs="宋体"/>
        </w:rPr>
        <w:fldChar w:fldCharType="end"/>
      </w:r>
      <w:r>
        <w:rPr>
          <w:rFonts w:hint="eastAsia" w:ascii="宋体" w:hAnsi="宋体" w:cs="宋体"/>
        </w:rPr>
        <w:fldChar w:fldCharType="end"/>
      </w:r>
    </w:p>
    <w:p>
      <w:pPr>
        <w:snapToGrid w:val="0"/>
        <w:spacing w:line="300" w:lineRule="auto"/>
        <w:rPr>
          <w:rStyle w:val="51"/>
          <w:rFonts w:ascii="宋体" w:hAnsi="宋体" w:cs="宋体"/>
          <w:color w:val="auto"/>
          <w:u w:val="none"/>
        </w:rPr>
      </w:pPr>
      <w:r>
        <w:rPr>
          <w:rFonts w:hint="eastAsia" w:ascii="宋体" w:hAnsi="宋体" w:cs="宋体"/>
          <w:b/>
          <w:bCs/>
          <w:caps/>
          <w:sz w:val="24"/>
        </w:rPr>
        <w:fldChar w:fldCharType="end"/>
      </w:r>
      <w:r>
        <w:rPr>
          <w:rFonts w:hint="eastAsia" w:ascii="宋体" w:hAnsi="宋体" w:cs="宋体"/>
          <w:b/>
          <w:bCs/>
          <w:caps/>
          <w:sz w:val="24"/>
        </w:rPr>
        <w:br w:type="page"/>
      </w:r>
    </w:p>
    <w:p>
      <w:pPr>
        <w:pStyle w:val="4"/>
        <w:snapToGrid w:val="0"/>
        <w:rPr>
          <w:rFonts w:ascii="宋体" w:hAnsi="宋体" w:eastAsia="宋体" w:cs="宋体"/>
          <w:color w:val="auto"/>
        </w:rPr>
      </w:pPr>
      <w:bookmarkStart w:id="1" w:name="_Toc293343927"/>
      <w:bookmarkStart w:id="2" w:name="_Toc516132582"/>
      <w:r>
        <w:rPr>
          <w:rFonts w:hint="eastAsia" w:ascii="宋体" w:hAnsi="宋体" w:eastAsia="宋体" w:cs="宋体"/>
          <w:color w:val="auto"/>
        </w:rPr>
        <w:t>第一章  采购公告</w:t>
      </w:r>
      <w:bookmarkEnd w:id="1"/>
      <w:bookmarkEnd w:id="2"/>
    </w:p>
    <w:p>
      <w:pPr>
        <w:adjustRightInd w:val="0"/>
        <w:snapToGrid w:val="0"/>
        <w:spacing w:line="360" w:lineRule="auto"/>
        <w:ind w:firstLine="422" w:firstLineChars="200"/>
        <w:rPr>
          <w:rFonts w:ascii="宋体" w:hAnsi="宋体" w:cs="宋体"/>
          <w:b/>
          <w:bCs/>
          <w:szCs w:val="21"/>
        </w:rPr>
      </w:pPr>
      <w:r>
        <w:rPr>
          <w:rFonts w:hint="eastAsia" w:ascii="宋体" w:hAnsi="宋体" w:cs="宋体"/>
          <w:b/>
          <w:bCs/>
          <w:szCs w:val="21"/>
        </w:rPr>
        <w:t>为支持和促进中小企业发展，杭州殡仪馆出台了政府采购信用融资政策，供应商可凭中标合同申请贷款，利率一般在基准利率左右（不同银行略有差异）。具体可登录http://220.191.208.230/login.do 办理业务。</w:t>
      </w:r>
    </w:p>
    <w:p>
      <w:pPr>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ascii="宋体" w:hAnsi="宋体" w:cs="宋体"/>
          <w:b/>
          <w:bCs/>
          <w:szCs w:val="21"/>
        </w:rPr>
      </w:pPr>
      <w:r>
        <w:rPr>
          <w:rFonts w:hint="eastAsia" w:ascii="宋体" w:hAnsi="宋体" w:cs="宋体"/>
          <w:b/>
          <w:bCs/>
          <w:szCs w:val="21"/>
        </w:rPr>
        <w:t>项目概况</w:t>
      </w:r>
    </w:p>
    <w:p>
      <w:pPr>
        <w:pBdr>
          <w:top w:val="single" w:color="auto" w:sz="4" w:space="1"/>
          <w:left w:val="single" w:color="auto" w:sz="4" w:space="4"/>
          <w:bottom w:val="single" w:color="auto" w:sz="4" w:space="1"/>
          <w:right w:val="single" w:color="auto" w:sz="4" w:space="4"/>
        </w:pBdr>
        <w:snapToGrid w:val="0"/>
        <w:spacing w:line="360" w:lineRule="auto"/>
        <w:ind w:firstLine="420" w:firstLineChars="200"/>
        <w:rPr>
          <w:rFonts w:ascii="宋体" w:hAnsi="宋体" w:cs="宋体"/>
          <w:szCs w:val="21"/>
        </w:rPr>
      </w:pPr>
      <w:r>
        <w:rPr>
          <w:rFonts w:hint="eastAsia" w:ascii="宋体" w:hAnsi="宋体" w:cs="宋体"/>
          <w:szCs w:val="21"/>
          <w:u w:val="single"/>
        </w:rPr>
        <w:t>杭州殡仪馆2022年花圈供货服务采购项目</w:t>
      </w:r>
      <w:r>
        <w:rPr>
          <w:rFonts w:hint="eastAsia" w:ascii="宋体" w:hAnsi="宋体" w:cs="宋体"/>
          <w:szCs w:val="21"/>
        </w:rPr>
        <w:t>招标项目的潜在投标人应在</w:t>
      </w:r>
      <w:r>
        <w:rPr>
          <w:rFonts w:hint="eastAsia" w:ascii="宋体" w:hAnsi="宋体" w:cs="宋体"/>
          <w:szCs w:val="21"/>
          <w:u w:val="single"/>
        </w:rPr>
        <w:t>浙江政府采购网（http://zfcg.czt.zj.gov.cn）</w:t>
      </w:r>
      <w:r>
        <w:rPr>
          <w:rFonts w:hint="eastAsia" w:ascii="宋体" w:hAnsi="宋体" w:cs="宋体"/>
          <w:szCs w:val="21"/>
        </w:rPr>
        <w:t>获取招标文件，并于</w:t>
      </w:r>
      <w:r>
        <w:rPr>
          <w:rFonts w:hint="eastAsia" w:ascii="宋体" w:hAnsi="宋体" w:cs="宋体"/>
          <w:szCs w:val="21"/>
          <w:u w:val="single"/>
        </w:rPr>
        <w:t>2022</w:t>
      </w:r>
      <w:r>
        <w:rPr>
          <w:rFonts w:hint="eastAsia" w:ascii="宋体" w:hAnsi="宋体" w:cs="宋体"/>
          <w:bCs/>
          <w:szCs w:val="21"/>
          <w:u w:val="single"/>
        </w:rPr>
        <w:t>年</w:t>
      </w:r>
      <w:r>
        <w:rPr>
          <w:rFonts w:hint="eastAsia" w:ascii="宋体" w:hAnsi="宋体" w:cs="宋体"/>
          <w:bCs/>
          <w:szCs w:val="21"/>
          <w:u w:val="single"/>
          <w:lang w:val="en-US" w:eastAsia="zh-CN"/>
        </w:rPr>
        <w:t>2</w:t>
      </w:r>
      <w:r>
        <w:rPr>
          <w:rFonts w:hint="eastAsia" w:ascii="宋体" w:hAnsi="宋体" w:cs="宋体"/>
          <w:bCs/>
          <w:szCs w:val="21"/>
          <w:u w:val="single"/>
        </w:rPr>
        <w:t>月</w:t>
      </w:r>
      <w:r>
        <w:rPr>
          <w:rFonts w:hint="eastAsia" w:ascii="宋体" w:hAnsi="宋体" w:cs="宋体"/>
          <w:bCs/>
          <w:szCs w:val="21"/>
          <w:u w:val="single"/>
          <w:lang w:val="en-US" w:eastAsia="zh-CN"/>
        </w:rPr>
        <w:t>11</w:t>
      </w:r>
      <w:r>
        <w:rPr>
          <w:rFonts w:hint="eastAsia" w:ascii="宋体" w:hAnsi="宋体" w:cs="宋体"/>
          <w:bCs/>
          <w:szCs w:val="21"/>
          <w:u w:val="single"/>
        </w:rPr>
        <w:t>日14点30分（</w:t>
      </w:r>
      <w:r>
        <w:rPr>
          <w:rFonts w:hint="eastAsia" w:ascii="宋体" w:hAnsi="宋体" w:cs="宋体"/>
          <w:bCs/>
          <w:szCs w:val="21"/>
        </w:rPr>
        <w:t>北京时间）前递交投标文件</w:t>
      </w:r>
      <w:r>
        <w:rPr>
          <w:rFonts w:hint="eastAsia" w:ascii="宋体" w:hAnsi="宋体" w:cs="宋体"/>
          <w:szCs w:val="21"/>
        </w:rPr>
        <w:t>。</w:t>
      </w:r>
    </w:p>
    <w:p>
      <w:pPr>
        <w:keepNext/>
        <w:keepLines/>
        <w:snapToGrid w:val="0"/>
        <w:spacing w:line="360" w:lineRule="auto"/>
        <w:outlineLvl w:val="1"/>
        <w:rPr>
          <w:rFonts w:ascii="宋体" w:hAnsi="宋体" w:cs="宋体"/>
          <w:b/>
          <w:bCs/>
          <w:szCs w:val="21"/>
          <w:lang w:val="zh-CN"/>
        </w:rPr>
      </w:pPr>
      <w:bookmarkStart w:id="3" w:name="_Toc28359002"/>
      <w:bookmarkStart w:id="4" w:name="_Toc35393790"/>
      <w:bookmarkStart w:id="5" w:name="_Toc28359079"/>
      <w:bookmarkStart w:id="6" w:name="_Toc35393621"/>
      <w:bookmarkStart w:id="7" w:name="_Hlk24379207"/>
      <w:r>
        <w:rPr>
          <w:rFonts w:hint="eastAsia" w:ascii="宋体" w:hAnsi="宋体" w:cs="宋体"/>
          <w:b/>
          <w:bCs/>
          <w:szCs w:val="21"/>
          <w:lang w:val="zh-CN"/>
        </w:rPr>
        <w:t>一、项目基本情况</w:t>
      </w:r>
      <w:bookmarkEnd w:id="3"/>
      <w:bookmarkEnd w:id="4"/>
      <w:bookmarkEnd w:id="5"/>
      <w:bookmarkEnd w:id="6"/>
    </w:p>
    <w:p>
      <w:pPr>
        <w:snapToGrid w:val="0"/>
        <w:spacing w:line="360" w:lineRule="auto"/>
        <w:ind w:firstLine="422" w:firstLineChars="200"/>
        <w:rPr>
          <w:rFonts w:ascii="宋体" w:hAnsi="宋体" w:cs="宋体"/>
          <w:szCs w:val="21"/>
        </w:rPr>
      </w:pPr>
      <w:r>
        <w:rPr>
          <w:rFonts w:hint="eastAsia" w:ascii="宋体" w:hAnsi="宋体" w:cs="宋体"/>
          <w:b/>
          <w:bCs/>
          <w:szCs w:val="21"/>
        </w:rPr>
        <w:t>项目编号：</w:t>
      </w:r>
      <w:r>
        <w:rPr>
          <w:rFonts w:hint="eastAsia" w:ascii="宋体" w:hAnsi="宋体" w:cs="宋体"/>
          <w:szCs w:val="21"/>
        </w:rPr>
        <w:t>ZJZN-21988-HB11-01</w:t>
      </w:r>
    </w:p>
    <w:p>
      <w:pPr>
        <w:snapToGrid w:val="0"/>
        <w:spacing w:line="360" w:lineRule="auto"/>
        <w:ind w:firstLine="422" w:firstLineChars="200"/>
        <w:rPr>
          <w:rFonts w:ascii="宋体" w:hAnsi="宋体" w:cs="宋体"/>
          <w:szCs w:val="21"/>
        </w:rPr>
      </w:pPr>
      <w:r>
        <w:rPr>
          <w:rFonts w:hint="eastAsia" w:ascii="宋体" w:hAnsi="宋体" w:cs="宋体"/>
          <w:b/>
          <w:bCs/>
          <w:szCs w:val="21"/>
        </w:rPr>
        <w:t>项目名称：</w:t>
      </w:r>
      <w:r>
        <w:rPr>
          <w:rFonts w:hint="eastAsia" w:ascii="宋体" w:hAnsi="宋体" w:cs="宋体"/>
          <w:szCs w:val="21"/>
        </w:rPr>
        <w:t>杭州殡仪馆2022年花圈供货服务采购项目</w:t>
      </w:r>
    </w:p>
    <w:bookmarkEnd w:id="7"/>
    <w:p>
      <w:pPr>
        <w:snapToGrid w:val="0"/>
        <w:spacing w:line="360" w:lineRule="auto"/>
        <w:ind w:firstLine="422" w:firstLineChars="200"/>
        <w:rPr>
          <w:rFonts w:ascii="宋体" w:hAnsi="宋体" w:cs="宋体"/>
          <w:szCs w:val="21"/>
        </w:rPr>
      </w:pPr>
      <w:r>
        <w:rPr>
          <w:rFonts w:hint="eastAsia" w:ascii="宋体" w:hAnsi="宋体" w:cs="宋体"/>
          <w:b/>
          <w:bCs/>
          <w:szCs w:val="21"/>
        </w:rPr>
        <w:t>预算金额：</w:t>
      </w:r>
      <w:r>
        <w:rPr>
          <w:rFonts w:hint="eastAsia" w:ascii="宋体" w:hAnsi="宋体" w:cs="宋体"/>
          <w:szCs w:val="21"/>
        </w:rPr>
        <w:t>人民币600万元</w:t>
      </w:r>
    </w:p>
    <w:p>
      <w:pPr>
        <w:snapToGrid w:val="0"/>
        <w:spacing w:line="360" w:lineRule="auto"/>
        <w:ind w:firstLine="422" w:firstLineChars="200"/>
        <w:rPr>
          <w:rFonts w:ascii="宋体" w:hAnsi="宋体" w:cs="宋体"/>
          <w:szCs w:val="21"/>
        </w:rPr>
      </w:pPr>
      <w:r>
        <w:rPr>
          <w:rFonts w:hint="eastAsia" w:ascii="宋体" w:hAnsi="宋体" w:cs="宋体"/>
          <w:b/>
          <w:bCs/>
          <w:szCs w:val="21"/>
        </w:rPr>
        <w:t>最高限价：</w:t>
      </w:r>
      <w:r>
        <w:rPr>
          <w:rFonts w:hint="eastAsia" w:ascii="宋体" w:hAnsi="宋体" w:cs="宋体"/>
          <w:szCs w:val="21"/>
        </w:rPr>
        <w:t>人民币600万元</w:t>
      </w:r>
    </w:p>
    <w:p>
      <w:pPr>
        <w:snapToGrid w:val="0"/>
        <w:spacing w:line="360" w:lineRule="auto"/>
        <w:ind w:firstLine="422" w:firstLineChars="200"/>
        <w:rPr>
          <w:rFonts w:ascii="宋体" w:hAnsi="宋体" w:cs="宋体"/>
          <w:b/>
          <w:bCs/>
          <w:szCs w:val="21"/>
        </w:rPr>
      </w:pPr>
      <w:r>
        <w:rPr>
          <w:rFonts w:hint="eastAsia" w:ascii="宋体" w:hAnsi="宋体" w:cs="宋体"/>
          <w:b/>
          <w:bCs/>
          <w:szCs w:val="21"/>
        </w:rPr>
        <w:t>采购需求：</w:t>
      </w:r>
    </w:p>
    <w:tbl>
      <w:tblPr>
        <w:tblStyle w:val="44"/>
        <w:tblW w:w="9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420"/>
        <w:gridCol w:w="709"/>
        <w:gridCol w:w="708"/>
        <w:gridCol w:w="1134"/>
        <w:gridCol w:w="2877"/>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7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sz w:val="18"/>
              </w:rPr>
            </w:pPr>
            <w:r>
              <w:rPr>
                <w:rFonts w:hint="eastAsia" w:ascii="宋体" w:hAnsi="宋体" w:cs="宋体"/>
                <w:b/>
                <w:bCs/>
                <w:sz w:val="18"/>
              </w:rPr>
              <w:t>序号</w:t>
            </w:r>
          </w:p>
        </w:tc>
        <w:tc>
          <w:tcPr>
            <w:tcW w:w="142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sz w:val="18"/>
              </w:rPr>
            </w:pPr>
            <w:r>
              <w:rPr>
                <w:rFonts w:hint="eastAsia" w:ascii="宋体" w:hAnsi="宋体" w:cs="宋体"/>
                <w:b/>
                <w:bCs/>
                <w:sz w:val="18"/>
              </w:rPr>
              <w:t>标项内容</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sz w:val="18"/>
              </w:rPr>
            </w:pPr>
            <w:r>
              <w:rPr>
                <w:rFonts w:hint="eastAsia" w:ascii="宋体" w:hAnsi="宋体" w:cs="宋体"/>
                <w:b/>
                <w:bCs/>
                <w:sz w:val="18"/>
              </w:rPr>
              <w:t>数量</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sz w:val="18"/>
              </w:rPr>
            </w:pPr>
            <w:r>
              <w:rPr>
                <w:rFonts w:hint="eastAsia" w:ascii="宋体" w:hAnsi="宋体" w:cs="宋体"/>
                <w:b/>
                <w:bCs/>
                <w:sz w:val="18"/>
              </w:rPr>
              <w:t>单位</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sz w:val="18"/>
              </w:rPr>
            </w:pPr>
            <w:r>
              <w:rPr>
                <w:rFonts w:hint="eastAsia" w:ascii="宋体" w:hAnsi="宋体" w:cs="宋体"/>
                <w:b/>
                <w:bCs/>
                <w:sz w:val="18"/>
              </w:rPr>
              <w:t>预算金额</w:t>
            </w:r>
          </w:p>
        </w:tc>
        <w:tc>
          <w:tcPr>
            <w:tcW w:w="2877"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sz w:val="18"/>
              </w:rPr>
            </w:pPr>
            <w:r>
              <w:rPr>
                <w:rFonts w:hint="eastAsia" w:ascii="宋体" w:hAnsi="宋体" w:cs="宋体"/>
                <w:b/>
                <w:bCs/>
                <w:sz w:val="18"/>
              </w:rPr>
              <w:t>采购需求</w:t>
            </w:r>
          </w:p>
        </w:tc>
        <w:tc>
          <w:tcPr>
            <w:tcW w:w="208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sz w:val="18"/>
              </w:rPr>
            </w:pPr>
            <w:r>
              <w:rPr>
                <w:rFonts w:hint="eastAsia" w:ascii="宋体" w:hAnsi="宋体" w:cs="宋体"/>
                <w:b/>
                <w:bCs/>
                <w:sz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7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sz w:val="18"/>
              </w:rPr>
            </w:pPr>
            <w:r>
              <w:rPr>
                <w:rFonts w:hint="eastAsia" w:ascii="宋体" w:hAnsi="宋体" w:cs="宋体"/>
                <w:sz w:val="18"/>
              </w:rPr>
              <w:t>1</w:t>
            </w:r>
          </w:p>
        </w:tc>
        <w:tc>
          <w:tcPr>
            <w:tcW w:w="142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sz w:val="18"/>
              </w:rPr>
            </w:pPr>
            <w:r>
              <w:rPr>
                <w:rFonts w:hint="eastAsia" w:ascii="宋体" w:hAnsi="宋体" w:cs="宋体"/>
                <w:sz w:val="18"/>
              </w:rPr>
              <w:t>2022年度花圈供货服务</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sz w:val="18"/>
              </w:rPr>
            </w:pPr>
            <w:r>
              <w:rPr>
                <w:rFonts w:hint="eastAsia" w:ascii="宋体" w:hAnsi="宋体" w:cs="宋体"/>
                <w:sz w:val="18"/>
              </w:rPr>
              <w:t>1</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sz w:val="18"/>
              </w:rPr>
            </w:pPr>
            <w:r>
              <w:rPr>
                <w:rFonts w:hint="eastAsia" w:ascii="宋体" w:hAnsi="宋体" w:cs="宋体"/>
                <w:sz w:val="18"/>
              </w:rPr>
              <w:t>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sz w:val="18"/>
              </w:rPr>
            </w:pPr>
            <w:r>
              <w:rPr>
                <w:rFonts w:hint="eastAsia" w:ascii="宋体" w:hAnsi="宋体" w:cs="宋体"/>
                <w:sz w:val="18"/>
              </w:rPr>
              <w:t>600万元</w:t>
            </w:r>
          </w:p>
        </w:tc>
        <w:tc>
          <w:tcPr>
            <w:tcW w:w="2877"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sz w:val="18"/>
              </w:rPr>
            </w:pPr>
            <w:r>
              <w:rPr>
                <w:rFonts w:hint="eastAsia" w:ascii="宋体" w:hAnsi="宋体" w:cs="宋体"/>
                <w:sz w:val="18"/>
              </w:rPr>
              <w:t>为杭州殡仪馆售卖的花圈进行花圈制造、供货、运输及相关服务等。详见招标文件采购需求</w:t>
            </w:r>
          </w:p>
        </w:tc>
        <w:tc>
          <w:tcPr>
            <w:tcW w:w="2089" w:type="dxa"/>
            <w:vAlign w:val="center"/>
          </w:tcPr>
          <w:p>
            <w:pPr>
              <w:widowControl/>
              <w:snapToGrid w:val="0"/>
              <w:spacing w:line="300" w:lineRule="auto"/>
              <w:jc w:val="center"/>
              <w:rPr>
                <w:rFonts w:ascii="宋体" w:hAnsi="宋体" w:cs="宋体"/>
                <w:sz w:val="18"/>
              </w:rPr>
            </w:pPr>
            <w:r>
              <w:rPr>
                <w:rFonts w:hint="eastAsia" w:ascii="宋体" w:hAnsi="宋体" w:cs="宋体"/>
                <w:sz w:val="18"/>
              </w:rPr>
              <w:t>本项目采购计划编号：杭政采分-2022-02977[HZZFCG-YS-2022-12981]</w:t>
            </w:r>
          </w:p>
          <w:p>
            <w:pPr>
              <w:widowControl/>
              <w:snapToGrid w:val="0"/>
              <w:spacing w:line="300" w:lineRule="auto"/>
              <w:jc w:val="center"/>
              <w:rPr>
                <w:rFonts w:ascii="宋体" w:hAnsi="宋体" w:cs="宋体"/>
                <w:sz w:val="18"/>
              </w:rPr>
            </w:pPr>
            <w:r>
              <w:rPr>
                <w:rFonts w:hint="eastAsia" w:ascii="宋体" w:hAnsi="宋体" w:cs="宋体"/>
                <w:sz w:val="18"/>
              </w:rPr>
              <w:t>本项目按单价报价，最高限价详见采购文件</w:t>
            </w:r>
          </w:p>
        </w:tc>
      </w:tr>
    </w:tbl>
    <w:p>
      <w:pPr>
        <w:snapToGrid w:val="0"/>
        <w:spacing w:line="360" w:lineRule="auto"/>
        <w:ind w:firstLine="422" w:firstLineChars="200"/>
        <w:rPr>
          <w:rFonts w:ascii="宋体" w:hAnsi="宋体" w:cs="宋体"/>
          <w:szCs w:val="21"/>
          <w:u w:val="single"/>
        </w:rPr>
      </w:pPr>
      <w:r>
        <w:rPr>
          <w:rFonts w:hint="eastAsia" w:ascii="宋体" w:hAnsi="宋体" w:cs="宋体"/>
          <w:b/>
          <w:bCs/>
          <w:szCs w:val="21"/>
        </w:rPr>
        <w:t>合同履行期限：</w:t>
      </w:r>
      <w:r>
        <w:rPr>
          <w:rFonts w:hint="eastAsia" w:ascii="宋体" w:hAnsi="宋体" w:cs="宋体"/>
          <w:szCs w:val="21"/>
        </w:rPr>
        <w:t>2022年1月1日至2022年12月31日</w:t>
      </w:r>
    </w:p>
    <w:p>
      <w:pPr>
        <w:snapToGrid w:val="0"/>
        <w:spacing w:line="360" w:lineRule="auto"/>
        <w:ind w:firstLine="420" w:firstLineChars="200"/>
        <w:rPr>
          <w:rFonts w:ascii="宋体" w:hAnsi="宋体" w:cs="宋体"/>
          <w:szCs w:val="21"/>
        </w:rPr>
      </w:pPr>
      <w:r>
        <w:rPr>
          <w:rFonts w:hint="eastAsia" w:ascii="宋体" w:hAnsi="宋体" w:cs="宋体"/>
          <w:szCs w:val="21"/>
        </w:rPr>
        <w:t>本项目不接受联合体投标。</w:t>
      </w:r>
    </w:p>
    <w:p>
      <w:pPr>
        <w:keepNext/>
        <w:keepLines/>
        <w:snapToGrid w:val="0"/>
        <w:spacing w:line="360" w:lineRule="auto"/>
        <w:outlineLvl w:val="1"/>
        <w:rPr>
          <w:rFonts w:ascii="宋体" w:hAnsi="宋体" w:cs="宋体"/>
          <w:b/>
          <w:bCs/>
          <w:szCs w:val="21"/>
          <w:lang w:val="zh-CN"/>
        </w:rPr>
      </w:pPr>
      <w:bookmarkStart w:id="8" w:name="_Toc28359080"/>
      <w:bookmarkStart w:id="9" w:name="_Toc28359003"/>
      <w:bookmarkStart w:id="10" w:name="_Toc35393791"/>
      <w:bookmarkStart w:id="11" w:name="_Toc35393622"/>
      <w:r>
        <w:rPr>
          <w:rFonts w:hint="eastAsia" w:ascii="宋体" w:hAnsi="宋体" w:cs="宋体"/>
          <w:b/>
          <w:bCs/>
          <w:szCs w:val="21"/>
          <w:lang w:val="zh-CN"/>
        </w:rPr>
        <w:t>二、申请人的资格要求：</w:t>
      </w:r>
      <w:bookmarkEnd w:id="8"/>
      <w:bookmarkEnd w:id="9"/>
      <w:bookmarkEnd w:id="10"/>
      <w:bookmarkEnd w:id="11"/>
    </w:p>
    <w:p>
      <w:pPr>
        <w:snapToGrid w:val="0"/>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pPr>
        <w:snapToGrid w:val="0"/>
        <w:spacing w:line="360" w:lineRule="auto"/>
        <w:ind w:firstLine="420" w:firstLineChars="200"/>
        <w:rPr>
          <w:rFonts w:ascii="宋体" w:hAnsi="宋体" w:cs="宋体"/>
          <w:szCs w:val="21"/>
        </w:rPr>
      </w:pPr>
      <w:bookmarkStart w:id="12" w:name="_Toc28359081"/>
      <w:bookmarkStart w:id="13" w:name="_Toc28359004"/>
      <w:r>
        <w:rPr>
          <w:rFonts w:hint="eastAsia" w:ascii="宋体" w:hAnsi="宋体" w:cs="宋体"/>
          <w:szCs w:val="21"/>
        </w:rPr>
        <w:t>2.落实政府采购政策需满足的资格要求：</w:t>
      </w:r>
      <w:r>
        <w:rPr>
          <w:rFonts w:hint="eastAsia" w:ascii="宋体" w:hAnsi="宋体" w:cs="宋体"/>
          <w:szCs w:val="21"/>
          <w:u w:val="single"/>
        </w:rPr>
        <w:t>本项目专门面向中小企业采购，符合《政府采购促进中小企业发展管理办法》（财库〔2020〕46号）规定的供应商可以参加本项目。</w:t>
      </w:r>
    </w:p>
    <w:p>
      <w:pPr>
        <w:snapToGrid w:val="0"/>
        <w:spacing w:line="360" w:lineRule="auto"/>
        <w:ind w:firstLine="420" w:firstLineChars="200"/>
        <w:rPr>
          <w:rFonts w:ascii="宋体" w:hAnsi="宋体" w:cs="宋体"/>
          <w:i/>
          <w:iCs/>
          <w:szCs w:val="21"/>
          <w:u w:val="single"/>
        </w:rPr>
      </w:pPr>
      <w:r>
        <w:rPr>
          <w:rFonts w:hint="eastAsia" w:ascii="宋体" w:hAnsi="宋体" w:cs="宋体"/>
          <w:szCs w:val="21"/>
        </w:rPr>
        <w:t>3.本项目的特定资格要求：</w:t>
      </w:r>
      <w:r>
        <w:rPr>
          <w:rFonts w:hint="eastAsia" w:ascii="宋体" w:hAnsi="宋体" w:cs="宋体"/>
          <w:szCs w:val="21"/>
          <w:u w:val="single"/>
        </w:rPr>
        <w:t>无</w:t>
      </w:r>
    </w:p>
    <w:p>
      <w:pPr>
        <w:keepNext/>
        <w:keepLines/>
        <w:snapToGrid w:val="0"/>
        <w:spacing w:line="360" w:lineRule="auto"/>
        <w:outlineLvl w:val="1"/>
        <w:rPr>
          <w:rFonts w:ascii="宋体" w:hAnsi="宋体" w:cs="宋体"/>
          <w:b/>
          <w:bCs/>
          <w:szCs w:val="21"/>
          <w:lang w:val="zh-CN"/>
        </w:rPr>
      </w:pPr>
      <w:bookmarkStart w:id="14" w:name="_Toc35393623"/>
      <w:bookmarkStart w:id="15" w:name="_Toc35393792"/>
      <w:r>
        <w:rPr>
          <w:rFonts w:hint="eastAsia" w:ascii="宋体" w:hAnsi="宋体" w:cs="宋体"/>
          <w:b/>
          <w:bCs/>
          <w:szCs w:val="21"/>
          <w:lang w:val="zh-CN"/>
        </w:rPr>
        <w:t>三、获取招标文件</w:t>
      </w:r>
      <w:bookmarkEnd w:id="12"/>
      <w:bookmarkEnd w:id="13"/>
      <w:bookmarkEnd w:id="14"/>
      <w:bookmarkEnd w:id="15"/>
    </w:p>
    <w:p>
      <w:pPr>
        <w:snapToGrid w:val="0"/>
        <w:spacing w:line="360" w:lineRule="auto"/>
        <w:ind w:firstLine="540"/>
        <w:rPr>
          <w:rFonts w:ascii="宋体" w:hAnsi="宋体" w:cs="宋体"/>
          <w:szCs w:val="21"/>
        </w:rPr>
      </w:pPr>
      <w:r>
        <w:rPr>
          <w:rFonts w:hint="eastAsia" w:ascii="宋体" w:hAnsi="宋体" w:cs="宋体"/>
          <w:b/>
          <w:bCs/>
          <w:szCs w:val="21"/>
        </w:rPr>
        <w:t>时间：</w:t>
      </w:r>
      <w:r>
        <w:rPr>
          <w:rFonts w:hint="eastAsia" w:ascii="宋体" w:hAnsi="宋体" w:cs="宋体"/>
          <w:szCs w:val="21"/>
          <w:u w:val="single"/>
        </w:rPr>
        <w:t>公告发布之日</w:t>
      </w:r>
      <w:r>
        <w:rPr>
          <w:rFonts w:hint="eastAsia" w:ascii="宋体" w:hAnsi="宋体" w:cs="宋体"/>
          <w:szCs w:val="21"/>
        </w:rPr>
        <w:t>至</w:t>
      </w:r>
      <w:r>
        <w:rPr>
          <w:rFonts w:hint="eastAsia" w:ascii="宋体" w:hAnsi="宋体" w:cs="宋体"/>
          <w:szCs w:val="21"/>
          <w:u w:val="single"/>
        </w:rPr>
        <w:t>投标截止时间</w:t>
      </w:r>
      <w:r>
        <w:rPr>
          <w:rFonts w:hint="eastAsia" w:ascii="宋体" w:hAnsi="宋体" w:cs="宋体"/>
          <w:szCs w:val="21"/>
        </w:rPr>
        <w:t>（北京时间，法定节假日除外）</w:t>
      </w:r>
    </w:p>
    <w:p>
      <w:pPr>
        <w:snapToGrid w:val="0"/>
        <w:spacing w:line="360" w:lineRule="auto"/>
        <w:ind w:firstLine="540"/>
        <w:rPr>
          <w:rFonts w:ascii="宋体" w:hAnsi="宋体" w:cs="宋体"/>
          <w:szCs w:val="21"/>
          <w:u w:val="single"/>
        </w:rPr>
      </w:pPr>
      <w:r>
        <w:rPr>
          <w:rFonts w:hint="eastAsia" w:ascii="宋体" w:hAnsi="宋体" w:cs="宋体"/>
          <w:b/>
          <w:bCs/>
          <w:szCs w:val="21"/>
        </w:rPr>
        <w:t>地点：</w:t>
      </w:r>
      <w:r>
        <w:rPr>
          <w:rFonts w:hint="eastAsia" w:ascii="宋体" w:hAnsi="宋体" w:cs="宋体"/>
          <w:szCs w:val="21"/>
        </w:rPr>
        <w:t>浙江政府采购网（http://zfcg.czt.zj.gov.cn）</w:t>
      </w:r>
    </w:p>
    <w:p>
      <w:pPr>
        <w:snapToGrid w:val="0"/>
        <w:spacing w:line="360" w:lineRule="auto"/>
        <w:ind w:firstLine="540"/>
        <w:rPr>
          <w:rFonts w:ascii="宋体" w:hAnsi="宋体" w:cs="宋体"/>
          <w:szCs w:val="21"/>
          <w:u w:val="single"/>
        </w:rPr>
      </w:pPr>
      <w:r>
        <w:rPr>
          <w:rFonts w:hint="eastAsia" w:ascii="宋体" w:hAnsi="宋体" w:cs="宋体"/>
          <w:b/>
          <w:bCs/>
          <w:szCs w:val="21"/>
        </w:rPr>
        <w:t>方式：</w:t>
      </w:r>
      <w:r>
        <w:rPr>
          <w:rFonts w:hint="eastAsia" w:ascii="宋体" w:hAnsi="宋体" w:cs="宋体"/>
          <w:szCs w:val="21"/>
        </w:rPr>
        <w:t>本项目实行网上报名，不接受现场报名。供应商登录浙江政府采购网进行报名。《供应商网上报名操作指南》位置：“首页-办事指南-投标报价-网上报名”（http://zfcg.czt.zj.gov.cn/quote/2017-05-25/6708.html）或点击本公告下方：“潜在供应商-获取采购文件”</w:t>
      </w:r>
    </w:p>
    <w:p>
      <w:pPr>
        <w:snapToGrid w:val="0"/>
        <w:spacing w:line="360" w:lineRule="auto"/>
        <w:ind w:firstLine="540"/>
        <w:rPr>
          <w:rFonts w:ascii="宋体" w:hAnsi="宋体" w:cs="宋体"/>
          <w:b/>
          <w:bCs/>
          <w:szCs w:val="21"/>
        </w:rPr>
      </w:pPr>
      <w:r>
        <w:rPr>
          <w:rFonts w:hint="eastAsia" w:ascii="宋体" w:hAnsi="宋体" w:cs="宋体"/>
          <w:b/>
          <w:bCs/>
          <w:szCs w:val="21"/>
        </w:rPr>
        <w:t>售价：</w:t>
      </w:r>
      <w:r>
        <w:rPr>
          <w:rFonts w:hint="eastAsia" w:ascii="宋体" w:hAnsi="宋体" w:cs="宋体"/>
          <w:szCs w:val="21"/>
        </w:rPr>
        <w:t>免费</w:t>
      </w:r>
    </w:p>
    <w:p>
      <w:pPr>
        <w:keepNext/>
        <w:keepLines/>
        <w:snapToGrid w:val="0"/>
        <w:spacing w:line="360" w:lineRule="auto"/>
        <w:outlineLvl w:val="1"/>
        <w:rPr>
          <w:rFonts w:ascii="宋体" w:hAnsi="宋体" w:cs="宋体"/>
          <w:b/>
          <w:bCs/>
          <w:szCs w:val="21"/>
          <w:lang w:val="zh-CN"/>
        </w:rPr>
      </w:pPr>
      <w:bookmarkStart w:id="16" w:name="_Toc28359005"/>
      <w:bookmarkStart w:id="17" w:name="_Toc28359082"/>
      <w:bookmarkStart w:id="18" w:name="_Toc35393624"/>
      <w:bookmarkStart w:id="19" w:name="_Toc35393793"/>
      <w:r>
        <w:rPr>
          <w:rFonts w:hint="eastAsia" w:ascii="宋体" w:hAnsi="宋体" w:cs="宋体"/>
          <w:b/>
          <w:bCs/>
          <w:szCs w:val="21"/>
          <w:lang w:val="zh-CN"/>
        </w:rPr>
        <w:t>四、提交投标文件</w:t>
      </w:r>
      <w:bookmarkEnd w:id="16"/>
      <w:bookmarkEnd w:id="17"/>
      <w:r>
        <w:rPr>
          <w:rFonts w:hint="eastAsia" w:ascii="宋体" w:hAnsi="宋体" w:cs="宋体"/>
          <w:b/>
          <w:bCs/>
          <w:szCs w:val="21"/>
          <w:lang w:val="zh-CN"/>
        </w:rPr>
        <w:t>截止时间、开标时间和地点</w:t>
      </w:r>
      <w:bookmarkEnd w:id="18"/>
      <w:bookmarkEnd w:id="19"/>
    </w:p>
    <w:p>
      <w:pPr>
        <w:snapToGrid w:val="0"/>
        <w:spacing w:line="360" w:lineRule="auto"/>
        <w:ind w:firstLine="420" w:firstLineChars="200"/>
        <w:rPr>
          <w:rFonts w:ascii="宋体" w:hAnsi="宋体" w:cs="宋体"/>
          <w:bCs/>
          <w:szCs w:val="21"/>
          <w:u w:val="single"/>
        </w:rPr>
      </w:pPr>
      <w:r>
        <w:rPr>
          <w:rFonts w:hint="eastAsia" w:ascii="宋体" w:hAnsi="宋体" w:cs="宋体"/>
          <w:szCs w:val="21"/>
          <w:u w:val="single"/>
        </w:rPr>
        <w:t>2022</w:t>
      </w:r>
      <w:r>
        <w:rPr>
          <w:rFonts w:hint="eastAsia" w:ascii="宋体" w:hAnsi="宋体" w:cs="宋体"/>
          <w:bCs/>
          <w:szCs w:val="21"/>
          <w:u w:val="single"/>
        </w:rPr>
        <w:t>年</w:t>
      </w:r>
      <w:r>
        <w:rPr>
          <w:rFonts w:hint="eastAsia" w:ascii="宋体" w:hAnsi="宋体" w:cs="宋体"/>
          <w:bCs/>
          <w:szCs w:val="21"/>
          <w:u w:val="single"/>
          <w:lang w:val="en-US" w:eastAsia="zh-CN"/>
        </w:rPr>
        <w:t>2</w:t>
      </w:r>
      <w:r>
        <w:rPr>
          <w:rFonts w:hint="eastAsia" w:ascii="宋体" w:hAnsi="宋体" w:cs="宋体"/>
          <w:bCs/>
          <w:szCs w:val="21"/>
          <w:u w:val="single"/>
        </w:rPr>
        <w:t>月</w:t>
      </w:r>
      <w:r>
        <w:rPr>
          <w:rFonts w:hint="eastAsia" w:ascii="宋体" w:hAnsi="宋体" w:cs="宋体"/>
          <w:bCs/>
          <w:szCs w:val="21"/>
          <w:u w:val="single"/>
          <w:lang w:val="en-US" w:eastAsia="zh-CN"/>
        </w:rPr>
        <w:t>11</w:t>
      </w:r>
      <w:bookmarkStart w:id="148" w:name="_GoBack"/>
      <w:bookmarkEnd w:id="148"/>
      <w:r>
        <w:rPr>
          <w:rFonts w:hint="eastAsia" w:ascii="宋体" w:hAnsi="宋体" w:cs="宋体"/>
          <w:bCs/>
          <w:szCs w:val="21"/>
          <w:u w:val="single"/>
        </w:rPr>
        <w:t>日14点30分</w:t>
      </w:r>
      <w:r>
        <w:rPr>
          <w:rFonts w:hint="eastAsia" w:ascii="宋体" w:hAnsi="宋体" w:cs="宋体"/>
          <w:bCs/>
          <w:szCs w:val="21"/>
        </w:rPr>
        <w:t>（北京时间）</w:t>
      </w:r>
    </w:p>
    <w:p>
      <w:pPr>
        <w:snapToGrid w:val="0"/>
        <w:spacing w:line="360" w:lineRule="auto"/>
        <w:ind w:firstLine="420" w:firstLineChars="200"/>
        <w:rPr>
          <w:rFonts w:ascii="宋体" w:hAnsi="宋体" w:cs="宋体"/>
          <w:szCs w:val="21"/>
        </w:rPr>
      </w:pPr>
      <w:r>
        <w:rPr>
          <w:rFonts w:hint="eastAsia" w:ascii="宋体" w:hAnsi="宋体" w:cs="宋体"/>
          <w:szCs w:val="21"/>
        </w:rPr>
        <w:t>地点：供应商应当在提交投标文件截止时间前完成电子投标文件的传输递交，提交投标文件截止时间后传输递交的投标文件，将被拒收。</w:t>
      </w:r>
    </w:p>
    <w:p>
      <w:pPr>
        <w:snapToGrid w:val="0"/>
        <w:spacing w:line="360" w:lineRule="auto"/>
        <w:ind w:firstLine="420" w:firstLineChars="200"/>
        <w:rPr>
          <w:rFonts w:ascii="宋体" w:hAnsi="宋体" w:cs="宋体"/>
          <w:bCs/>
          <w:szCs w:val="21"/>
          <w:u w:val="single"/>
        </w:rPr>
      </w:pPr>
      <w:r>
        <w:rPr>
          <w:rFonts w:hint="eastAsia" w:ascii="宋体" w:hAnsi="宋体" w:cs="宋体"/>
          <w:szCs w:val="21"/>
        </w:rPr>
        <w:t>供应商应当在提交投标文件截止时间前将以介质存储的数据电文形式的备份投标文件密封送交到杭州市环城北路141号永通信息广场西写字楼10楼会议室，收件人：刘宋斌、联系电话：0571-88821402，逾期送达或未密封将被拒收。</w:t>
      </w:r>
    </w:p>
    <w:p>
      <w:pPr>
        <w:keepNext/>
        <w:keepLines/>
        <w:snapToGrid w:val="0"/>
        <w:spacing w:line="360" w:lineRule="auto"/>
        <w:outlineLvl w:val="1"/>
        <w:rPr>
          <w:rFonts w:ascii="宋体" w:hAnsi="宋体" w:cs="宋体"/>
          <w:b/>
          <w:bCs/>
          <w:szCs w:val="21"/>
          <w:lang w:val="zh-CN"/>
        </w:rPr>
      </w:pPr>
      <w:bookmarkStart w:id="20" w:name="_Toc35393625"/>
      <w:bookmarkStart w:id="21" w:name="_Toc35393794"/>
      <w:bookmarkStart w:id="22" w:name="_Toc28359084"/>
      <w:bookmarkStart w:id="23" w:name="_Toc28359007"/>
      <w:r>
        <w:rPr>
          <w:rFonts w:hint="eastAsia" w:ascii="宋体" w:hAnsi="宋体" w:cs="宋体"/>
          <w:b/>
          <w:bCs/>
          <w:szCs w:val="21"/>
          <w:lang w:val="zh-CN"/>
        </w:rPr>
        <w:t>五、公告期限</w:t>
      </w:r>
      <w:bookmarkEnd w:id="20"/>
      <w:bookmarkEnd w:id="21"/>
      <w:bookmarkEnd w:id="22"/>
      <w:bookmarkEnd w:id="23"/>
    </w:p>
    <w:p>
      <w:pPr>
        <w:snapToGrid w:val="0"/>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自本公告发布之日起5个工作日。</w:t>
      </w:r>
    </w:p>
    <w:p>
      <w:pPr>
        <w:keepNext/>
        <w:keepLines/>
        <w:snapToGrid w:val="0"/>
        <w:spacing w:line="360" w:lineRule="auto"/>
        <w:outlineLvl w:val="1"/>
        <w:rPr>
          <w:rFonts w:ascii="宋体" w:hAnsi="宋体" w:cs="宋体"/>
          <w:b/>
          <w:bCs/>
          <w:szCs w:val="21"/>
          <w:lang w:val="zh-CN"/>
        </w:rPr>
      </w:pPr>
      <w:bookmarkStart w:id="24" w:name="_Toc35393795"/>
      <w:bookmarkStart w:id="25" w:name="_Toc35393626"/>
      <w:r>
        <w:rPr>
          <w:rFonts w:hint="eastAsia" w:ascii="宋体" w:hAnsi="宋体" w:cs="宋体"/>
          <w:b/>
          <w:bCs/>
          <w:szCs w:val="21"/>
          <w:lang w:val="zh-CN"/>
        </w:rPr>
        <w:t>六、其他补充事宜</w:t>
      </w:r>
      <w:bookmarkEnd w:id="24"/>
      <w:bookmarkEnd w:id="25"/>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1、本项目实行电子投标，应按照本项目招标文件和政采云平台的要求编制、加密并递交投标文件。供应商在使用系统进行投标的过程中遇到涉及平台使用的任何问题，可致电政采云平台技术支持热线咨询，联系方式：400-881-7190。</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2、投标人应在开标前完成CA数字证书办理。（办理流程详见http://zfcg.czt.zj.gov.cn/bidClientTemplate/2019-05-27/12945.html）。</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3、投标人通过政采云平台电子投标工具制作投标文件，电子投标工具请供应商自行前往浙江政府采购网下载并安装，（下载网址：http://zfcg.czt.zj.gov.cn/bidClientTemplate/2019-09-24/12975.html），电子投标具体流程详见政采云服务中心-帮助文档-项目采购委托采购-操作流程（https://service.zcygov.cn/#/knowledges/9W1BtGwBFdiHxlNduoxZ/KeoB1G0BkjoVoiMybA8V）。</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4、采购文件获取截止时间之后潜在供应商仍然可以获取采购文件，但该供应商如对采购文件有疑问应按采购文件规定的时间前提出，逾期提出的，采购组织机构可以不予受理、答复。</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5、供应商认为采购文件、采购过程和中标、成交结果使自己的权益受到损害的，可以在知道或者应知其权益受到损害之日起七个工作日内以书面形式向采购人、采购代理机构提出质疑。</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（1）对可以质疑的采购文件提出质疑的，为收到采购文件之日或者采购文件公告期限届满之日；</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（2）对采购过程提出质疑的，为各采购程序环节结束之日；</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（3）对中标或者成交结果提出质疑的，为中标或者成交结果公告期限届满之日。</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采购人、采购代理机构应当在3个工作日内对供应上依法提出询问作出答复。</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供应商提出的询问或者质疑超出采购人对采购代理机构委托代理范围的，采购代理机构应当告知供应商向采购人提出。</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政府采购评审专家应当配合采购人或采购代理机构答复供应商询问和质疑。</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供应商对采购机构的质疑答复不满意或者采购机构未在规定时间内作出答复的，可以在答复期满后十五个工作日内向同级政府采购监督管理部门投诉。</w:t>
      </w:r>
    </w:p>
    <w:p>
      <w:pPr>
        <w:widowControl/>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zCs w:val="21"/>
        </w:rPr>
        <w:t>6、质疑受理地点：</w:t>
      </w:r>
      <w:r>
        <w:rPr>
          <w:rFonts w:hint="eastAsia" w:ascii="宋体" w:hAnsi="宋体" w:cs="宋体"/>
          <w:b/>
          <w:snapToGrid w:val="0"/>
          <w:kern w:val="0"/>
          <w:szCs w:val="21"/>
        </w:rPr>
        <w:t xml:space="preserve">浙江中诺招标代理有限公司 </w:t>
      </w:r>
      <w:r>
        <w:rPr>
          <w:rFonts w:hint="eastAsia" w:ascii="宋体" w:hAnsi="宋体" w:cs="宋体"/>
          <w:snapToGrid w:val="0"/>
          <w:kern w:val="0"/>
          <w:szCs w:val="21"/>
        </w:rPr>
        <w:t>地址：杭州市环城北路141号永通信息广场西写字楼10楼 韦妍睿 电话：0571-88821402-802</w:t>
      </w:r>
    </w:p>
    <w:p>
      <w:pPr>
        <w:widowControl/>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7、本项目落实的政府采购政策：（1）政府采购促进中小企业发展、（2）政府采购支持监狱企业发展、（3）促进残疾人就业政府采购政策、（4）政府采购鼓励节能、环保产品</w:t>
      </w:r>
    </w:p>
    <w:p>
      <w:pPr>
        <w:keepNext/>
        <w:keepLines/>
        <w:snapToGrid w:val="0"/>
        <w:spacing w:line="360" w:lineRule="auto"/>
        <w:outlineLvl w:val="1"/>
        <w:rPr>
          <w:rFonts w:ascii="宋体" w:hAnsi="宋体" w:cs="宋体"/>
          <w:b/>
          <w:bCs/>
          <w:szCs w:val="21"/>
          <w:lang w:val="zh-CN"/>
        </w:rPr>
      </w:pPr>
      <w:bookmarkStart w:id="26" w:name="_Toc35393627"/>
      <w:bookmarkStart w:id="27" w:name="_Toc35393796"/>
      <w:bookmarkStart w:id="28" w:name="_Toc28359008"/>
      <w:bookmarkStart w:id="29" w:name="_Toc28359085"/>
      <w:r>
        <w:rPr>
          <w:rFonts w:hint="eastAsia" w:ascii="宋体" w:hAnsi="宋体" w:cs="宋体"/>
          <w:b/>
          <w:bCs/>
          <w:szCs w:val="21"/>
          <w:lang w:val="zh-CN"/>
        </w:rPr>
        <w:t>七、对本次招标提出询问，请按以下方式联系。</w:t>
      </w:r>
      <w:bookmarkEnd w:id="26"/>
      <w:bookmarkEnd w:id="27"/>
      <w:bookmarkEnd w:id="28"/>
      <w:bookmarkEnd w:id="29"/>
    </w:p>
    <w:p>
      <w:pPr>
        <w:tabs>
          <w:tab w:val="left" w:pos="7627"/>
        </w:tabs>
        <w:autoSpaceDE w:val="0"/>
        <w:autoSpaceDN w:val="0"/>
        <w:snapToGrid w:val="0"/>
        <w:spacing w:line="360" w:lineRule="auto"/>
        <w:ind w:firstLine="422" w:firstLineChars="200"/>
        <w:jc w:val="left"/>
        <w:textAlignment w:val="bottom"/>
        <w:rPr>
          <w:rFonts w:ascii="宋体" w:hAnsi="宋体" w:cs="宋体"/>
          <w:szCs w:val="21"/>
        </w:rPr>
      </w:pPr>
      <w:r>
        <w:rPr>
          <w:rFonts w:hint="eastAsia" w:ascii="宋体" w:hAnsi="宋体" w:cs="宋体"/>
          <w:b/>
          <w:snapToGrid w:val="0"/>
          <w:kern w:val="0"/>
          <w:szCs w:val="21"/>
        </w:rPr>
        <w:t>1、采购单位：</w:t>
      </w:r>
      <w:r>
        <w:rPr>
          <w:rFonts w:hint="eastAsia" w:ascii="宋体" w:hAnsi="宋体" w:cs="宋体"/>
          <w:b/>
          <w:bCs/>
          <w:szCs w:val="21"/>
        </w:rPr>
        <w:t>杭州殡仪馆</w:t>
      </w:r>
    </w:p>
    <w:p>
      <w:pPr>
        <w:pStyle w:val="21"/>
        <w:spacing w:line="360" w:lineRule="auto"/>
        <w:ind w:firstLine="420" w:firstLineChars="200"/>
        <w:rPr>
          <w:rFonts w:hAnsi="宋体" w:cs="宋体"/>
          <w:szCs w:val="21"/>
        </w:rPr>
      </w:pPr>
      <w:r>
        <w:rPr>
          <w:rFonts w:hint="eastAsia" w:hAnsi="宋体" w:cs="宋体"/>
          <w:szCs w:val="21"/>
        </w:rPr>
        <w:t>地址:杭州市西溪路731号</w:t>
      </w:r>
    </w:p>
    <w:p>
      <w:pPr>
        <w:pStyle w:val="21"/>
        <w:spacing w:line="360" w:lineRule="auto"/>
        <w:ind w:firstLine="420" w:firstLineChars="200"/>
        <w:rPr>
          <w:rFonts w:hAnsi="宋体" w:cs="宋体"/>
          <w:szCs w:val="21"/>
        </w:rPr>
      </w:pPr>
      <w:r>
        <w:rPr>
          <w:rFonts w:hint="eastAsia" w:hAnsi="宋体" w:cs="宋体"/>
          <w:szCs w:val="21"/>
        </w:rPr>
        <w:t>联系人：赵女士</w:t>
      </w:r>
    </w:p>
    <w:p>
      <w:pPr>
        <w:pStyle w:val="21"/>
        <w:spacing w:line="360" w:lineRule="auto"/>
        <w:ind w:firstLine="420" w:firstLineChars="200"/>
        <w:rPr>
          <w:rFonts w:hAnsi="宋体" w:cs="宋体"/>
          <w:szCs w:val="21"/>
        </w:rPr>
      </w:pPr>
      <w:r>
        <w:rPr>
          <w:rFonts w:hint="eastAsia" w:hAnsi="宋体" w:cs="宋体"/>
          <w:szCs w:val="21"/>
        </w:rPr>
        <w:t>联系电话：0571-87318544</w:t>
      </w:r>
    </w:p>
    <w:p>
      <w:pPr>
        <w:tabs>
          <w:tab w:val="left" w:pos="720"/>
        </w:tabs>
        <w:snapToGrid w:val="0"/>
        <w:spacing w:line="360" w:lineRule="auto"/>
        <w:ind w:firstLine="420" w:firstLineChars="200"/>
        <w:rPr>
          <w:rFonts w:ascii="宋体" w:hAnsi="宋体" w:cs="宋体"/>
          <w:szCs w:val="21"/>
        </w:rPr>
      </w:pPr>
      <w:r>
        <w:rPr>
          <w:rFonts w:hint="eastAsia" w:ascii="宋体" w:hAnsi="宋体" w:cs="宋体"/>
          <w:szCs w:val="21"/>
        </w:rPr>
        <w:t>质疑接收人：张先生</w:t>
      </w:r>
    </w:p>
    <w:p>
      <w:pPr>
        <w:tabs>
          <w:tab w:val="left" w:pos="720"/>
        </w:tabs>
        <w:snapToGrid w:val="0"/>
        <w:spacing w:line="360" w:lineRule="auto"/>
        <w:ind w:firstLine="420" w:firstLineChars="200"/>
        <w:rPr>
          <w:rFonts w:ascii="宋体" w:hAnsi="宋体" w:cs="宋体"/>
          <w:szCs w:val="21"/>
        </w:rPr>
      </w:pPr>
      <w:r>
        <w:rPr>
          <w:rFonts w:hint="eastAsia" w:ascii="宋体" w:hAnsi="宋体" w:cs="宋体"/>
          <w:szCs w:val="21"/>
        </w:rPr>
        <w:t>联系电话：0571-85224611</w:t>
      </w:r>
    </w:p>
    <w:p>
      <w:pPr>
        <w:widowControl/>
        <w:adjustRightInd w:val="0"/>
        <w:snapToGrid w:val="0"/>
        <w:spacing w:line="360" w:lineRule="auto"/>
        <w:ind w:firstLine="422" w:firstLineChars="200"/>
        <w:jc w:val="left"/>
        <w:rPr>
          <w:rFonts w:ascii="宋体" w:hAnsi="宋体" w:cs="宋体"/>
          <w:b/>
          <w:snapToGrid w:val="0"/>
          <w:kern w:val="0"/>
          <w:szCs w:val="21"/>
        </w:rPr>
      </w:pPr>
      <w:r>
        <w:rPr>
          <w:rFonts w:hint="eastAsia" w:ascii="宋体" w:hAnsi="宋体" w:cs="宋体"/>
          <w:b/>
          <w:snapToGrid w:val="0"/>
          <w:kern w:val="0"/>
          <w:szCs w:val="21"/>
        </w:rPr>
        <w:t>2、采购代理机构：浙江中诺招标代理有限公司</w:t>
      </w:r>
    </w:p>
    <w:p>
      <w:pPr>
        <w:widowControl/>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地址：</w:t>
      </w:r>
      <w:r>
        <w:rPr>
          <w:rFonts w:hint="eastAsia" w:ascii="宋体" w:hAnsi="宋体" w:cs="宋体"/>
          <w:szCs w:val="21"/>
        </w:rPr>
        <w:t>杭州市环城北路141号永通信息广场西写字楼10楼</w:t>
      </w:r>
    </w:p>
    <w:p>
      <w:pPr>
        <w:tabs>
          <w:tab w:val="left" w:pos="720"/>
        </w:tabs>
        <w:snapToGrid w:val="0"/>
        <w:spacing w:line="360" w:lineRule="auto"/>
        <w:ind w:firstLine="420" w:firstLineChars="200"/>
        <w:rPr>
          <w:rFonts w:ascii="宋体" w:hAnsi="宋体" w:cs="宋体"/>
          <w:szCs w:val="21"/>
        </w:rPr>
      </w:pPr>
      <w:r>
        <w:rPr>
          <w:rFonts w:hint="eastAsia" w:ascii="宋体" w:hAnsi="宋体" w:cs="宋体"/>
          <w:szCs w:val="21"/>
          <w:lang w:val="zh-CN"/>
        </w:rPr>
        <w:t>联系人：</w:t>
      </w:r>
      <w:r>
        <w:rPr>
          <w:rFonts w:hint="eastAsia" w:ascii="宋体" w:hAnsi="宋体" w:cs="宋体"/>
          <w:snapToGrid w:val="0"/>
          <w:kern w:val="0"/>
          <w:szCs w:val="21"/>
        </w:rPr>
        <w:t>刘宋斌</w:t>
      </w:r>
    </w:p>
    <w:p>
      <w:pPr>
        <w:widowControl/>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联系电话：0571-88821402</w:t>
      </w:r>
    </w:p>
    <w:p>
      <w:pPr>
        <w:tabs>
          <w:tab w:val="left" w:pos="720"/>
        </w:tabs>
        <w:snapToGrid w:val="0"/>
        <w:spacing w:line="360" w:lineRule="auto"/>
        <w:ind w:firstLine="420" w:firstLineChars="200"/>
        <w:rPr>
          <w:rFonts w:ascii="宋体" w:hAnsi="宋体" w:cs="宋体"/>
          <w:szCs w:val="21"/>
        </w:rPr>
      </w:pPr>
      <w:r>
        <w:rPr>
          <w:rFonts w:hint="eastAsia" w:ascii="宋体" w:hAnsi="宋体" w:cs="宋体"/>
          <w:szCs w:val="21"/>
        </w:rPr>
        <w:t>质疑接收人：</w:t>
      </w:r>
      <w:r>
        <w:rPr>
          <w:rFonts w:hint="eastAsia" w:ascii="宋体" w:hAnsi="宋体" w:cs="宋体"/>
          <w:snapToGrid w:val="0"/>
          <w:kern w:val="0"/>
          <w:szCs w:val="21"/>
        </w:rPr>
        <w:t>韦妍睿</w:t>
      </w:r>
    </w:p>
    <w:p>
      <w:pPr>
        <w:tabs>
          <w:tab w:val="left" w:pos="720"/>
        </w:tabs>
        <w:snapToGrid w:val="0"/>
        <w:spacing w:line="360" w:lineRule="auto"/>
        <w:ind w:firstLine="420" w:firstLineChars="200"/>
        <w:rPr>
          <w:rFonts w:ascii="宋体" w:hAnsi="宋体" w:cs="宋体"/>
          <w:szCs w:val="21"/>
        </w:rPr>
      </w:pPr>
      <w:r>
        <w:rPr>
          <w:rFonts w:hint="eastAsia" w:ascii="宋体" w:hAnsi="宋体" w:cs="宋体"/>
          <w:szCs w:val="21"/>
        </w:rPr>
        <w:t>联系电话：</w:t>
      </w:r>
      <w:r>
        <w:rPr>
          <w:rFonts w:hint="eastAsia" w:ascii="宋体" w:hAnsi="宋体" w:cs="宋体"/>
          <w:snapToGrid w:val="0"/>
          <w:kern w:val="0"/>
          <w:szCs w:val="21"/>
        </w:rPr>
        <w:t>0571-88821402-802</w:t>
      </w:r>
    </w:p>
    <w:p>
      <w:pPr>
        <w:tabs>
          <w:tab w:val="left" w:pos="720"/>
        </w:tabs>
        <w:snapToGrid w:val="0"/>
        <w:spacing w:line="360" w:lineRule="auto"/>
        <w:ind w:firstLine="420" w:firstLineChars="200"/>
        <w:rPr>
          <w:rFonts w:ascii="宋体" w:hAnsi="宋体" w:cs="宋体"/>
          <w:szCs w:val="21"/>
        </w:rPr>
      </w:pPr>
      <w:r>
        <w:rPr>
          <w:rFonts w:hint="eastAsia" w:ascii="宋体" w:hAnsi="宋体" w:cs="宋体"/>
          <w:szCs w:val="21"/>
          <w:lang w:val="zh-CN"/>
        </w:rPr>
        <w:t>传真</w:t>
      </w:r>
      <w:r>
        <w:rPr>
          <w:rFonts w:hint="eastAsia" w:ascii="宋体" w:hAnsi="宋体" w:cs="宋体"/>
          <w:szCs w:val="21"/>
        </w:rPr>
        <w:t>：0571-88821134-820</w:t>
      </w:r>
    </w:p>
    <w:p>
      <w:pPr>
        <w:tabs>
          <w:tab w:val="left" w:pos="720"/>
        </w:tabs>
        <w:snapToGrid w:val="0"/>
        <w:spacing w:line="360" w:lineRule="auto"/>
        <w:ind w:firstLine="420" w:firstLineChars="200"/>
        <w:rPr>
          <w:rFonts w:ascii="宋体" w:hAnsi="宋体" w:cs="宋体"/>
          <w:szCs w:val="21"/>
        </w:rPr>
      </w:pPr>
      <w:r>
        <w:rPr>
          <w:rFonts w:hint="eastAsia" w:ascii="宋体" w:hAnsi="宋体" w:cs="宋体"/>
          <w:szCs w:val="21"/>
        </w:rPr>
        <w:t>Email：info@zngpa.cn</w:t>
      </w:r>
    </w:p>
    <w:p>
      <w:pPr>
        <w:widowControl/>
        <w:shd w:val="clear" w:color="auto" w:fill="FFFFFF"/>
        <w:snapToGrid w:val="0"/>
        <w:spacing w:line="360" w:lineRule="auto"/>
        <w:ind w:firstLine="422" w:firstLineChars="200"/>
        <w:jc w:val="left"/>
        <w:rPr>
          <w:rFonts w:ascii="宋体" w:hAnsi="宋体" w:cs="宋体"/>
          <w:b/>
          <w:kern w:val="0"/>
          <w:szCs w:val="21"/>
        </w:rPr>
      </w:pPr>
      <w:r>
        <w:rPr>
          <w:rFonts w:hint="eastAsia" w:ascii="宋体" w:hAnsi="宋体" w:cs="宋体"/>
          <w:b/>
          <w:kern w:val="0"/>
          <w:szCs w:val="21"/>
        </w:rPr>
        <w:t>3、同级政府采购监督管理部门：杭州市财政局政府采购监管处</w:t>
      </w:r>
    </w:p>
    <w:p>
      <w:pPr>
        <w:widowControl/>
        <w:shd w:val="clear" w:color="auto" w:fill="FFFFFF"/>
        <w:snapToGrid w:val="0"/>
        <w:spacing w:line="360" w:lineRule="auto"/>
        <w:ind w:firstLine="420" w:firstLineChars="200"/>
        <w:jc w:val="left"/>
        <w:rPr>
          <w:rFonts w:ascii="宋体" w:hAnsi="宋体" w:cs="宋体"/>
          <w:bCs/>
          <w:kern w:val="0"/>
          <w:szCs w:val="21"/>
        </w:rPr>
      </w:pPr>
      <w:r>
        <w:rPr>
          <w:rFonts w:hint="eastAsia" w:ascii="宋体" w:hAnsi="宋体" w:cs="宋体"/>
          <w:bCs/>
          <w:kern w:val="0"/>
          <w:szCs w:val="21"/>
        </w:rPr>
        <w:t>地址：杭州市中河中路152号杭州市财税大楼</w:t>
      </w:r>
    </w:p>
    <w:p>
      <w:pPr>
        <w:widowControl/>
        <w:shd w:val="clear" w:color="auto" w:fill="FFFFFF"/>
        <w:snapToGrid w:val="0"/>
        <w:spacing w:line="360" w:lineRule="auto"/>
        <w:ind w:firstLine="420" w:firstLineChars="200"/>
        <w:jc w:val="left"/>
        <w:rPr>
          <w:rFonts w:ascii="宋体" w:hAnsi="宋体" w:cs="宋体"/>
          <w:bCs/>
          <w:kern w:val="0"/>
          <w:szCs w:val="21"/>
        </w:rPr>
      </w:pPr>
      <w:r>
        <w:rPr>
          <w:rFonts w:hint="eastAsia" w:ascii="宋体" w:hAnsi="宋体" w:cs="宋体"/>
          <w:bCs/>
          <w:kern w:val="0"/>
          <w:szCs w:val="21"/>
        </w:rPr>
        <w:t>联系人：吕先生</w:t>
      </w:r>
    </w:p>
    <w:p>
      <w:pPr>
        <w:widowControl/>
        <w:shd w:val="clear" w:color="auto" w:fill="FFFFFF"/>
        <w:snapToGrid w:val="0"/>
        <w:spacing w:line="360" w:lineRule="auto"/>
        <w:ind w:firstLine="420" w:firstLineChars="200"/>
        <w:jc w:val="left"/>
        <w:rPr>
          <w:rFonts w:ascii="宋体" w:hAnsi="宋体" w:cs="宋体"/>
          <w:bCs/>
          <w:kern w:val="0"/>
          <w:szCs w:val="21"/>
        </w:rPr>
      </w:pPr>
      <w:r>
        <w:rPr>
          <w:rFonts w:hint="eastAsia" w:ascii="宋体" w:hAnsi="宋体" w:cs="宋体"/>
          <w:bCs/>
          <w:kern w:val="0"/>
          <w:szCs w:val="21"/>
        </w:rPr>
        <w:t>监督投诉电话：0571-87715261</w:t>
      </w:r>
    </w:p>
    <w:p>
      <w:pPr>
        <w:widowControl/>
        <w:shd w:val="clear" w:color="auto" w:fill="FFFFFF"/>
        <w:snapToGrid w:val="0"/>
        <w:spacing w:line="360" w:lineRule="auto"/>
        <w:ind w:firstLine="422" w:firstLineChars="200"/>
        <w:jc w:val="left"/>
        <w:rPr>
          <w:rFonts w:ascii="宋体" w:hAnsi="宋体" w:cs="宋体"/>
          <w:bCs/>
          <w:kern w:val="0"/>
          <w:szCs w:val="21"/>
        </w:rPr>
      </w:pPr>
      <w:r>
        <w:rPr>
          <w:rFonts w:hint="eastAsia" w:ascii="宋体" w:hAnsi="宋体" w:cs="宋体"/>
          <w:b/>
          <w:kern w:val="0"/>
          <w:szCs w:val="21"/>
        </w:rPr>
        <w:t>4、政采云系统问题咨询：</w:t>
      </w:r>
      <w:r>
        <w:rPr>
          <w:rFonts w:hint="eastAsia" w:ascii="宋体" w:hAnsi="宋体" w:cs="宋体"/>
          <w:bCs/>
          <w:kern w:val="0"/>
          <w:szCs w:val="21"/>
        </w:rPr>
        <w:t>4008817190</w:t>
      </w:r>
    </w:p>
    <w:p>
      <w:pPr>
        <w:pStyle w:val="4"/>
        <w:snapToGrid w:val="0"/>
        <w:rPr>
          <w:rFonts w:ascii="宋体" w:hAnsi="宋体" w:eastAsia="宋体" w:cs="宋体"/>
          <w:color w:val="auto"/>
        </w:rPr>
      </w:pPr>
      <w:r>
        <w:rPr>
          <w:rFonts w:hint="eastAsia" w:ascii="宋体" w:hAnsi="宋体" w:eastAsia="宋体" w:cs="宋体"/>
          <w:color w:val="auto"/>
          <w:kern w:val="0"/>
          <w:szCs w:val="21"/>
        </w:rPr>
        <w:br w:type="page"/>
      </w:r>
      <w:bookmarkStart w:id="30" w:name="_Toc516132583"/>
      <w:bookmarkStart w:id="31" w:name="_Toc82338234"/>
      <w:bookmarkStart w:id="32" w:name="_Toc211745566"/>
      <w:bookmarkStart w:id="33" w:name="_Toc82873317"/>
      <w:r>
        <w:rPr>
          <w:rFonts w:hint="eastAsia" w:ascii="宋体" w:hAnsi="宋体" w:eastAsia="宋体" w:cs="宋体"/>
          <w:color w:val="auto"/>
        </w:rPr>
        <w:t>第二章   投标人须知</w:t>
      </w:r>
      <w:bookmarkEnd w:id="30"/>
    </w:p>
    <w:p>
      <w:pPr>
        <w:jc w:val="center"/>
        <w:rPr>
          <w:rFonts w:ascii="宋体" w:hAnsi="宋体" w:cs="宋体"/>
          <w:b/>
          <w:bCs/>
        </w:rPr>
      </w:pPr>
      <w:r>
        <w:rPr>
          <w:rFonts w:hint="eastAsia" w:ascii="宋体" w:hAnsi="宋体" w:cs="宋体"/>
          <w:b/>
          <w:bCs/>
        </w:rPr>
        <w:t>前附表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073"/>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序号</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名称</w:t>
            </w:r>
          </w:p>
        </w:tc>
        <w:tc>
          <w:tcPr>
            <w:tcW w:w="6860"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1</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采购人</w:t>
            </w:r>
          </w:p>
        </w:tc>
        <w:tc>
          <w:tcPr>
            <w:tcW w:w="6860" w:type="dxa"/>
            <w:vAlign w:val="center"/>
          </w:tcPr>
          <w:p>
            <w:pPr>
              <w:pStyle w:val="88"/>
              <w:snapToGrid w:val="0"/>
              <w:spacing w:line="240" w:lineRule="auto"/>
              <w:ind w:firstLine="0" w:firstLineChars="0"/>
              <w:rPr>
                <w:rFonts w:ascii="宋体" w:hAnsi="宋体" w:cs="宋体"/>
                <w:szCs w:val="21"/>
              </w:rPr>
            </w:pPr>
            <w:r>
              <w:rPr>
                <w:rFonts w:hint="eastAsia" w:ascii="宋体" w:hAnsi="宋体" w:cs="宋体"/>
                <w:szCs w:val="21"/>
              </w:rPr>
              <w:t>采购人名称：杭州殡仪馆</w:t>
            </w:r>
          </w:p>
          <w:p>
            <w:pPr>
              <w:pStyle w:val="88"/>
              <w:snapToGrid w:val="0"/>
              <w:spacing w:line="240" w:lineRule="auto"/>
              <w:ind w:firstLine="0" w:firstLineChars="0"/>
              <w:rPr>
                <w:rFonts w:ascii="宋体" w:hAnsi="宋体" w:cs="宋体"/>
                <w:szCs w:val="21"/>
              </w:rPr>
            </w:pPr>
            <w:r>
              <w:rPr>
                <w:rFonts w:hint="eastAsia" w:ascii="宋体" w:hAnsi="宋体" w:cs="宋体"/>
                <w:szCs w:val="21"/>
              </w:rPr>
              <w:t>地址：杭州市西溪路731号</w:t>
            </w:r>
          </w:p>
          <w:p>
            <w:pPr>
              <w:pStyle w:val="88"/>
              <w:snapToGrid w:val="0"/>
              <w:spacing w:line="240" w:lineRule="auto"/>
              <w:ind w:firstLine="0" w:firstLineChars="0"/>
              <w:rPr>
                <w:rFonts w:ascii="宋体" w:hAnsi="宋体" w:cs="宋体"/>
                <w:szCs w:val="21"/>
              </w:rPr>
            </w:pPr>
            <w:r>
              <w:rPr>
                <w:rFonts w:hint="eastAsia" w:ascii="宋体" w:hAnsi="宋体" w:cs="宋体"/>
                <w:szCs w:val="21"/>
              </w:rPr>
              <w:t>联系人：赵女士</w:t>
            </w:r>
          </w:p>
          <w:p>
            <w:pPr>
              <w:pStyle w:val="88"/>
              <w:snapToGrid w:val="0"/>
              <w:spacing w:line="240" w:lineRule="auto"/>
              <w:ind w:firstLine="0" w:firstLineChars="0"/>
              <w:rPr>
                <w:rFonts w:ascii="宋体" w:hAnsi="宋体" w:cs="宋体"/>
                <w:szCs w:val="21"/>
              </w:rPr>
            </w:pPr>
            <w:r>
              <w:rPr>
                <w:rFonts w:hint="eastAsia" w:ascii="宋体" w:hAnsi="宋体" w:cs="宋体"/>
                <w:szCs w:val="21"/>
              </w:rPr>
              <w:t>联系电话：0571-87318544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2</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采购代理机构</w:t>
            </w:r>
          </w:p>
        </w:tc>
        <w:tc>
          <w:tcPr>
            <w:tcW w:w="6860" w:type="dxa"/>
            <w:vAlign w:val="center"/>
          </w:tcPr>
          <w:p>
            <w:pPr>
              <w:pStyle w:val="88"/>
              <w:snapToGrid w:val="0"/>
              <w:spacing w:line="240" w:lineRule="auto"/>
              <w:ind w:firstLine="0" w:firstLineChars="0"/>
              <w:rPr>
                <w:rFonts w:ascii="宋体" w:hAnsi="宋体" w:cs="宋体"/>
                <w:szCs w:val="21"/>
              </w:rPr>
            </w:pPr>
            <w:r>
              <w:rPr>
                <w:rFonts w:hint="eastAsia" w:ascii="宋体" w:hAnsi="宋体" w:cs="宋体"/>
                <w:szCs w:val="21"/>
              </w:rPr>
              <w:t>名称：浙江中诺招标代理有限公司</w:t>
            </w:r>
          </w:p>
          <w:p>
            <w:pPr>
              <w:pStyle w:val="88"/>
              <w:snapToGrid w:val="0"/>
              <w:spacing w:line="240" w:lineRule="auto"/>
              <w:ind w:firstLine="0" w:firstLineChars="0"/>
              <w:rPr>
                <w:rFonts w:ascii="宋体" w:hAnsi="宋体" w:cs="宋体"/>
                <w:szCs w:val="21"/>
              </w:rPr>
            </w:pPr>
            <w:r>
              <w:rPr>
                <w:rFonts w:hint="eastAsia" w:ascii="宋体" w:hAnsi="宋体" w:cs="宋体"/>
                <w:szCs w:val="21"/>
              </w:rPr>
              <w:t>地址：杭州市环城北路141号永通信息广场西楼10楼</w:t>
            </w:r>
          </w:p>
          <w:p>
            <w:pPr>
              <w:pStyle w:val="88"/>
              <w:snapToGrid w:val="0"/>
              <w:spacing w:line="240" w:lineRule="auto"/>
              <w:ind w:firstLine="0" w:firstLineChars="0"/>
              <w:rPr>
                <w:rFonts w:ascii="宋体" w:hAnsi="宋体" w:cs="宋体"/>
                <w:szCs w:val="21"/>
              </w:rPr>
            </w:pPr>
            <w:r>
              <w:rPr>
                <w:rFonts w:hint="eastAsia" w:ascii="宋体" w:hAnsi="宋体" w:cs="宋体"/>
                <w:szCs w:val="21"/>
              </w:rPr>
              <w:t>联系人：刘宋斌</w:t>
            </w:r>
          </w:p>
          <w:p>
            <w:pPr>
              <w:pStyle w:val="88"/>
              <w:snapToGrid w:val="0"/>
              <w:spacing w:line="240" w:lineRule="auto"/>
              <w:ind w:firstLine="0" w:firstLineChars="0"/>
              <w:rPr>
                <w:rFonts w:ascii="宋体" w:hAnsi="宋体" w:cs="宋体"/>
                <w:szCs w:val="21"/>
              </w:rPr>
            </w:pPr>
            <w:r>
              <w:rPr>
                <w:rFonts w:hint="eastAsia" w:ascii="宋体" w:hAnsi="宋体" w:cs="宋体"/>
                <w:szCs w:val="21"/>
              </w:rPr>
              <w:t>联系电话：0571-88821402</w:t>
            </w:r>
          </w:p>
          <w:p>
            <w:pPr>
              <w:pStyle w:val="88"/>
              <w:snapToGrid w:val="0"/>
              <w:spacing w:line="240" w:lineRule="auto"/>
              <w:ind w:firstLine="0" w:firstLineChars="0"/>
              <w:rPr>
                <w:rFonts w:ascii="宋体" w:hAnsi="宋体" w:cs="宋体"/>
                <w:szCs w:val="21"/>
              </w:rPr>
            </w:pPr>
            <w:r>
              <w:rPr>
                <w:rFonts w:hint="eastAsia" w:ascii="宋体" w:hAnsi="宋体" w:cs="宋体"/>
                <w:szCs w:val="21"/>
              </w:rPr>
              <w:t>传真：0571-88821134-820</w:t>
            </w:r>
          </w:p>
          <w:p>
            <w:pPr>
              <w:pStyle w:val="88"/>
              <w:snapToGrid w:val="0"/>
              <w:spacing w:line="240" w:lineRule="auto"/>
              <w:ind w:firstLine="0" w:firstLineChars="0"/>
              <w:rPr>
                <w:rFonts w:ascii="宋体" w:hAnsi="宋体" w:cs="宋体"/>
                <w:szCs w:val="21"/>
              </w:rPr>
            </w:pPr>
            <w:r>
              <w:rPr>
                <w:rFonts w:hint="eastAsia" w:ascii="宋体" w:hAnsi="宋体" w:cs="宋体"/>
                <w:kern w:val="0"/>
                <w:szCs w:val="21"/>
              </w:rPr>
              <w:t>Email：info@zngpa.cn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3</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标的物</w:t>
            </w:r>
          </w:p>
        </w:tc>
        <w:tc>
          <w:tcPr>
            <w:tcW w:w="6860" w:type="dxa"/>
            <w:vAlign w:val="center"/>
          </w:tcPr>
          <w:p>
            <w:pPr>
              <w:pStyle w:val="88"/>
              <w:snapToGrid w:val="0"/>
              <w:spacing w:line="240" w:lineRule="auto"/>
              <w:ind w:firstLine="0" w:firstLineChars="0"/>
              <w:rPr>
                <w:rFonts w:ascii="宋体" w:hAnsi="宋体" w:cs="宋体"/>
                <w:kern w:val="0"/>
                <w:szCs w:val="21"/>
              </w:rPr>
            </w:pPr>
            <w:r>
              <w:rPr>
                <w:rFonts w:hint="eastAsia" w:ascii="宋体" w:hAnsi="宋体" w:cs="宋体"/>
                <w:kern w:val="0"/>
                <w:szCs w:val="21"/>
              </w:rPr>
              <w:t>花圈供货服务，详见“</w:t>
            </w:r>
            <w:r>
              <w:rPr>
                <w:rFonts w:hint="eastAsia" w:ascii="宋体" w:hAnsi="宋体" w:cs="宋体"/>
              </w:rPr>
              <w:t>第四章  采购需求具体要求”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4</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合同期（服务期限）</w:t>
            </w:r>
          </w:p>
        </w:tc>
        <w:tc>
          <w:tcPr>
            <w:tcW w:w="6860" w:type="dxa"/>
            <w:vAlign w:val="center"/>
          </w:tcPr>
          <w:p>
            <w:pPr>
              <w:pStyle w:val="88"/>
              <w:snapToGrid w:val="0"/>
              <w:spacing w:line="240" w:lineRule="auto"/>
              <w:ind w:firstLine="0" w:firstLineChars="0"/>
              <w:rPr>
                <w:rFonts w:ascii="宋体" w:hAnsi="宋体" w:cs="宋体"/>
                <w:kern w:val="0"/>
                <w:szCs w:val="21"/>
              </w:rPr>
            </w:pPr>
            <w:r>
              <w:rPr>
                <w:rFonts w:hint="eastAsia" w:ascii="宋体" w:hAnsi="宋体" w:cs="宋体"/>
                <w:kern w:val="0"/>
                <w:szCs w:val="21"/>
              </w:rPr>
              <w:t>2022年1月1日起至2022年12月31日止。</w:t>
            </w:r>
          </w:p>
          <w:p>
            <w:pPr>
              <w:pStyle w:val="88"/>
              <w:spacing w:line="240" w:lineRule="auto"/>
              <w:ind w:firstLine="0" w:firstLineChars="0"/>
              <w:rPr>
                <w:rFonts w:ascii="宋体" w:hAnsi="宋体" w:cs="宋体"/>
                <w:kern w:val="0"/>
                <w:szCs w:val="21"/>
              </w:rPr>
            </w:pPr>
            <w:r>
              <w:rPr>
                <w:rFonts w:hint="eastAsia" w:ascii="宋体" w:hAnsi="宋体" w:cs="宋体"/>
                <w:kern w:val="0"/>
                <w:szCs w:val="21"/>
              </w:rPr>
              <w:t>项目采购空档期服务：</w:t>
            </w:r>
          </w:p>
          <w:p>
            <w:pPr>
              <w:pStyle w:val="88"/>
              <w:spacing w:line="240" w:lineRule="auto"/>
              <w:ind w:firstLine="0" w:firstLineChars="0"/>
              <w:rPr>
                <w:rFonts w:ascii="宋体" w:hAnsi="宋体" w:cs="宋体"/>
                <w:kern w:val="0"/>
                <w:szCs w:val="21"/>
              </w:rPr>
            </w:pPr>
            <w:r>
              <w:rPr>
                <w:rFonts w:hint="eastAsia" w:ascii="宋体" w:hAnsi="宋体" w:cs="宋体"/>
                <w:kern w:val="0"/>
                <w:szCs w:val="21"/>
              </w:rPr>
              <w:t>自2021年12月18日起至采购人与本项目中标人签订合同前所产生的结算款，在签订合同后由采购人通过中标人支付给上一年度花圈供货服务供应商。中标人在收到采购人支付的款项后3个工作日内支付给上一年度花圈供货服务供应商。（款项产生的税费由上一年度花圈供货服务供应商承担）</w:t>
            </w:r>
          </w:p>
          <w:p>
            <w:pPr>
              <w:pStyle w:val="88"/>
              <w:spacing w:line="240" w:lineRule="auto"/>
              <w:ind w:firstLine="0" w:firstLineChars="0"/>
              <w:rPr>
                <w:rFonts w:ascii="宋体" w:hAnsi="宋体" w:cs="宋体"/>
                <w:kern w:val="0"/>
                <w:szCs w:val="21"/>
              </w:rPr>
            </w:pPr>
            <w:r>
              <w:rPr>
                <w:rFonts w:hint="eastAsia" w:ascii="宋体" w:hAnsi="宋体" w:cs="宋体"/>
                <w:kern w:val="0"/>
                <w:szCs w:val="21"/>
              </w:rPr>
              <w:t>本项目实施完成后，若采购人未完成2023年度花圈供货服务招标或合同签订的，由本项目中标人继续提供服务，期间产生的结算款由采购人通过2023年度花圈供货服务中标人按实际款额支付给本次项目中标人。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5</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答疑会</w:t>
            </w:r>
          </w:p>
        </w:tc>
        <w:tc>
          <w:tcPr>
            <w:tcW w:w="6860" w:type="dxa"/>
            <w:vAlign w:val="center"/>
          </w:tcPr>
          <w:p>
            <w:pPr>
              <w:autoSpaceDE w:val="0"/>
              <w:autoSpaceDN w:val="0"/>
              <w:adjustRightInd w:val="0"/>
              <w:snapToGrid w:val="0"/>
              <w:ind w:right="105" w:rightChars="50"/>
              <w:rPr>
                <w:rFonts w:ascii="宋体" w:hAnsi="宋体" w:cs="宋体"/>
                <w:kern w:val="0"/>
                <w:szCs w:val="21"/>
              </w:rPr>
            </w:pPr>
            <w:r>
              <w:rPr>
                <w:rFonts w:hint="eastAsia" w:ascii="宋体" w:hAnsi="宋体" w:cs="宋体"/>
                <w:kern w:val="0"/>
                <w:szCs w:val="21"/>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6</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联合体与分包</w:t>
            </w:r>
          </w:p>
        </w:tc>
        <w:tc>
          <w:tcPr>
            <w:tcW w:w="6860" w:type="dxa"/>
            <w:vAlign w:val="center"/>
          </w:tcPr>
          <w:p>
            <w:pPr>
              <w:adjustRightInd w:val="0"/>
              <w:snapToGrid w:val="0"/>
              <w:spacing w:line="300" w:lineRule="auto"/>
              <w:rPr>
                <w:rFonts w:ascii="宋体" w:hAnsi="宋体" w:cs="宋体"/>
                <w:kern w:val="0"/>
                <w:szCs w:val="21"/>
              </w:rPr>
            </w:pPr>
            <w:r>
              <w:rPr>
                <w:rFonts w:hint="eastAsia" w:ascii="宋体" w:hAnsi="宋体" w:cs="宋体"/>
              </w:rPr>
              <w:t>本项目不允许联合体投标；本项目不允许分包；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7</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签字或盖章要求</w:t>
            </w:r>
          </w:p>
        </w:tc>
        <w:tc>
          <w:tcPr>
            <w:tcW w:w="6860" w:type="dxa"/>
            <w:vAlign w:val="center"/>
          </w:tcPr>
          <w:p>
            <w:pPr>
              <w:pStyle w:val="88"/>
              <w:snapToGrid w:val="0"/>
              <w:spacing w:line="240" w:lineRule="auto"/>
              <w:ind w:firstLine="0" w:firstLineChars="0"/>
              <w:rPr>
                <w:rFonts w:ascii="宋体" w:hAnsi="宋体" w:cs="宋体"/>
                <w:kern w:val="0"/>
                <w:szCs w:val="21"/>
              </w:rPr>
            </w:pPr>
            <w:r>
              <w:rPr>
                <w:rFonts w:hint="eastAsia" w:ascii="宋体" w:hAnsi="宋体" w:cs="宋体"/>
                <w:kern w:val="0"/>
                <w:szCs w:val="21"/>
              </w:rPr>
              <w:t>投标文件按“投标文件格式”中提供的格式签署、盖章。</w:t>
            </w:r>
          </w:p>
          <w:p>
            <w:pPr>
              <w:pStyle w:val="88"/>
              <w:snapToGrid w:val="0"/>
              <w:spacing w:line="240" w:lineRule="auto"/>
              <w:ind w:firstLine="0" w:firstLineChars="0"/>
              <w:rPr>
                <w:rFonts w:ascii="宋体" w:hAnsi="宋体" w:cs="宋体"/>
                <w:szCs w:val="21"/>
              </w:rPr>
            </w:pPr>
            <w:r>
              <w:rPr>
                <w:rFonts w:hint="eastAsia" w:ascii="宋体" w:hAnsi="宋体" w:cs="宋体"/>
                <w:kern w:val="0"/>
                <w:szCs w:val="21"/>
              </w:rPr>
              <w:t>电子投标文件中所须加盖公章部分均采用CA签章，并根据“政采云供应商项目采购-电子招投标操作指南”及本招标文件规定的格式和顺序编制电子投标文件并进行关联定位。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8</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投标文件的组成、份数、效力</w:t>
            </w:r>
          </w:p>
        </w:tc>
        <w:tc>
          <w:tcPr>
            <w:tcW w:w="6860" w:type="dxa"/>
            <w:vAlign w:val="center"/>
          </w:tcPr>
          <w:p>
            <w:pPr>
              <w:pStyle w:val="21"/>
              <w:adjustRightInd w:val="0"/>
              <w:snapToGrid w:val="0"/>
              <w:rPr>
                <w:rFonts w:hAnsi="宋体" w:cs="宋体"/>
                <w:szCs w:val="21"/>
              </w:rPr>
            </w:pPr>
            <w:r>
              <w:rPr>
                <w:rFonts w:hint="eastAsia" w:hAnsi="宋体" w:cs="宋体"/>
                <w:szCs w:val="21"/>
              </w:rPr>
              <w:t>本项目实行电子投标。</w:t>
            </w:r>
          </w:p>
          <w:p>
            <w:pPr>
              <w:pStyle w:val="21"/>
              <w:adjustRightInd w:val="0"/>
              <w:snapToGrid w:val="0"/>
              <w:rPr>
                <w:rFonts w:hAnsi="宋体" w:cs="宋体"/>
                <w:szCs w:val="21"/>
              </w:rPr>
            </w:pPr>
            <w:r>
              <w:rPr>
                <w:rFonts w:hint="eastAsia" w:hAnsi="宋体" w:cs="宋体"/>
                <w:szCs w:val="21"/>
              </w:rPr>
              <w:t>供应商应准备电子投标文件、以介质存储的数据电文形式的备份投标文件两类：</w:t>
            </w:r>
          </w:p>
          <w:p>
            <w:pPr>
              <w:pStyle w:val="21"/>
              <w:adjustRightInd w:val="0"/>
              <w:snapToGrid w:val="0"/>
              <w:rPr>
                <w:rFonts w:hAnsi="宋体" w:cs="宋体"/>
                <w:szCs w:val="21"/>
              </w:rPr>
            </w:pPr>
            <w:r>
              <w:rPr>
                <w:rFonts w:hint="eastAsia" w:hAnsi="宋体" w:cs="宋体"/>
                <w:szCs w:val="21"/>
              </w:rPr>
              <w:t>（1）电子投标文件，按政采云平台项目采购-电子招投标操作指南及本招标文件要求递交。</w:t>
            </w:r>
          </w:p>
          <w:p>
            <w:pPr>
              <w:pStyle w:val="21"/>
              <w:adjustRightInd w:val="0"/>
              <w:snapToGrid w:val="0"/>
              <w:rPr>
                <w:rFonts w:hAnsi="宋体" w:cs="宋体"/>
                <w:szCs w:val="21"/>
              </w:rPr>
            </w:pPr>
            <w:r>
              <w:rPr>
                <w:rFonts w:hint="eastAsia" w:hAnsi="宋体" w:cs="宋体"/>
                <w:szCs w:val="21"/>
              </w:rPr>
              <w:t>（2）以介质存储的数据电文形式的备份投标文件，按政采云平台项目采购-电子招投标操作指南中上传的电子投标文件格式，以不可二次编辑、追加刻录的DVD光盘形式提供。数量为1份。</w:t>
            </w:r>
          </w:p>
          <w:p>
            <w:pPr>
              <w:adjustRightInd w:val="0"/>
              <w:snapToGrid w:val="0"/>
              <w:rPr>
                <w:rFonts w:ascii="宋体" w:hAnsi="宋体" w:cs="宋体"/>
                <w:szCs w:val="21"/>
              </w:rPr>
            </w:pPr>
            <w:r>
              <w:rPr>
                <w:rFonts w:hint="eastAsia" w:ascii="宋体" w:hAnsi="宋体" w:cs="宋体"/>
                <w:szCs w:val="21"/>
              </w:rPr>
              <w:t>（3）投标文件启用顺序和效力。投标文件的启用，按先后顺位分别为电子投标文件、以介质存储的数据电文形式的备份投标文件。电子投标文件已按时解密的，备份投标文件自动失效。在备份投标文件启用时，电子投标文件自动失效。</w:t>
            </w:r>
          </w:p>
          <w:p>
            <w:pPr>
              <w:pStyle w:val="88"/>
              <w:adjustRightInd w:val="0"/>
              <w:snapToGrid w:val="0"/>
              <w:spacing w:line="240" w:lineRule="auto"/>
              <w:ind w:firstLine="0" w:firstLineChars="0"/>
              <w:rPr>
                <w:rFonts w:ascii="宋体" w:hAnsi="宋体" w:cs="宋体"/>
                <w:b/>
                <w:szCs w:val="21"/>
                <w:u w:val="single"/>
              </w:rPr>
            </w:pPr>
            <w:r>
              <w:rPr>
                <w:rFonts w:hint="eastAsia" w:ascii="宋体" w:hAnsi="宋体" w:cs="宋体"/>
                <w:b/>
                <w:szCs w:val="21"/>
              </w:rPr>
              <w:t>▲未传输递交电子投标文件的，投标无效。▲未按规定提供相应的备份投标文件，造成项目开评标活动无法进行的，投标无效。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9</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投标文件编制要求</w:t>
            </w:r>
          </w:p>
        </w:tc>
        <w:tc>
          <w:tcPr>
            <w:tcW w:w="6860" w:type="dxa"/>
            <w:vAlign w:val="center"/>
          </w:tcPr>
          <w:p>
            <w:pPr>
              <w:pStyle w:val="88"/>
              <w:snapToGrid w:val="0"/>
              <w:spacing w:line="240" w:lineRule="auto"/>
              <w:ind w:firstLine="0" w:firstLineChars="0"/>
              <w:rPr>
                <w:rFonts w:ascii="宋体" w:hAnsi="宋体" w:cs="宋体"/>
                <w:b/>
                <w:szCs w:val="21"/>
                <w:u w:val="single"/>
              </w:rPr>
            </w:pPr>
            <w:r>
              <w:rPr>
                <w:rFonts w:hint="eastAsia" w:ascii="宋体" w:hAnsi="宋体" w:cs="宋体"/>
                <w:b/>
                <w:kern w:val="0"/>
                <w:szCs w:val="21"/>
              </w:rPr>
              <w:t>按政采云平台要求编制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10</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投标保证金</w:t>
            </w:r>
          </w:p>
        </w:tc>
        <w:tc>
          <w:tcPr>
            <w:tcW w:w="6860" w:type="dxa"/>
            <w:vAlign w:val="center"/>
          </w:tcPr>
          <w:p>
            <w:pPr>
              <w:pStyle w:val="88"/>
              <w:snapToGrid w:val="0"/>
              <w:spacing w:line="240" w:lineRule="auto"/>
              <w:ind w:firstLine="0" w:firstLineChars="0"/>
              <w:rPr>
                <w:rFonts w:ascii="宋体" w:hAnsi="宋体" w:cs="宋体"/>
                <w:szCs w:val="21"/>
              </w:rPr>
            </w:pPr>
            <w:r>
              <w:rPr>
                <w:rFonts w:hint="eastAsia" w:ascii="宋体" w:hAnsi="宋体" w:cs="宋体"/>
                <w:b/>
                <w:kern w:val="0"/>
                <w:szCs w:val="21"/>
              </w:rPr>
              <w:t>本项目不设投标保证金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11</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投标文件有效期</w:t>
            </w:r>
          </w:p>
        </w:tc>
        <w:tc>
          <w:tcPr>
            <w:tcW w:w="6860" w:type="dxa"/>
            <w:vAlign w:val="center"/>
          </w:tcPr>
          <w:p>
            <w:pPr>
              <w:widowControl/>
              <w:snapToGrid w:val="0"/>
              <w:rPr>
                <w:rFonts w:ascii="宋体" w:hAnsi="宋体" w:cs="宋体"/>
                <w:szCs w:val="21"/>
              </w:rPr>
            </w:pPr>
            <w:r>
              <w:rPr>
                <w:rFonts w:hint="eastAsia" w:ascii="宋体" w:hAnsi="宋体" w:cs="宋体"/>
                <w:kern w:val="0"/>
                <w:szCs w:val="21"/>
              </w:rPr>
              <w:t>自投标截止时间起90天内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12</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投标文件加密、密封要求</w:t>
            </w:r>
          </w:p>
        </w:tc>
        <w:tc>
          <w:tcPr>
            <w:tcW w:w="6860" w:type="dxa"/>
            <w:vAlign w:val="center"/>
          </w:tcPr>
          <w:p>
            <w:pPr>
              <w:pStyle w:val="88"/>
              <w:snapToGrid w:val="0"/>
              <w:spacing w:line="240" w:lineRule="auto"/>
              <w:ind w:firstLine="0" w:firstLineChars="0"/>
              <w:rPr>
                <w:rFonts w:ascii="宋体" w:hAnsi="宋体" w:cs="宋体"/>
                <w:b/>
                <w:bCs/>
                <w:kern w:val="0"/>
                <w:szCs w:val="21"/>
              </w:rPr>
            </w:pPr>
            <w:r>
              <w:rPr>
                <w:rFonts w:hint="eastAsia" w:ascii="宋体" w:hAnsi="宋体" w:cs="宋体"/>
                <w:b/>
                <w:bCs/>
                <w:kern w:val="0"/>
                <w:szCs w:val="21"/>
              </w:rPr>
              <w:t>电子投标文件须按照政采云平台的要求加密</w:t>
            </w:r>
          </w:p>
          <w:p>
            <w:pPr>
              <w:pStyle w:val="88"/>
              <w:snapToGrid w:val="0"/>
              <w:spacing w:line="240" w:lineRule="auto"/>
              <w:ind w:firstLine="0" w:firstLineChars="0"/>
              <w:rPr>
                <w:rFonts w:ascii="宋体" w:hAnsi="宋体" w:cs="宋体"/>
                <w:b/>
                <w:szCs w:val="21"/>
              </w:rPr>
            </w:pPr>
            <w:r>
              <w:rPr>
                <w:rFonts w:hint="eastAsia" w:ascii="宋体" w:hAnsi="宋体" w:cs="宋体"/>
                <w:b/>
                <w:bCs/>
                <w:kern w:val="0"/>
                <w:szCs w:val="21"/>
              </w:rPr>
              <w:t>以介质存储的数据电文形式的备份投标文件须将介质密封</w:t>
            </w:r>
            <w:r>
              <w:rPr>
                <w:rFonts w:hint="eastAsia" w:ascii="宋体" w:hAnsi="宋体" w:cs="宋体"/>
                <w:b/>
                <w:kern w:val="0"/>
                <w:szCs w:val="21"/>
              </w:rPr>
              <w:t>（否则如开标时发生报价泄露的，由投标人自行承担相关责任）。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13</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投标截止时间</w:t>
            </w:r>
          </w:p>
        </w:tc>
        <w:tc>
          <w:tcPr>
            <w:tcW w:w="6860" w:type="dxa"/>
            <w:vAlign w:val="center"/>
          </w:tcPr>
          <w:p>
            <w:pPr>
              <w:pStyle w:val="88"/>
              <w:snapToGrid w:val="0"/>
              <w:spacing w:line="240" w:lineRule="auto"/>
              <w:ind w:firstLine="0" w:firstLineChars="0"/>
              <w:rPr>
                <w:rFonts w:ascii="宋体" w:hAnsi="宋体" w:cs="宋体"/>
                <w:szCs w:val="21"/>
              </w:rPr>
            </w:pPr>
            <w:r>
              <w:rPr>
                <w:rFonts w:hint="eastAsia" w:ascii="宋体" w:hAnsi="宋体" w:cs="宋体"/>
                <w:kern w:val="0"/>
                <w:szCs w:val="21"/>
              </w:rPr>
              <w:t>按“招标公告”规定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14</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投标地点</w:t>
            </w:r>
          </w:p>
        </w:tc>
        <w:tc>
          <w:tcPr>
            <w:tcW w:w="6860" w:type="dxa"/>
            <w:vAlign w:val="center"/>
          </w:tcPr>
          <w:p>
            <w:pPr>
              <w:pStyle w:val="88"/>
              <w:snapToGrid w:val="0"/>
              <w:spacing w:line="240" w:lineRule="auto"/>
              <w:ind w:firstLine="0" w:firstLineChars="0"/>
              <w:rPr>
                <w:rFonts w:ascii="宋体" w:hAnsi="宋体" w:cs="宋体"/>
                <w:szCs w:val="21"/>
              </w:rPr>
            </w:pPr>
            <w:r>
              <w:rPr>
                <w:rFonts w:hint="eastAsia" w:ascii="宋体" w:hAnsi="宋体" w:cs="宋体"/>
                <w:kern w:val="0"/>
                <w:szCs w:val="21"/>
              </w:rPr>
              <w:t>按“招标公告”规定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15</w:t>
            </w:r>
          </w:p>
        </w:tc>
        <w:tc>
          <w:tcPr>
            <w:tcW w:w="2073"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开标时间和地点</w:t>
            </w:r>
          </w:p>
        </w:tc>
        <w:tc>
          <w:tcPr>
            <w:tcW w:w="6860" w:type="dxa"/>
            <w:vAlign w:val="center"/>
          </w:tcPr>
          <w:p>
            <w:pPr>
              <w:pStyle w:val="88"/>
              <w:snapToGrid w:val="0"/>
              <w:spacing w:line="240" w:lineRule="auto"/>
              <w:ind w:firstLine="0" w:firstLineChars="0"/>
              <w:rPr>
                <w:rFonts w:ascii="宋体" w:hAnsi="宋体" w:cs="宋体"/>
                <w:szCs w:val="21"/>
              </w:rPr>
            </w:pPr>
            <w:r>
              <w:rPr>
                <w:rFonts w:hint="eastAsia" w:ascii="宋体" w:hAnsi="宋体" w:cs="宋体"/>
                <w:kern w:val="0"/>
                <w:szCs w:val="21"/>
              </w:rPr>
              <w:t>按“招标公告”规定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szCs w:val="21"/>
              </w:rPr>
            </w:pPr>
            <w:r>
              <w:rPr>
                <w:rFonts w:hint="eastAsia" w:ascii="宋体" w:hAnsi="宋体" w:cs="宋体"/>
                <w:b/>
                <w:bCs/>
                <w:szCs w:val="21"/>
              </w:rPr>
              <w:t>16</w:t>
            </w:r>
          </w:p>
        </w:tc>
        <w:tc>
          <w:tcPr>
            <w:tcW w:w="2073" w:type="dxa"/>
            <w:vAlign w:val="center"/>
          </w:tcPr>
          <w:p>
            <w:pPr>
              <w:snapToGrid w:val="0"/>
              <w:jc w:val="center"/>
              <w:rPr>
                <w:rFonts w:ascii="宋体" w:hAnsi="宋体" w:cs="宋体"/>
                <w:b/>
                <w:bCs/>
                <w:kern w:val="0"/>
                <w:szCs w:val="21"/>
              </w:rPr>
            </w:pPr>
            <w:r>
              <w:rPr>
                <w:rFonts w:hint="eastAsia" w:ascii="宋体" w:hAnsi="宋体" w:cs="宋体"/>
                <w:b/>
                <w:bCs/>
                <w:kern w:val="0"/>
                <w:szCs w:val="21"/>
              </w:rPr>
              <w:t>企业信用融资</w:t>
            </w:r>
          </w:p>
        </w:tc>
        <w:tc>
          <w:tcPr>
            <w:tcW w:w="6860" w:type="dxa"/>
            <w:vAlign w:val="center"/>
          </w:tcPr>
          <w:p>
            <w:pPr>
              <w:snapToGrid w:val="0"/>
              <w:rPr>
                <w:rFonts w:ascii="宋体" w:hAnsi="宋体" w:cs="宋体"/>
                <w:b/>
                <w:snapToGrid w:val="0"/>
                <w:kern w:val="0"/>
                <w:szCs w:val="21"/>
              </w:rPr>
            </w:pPr>
            <w:r>
              <w:rPr>
                <w:rFonts w:hint="eastAsia" w:ascii="宋体" w:hAnsi="宋体" w:cs="宋体"/>
                <w:b/>
                <w:szCs w:val="21"/>
              </w:rPr>
              <w:t>企业信用融资：</w:t>
            </w:r>
            <w:r>
              <w:rPr>
                <w:rFonts w:hint="eastAsia" w:ascii="宋体" w:hAnsi="宋体" w:cs="宋体"/>
                <w:bCs/>
                <w:szCs w:val="21"/>
              </w:rPr>
              <w:t>为支持和促进中小企业发展，进一步发挥政府采购政策功能，杭州市财政局与省银保监局、市金融办、市经信局共同出台了《杭州市政府采购支持中小企业信用融资管理办法》，供应商若有融资意向，详见尾页《政府采购支持中小企业信用融资相关事项通知》，或登陆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snapToGrid w:val="0"/>
              <w:jc w:val="center"/>
              <w:rPr>
                <w:rFonts w:ascii="宋体" w:hAnsi="宋体" w:cs="宋体"/>
                <w:b/>
                <w:bCs/>
                <w:kern w:val="0"/>
                <w:szCs w:val="21"/>
              </w:rPr>
            </w:pPr>
            <w:r>
              <w:rPr>
                <w:rFonts w:hint="eastAsia" w:ascii="宋体" w:hAnsi="宋体" w:cs="宋体"/>
                <w:b/>
                <w:bCs/>
                <w:kern w:val="0"/>
                <w:szCs w:val="21"/>
              </w:rPr>
              <w:t>17</w:t>
            </w:r>
          </w:p>
        </w:tc>
        <w:tc>
          <w:tcPr>
            <w:tcW w:w="2073" w:type="dxa"/>
            <w:vAlign w:val="center"/>
          </w:tcPr>
          <w:p>
            <w:pPr>
              <w:snapToGrid w:val="0"/>
              <w:jc w:val="center"/>
              <w:rPr>
                <w:rFonts w:ascii="宋体" w:hAnsi="宋体" w:cs="宋体"/>
                <w:b/>
                <w:bCs/>
                <w:kern w:val="0"/>
                <w:szCs w:val="21"/>
              </w:rPr>
            </w:pPr>
            <w:r>
              <w:rPr>
                <w:rFonts w:hint="eastAsia" w:ascii="宋体" w:hAnsi="宋体" w:cs="宋体"/>
                <w:b/>
                <w:bCs/>
                <w:kern w:val="0"/>
                <w:szCs w:val="21"/>
              </w:rPr>
              <w:t>政策扶持</w:t>
            </w:r>
          </w:p>
        </w:tc>
        <w:tc>
          <w:tcPr>
            <w:tcW w:w="6860" w:type="dxa"/>
            <w:vAlign w:val="center"/>
          </w:tcPr>
          <w:p>
            <w:pPr>
              <w:snapToGrid w:val="0"/>
              <w:rPr>
                <w:rFonts w:ascii="宋体" w:hAnsi="宋体" w:cs="宋体"/>
                <w:b/>
                <w:snapToGrid w:val="0"/>
                <w:kern w:val="0"/>
                <w:szCs w:val="21"/>
              </w:rPr>
            </w:pPr>
            <w:r>
              <w:rPr>
                <w:rFonts w:hint="eastAsia" w:ascii="宋体" w:hAnsi="宋体" w:cs="宋体"/>
                <w:b/>
                <w:kern w:val="0"/>
                <w:szCs w:val="21"/>
              </w:rPr>
              <w:t>小型、微型企业扶持政策：本项目在报价评审时对已注册正式进入杭州市政府采购供应商库且符合中小企业划型标准规定（工信部联企业[2011]300号）的小型和微型企业给予政策扶持，具体规定见评审办法及评分标准。“监狱企业”、“残疾人福利性单位”视同为小型、微型企业，享受此项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snapToGrid w:val="0"/>
              <w:jc w:val="center"/>
              <w:rPr>
                <w:rFonts w:ascii="宋体" w:hAnsi="宋体" w:cs="宋体"/>
                <w:b/>
                <w:bCs/>
                <w:kern w:val="0"/>
                <w:szCs w:val="21"/>
              </w:rPr>
            </w:pPr>
            <w:r>
              <w:rPr>
                <w:rFonts w:hint="eastAsia" w:ascii="宋体" w:hAnsi="宋体" w:cs="宋体"/>
                <w:b/>
                <w:bCs/>
                <w:kern w:val="0"/>
                <w:szCs w:val="21"/>
              </w:rPr>
              <w:t>18</w:t>
            </w:r>
          </w:p>
        </w:tc>
        <w:tc>
          <w:tcPr>
            <w:tcW w:w="2073" w:type="dxa"/>
            <w:vAlign w:val="center"/>
          </w:tcPr>
          <w:p>
            <w:pPr>
              <w:snapToGrid w:val="0"/>
              <w:jc w:val="center"/>
              <w:rPr>
                <w:rFonts w:ascii="宋体" w:hAnsi="宋体" w:cs="宋体"/>
                <w:b/>
                <w:bCs/>
                <w:kern w:val="0"/>
                <w:szCs w:val="21"/>
              </w:rPr>
            </w:pPr>
            <w:r>
              <w:rPr>
                <w:rFonts w:hint="eastAsia" w:ascii="宋体" w:hAnsi="宋体" w:cs="宋体"/>
                <w:b/>
                <w:bCs/>
                <w:kern w:val="0"/>
                <w:szCs w:val="21"/>
              </w:rPr>
              <w:t>节能环保要求</w:t>
            </w:r>
          </w:p>
        </w:tc>
        <w:tc>
          <w:tcPr>
            <w:tcW w:w="6860" w:type="dxa"/>
            <w:vAlign w:val="center"/>
          </w:tcPr>
          <w:p>
            <w:pPr>
              <w:snapToGrid w:val="0"/>
              <w:rPr>
                <w:rFonts w:ascii="宋体" w:hAnsi="宋体" w:cs="宋体"/>
                <w:b/>
                <w:kern w:val="0"/>
                <w:szCs w:val="21"/>
              </w:rPr>
            </w:pPr>
            <w:r>
              <w:rPr>
                <w:rFonts w:hint="eastAsia" w:ascii="宋体" w:hAnsi="宋体" w:cs="宋体"/>
                <w:b/>
                <w:kern w:val="0"/>
                <w:szCs w:val="21"/>
              </w:rPr>
              <w:t>根据财政部、发展改革委、生态环境部、市场监管总局《关于调整优化节能产品、环境标志产品政府采购执行机制的通知》（财库〔2019〕9号）文件及“节能产品政府采购品目清单”、“环境标志产品政府采购品目清单”，本项目如需采购品目清单中的政府强制采购的节能、环保产品，投标人所投的相应产品须提供国家确定的认证机构出具的、处于有效期之内的节能产品、环境标志产品认证证书复印件，否则投标无效。</w:t>
            </w:r>
          </w:p>
          <w:p>
            <w:pPr>
              <w:snapToGrid w:val="0"/>
              <w:rPr>
                <w:rFonts w:ascii="宋体" w:hAnsi="宋体" w:cs="宋体"/>
                <w:b/>
                <w:kern w:val="0"/>
                <w:szCs w:val="21"/>
              </w:rPr>
            </w:pPr>
            <w:r>
              <w:rPr>
                <w:rFonts w:hint="eastAsia" w:ascii="宋体" w:hAnsi="宋体" w:cs="宋体"/>
                <w:b/>
                <w:kern w:val="0"/>
                <w:szCs w:val="21"/>
              </w:rPr>
              <w:t>本项目如需采购品目清单中的政府优先采购的节能、环保产品，投标人所投的相应产品须提供国家确定的认证机构出具的、处于有效期之内的节能产品、环境标志产品认证证书复印件，否则不予实施优先采购。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snapToGrid w:val="0"/>
              <w:jc w:val="center"/>
              <w:rPr>
                <w:rFonts w:ascii="宋体" w:hAnsi="宋体" w:cs="宋体"/>
                <w:b/>
                <w:bCs/>
                <w:kern w:val="0"/>
                <w:szCs w:val="21"/>
              </w:rPr>
            </w:pPr>
            <w:r>
              <w:rPr>
                <w:rFonts w:hint="eastAsia" w:ascii="宋体" w:hAnsi="宋体" w:cs="宋体"/>
                <w:b/>
                <w:bCs/>
                <w:kern w:val="0"/>
                <w:szCs w:val="21"/>
              </w:rPr>
              <w:t>19</w:t>
            </w:r>
          </w:p>
        </w:tc>
        <w:tc>
          <w:tcPr>
            <w:tcW w:w="2073" w:type="dxa"/>
            <w:vAlign w:val="center"/>
          </w:tcPr>
          <w:p>
            <w:pPr>
              <w:snapToGrid w:val="0"/>
              <w:jc w:val="center"/>
              <w:rPr>
                <w:rFonts w:ascii="宋体" w:hAnsi="宋体" w:cs="宋体"/>
                <w:b/>
                <w:bCs/>
                <w:kern w:val="0"/>
                <w:szCs w:val="21"/>
              </w:rPr>
            </w:pPr>
            <w:r>
              <w:rPr>
                <w:rFonts w:hint="eastAsia" w:ascii="宋体" w:hAnsi="宋体" w:cs="宋体"/>
                <w:b/>
                <w:bCs/>
                <w:szCs w:val="21"/>
              </w:rPr>
              <w:t>信用记录</w:t>
            </w:r>
          </w:p>
        </w:tc>
        <w:tc>
          <w:tcPr>
            <w:tcW w:w="6860" w:type="dxa"/>
            <w:vAlign w:val="center"/>
          </w:tcPr>
          <w:p>
            <w:pPr>
              <w:snapToGrid w:val="0"/>
              <w:rPr>
                <w:rFonts w:ascii="宋体" w:hAnsi="宋体" w:cs="宋体"/>
                <w:w w:val="90"/>
                <w:kern w:val="0"/>
                <w:szCs w:val="21"/>
              </w:rPr>
            </w:pPr>
            <w:r>
              <w:rPr>
                <w:rFonts w:hint="eastAsia" w:ascii="宋体" w:hAnsi="宋体" w:cs="宋体"/>
                <w:w w:val="90"/>
                <w:kern w:val="0"/>
                <w:szCs w:val="21"/>
              </w:rPr>
              <w:t>信用记录查询与使用：</w:t>
            </w:r>
            <w:r>
              <w:rPr>
                <w:rFonts w:hint="eastAsia" w:ascii="宋体" w:hAnsi="宋体" w:cs="宋体"/>
                <w:b/>
                <w:w w:val="90"/>
                <w:kern w:val="0"/>
                <w:szCs w:val="21"/>
              </w:rPr>
              <w:t>根据《财政部关于在政府采购活动中查询及使用信用记录的通知》（财库〔2016〕125号）相关规定，采购组织机构将统一通过“信用中国”网站（www.creditchina.gov.cn）、中国政府采购网（www.ccgp.gov.cn）等渠道查询供应商信用记录，对供应商信用记录进行甄别。凡是列入失信被执行人、重大税收违法案件当事人名单、政府采购严重违法失信行为记录名单及其他不符合《中华人民共和国政府采购法》第二十二条规定条件的供应商，一律拒绝其参加本次政府采购活动。</w:t>
            </w:r>
            <w:r>
              <w:rPr>
                <w:rFonts w:hint="eastAsia" w:ascii="宋体" w:hAnsi="宋体" w:cs="宋体"/>
                <w:w w:val="90"/>
                <w:kern w:val="0"/>
                <w:szCs w:val="21"/>
              </w:rPr>
              <w:t>本项目详细处理办法如下：</w:t>
            </w:r>
          </w:p>
          <w:p>
            <w:pPr>
              <w:snapToGrid w:val="0"/>
              <w:rPr>
                <w:rFonts w:ascii="宋体" w:hAnsi="宋体" w:cs="宋体"/>
                <w:w w:val="90"/>
                <w:kern w:val="0"/>
                <w:szCs w:val="21"/>
              </w:rPr>
            </w:pPr>
            <w:r>
              <w:rPr>
                <w:rFonts w:hint="eastAsia" w:ascii="宋体" w:hAnsi="宋体" w:cs="宋体"/>
                <w:w w:val="90"/>
                <w:kern w:val="0"/>
                <w:szCs w:val="21"/>
              </w:rPr>
              <w:t>（1）“被拒绝情形”是指列入失信被执行人、重大税收违法案件当事人名单、政府采购严重违法失信行为记录名单及其他不符合《中华人民共和国政府采购法》第二十二条规定条件的情形。</w:t>
            </w:r>
          </w:p>
          <w:p>
            <w:pPr>
              <w:snapToGrid w:val="0"/>
              <w:rPr>
                <w:rFonts w:ascii="宋体" w:hAnsi="宋体" w:cs="宋体"/>
                <w:w w:val="90"/>
                <w:kern w:val="0"/>
                <w:szCs w:val="21"/>
              </w:rPr>
            </w:pPr>
            <w:r>
              <w:rPr>
                <w:rFonts w:hint="eastAsia" w:ascii="宋体" w:hAnsi="宋体" w:cs="宋体"/>
                <w:w w:val="90"/>
                <w:kern w:val="0"/>
                <w:szCs w:val="21"/>
              </w:rPr>
              <w:t>（2）查询工作由采购组织机构（采购人或采购代理机构）统一进行，并以书面形式留存备案。</w:t>
            </w:r>
          </w:p>
          <w:p>
            <w:pPr>
              <w:snapToGrid w:val="0"/>
              <w:rPr>
                <w:rFonts w:ascii="宋体" w:hAnsi="宋体" w:cs="宋体"/>
                <w:w w:val="90"/>
                <w:kern w:val="0"/>
                <w:szCs w:val="21"/>
              </w:rPr>
            </w:pPr>
            <w:r>
              <w:rPr>
                <w:rFonts w:hint="eastAsia" w:ascii="宋体" w:hAnsi="宋体" w:cs="宋体"/>
                <w:w w:val="90"/>
                <w:kern w:val="0"/>
                <w:szCs w:val="21"/>
              </w:rPr>
              <w:t>（3）以联合体形式参加采购活动的，联合体中任何一方存在“被拒绝情形”的视同联合体存在“被拒绝情形”。</w:t>
            </w:r>
          </w:p>
          <w:p>
            <w:pPr>
              <w:snapToGrid w:val="0"/>
              <w:rPr>
                <w:rFonts w:ascii="宋体" w:hAnsi="宋体" w:cs="宋体"/>
                <w:w w:val="90"/>
                <w:kern w:val="0"/>
                <w:szCs w:val="21"/>
              </w:rPr>
            </w:pPr>
            <w:r>
              <w:rPr>
                <w:rFonts w:hint="eastAsia" w:ascii="宋体" w:hAnsi="宋体" w:cs="宋体"/>
                <w:kern w:val="0"/>
                <w:szCs w:val="21"/>
              </w:rPr>
              <w:t>（4）投标截止日当日网站显示的信用信息将作为资格审查的依据。</w:t>
            </w:r>
          </w:p>
          <w:p>
            <w:pPr>
              <w:snapToGrid w:val="0"/>
              <w:rPr>
                <w:rFonts w:ascii="宋体" w:hAnsi="宋体" w:cs="宋体"/>
                <w:b/>
                <w:kern w:val="0"/>
                <w:szCs w:val="21"/>
              </w:rPr>
            </w:pPr>
            <w:r>
              <w:rPr>
                <w:rFonts w:hint="eastAsia" w:ascii="宋体" w:hAnsi="宋体" w:cs="宋体"/>
                <w:kern w:val="0"/>
                <w:szCs w:val="21"/>
              </w:rPr>
              <w:t>（5）信用信息截止时点为投标文件递交截止日。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snapToGrid w:val="0"/>
              <w:jc w:val="center"/>
              <w:rPr>
                <w:rFonts w:ascii="宋体" w:hAnsi="宋体" w:cs="宋体"/>
                <w:b/>
                <w:bCs/>
                <w:kern w:val="0"/>
                <w:szCs w:val="21"/>
              </w:rPr>
            </w:pPr>
            <w:r>
              <w:rPr>
                <w:rFonts w:hint="eastAsia" w:ascii="宋体" w:hAnsi="宋体" w:cs="宋体"/>
                <w:b/>
                <w:bCs/>
                <w:kern w:val="0"/>
                <w:szCs w:val="21"/>
              </w:rPr>
              <w:t>20</w:t>
            </w:r>
          </w:p>
        </w:tc>
        <w:tc>
          <w:tcPr>
            <w:tcW w:w="2073" w:type="dxa"/>
            <w:vAlign w:val="center"/>
          </w:tcPr>
          <w:p>
            <w:pPr>
              <w:snapToGrid w:val="0"/>
              <w:jc w:val="center"/>
              <w:rPr>
                <w:rFonts w:ascii="宋体" w:hAnsi="宋体" w:cs="宋体"/>
                <w:b/>
                <w:bCs/>
                <w:kern w:val="0"/>
                <w:szCs w:val="21"/>
              </w:rPr>
            </w:pPr>
            <w:r>
              <w:rPr>
                <w:rFonts w:hint="eastAsia" w:ascii="宋体" w:hAnsi="宋体" w:cs="宋体"/>
                <w:b/>
                <w:bCs/>
                <w:kern w:val="0"/>
                <w:szCs w:val="21"/>
              </w:rPr>
              <w:t>特别提示</w:t>
            </w:r>
          </w:p>
        </w:tc>
        <w:tc>
          <w:tcPr>
            <w:tcW w:w="6860" w:type="dxa"/>
            <w:vAlign w:val="center"/>
          </w:tcPr>
          <w:p>
            <w:pPr>
              <w:pStyle w:val="21"/>
              <w:rPr>
                <w:rFonts w:hAnsi="宋体" w:cs="宋体"/>
                <w:b/>
                <w:kern w:val="0"/>
                <w:szCs w:val="21"/>
              </w:rPr>
            </w:pPr>
            <w:r>
              <w:rPr>
                <w:rFonts w:hint="eastAsia" w:hAnsi="宋体" w:cs="宋体"/>
                <w:b/>
                <w:kern w:val="0"/>
                <w:szCs w:val="21"/>
              </w:rPr>
              <w:t>根据浙财采监〔2015〕13号文件本项目开标程序为：</w:t>
            </w:r>
          </w:p>
          <w:p>
            <w:pPr>
              <w:pStyle w:val="21"/>
              <w:rPr>
                <w:rFonts w:hAnsi="宋体" w:cs="宋体"/>
                <w:b/>
                <w:kern w:val="0"/>
                <w:szCs w:val="21"/>
              </w:rPr>
            </w:pPr>
            <w:r>
              <w:rPr>
                <w:rFonts w:hint="eastAsia" w:hAnsi="宋体" w:cs="宋体"/>
                <w:b/>
                <w:kern w:val="0"/>
                <w:szCs w:val="21"/>
              </w:rPr>
              <w:t>采取先拆封商务技术文件，后拆封报价文件的顺序进行。具体按以下程序进行：</w:t>
            </w:r>
          </w:p>
          <w:p>
            <w:pPr>
              <w:pStyle w:val="21"/>
              <w:rPr>
                <w:rFonts w:hAnsi="宋体" w:cs="宋体"/>
                <w:b/>
                <w:kern w:val="0"/>
                <w:szCs w:val="21"/>
              </w:rPr>
            </w:pPr>
            <w:r>
              <w:rPr>
                <w:rFonts w:hint="eastAsia" w:hAnsi="宋体" w:cs="宋体"/>
                <w:b/>
                <w:kern w:val="0"/>
                <w:szCs w:val="21"/>
              </w:rPr>
              <w:t>(1）主持人宣布开标，介绍现场的人员情况，宣读递交投标文件的投标名单、开标纪律、应当回避的情形等注意事项，投标人签署《政府采购活动现场确认声明书》。</w:t>
            </w:r>
          </w:p>
          <w:p>
            <w:pPr>
              <w:pStyle w:val="21"/>
              <w:rPr>
                <w:rFonts w:hAnsi="宋体" w:cs="宋体"/>
                <w:b/>
                <w:kern w:val="0"/>
                <w:szCs w:val="21"/>
              </w:rPr>
            </w:pPr>
            <w:r>
              <w:rPr>
                <w:rFonts w:hint="eastAsia" w:hAnsi="宋体" w:cs="宋体"/>
                <w:b/>
                <w:kern w:val="0"/>
                <w:szCs w:val="21"/>
              </w:rPr>
              <w:t>（2）查验、核实投标人保证金缴纳情况；投标人代表查验投标文件的密封情况。</w:t>
            </w:r>
          </w:p>
          <w:p>
            <w:pPr>
              <w:pStyle w:val="21"/>
              <w:rPr>
                <w:rFonts w:hAnsi="宋体" w:cs="宋体"/>
                <w:b/>
                <w:kern w:val="0"/>
                <w:szCs w:val="21"/>
              </w:rPr>
            </w:pPr>
            <w:r>
              <w:rPr>
                <w:rFonts w:hint="eastAsia" w:hAnsi="宋体" w:cs="宋体"/>
                <w:b/>
                <w:kern w:val="0"/>
                <w:szCs w:val="21"/>
              </w:rPr>
              <w:t>（3）按投标人提交投标文件的先后顺序当众拆封、清点投标文件的（包括正本、副本）数量，将其中密封的报价文件（含开标&lt;报价&gt;一览表等，下同）现场集中封存保管等候拆封，将拆封后的商务资信、技术文件由现场工作人员护送至评审地点，并告知投标人代表拆封报价文件的预计时间。对不符合装订要求的投标文件，现场工作人员退还投标人代表（采购响应文件中的报价文件必须单独密封，否则如开标时发生报价泄露的，由供应商自行承担相关责任）。</w:t>
            </w:r>
          </w:p>
          <w:p>
            <w:pPr>
              <w:pStyle w:val="21"/>
              <w:rPr>
                <w:rFonts w:hAnsi="宋体" w:cs="宋体"/>
                <w:b/>
                <w:kern w:val="0"/>
                <w:szCs w:val="21"/>
              </w:rPr>
            </w:pPr>
            <w:r>
              <w:rPr>
                <w:rFonts w:hint="eastAsia" w:hAnsi="宋体" w:cs="宋体"/>
                <w:b/>
                <w:kern w:val="0"/>
                <w:szCs w:val="21"/>
              </w:rPr>
              <w:t>（4）商务技术文件评审结束后，主持人宣告商务技术评审无效投标人名称及理由，投标人代表可收回未拆封的报价文件并签字确认；公布经商务技术评审符合采购需求的投标人名单，同时公布其商务技术的得分情况。</w:t>
            </w:r>
          </w:p>
          <w:p>
            <w:pPr>
              <w:pStyle w:val="21"/>
              <w:rPr>
                <w:rFonts w:hAnsi="宋体" w:cs="宋体"/>
                <w:b/>
                <w:kern w:val="0"/>
                <w:szCs w:val="21"/>
              </w:rPr>
            </w:pPr>
            <w:r>
              <w:rPr>
                <w:rFonts w:hint="eastAsia" w:hAnsi="宋体" w:cs="宋体"/>
                <w:b/>
                <w:kern w:val="0"/>
                <w:szCs w:val="21"/>
              </w:rPr>
              <w:t>（5）拆封投标人报价文件，宣读开标（报价）一览表有关内容，同时制作并打印开标记录表，由投标人代表、唱标人、记录人和现场监督员在开标记录表上签字确认（不予确认的应说明理由，否则视为无异议）。唱标结束后，现场工作人员将报价文件及开标记录表护送至评审地点，由评审小组对报价的合理性、准确性等进行审查核实。</w:t>
            </w:r>
          </w:p>
          <w:p>
            <w:pPr>
              <w:pStyle w:val="21"/>
              <w:rPr>
                <w:rFonts w:hAnsi="宋体" w:cs="宋体"/>
                <w:b/>
                <w:kern w:val="0"/>
                <w:szCs w:val="21"/>
              </w:rPr>
            </w:pPr>
            <w:r>
              <w:rPr>
                <w:rFonts w:hint="eastAsia" w:hAnsi="宋体" w:cs="宋体"/>
                <w:b/>
                <w:kern w:val="0"/>
                <w:szCs w:val="21"/>
              </w:rPr>
              <w:t>（6）评审结束后，主持人公布中标候选投标人名单，及采购人最终确定中标投标人名单的时间和公告方式等。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Merge w:val="restart"/>
            <w:vAlign w:val="center"/>
          </w:tcPr>
          <w:p>
            <w:pPr>
              <w:snapToGrid w:val="0"/>
              <w:jc w:val="center"/>
              <w:rPr>
                <w:rFonts w:ascii="宋体" w:hAnsi="宋体" w:cs="宋体"/>
                <w:b/>
                <w:bCs/>
                <w:kern w:val="0"/>
                <w:szCs w:val="21"/>
              </w:rPr>
            </w:pPr>
            <w:r>
              <w:rPr>
                <w:rFonts w:hint="eastAsia" w:ascii="宋体" w:hAnsi="宋体" w:cs="宋体"/>
                <w:b/>
                <w:bCs/>
                <w:kern w:val="0"/>
                <w:szCs w:val="21"/>
              </w:rPr>
              <w:t>21</w:t>
            </w:r>
          </w:p>
        </w:tc>
        <w:tc>
          <w:tcPr>
            <w:tcW w:w="2073" w:type="dxa"/>
            <w:vMerge w:val="restart"/>
            <w:vAlign w:val="center"/>
          </w:tcPr>
          <w:p>
            <w:pPr>
              <w:snapToGrid w:val="0"/>
              <w:jc w:val="center"/>
              <w:rPr>
                <w:rFonts w:ascii="宋体" w:hAnsi="宋体" w:cs="宋体"/>
                <w:b/>
                <w:bCs/>
                <w:kern w:val="0"/>
                <w:szCs w:val="21"/>
              </w:rPr>
            </w:pPr>
            <w:r>
              <w:rPr>
                <w:rFonts w:hint="eastAsia" w:ascii="宋体" w:hAnsi="宋体" w:cs="宋体"/>
                <w:b/>
                <w:bCs/>
                <w:kern w:val="0"/>
                <w:szCs w:val="21"/>
              </w:rPr>
              <w:t>中标结果及</w:t>
            </w:r>
          </w:p>
          <w:p>
            <w:pPr>
              <w:snapToGrid w:val="0"/>
              <w:jc w:val="center"/>
              <w:rPr>
                <w:rFonts w:ascii="宋体" w:hAnsi="宋体" w:cs="宋体"/>
                <w:b/>
                <w:bCs/>
                <w:kern w:val="0"/>
                <w:szCs w:val="21"/>
              </w:rPr>
            </w:pPr>
            <w:r>
              <w:rPr>
                <w:rFonts w:hint="eastAsia" w:ascii="宋体" w:hAnsi="宋体" w:cs="宋体"/>
                <w:b/>
                <w:bCs/>
                <w:kern w:val="0"/>
                <w:szCs w:val="21"/>
              </w:rPr>
              <w:t>代理服务费</w:t>
            </w:r>
          </w:p>
        </w:tc>
        <w:tc>
          <w:tcPr>
            <w:tcW w:w="6860" w:type="dxa"/>
            <w:vAlign w:val="center"/>
          </w:tcPr>
          <w:p>
            <w:pPr>
              <w:pStyle w:val="6"/>
              <w:snapToGrid w:val="0"/>
              <w:ind w:firstLine="0" w:firstLineChars="0"/>
              <w:rPr>
                <w:rFonts w:ascii="宋体" w:hAnsi="宋体" w:cs="宋体"/>
                <w:b/>
                <w:kern w:val="0"/>
                <w:szCs w:val="21"/>
              </w:rPr>
            </w:pPr>
            <w:r>
              <w:rPr>
                <w:rFonts w:hint="eastAsia" w:ascii="宋体" w:hAnsi="宋体" w:cs="宋体"/>
                <w:w w:val="90"/>
                <w:kern w:val="0"/>
                <w:szCs w:val="21"/>
              </w:rPr>
              <w:t>结果公告及《中标通知书》签发：采购结果经采购人确认后2个工作日内，采购代理机构将在发布招标公告的平台上对外发布采购结果公告，同时向中标单位签发《中标通知书》。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Merge w:val="continue"/>
            <w:vAlign w:val="center"/>
          </w:tcPr>
          <w:p>
            <w:pPr>
              <w:snapToGrid w:val="0"/>
              <w:jc w:val="center"/>
              <w:rPr>
                <w:rFonts w:ascii="宋体" w:hAnsi="宋体" w:cs="宋体"/>
                <w:kern w:val="0"/>
                <w:szCs w:val="21"/>
              </w:rPr>
            </w:pPr>
          </w:p>
        </w:tc>
        <w:tc>
          <w:tcPr>
            <w:tcW w:w="2073" w:type="dxa"/>
            <w:vMerge w:val="continue"/>
            <w:vAlign w:val="center"/>
          </w:tcPr>
          <w:p>
            <w:pPr>
              <w:snapToGrid w:val="0"/>
              <w:jc w:val="center"/>
              <w:rPr>
                <w:rFonts w:ascii="宋体" w:hAnsi="宋体" w:cs="宋体"/>
                <w:b/>
                <w:kern w:val="0"/>
                <w:szCs w:val="21"/>
              </w:rPr>
            </w:pPr>
          </w:p>
        </w:tc>
        <w:tc>
          <w:tcPr>
            <w:tcW w:w="6860" w:type="dxa"/>
            <w:vAlign w:val="center"/>
          </w:tcPr>
          <w:p>
            <w:pPr>
              <w:pStyle w:val="6"/>
              <w:snapToGrid w:val="0"/>
              <w:ind w:firstLine="0" w:firstLineChars="0"/>
              <w:rPr>
                <w:rFonts w:ascii="宋体" w:hAnsi="宋体" w:cs="宋体"/>
                <w:b/>
                <w:kern w:val="0"/>
                <w:szCs w:val="21"/>
              </w:rPr>
            </w:pPr>
            <w:r>
              <w:rPr>
                <w:rFonts w:hint="eastAsia" w:ascii="宋体" w:hAnsi="宋体" w:cs="宋体"/>
                <w:w w:val="90"/>
                <w:kern w:val="0"/>
                <w:szCs w:val="21"/>
              </w:rPr>
              <w:t>合同签订：《中标通知书》发出后30天内，中标供应商应持《中标通知书》与采购人签订《政府采购合同》。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Merge w:val="continue"/>
            <w:vAlign w:val="center"/>
          </w:tcPr>
          <w:p>
            <w:pPr>
              <w:snapToGrid w:val="0"/>
              <w:jc w:val="center"/>
              <w:rPr>
                <w:rFonts w:ascii="宋体" w:hAnsi="宋体" w:cs="宋体"/>
                <w:kern w:val="0"/>
                <w:szCs w:val="21"/>
              </w:rPr>
            </w:pPr>
          </w:p>
        </w:tc>
        <w:tc>
          <w:tcPr>
            <w:tcW w:w="2073" w:type="dxa"/>
            <w:vMerge w:val="continue"/>
            <w:vAlign w:val="center"/>
          </w:tcPr>
          <w:p>
            <w:pPr>
              <w:snapToGrid w:val="0"/>
              <w:jc w:val="center"/>
              <w:rPr>
                <w:rFonts w:ascii="宋体" w:hAnsi="宋体" w:cs="宋体"/>
                <w:b/>
                <w:kern w:val="0"/>
                <w:szCs w:val="21"/>
              </w:rPr>
            </w:pPr>
          </w:p>
        </w:tc>
        <w:tc>
          <w:tcPr>
            <w:tcW w:w="6860" w:type="dxa"/>
            <w:vAlign w:val="center"/>
          </w:tcPr>
          <w:p>
            <w:pPr>
              <w:pStyle w:val="6"/>
              <w:snapToGrid w:val="0"/>
              <w:ind w:firstLine="0" w:firstLineChars="0"/>
              <w:rPr>
                <w:rFonts w:ascii="宋体" w:hAnsi="宋体" w:cs="宋体"/>
                <w:w w:val="90"/>
                <w:kern w:val="0"/>
                <w:szCs w:val="21"/>
              </w:rPr>
            </w:pPr>
            <w:r>
              <w:rPr>
                <w:rFonts w:hint="eastAsia" w:ascii="宋体" w:hAnsi="宋体" w:cs="宋体"/>
                <w:b/>
                <w:kern w:val="0"/>
                <w:szCs w:val="21"/>
              </w:rPr>
              <w:t>本项目招标代理服务费</w:t>
            </w:r>
            <w:r>
              <w:rPr>
                <w:rFonts w:hint="eastAsia" w:ascii="宋体" w:hAnsi="宋体" w:cs="宋体"/>
                <w:b/>
                <w:kern w:val="0"/>
                <w:szCs w:val="21"/>
                <w:lang w:val="en-US" w:eastAsia="zh-CN"/>
              </w:rPr>
              <w:t>2</w:t>
            </w:r>
            <w:r>
              <w:rPr>
                <w:rFonts w:hint="eastAsia" w:ascii="宋体" w:hAnsi="宋体" w:cs="宋体"/>
                <w:b/>
                <w:kern w:val="0"/>
                <w:szCs w:val="21"/>
              </w:rPr>
              <w:t>万元，由中标人在领取中标通知书的同时支付给代理机构。</w:t>
            </w:r>
          </w:p>
        </w:tc>
      </w:tr>
    </w:tbl>
    <w:p>
      <w:pPr>
        <w:pStyle w:val="5"/>
        <w:ind w:firstLine="422"/>
        <w:rPr>
          <w:rFonts w:ascii="宋体" w:hAnsi="宋体" w:cs="宋体"/>
        </w:rPr>
      </w:pPr>
      <w:bookmarkStart w:id="34" w:name="_Hlt74729822"/>
      <w:bookmarkEnd w:id="34"/>
      <w:bookmarkStart w:id="35" w:name="_Hlt74649545"/>
      <w:bookmarkEnd w:id="35"/>
      <w:r>
        <w:rPr>
          <w:rFonts w:hint="eastAsia" w:ascii="宋体" w:hAnsi="宋体" w:cs="宋体"/>
          <w:kern w:val="0"/>
          <w:szCs w:val="21"/>
        </w:rPr>
        <w:br w:type="page"/>
      </w:r>
      <w:bookmarkStart w:id="36" w:name="_Toc82338239"/>
      <w:bookmarkStart w:id="37" w:name="_Toc82873322"/>
      <w:r>
        <w:rPr>
          <w:rFonts w:hint="eastAsia" w:ascii="宋体" w:hAnsi="宋体" w:cs="宋体"/>
        </w:rPr>
        <w:t>一、</w:t>
      </w:r>
      <w:bookmarkEnd w:id="36"/>
      <w:bookmarkEnd w:id="37"/>
      <w:r>
        <w:rPr>
          <w:rFonts w:hint="eastAsia" w:ascii="宋体" w:hAnsi="宋体" w:cs="宋体"/>
        </w:rPr>
        <w:t>总则</w:t>
      </w:r>
    </w:p>
    <w:p>
      <w:pPr>
        <w:pStyle w:val="7"/>
        <w:ind w:firstLine="422"/>
        <w:rPr>
          <w:rFonts w:ascii="宋体" w:hAnsi="宋体" w:cs="宋体"/>
        </w:rPr>
      </w:pPr>
      <w:bookmarkStart w:id="38" w:name="_Toc82873323"/>
      <w:bookmarkStart w:id="39" w:name="_Toc82338240"/>
      <w:r>
        <w:rPr>
          <w:rFonts w:hint="eastAsia" w:ascii="宋体" w:hAnsi="宋体" w:cs="宋体"/>
        </w:rPr>
        <w:t>1.1 实施依据</w:t>
      </w:r>
    </w:p>
    <w:p>
      <w:pPr>
        <w:pStyle w:val="88"/>
        <w:snapToGrid w:val="0"/>
        <w:spacing w:line="300" w:lineRule="auto"/>
        <w:ind w:firstLine="420"/>
        <w:rPr>
          <w:rFonts w:ascii="宋体" w:hAnsi="宋体" w:cs="宋体"/>
        </w:rPr>
      </w:pPr>
      <w:r>
        <w:rPr>
          <w:rFonts w:hint="eastAsia" w:ascii="宋体" w:hAnsi="宋体" w:cs="宋体"/>
        </w:rPr>
        <w:t>本次招标工作是按照《中华人民共和国政府采购法》等有关法律、法规、规章、文件的规定组织和实施。</w:t>
      </w:r>
    </w:p>
    <w:p>
      <w:pPr>
        <w:pStyle w:val="7"/>
        <w:ind w:firstLine="422"/>
        <w:rPr>
          <w:rFonts w:ascii="宋体" w:hAnsi="宋体" w:cs="宋体"/>
        </w:rPr>
      </w:pPr>
      <w:r>
        <w:rPr>
          <w:rFonts w:hint="eastAsia" w:ascii="宋体" w:hAnsi="宋体" w:cs="宋体"/>
        </w:rPr>
        <w:t>1.2 采购方式</w:t>
      </w:r>
    </w:p>
    <w:p>
      <w:pPr>
        <w:pStyle w:val="88"/>
        <w:snapToGrid w:val="0"/>
        <w:spacing w:line="300" w:lineRule="auto"/>
        <w:ind w:firstLine="420"/>
        <w:rPr>
          <w:rFonts w:ascii="宋体" w:hAnsi="宋体" w:cs="宋体"/>
        </w:rPr>
      </w:pPr>
      <w:r>
        <w:rPr>
          <w:rFonts w:hint="eastAsia" w:ascii="宋体" w:hAnsi="宋体" w:cs="宋体"/>
          <w:szCs w:val="21"/>
        </w:rPr>
        <w:t>公开招标，是指招标采购单位依法以招标公告的方式邀请不特定的供应商参加投标。</w:t>
      </w:r>
    </w:p>
    <w:p>
      <w:pPr>
        <w:pStyle w:val="7"/>
        <w:ind w:firstLine="422"/>
        <w:rPr>
          <w:rFonts w:ascii="宋体" w:hAnsi="宋体" w:cs="宋体"/>
        </w:rPr>
      </w:pPr>
      <w:r>
        <w:rPr>
          <w:rFonts w:hint="eastAsia" w:ascii="宋体" w:hAnsi="宋体" w:cs="宋体"/>
        </w:rPr>
        <w:t>1.3 定义</w:t>
      </w:r>
    </w:p>
    <w:p>
      <w:pPr>
        <w:pStyle w:val="88"/>
        <w:snapToGrid w:val="0"/>
        <w:spacing w:line="300" w:lineRule="auto"/>
        <w:ind w:firstLine="420"/>
        <w:rPr>
          <w:rFonts w:ascii="宋体" w:hAnsi="宋体" w:cs="宋体"/>
        </w:rPr>
      </w:pPr>
      <w:r>
        <w:rPr>
          <w:rFonts w:hint="eastAsia" w:ascii="宋体" w:hAnsi="宋体" w:cs="宋体"/>
        </w:rPr>
        <w:t>采购人：是指依法进行政府采购的国家机关、事业单位、团体组织，见“投标人须知前附表”；</w:t>
      </w:r>
    </w:p>
    <w:p>
      <w:pPr>
        <w:pStyle w:val="88"/>
        <w:snapToGrid w:val="0"/>
        <w:spacing w:line="300" w:lineRule="auto"/>
        <w:ind w:firstLine="420"/>
        <w:rPr>
          <w:rFonts w:ascii="宋体" w:hAnsi="宋体" w:cs="宋体"/>
        </w:rPr>
      </w:pPr>
      <w:r>
        <w:rPr>
          <w:rFonts w:hint="eastAsia" w:ascii="宋体" w:hAnsi="宋体" w:cs="宋体"/>
        </w:rPr>
        <w:t>采购代理机构：受采购人委托，在委托的范围内办理政府采购事宜的机构，见“投标人须知前附表”；</w:t>
      </w:r>
    </w:p>
    <w:p>
      <w:pPr>
        <w:pStyle w:val="88"/>
        <w:snapToGrid w:val="0"/>
        <w:spacing w:line="300" w:lineRule="auto"/>
        <w:ind w:firstLine="420"/>
        <w:rPr>
          <w:rFonts w:ascii="宋体" w:hAnsi="宋体" w:cs="宋体"/>
        </w:rPr>
      </w:pPr>
      <w:r>
        <w:rPr>
          <w:rFonts w:hint="eastAsia" w:ascii="宋体" w:hAnsi="宋体" w:cs="宋体"/>
        </w:rPr>
        <w:t>投标人：是指参加本政府采购项目投标的供应商；</w:t>
      </w:r>
    </w:p>
    <w:p>
      <w:pPr>
        <w:pStyle w:val="88"/>
        <w:snapToGrid w:val="0"/>
        <w:spacing w:line="300" w:lineRule="auto"/>
        <w:ind w:firstLine="420"/>
        <w:rPr>
          <w:rFonts w:ascii="宋体" w:hAnsi="宋体" w:cs="宋体"/>
        </w:rPr>
      </w:pPr>
      <w:r>
        <w:rPr>
          <w:rFonts w:hint="eastAsia" w:ascii="宋体" w:hAnsi="宋体" w:cs="宋体"/>
        </w:rPr>
        <w:t>投标人代表：是指参加本项目投标活动的供应商法定代表人或法定代表人授权代表；</w:t>
      </w:r>
    </w:p>
    <w:p>
      <w:pPr>
        <w:pStyle w:val="88"/>
        <w:snapToGrid w:val="0"/>
        <w:spacing w:line="300" w:lineRule="auto"/>
        <w:ind w:firstLine="420"/>
        <w:rPr>
          <w:rFonts w:ascii="宋体" w:hAnsi="宋体" w:cs="宋体"/>
        </w:rPr>
      </w:pPr>
      <w:r>
        <w:rPr>
          <w:rFonts w:hint="eastAsia" w:ascii="宋体" w:hAnsi="宋体" w:cs="宋体"/>
        </w:rPr>
        <w:t>投标联合体：是指两个以上供应商组成联合体，以一个供应商的身份参加投标；</w:t>
      </w:r>
    </w:p>
    <w:p>
      <w:pPr>
        <w:pStyle w:val="88"/>
        <w:snapToGrid w:val="0"/>
        <w:spacing w:line="300" w:lineRule="auto"/>
        <w:ind w:firstLine="420"/>
        <w:rPr>
          <w:rFonts w:ascii="宋体" w:hAnsi="宋体" w:cs="宋体"/>
        </w:rPr>
      </w:pPr>
      <w:r>
        <w:rPr>
          <w:rFonts w:hint="eastAsia" w:ascii="宋体" w:hAnsi="宋体" w:cs="宋体"/>
        </w:rPr>
        <w:t>甲方：是指合同签订的一方，一般与采购人、用户相同；</w:t>
      </w:r>
    </w:p>
    <w:p>
      <w:pPr>
        <w:pStyle w:val="88"/>
        <w:snapToGrid w:val="0"/>
        <w:spacing w:line="300" w:lineRule="auto"/>
        <w:ind w:firstLine="420"/>
        <w:rPr>
          <w:rFonts w:ascii="宋体" w:hAnsi="宋体" w:cs="宋体"/>
        </w:rPr>
      </w:pPr>
      <w:r>
        <w:rPr>
          <w:rFonts w:hint="eastAsia" w:ascii="宋体" w:hAnsi="宋体" w:cs="宋体"/>
        </w:rPr>
        <w:t>乙方：是指合同签订的另一方，与中标人相同；</w:t>
      </w:r>
    </w:p>
    <w:p>
      <w:pPr>
        <w:pStyle w:val="88"/>
        <w:snapToGrid w:val="0"/>
        <w:spacing w:line="300" w:lineRule="auto"/>
        <w:ind w:firstLine="420"/>
        <w:rPr>
          <w:rFonts w:ascii="宋体" w:hAnsi="宋体" w:cs="宋体"/>
        </w:rPr>
      </w:pPr>
      <w:r>
        <w:rPr>
          <w:rFonts w:hint="eastAsia" w:ascii="宋体" w:hAnsi="宋体" w:cs="宋体"/>
        </w:rPr>
        <w:t>制造商：是指拥有投标产品自主知识产权的单位；</w:t>
      </w:r>
    </w:p>
    <w:p>
      <w:pPr>
        <w:pStyle w:val="88"/>
        <w:snapToGrid w:val="0"/>
        <w:spacing w:line="300" w:lineRule="auto"/>
        <w:ind w:firstLine="420"/>
        <w:rPr>
          <w:rFonts w:ascii="宋体" w:hAnsi="宋体" w:cs="宋体"/>
        </w:rPr>
      </w:pPr>
      <w:r>
        <w:rPr>
          <w:rFonts w:hint="eastAsia" w:ascii="宋体" w:hAnsi="宋体" w:cs="宋体"/>
        </w:rPr>
        <w:t>中小企业（含中型、小型、微型）：符合中小企业划分标准（工信部联企业[2011]300号）的企业；</w:t>
      </w:r>
    </w:p>
    <w:p>
      <w:pPr>
        <w:pStyle w:val="88"/>
        <w:snapToGrid w:val="0"/>
        <w:spacing w:line="300" w:lineRule="auto"/>
        <w:ind w:firstLine="420"/>
        <w:rPr>
          <w:rFonts w:ascii="宋体" w:hAnsi="宋体" w:cs="宋体"/>
          <w:kern w:val="0"/>
          <w:szCs w:val="21"/>
        </w:rPr>
      </w:pPr>
      <w:r>
        <w:rPr>
          <w:rFonts w:hint="eastAsia" w:ascii="宋体" w:hAnsi="宋体" w:cs="宋体"/>
          <w:kern w:val="0"/>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Style w:val="88"/>
        <w:snapToGrid w:val="0"/>
        <w:spacing w:line="300" w:lineRule="auto"/>
        <w:ind w:firstLine="420"/>
        <w:rPr>
          <w:rFonts w:ascii="宋体" w:hAnsi="宋体" w:cs="宋体"/>
        </w:rPr>
      </w:pPr>
      <w:r>
        <w:rPr>
          <w:rFonts w:hint="eastAsia" w:ascii="宋体" w:hAnsi="宋体" w:cs="宋体"/>
        </w:rPr>
        <w:t>残疾人福利性单位：符合《财政部 民政部 中国残疾人联合会关于促进残疾人就业政府采购政策的通知》（财库〔2017〕141号）的规定的单位；</w:t>
      </w:r>
    </w:p>
    <w:p>
      <w:pPr>
        <w:pStyle w:val="88"/>
        <w:snapToGrid w:val="0"/>
        <w:spacing w:line="300" w:lineRule="auto"/>
        <w:ind w:firstLine="420"/>
        <w:rPr>
          <w:rFonts w:ascii="宋体" w:hAnsi="宋体" w:cs="宋体"/>
        </w:rPr>
      </w:pPr>
      <w:r>
        <w:rPr>
          <w:rFonts w:hint="eastAsia" w:ascii="宋体" w:hAnsi="宋体" w:cs="宋体"/>
        </w:rPr>
        <w:t>政府采购监管部门：杭州市财政局政府采购监督管理处；</w:t>
      </w:r>
    </w:p>
    <w:p>
      <w:pPr>
        <w:pStyle w:val="7"/>
        <w:ind w:firstLine="422"/>
        <w:rPr>
          <w:rFonts w:ascii="宋体" w:hAnsi="宋体" w:cs="宋体"/>
        </w:rPr>
      </w:pPr>
      <w:r>
        <w:rPr>
          <w:rFonts w:hint="eastAsia" w:ascii="宋体" w:hAnsi="宋体" w:cs="宋体"/>
        </w:rPr>
        <w:t>1.4 投标费用</w:t>
      </w:r>
    </w:p>
    <w:p>
      <w:pPr>
        <w:adjustRightInd w:val="0"/>
        <w:snapToGrid w:val="0"/>
        <w:spacing w:line="300" w:lineRule="auto"/>
        <w:ind w:firstLine="420" w:firstLineChars="200"/>
        <w:rPr>
          <w:rFonts w:ascii="宋体" w:hAnsi="宋体" w:cs="宋体"/>
        </w:rPr>
      </w:pPr>
      <w:r>
        <w:rPr>
          <w:rFonts w:hint="eastAsia" w:ascii="宋体" w:hAnsi="宋体" w:cs="宋体"/>
        </w:rPr>
        <w:t>无论招投标过程中的做法和结果如何，投标人自行承担招投标活动中所发生的全部费用。</w:t>
      </w:r>
    </w:p>
    <w:p>
      <w:pPr>
        <w:pStyle w:val="7"/>
        <w:ind w:firstLine="422"/>
        <w:rPr>
          <w:rFonts w:ascii="宋体" w:hAnsi="宋体" w:cs="宋体"/>
        </w:rPr>
      </w:pPr>
      <w:r>
        <w:rPr>
          <w:rFonts w:hint="eastAsia" w:ascii="宋体" w:hAnsi="宋体" w:cs="宋体"/>
        </w:rPr>
        <w:t>1.5 保密</w:t>
      </w:r>
    </w:p>
    <w:p>
      <w:pPr>
        <w:adjustRightInd w:val="0"/>
        <w:snapToGrid w:val="0"/>
        <w:spacing w:line="300" w:lineRule="auto"/>
        <w:ind w:firstLine="420" w:firstLineChars="200"/>
        <w:rPr>
          <w:rFonts w:ascii="宋体" w:hAnsi="宋体" w:cs="宋体"/>
        </w:rPr>
      </w:pPr>
      <w:r>
        <w:rPr>
          <w:rFonts w:hint="eastAsia" w:ascii="宋体" w:hAnsi="宋体" w:cs="宋体"/>
        </w:rPr>
        <w:t>参与招标投标活动的各方应对招标文件和投标文件中的商业和技术等秘密保密，违者应对此造成的后果承担法律责任。</w:t>
      </w:r>
    </w:p>
    <w:p>
      <w:pPr>
        <w:pStyle w:val="7"/>
        <w:ind w:firstLine="422"/>
        <w:rPr>
          <w:rFonts w:ascii="宋体" w:hAnsi="宋体" w:cs="宋体"/>
        </w:rPr>
      </w:pPr>
      <w:r>
        <w:rPr>
          <w:rFonts w:hint="eastAsia" w:ascii="宋体" w:hAnsi="宋体" w:cs="宋体"/>
        </w:rPr>
        <w:t>1.6 语言文字</w:t>
      </w:r>
    </w:p>
    <w:p>
      <w:pPr>
        <w:adjustRightInd w:val="0"/>
        <w:snapToGrid w:val="0"/>
        <w:spacing w:line="300" w:lineRule="auto"/>
        <w:ind w:firstLine="420" w:firstLineChars="200"/>
        <w:rPr>
          <w:rFonts w:ascii="宋体" w:hAnsi="宋体" w:cs="宋体"/>
        </w:rPr>
      </w:pPr>
      <w:r>
        <w:rPr>
          <w:rFonts w:hint="eastAsia" w:ascii="宋体" w:hAnsi="宋体" w:cs="宋体"/>
        </w:rPr>
        <w:t>除专用术语外，与招标投标有关的语言使用中文。专用术语应附有中文注释。</w:t>
      </w:r>
    </w:p>
    <w:p>
      <w:pPr>
        <w:pStyle w:val="7"/>
        <w:ind w:firstLine="422"/>
        <w:rPr>
          <w:rFonts w:ascii="宋体" w:hAnsi="宋体" w:cs="宋体"/>
        </w:rPr>
      </w:pPr>
      <w:r>
        <w:rPr>
          <w:rFonts w:hint="eastAsia" w:ascii="宋体" w:hAnsi="宋体" w:cs="宋体"/>
        </w:rPr>
        <w:t>1.7 计量单位</w:t>
      </w:r>
    </w:p>
    <w:p>
      <w:pPr>
        <w:adjustRightInd w:val="0"/>
        <w:snapToGrid w:val="0"/>
        <w:spacing w:line="300" w:lineRule="auto"/>
        <w:ind w:firstLine="420" w:firstLineChars="200"/>
        <w:rPr>
          <w:rFonts w:ascii="宋体" w:hAnsi="宋体" w:cs="宋体"/>
        </w:rPr>
      </w:pPr>
      <w:r>
        <w:rPr>
          <w:rFonts w:hint="eastAsia" w:ascii="宋体" w:hAnsi="宋体" w:cs="宋体"/>
        </w:rPr>
        <w:t>所有计量均采用中华人民共和国法定计量单位。</w:t>
      </w:r>
    </w:p>
    <w:p>
      <w:pPr>
        <w:pStyle w:val="7"/>
        <w:ind w:firstLine="422"/>
        <w:rPr>
          <w:rFonts w:ascii="宋体" w:hAnsi="宋体" w:cs="宋体"/>
        </w:rPr>
      </w:pPr>
      <w:r>
        <w:rPr>
          <w:rFonts w:hint="eastAsia" w:ascii="宋体" w:hAnsi="宋体" w:cs="宋体"/>
        </w:rPr>
        <w:t>1.8 答疑会（不采用）</w:t>
      </w:r>
    </w:p>
    <w:p>
      <w:pPr>
        <w:adjustRightInd w:val="0"/>
        <w:snapToGrid w:val="0"/>
        <w:spacing w:line="300" w:lineRule="auto"/>
        <w:ind w:firstLine="420" w:firstLineChars="200"/>
        <w:rPr>
          <w:rFonts w:ascii="宋体" w:hAnsi="宋体" w:cs="宋体"/>
        </w:rPr>
      </w:pPr>
      <w:r>
        <w:rPr>
          <w:rFonts w:hint="eastAsia" w:ascii="宋体" w:hAnsi="宋体" w:cs="宋体"/>
        </w:rPr>
        <w:t>1.8.1投标人须知前附表规定召开答疑会的，采购人按投标人须知前附表规定的时间和地点召开答疑会，澄清投标人提出的问题。</w:t>
      </w:r>
    </w:p>
    <w:p>
      <w:pPr>
        <w:adjustRightInd w:val="0"/>
        <w:snapToGrid w:val="0"/>
        <w:spacing w:line="300" w:lineRule="auto"/>
        <w:ind w:firstLine="420" w:firstLineChars="200"/>
        <w:rPr>
          <w:rFonts w:ascii="宋体" w:hAnsi="宋体" w:cs="宋体"/>
        </w:rPr>
      </w:pPr>
      <w:r>
        <w:rPr>
          <w:rFonts w:hint="eastAsia" w:ascii="宋体" w:hAnsi="宋体" w:cs="宋体"/>
        </w:rPr>
        <w:t>1.8.2投标人应在答疑会时间的前一天，以书面形式将提出的问题送达采购人，以便采购人在会议期间澄清。</w:t>
      </w:r>
    </w:p>
    <w:p>
      <w:pPr>
        <w:adjustRightInd w:val="0"/>
        <w:snapToGrid w:val="0"/>
        <w:spacing w:line="300" w:lineRule="auto"/>
        <w:ind w:firstLine="420" w:firstLineChars="200"/>
        <w:rPr>
          <w:rFonts w:ascii="宋体" w:hAnsi="宋体" w:cs="宋体"/>
        </w:rPr>
      </w:pPr>
      <w:r>
        <w:rPr>
          <w:rFonts w:hint="eastAsia" w:ascii="宋体" w:hAnsi="宋体" w:cs="宋体"/>
        </w:rPr>
        <w:t>1.8.3答疑会后，采购人按本章2.4款规定对投标人所提问题进行澄清答复。</w:t>
      </w:r>
    </w:p>
    <w:p>
      <w:pPr>
        <w:pStyle w:val="7"/>
        <w:ind w:firstLine="422"/>
        <w:rPr>
          <w:rFonts w:ascii="宋体" w:hAnsi="宋体" w:cs="宋体"/>
        </w:rPr>
      </w:pPr>
      <w:r>
        <w:rPr>
          <w:rFonts w:hint="eastAsia" w:ascii="宋体" w:hAnsi="宋体" w:cs="宋体"/>
        </w:rPr>
        <w:t>1.9 联合体与分包</w:t>
      </w:r>
    </w:p>
    <w:p>
      <w:pPr>
        <w:adjustRightInd w:val="0"/>
        <w:snapToGrid w:val="0"/>
        <w:spacing w:line="300" w:lineRule="auto"/>
        <w:ind w:firstLine="420" w:firstLineChars="200"/>
        <w:rPr>
          <w:rFonts w:ascii="宋体" w:hAnsi="宋体" w:cs="宋体"/>
        </w:rPr>
      </w:pPr>
      <w:r>
        <w:rPr>
          <w:rFonts w:hint="eastAsia" w:ascii="宋体" w:hAnsi="宋体" w:cs="宋体"/>
        </w:rPr>
        <w:t>本项目不允许联合体投标；本项目不允许分包；</w:t>
      </w:r>
    </w:p>
    <w:p>
      <w:pPr>
        <w:pStyle w:val="7"/>
        <w:ind w:firstLine="422"/>
        <w:rPr>
          <w:rFonts w:ascii="宋体" w:hAnsi="宋体" w:cs="宋体"/>
        </w:rPr>
      </w:pPr>
      <w:r>
        <w:rPr>
          <w:rFonts w:hint="eastAsia" w:ascii="宋体" w:hAnsi="宋体" w:cs="宋体"/>
        </w:rPr>
        <w:t>1.10 偏离</w:t>
      </w:r>
    </w:p>
    <w:p>
      <w:pPr>
        <w:adjustRightInd w:val="0"/>
        <w:snapToGrid w:val="0"/>
        <w:spacing w:line="300" w:lineRule="auto"/>
        <w:ind w:firstLine="420" w:firstLineChars="200"/>
        <w:rPr>
          <w:rFonts w:ascii="宋体" w:hAnsi="宋体" w:cs="宋体"/>
        </w:rPr>
      </w:pPr>
      <w:r>
        <w:rPr>
          <w:rFonts w:hint="eastAsia" w:ascii="宋体" w:hAnsi="宋体" w:cs="宋体"/>
        </w:rPr>
        <w:t>投标文件应完全响应招标文件规定的实质性内容和条件。</w:t>
      </w:r>
    </w:p>
    <w:p>
      <w:pPr>
        <w:pStyle w:val="7"/>
        <w:ind w:firstLine="422"/>
        <w:rPr>
          <w:rFonts w:ascii="宋体" w:hAnsi="宋体" w:cs="宋体"/>
        </w:rPr>
      </w:pPr>
      <w:r>
        <w:rPr>
          <w:rFonts w:hint="eastAsia" w:ascii="宋体" w:hAnsi="宋体" w:cs="宋体"/>
        </w:rPr>
        <w:t>1.11 其他说明</w:t>
      </w:r>
    </w:p>
    <w:p>
      <w:pPr>
        <w:pStyle w:val="88"/>
        <w:snapToGrid w:val="0"/>
        <w:spacing w:line="300" w:lineRule="auto"/>
        <w:ind w:firstLine="420"/>
        <w:rPr>
          <w:rFonts w:ascii="宋体" w:hAnsi="宋体" w:cs="宋体"/>
        </w:rPr>
      </w:pPr>
      <w:r>
        <w:rPr>
          <w:rFonts w:hint="eastAsia" w:ascii="宋体" w:hAnsi="宋体" w:cs="宋体"/>
        </w:rPr>
        <w:t>1.11.1 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pPr>
        <w:pStyle w:val="88"/>
        <w:snapToGrid w:val="0"/>
        <w:spacing w:line="300" w:lineRule="auto"/>
        <w:ind w:firstLine="420"/>
        <w:rPr>
          <w:rFonts w:ascii="宋体" w:hAnsi="宋体" w:cs="宋体"/>
        </w:rPr>
      </w:pPr>
      <w:r>
        <w:rPr>
          <w:rFonts w:hint="eastAsia" w:ascii="宋体" w:hAnsi="宋体" w:cs="宋体"/>
        </w:rPr>
        <w:t>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pPr>
        <w:pStyle w:val="88"/>
        <w:snapToGrid w:val="0"/>
        <w:spacing w:line="300" w:lineRule="auto"/>
        <w:ind w:firstLine="420"/>
        <w:rPr>
          <w:rFonts w:ascii="宋体" w:hAnsi="宋体" w:cs="宋体"/>
          <w:b/>
          <w:bCs/>
          <w:u w:val="single"/>
        </w:rPr>
      </w:pPr>
      <w:r>
        <w:rPr>
          <w:rFonts w:hint="eastAsia" w:ascii="宋体" w:hAnsi="宋体" w:cs="宋体"/>
        </w:rPr>
        <w:t>1.11.2▲</w:t>
      </w:r>
      <w:r>
        <w:rPr>
          <w:rFonts w:hint="eastAsia" w:ascii="宋体" w:hAnsi="宋体" w:cs="宋体"/>
          <w:b/>
          <w:bCs/>
          <w:u w:val="single"/>
        </w:rPr>
        <w:t>投标人对所投标项内的采购内容必须全部进行投标。</w:t>
      </w:r>
    </w:p>
    <w:p>
      <w:pPr>
        <w:pStyle w:val="88"/>
        <w:snapToGrid w:val="0"/>
        <w:spacing w:line="300" w:lineRule="auto"/>
        <w:ind w:firstLine="420"/>
        <w:rPr>
          <w:rFonts w:ascii="宋体" w:hAnsi="宋体" w:cs="宋体"/>
          <w:bCs/>
        </w:rPr>
      </w:pPr>
      <w:r>
        <w:rPr>
          <w:rFonts w:hint="eastAsia" w:ascii="宋体" w:hAnsi="宋体" w:cs="宋体"/>
        </w:rPr>
        <w:t>1.11.3</w:t>
      </w:r>
      <w:r>
        <w:rPr>
          <w:rFonts w:hint="eastAsia" w:ascii="宋体" w:hAnsi="宋体" w:cs="宋体"/>
          <w:bCs/>
        </w:rPr>
        <w:t xml:space="preserve"> 招标文件中如有描述歧义或前后不一致的地方，评标委员会有权按公平、合理的原则进行评判，但对同一条款的评判适用于每个投标人。</w:t>
      </w:r>
    </w:p>
    <w:p>
      <w:pPr>
        <w:pStyle w:val="88"/>
        <w:snapToGrid w:val="0"/>
        <w:spacing w:line="300" w:lineRule="auto"/>
        <w:ind w:firstLine="420"/>
        <w:rPr>
          <w:rFonts w:ascii="宋体" w:hAnsi="宋体" w:cs="宋体"/>
        </w:rPr>
      </w:pPr>
      <w:r>
        <w:rPr>
          <w:rFonts w:hint="eastAsia" w:ascii="宋体" w:hAnsi="宋体" w:cs="宋体"/>
          <w:bCs/>
        </w:rPr>
        <w:t>1.11.4投标文件的响应内容必须真实、明确、准确。否则，评标委员会将对其作出不利的评审。</w:t>
      </w:r>
    </w:p>
    <w:p>
      <w:pPr>
        <w:adjustRightInd w:val="0"/>
        <w:snapToGrid w:val="0"/>
        <w:spacing w:line="300" w:lineRule="auto"/>
        <w:ind w:firstLine="420" w:firstLineChars="200"/>
        <w:rPr>
          <w:rFonts w:ascii="宋体" w:hAnsi="宋体" w:cs="宋体"/>
        </w:rPr>
      </w:pPr>
      <w:r>
        <w:rPr>
          <w:rFonts w:hint="eastAsia" w:ascii="宋体" w:hAnsi="宋体" w:cs="宋体"/>
        </w:rPr>
        <w:t>1.</w:t>
      </w:r>
      <w:r>
        <w:rPr>
          <w:rFonts w:hint="eastAsia" w:ascii="宋体" w:hAnsi="宋体" w:cs="宋体"/>
          <w:bCs/>
        </w:rPr>
        <w:t>11.5乙</w:t>
      </w:r>
      <w:r>
        <w:rPr>
          <w:rFonts w:hint="eastAsia" w:ascii="宋体" w:hAnsi="宋体" w:cs="宋体"/>
        </w:rPr>
        <w:t>方为履行合同引起的相关人员的差旅费、食宿费以及其它费用由乙方自理。合同实施过程中，须与甲方积极配合。</w:t>
      </w:r>
    </w:p>
    <w:p>
      <w:pPr>
        <w:adjustRightInd w:val="0"/>
        <w:snapToGrid w:val="0"/>
        <w:spacing w:line="300" w:lineRule="auto"/>
        <w:ind w:firstLine="420" w:firstLineChars="200"/>
        <w:rPr>
          <w:rFonts w:ascii="宋体" w:hAnsi="宋体" w:cs="宋体"/>
        </w:rPr>
      </w:pPr>
      <w:r>
        <w:rPr>
          <w:rFonts w:hint="eastAsia" w:ascii="宋体" w:hAnsi="宋体" w:cs="宋体"/>
        </w:rPr>
        <w:t>1.11.6项目资金为财政性投资，资金已落实。</w:t>
      </w:r>
    </w:p>
    <w:p>
      <w:pPr>
        <w:adjustRightInd w:val="0"/>
        <w:snapToGrid w:val="0"/>
        <w:spacing w:line="300" w:lineRule="auto"/>
        <w:ind w:firstLine="420" w:firstLineChars="200"/>
        <w:rPr>
          <w:rFonts w:ascii="宋体" w:hAnsi="宋体" w:cs="宋体"/>
        </w:rPr>
      </w:pPr>
      <w:r>
        <w:rPr>
          <w:rFonts w:hint="eastAsia" w:ascii="宋体" w:hAnsi="宋体" w:cs="宋体"/>
        </w:rPr>
        <w:t>1.11.7投标人须对所投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adjustRightInd w:val="0"/>
        <w:snapToGrid w:val="0"/>
        <w:spacing w:line="300" w:lineRule="auto"/>
        <w:ind w:firstLine="422" w:firstLineChars="200"/>
        <w:rPr>
          <w:rFonts w:ascii="宋体" w:hAnsi="宋体" w:cs="宋体"/>
          <w:b/>
          <w:kern w:val="0"/>
          <w:szCs w:val="21"/>
          <w:u w:val="single"/>
        </w:rPr>
      </w:pPr>
      <w:r>
        <w:rPr>
          <w:rFonts w:hint="eastAsia" w:ascii="宋体" w:hAnsi="宋体" w:cs="宋体"/>
          <w:b/>
          <w:szCs w:val="21"/>
          <w:u w:val="single"/>
        </w:rPr>
        <w:t>1.11.8</w:t>
      </w:r>
      <w:r>
        <w:rPr>
          <w:rFonts w:hint="eastAsia" w:ascii="宋体" w:hAnsi="宋体" w:cs="宋体"/>
          <w:b/>
          <w:kern w:val="0"/>
          <w:u w:val="single"/>
        </w:rPr>
        <w:t>单位负责人为同一人或者存在直接控股、管理关系的不同供应商，不得参加同一合同项下的政府采购活动。违反该款规定的，相关投标均无效。</w:t>
      </w:r>
    </w:p>
    <w:p>
      <w:pPr>
        <w:adjustRightInd w:val="0"/>
        <w:snapToGrid w:val="0"/>
        <w:spacing w:line="300" w:lineRule="auto"/>
        <w:ind w:firstLine="422" w:firstLineChars="200"/>
        <w:rPr>
          <w:rFonts w:ascii="宋体" w:hAnsi="宋体" w:cs="宋体"/>
          <w:b/>
          <w:kern w:val="0"/>
          <w:u w:val="single"/>
        </w:rPr>
      </w:pPr>
      <w:r>
        <w:rPr>
          <w:rFonts w:hint="eastAsia" w:ascii="宋体" w:hAnsi="宋体" w:cs="宋体"/>
          <w:b/>
          <w:kern w:val="0"/>
          <w:szCs w:val="21"/>
          <w:u w:val="single"/>
        </w:rPr>
        <w:t>1.11.9</w:t>
      </w:r>
      <w:r>
        <w:rPr>
          <w:rFonts w:hint="eastAsia" w:ascii="宋体" w:hAnsi="宋体" w:cs="宋体"/>
          <w:b/>
          <w:kern w:val="0"/>
          <w:u w:val="single"/>
        </w:rPr>
        <w:t>为证明投标人拥有的人员、业绩、荣誉、知识产权、项目案例等而在投标文件中提供的证明材料必须为投标人自身所有。不同法人、其他组织的资料与投标人无关。</w:t>
      </w:r>
    </w:p>
    <w:p>
      <w:pPr>
        <w:adjustRightInd w:val="0"/>
        <w:snapToGrid w:val="0"/>
        <w:spacing w:line="300" w:lineRule="auto"/>
        <w:ind w:firstLine="420" w:firstLineChars="200"/>
        <w:rPr>
          <w:rFonts w:ascii="宋体" w:hAnsi="宋体" w:cs="宋体"/>
        </w:rPr>
      </w:pPr>
      <w:r>
        <w:rPr>
          <w:rFonts w:hint="eastAsia" w:ascii="宋体" w:hAnsi="宋体" w:cs="宋体"/>
        </w:rPr>
        <w:t>1.11.10供应商之间的利害关系</w:t>
      </w:r>
    </w:p>
    <w:p>
      <w:pPr>
        <w:adjustRightInd w:val="0"/>
        <w:snapToGrid w:val="0"/>
        <w:spacing w:line="300" w:lineRule="auto"/>
        <w:ind w:firstLine="420" w:firstLineChars="200"/>
        <w:rPr>
          <w:rFonts w:ascii="宋体" w:hAnsi="宋体" w:cs="宋体"/>
        </w:rPr>
      </w:pPr>
      <w:r>
        <w:rPr>
          <w:rFonts w:hint="eastAsia" w:ascii="宋体" w:hAnsi="宋体" w:cs="宋体"/>
        </w:rPr>
        <w:t>A.法定代表人或负责人或实际控制人是夫妻关系；</w:t>
      </w:r>
    </w:p>
    <w:p>
      <w:pPr>
        <w:adjustRightInd w:val="0"/>
        <w:snapToGrid w:val="0"/>
        <w:spacing w:line="300" w:lineRule="auto"/>
        <w:ind w:firstLine="420" w:firstLineChars="200"/>
        <w:rPr>
          <w:rFonts w:ascii="宋体" w:hAnsi="宋体" w:cs="宋体"/>
        </w:rPr>
      </w:pPr>
      <w:r>
        <w:rPr>
          <w:rFonts w:hint="eastAsia" w:ascii="宋体" w:hAnsi="宋体" w:cs="宋体"/>
        </w:rPr>
        <w:t>B.法定代表人或负责人或实际控制人是直系血亲关系；</w:t>
      </w:r>
    </w:p>
    <w:p>
      <w:pPr>
        <w:adjustRightInd w:val="0"/>
        <w:snapToGrid w:val="0"/>
        <w:spacing w:line="300" w:lineRule="auto"/>
        <w:ind w:firstLine="420" w:firstLineChars="200"/>
        <w:rPr>
          <w:rFonts w:ascii="宋体" w:hAnsi="宋体" w:cs="宋体"/>
        </w:rPr>
      </w:pPr>
      <w:r>
        <w:rPr>
          <w:rFonts w:hint="eastAsia" w:ascii="宋体" w:hAnsi="宋体" w:cs="宋体"/>
        </w:rPr>
        <w:t>C.法定代表人或负责人或实际控制人存在三代以内旁系血亲关系；</w:t>
      </w:r>
    </w:p>
    <w:p>
      <w:pPr>
        <w:adjustRightInd w:val="0"/>
        <w:snapToGrid w:val="0"/>
        <w:spacing w:line="300" w:lineRule="auto"/>
        <w:ind w:firstLine="420" w:firstLineChars="200"/>
        <w:rPr>
          <w:rFonts w:ascii="宋体" w:hAnsi="宋体" w:cs="宋体"/>
        </w:rPr>
      </w:pPr>
      <w:r>
        <w:rPr>
          <w:rFonts w:hint="eastAsia" w:ascii="宋体" w:hAnsi="宋体" w:cs="宋体"/>
        </w:rPr>
        <w:t>D.法定代表人或负责人或实际控制人存在近姻亲关系；</w:t>
      </w:r>
    </w:p>
    <w:p>
      <w:pPr>
        <w:adjustRightInd w:val="0"/>
        <w:snapToGrid w:val="0"/>
        <w:spacing w:line="300" w:lineRule="auto"/>
        <w:ind w:firstLine="420" w:firstLineChars="200"/>
        <w:rPr>
          <w:rFonts w:ascii="宋体" w:hAnsi="宋体" w:cs="宋体"/>
        </w:rPr>
      </w:pPr>
      <w:r>
        <w:rPr>
          <w:rFonts w:hint="eastAsia" w:ascii="宋体" w:hAnsi="宋体" w:cs="宋体"/>
        </w:rPr>
        <w:t>E.法定代表人或负责人或实际控制人存在股份控制或实际控制关系；</w:t>
      </w:r>
    </w:p>
    <w:p>
      <w:pPr>
        <w:adjustRightInd w:val="0"/>
        <w:snapToGrid w:val="0"/>
        <w:spacing w:line="300" w:lineRule="auto"/>
        <w:ind w:firstLine="420" w:firstLineChars="200"/>
        <w:rPr>
          <w:rFonts w:ascii="宋体" w:hAnsi="宋体" w:cs="宋体"/>
        </w:rPr>
      </w:pPr>
      <w:r>
        <w:rPr>
          <w:rFonts w:hint="eastAsia" w:ascii="宋体" w:hAnsi="宋体" w:cs="宋体"/>
        </w:rPr>
        <w:t>F.存在共同直接或间接投资设立子公司、联营企业和合营企业情况；</w:t>
      </w:r>
    </w:p>
    <w:p>
      <w:pPr>
        <w:adjustRightInd w:val="0"/>
        <w:snapToGrid w:val="0"/>
        <w:spacing w:line="300" w:lineRule="auto"/>
        <w:ind w:firstLine="420" w:firstLineChars="200"/>
        <w:rPr>
          <w:rFonts w:ascii="宋体" w:hAnsi="宋体" w:cs="宋体"/>
        </w:rPr>
      </w:pPr>
      <w:r>
        <w:rPr>
          <w:rFonts w:hint="eastAsia" w:ascii="宋体" w:hAnsi="宋体" w:cs="宋体"/>
        </w:rPr>
        <w:t>G.存在分级代理或代销关系、同一生产制造商关系、管理关系、重要业务（占主营业务收入50%以上）或重要财务往来关系（如融资）等其他实质性控制关系；</w:t>
      </w:r>
    </w:p>
    <w:p>
      <w:pPr>
        <w:adjustRightInd w:val="0"/>
        <w:snapToGrid w:val="0"/>
        <w:spacing w:line="300" w:lineRule="auto"/>
        <w:ind w:firstLine="420" w:firstLineChars="200"/>
        <w:rPr>
          <w:rFonts w:ascii="宋体" w:hAnsi="宋体" w:cs="宋体"/>
          <w:szCs w:val="21"/>
        </w:rPr>
      </w:pPr>
      <w:r>
        <w:rPr>
          <w:rFonts w:hint="eastAsia" w:ascii="宋体" w:hAnsi="宋体" w:cs="宋体"/>
          <w:szCs w:val="21"/>
        </w:rPr>
        <w:t>如供应商之间存在以上利害关系并且存在影响政府采购</w:t>
      </w:r>
      <w:r>
        <w:rPr>
          <w:rFonts w:hint="eastAsia" w:ascii="宋体" w:hAnsi="宋体" w:cs="宋体"/>
        </w:rPr>
        <w:t>公平竞争</w:t>
      </w:r>
      <w:r>
        <w:rPr>
          <w:rFonts w:hint="eastAsia" w:ascii="宋体" w:hAnsi="宋体" w:cs="宋体"/>
          <w:szCs w:val="21"/>
        </w:rPr>
        <w:t>的行为的相关供应商的投标均无效。</w:t>
      </w:r>
    </w:p>
    <w:p>
      <w:pPr>
        <w:pStyle w:val="5"/>
        <w:ind w:firstLine="422"/>
        <w:rPr>
          <w:rFonts w:ascii="宋体" w:hAnsi="宋体" w:cs="宋体"/>
        </w:rPr>
      </w:pPr>
      <w:r>
        <w:rPr>
          <w:rFonts w:hint="eastAsia" w:ascii="宋体" w:hAnsi="宋体" w:cs="宋体"/>
        </w:rPr>
        <w:t>二、招标文件</w:t>
      </w:r>
      <w:bookmarkEnd w:id="38"/>
      <w:bookmarkEnd w:id="39"/>
    </w:p>
    <w:p>
      <w:pPr>
        <w:pStyle w:val="7"/>
        <w:ind w:firstLine="422"/>
        <w:rPr>
          <w:rFonts w:ascii="宋体" w:hAnsi="宋体" w:cs="宋体"/>
        </w:rPr>
      </w:pPr>
      <w:bookmarkStart w:id="40" w:name="_Toc82873324"/>
      <w:bookmarkStart w:id="41" w:name="_Toc82338241"/>
      <w:r>
        <w:rPr>
          <w:rFonts w:hint="eastAsia" w:ascii="宋体" w:hAnsi="宋体" w:cs="宋体"/>
        </w:rPr>
        <w:t>2.1 招标文件组成</w:t>
      </w:r>
    </w:p>
    <w:p>
      <w:pPr>
        <w:pStyle w:val="88"/>
        <w:spacing w:line="300" w:lineRule="auto"/>
        <w:ind w:firstLine="420"/>
        <w:rPr>
          <w:rFonts w:ascii="宋体" w:hAnsi="宋体" w:cs="宋体"/>
        </w:rPr>
      </w:pPr>
      <w:r>
        <w:rPr>
          <w:rFonts w:hint="eastAsia" w:ascii="宋体" w:hAnsi="宋体" w:cs="宋体"/>
        </w:rPr>
        <w:t>2.1.1第一章 采购公告</w:t>
      </w:r>
    </w:p>
    <w:p>
      <w:pPr>
        <w:pStyle w:val="88"/>
        <w:spacing w:line="300" w:lineRule="auto"/>
        <w:ind w:firstLine="420"/>
        <w:rPr>
          <w:rFonts w:ascii="宋体" w:hAnsi="宋体" w:cs="宋体"/>
        </w:rPr>
      </w:pPr>
      <w:r>
        <w:rPr>
          <w:rFonts w:hint="eastAsia" w:ascii="宋体" w:hAnsi="宋体" w:cs="宋体"/>
        </w:rPr>
        <w:t>2.1.2第二章 采购需求总体要求</w:t>
      </w:r>
    </w:p>
    <w:p>
      <w:pPr>
        <w:pStyle w:val="88"/>
        <w:spacing w:line="300" w:lineRule="auto"/>
        <w:ind w:firstLine="420"/>
        <w:rPr>
          <w:rFonts w:ascii="宋体" w:hAnsi="宋体" w:cs="宋体"/>
        </w:rPr>
      </w:pPr>
      <w:r>
        <w:rPr>
          <w:rFonts w:hint="eastAsia" w:ascii="宋体" w:hAnsi="宋体" w:cs="宋体"/>
        </w:rPr>
        <w:t>2.1.3第三章 采购需求具体要求</w:t>
      </w:r>
    </w:p>
    <w:p>
      <w:pPr>
        <w:pStyle w:val="88"/>
        <w:spacing w:line="300" w:lineRule="auto"/>
        <w:ind w:firstLine="420"/>
        <w:rPr>
          <w:rFonts w:ascii="宋体" w:hAnsi="宋体" w:cs="宋体"/>
        </w:rPr>
      </w:pPr>
      <w:r>
        <w:rPr>
          <w:rFonts w:hint="eastAsia" w:ascii="宋体" w:hAnsi="宋体" w:cs="宋体"/>
        </w:rPr>
        <w:t>2.1.4第四章 采购合同</w:t>
      </w:r>
    </w:p>
    <w:p>
      <w:pPr>
        <w:pStyle w:val="88"/>
        <w:spacing w:line="300" w:lineRule="auto"/>
        <w:ind w:firstLine="420"/>
        <w:rPr>
          <w:rFonts w:ascii="宋体" w:hAnsi="宋体" w:cs="宋体"/>
        </w:rPr>
      </w:pPr>
      <w:r>
        <w:rPr>
          <w:rFonts w:hint="eastAsia" w:ascii="宋体" w:hAnsi="宋体" w:cs="宋体"/>
        </w:rPr>
        <w:t>2.1.5第五章 评标办法</w:t>
      </w:r>
    </w:p>
    <w:p>
      <w:pPr>
        <w:pStyle w:val="88"/>
        <w:spacing w:line="300" w:lineRule="auto"/>
        <w:ind w:firstLine="420"/>
        <w:rPr>
          <w:rFonts w:ascii="宋体" w:hAnsi="宋体" w:cs="宋体"/>
        </w:rPr>
      </w:pPr>
      <w:r>
        <w:rPr>
          <w:rFonts w:hint="eastAsia" w:ascii="宋体" w:hAnsi="宋体" w:cs="宋体"/>
        </w:rPr>
        <w:t>2.1.6第六章 投标人须知</w:t>
      </w:r>
    </w:p>
    <w:p>
      <w:pPr>
        <w:pStyle w:val="88"/>
        <w:spacing w:line="300" w:lineRule="auto"/>
        <w:ind w:firstLine="420"/>
        <w:rPr>
          <w:rFonts w:ascii="宋体" w:hAnsi="宋体" w:cs="宋体"/>
        </w:rPr>
      </w:pPr>
      <w:r>
        <w:rPr>
          <w:rFonts w:hint="eastAsia" w:ascii="宋体" w:hAnsi="宋体" w:cs="宋体"/>
        </w:rPr>
        <w:t>2.1.7第七章 投标文件格式</w:t>
      </w:r>
    </w:p>
    <w:p>
      <w:pPr>
        <w:pStyle w:val="88"/>
        <w:spacing w:line="300" w:lineRule="auto"/>
        <w:ind w:firstLine="420"/>
        <w:rPr>
          <w:rFonts w:ascii="宋体" w:hAnsi="宋体" w:cs="宋体"/>
        </w:rPr>
      </w:pPr>
      <w:r>
        <w:rPr>
          <w:rFonts w:hint="eastAsia" w:ascii="宋体" w:hAnsi="宋体" w:cs="宋体"/>
        </w:rPr>
        <w:t>2.1.8补充文件</w:t>
      </w:r>
    </w:p>
    <w:p>
      <w:pPr>
        <w:pStyle w:val="7"/>
        <w:ind w:firstLine="422"/>
        <w:rPr>
          <w:rFonts w:ascii="宋体" w:hAnsi="宋体" w:cs="宋体"/>
        </w:rPr>
      </w:pPr>
      <w:r>
        <w:rPr>
          <w:rFonts w:hint="eastAsia" w:ascii="宋体" w:hAnsi="宋体" w:cs="宋体"/>
        </w:rPr>
        <w:t>2.2 招标文件的解释权</w:t>
      </w:r>
    </w:p>
    <w:p>
      <w:pPr>
        <w:pStyle w:val="88"/>
        <w:snapToGrid w:val="0"/>
        <w:spacing w:line="300" w:lineRule="auto"/>
        <w:ind w:firstLine="420"/>
        <w:rPr>
          <w:rFonts w:ascii="宋体" w:hAnsi="宋体" w:cs="宋体"/>
        </w:rPr>
      </w:pPr>
      <w:r>
        <w:rPr>
          <w:rFonts w:hint="eastAsia" w:ascii="宋体" w:hAnsi="宋体" w:cs="宋体"/>
        </w:rPr>
        <w:t>招标文件的解释权均属于采购代理机构和杭州殡仪馆。</w:t>
      </w:r>
    </w:p>
    <w:p>
      <w:pPr>
        <w:pStyle w:val="7"/>
        <w:ind w:firstLine="422"/>
        <w:rPr>
          <w:rFonts w:ascii="宋体" w:hAnsi="宋体" w:cs="宋体"/>
        </w:rPr>
      </w:pPr>
      <w:r>
        <w:rPr>
          <w:rFonts w:hint="eastAsia" w:ascii="宋体" w:hAnsi="宋体" w:cs="宋体"/>
        </w:rPr>
        <w:t>2.3 招标文件的质疑</w:t>
      </w:r>
    </w:p>
    <w:p>
      <w:pPr>
        <w:pStyle w:val="88"/>
        <w:snapToGrid w:val="0"/>
        <w:spacing w:line="300" w:lineRule="auto"/>
        <w:ind w:firstLine="420"/>
        <w:rPr>
          <w:rFonts w:ascii="宋体" w:hAnsi="宋体" w:cs="宋体"/>
        </w:rPr>
      </w:pPr>
      <w:r>
        <w:rPr>
          <w:rFonts w:hint="eastAsia" w:ascii="宋体" w:hAnsi="宋体" w:cs="宋体"/>
        </w:rPr>
        <w:t>2.3.1投标人认为招标文件规定内容使自己的合法权益受到损害的，投标人可以提出书面质疑。</w:t>
      </w:r>
    </w:p>
    <w:p>
      <w:pPr>
        <w:pStyle w:val="88"/>
        <w:snapToGrid w:val="0"/>
        <w:spacing w:line="300" w:lineRule="auto"/>
        <w:ind w:firstLine="420"/>
        <w:rPr>
          <w:rFonts w:ascii="宋体" w:hAnsi="宋体" w:cs="宋体"/>
        </w:rPr>
      </w:pPr>
      <w:r>
        <w:rPr>
          <w:rFonts w:hint="eastAsia" w:ascii="宋体" w:hAnsi="宋体" w:cs="宋体"/>
        </w:rPr>
        <w:t>2.3.2质疑书须包括以下内容：</w:t>
      </w:r>
    </w:p>
    <w:p>
      <w:pPr>
        <w:pStyle w:val="88"/>
        <w:snapToGrid w:val="0"/>
        <w:spacing w:line="300" w:lineRule="auto"/>
        <w:ind w:firstLine="420"/>
        <w:rPr>
          <w:rFonts w:ascii="宋体" w:hAnsi="宋体" w:cs="宋体"/>
        </w:rPr>
      </w:pPr>
      <w:r>
        <w:rPr>
          <w:rFonts w:hint="eastAsia" w:ascii="宋体" w:hAnsi="宋体" w:cs="宋体"/>
        </w:rPr>
        <w:t>（一）质疑人的名称、地址、邮政编码、联系人、联系电话；</w:t>
      </w:r>
    </w:p>
    <w:p>
      <w:pPr>
        <w:pStyle w:val="88"/>
        <w:snapToGrid w:val="0"/>
        <w:spacing w:line="300" w:lineRule="auto"/>
        <w:ind w:firstLine="420"/>
        <w:rPr>
          <w:rFonts w:ascii="宋体" w:hAnsi="宋体" w:cs="宋体"/>
        </w:rPr>
      </w:pPr>
      <w:r>
        <w:rPr>
          <w:rFonts w:hint="eastAsia" w:ascii="宋体" w:hAnsi="宋体" w:cs="宋体"/>
        </w:rPr>
        <w:t>（二）被质疑采购项目名称、编号及采购内容；</w:t>
      </w:r>
    </w:p>
    <w:p>
      <w:pPr>
        <w:pStyle w:val="88"/>
        <w:snapToGrid w:val="0"/>
        <w:spacing w:line="300" w:lineRule="auto"/>
        <w:ind w:firstLine="420"/>
        <w:rPr>
          <w:rFonts w:ascii="宋体" w:hAnsi="宋体" w:cs="宋体"/>
        </w:rPr>
      </w:pPr>
      <w:r>
        <w:rPr>
          <w:rFonts w:hint="eastAsia" w:ascii="宋体" w:hAnsi="宋体" w:cs="宋体"/>
        </w:rPr>
        <w:t>（三）具体的质疑事项及事实依据；</w:t>
      </w:r>
    </w:p>
    <w:p>
      <w:pPr>
        <w:pStyle w:val="88"/>
        <w:snapToGrid w:val="0"/>
        <w:spacing w:line="300" w:lineRule="auto"/>
        <w:ind w:firstLine="420"/>
        <w:rPr>
          <w:rFonts w:ascii="宋体" w:hAnsi="宋体" w:cs="宋体"/>
        </w:rPr>
      </w:pPr>
      <w:r>
        <w:rPr>
          <w:rFonts w:hint="eastAsia" w:ascii="宋体" w:hAnsi="宋体" w:cs="宋体"/>
        </w:rPr>
        <w:t>（四）认为自己合法权益受到损害或可能受到损害的相关证据材料；</w:t>
      </w:r>
    </w:p>
    <w:p>
      <w:pPr>
        <w:pStyle w:val="88"/>
        <w:snapToGrid w:val="0"/>
        <w:spacing w:line="300" w:lineRule="auto"/>
        <w:ind w:firstLine="420"/>
        <w:rPr>
          <w:rFonts w:ascii="宋体" w:hAnsi="宋体" w:cs="宋体"/>
        </w:rPr>
      </w:pPr>
      <w:r>
        <w:rPr>
          <w:rFonts w:hint="eastAsia" w:ascii="宋体" w:hAnsi="宋体" w:cs="宋体"/>
        </w:rPr>
        <w:t>（五）提出质疑的日期。</w:t>
      </w:r>
    </w:p>
    <w:p>
      <w:pPr>
        <w:pStyle w:val="88"/>
        <w:snapToGrid w:val="0"/>
        <w:spacing w:line="300" w:lineRule="auto"/>
        <w:ind w:firstLine="420"/>
        <w:rPr>
          <w:rFonts w:ascii="宋体" w:hAnsi="宋体" w:cs="宋体"/>
        </w:rPr>
      </w:pPr>
      <w:r>
        <w:rPr>
          <w:rFonts w:hint="eastAsia" w:ascii="宋体" w:hAnsi="宋体" w:cs="宋体"/>
        </w:rPr>
        <w:t>2.3.3质疑期限为投标人收到招标文件之日或者招标公告期限届满之日起7个工作日内向采购代理机构提出。</w:t>
      </w:r>
    </w:p>
    <w:p>
      <w:pPr>
        <w:pStyle w:val="88"/>
        <w:snapToGrid w:val="0"/>
        <w:spacing w:line="300" w:lineRule="auto"/>
        <w:ind w:firstLine="420"/>
        <w:rPr>
          <w:rFonts w:ascii="宋体" w:hAnsi="宋体" w:cs="宋体"/>
        </w:rPr>
      </w:pPr>
      <w:r>
        <w:rPr>
          <w:rFonts w:hint="eastAsia" w:ascii="宋体" w:hAnsi="宋体" w:cs="宋体"/>
        </w:rPr>
        <w:t>2.3.4质疑书中涉及的相关材料中有外文资料的，应当将与质疑相关的外文资料完整、客观、真实地翻译为中文，并注明翻译人员姓名、工作单位、联系方式等信息。</w:t>
      </w:r>
    </w:p>
    <w:p>
      <w:pPr>
        <w:pStyle w:val="88"/>
        <w:snapToGrid w:val="0"/>
        <w:spacing w:line="300" w:lineRule="auto"/>
        <w:ind w:firstLine="420"/>
        <w:rPr>
          <w:rFonts w:ascii="宋体" w:hAnsi="宋体" w:cs="宋体"/>
        </w:rPr>
      </w:pPr>
      <w:r>
        <w:rPr>
          <w:rFonts w:hint="eastAsia" w:ascii="宋体" w:hAnsi="宋体" w:cs="宋体"/>
        </w:rPr>
        <w:t>2.3.5质疑书必须署名，由法定代表人签字（或盖章）并加盖单位公章，否则不予受理。</w:t>
      </w:r>
    </w:p>
    <w:p>
      <w:pPr>
        <w:pStyle w:val="88"/>
        <w:snapToGrid w:val="0"/>
        <w:spacing w:line="300" w:lineRule="auto"/>
        <w:ind w:firstLine="420"/>
        <w:rPr>
          <w:rFonts w:ascii="宋体" w:hAnsi="宋体" w:cs="宋体"/>
        </w:rPr>
      </w:pPr>
      <w:r>
        <w:rPr>
          <w:rFonts w:hint="eastAsia" w:ascii="宋体" w:hAnsi="宋体" w:cs="宋体"/>
        </w:rPr>
        <w:t>2.3.6质疑书以直接提交、传真或邮寄方式提交（一式三份）。</w:t>
      </w:r>
    </w:p>
    <w:p>
      <w:pPr>
        <w:pStyle w:val="88"/>
        <w:snapToGrid w:val="0"/>
        <w:spacing w:line="300" w:lineRule="auto"/>
        <w:ind w:firstLine="420"/>
        <w:rPr>
          <w:rFonts w:ascii="宋体" w:hAnsi="宋体" w:cs="宋体"/>
        </w:rPr>
      </w:pPr>
      <w:r>
        <w:rPr>
          <w:rFonts w:hint="eastAsia" w:ascii="宋体" w:hAnsi="宋体" w:cs="宋体"/>
        </w:rPr>
        <w:t>2.3.7质疑书以传真形式提交后，同时须向采购代理机构提交质疑书原件，实际收到原件之日作为收到质疑日。</w:t>
      </w:r>
    </w:p>
    <w:p>
      <w:pPr>
        <w:pStyle w:val="7"/>
        <w:ind w:firstLine="422"/>
        <w:rPr>
          <w:rFonts w:ascii="宋体" w:hAnsi="宋体" w:cs="宋体"/>
        </w:rPr>
      </w:pPr>
      <w:r>
        <w:rPr>
          <w:rFonts w:hint="eastAsia" w:ascii="宋体" w:hAnsi="宋体" w:cs="宋体"/>
        </w:rPr>
        <w:t>2.4 招标文件的澄清</w:t>
      </w:r>
    </w:p>
    <w:p>
      <w:pPr>
        <w:pStyle w:val="88"/>
        <w:snapToGrid w:val="0"/>
        <w:spacing w:line="300" w:lineRule="auto"/>
        <w:ind w:firstLine="420"/>
        <w:rPr>
          <w:rFonts w:ascii="宋体" w:hAnsi="宋体" w:cs="宋体"/>
        </w:rPr>
      </w:pPr>
      <w:r>
        <w:rPr>
          <w:rFonts w:hint="eastAsia" w:ascii="宋体" w:hAnsi="宋体" w:cs="宋体"/>
        </w:rPr>
        <w:t>2.4.1投标人对招标文件如有疑问要求澄清，或认为有必要与采购代理机构进行技术交流，投标人需将书面资料传真或送达至采购代理机构，同时将电子文件发至投标人须知前附表注明的邮箱（电子邮件与书面文件有不一致的，以书面文件为准），并与采购代理机构进行确认。</w:t>
      </w:r>
    </w:p>
    <w:p>
      <w:pPr>
        <w:pStyle w:val="88"/>
        <w:snapToGrid w:val="0"/>
        <w:spacing w:line="300" w:lineRule="auto"/>
        <w:ind w:firstLine="420"/>
        <w:rPr>
          <w:rFonts w:ascii="宋体" w:hAnsi="宋体" w:cs="宋体"/>
        </w:rPr>
      </w:pPr>
      <w:r>
        <w:rPr>
          <w:rFonts w:hint="eastAsia" w:ascii="宋体" w:hAnsi="宋体" w:cs="宋体"/>
        </w:rPr>
        <w:t>2.4.2 投标人要求澄清的资料应加盖单位公章、写明日期。</w:t>
      </w:r>
    </w:p>
    <w:p>
      <w:pPr>
        <w:pStyle w:val="88"/>
        <w:snapToGrid w:val="0"/>
        <w:spacing w:line="300" w:lineRule="auto"/>
        <w:ind w:firstLine="420"/>
        <w:rPr>
          <w:rFonts w:ascii="宋体" w:hAnsi="宋体" w:cs="宋体"/>
        </w:rPr>
      </w:pPr>
      <w:r>
        <w:rPr>
          <w:rFonts w:hint="eastAsia" w:ascii="宋体" w:hAnsi="宋体" w:cs="宋体"/>
        </w:rPr>
        <w:t>2.4.3 如有必要，采购代理机构和采购人对投标人所有要求澄清的问题都予以解答，澄清答复的文件为补充文件，作为招标文件的组成部分，补充文件将以传真、网上公告等形式告知所有获取招标文件的投标人，补充文件对投标人均有约束力。</w:t>
      </w:r>
    </w:p>
    <w:p>
      <w:pPr>
        <w:pStyle w:val="88"/>
        <w:snapToGrid w:val="0"/>
        <w:spacing w:line="300" w:lineRule="auto"/>
        <w:ind w:firstLine="420"/>
        <w:rPr>
          <w:rFonts w:ascii="宋体" w:hAnsi="宋体" w:cs="宋体"/>
        </w:rPr>
      </w:pPr>
      <w:r>
        <w:rPr>
          <w:rFonts w:hint="eastAsia" w:ascii="宋体" w:hAnsi="宋体" w:cs="宋体"/>
        </w:rPr>
        <w:t>2.4.4</w:t>
      </w:r>
      <w:r>
        <w:rPr>
          <w:rFonts w:hint="eastAsia" w:ascii="宋体" w:hAnsi="宋体" w:cs="宋体"/>
          <w:szCs w:val="21"/>
        </w:rPr>
        <w:t>澄清内容可能影响投标文件编制的，采购人或者采购代理机构在投标截止时间至少15日前，在财政部门指定的政府采购信息发布媒体上发布更正公告，并以书面形式通知所有获取招标文件的潜在投标人；不足15日的，采购人或者采购代理机构将顺延提交投标文件的截止时间。</w:t>
      </w:r>
    </w:p>
    <w:p>
      <w:pPr>
        <w:pStyle w:val="88"/>
        <w:snapToGrid w:val="0"/>
        <w:spacing w:line="300" w:lineRule="auto"/>
        <w:ind w:firstLine="420"/>
        <w:rPr>
          <w:rFonts w:ascii="宋体" w:hAnsi="宋体" w:cs="宋体"/>
        </w:rPr>
      </w:pPr>
      <w:r>
        <w:rPr>
          <w:rFonts w:hint="eastAsia" w:ascii="宋体" w:hAnsi="宋体" w:cs="宋体"/>
        </w:rPr>
        <w:t>2.4.5投标人在收到补充文件后，应在24小时内以书面形式向采购代理机构确认已收到该补充文件。</w:t>
      </w:r>
    </w:p>
    <w:p>
      <w:pPr>
        <w:pStyle w:val="88"/>
        <w:snapToGrid w:val="0"/>
        <w:spacing w:line="300" w:lineRule="auto"/>
        <w:ind w:firstLine="420"/>
        <w:rPr>
          <w:rFonts w:ascii="宋体" w:hAnsi="宋体" w:cs="宋体"/>
        </w:rPr>
      </w:pPr>
      <w:r>
        <w:rPr>
          <w:rFonts w:hint="eastAsia" w:ascii="宋体" w:hAnsi="宋体" w:cs="宋体"/>
        </w:rPr>
        <w:t>2.4.6当招标文件与补充文件就同一内容的表述不一致时，以最后发出的书面文件为准。</w:t>
      </w:r>
    </w:p>
    <w:p>
      <w:pPr>
        <w:pStyle w:val="7"/>
        <w:ind w:firstLine="422"/>
        <w:rPr>
          <w:rFonts w:ascii="宋体" w:hAnsi="宋体" w:cs="宋体"/>
        </w:rPr>
      </w:pPr>
      <w:r>
        <w:rPr>
          <w:rFonts w:hint="eastAsia" w:ascii="宋体" w:hAnsi="宋体" w:cs="宋体"/>
        </w:rPr>
        <w:t>2.5 招标文件的修改</w:t>
      </w:r>
    </w:p>
    <w:p>
      <w:pPr>
        <w:pStyle w:val="88"/>
        <w:snapToGrid w:val="0"/>
        <w:spacing w:line="300" w:lineRule="auto"/>
        <w:ind w:firstLine="420"/>
        <w:rPr>
          <w:rFonts w:ascii="宋体" w:hAnsi="宋体" w:cs="宋体"/>
        </w:rPr>
      </w:pPr>
      <w:r>
        <w:rPr>
          <w:rFonts w:hint="eastAsia" w:ascii="宋体" w:hAnsi="宋体" w:cs="宋体"/>
        </w:rPr>
        <w:t>2.5.1 在投标截止时间前，由于各种原因采购人可能以补充文件的形式修改完善招标文件。</w:t>
      </w:r>
    </w:p>
    <w:p>
      <w:pPr>
        <w:pStyle w:val="88"/>
        <w:snapToGrid w:val="0"/>
        <w:spacing w:line="300" w:lineRule="auto"/>
        <w:ind w:firstLine="420"/>
        <w:rPr>
          <w:rFonts w:ascii="宋体" w:hAnsi="宋体" w:cs="宋体"/>
        </w:rPr>
      </w:pPr>
      <w:r>
        <w:rPr>
          <w:rFonts w:hint="eastAsia" w:ascii="宋体" w:hAnsi="宋体" w:cs="宋体"/>
        </w:rPr>
        <w:t>2.5.2补充文件作为招标文件组成部分，补充文件将以传真、网上公告等形式告知所有获取招标文件的投标人，补充文件对投标人均有约束力。</w:t>
      </w:r>
    </w:p>
    <w:p>
      <w:pPr>
        <w:pStyle w:val="88"/>
        <w:snapToGrid w:val="0"/>
        <w:spacing w:line="300" w:lineRule="auto"/>
        <w:ind w:firstLine="420"/>
        <w:rPr>
          <w:rFonts w:ascii="宋体" w:hAnsi="宋体" w:cs="宋体"/>
        </w:rPr>
      </w:pPr>
      <w:r>
        <w:rPr>
          <w:rFonts w:hint="eastAsia" w:ascii="宋体" w:hAnsi="宋体" w:cs="宋体"/>
        </w:rPr>
        <w:t>2.5.3</w:t>
      </w:r>
      <w:r>
        <w:rPr>
          <w:rFonts w:hint="eastAsia" w:ascii="宋体" w:hAnsi="宋体" w:cs="宋体"/>
          <w:szCs w:val="21"/>
        </w:rPr>
        <w:t>修改的内容可能影响投标文件编制的，采购人或者采购代理机构在投标截止时间至少15日前，在财政部门指定的政府采购信息发布媒体上发布更正公告，并以书面形式通知所有获取招标文件的潜在投标人；不足15日的，采购人或者采购代理机构将顺延提交投标文件的截止时间。</w:t>
      </w:r>
    </w:p>
    <w:p>
      <w:pPr>
        <w:pStyle w:val="88"/>
        <w:snapToGrid w:val="0"/>
        <w:spacing w:line="300" w:lineRule="auto"/>
        <w:ind w:firstLine="420"/>
        <w:rPr>
          <w:rFonts w:ascii="宋体" w:hAnsi="宋体" w:cs="宋体"/>
        </w:rPr>
      </w:pPr>
      <w:r>
        <w:rPr>
          <w:rFonts w:hint="eastAsia" w:ascii="宋体" w:hAnsi="宋体" w:cs="宋体"/>
        </w:rPr>
        <w:t>2.5.4投标人在收到补充文件后，应在24小时内以书面形式向采购代理机构确认已收到该补充文件。</w:t>
      </w:r>
    </w:p>
    <w:p>
      <w:pPr>
        <w:pStyle w:val="88"/>
        <w:snapToGrid w:val="0"/>
        <w:spacing w:line="300" w:lineRule="auto"/>
        <w:ind w:firstLine="420"/>
        <w:rPr>
          <w:rFonts w:ascii="宋体" w:hAnsi="宋体" w:cs="宋体"/>
        </w:rPr>
      </w:pPr>
      <w:r>
        <w:rPr>
          <w:rFonts w:hint="eastAsia" w:ascii="宋体" w:hAnsi="宋体" w:cs="宋体"/>
        </w:rPr>
        <w:t>2.5.5投标人收到补充文件后，对补充文件如有疑问要求澄清，应在24小时内将书面资料传真或送达至采购代理机构，同时将电子文件发至投标人须知前附表注明的邮箱（电子邮件与书面文件有不一致的，以书面文件为准），并与采购代理机构进行确认。</w:t>
      </w:r>
    </w:p>
    <w:p>
      <w:pPr>
        <w:pStyle w:val="88"/>
        <w:snapToGrid w:val="0"/>
        <w:spacing w:line="300" w:lineRule="auto"/>
        <w:ind w:firstLine="420"/>
        <w:rPr>
          <w:rFonts w:ascii="宋体" w:hAnsi="宋体" w:cs="宋体"/>
        </w:rPr>
      </w:pPr>
      <w:r>
        <w:rPr>
          <w:rFonts w:hint="eastAsia" w:ascii="宋体" w:hAnsi="宋体" w:cs="宋体"/>
        </w:rPr>
        <w:t>2.5.6投标人要求澄清的资料应加盖单位公章、写明日期。</w:t>
      </w:r>
    </w:p>
    <w:p>
      <w:pPr>
        <w:pStyle w:val="88"/>
        <w:snapToGrid w:val="0"/>
        <w:spacing w:line="300" w:lineRule="auto"/>
        <w:ind w:firstLine="420"/>
        <w:rPr>
          <w:rFonts w:ascii="宋体" w:hAnsi="宋体" w:cs="宋体"/>
        </w:rPr>
      </w:pPr>
      <w:r>
        <w:rPr>
          <w:rFonts w:hint="eastAsia" w:ascii="宋体" w:hAnsi="宋体" w:cs="宋体"/>
        </w:rPr>
        <w:t>2.5.7对补充文件的澄清答复按2.4款规定。</w:t>
      </w:r>
    </w:p>
    <w:p>
      <w:pPr>
        <w:pStyle w:val="88"/>
        <w:snapToGrid w:val="0"/>
        <w:spacing w:line="300" w:lineRule="auto"/>
        <w:ind w:firstLine="420"/>
        <w:rPr>
          <w:rFonts w:ascii="宋体" w:hAnsi="宋体" w:cs="宋体"/>
        </w:rPr>
      </w:pPr>
      <w:r>
        <w:rPr>
          <w:rFonts w:hint="eastAsia" w:ascii="宋体" w:hAnsi="宋体" w:cs="宋体"/>
        </w:rPr>
        <w:t>2.5.8当招标文件与补充文件就同一内容的表述不一致时，以最后发出的书面文件为准。</w:t>
      </w:r>
    </w:p>
    <w:p>
      <w:pPr>
        <w:pStyle w:val="88"/>
        <w:snapToGrid w:val="0"/>
        <w:spacing w:line="300" w:lineRule="auto"/>
        <w:ind w:firstLine="420"/>
        <w:rPr>
          <w:rFonts w:ascii="宋体" w:hAnsi="宋体" w:cs="宋体"/>
        </w:rPr>
      </w:pPr>
      <w:r>
        <w:rPr>
          <w:rFonts w:hint="eastAsia" w:ascii="宋体" w:hAnsi="宋体" w:cs="宋体"/>
        </w:rPr>
        <w:t>2.5.9任何口头答复均不属于招标文件的组成部分。</w:t>
      </w:r>
    </w:p>
    <w:p>
      <w:pPr>
        <w:pStyle w:val="5"/>
        <w:ind w:firstLine="422"/>
        <w:rPr>
          <w:rFonts w:ascii="宋体" w:hAnsi="宋体" w:cs="宋体"/>
        </w:rPr>
      </w:pPr>
      <w:r>
        <w:rPr>
          <w:rFonts w:hint="eastAsia" w:ascii="宋体" w:hAnsi="宋体" w:cs="宋体"/>
        </w:rPr>
        <w:t>三、投标文件</w:t>
      </w:r>
      <w:bookmarkEnd w:id="40"/>
      <w:bookmarkEnd w:id="41"/>
    </w:p>
    <w:p>
      <w:pPr>
        <w:pStyle w:val="7"/>
        <w:ind w:firstLine="422"/>
        <w:rPr>
          <w:rFonts w:ascii="宋体" w:hAnsi="宋体" w:cs="宋体"/>
        </w:rPr>
      </w:pPr>
      <w:r>
        <w:rPr>
          <w:rFonts w:hint="eastAsia" w:ascii="宋体" w:hAnsi="宋体" w:cs="宋体"/>
        </w:rPr>
        <w:t>3.1 投标文件</w:t>
      </w:r>
    </w:p>
    <w:p>
      <w:pPr>
        <w:pStyle w:val="88"/>
        <w:snapToGrid w:val="0"/>
        <w:spacing w:line="300" w:lineRule="auto"/>
        <w:ind w:firstLine="420"/>
        <w:rPr>
          <w:rFonts w:ascii="宋体" w:hAnsi="宋体" w:cs="宋体"/>
        </w:rPr>
      </w:pPr>
      <w:r>
        <w:rPr>
          <w:rFonts w:hint="eastAsia" w:ascii="宋体" w:hAnsi="宋体" w:cs="宋体"/>
        </w:rPr>
        <w:t>3.1.1 投标人应仔细阅读招标文件规定的所有内容，以保证能全面准确理解招标文件，并按照招标文件要求，详细编制投标文件，投标文件内容必须针对本次招标响应。</w:t>
      </w:r>
    </w:p>
    <w:p>
      <w:pPr>
        <w:pStyle w:val="88"/>
        <w:snapToGrid w:val="0"/>
        <w:spacing w:line="300" w:lineRule="auto"/>
        <w:ind w:firstLine="420"/>
        <w:rPr>
          <w:rFonts w:ascii="宋体" w:hAnsi="宋体" w:cs="宋体"/>
          <w:bCs/>
        </w:rPr>
      </w:pPr>
      <w:r>
        <w:rPr>
          <w:rFonts w:hint="eastAsia" w:ascii="宋体" w:hAnsi="宋体" w:cs="宋体"/>
        </w:rPr>
        <w:t>3.1.2投标人必须按招标文件的要求提供相关资料，并对招标文件中提出的所有内容要求给予实质性响应，须保证投标文件的准确、真实、明确</w:t>
      </w:r>
      <w:r>
        <w:rPr>
          <w:rFonts w:hint="eastAsia" w:ascii="宋体" w:hAnsi="宋体" w:cs="宋体"/>
          <w:bCs/>
        </w:rPr>
        <w:t>。投标文件响应内容对招标文件要求如有偏离均应填写偏离表，如不填写，采购人有权视作投标文件完全响应招标文件要求。</w:t>
      </w:r>
    </w:p>
    <w:p>
      <w:pPr>
        <w:pStyle w:val="7"/>
        <w:spacing w:line="360" w:lineRule="auto"/>
        <w:ind w:firstLine="422"/>
        <w:rPr>
          <w:rFonts w:ascii="宋体" w:hAnsi="宋体" w:cs="宋体"/>
        </w:rPr>
      </w:pPr>
      <w:r>
        <w:rPr>
          <w:rFonts w:hint="eastAsia" w:ascii="宋体" w:hAnsi="宋体" w:cs="宋体"/>
        </w:rPr>
        <w:t>3.2 投标文件组成（由报价文件、商务技术文件及资格文件三部分组成）</w:t>
      </w:r>
    </w:p>
    <w:p>
      <w:pPr>
        <w:pStyle w:val="88"/>
        <w:snapToGrid w:val="0"/>
        <w:spacing w:line="300" w:lineRule="auto"/>
        <w:ind w:firstLine="422"/>
        <w:rPr>
          <w:rFonts w:ascii="宋体" w:hAnsi="宋体" w:cs="宋体"/>
          <w:b/>
        </w:rPr>
      </w:pPr>
      <w:r>
        <w:rPr>
          <w:rFonts w:hint="eastAsia" w:ascii="宋体" w:hAnsi="宋体" w:cs="宋体"/>
          <w:b/>
        </w:rPr>
        <w:t>3.2.1报价文件</w:t>
      </w:r>
    </w:p>
    <w:p>
      <w:pPr>
        <w:pStyle w:val="88"/>
        <w:numPr>
          <w:ilvl w:val="0"/>
          <w:numId w:val="1"/>
        </w:numPr>
        <w:snapToGrid w:val="0"/>
        <w:spacing w:line="300" w:lineRule="auto"/>
        <w:ind w:firstLineChars="0"/>
        <w:rPr>
          <w:rFonts w:ascii="宋体" w:hAnsi="宋体" w:cs="宋体"/>
        </w:rPr>
      </w:pPr>
      <w:r>
        <w:rPr>
          <w:rFonts w:hint="eastAsia" w:ascii="宋体" w:hAnsi="宋体" w:cs="宋体"/>
        </w:rPr>
        <w:t>投标函；</w:t>
      </w:r>
    </w:p>
    <w:p>
      <w:pPr>
        <w:pStyle w:val="88"/>
        <w:numPr>
          <w:ilvl w:val="0"/>
          <w:numId w:val="1"/>
        </w:numPr>
        <w:snapToGrid w:val="0"/>
        <w:spacing w:line="300" w:lineRule="auto"/>
        <w:ind w:firstLineChars="0"/>
        <w:rPr>
          <w:rFonts w:ascii="宋体" w:hAnsi="宋体" w:cs="宋体"/>
        </w:rPr>
      </w:pPr>
      <w:r>
        <w:rPr>
          <w:rFonts w:hint="eastAsia" w:ascii="宋体" w:hAnsi="宋体" w:cs="宋体"/>
        </w:rPr>
        <w:t>开标一览表；</w:t>
      </w:r>
    </w:p>
    <w:p>
      <w:pPr>
        <w:pStyle w:val="88"/>
        <w:snapToGrid w:val="0"/>
        <w:spacing w:line="300" w:lineRule="auto"/>
        <w:ind w:firstLine="422"/>
        <w:rPr>
          <w:rFonts w:ascii="宋体" w:hAnsi="宋体" w:cs="宋体"/>
          <w:b/>
        </w:rPr>
      </w:pPr>
      <w:r>
        <w:rPr>
          <w:rFonts w:hint="eastAsia" w:ascii="宋体" w:hAnsi="宋体" w:cs="宋体"/>
          <w:b/>
        </w:rPr>
        <w:t>3.2.2商务技术文件</w:t>
      </w:r>
    </w:p>
    <w:p>
      <w:pPr>
        <w:pStyle w:val="88"/>
        <w:numPr>
          <w:ilvl w:val="0"/>
          <w:numId w:val="2"/>
        </w:numPr>
        <w:tabs>
          <w:tab w:val="left" w:pos="454"/>
          <w:tab w:val="clear" w:pos="460"/>
        </w:tabs>
        <w:snapToGrid w:val="0"/>
        <w:spacing w:line="300" w:lineRule="auto"/>
        <w:ind w:firstLineChars="0"/>
        <w:rPr>
          <w:rFonts w:ascii="宋体" w:hAnsi="宋体" w:cs="宋体"/>
        </w:rPr>
      </w:pPr>
      <w:r>
        <w:rPr>
          <w:rFonts w:hint="eastAsia" w:ascii="宋体" w:hAnsi="宋体" w:cs="宋体"/>
        </w:rPr>
        <w:t>法定代表人资格证明书；</w:t>
      </w:r>
    </w:p>
    <w:p>
      <w:pPr>
        <w:pStyle w:val="88"/>
        <w:numPr>
          <w:ilvl w:val="0"/>
          <w:numId w:val="2"/>
        </w:numPr>
        <w:tabs>
          <w:tab w:val="left" w:pos="454"/>
          <w:tab w:val="clear" w:pos="460"/>
        </w:tabs>
        <w:snapToGrid w:val="0"/>
        <w:spacing w:line="300" w:lineRule="auto"/>
        <w:ind w:firstLineChars="0"/>
        <w:rPr>
          <w:rFonts w:ascii="宋体" w:hAnsi="宋体" w:cs="宋体"/>
        </w:rPr>
      </w:pPr>
      <w:r>
        <w:rPr>
          <w:rFonts w:hint="eastAsia" w:ascii="宋体" w:hAnsi="宋体" w:cs="宋体"/>
        </w:rPr>
        <w:t>法定代表人授权委托书（另随身携带1份）（法定代表人参与不需提供此书）；</w:t>
      </w:r>
    </w:p>
    <w:p>
      <w:pPr>
        <w:pStyle w:val="88"/>
        <w:numPr>
          <w:ilvl w:val="0"/>
          <w:numId w:val="2"/>
        </w:numPr>
        <w:tabs>
          <w:tab w:val="left" w:pos="454"/>
          <w:tab w:val="clear" w:pos="460"/>
        </w:tabs>
        <w:snapToGrid w:val="0"/>
        <w:spacing w:line="300" w:lineRule="auto"/>
        <w:ind w:firstLineChars="0"/>
        <w:rPr>
          <w:rFonts w:ascii="宋体" w:hAnsi="宋体" w:cs="宋体"/>
        </w:rPr>
      </w:pPr>
      <w:r>
        <w:rPr>
          <w:rFonts w:hint="eastAsia" w:ascii="宋体" w:hAnsi="宋体" w:cs="宋体"/>
        </w:rPr>
        <w:t>投标保证金交纳凭证（本项目不设投标保证金）；</w:t>
      </w:r>
    </w:p>
    <w:p>
      <w:pPr>
        <w:pStyle w:val="88"/>
        <w:numPr>
          <w:ilvl w:val="0"/>
          <w:numId w:val="2"/>
        </w:numPr>
        <w:tabs>
          <w:tab w:val="left" w:pos="454"/>
          <w:tab w:val="clear" w:pos="460"/>
        </w:tabs>
        <w:snapToGrid w:val="0"/>
        <w:spacing w:line="300" w:lineRule="auto"/>
        <w:ind w:firstLineChars="0"/>
        <w:rPr>
          <w:rFonts w:ascii="宋体" w:hAnsi="宋体" w:cs="宋体"/>
          <w:kern w:val="0"/>
          <w:szCs w:val="21"/>
        </w:rPr>
      </w:pPr>
      <w:r>
        <w:rPr>
          <w:rFonts w:hint="eastAsia" w:ascii="宋体" w:hAnsi="宋体" w:cs="宋体"/>
          <w:kern w:val="0"/>
          <w:szCs w:val="21"/>
        </w:rPr>
        <w:t>投标产品配置、规格、技术规范和服务要求偏离表(对项目技术规范和服务要求中所提出各项要求进行逐条逐项的答复、说明和解释)；</w:t>
      </w:r>
    </w:p>
    <w:p>
      <w:pPr>
        <w:pStyle w:val="88"/>
        <w:numPr>
          <w:ilvl w:val="0"/>
          <w:numId w:val="2"/>
        </w:numPr>
        <w:tabs>
          <w:tab w:val="left" w:pos="454"/>
          <w:tab w:val="clear" w:pos="460"/>
        </w:tabs>
        <w:snapToGrid w:val="0"/>
        <w:spacing w:line="300" w:lineRule="auto"/>
        <w:ind w:firstLineChars="0"/>
        <w:rPr>
          <w:rFonts w:ascii="宋体" w:hAnsi="宋体" w:cs="宋体"/>
          <w:kern w:val="0"/>
          <w:szCs w:val="21"/>
        </w:rPr>
      </w:pPr>
      <w:r>
        <w:rPr>
          <w:rFonts w:hint="eastAsia" w:ascii="宋体" w:hAnsi="宋体" w:cs="宋体"/>
        </w:rPr>
        <w:t>资格审查资料；</w:t>
      </w:r>
    </w:p>
    <w:p>
      <w:pPr>
        <w:pStyle w:val="88"/>
        <w:numPr>
          <w:ilvl w:val="0"/>
          <w:numId w:val="2"/>
        </w:numPr>
        <w:tabs>
          <w:tab w:val="left" w:pos="454"/>
          <w:tab w:val="clear" w:pos="460"/>
        </w:tabs>
        <w:snapToGrid w:val="0"/>
        <w:spacing w:line="300" w:lineRule="auto"/>
        <w:ind w:firstLineChars="0"/>
        <w:rPr>
          <w:rFonts w:ascii="宋体" w:hAnsi="宋体" w:cs="宋体"/>
        </w:rPr>
      </w:pPr>
      <w:r>
        <w:rPr>
          <w:rFonts w:hint="eastAsia" w:ascii="宋体" w:hAnsi="宋体" w:cs="宋体"/>
          <w:kern w:val="0"/>
          <w:szCs w:val="21"/>
        </w:rPr>
        <w:t>廉政承诺书；</w:t>
      </w:r>
    </w:p>
    <w:p>
      <w:pPr>
        <w:pStyle w:val="88"/>
        <w:numPr>
          <w:ilvl w:val="0"/>
          <w:numId w:val="2"/>
        </w:numPr>
        <w:tabs>
          <w:tab w:val="left" w:pos="454"/>
          <w:tab w:val="clear" w:pos="460"/>
        </w:tabs>
        <w:snapToGrid w:val="0"/>
        <w:spacing w:line="300" w:lineRule="auto"/>
        <w:ind w:firstLineChars="0"/>
        <w:rPr>
          <w:rFonts w:ascii="宋体" w:hAnsi="宋体" w:cs="宋体"/>
        </w:rPr>
      </w:pPr>
      <w:r>
        <w:rPr>
          <w:rFonts w:hint="eastAsia" w:ascii="宋体" w:hAnsi="宋体" w:cs="宋体"/>
        </w:rPr>
        <w:t>相关业绩；</w:t>
      </w:r>
    </w:p>
    <w:p>
      <w:pPr>
        <w:pStyle w:val="88"/>
        <w:numPr>
          <w:ilvl w:val="0"/>
          <w:numId w:val="2"/>
        </w:numPr>
        <w:tabs>
          <w:tab w:val="left" w:pos="454"/>
          <w:tab w:val="clear" w:pos="460"/>
        </w:tabs>
        <w:snapToGrid w:val="0"/>
        <w:spacing w:line="300" w:lineRule="auto"/>
        <w:ind w:firstLineChars="0"/>
        <w:rPr>
          <w:rFonts w:ascii="宋体" w:hAnsi="宋体" w:cs="宋体"/>
          <w:kern w:val="0"/>
          <w:szCs w:val="21"/>
        </w:rPr>
      </w:pPr>
      <w:r>
        <w:rPr>
          <w:rFonts w:hint="eastAsia" w:ascii="宋体" w:hAnsi="宋体" w:cs="宋体"/>
          <w:kern w:val="0"/>
          <w:szCs w:val="21"/>
        </w:rPr>
        <w:t>技术服务响应方案；</w:t>
      </w:r>
    </w:p>
    <w:p>
      <w:pPr>
        <w:pStyle w:val="88"/>
        <w:numPr>
          <w:ilvl w:val="0"/>
          <w:numId w:val="2"/>
        </w:numPr>
        <w:tabs>
          <w:tab w:val="left" w:pos="454"/>
          <w:tab w:val="clear" w:pos="460"/>
        </w:tabs>
        <w:snapToGrid w:val="0"/>
        <w:spacing w:line="300" w:lineRule="auto"/>
        <w:ind w:firstLineChars="0"/>
        <w:rPr>
          <w:rFonts w:ascii="宋体" w:hAnsi="宋体" w:cs="宋体"/>
          <w:kern w:val="0"/>
          <w:szCs w:val="21"/>
        </w:rPr>
      </w:pPr>
      <w:r>
        <w:rPr>
          <w:rFonts w:hint="eastAsia" w:ascii="宋体" w:hAnsi="宋体" w:cs="宋体"/>
          <w:kern w:val="0"/>
          <w:szCs w:val="21"/>
        </w:rPr>
        <w:t>项目服务团队人员配置情况；</w:t>
      </w:r>
    </w:p>
    <w:p>
      <w:pPr>
        <w:pStyle w:val="88"/>
        <w:numPr>
          <w:ilvl w:val="0"/>
          <w:numId w:val="2"/>
        </w:numPr>
        <w:tabs>
          <w:tab w:val="left" w:pos="454"/>
          <w:tab w:val="clear" w:pos="460"/>
        </w:tabs>
        <w:snapToGrid w:val="0"/>
        <w:spacing w:line="300" w:lineRule="auto"/>
        <w:ind w:firstLineChars="0"/>
        <w:rPr>
          <w:rFonts w:ascii="宋体" w:hAnsi="宋体" w:cs="宋体"/>
          <w:kern w:val="0"/>
          <w:szCs w:val="21"/>
        </w:rPr>
      </w:pPr>
      <w:r>
        <w:rPr>
          <w:rFonts w:hint="eastAsia" w:ascii="宋体" w:hAnsi="宋体" w:cs="宋体"/>
          <w:kern w:val="0"/>
          <w:szCs w:val="21"/>
        </w:rPr>
        <w:t>供货及质量承诺；</w:t>
      </w:r>
    </w:p>
    <w:p>
      <w:pPr>
        <w:pStyle w:val="88"/>
        <w:numPr>
          <w:ilvl w:val="0"/>
          <w:numId w:val="2"/>
        </w:numPr>
        <w:tabs>
          <w:tab w:val="left" w:pos="454"/>
          <w:tab w:val="clear" w:pos="460"/>
        </w:tabs>
        <w:snapToGrid w:val="0"/>
        <w:spacing w:line="300" w:lineRule="auto"/>
        <w:ind w:firstLineChars="0"/>
        <w:rPr>
          <w:rFonts w:ascii="宋体" w:hAnsi="宋体" w:cs="宋体"/>
          <w:kern w:val="0"/>
          <w:szCs w:val="21"/>
        </w:rPr>
      </w:pPr>
      <w:r>
        <w:rPr>
          <w:rFonts w:hint="eastAsia" w:ascii="宋体" w:hAnsi="宋体" w:cs="宋体"/>
          <w:kern w:val="0"/>
          <w:szCs w:val="21"/>
        </w:rPr>
        <w:t>投标人认为需要的其他技术文件或说明。</w:t>
      </w:r>
    </w:p>
    <w:p>
      <w:pPr>
        <w:pStyle w:val="88"/>
        <w:tabs>
          <w:tab w:val="left" w:pos="454"/>
        </w:tabs>
        <w:snapToGrid w:val="0"/>
        <w:spacing w:line="300" w:lineRule="auto"/>
        <w:ind w:left="426" w:firstLine="0" w:firstLineChars="0"/>
        <w:rPr>
          <w:rFonts w:ascii="宋体" w:hAnsi="宋体" w:cs="宋体"/>
          <w:b/>
          <w:bCs/>
          <w:kern w:val="0"/>
          <w:szCs w:val="21"/>
        </w:rPr>
      </w:pPr>
      <w:r>
        <w:rPr>
          <w:rFonts w:hint="eastAsia" w:ascii="宋体" w:hAnsi="宋体" w:cs="宋体"/>
          <w:b/>
          <w:bCs/>
          <w:kern w:val="0"/>
          <w:szCs w:val="21"/>
        </w:rPr>
        <w:t>3.2.3资格文件</w:t>
      </w:r>
    </w:p>
    <w:p>
      <w:pPr>
        <w:pStyle w:val="88"/>
        <w:numPr>
          <w:ilvl w:val="0"/>
          <w:numId w:val="3"/>
        </w:numPr>
        <w:tabs>
          <w:tab w:val="left" w:pos="454"/>
          <w:tab w:val="clear" w:pos="460"/>
        </w:tabs>
        <w:snapToGrid w:val="0"/>
        <w:spacing w:line="300" w:lineRule="auto"/>
        <w:ind w:firstLineChars="0"/>
        <w:rPr>
          <w:rFonts w:ascii="宋体" w:hAnsi="宋体" w:cs="宋体"/>
          <w:kern w:val="0"/>
          <w:szCs w:val="21"/>
        </w:rPr>
      </w:pPr>
      <w:r>
        <w:rPr>
          <w:rFonts w:hint="eastAsia" w:ascii="宋体" w:hAnsi="宋体" w:cs="宋体"/>
          <w:kern w:val="0"/>
          <w:szCs w:val="21"/>
        </w:rPr>
        <w:t>资格审查资料</w:t>
      </w:r>
    </w:p>
    <w:p>
      <w:pPr>
        <w:pStyle w:val="7"/>
        <w:ind w:firstLine="422"/>
        <w:rPr>
          <w:rFonts w:ascii="宋体" w:hAnsi="宋体" w:cs="宋体"/>
        </w:rPr>
      </w:pPr>
      <w:r>
        <w:rPr>
          <w:rFonts w:hint="eastAsia" w:ascii="宋体" w:hAnsi="宋体" w:cs="宋体"/>
        </w:rPr>
        <w:t>3.3 投标文件的编制</w:t>
      </w:r>
    </w:p>
    <w:p>
      <w:pPr>
        <w:pStyle w:val="88"/>
        <w:snapToGrid w:val="0"/>
        <w:spacing w:line="300" w:lineRule="auto"/>
        <w:ind w:firstLine="420"/>
        <w:rPr>
          <w:rFonts w:ascii="宋体" w:hAnsi="宋体" w:cs="宋体"/>
        </w:rPr>
      </w:pPr>
      <w:r>
        <w:rPr>
          <w:rFonts w:hint="eastAsia" w:ascii="宋体" w:hAnsi="宋体" w:cs="宋体"/>
        </w:rPr>
        <w:t>3.3.1 投标文件应按照本章3.2款中规定的顺序及采用“投标文件格式”中提供的格式进行编制。</w:t>
      </w:r>
    </w:p>
    <w:p>
      <w:pPr>
        <w:pStyle w:val="88"/>
        <w:snapToGrid w:val="0"/>
        <w:spacing w:line="300" w:lineRule="auto"/>
        <w:ind w:firstLine="420"/>
        <w:rPr>
          <w:rFonts w:ascii="宋体" w:hAnsi="宋体" w:cs="宋体"/>
        </w:rPr>
      </w:pPr>
      <w:r>
        <w:rPr>
          <w:rFonts w:hint="eastAsia" w:ascii="宋体" w:hAnsi="宋体" w:cs="宋体"/>
        </w:rPr>
        <w:t>3.3.2投标文件应当对招标文件规定的内容进行明确，对招标文件规定的实质性内容应当作出响应。</w:t>
      </w:r>
    </w:p>
    <w:p>
      <w:pPr>
        <w:pStyle w:val="88"/>
        <w:snapToGrid w:val="0"/>
        <w:spacing w:line="300" w:lineRule="auto"/>
        <w:ind w:firstLine="420"/>
        <w:rPr>
          <w:rFonts w:ascii="宋体" w:hAnsi="宋体" w:cs="宋体"/>
        </w:rPr>
      </w:pPr>
      <w:r>
        <w:rPr>
          <w:rFonts w:hint="eastAsia" w:ascii="宋体" w:hAnsi="宋体" w:cs="宋体"/>
        </w:rPr>
        <w:t>3.3.3投标文件的正本需打印或用不退色的墨水填写，并注明“正本”字样。副本可以复印，并注明“副本”字样。当副本和正本不一致时，以正本为准。</w:t>
      </w:r>
    </w:p>
    <w:p>
      <w:pPr>
        <w:pStyle w:val="21"/>
        <w:adjustRightInd w:val="0"/>
        <w:snapToGrid w:val="0"/>
        <w:spacing w:line="300" w:lineRule="auto"/>
        <w:ind w:firstLine="420" w:firstLineChars="200"/>
        <w:rPr>
          <w:rFonts w:hAnsi="宋体" w:cs="宋体"/>
          <w:szCs w:val="24"/>
        </w:rPr>
      </w:pPr>
      <w:r>
        <w:rPr>
          <w:rFonts w:hint="eastAsia" w:hAnsi="宋体" w:cs="宋体"/>
          <w:szCs w:val="24"/>
        </w:rPr>
        <w:t>3.3.4投标文件由投标人的法定代表人或其委托代理人签字（或盖章）、盖单位公章。投标文件应尽量避免涂改、行间插字或删除，如果出现上述情况，改动之处应加盖单位公章或由投标文件签署人签字（或盖章）确认。签字或盖章的具体要求见“投标人须知前附表”。</w:t>
      </w:r>
    </w:p>
    <w:p>
      <w:pPr>
        <w:pStyle w:val="88"/>
        <w:snapToGrid w:val="0"/>
        <w:spacing w:line="300" w:lineRule="auto"/>
        <w:ind w:firstLine="420"/>
        <w:rPr>
          <w:rFonts w:ascii="宋体" w:hAnsi="宋体" w:cs="宋体"/>
        </w:rPr>
      </w:pPr>
      <w:r>
        <w:rPr>
          <w:rFonts w:hint="eastAsia" w:ascii="宋体" w:hAnsi="宋体" w:cs="宋体"/>
        </w:rPr>
        <w:t>3.3.5投标文件份数要求详见“投标人须知前附表”。</w:t>
      </w:r>
    </w:p>
    <w:p>
      <w:pPr>
        <w:pStyle w:val="88"/>
        <w:snapToGrid w:val="0"/>
        <w:spacing w:line="300" w:lineRule="auto"/>
        <w:ind w:firstLine="420"/>
        <w:rPr>
          <w:rFonts w:ascii="宋体" w:hAnsi="宋体" w:cs="宋体"/>
        </w:rPr>
      </w:pPr>
      <w:r>
        <w:rPr>
          <w:rFonts w:hint="eastAsia" w:ascii="宋体" w:hAnsi="宋体" w:cs="宋体"/>
        </w:rPr>
        <w:t>3.3.6投标文件应编制目录，投标文件装订要求详见“投标人须知前附表”。</w:t>
      </w:r>
    </w:p>
    <w:p>
      <w:pPr>
        <w:pStyle w:val="88"/>
        <w:snapToGrid w:val="0"/>
        <w:spacing w:line="300" w:lineRule="auto"/>
        <w:ind w:firstLine="420"/>
        <w:rPr>
          <w:rFonts w:ascii="宋体" w:hAnsi="宋体" w:cs="宋体"/>
        </w:rPr>
      </w:pPr>
      <w:r>
        <w:rPr>
          <w:rFonts w:hint="eastAsia" w:ascii="宋体" w:hAnsi="宋体" w:cs="宋体"/>
        </w:rPr>
        <w:t>3.3.7由于字迹模糊或表达不清引起的后果由投标人负责。</w:t>
      </w:r>
    </w:p>
    <w:p>
      <w:pPr>
        <w:pStyle w:val="7"/>
        <w:ind w:firstLine="422"/>
        <w:rPr>
          <w:rFonts w:ascii="宋体" w:hAnsi="宋体" w:cs="宋体"/>
        </w:rPr>
      </w:pPr>
      <w:r>
        <w:rPr>
          <w:rFonts w:hint="eastAsia" w:ascii="宋体" w:hAnsi="宋体" w:cs="宋体"/>
        </w:rPr>
        <w:t>3.4 投标报价</w:t>
      </w:r>
    </w:p>
    <w:p>
      <w:pPr>
        <w:pStyle w:val="88"/>
        <w:snapToGrid w:val="0"/>
        <w:spacing w:line="300" w:lineRule="auto"/>
        <w:ind w:firstLine="420"/>
        <w:rPr>
          <w:rFonts w:ascii="宋体" w:hAnsi="宋体" w:cs="宋体"/>
          <w:u w:val="thick"/>
        </w:rPr>
      </w:pPr>
      <w:r>
        <w:rPr>
          <w:rFonts w:hint="eastAsia" w:ascii="宋体" w:hAnsi="宋体" w:cs="宋体"/>
        </w:rPr>
        <w:t>3.4.1 ▲</w:t>
      </w:r>
      <w:r>
        <w:rPr>
          <w:rFonts w:hint="eastAsia" w:ascii="宋体" w:hAnsi="宋体" w:cs="宋体"/>
          <w:b/>
          <w:u w:val="thick"/>
        </w:rPr>
        <w:t>本次投标报价为折扣率报价，报价折扣率不得超过最高限价折扣率（折扣率基数为实际业务发生的销售额，详见第一章）</w:t>
      </w:r>
    </w:p>
    <w:p>
      <w:pPr>
        <w:adjustRightInd w:val="0"/>
        <w:snapToGrid w:val="0"/>
        <w:spacing w:line="300" w:lineRule="auto"/>
        <w:ind w:firstLine="420" w:firstLineChars="200"/>
        <w:rPr>
          <w:rFonts w:ascii="宋体" w:hAnsi="宋体" w:cs="宋体"/>
        </w:rPr>
      </w:pPr>
      <w:r>
        <w:rPr>
          <w:rFonts w:hint="eastAsia" w:ascii="宋体" w:hAnsi="宋体" w:cs="宋体"/>
        </w:rPr>
        <w:t>3.4.2投标报价包括完成杭州殡仪馆花圈供货以及伴随的相关服务（</w:t>
      </w:r>
      <w:r>
        <w:rPr>
          <w:rFonts w:hint="eastAsia" w:ascii="宋体" w:hAnsi="宋体" w:cs="宋体"/>
          <w:b/>
          <w:u w:val="single"/>
        </w:rPr>
        <w:t>对招标人售卖的花圈进行花圈制造、供货、运输及相关服务等。</w:t>
      </w:r>
      <w:r>
        <w:rPr>
          <w:rFonts w:hint="eastAsia" w:ascii="宋体" w:hAnsi="宋体" w:cs="宋体"/>
        </w:rPr>
        <w:t>）采购合同期内所产生的全部费用。完成质量须达到招标文件规定的质量标准及使用要求；</w:t>
      </w:r>
    </w:p>
    <w:p>
      <w:pPr>
        <w:adjustRightInd w:val="0"/>
        <w:snapToGrid w:val="0"/>
        <w:spacing w:line="300" w:lineRule="auto"/>
        <w:ind w:firstLine="420" w:firstLineChars="200"/>
        <w:rPr>
          <w:rFonts w:ascii="宋体" w:hAnsi="宋体" w:cs="宋体"/>
        </w:rPr>
      </w:pPr>
      <w:r>
        <w:rPr>
          <w:rFonts w:hint="eastAsia" w:ascii="宋体" w:hAnsi="宋体" w:cs="宋体"/>
        </w:rPr>
        <w:t>3.4.3本项目为按实结算，即实际业务发生金额结算，中标人结算款=实际业务发生的销售数量*中标单价。</w:t>
      </w:r>
    </w:p>
    <w:p>
      <w:pPr>
        <w:adjustRightInd w:val="0"/>
        <w:snapToGrid w:val="0"/>
        <w:spacing w:line="300" w:lineRule="auto"/>
        <w:ind w:firstLine="420" w:firstLineChars="200"/>
        <w:rPr>
          <w:rFonts w:ascii="宋体" w:hAnsi="宋体" w:cs="宋体"/>
        </w:rPr>
      </w:pPr>
      <w:r>
        <w:rPr>
          <w:rFonts w:hint="eastAsia" w:ascii="宋体" w:hAnsi="宋体" w:cs="宋体"/>
        </w:rPr>
        <w:t>3.4.4报价应按不同费用构成分开填写，具体详见“投标文件格式”。</w:t>
      </w:r>
    </w:p>
    <w:p>
      <w:pPr>
        <w:adjustRightInd w:val="0"/>
        <w:snapToGrid w:val="0"/>
        <w:spacing w:line="300" w:lineRule="auto"/>
        <w:ind w:firstLine="420" w:firstLineChars="200"/>
        <w:rPr>
          <w:rFonts w:ascii="宋体" w:hAnsi="宋体" w:cs="宋体"/>
        </w:rPr>
      </w:pPr>
      <w:r>
        <w:rPr>
          <w:rFonts w:hint="eastAsia" w:ascii="宋体" w:hAnsi="宋体" w:cs="宋体"/>
        </w:rPr>
        <w:t>3.4.5供应商应对报价内容所涉及的一切知识产权承担责任，并负责保护采购人的利益不受损害，一切由于侵权引起的法律、诉讼、裁决和所发生的费用均与采购人无关。</w:t>
      </w:r>
    </w:p>
    <w:p>
      <w:pPr>
        <w:adjustRightInd w:val="0"/>
        <w:snapToGrid w:val="0"/>
        <w:spacing w:line="300" w:lineRule="auto"/>
        <w:ind w:firstLine="420" w:firstLineChars="200"/>
        <w:rPr>
          <w:rFonts w:ascii="宋体" w:hAnsi="宋体" w:cs="宋体"/>
        </w:rPr>
      </w:pPr>
      <w:r>
        <w:rPr>
          <w:rFonts w:hint="eastAsia" w:ascii="宋体" w:hAnsi="宋体" w:cs="宋体"/>
        </w:rPr>
        <w:t>3.4.6 投标人应对报价内容所涉及的一切知识产权承担责任，并负责保护采购人的利益不受损害，一切由于侵权引起的法律、诉讼、裁决和所发生的费用均与采购人无关。</w:t>
      </w:r>
    </w:p>
    <w:p>
      <w:pPr>
        <w:adjustRightInd w:val="0"/>
        <w:snapToGrid w:val="0"/>
        <w:spacing w:line="300" w:lineRule="auto"/>
        <w:ind w:firstLine="420" w:firstLineChars="200"/>
        <w:rPr>
          <w:rFonts w:ascii="宋体" w:hAnsi="宋体" w:cs="宋体"/>
        </w:rPr>
      </w:pPr>
      <w:r>
        <w:rPr>
          <w:rFonts w:hint="eastAsia" w:ascii="宋体" w:hAnsi="宋体" w:cs="宋体"/>
        </w:rPr>
        <w:t>3.4.7其它费用处理</w:t>
      </w:r>
    </w:p>
    <w:p>
      <w:pPr>
        <w:pStyle w:val="88"/>
        <w:snapToGrid w:val="0"/>
        <w:spacing w:line="300" w:lineRule="auto"/>
        <w:ind w:firstLine="420"/>
        <w:rPr>
          <w:rFonts w:ascii="宋体" w:hAnsi="宋体" w:cs="宋体"/>
          <w:u w:val="thick"/>
        </w:rPr>
      </w:pPr>
      <w:r>
        <w:rPr>
          <w:rFonts w:hint="eastAsia" w:ascii="宋体" w:hAnsi="宋体" w:cs="宋体"/>
        </w:rPr>
        <w:t>招标文件未列明，而投标人认为必需的费用也需列入报价。</w:t>
      </w:r>
    </w:p>
    <w:p>
      <w:pPr>
        <w:pStyle w:val="88"/>
        <w:snapToGrid w:val="0"/>
        <w:spacing w:line="300" w:lineRule="auto"/>
        <w:ind w:firstLine="420"/>
        <w:rPr>
          <w:rFonts w:ascii="宋体" w:hAnsi="宋体" w:cs="宋体"/>
        </w:rPr>
      </w:pPr>
      <w:r>
        <w:rPr>
          <w:rFonts w:hint="eastAsia" w:ascii="宋体" w:hAnsi="宋体" w:cs="宋体"/>
        </w:rPr>
        <w:t>3.4.8 ▲</w:t>
      </w:r>
      <w:r>
        <w:rPr>
          <w:rFonts w:hint="eastAsia" w:ascii="宋体" w:hAnsi="宋体" w:cs="宋体"/>
          <w:b/>
          <w:u w:val="single"/>
        </w:rPr>
        <w:t>所投标项只允许有一个报价，不接受有选择报价的投标文件。</w:t>
      </w:r>
    </w:p>
    <w:p>
      <w:pPr>
        <w:pStyle w:val="7"/>
        <w:ind w:firstLine="422"/>
        <w:rPr>
          <w:rFonts w:ascii="宋体" w:hAnsi="宋体" w:cs="宋体"/>
        </w:rPr>
      </w:pPr>
      <w:r>
        <w:rPr>
          <w:rFonts w:hint="eastAsia" w:ascii="宋体" w:hAnsi="宋体" w:cs="宋体"/>
        </w:rPr>
        <w:t>3.5 投标保证金</w:t>
      </w:r>
    </w:p>
    <w:p>
      <w:pPr>
        <w:pStyle w:val="88"/>
        <w:snapToGrid w:val="0"/>
        <w:spacing w:line="300" w:lineRule="auto"/>
        <w:ind w:firstLine="420"/>
        <w:rPr>
          <w:rFonts w:ascii="宋体" w:hAnsi="宋体" w:cs="宋体"/>
        </w:rPr>
      </w:pPr>
      <w:r>
        <w:rPr>
          <w:rFonts w:hint="eastAsia" w:ascii="宋体" w:hAnsi="宋体" w:cs="宋体"/>
        </w:rPr>
        <w:t>3.5.1 投标人须按“投标人须知前附表”的规定提供投标保证金。</w:t>
      </w:r>
    </w:p>
    <w:p>
      <w:pPr>
        <w:pStyle w:val="88"/>
        <w:snapToGrid w:val="0"/>
        <w:spacing w:line="300" w:lineRule="auto"/>
        <w:ind w:firstLine="420"/>
        <w:rPr>
          <w:rFonts w:ascii="宋体" w:hAnsi="宋体" w:cs="宋体"/>
        </w:rPr>
      </w:pPr>
      <w:r>
        <w:rPr>
          <w:rFonts w:hint="eastAsia" w:ascii="宋体" w:hAnsi="宋体" w:cs="宋体"/>
        </w:rPr>
        <w:t>3.5.2 在中标通知书发出之日起五个工作日内退还未中标供应商的投标保证金。</w:t>
      </w:r>
    </w:p>
    <w:p>
      <w:pPr>
        <w:pStyle w:val="88"/>
        <w:snapToGrid w:val="0"/>
        <w:spacing w:line="300" w:lineRule="auto"/>
        <w:ind w:firstLine="420"/>
        <w:rPr>
          <w:rFonts w:ascii="宋体" w:hAnsi="宋体" w:cs="宋体"/>
        </w:rPr>
      </w:pPr>
      <w:r>
        <w:rPr>
          <w:rFonts w:hint="eastAsia" w:ascii="宋体" w:hAnsi="宋体" w:cs="宋体"/>
        </w:rPr>
        <w:t>3.5.3 在采购合同签订后五个工作日内退还中标供应商的投标保证金。</w:t>
      </w:r>
    </w:p>
    <w:p>
      <w:pPr>
        <w:pStyle w:val="88"/>
        <w:snapToGrid w:val="0"/>
        <w:spacing w:line="300" w:lineRule="auto"/>
        <w:ind w:firstLine="420"/>
        <w:rPr>
          <w:rFonts w:ascii="宋体" w:hAnsi="宋体" w:cs="宋体"/>
        </w:rPr>
      </w:pPr>
      <w:r>
        <w:rPr>
          <w:rFonts w:hint="eastAsia" w:ascii="宋体" w:hAnsi="宋体" w:cs="宋体"/>
        </w:rPr>
        <w:t>3.5.4 有下列情况之一，将不予退还供应商交纳的投标保证金；情节严重的，由政府采购监督管理将其列入不良行为记录名单，在一至三年内禁止参加政府采购活动，并予以通报。</w:t>
      </w:r>
    </w:p>
    <w:p>
      <w:pPr>
        <w:pStyle w:val="88"/>
        <w:snapToGrid w:val="0"/>
        <w:spacing w:line="300" w:lineRule="auto"/>
        <w:ind w:firstLine="420"/>
        <w:rPr>
          <w:rFonts w:ascii="宋体" w:hAnsi="宋体" w:cs="宋体"/>
        </w:rPr>
      </w:pPr>
      <w:r>
        <w:rPr>
          <w:rFonts w:hint="eastAsia" w:ascii="宋体" w:hAnsi="宋体" w:cs="宋体"/>
        </w:rPr>
        <w:t>（1）投标人在投标有效期内撤回投标文件。</w:t>
      </w:r>
    </w:p>
    <w:p>
      <w:pPr>
        <w:pStyle w:val="88"/>
        <w:snapToGrid w:val="0"/>
        <w:spacing w:line="300" w:lineRule="auto"/>
        <w:ind w:firstLine="420"/>
        <w:rPr>
          <w:rFonts w:ascii="宋体" w:hAnsi="宋体" w:cs="宋体"/>
        </w:rPr>
      </w:pPr>
      <w:r>
        <w:rPr>
          <w:rFonts w:hint="eastAsia" w:ascii="宋体" w:hAnsi="宋体" w:cs="宋体"/>
        </w:rPr>
        <w:t>（2）中标人无正当理由未按中标通知书中规定的时间、地点与采购人签订合同。</w:t>
      </w:r>
    </w:p>
    <w:p>
      <w:pPr>
        <w:pStyle w:val="88"/>
        <w:snapToGrid w:val="0"/>
        <w:spacing w:line="300" w:lineRule="auto"/>
        <w:ind w:firstLine="420"/>
        <w:rPr>
          <w:rFonts w:ascii="宋体" w:hAnsi="宋体" w:cs="宋体"/>
        </w:rPr>
      </w:pPr>
      <w:r>
        <w:rPr>
          <w:rFonts w:hint="eastAsia" w:ascii="宋体" w:hAnsi="宋体" w:cs="宋体"/>
        </w:rPr>
        <w:t>（3）拒绝履行合同义务的。</w:t>
      </w:r>
    </w:p>
    <w:p>
      <w:pPr>
        <w:pStyle w:val="88"/>
        <w:snapToGrid w:val="0"/>
        <w:spacing w:line="300" w:lineRule="auto"/>
        <w:ind w:firstLine="420"/>
        <w:rPr>
          <w:rFonts w:ascii="宋体" w:hAnsi="宋体" w:cs="宋体"/>
        </w:rPr>
      </w:pPr>
      <w:r>
        <w:rPr>
          <w:rFonts w:hint="eastAsia" w:ascii="宋体" w:hAnsi="宋体" w:cs="宋体"/>
        </w:rPr>
        <w:t>（4）将中标项目转让给他人，或者在投标文件中未说明，且未经采购人同意，将中标项目分包给他人的。</w:t>
      </w:r>
    </w:p>
    <w:p>
      <w:pPr>
        <w:pStyle w:val="88"/>
        <w:snapToGrid w:val="0"/>
        <w:spacing w:line="300" w:lineRule="auto"/>
        <w:ind w:firstLine="420"/>
        <w:rPr>
          <w:rFonts w:ascii="宋体" w:hAnsi="宋体" w:cs="宋体"/>
        </w:rPr>
      </w:pPr>
      <w:r>
        <w:rPr>
          <w:rFonts w:hint="eastAsia" w:ascii="宋体" w:hAnsi="宋体" w:cs="宋体"/>
        </w:rPr>
        <w:t>（5）投标人在投标期间有串标、哄抬标价等违规违法行为。</w:t>
      </w:r>
    </w:p>
    <w:p>
      <w:pPr>
        <w:pStyle w:val="88"/>
        <w:snapToGrid w:val="0"/>
        <w:spacing w:line="300" w:lineRule="auto"/>
        <w:ind w:firstLine="420"/>
        <w:rPr>
          <w:rFonts w:ascii="宋体" w:hAnsi="宋体" w:cs="宋体"/>
        </w:rPr>
      </w:pPr>
      <w:r>
        <w:rPr>
          <w:rFonts w:hint="eastAsia" w:ascii="宋体" w:hAnsi="宋体" w:cs="宋体"/>
        </w:rPr>
        <w:t>（6）提供虚假材料谋取中标的。</w:t>
      </w:r>
    </w:p>
    <w:p>
      <w:pPr>
        <w:pStyle w:val="88"/>
        <w:snapToGrid w:val="0"/>
        <w:spacing w:line="300" w:lineRule="auto"/>
        <w:ind w:firstLine="420"/>
        <w:rPr>
          <w:rFonts w:ascii="宋体" w:hAnsi="宋体" w:cs="宋体"/>
        </w:rPr>
      </w:pPr>
      <w:r>
        <w:rPr>
          <w:rFonts w:hint="eastAsia" w:ascii="宋体" w:hAnsi="宋体" w:cs="宋体"/>
        </w:rPr>
        <w:t>（7）在招标过程中与招标采购单位进行协商谈判，不按照招标文件和投标文件订立合同，或者与采购人另行订立背离合同实质性内容的协议。</w:t>
      </w:r>
    </w:p>
    <w:p>
      <w:pPr>
        <w:pStyle w:val="88"/>
        <w:snapToGrid w:val="0"/>
        <w:spacing w:line="300" w:lineRule="auto"/>
        <w:ind w:firstLine="420"/>
        <w:rPr>
          <w:rFonts w:ascii="宋体" w:hAnsi="宋体" w:cs="宋体"/>
        </w:rPr>
      </w:pPr>
      <w:r>
        <w:rPr>
          <w:rFonts w:hint="eastAsia" w:ascii="宋体" w:hAnsi="宋体" w:cs="宋体"/>
        </w:rPr>
        <w:t>（8）采取不正当手段诋毁、排挤其他投标人的。</w:t>
      </w:r>
    </w:p>
    <w:p>
      <w:pPr>
        <w:pStyle w:val="7"/>
        <w:ind w:firstLine="422"/>
        <w:rPr>
          <w:rFonts w:ascii="宋体" w:hAnsi="宋体" w:cs="宋体"/>
        </w:rPr>
      </w:pPr>
      <w:r>
        <w:rPr>
          <w:rFonts w:hint="eastAsia" w:ascii="宋体" w:hAnsi="宋体" w:cs="宋体"/>
        </w:rPr>
        <w:t>3.6 投标文件有效期</w:t>
      </w:r>
    </w:p>
    <w:p>
      <w:pPr>
        <w:pStyle w:val="88"/>
        <w:snapToGrid w:val="0"/>
        <w:spacing w:line="300" w:lineRule="auto"/>
        <w:ind w:firstLine="420"/>
        <w:rPr>
          <w:rFonts w:ascii="宋体" w:hAnsi="宋体" w:cs="宋体"/>
        </w:rPr>
      </w:pPr>
      <w:r>
        <w:rPr>
          <w:rFonts w:hint="eastAsia" w:ascii="宋体" w:hAnsi="宋体" w:cs="宋体"/>
        </w:rPr>
        <w:t>3.6.1 投标文件有效期按“投标人须知前附表”规定，投标文件应在该有效期内保持有效。合同签订后，投标文件作为合同附件，投标文件有效期同合同有效期。</w:t>
      </w:r>
    </w:p>
    <w:p>
      <w:pPr>
        <w:pStyle w:val="88"/>
        <w:snapToGrid w:val="0"/>
        <w:spacing w:line="300" w:lineRule="auto"/>
        <w:ind w:firstLine="420"/>
        <w:rPr>
          <w:rFonts w:ascii="宋体" w:hAnsi="宋体" w:cs="宋体"/>
        </w:rPr>
      </w:pPr>
      <w:r>
        <w:rPr>
          <w:rFonts w:hint="eastAsia" w:ascii="宋体" w:hAnsi="宋体" w:cs="宋体"/>
        </w:rPr>
        <w:t>3.6.2 在特殊情况下，采购人可与投标人协商延长投标文件有效期，这种要求和答复均应以书面形式进行。</w:t>
      </w:r>
    </w:p>
    <w:p>
      <w:pPr>
        <w:pStyle w:val="88"/>
        <w:snapToGrid w:val="0"/>
        <w:spacing w:line="300" w:lineRule="auto"/>
        <w:ind w:firstLine="420"/>
        <w:rPr>
          <w:rFonts w:ascii="宋体" w:hAnsi="宋体" w:cs="宋体"/>
        </w:rPr>
      </w:pPr>
      <w:r>
        <w:rPr>
          <w:rFonts w:hint="eastAsia" w:ascii="宋体" w:hAnsi="宋体" w:cs="宋体"/>
        </w:rPr>
        <w:t>3.6.3 投标人可拒绝接受延期要求而不会导致投标保证金不予退还。同意延长有效期的投标人不能修改投标文件。</w:t>
      </w:r>
    </w:p>
    <w:p>
      <w:pPr>
        <w:pStyle w:val="5"/>
        <w:ind w:firstLine="422"/>
        <w:rPr>
          <w:rFonts w:ascii="宋体" w:hAnsi="宋体" w:cs="宋体"/>
        </w:rPr>
      </w:pPr>
      <w:bookmarkStart w:id="42" w:name="_Toc82338242"/>
      <w:bookmarkStart w:id="43" w:name="_Toc82873325"/>
      <w:r>
        <w:rPr>
          <w:rFonts w:hint="eastAsia" w:ascii="宋体" w:hAnsi="宋体" w:cs="宋体"/>
        </w:rPr>
        <w:t>四、投标</w:t>
      </w:r>
      <w:bookmarkEnd w:id="42"/>
      <w:bookmarkEnd w:id="43"/>
    </w:p>
    <w:p>
      <w:pPr>
        <w:pStyle w:val="7"/>
        <w:ind w:firstLine="422"/>
        <w:rPr>
          <w:rFonts w:ascii="宋体" w:hAnsi="宋体" w:cs="宋体"/>
        </w:rPr>
      </w:pPr>
      <w:r>
        <w:rPr>
          <w:rFonts w:hint="eastAsia" w:ascii="宋体" w:hAnsi="宋体" w:cs="宋体"/>
        </w:rPr>
        <w:t>4.1 投标文件的密封及标记</w:t>
      </w:r>
    </w:p>
    <w:p>
      <w:pPr>
        <w:pStyle w:val="88"/>
        <w:snapToGrid w:val="0"/>
        <w:spacing w:line="300" w:lineRule="auto"/>
        <w:ind w:firstLine="420"/>
        <w:rPr>
          <w:rFonts w:ascii="宋体" w:hAnsi="宋体" w:cs="宋体"/>
        </w:rPr>
      </w:pPr>
      <w:r>
        <w:rPr>
          <w:rFonts w:hint="eastAsia" w:ascii="宋体" w:hAnsi="宋体" w:cs="宋体"/>
        </w:rPr>
        <w:t>4.1.1投标文件应按以下方法密封</w:t>
      </w:r>
    </w:p>
    <w:p>
      <w:pPr>
        <w:pStyle w:val="21"/>
        <w:adjustRightInd w:val="0"/>
        <w:snapToGrid w:val="0"/>
        <w:spacing w:line="300" w:lineRule="auto"/>
        <w:ind w:firstLine="422" w:firstLineChars="200"/>
        <w:rPr>
          <w:rFonts w:hAnsi="宋体" w:cs="宋体"/>
          <w:b/>
        </w:rPr>
      </w:pPr>
      <w:r>
        <w:rPr>
          <w:rFonts w:hint="eastAsia" w:hAnsi="宋体" w:cs="宋体"/>
          <w:b/>
        </w:rPr>
        <w:t>投标文件密封要求见“投标人须知前附表”，在密封袋封皮上写明招标项目编号、项目名称、投标人名称、所投标项名称、投标文件名称（“报价文件”或 “商务技术文件”）、“在投标截止时间（年月日时分）前不得启封”。封口处应有盖单位公章或投标授权代表签字（或盖章）。</w:t>
      </w:r>
    </w:p>
    <w:p>
      <w:pPr>
        <w:pStyle w:val="88"/>
        <w:snapToGrid w:val="0"/>
        <w:spacing w:line="300" w:lineRule="auto"/>
        <w:ind w:firstLine="420"/>
        <w:rPr>
          <w:rFonts w:ascii="宋体" w:hAnsi="宋体" w:cs="宋体"/>
        </w:rPr>
      </w:pPr>
      <w:r>
        <w:rPr>
          <w:rFonts w:hint="eastAsia" w:ascii="宋体" w:hAnsi="宋体" w:cs="宋体"/>
        </w:rPr>
        <w:t>4.1.2如果投标人未按上述要求加写标记，采购人对投标文件的误拆和提前启封不负责任。</w:t>
      </w:r>
    </w:p>
    <w:p>
      <w:pPr>
        <w:pStyle w:val="7"/>
        <w:ind w:firstLine="422"/>
        <w:rPr>
          <w:rFonts w:ascii="宋体" w:hAnsi="宋体" w:cs="宋体"/>
        </w:rPr>
      </w:pPr>
      <w:r>
        <w:rPr>
          <w:rFonts w:hint="eastAsia" w:ascii="宋体" w:hAnsi="宋体" w:cs="宋体"/>
        </w:rPr>
        <w:t>4.2 投标文件的提交</w:t>
      </w:r>
    </w:p>
    <w:p>
      <w:pPr>
        <w:pStyle w:val="88"/>
        <w:snapToGrid w:val="0"/>
        <w:spacing w:line="300" w:lineRule="auto"/>
        <w:ind w:firstLine="420"/>
        <w:rPr>
          <w:rFonts w:ascii="宋体" w:hAnsi="宋体" w:cs="宋体"/>
        </w:rPr>
      </w:pPr>
      <w:r>
        <w:rPr>
          <w:rFonts w:hint="eastAsia" w:ascii="宋体" w:hAnsi="宋体" w:cs="宋体"/>
        </w:rPr>
        <w:t>4.2.1投标人应在“投标人须知前附表”规定投标截止时间前提交投标文件。</w:t>
      </w:r>
    </w:p>
    <w:p>
      <w:pPr>
        <w:pStyle w:val="88"/>
        <w:snapToGrid w:val="0"/>
        <w:spacing w:line="300" w:lineRule="auto"/>
        <w:ind w:firstLine="420"/>
        <w:rPr>
          <w:rFonts w:ascii="宋体" w:hAnsi="宋体" w:cs="宋体"/>
        </w:rPr>
      </w:pPr>
      <w:r>
        <w:rPr>
          <w:rFonts w:hint="eastAsia" w:ascii="宋体" w:hAnsi="宋体" w:cs="宋体"/>
        </w:rPr>
        <w:t>4.2.2投标人提交投标文件地点见“投标人须知前附表”。</w:t>
      </w:r>
    </w:p>
    <w:p>
      <w:pPr>
        <w:pStyle w:val="88"/>
        <w:snapToGrid w:val="0"/>
        <w:spacing w:line="300" w:lineRule="auto"/>
        <w:ind w:firstLine="420"/>
        <w:rPr>
          <w:rFonts w:ascii="宋体" w:hAnsi="宋体" w:cs="宋体"/>
        </w:rPr>
      </w:pPr>
      <w:r>
        <w:rPr>
          <w:rFonts w:hint="eastAsia" w:ascii="宋体" w:hAnsi="宋体" w:cs="宋体"/>
        </w:rPr>
        <w:t>4.2.3投标人提交的投标文件均不予退还。</w:t>
      </w:r>
    </w:p>
    <w:p>
      <w:pPr>
        <w:pStyle w:val="88"/>
        <w:snapToGrid w:val="0"/>
        <w:spacing w:line="300" w:lineRule="auto"/>
        <w:ind w:firstLine="420"/>
        <w:rPr>
          <w:rFonts w:ascii="宋体" w:hAnsi="宋体" w:cs="宋体"/>
        </w:rPr>
      </w:pPr>
      <w:r>
        <w:rPr>
          <w:rFonts w:hint="eastAsia" w:ascii="宋体" w:hAnsi="宋体" w:cs="宋体"/>
        </w:rPr>
        <w:t>4.2.4逾期送达的或者未送达指定地点的投标文件，采购人将不予受理。</w:t>
      </w:r>
    </w:p>
    <w:p>
      <w:pPr>
        <w:pStyle w:val="88"/>
        <w:snapToGrid w:val="0"/>
        <w:spacing w:line="300" w:lineRule="auto"/>
        <w:ind w:firstLine="420"/>
        <w:rPr>
          <w:rFonts w:ascii="宋体" w:hAnsi="宋体" w:cs="宋体"/>
        </w:rPr>
      </w:pPr>
      <w:r>
        <w:rPr>
          <w:rFonts w:hint="eastAsia" w:ascii="宋体" w:hAnsi="宋体" w:cs="宋体"/>
        </w:rPr>
        <w:t>4.2.5采购人如因故推迟投标截止时间，应以书面形式通知所有投标人。在这种情况下，采购人和投标人的权利和义务将受到新的投标截止时间的约束。</w:t>
      </w:r>
    </w:p>
    <w:p>
      <w:pPr>
        <w:pStyle w:val="7"/>
        <w:ind w:firstLine="422"/>
        <w:rPr>
          <w:rFonts w:ascii="宋体" w:hAnsi="宋体" w:cs="宋体"/>
        </w:rPr>
      </w:pPr>
      <w:r>
        <w:rPr>
          <w:rFonts w:hint="eastAsia" w:ascii="宋体" w:hAnsi="宋体" w:cs="宋体"/>
        </w:rPr>
        <w:t>4.3 投标文件的修改和撤回</w:t>
      </w:r>
    </w:p>
    <w:p>
      <w:pPr>
        <w:pStyle w:val="88"/>
        <w:snapToGrid w:val="0"/>
        <w:spacing w:line="300" w:lineRule="auto"/>
        <w:ind w:firstLine="420"/>
        <w:rPr>
          <w:rFonts w:ascii="宋体" w:hAnsi="宋体" w:cs="宋体"/>
        </w:rPr>
      </w:pPr>
      <w:r>
        <w:rPr>
          <w:rFonts w:hint="eastAsia" w:ascii="宋体" w:hAnsi="宋体" w:cs="宋体"/>
        </w:rPr>
        <w:t>4.3.1投标人在投标以后如必须修改或撤回投标文件，必须在投标截止时间以前将书面的投标修改文件或撤标通知邮寄到达或送达采购代理机构。</w:t>
      </w:r>
    </w:p>
    <w:p>
      <w:pPr>
        <w:pStyle w:val="88"/>
        <w:snapToGrid w:val="0"/>
        <w:spacing w:line="300" w:lineRule="auto"/>
        <w:ind w:firstLine="420"/>
        <w:rPr>
          <w:rFonts w:ascii="宋体" w:hAnsi="宋体" w:cs="宋体"/>
        </w:rPr>
      </w:pPr>
      <w:r>
        <w:rPr>
          <w:rFonts w:hint="eastAsia" w:ascii="宋体" w:hAnsi="宋体" w:cs="宋体"/>
        </w:rPr>
        <w:t>4.3.2 投标修改文件必须密封，在密封袋上写明招标项目编号、招标项目名称、投标人名称、所投标项名称，并注明“修改文件”、“开标时启封”字样。</w:t>
      </w:r>
    </w:p>
    <w:p>
      <w:pPr>
        <w:pStyle w:val="88"/>
        <w:snapToGrid w:val="0"/>
        <w:spacing w:line="300" w:lineRule="auto"/>
        <w:ind w:firstLine="420"/>
        <w:rPr>
          <w:rFonts w:ascii="宋体" w:hAnsi="宋体" w:cs="宋体"/>
        </w:rPr>
      </w:pPr>
      <w:r>
        <w:rPr>
          <w:rFonts w:hint="eastAsia" w:ascii="宋体" w:hAnsi="宋体" w:cs="宋体"/>
        </w:rPr>
        <w:t>4.3.3 投标人以传真或电报形式通知采购人撤标时，必须在投标截止时间以前补充由法定代表人或法定代表人授权代表签署的正式文件。但开标以后要求撤标的，其投标保证金将被没收。</w:t>
      </w:r>
    </w:p>
    <w:p>
      <w:pPr>
        <w:pStyle w:val="7"/>
        <w:ind w:firstLine="422"/>
        <w:rPr>
          <w:rFonts w:ascii="宋体" w:hAnsi="宋体" w:cs="宋体"/>
        </w:rPr>
      </w:pPr>
      <w:r>
        <w:rPr>
          <w:rFonts w:hint="eastAsia" w:ascii="宋体" w:hAnsi="宋体" w:cs="宋体"/>
        </w:rPr>
        <w:t>4.4 备选投标方案</w:t>
      </w:r>
    </w:p>
    <w:p>
      <w:pPr>
        <w:pStyle w:val="88"/>
        <w:snapToGrid w:val="0"/>
        <w:spacing w:line="300" w:lineRule="auto"/>
        <w:ind w:firstLine="420"/>
        <w:rPr>
          <w:rFonts w:ascii="宋体" w:hAnsi="宋体" w:cs="宋体"/>
        </w:rPr>
      </w:pPr>
      <w:r>
        <w:rPr>
          <w:rFonts w:hint="eastAsia" w:ascii="宋体" w:hAnsi="宋体" w:cs="宋体"/>
        </w:rPr>
        <w:t>投标人不得提交备选投标方案，否则，投标文件将被判定为无效标。</w:t>
      </w:r>
    </w:p>
    <w:p>
      <w:pPr>
        <w:pStyle w:val="7"/>
        <w:ind w:firstLine="422"/>
        <w:rPr>
          <w:rFonts w:ascii="宋体" w:hAnsi="宋体" w:cs="宋体"/>
        </w:rPr>
      </w:pPr>
      <w:r>
        <w:rPr>
          <w:rFonts w:hint="eastAsia" w:ascii="宋体" w:hAnsi="宋体" w:cs="宋体"/>
        </w:rPr>
        <w:t>4.5 投标人不足三家情况处理</w:t>
      </w:r>
    </w:p>
    <w:p>
      <w:pPr>
        <w:pStyle w:val="88"/>
        <w:snapToGrid w:val="0"/>
        <w:spacing w:line="300" w:lineRule="auto"/>
        <w:ind w:firstLine="420"/>
        <w:rPr>
          <w:rFonts w:ascii="宋体" w:hAnsi="宋体" w:cs="宋体"/>
        </w:rPr>
      </w:pPr>
      <w:r>
        <w:rPr>
          <w:rFonts w:hint="eastAsia" w:ascii="宋体" w:hAnsi="宋体" w:cs="宋体"/>
        </w:rPr>
        <w:t>投标截止时间结束后参加标项投标的供应商不足三家的，除采购任务取消情形外，采购人可选择以下方式之一处理：</w:t>
      </w:r>
    </w:p>
    <w:p>
      <w:pPr>
        <w:pStyle w:val="88"/>
        <w:snapToGrid w:val="0"/>
        <w:spacing w:line="300" w:lineRule="auto"/>
        <w:ind w:firstLine="420"/>
        <w:rPr>
          <w:rFonts w:ascii="宋体" w:hAnsi="宋体" w:cs="宋体"/>
        </w:rPr>
      </w:pPr>
      <w:r>
        <w:rPr>
          <w:rFonts w:hint="eastAsia" w:ascii="宋体" w:hAnsi="宋体" w:cs="宋体"/>
        </w:rPr>
        <w:t>1）可将本标项作废标处理，重新组织采购；</w:t>
      </w:r>
    </w:p>
    <w:p>
      <w:pPr>
        <w:pStyle w:val="88"/>
        <w:snapToGrid w:val="0"/>
        <w:spacing w:line="300" w:lineRule="auto"/>
        <w:ind w:firstLine="420"/>
        <w:rPr>
          <w:rFonts w:ascii="宋体" w:hAnsi="宋体" w:cs="宋体"/>
        </w:rPr>
      </w:pPr>
      <w:r>
        <w:rPr>
          <w:rFonts w:hint="eastAsia" w:ascii="宋体" w:hAnsi="宋体" w:cs="宋体"/>
        </w:rPr>
        <w:t>2）可按同级财政部门的审批意见采用其他采购方式组织采购；</w:t>
      </w:r>
    </w:p>
    <w:p>
      <w:pPr>
        <w:pStyle w:val="5"/>
        <w:ind w:firstLine="422"/>
        <w:rPr>
          <w:rFonts w:ascii="宋体" w:hAnsi="宋体" w:cs="宋体"/>
        </w:rPr>
      </w:pPr>
      <w:bookmarkStart w:id="44" w:name="_Toc82873326"/>
      <w:bookmarkStart w:id="45" w:name="_Toc82338243"/>
      <w:r>
        <w:rPr>
          <w:rFonts w:hint="eastAsia" w:ascii="宋体" w:hAnsi="宋体" w:cs="宋体"/>
        </w:rPr>
        <w:t>五、开标、评标</w:t>
      </w:r>
      <w:bookmarkEnd w:id="44"/>
      <w:bookmarkEnd w:id="45"/>
      <w:r>
        <w:rPr>
          <w:rFonts w:hint="eastAsia" w:ascii="宋体" w:hAnsi="宋体" w:cs="宋体"/>
        </w:rPr>
        <w:t>及合同签订</w:t>
      </w:r>
    </w:p>
    <w:p>
      <w:pPr>
        <w:pStyle w:val="7"/>
        <w:ind w:firstLine="422"/>
        <w:rPr>
          <w:rFonts w:ascii="宋体" w:hAnsi="宋体" w:cs="宋体"/>
        </w:rPr>
      </w:pPr>
      <w:r>
        <w:rPr>
          <w:rFonts w:hint="eastAsia" w:ascii="宋体" w:hAnsi="宋体" w:cs="宋体"/>
        </w:rPr>
        <w:t>5.1 开标</w:t>
      </w:r>
    </w:p>
    <w:p>
      <w:pPr>
        <w:pStyle w:val="88"/>
        <w:snapToGrid w:val="0"/>
        <w:spacing w:line="300" w:lineRule="auto"/>
        <w:ind w:firstLine="420"/>
        <w:rPr>
          <w:rFonts w:ascii="宋体" w:hAnsi="宋体" w:cs="宋体"/>
        </w:rPr>
      </w:pPr>
      <w:r>
        <w:rPr>
          <w:rFonts w:hint="eastAsia" w:ascii="宋体" w:hAnsi="宋体" w:cs="宋体"/>
        </w:rPr>
        <w:t>5.1.1采购人按“投标人须知前附表”规定的时间、地点公开开标</w:t>
      </w:r>
      <w:r>
        <w:rPr>
          <w:rFonts w:hint="eastAsia" w:ascii="宋体" w:hAnsi="宋体" w:cs="宋体"/>
          <w:kern w:val="0"/>
          <w:szCs w:val="21"/>
        </w:rPr>
        <w:t>，并邀请所有投标人代表准时参加</w:t>
      </w:r>
      <w:r>
        <w:rPr>
          <w:rFonts w:hint="eastAsia" w:ascii="宋体" w:hAnsi="宋体" w:cs="宋体"/>
        </w:rPr>
        <w:t>。</w:t>
      </w:r>
    </w:p>
    <w:p>
      <w:pPr>
        <w:pStyle w:val="88"/>
        <w:snapToGrid w:val="0"/>
        <w:spacing w:line="300" w:lineRule="auto"/>
        <w:ind w:firstLine="420"/>
        <w:rPr>
          <w:rFonts w:ascii="宋体" w:hAnsi="宋体" w:cs="宋体"/>
          <w:u w:val="thick"/>
        </w:rPr>
      </w:pPr>
      <w:r>
        <w:rPr>
          <w:rFonts w:hint="eastAsia" w:ascii="宋体" w:hAnsi="宋体" w:cs="宋体"/>
        </w:rPr>
        <w:t>5.1.2</w:t>
      </w:r>
      <w:r>
        <w:rPr>
          <w:rFonts w:hint="eastAsia" w:ascii="宋体" w:hAnsi="宋体" w:cs="宋体"/>
          <w:b/>
          <w:kern w:val="0"/>
          <w:szCs w:val="21"/>
        </w:rPr>
        <w:t>投标人代表为法定代表人或其授权代表，</w:t>
      </w:r>
      <w:r>
        <w:rPr>
          <w:rFonts w:hint="eastAsia" w:ascii="宋体" w:hAnsi="宋体" w:cs="宋体"/>
          <w:b/>
        </w:rPr>
        <w:t>投标人代表应出席开标会，并签名报到，以证明其出席开标会议，</w:t>
      </w:r>
      <w:r>
        <w:rPr>
          <w:rFonts w:hint="eastAsia" w:ascii="宋体" w:hAnsi="宋体" w:cs="宋体"/>
          <w:b/>
          <w:bCs/>
        </w:rPr>
        <w:t>且随身携带有效身份证原件（或采购人认可的其他身份证明原件）。</w:t>
      </w:r>
    </w:p>
    <w:p>
      <w:pPr>
        <w:pStyle w:val="88"/>
        <w:snapToGrid w:val="0"/>
        <w:spacing w:line="300" w:lineRule="auto"/>
        <w:ind w:firstLine="420"/>
        <w:rPr>
          <w:rFonts w:ascii="宋体" w:hAnsi="宋体" w:cs="宋体"/>
        </w:rPr>
      </w:pPr>
      <w:r>
        <w:rPr>
          <w:rFonts w:hint="eastAsia" w:ascii="宋体" w:hAnsi="宋体" w:cs="宋体"/>
        </w:rPr>
        <w:t>5.1.3核验出席开标活动现场的各授权供应商代表及相关单位人员身份，并组织其分别登记、签到。</w:t>
      </w:r>
    </w:p>
    <w:p>
      <w:pPr>
        <w:pStyle w:val="88"/>
        <w:snapToGrid w:val="0"/>
        <w:spacing w:line="300" w:lineRule="auto"/>
        <w:ind w:firstLine="420"/>
        <w:rPr>
          <w:rFonts w:ascii="宋体" w:hAnsi="宋体" w:cs="宋体"/>
        </w:rPr>
      </w:pPr>
      <w:r>
        <w:rPr>
          <w:rFonts w:hint="eastAsia" w:ascii="宋体" w:hAnsi="宋体" w:cs="宋体"/>
        </w:rPr>
        <w:t>对现场接受投标文件的，由现场工作人员接收投标文件并登记，请供应商代表对投标文件的递交记录情况进行签字确认。</w:t>
      </w:r>
    </w:p>
    <w:p>
      <w:pPr>
        <w:pStyle w:val="88"/>
        <w:snapToGrid w:val="0"/>
        <w:spacing w:line="300" w:lineRule="auto"/>
        <w:ind w:firstLine="420"/>
        <w:rPr>
          <w:rFonts w:ascii="宋体" w:hAnsi="宋体" w:cs="宋体"/>
        </w:rPr>
      </w:pPr>
      <w:r>
        <w:rPr>
          <w:rFonts w:hint="eastAsia" w:ascii="宋体" w:hAnsi="宋体" w:cs="宋体"/>
        </w:rPr>
        <w:t>主持人宣布开标，介绍开标现场的人员情况，宣读递交投标文件的供应商名单、开标纪律、应当回避的情形等注意事项，组织供应商签署《政府采购活动现场确认声明书》。</w:t>
      </w:r>
    </w:p>
    <w:p>
      <w:pPr>
        <w:pStyle w:val="88"/>
        <w:snapToGrid w:val="0"/>
        <w:spacing w:line="300" w:lineRule="auto"/>
        <w:ind w:firstLine="420"/>
        <w:rPr>
          <w:rFonts w:ascii="宋体" w:hAnsi="宋体" w:cs="宋体"/>
        </w:rPr>
      </w:pPr>
      <w:r>
        <w:rPr>
          <w:rFonts w:hint="eastAsia" w:ascii="宋体" w:hAnsi="宋体" w:cs="宋体"/>
        </w:rPr>
        <w:t>对供应商保证金缴纳情况进行查验、核实。</w:t>
      </w:r>
    </w:p>
    <w:p>
      <w:pPr>
        <w:pStyle w:val="88"/>
        <w:snapToGrid w:val="0"/>
        <w:spacing w:line="300" w:lineRule="auto"/>
        <w:ind w:firstLine="420"/>
        <w:rPr>
          <w:rFonts w:ascii="宋体" w:hAnsi="宋体" w:cs="宋体"/>
        </w:rPr>
      </w:pPr>
      <w:r>
        <w:rPr>
          <w:rFonts w:hint="eastAsia" w:ascii="宋体" w:hAnsi="宋体" w:cs="宋体"/>
        </w:rPr>
        <w:t>提请供应商代表或公证人员查验投标文件密封情况。</w:t>
      </w:r>
    </w:p>
    <w:p>
      <w:pPr>
        <w:pStyle w:val="88"/>
        <w:snapToGrid w:val="0"/>
        <w:spacing w:line="300" w:lineRule="auto"/>
        <w:ind w:firstLine="420"/>
        <w:rPr>
          <w:rFonts w:ascii="宋体" w:hAnsi="宋体" w:cs="宋体"/>
        </w:rPr>
      </w:pPr>
      <w:r>
        <w:rPr>
          <w:rFonts w:hint="eastAsia" w:ascii="宋体" w:hAnsi="宋体" w:cs="宋体"/>
        </w:rPr>
        <w:t>按供应商提交投标文件的先后顺序当众拆封、清点投标文件（商务技术文件）（包括正本、副本）数量，将报价文件现场集中封存保管等候拆封，将拆封后的商务和技术文件由现场工作人员护送至指定的评审地点。同时告知供应商代表拆封报价文件的预计时间。</w:t>
      </w:r>
    </w:p>
    <w:p>
      <w:pPr>
        <w:pStyle w:val="88"/>
        <w:snapToGrid w:val="0"/>
        <w:spacing w:line="300" w:lineRule="auto"/>
        <w:ind w:firstLine="420"/>
        <w:rPr>
          <w:rFonts w:ascii="宋体" w:hAnsi="宋体" w:cs="宋体"/>
        </w:rPr>
      </w:pPr>
      <w:r>
        <w:rPr>
          <w:rFonts w:hint="eastAsia" w:ascii="宋体" w:hAnsi="宋体" w:cs="宋体"/>
        </w:rPr>
        <w:t>商务和技术评审结束后，主持人宣告商务和技术评审无效供应商名称及理由，供应商代表可收回未拆封的报价文件并签字确认；公布经商务和技术评审符合采购需求的供应商名单，采用综合评分法的，应同时公布其商务和技术得分情况。</w:t>
      </w:r>
    </w:p>
    <w:p>
      <w:pPr>
        <w:pStyle w:val="88"/>
        <w:snapToGrid w:val="0"/>
        <w:spacing w:line="300" w:lineRule="auto"/>
        <w:ind w:firstLine="420"/>
        <w:rPr>
          <w:rFonts w:ascii="宋体" w:hAnsi="宋体" w:cs="宋体"/>
        </w:rPr>
      </w:pPr>
      <w:r>
        <w:rPr>
          <w:rFonts w:hint="eastAsia" w:ascii="宋体" w:hAnsi="宋体" w:cs="宋体"/>
        </w:rPr>
        <w:t>拆封供应商报价文件，宣读开标（报价）一览表有关内容，同时当场制作并打印开标记录表，由供应商代表、唱标人、记录人和现场监督员在开标记录表上签字确认（不予确认的应说明理由，否则视为无异议）。唱标结束后，现场工作人员将报价文件及开标记录表护送至指定评审地点，由评审小组对报价的合理性、准确性等进行审查核实。</w:t>
      </w:r>
    </w:p>
    <w:p>
      <w:pPr>
        <w:pStyle w:val="88"/>
        <w:snapToGrid w:val="0"/>
        <w:spacing w:line="300" w:lineRule="auto"/>
        <w:ind w:firstLine="420"/>
        <w:rPr>
          <w:rFonts w:ascii="宋体" w:hAnsi="宋体" w:cs="宋体"/>
        </w:rPr>
      </w:pPr>
      <w:r>
        <w:rPr>
          <w:rFonts w:hint="eastAsia" w:ascii="宋体" w:hAnsi="宋体" w:cs="宋体"/>
        </w:rPr>
        <w:t>评审结束后，主持人公布中标候选供应商名单，及采购人最终确定中标供应商名单的时间和公告方式等。</w:t>
      </w:r>
    </w:p>
    <w:p>
      <w:pPr>
        <w:pStyle w:val="88"/>
        <w:snapToGrid w:val="0"/>
        <w:spacing w:line="300" w:lineRule="auto"/>
        <w:ind w:firstLine="420"/>
        <w:rPr>
          <w:rFonts w:ascii="宋体" w:hAnsi="宋体" w:cs="宋体"/>
        </w:rPr>
      </w:pPr>
      <w:r>
        <w:rPr>
          <w:rFonts w:hint="eastAsia" w:ascii="宋体" w:hAnsi="宋体" w:cs="宋体"/>
        </w:rPr>
        <w:t>5.1.4开标时，正本与副本不一致时，以正本为准；</w:t>
      </w:r>
      <w:r>
        <w:rPr>
          <w:rFonts w:hint="eastAsia" w:ascii="宋体" w:hAnsi="宋体" w:cs="宋体"/>
          <w:lang w:val="zh-CN"/>
        </w:rPr>
        <w:t>投标文件</w:t>
      </w:r>
      <w:r>
        <w:rPr>
          <w:rFonts w:hint="eastAsia" w:ascii="宋体" w:hAnsi="宋体" w:cs="宋体"/>
        </w:rPr>
        <w:t>中的开标一览表内容与</w:t>
      </w:r>
      <w:r>
        <w:rPr>
          <w:rFonts w:hint="eastAsia" w:ascii="宋体" w:hAnsi="宋体" w:cs="宋体"/>
          <w:lang w:val="zh-CN"/>
        </w:rPr>
        <w:t>投标文件</w:t>
      </w:r>
      <w:r>
        <w:rPr>
          <w:rFonts w:hint="eastAsia" w:ascii="宋体" w:hAnsi="宋体" w:cs="宋体"/>
        </w:rPr>
        <w:t>中明细表内容不一致的，以开标一览表为准；</w:t>
      </w:r>
      <w:r>
        <w:rPr>
          <w:rFonts w:hint="eastAsia" w:ascii="宋体" w:hAnsi="宋体" w:cs="宋体"/>
          <w:lang w:val="zh-CN"/>
        </w:rPr>
        <w:t>投标文件</w:t>
      </w:r>
      <w:r>
        <w:rPr>
          <w:rFonts w:hint="eastAsia" w:ascii="宋体" w:hAnsi="宋体" w:cs="宋体"/>
        </w:rPr>
        <w:t>的大写金额和小写金额不一致的，以大写金额为准；对不同文字文本</w:t>
      </w:r>
      <w:r>
        <w:rPr>
          <w:rFonts w:hint="eastAsia" w:ascii="宋体" w:hAnsi="宋体" w:cs="宋体"/>
          <w:lang w:val="zh-CN"/>
        </w:rPr>
        <w:t>投标文件</w:t>
      </w:r>
      <w:r>
        <w:rPr>
          <w:rFonts w:hint="eastAsia" w:ascii="宋体" w:hAnsi="宋体" w:cs="宋体"/>
        </w:rPr>
        <w:t>的解释发生异议的，以中文文本为准。</w:t>
      </w:r>
    </w:p>
    <w:p>
      <w:pPr>
        <w:pStyle w:val="88"/>
        <w:snapToGrid w:val="0"/>
        <w:spacing w:line="300" w:lineRule="auto"/>
        <w:ind w:firstLine="420"/>
        <w:rPr>
          <w:rFonts w:ascii="宋体" w:hAnsi="宋体" w:cs="宋体"/>
        </w:rPr>
      </w:pPr>
      <w:r>
        <w:rPr>
          <w:rFonts w:hint="eastAsia" w:ascii="宋体" w:hAnsi="宋体" w:cs="宋体"/>
        </w:rPr>
        <w:t>5.1.5投标人在投标截止时间前提交投标文件撤回函的，采购人应在开标时宣读撤回函，并将其投标文件及其投标保证金及时退还投标人。</w:t>
      </w:r>
    </w:p>
    <w:p>
      <w:pPr>
        <w:pStyle w:val="88"/>
        <w:snapToGrid w:val="0"/>
        <w:spacing w:line="300" w:lineRule="auto"/>
        <w:ind w:firstLine="420"/>
        <w:rPr>
          <w:rFonts w:ascii="宋体" w:hAnsi="宋体" w:cs="宋体"/>
        </w:rPr>
      </w:pPr>
      <w:r>
        <w:rPr>
          <w:rFonts w:hint="eastAsia" w:ascii="宋体" w:hAnsi="宋体" w:cs="宋体"/>
        </w:rPr>
        <w:t>5.1.6开标结束后，如发现开标结果与投标文件不一致者，除评标委员会认定的特殊情况应另行处理外，其开标结果不予纠正。</w:t>
      </w:r>
    </w:p>
    <w:p>
      <w:pPr>
        <w:pStyle w:val="88"/>
        <w:snapToGrid w:val="0"/>
        <w:spacing w:line="300" w:lineRule="auto"/>
        <w:ind w:firstLine="420"/>
        <w:rPr>
          <w:rFonts w:ascii="宋体" w:hAnsi="宋体" w:cs="宋体"/>
        </w:rPr>
      </w:pPr>
      <w:r>
        <w:rPr>
          <w:rFonts w:hint="eastAsia" w:ascii="宋体" w:hAnsi="宋体" w:cs="宋体"/>
          <w:szCs w:val="21"/>
        </w:rPr>
        <w:t>5.1.7如投标人不派代表参加开标会（未到场或者不能出示其身份证件或者未按时签到的），投标人不得对采购相关人员、开标过程和开标结果提出异议。</w:t>
      </w:r>
    </w:p>
    <w:p>
      <w:pPr>
        <w:pStyle w:val="7"/>
        <w:ind w:firstLine="422"/>
        <w:rPr>
          <w:rFonts w:ascii="宋体" w:hAnsi="宋体" w:cs="宋体"/>
        </w:rPr>
      </w:pPr>
      <w:r>
        <w:rPr>
          <w:rFonts w:hint="eastAsia" w:ascii="宋体" w:hAnsi="宋体" w:cs="宋体"/>
        </w:rPr>
        <w:t>5.2 不予接收的投标文件</w:t>
      </w:r>
    </w:p>
    <w:p>
      <w:pPr>
        <w:pStyle w:val="88"/>
        <w:snapToGrid w:val="0"/>
        <w:spacing w:line="300" w:lineRule="auto"/>
        <w:ind w:firstLine="420"/>
        <w:rPr>
          <w:rFonts w:ascii="宋体" w:hAnsi="宋体" w:cs="宋体"/>
        </w:rPr>
      </w:pPr>
      <w:r>
        <w:rPr>
          <w:rFonts w:hint="eastAsia" w:ascii="宋体" w:hAnsi="宋体" w:cs="宋体"/>
        </w:rPr>
        <w:t>1）在投标截止时间以后送达的投标文件；</w:t>
      </w:r>
    </w:p>
    <w:p>
      <w:pPr>
        <w:pStyle w:val="88"/>
        <w:snapToGrid w:val="0"/>
        <w:spacing w:line="300" w:lineRule="auto"/>
        <w:ind w:firstLine="420"/>
        <w:rPr>
          <w:rFonts w:ascii="宋体" w:hAnsi="宋体" w:cs="宋体"/>
        </w:rPr>
      </w:pPr>
      <w:r>
        <w:rPr>
          <w:rFonts w:hint="eastAsia" w:ascii="宋体" w:hAnsi="宋体" w:cs="宋体"/>
        </w:rPr>
        <w:t>2）未密封的投标文件；</w:t>
      </w:r>
    </w:p>
    <w:p>
      <w:pPr>
        <w:pStyle w:val="7"/>
        <w:ind w:firstLine="422"/>
        <w:rPr>
          <w:rFonts w:ascii="宋体" w:hAnsi="宋体" w:cs="宋体"/>
        </w:rPr>
      </w:pPr>
      <w:r>
        <w:rPr>
          <w:rFonts w:hint="eastAsia" w:ascii="宋体" w:hAnsi="宋体" w:cs="宋体"/>
        </w:rPr>
        <w:t>5.3 投标人资格审查</w:t>
      </w:r>
    </w:p>
    <w:p>
      <w:pPr>
        <w:pStyle w:val="88"/>
        <w:spacing w:line="300" w:lineRule="auto"/>
        <w:ind w:firstLine="420"/>
        <w:rPr>
          <w:rFonts w:ascii="宋体" w:hAnsi="宋体" w:cs="宋体"/>
        </w:rPr>
      </w:pPr>
      <w:r>
        <w:rPr>
          <w:rFonts w:hint="eastAsia" w:ascii="宋体" w:hAnsi="宋体" w:cs="宋体"/>
        </w:rPr>
        <w:t>采购代理机构将首先审查各供应商的资格条件是否满足招标文件的要求。采购代理机构对投标人所提供的资格证明材料仅负审核的责任。如发现投标人所提供的资格证明材料不合法或不真实，采购人可取消中标资格并追究投标人的法律责任。</w:t>
      </w:r>
    </w:p>
    <w:p>
      <w:pPr>
        <w:pStyle w:val="7"/>
        <w:ind w:firstLine="422"/>
        <w:rPr>
          <w:rFonts w:ascii="宋体" w:hAnsi="宋体" w:cs="宋体"/>
        </w:rPr>
      </w:pPr>
      <w:r>
        <w:rPr>
          <w:rFonts w:hint="eastAsia" w:ascii="宋体" w:hAnsi="宋体" w:cs="宋体"/>
        </w:rPr>
        <w:t>5.4 投标文件符合性审查</w:t>
      </w:r>
    </w:p>
    <w:p>
      <w:pPr>
        <w:pStyle w:val="88"/>
        <w:spacing w:line="300" w:lineRule="auto"/>
        <w:ind w:firstLine="420"/>
        <w:rPr>
          <w:rFonts w:ascii="宋体" w:hAnsi="宋体" w:cs="宋体"/>
        </w:rPr>
      </w:pPr>
      <w:r>
        <w:rPr>
          <w:rFonts w:hint="eastAsia" w:ascii="宋体" w:hAnsi="宋体" w:cs="宋体"/>
        </w:rPr>
        <w:t>5.4.1评标委员会将首先审查每份投标文件是否实质上响应了招标文件的要求，实质性响应的投标文件是指投标文件符合招标文件规定的实质性内容、条件和规定。</w:t>
      </w:r>
    </w:p>
    <w:p>
      <w:pPr>
        <w:pStyle w:val="88"/>
        <w:spacing w:line="300" w:lineRule="auto"/>
        <w:ind w:firstLine="420"/>
        <w:rPr>
          <w:rFonts w:ascii="宋体" w:hAnsi="宋体" w:cs="宋体"/>
        </w:rPr>
      </w:pPr>
      <w:r>
        <w:rPr>
          <w:rFonts w:hint="eastAsia" w:ascii="宋体" w:hAnsi="宋体" w:cs="宋体"/>
        </w:rPr>
        <w:t>5.4.2重大偏离或保留是指将会影响到招标文件规定的服务范围、质量标准，或会给合同中规定的采购人的权利和投标人的责任造成实质性限制，而纠正这些偏离或保留将对其他提交了实质性响应的投标文件的投标人产生不公平影响的。</w:t>
      </w:r>
    </w:p>
    <w:p>
      <w:pPr>
        <w:pStyle w:val="88"/>
        <w:spacing w:line="300" w:lineRule="auto"/>
        <w:ind w:firstLine="420"/>
        <w:rPr>
          <w:rFonts w:ascii="宋体" w:hAnsi="宋体" w:cs="宋体"/>
        </w:rPr>
      </w:pPr>
      <w:r>
        <w:rPr>
          <w:rFonts w:hint="eastAsia" w:ascii="宋体" w:hAnsi="宋体" w:cs="宋体"/>
        </w:rPr>
        <w:t>5.4.3细微偏离是指投标文件对招标文件的非实质性内容存在不完全响应或不响应。</w:t>
      </w:r>
    </w:p>
    <w:p>
      <w:pPr>
        <w:pStyle w:val="88"/>
        <w:spacing w:line="300" w:lineRule="auto"/>
        <w:ind w:firstLine="420"/>
        <w:rPr>
          <w:rFonts w:ascii="宋体" w:hAnsi="宋体" w:cs="宋体"/>
        </w:rPr>
      </w:pPr>
      <w:r>
        <w:rPr>
          <w:rFonts w:hint="eastAsia" w:ascii="宋体" w:hAnsi="宋体" w:cs="宋体"/>
        </w:rPr>
        <w:t>5.4.4重大偏离和保留、细微偏离由评标委员会界定。初步评审时如发现投标文件与招标文件要求有重大偏离和保留，其投标文件将被作无效标处理。投标人不得通过修正或撤消不符合招标文件要求的重大偏离和保留从而使其投标文件实质性响应招标文件要求。但允许投标文件在实质性满足招标文件要求的前提下出现的细微偏差，在详细评审时可按评标办法对细微偏差做出不利于该投标人的评审。</w:t>
      </w:r>
    </w:p>
    <w:p>
      <w:pPr>
        <w:pStyle w:val="7"/>
        <w:ind w:firstLine="422"/>
        <w:rPr>
          <w:rFonts w:ascii="宋体" w:hAnsi="宋体" w:cs="宋体"/>
        </w:rPr>
      </w:pPr>
      <w:r>
        <w:rPr>
          <w:rFonts w:hint="eastAsia" w:ascii="宋体" w:hAnsi="宋体" w:cs="宋体"/>
        </w:rPr>
        <w:t>5.5 投标文件的澄清、说明或者补正</w:t>
      </w:r>
    </w:p>
    <w:p>
      <w:pPr>
        <w:pStyle w:val="88"/>
        <w:spacing w:line="300" w:lineRule="auto"/>
        <w:ind w:firstLine="420"/>
        <w:rPr>
          <w:rFonts w:ascii="宋体" w:hAnsi="宋体" w:cs="宋体"/>
        </w:rPr>
      </w:pPr>
      <w:r>
        <w:rPr>
          <w:rFonts w:hint="eastAsia" w:ascii="宋体" w:hAnsi="宋体" w:cs="宋体"/>
        </w:rPr>
        <w:t>5.5.1评标委员会应当书面形式要求投标人对投标文件中含义不明确、同类问题表述不一致、有明显的文字和计算错误的内容作出必要的澄清、说明或者补正。</w:t>
      </w:r>
    </w:p>
    <w:p>
      <w:pPr>
        <w:pStyle w:val="88"/>
        <w:spacing w:line="300" w:lineRule="auto"/>
        <w:ind w:firstLine="420"/>
        <w:rPr>
          <w:rFonts w:ascii="宋体" w:hAnsi="宋体" w:cs="宋体"/>
        </w:rPr>
      </w:pPr>
      <w:r>
        <w:rPr>
          <w:rFonts w:hint="eastAsia" w:ascii="宋体" w:hAnsi="宋体" w:cs="宋体"/>
        </w:rPr>
        <w:t>5.5.2投标人的澄清、说明或者补正应当采用书面形式，并加盖公章，或者由法定代表人或其授权的代表签字。投标人的澄清、说明或者补正不得超出投标文件的范围或者改变投标文件的实质性内容。</w:t>
      </w:r>
    </w:p>
    <w:p>
      <w:pPr>
        <w:pStyle w:val="7"/>
        <w:ind w:firstLine="422"/>
        <w:rPr>
          <w:rFonts w:ascii="宋体" w:hAnsi="宋体" w:cs="宋体"/>
        </w:rPr>
      </w:pPr>
      <w:r>
        <w:rPr>
          <w:rFonts w:hint="eastAsia" w:ascii="宋体" w:hAnsi="宋体" w:cs="宋体"/>
        </w:rPr>
        <w:t>5.6 错误修正</w:t>
      </w:r>
    </w:p>
    <w:p>
      <w:pPr>
        <w:pStyle w:val="88"/>
        <w:spacing w:line="300" w:lineRule="auto"/>
        <w:ind w:firstLine="420"/>
        <w:rPr>
          <w:rFonts w:ascii="宋体" w:hAnsi="宋体" w:cs="宋体"/>
        </w:rPr>
      </w:pPr>
      <w:r>
        <w:rPr>
          <w:rFonts w:hint="eastAsia" w:ascii="宋体" w:hAnsi="宋体" w:cs="宋体"/>
        </w:rPr>
        <w:t>评标委员会将对确定为实质上响应招标文件要求的投标文件进行校核，投标文件报价出现前后不一致的，</w:t>
      </w:r>
      <w:r>
        <w:rPr>
          <w:rFonts w:hint="eastAsia" w:ascii="宋体" w:hAnsi="宋体" w:cs="宋体"/>
          <w:bCs/>
        </w:rPr>
        <w:t>按照下列规定修正：</w:t>
      </w:r>
    </w:p>
    <w:p>
      <w:pPr>
        <w:pStyle w:val="88"/>
        <w:spacing w:line="300" w:lineRule="auto"/>
        <w:ind w:firstLine="420"/>
        <w:rPr>
          <w:rFonts w:ascii="宋体" w:hAnsi="宋体" w:cs="宋体"/>
        </w:rPr>
      </w:pPr>
      <w:r>
        <w:rPr>
          <w:rFonts w:hint="eastAsia" w:ascii="宋体" w:hAnsi="宋体" w:cs="宋体"/>
          <w:bCs/>
        </w:rPr>
        <w:t>（1）</w:t>
      </w:r>
      <w:r>
        <w:rPr>
          <w:rFonts w:hint="eastAsia" w:ascii="宋体" w:hAnsi="宋体" w:cs="宋体"/>
        </w:rPr>
        <w:t>正本与副本不一致时，以正本为准；</w:t>
      </w:r>
    </w:p>
    <w:p>
      <w:pPr>
        <w:pStyle w:val="88"/>
        <w:spacing w:line="300" w:lineRule="auto"/>
        <w:ind w:firstLine="420"/>
        <w:rPr>
          <w:rFonts w:ascii="宋体" w:hAnsi="宋体" w:cs="宋体"/>
        </w:rPr>
      </w:pPr>
      <w:r>
        <w:rPr>
          <w:rFonts w:hint="eastAsia" w:ascii="宋体" w:hAnsi="宋体" w:cs="宋体"/>
        </w:rPr>
        <w:t>（2）投标文件中开标一览表（报价表）内容与投标文件中相应内容不一致的，以开标一览表（报价表）为准；</w:t>
      </w:r>
    </w:p>
    <w:p>
      <w:pPr>
        <w:pStyle w:val="88"/>
        <w:spacing w:line="300" w:lineRule="auto"/>
        <w:ind w:firstLine="420"/>
        <w:rPr>
          <w:rFonts w:ascii="宋体" w:hAnsi="宋体" w:cs="宋体"/>
        </w:rPr>
      </w:pPr>
      <w:r>
        <w:rPr>
          <w:rFonts w:hint="eastAsia" w:ascii="宋体" w:hAnsi="宋体" w:cs="宋体"/>
        </w:rPr>
        <w:t>（3）大写金额和小写金额不一致的，以大写金额为准；</w:t>
      </w:r>
    </w:p>
    <w:p>
      <w:pPr>
        <w:pStyle w:val="88"/>
        <w:spacing w:line="300" w:lineRule="auto"/>
        <w:ind w:firstLine="420"/>
        <w:rPr>
          <w:rFonts w:ascii="宋体" w:hAnsi="宋体" w:cs="宋体"/>
        </w:rPr>
      </w:pPr>
      <w:r>
        <w:rPr>
          <w:rFonts w:hint="eastAsia" w:ascii="宋体" w:hAnsi="宋体" w:cs="宋体"/>
        </w:rPr>
        <w:t>（4）单价金额小数点或者百分比有明显错位的，以开标一览表的总价为准，并修改单价；</w:t>
      </w:r>
    </w:p>
    <w:p>
      <w:pPr>
        <w:pStyle w:val="88"/>
        <w:spacing w:line="300" w:lineRule="auto"/>
        <w:ind w:firstLine="420"/>
        <w:rPr>
          <w:rFonts w:ascii="宋体" w:hAnsi="宋体" w:cs="宋体"/>
        </w:rPr>
      </w:pPr>
      <w:r>
        <w:rPr>
          <w:rFonts w:hint="eastAsia" w:ascii="宋体" w:hAnsi="宋体" w:cs="宋体"/>
        </w:rPr>
        <w:t>（5）总价金额与按单价汇总金额不一致的，以单价金额计算结果为准。</w:t>
      </w:r>
    </w:p>
    <w:p>
      <w:pPr>
        <w:pStyle w:val="88"/>
        <w:spacing w:line="300" w:lineRule="auto"/>
        <w:ind w:firstLine="422"/>
        <w:rPr>
          <w:rFonts w:ascii="宋体" w:hAnsi="宋体" w:cs="宋体"/>
          <w:b/>
        </w:rPr>
      </w:pPr>
      <w:r>
        <w:rPr>
          <w:rFonts w:hint="eastAsia" w:ascii="宋体" w:hAnsi="宋体" w:cs="宋体"/>
          <w:b/>
        </w:rPr>
        <w:t>同时出现两种以上不一致的，按照前款规定的顺序修正。修正后的报价以澄清方式经投标人确认后产生约束力，投标人不确认的，其投标无效。</w:t>
      </w:r>
    </w:p>
    <w:p>
      <w:pPr>
        <w:pStyle w:val="7"/>
        <w:ind w:firstLine="422"/>
        <w:rPr>
          <w:rFonts w:ascii="宋体" w:hAnsi="宋体" w:cs="宋体"/>
        </w:rPr>
      </w:pPr>
      <w:r>
        <w:rPr>
          <w:rFonts w:hint="eastAsia" w:ascii="宋体" w:hAnsi="宋体" w:cs="宋体"/>
        </w:rPr>
        <w:t>5.7 合理报价澄清说明</w:t>
      </w:r>
    </w:p>
    <w:p>
      <w:pPr>
        <w:pStyle w:val="88"/>
        <w:spacing w:line="300" w:lineRule="auto"/>
        <w:ind w:firstLine="420"/>
        <w:rPr>
          <w:rFonts w:ascii="宋体" w:hAnsi="宋体" w:cs="宋体"/>
        </w:rPr>
      </w:pPr>
      <w:r>
        <w:rPr>
          <w:rFonts w:hint="eastAsia" w:ascii="宋体" w:hAnsi="宋体" w:cs="宋体"/>
        </w:rPr>
        <w:t>评标委员会认为投标人的报价明显低于其他通过符合性审查投标人的报价，有可能影响产品质量或者不能诚信履约的，应当要求其在评标现场30分钟内提供书面说明，必要时提交相关证明材料；投标人不能证明其报价合理性的，评标委员会应当将其作为无效投标处理。</w:t>
      </w:r>
    </w:p>
    <w:p>
      <w:pPr>
        <w:pStyle w:val="7"/>
        <w:ind w:firstLine="422"/>
        <w:rPr>
          <w:rFonts w:ascii="宋体" w:hAnsi="宋体" w:cs="宋体"/>
        </w:rPr>
      </w:pPr>
      <w:r>
        <w:rPr>
          <w:rFonts w:hint="eastAsia" w:ascii="宋体" w:hAnsi="宋体" w:cs="宋体"/>
        </w:rPr>
        <w:t>5.8 无效标</w:t>
      </w:r>
    </w:p>
    <w:p>
      <w:pPr>
        <w:spacing w:line="300" w:lineRule="auto"/>
        <w:ind w:firstLine="413" w:firstLineChars="196"/>
        <w:rPr>
          <w:rFonts w:ascii="宋体" w:hAnsi="宋体" w:cs="宋体"/>
          <w:b/>
          <w:u w:val="single"/>
        </w:rPr>
      </w:pPr>
      <w:r>
        <w:rPr>
          <w:rFonts w:hint="eastAsia" w:ascii="宋体" w:hAnsi="宋体" w:cs="宋体"/>
          <w:b/>
          <w:u w:val="single"/>
        </w:rPr>
        <w:t>有下列情形之一的投标文件，由评标委员会按少数服从多数原则进行认定，经认定属实后将该投标文件作无效标处理：</w:t>
      </w:r>
    </w:p>
    <w:p>
      <w:pPr>
        <w:pStyle w:val="21"/>
        <w:numPr>
          <w:ilvl w:val="0"/>
          <w:numId w:val="4"/>
        </w:numPr>
        <w:spacing w:line="300" w:lineRule="auto"/>
        <w:ind w:firstLine="400"/>
        <w:rPr>
          <w:rFonts w:hAnsi="宋体" w:cs="宋体"/>
          <w:szCs w:val="21"/>
        </w:rPr>
      </w:pPr>
      <w:r>
        <w:rPr>
          <w:rFonts w:hint="eastAsia" w:hAnsi="宋体" w:cs="宋体"/>
          <w:szCs w:val="21"/>
        </w:rPr>
        <w:t xml:space="preserve">未按招标文件规定提供投标保证金的投标文件； </w:t>
      </w:r>
    </w:p>
    <w:p>
      <w:pPr>
        <w:pStyle w:val="21"/>
        <w:numPr>
          <w:ilvl w:val="0"/>
          <w:numId w:val="4"/>
        </w:numPr>
        <w:spacing w:line="300" w:lineRule="auto"/>
        <w:ind w:firstLine="400"/>
        <w:rPr>
          <w:rFonts w:hAnsi="宋体" w:cs="宋体"/>
          <w:szCs w:val="21"/>
        </w:rPr>
      </w:pPr>
      <w:r>
        <w:rPr>
          <w:rFonts w:hint="eastAsia" w:hAnsi="宋体" w:cs="宋体"/>
          <w:szCs w:val="21"/>
        </w:rPr>
        <w:t>报名的投标人与参加投标的投标人发生实质性变更的且未提供有效证明的；</w:t>
      </w:r>
    </w:p>
    <w:p>
      <w:pPr>
        <w:pStyle w:val="21"/>
        <w:numPr>
          <w:ilvl w:val="0"/>
          <w:numId w:val="4"/>
        </w:numPr>
        <w:spacing w:line="300" w:lineRule="auto"/>
        <w:ind w:firstLine="400"/>
        <w:rPr>
          <w:rFonts w:hAnsi="宋体" w:cs="宋体"/>
          <w:szCs w:val="21"/>
        </w:rPr>
      </w:pPr>
      <w:r>
        <w:rPr>
          <w:rFonts w:hint="eastAsia" w:hAnsi="宋体" w:cs="宋体"/>
          <w:szCs w:val="21"/>
        </w:rPr>
        <w:t>投标人提交两份或两份以上内容不同的投标文件，未声明哪一份有效的；</w:t>
      </w:r>
    </w:p>
    <w:p>
      <w:pPr>
        <w:pStyle w:val="21"/>
        <w:numPr>
          <w:ilvl w:val="0"/>
          <w:numId w:val="4"/>
        </w:numPr>
        <w:spacing w:line="300" w:lineRule="auto"/>
        <w:ind w:firstLine="400"/>
        <w:rPr>
          <w:rFonts w:hAnsi="宋体" w:cs="宋体"/>
          <w:szCs w:val="21"/>
        </w:rPr>
      </w:pPr>
      <w:r>
        <w:rPr>
          <w:rFonts w:hint="eastAsia" w:hAnsi="宋体" w:cs="宋体"/>
          <w:szCs w:val="21"/>
        </w:rPr>
        <w:t>投标文件非投标人法定代表人签署的，未提供或提供无效的法定代表人授权书；</w:t>
      </w:r>
    </w:p>
    <w:p>
      <w:pPr>
        <w:pStyle w:val="21"/>
        <w:numPr>
          <w:ilvl w:val="0"/>
          <w:numId w:val="4"/>
        </w:numPr>
        <w:spacing w:line="300" w:lineRule="auto"/>
        <w:ind w:firstLine="400"/>
        <w:rPr>
          <w:rFonts w:hAnsi="宋体" w:cs="宋体"/>
          <w:szCs w:val="21"/>
        </w:rPr>
      </w:pPr>
      <w:r>
        <w:rPr>
          <w:rFonts w:hint="eastAsia" w:hAnsi="宋体" w:cs="宋体"/>
          <w:szCs w:val="21"/>
        </w:rPr>
        <w:t>未按招标文件规定装订；</w:t>
      </w:r>
    </w:p>
    <w:p>
      <w:pPr>
        <w:pStyle w:val="21"/>
        <w:numPr>
          <w:ilvl w:val="0"/>
          <w:numId w:val="4"/>
        </w:numPr>
        <w:spacing w:line="300" w:lineRule="auto"/>
        <w:ind w:firstLine="400"/>
        <w:rPr>
          <w:rFonts w:hAnsi="宋体" w:cs="宋体"/>
          <w:szCs w:val="21"/>
        </w:rPr>
      </w:pPr>
      <w:r>
        <w:rPr>
          <w:rFonts w:hint="eastAsia" w:hAnsi="宋体" w:cs="宋体"/>
          <w:szCs w:val="21"/>
        </w:rPr>
        <w:t>投标文件内容未按招标文件规定签字或盖章的；</w:t>
      </w:r>
    </w:p>
    <w:p>
      <w:pPr>
        <w:pStyle w:val="21"/>
        <w:numPr>
          <w:ilvl w:val="0"/>
          <w:numId w:val="4"/>
        </w:numPr>
        <w:spacing w:line="300" w:lineRule="auto"/>
        <w:ind w:firstLine="400"/>
        <w:rPr>
          <w:rFonts w:hAnsi="宋体" w:cs="宋体"/>
          <w:szCs w:val="21"/>
        </w:rPr>
      </w:pPr>
      <w:r>
        <w:rPr>
          <w:rFonts w:hint="eastAsia" w:hAnsi="宋体" w:cs="宋体"/>
          <w:szCs w:val="21"/>
        </w:rPr>
        <w:t>投标文件组成漏项或未按规定的格式编制或投标文件正、副本份数不足或内容不全或内容字迹模糊辨认不清的等而导致评标活动无法正常进行；</w:t>
      </w:r>
    </w:p>
    <w:p>
      <w:pPr>
        <w:pStyle w:val="21"/>
        <w:numPr>
          <w:ilvl w:val="0"/>
          <w:numId w:val="4"/>
        </w:numPr>
        <w:spacing w:line="300" w:lineRule="auto"/>
        <w:ind w:firstLine="400"/>
        <w:rPr>
          <w:rFonts w:hAnsi="宋体" w:cs="宋体"/>
          <w:szCs w:val="21"/>
        </w:rPr>
      </w:pPr>
      <w:r>
        <w:rPr>
          <w:rFonts w:hint="eastAsia" w:hAnsi="宋体" w:cs="宋体"/>
          <w:szCs w:val="21"/>
        </w:rPr>
        <w:t>投标人未按招标文件变更通知更改投标文件的；</w:t>
      </w:r>
    </w:p>
    <w:p>
      <w:pPr>
        <w:pStyle w:val="21"/>
        <w:numPr>
          <w:ilvl w:val="0"/>
          <w:numId w:val="4"/>
        </w:numPr>
        <w:spacing w:line="300" w:lineRule="auto"/>
        <w:ind w:firstLine="400"/>
        <w:rPr>
          <w:rFonts w:hAnsi="宋体" w:cs="宋体"/>
          <w:szCs w:val="21"/>
        </w:rPr>
      </w:pPr>
      <w:r>
        <w:rPr>
          <w:rFonts w:hint="eastAsia" w:hAnsi="宋体" w:cs="宋体"/>
          <w:szCs w:val="21"/>
        </w:rPr>
        <w:t>《开标一览表》和《投标价格组成明细表》内容不完整且不接受修正意见或字迹不能辨认的或未提供；</w:t>
      </w:r>
    </w:p>
    <w:p>
      <w:pPr>
        <w:pStyle w:val="21"/>
        <w:numPr>
          <w:ilvl w:val="0"/>
          <w:numId w:val="4"/>
        </w:numPr>
        <w:spacing w:line="300" w:lineRule="auto"/>
        <w:ind w:firstLine="400"/>
        <w:rPr>
          <w:rFonts w:hAnsi="宋体" w:cs="宋体"/>
          <w:szCs w:val="21"/>
        </w:rPr>
      </w:pPr>
      <w:r>
        <w:rPr>
          <w:rFonts w:hint="eastAsia" w:hAnsi="宋体" w:cs="宋体"/>
          <w:szCs w:val="21"/>
        </w:rPr>
        <w:t>标项投标报价超过招标文件规定的预算金额或最高限价；</w:t>
      </w:r>
    </w:p>
    <w:p>
      <w:pPr>
        <w:pStyle w:val="21"/>
        <w:numPr>
          <w:ilvl w:val="0"/>
          <w:numId w:val="4"/>
        </w:numPr>
        <w:spacing w:line="300" w:lineRule="auto"/>
        <w:ind w:firstLine="400"/>
        <w:rPr>
          <w:rFonts w:hAnsi="宋体" w:cs="宋体"/>
          <w:szCs w:val="21"/>
        </w:rPr>
      </w:pPr>
      <w:r>
        <w:rPr>
          <w:rFonts w:hint="eastAsia" w:hAnsi="宋体" w:cs="宋体"/>
          <w:szCs w:val="21"/>
        </w:rPr>
        <w:t>投标报价明显低于其他通过符合性审查投标人的报价，有可能影响产品质量或者不能诚信履约，且在规定时间内不能证明其报价合理性并提供证明材料的；</w:t>
      </w:r>
    </w:p>
    <w:p>
      <w:pPr>
        <w:pStyle w:val="21"/>
        <w:numPr>
          <w:ilvl w:val="0"/>
          <w:numId w:val="4"/>
        </w:numPr>
        <w:spacing w:line="300" w:lineRule="auto"/>
        <w:ind w:firstLine="400"/>
        <w:rPr>
          <w:rFonts w:hAnsi="宋体" w:cs="宋体"/>
          <w:szCs w:val="21"/>
        </w:rPr>
      </w:pPr>
      <w:r>
        <w:rPr>
          <w:rFonts w:hint="eastAsia" w:hAnsi="宋体" w:cs="宋体"/>
          <w:szCs w:val="21"/>
        </w:rPr>
        <w:t>未实质性响应招标文件中带“▲”条款要求的投标文件；</w:t>
      </w:r>
    </w:p>
    <w:p>
      <w:pPr>
        <w:numPr>
          <w:ilvl w:val="0"/>
          <w:numId w:val="4"/>
        </w:numPr>
        <w:spacing w:line="300" w:lineRule="auto"/>
        <w:ind w:firstLine="400"/>
        <w:rPr>
          <w:rFonts w:ascii="宋体" w:hAnsi="宋体" w:cs="宋体"/>
          <w:szCs w:val="21"/>
        </w:rPr>
      </w:pPr>
      <w:r>
        <w:rPr>
          <w:rFonts w:hint="eastAsia" w:ascii="宋体" w:hAnsi="宋体" w:cs="宋体"/>
          <w:szCs w:val="21"/>
        </w:rPr>
        <w:t>不符合招标范围、技术规格、技术标准的要求无法满足采购人使用要求；</w:t>
      </w:r>
    </w:p>
    <w:p>
      <w:pPr>
        <w:numPr>
          <w:ilvl w:val="0"/>
          <w:numId w:val="4"/>
        </w:numPr>
        <w:spacing w:line="300" w:lineRule="auto"/>
        <w:ind w:firstLine="400"/>
        <w:rPr>
          <w:rFonts w:ascii="宋体" w:hAnsi="宋体" w:cs="宋体"/>
          <w:szCs w:val="21"/>
        </w:rPr>
      </w:pPr>
      <w:r>
        <w:rPr>
          <w:rFonts w:hint="eastAsia" w:ascii="宋体" w:hAnsi="宋体" w:cs="宋体"/>
          <w:szCs w:val="21"/>
        </w:rPr>
        <w:t>投标文件附有采购人不能接受的条款；</w:t>
      </w:r>
    </w:p>
    <w:p>
      <w:pPr>
        <w:numPr>
          <w:ilvl w:val="0"/>
          <w:numId w:val="4"/>
        </w:numPr>
        <w:spacing w:line="300" w:lineRule="auto"/>
        <w:ind w:firstLine="400"/>
        <w:rPr>
          <w:rFonts w:ascii="宋体" w:hAnsi="宋体" w:cs="宋体"/>
          <w:szCs w:val="21"/>
        </w:rPr>
      </w:pPr>
      <w:r>
        <w:rPr>
          <w:rFonts w:hint="eastAsia" w:ascii="宋体" w:hAnsi="宋体" w:cs="宋体"/>
          <w:szCs w:val="21"/>
        </w:rPr>
        <w:t>投标文件中提供了赠品或者与本项目采购无关的其他商品、服务；</w:t>
      </w:r>
    </w:p>
    <w:p>
      <w:pPr>
        <w:numPr>
          <w:ilvl w:val="0"/>
          <w:numId w:val="4"/>
        </w:numPr>
        <w:spacing w:line="300" w:lineRule="auto"/>
        <w:ind w:firstLine="400"/>
        <w:rPr>
          <w:rFonts w:ascii="宋体" w:hAnsi="宋体" w:cs="宋体"/>
          <w:szCs w:val="21"/>
        </w:rPr>
      </w:pPr>
      <w:r>
        <w:rPr>
          <w:rFonts w:hint="eastAsia" w:ascii="宋体" w:hAnsi="宋体" w:cs="宋体"/>
          <w:szCs w:val="21"/>
        </w:rPr>
        <w:t>投标文件中承诺的投标有效期少于招标文件中载明的投标有效期；</w:t>
      </w:r>
    </w:p>
    <w:p>
      <w:pPr>
        <w:pStyle w:val="21"/>
        <w:numPr>
          <w:ilvl w:val="0"/>
          <w:numId w:val="4"/>
        </w:numPr>
        <w:spacing w:line="300" w:lineRule="auto"/>
        <w:ind w:firstLine="400"/>
        <w:rPr>
          <w:rFonts w:hAnsi="宋体" w:cs="宋体"/>
          <w:szCs w:val="21"/>
        </w:rPr>
      </w:pPr>
      <w:r>
        <w:rPr>
          <w:rFonts w:hint="eastAsia" w:hAnsi="宋体" w:cs="宋体"/>
          <w:szCs w:val="21"/>
        </w:rPr>
        <w:t>投标人串通投标，妨碍其他投标人的竞争行为，损害采购人或者其他投标人的合法权益；</w:t>
      </w:r>
    </w:p>
    <w:p>
      <w:pPr>
        <w:pStyle w:val="21"/>
        <w:numPr>
          <w:ilvl w:val="0"/>
          <w:numId w:val="4"/>
        </w:numPr>
        <w:spacing w:line="300" w:lineRule="auto"/>
        <w:ind w:firstLine="400"/>
        <w:rPr>
          <w:rFonts w:hAnsi="宋体" w:cs="宋体"/>
          <w:szCs w:val="21"/>
        </w:rPr>
      </w:pPr>
      <w:r>
        <w:rPr>
          <w:rFonts w:hint="eastAsia" w:hAnsi="宋体" w:cs="宋体"/>
          <w:szCs w:val="21"/>
        </w:rPr>
        <w:t>投标人名称与报名时不一致或者联合体投标未提供联合体投标协议的。</w:t>
      </w:r>
    </w:p>
    <w:p>
      <w:pPr>
        <w:numPr>
          <w:ilvl w:val="0"/>
          <w:numId w:val="4"/>
        </w:numPr>
        <w:spacing w:line="300" w:lineRule="auto"/>
        <w:ind w:firstLine="400"/>
        <w:rPr>
          <w:rFonts w:ascii="宋体" w:hAnsi="宋体" w:cs="宋体"/>
          <w:szCs w:val="21"/>
        </w:rPr>
      </w:pPr>
      <w:r>
        <w:rPr>
          <w:rFonts w:hint="eastAsia" w:ascii="宋体" w:hAnsi="宋体" w:cs="宋体"/>
          <w:szCs w:val="21"/>
        </w:rPr>
        <w:t>违反国家及政府部门相关法律、法规、文件规定或经评标委员会认定的其他属于重大偏离。</w:t>
      </w:r>
    </w:p>
    <w:p>
      <w:pPr>
        <w:pStyle w:val="7"/>
        <w:ind w:firstLine="422"/>
        <w:rPr>
          <w:rFonts w:ascii="宋体" w:hAnsi="宋体" w:cs="宋体"/>
        </w:rPr>
      </w:pPr>
      <w:r>
        <w:rPr>
          <w:rFonts w:hint="eastAsia" w:ascii="宋体" w:hAnsi="宋体" w:cs="宋体"/>
        </w:rPr>
        <w:t>5.9 串通投标</w:t>
      </w:r>
    </w:p>
    <w:p>
      <w:pPr>
        <w:pStyle w:val="88"/>
        <w:spacing w:line="300" w:lineRule="auto"/>
        <w:ind w:firstLine="420"/>
        <w:rPr>
          <w:rFonts w:ascii="宋体" w:hAnsi="宋体" w:cs="宋体"/>
        </w:rPr>
      </w:pPr>
      <w:r>
        <w:rPr>
          <w:rFonts w:hint="eastAsia" w:ascii="宋体" w:hAnsi="宋体" w:cs="宋体"/>
        </w:rPr>
        <w:t>有下列情形之一的，视为投标人串通投标：</w:t>
      </w:r>
    </w:p>
    <w:p>
      <w:pPr>
        <w:pStyle w:val="88"/>
        <w:spacing w:line="300" w:lineRule="auto"/>
        <w:ind w:firstLine="420"/>
        <w:rPr>
          <w:rFonts w:ascii="宋体" w:hAnsi="宋体" w:cs="宋体"/>
        </w:rPr>
      </w:pPr>
      <w:r>
        <w:rPr>
          <w:rFonts w:hint="eastAsia" w:ascii="宋体" w:hAnsi="宋体" w:cs="宋体"/>
        </w:rPr>
        <w:t>1）不同投标人的投标文件由同一单位或者个人编制；</w:t>
      </w:r>
    </w:p>
    <w:p>
      <w:pPr>
        <w:pStyle w:val="88"/>
        <w:spacing w:line="300" w:lineRule="auto"/>
        <w:ind w:firstLine="420"/>
        <w:rPr>
          <w:rFonts w:ascii="宋体" w:hAnsi="宋体" w:cs="宋体"/>
        </w:rPr>
      </w:pPr>
      <w:r>
        <w:rPr>
          <w:rFonts w:hint="eastAsia" w:ascii="宋体" w:hAnsi="宋体" w:cs="宋体"/>
        </w:rPr>
        <w:t>2）不同投标人委托同一单位或者个人办理投标事宜；</w:t>
      </w:r>
    </w:p>
    <w:p>
      <w:pPr>
        <w:pStyle w:val="88"/>
        <w:spacing w:line="300" w:lineRule="auto"/>
        <w:ind w:firstLine="420"/>
        <w:rPr>
          <w:rFonts w:ascii="宋体" w:hAnsi="宋体" w:cs="宋体"/>
        </w:rPr>
      </w:pPr>
      <w:r>
        <w:rPr>
          <w:rFonts w:hint="eastAsia" w:ascii="宋体" w:hAnsi="宋体" w:cs="宋体"/>
        </w:rPr>
        <w:t>3）不同投标人的投标文件载明的项目管理成员或者联系人员为同一人；</w:t>
      </w:r>
    </w:p>
    <w:p>
      <w:pPr>
        <w:pStyle w:val="88"/>
        <w:spacing w:line="300" w:lineRule="auto"/>
        <w:ind w:firstLine="420"/>
        <w:rPr>
          <w:rFonts w:ascii="宋体" w:hAnsi="宋体" w:cs="宋体"/>
        </w:rPr>
      </w:pPr>
      <w:r>
        <w:rPr>
          <w:rFonts w:hint="eastAsia" w:ascii="宋体" w:hAnsi="宋体" w:cs="宋体"/>
        </w:rPr>
        <w:t>4）不同投标人的投标文件异常一致或者投标报价呈规律性差异；</w:t>
      </w:r>
    </w:p>
    <w:p>
      <w:pPr>
        <w:pStyle w:val="88"/>
        <w:spacing w:line="300" w:lineRule="auto"/>
        <w:ind w:firstLine="420"/>
        <w:rPr>
          <w:rFonts w:ascii="宋体" w:hAnsi="宋体" w:cs="宋体"/>
        </w:rPr>
      </w:pPr>
      <w:r>
        <w:rPr>
          <w:rFonts w:hint="eastAsia" w:ascii="宋体" w:hAnsi="宋体" w:cs="宋体"/>
        </w:rPr>
        <w:t>5）不同投标人的投标文件相互混装；</w:t>
      </w:r>
    </w:p>
    <w:p>
      <w:pPr>
        <w:pStyle w:val="88"/>
        <w:spacing w:line="300" w:lineRule="auto"/>
        <w:ind w:firstLine="420"/>
        <w:rPr>
          <w:rFonts w:ascii="宋体" w:hAnsi="宋体" w:cs="宋体"/>
        </w:rPr>
      </w:pPr>
      <w:r>
        <w:rPr>
          <w:rFonts w:hint="eastAsia" w:ascii="宋体" w:hAnsi="宋体" w:cs="宋体"/>
        </w:rPr>
        <w:t>6）不同投标人的投标保证金从同一单位或者个人的账户转出。</w:t>
      </w:r>
    </w:p>
    <w:p>
      <w:pPr>
        <w:pStyle w:val="7"/>
        <w:ind w:firstLine="422"/>
        <w:rPr>
          <w:rFonts w:ascii="宋体" w:hAnsi="宋体" w:cs="宋体"/>
        </w:rPr>
      </w:pPr>
      <w:r>
        <w:rPr>
          <w:rFonts w:hint="eastAsia" w:ascii="宋体" w:hAnsi="宋体" w:cs="宋体"/>
        </w:rPr>
        <w:t>5.10 评标</w:t>
      </w:r>
    </w:p>
    <w:p>
      <w:pPr>
        <w:pStyle w:val="88"/>
        <w:spacing w:line="300" w:lineRule="auto"/>
        <w:ind w:firstLine="420"/>
        <w:rPr>
          <w:rFonts w:ascii="宋体" w:hAnsi="宋体" w:cs="宋体"/>
        </w:rPr>
      </w:pPr>
      <w:r>
        <w:rPr>
          <w:rFonts w:hint="eastAsia" w:ascii="宋体" w:hAnsi="宋体" w:cs="宋体"/>
        </w:rPr>
        <w:t>5.10.1 采购人将按相关规定组织评标委员会，对投标文件进行审查、比较和评价。</w:t>
      </w:r>
    </w:p>
    <w:p>
      <w:pPr>
        <w:pStyle w:val="88"/>
        <w:spacing w:line="300" w:lineRule="auto"/>
        <w:ind w:firstLine="420"/>
        <w:rPr>
          <w:rFonts w:ascii="宋体" w:hAnsi="宋体" w:cs="宋体"/>
        </w:rPr>
      </w:pPr>
      <w:r>
        <w:rPr>
          <w:rFonts w:hint="eastAsia" w:ascii="宋体" w:hAnsi="宋体" w:cs="宋体"/>
        </w:rPr>
        <w:t>5.10.2评标办法</w:t>
      </w:r>
    </w:p>
    <w:p>
      <w:pPr>
        <w:pStyle w:val="88"/>
        <w:spacing w:line="300" w:lineRule="auto"/>
        <w:ind w:firstLine="420"/>
        <w:rPr>
          <w:rFonts w:ascii="宋体" w:hAnsi="宋体" w:cs="宋体"/>
        </w:rPr>
      </w:pPr>
      <w:r>
        <w:rPr>
          <w:rFonts w:hint="eastAsia" w:ascii="宋体" w:hAnsi="宋体" w:cs="宋体"/>
        </w:rPr>
        <w:t>评标办法详见第五章。</w:t>
      </w:r>
    </w:p>
    <w:p>
      <w:pPr>
        <w:pStyle w:val="7"/>
        <w:ind w:firstLine="422"/>
        <w:rPr>
          <w:rFonts w:ascii="宋体" w:hAnsi="宋体" w:cs="宋体"/>
        </w:rPr>
      </w:pPr>
      <w:r>
        <w:rPr>
          <w:rFonts w:hint="eastAsia" w:ascii="宋体" w:hAnsi="宋体" w:cs="宋体"/>
        </w:rPr>
        <w:t>5.11 有效投标人少于三家的情况处理</w:t>
      </w:r>
    </w:p>
    <w:p>
      <w:pPr>
        <w:pStyle w:val="88"/>
        <w:spacing w:line="300" w:lineRule="auto"/>
        <w:ind w:firstLine="420"/>
        <w:rPr>
          <w:rFonts w:ascii="宋体" w:hAnsi="宋体" w:cs="宋体"/>
        </w:rPr>
      </w:pPr>
      <w:r>
        <w:rPr>
          <w:rFonts w:hint="eastAsia" w:ascii="宋体" w:hAnsi="宋体" w:cs="宋体"/>
        </w:rPr>
        <w:t>评审期间，出现符合资格条件的供应商或者对招标文件做出实质响应的供应商不足三家，采购人可选择以下方式之一处理：</w:t>
      </w:r>
    </w:p>
    <w:p>
      <w:pPr>
        <w:pStyle w:val="88"/>
        <w:spacing w:line="300" w:lineRule="auto"/>
        <w:ind w:firstLine="420"/>
        <w:rPr>
          <w:rFonts w:ascii="宋体" w:hAnsi="宋体" w:cs="宋体"/>
        </w:rPr>
      </w:pPr>
      <w:r>
        <w:rPr>
          <w:rFonts w:hint="eastAsia" w:ascii="宋体" w:hAnsi="宋体" w:cs="宋体"/>
        </w:rPr>
        <w:t>1）可将本标项作废标处理，重新组织采购；</w:t>
      </w:r>
    </w:p>
    <w:p>
      <w:pPr>
        <w:pStyle w:val="88"/>
        <w:spacing w:line="300" w:lineRule="auto"/>
        <w:ind w:firstLine="420"/>
        <w:rPr>
          <w:rFonts w:ascii="宋体" w:hAnsi="宋体" w:cs="宋体"/>
        </w:rPr>
      </w:pPr>
      <w:r>
        <w:rPr>
          <w:rFonts w:hint="eastAsia" w:ascii="宋体" w:hAnsi="宋体" w:cs="宋体"/>
        </w:rPr>
        <w:t>2）可按同级财政部门的审批意见采用其他采购方式组织采购；</w:t>
      </w:r>
    </w:p>
    <w:p>
      <w:pPr>
        <w:pStyle w:val="7"/>
        <w:ind w:firstLine="422"/>
        <w:rPr>
          <w:rFonts w:ascii="宋体" w:hAnsi="宋体" w:cs="宋体"/>
        </w:rPr>
      </w:pPr>
      <w:r>
        <w:rPr>
          <w:rFonts w:hint="eastAsia" w:ascii="宋体" w:hAnsi="宋体" w:cs="宋体"/>
        </w:rPr>
        <w:t>5.12 废标</w:t>
      </w:r>
    </w:p>
    <w:p>
      <w:pPr>
        <w:pStyle w:val="88"/>
        <w:spacing w:line="300" w:lineRule="auto"/>
        <w:ind w:firstLine="420"/>
        <w:rPr>
          <w:rFonts w:ascii="宋体" w:hAnsi="宋体" w:cs="宋体"/>
        </w:rPr>
      </w:pPr>
      <w:r>
        <w:rPr>
          <w:rFonts w:hint="eastAsia" w:ascii="宋体" w:hAnsi="宋体" w:cs="宋体"/>
        </w:rPr>
        <w:t>在招标采购中，出现下列情形之一的，应予废标：</w:t>
      </w:r>
    </w:p>
    <w:p>
      <w:pPr>
        <w:pStyle w:val="88"/>
        <w:spacing w:line="300" w:lineRule="auto"/>
        <w:ind w:firstLine="420"/>
        <w:rPr>
          <w:rFonts w:ascii="宋体" w:hAnsi="宋体" w:cs="宋体"/>
        </w:rPr>
      </w:pPr>
      <w:r>
        <w:rPr>
          <w:rFonts w:hint="eastAsia" w:ascii="宋体" w:hAnsi="宋体" w:cs="宋体"/>
        </w:rPr>
        <w:t>（1）符合招标文件规定废标情形的；</w:t>
      </w:r>
    </w:p>
    <w:p>
      <w:pPr>
        <w:pStyle w:val="88"/>
        <w:spacing w:line="300" w:lineRule="auto"/>
        <w:ind w:firstLine="420"/>
        <w:rPr>
          <w:rFonts w:ascii="宋体" w:hAnsi="宋体" w:cs="宋体"/>
        </w:rPr>
      </w:pPr>
      <w:r>
        <w:rPr>
          <w:rFonts w:hint="eastAsia" w:ascii="宋体" w:hAnsi="宋体" w:cs="宋体"/>
        </w:rPr>
        <w:t xml:space="preserve">（2）出现影响采购公正的违法、违规行为的； </w:t>
      </w:r>
    </w:p>
    <w:p>
      <w:pPr>
        <w:pStyle w:val="88"/>
        <w:spacing w:line="300" w:lineRule="auto"/>
        <w:ind w:firstLine="420"/>
        <w:rPr>
          <w:rFonts w:ascii="宋体" w:hAnsi="宋体" w:cs="宋体"/>
        </w:rPr>
      </w:pPr>
      <w:r>
        <w:rPr>
          <w:rFonts w:hint="eastAsia" w:ascii="宋体" w:hAnsi="宋体" w:cs="宋体"/>
        </w:rPr>
        <w:t xml:space="preserve">（3）投标人的报价均超过了采购预算，采购人不能支付的； </w:t>
      </w:r>
    </w:p>
    <w:p>
      <w:pPr>
        <w:pStyle w:val="88"/>
        <w:spacing w:line="300" w:lineRule="auto"/>
        <w:ind w:firstLine="420"/>
        <w:rPr>
          <w:rFonts w:ascii="宋体" w:hAnsi="宋体" w:cs="宋体"/>
        </w:rPr>
      </w:pPr>
      <w:r>
        <w:rPr>
          <w:rFonts w:hint="eastAsia" w:ascii="宋体" w:hAnsi="宋体" w:cs="宋体"/>
        </w:rPr>
        <w:t>（4）因重大变故，采购任务取消的；</w:t>
      </w:r>
    </w:p>
    <w:p>
      <w:pPr>
        <w:pStyle w:val="7"/>
        <w:ind w:firstLine="422"/>
        <w:rPr>
          <w:rFonts w:ascii="宋体" w:hAnsi="宋体" w:cs="宋体"/>
        </w:rPr>
      </w:pPr>
      <w:r>
        <w:rPr>
          <w:rFonts w:hint="eastAsia" w:ascii="宋体" w:hAnsi="宋体" w:cs="宋体"/>
        </w:rPr>
        <w:t>5.13 确定采购结果</w:t>
      </w:r>
    </w:p>
    <w:p>
      <w:pPr>
        <w:pStyle w:val="88"/>
        <w:spacing w:line="300" w:lineRule="auto"/>
        <w:ind w:firstLine="420"/>
        <w:rPr>
          <w:rFonts w:ascii="宋体" w:hAnsi="宋体" w:cs="宋体"/>
        </w:rPr>
      </w:pPr>
      <w:r>
        <w:rPr>
          <w:rFonts w:hint="eastAsia" w:ascii="宋体" w:hAnsi="宋体" w:cs="宋体"/>
        </w:rPr>
        <w:t>评标结束后，根据评标委员会推荐，采购人按政府采购有关规定确定中标人。</w:t>
      </w:r>
    </w:p>
    <w:p>
      <w:pPr>
        <w:pStyle w:val="7"/>
        <w:ind w:firstLine="422"/>
        <w:rPr>
          <w:rFonts w:ascii="宋体" w:hAnsi="宋体" w:cs="宋体"/>
        </w:rPr>
      </w:pPr>
      <w:r>
        <w:rPr>
          <w:rFonts w:hint="eastAsia" w:ascii="宋体" w:hAnsi="宋体" w:cs="宋体"/>
        </w:rPr>
        <w:t>5.14 结果公告</w:t>
      </w:r>
    </w:p>
    <w:p>
      <w:pPr>
        <w:pStyle w:val="88"/>
        <w:spacing w:line="300" w:lineRule="auto"/>
        <w:ind w:firstLine="420"/>
        <w:rPr>
          <w:rFonts w:ascii="宋体" w:hAnsi="宋体" w:cs="宋体"/>
        </w:rPr>
      </w:pPr>
      <w:r>
        <w:rPr>
          <w:rFonts w:hint="eastAsia" w:ascii="宋体" w:hAnsi="宋体" w:cs="宋体"/>
        </w:rPr>
        <w:t>在采购人确认采购结果后，采购代理机构按相关政府采购规定将中标结果发布在政府采购网上进行公告。采购人、采购代理机构及评标委员会对未中标的投标人不作落标原因解释。</w:t>
      </w:r>
    </w:p>
    <w:p>
      <w:pPr>
        <w:pStyle w:val="7"/>
        <w:ind w:firstLine="422"/>
        <w:rPr>
          <w:rFonts w:ascii="宋体" w:hAnsi="宋体" w:cs="宋体"/>
        </w:rPr>
      </w:pPr>
      <w:r>
        <w:rPr>
          <w:rFonts w:hint="eastAsia" w:ascii="宋体" w:hAnsi="宋体" w:cs="宋体"/>
        </w:rPr>
        <w:t>5.</w:t>
      </w:r>
      <w:r>
        <w:rPr>
          <w:rFonts w:hint="eastAsia" w:ascii="宋体" w:hAnsi="宋体" w:cs="宋体"/>
          <w:bCs/>
        </w:rPr>
        <w:t xml:space="preserve">15 </w:t>
      </w:r>
      <w:r>
        <w:rPr>
          <w:rFonts w:hint="eastAsia" w:ascii="宋体" w:hAnsi="宋体" w:cs="宋体"/>
        </w:rPr>
        <w:t>采购过程、采购结果质疑</w:t>
      </w:r>
    </w:p>
    <w:p>
      <w:pPr>
        <w:pStyle w:val="88"/>
        <w:spacing w:line="300" w:lineRule="auto"/>
        <w:ind w:firstLine="420"/>
        <w:rPr>
          <w:rFonts w:ascii="宋体" w:hAnsi="宋体" w:cs="宋体"/>
        </w:rPr>
      </w:pPr>
      <w:r>
        <w:rPr>
          <w:rFonts w:hint="eastAsia" w:ascii="宋体" w:hAnsi="宋体" w:cs="宋体"/>
        </w:rPr>
        <w:t>5.15.1投标人认为采购过程、采购结果使自己的合法权益受到损害的，投标人可以提出书面质疑。</w:t>
      </w:r>
    </w:p>
    <w:p>
      <w:pPr>
        <w:pStyle w:val="88"/>
        <w:spacing w:line="300" w:lineRule="auto"/>
        <w:ind w:firstLine="420"/>
        <w:rPr>
          <w:rFonts w:ascii="宋体" w:hAnsi="宋体" w:cs="宋体"/>
        </w:rPr>
      </w:pPr>
      <w:r>
        <w:rPr>
          <w:rFonts w:hint="eastAsia" w:ascii="宋体" w:hAnsi="宋体" w:cs="宋体"/>
        </w:rPr>
        <w:t>5.15.2质疑书须包括以下内容：</w:t>
      </w:r>
    </w:p>
    <w:p>
      <w:pPr>
        <w:pStyle w:val="88"/>
        <w:spacing w:line="300" w:lineRule="auto"/>
        <w:ind w:firstLine="420"/>
        <w:rPr>
          <w:rFonts w:ascii="宋体" w:hAnsi="宋体" w:cs="宋体"/>
        </w:rPr>
      </w:pPr>
      <w:r>
        <w:rPr>
          <w:rFonts w:hint="eastAsia" w:ascii="宋体" w:hAnsi="宋体" w:cs="宋体"/>
        </w:rPr>
        <w:t>（一）质疑人的名称、地址、邮政编码、联系人、联系电话，以及被质疑人名称及联系方式；</w:t>
      </w:r>
    </w:p>
    <w:p>
      <w:pPr>
        <w:pStyle w:val="88"/>
        <w:spacing w:line="300" w:lineRule="auto"/>
        <w:ind w:firstLine="420"/>
        <w:rPr>
          <w:rFonts w:ascii="宋体" w:hAnsi="宋体" w:cs="宋体"/>
        </w:rPr>
      </w:pPr>
      <w:r>
        <w:rPr>
          <w:rFonts w:hint="eastAsia" w:ascii="宋体" w:hAnsi="宋体" w:cs="宋体"/>
        </w:rPr>
        <w:t>（二）被质疑采购项目名称、编号及采购内容；</w:t>
      </w:r>
    </w:p>
    <w:p>
      <w:pPr>
        <w:pStyle w:val="88"/>
        <w:spacing w:line="300" w:lineRule="auto"/>
        <w:ind w:firstLine="420"/>
        <w:rPr>
          <w:rFonts w:ascii="宋体" w:hAnsi="宋体" w:cs="宋体"/>
        </w:rPr>
      </w:pPr>
      <w:r>
        <w:rPr>
          <w:rFonts w:hint="eastAsia" w:ascii="宋体" w:hAnsi="宋体" w:cs="宋体"/>
        </w:rPr>
        <w:t>（三）具体的质疑事项及事实依据；</w:t>
      </w:r>
    </w:p>
    <w:p>
      <w:pPr>
        <w:pStyle w:val="88"/>
        <w:spacing w:line="300" w:lineRule="auto"/>
        <w:ind w:firstLine="420"/>
        <w:rPr>
          <w:rFonts w:ascii="宋体" w:hAnsi="宋体" w:cs="宋体"/>
        </w:rPr>
      </w:pPr>
      <w:r>
        <w:rPr>
          <w:rFonts w:hint="eastAsia" w:ascii="宋体" w:hAnsi="宋体" w:cs="宋体"/>
        </w:rPr>
        <w:t>（四）认为自己合法权益受到损害或可能受到损害的相关证据材料；</w:t>
      </w:r>
    </w:p>
    <w:p>
      <w:pPr>
        <w:pStyle w:val="88"/>
        <w:spacing w:line="300" w:lineRule="auto"/>
        <w:ind w:firstLine="420"/>
        <w:rPr>
          <w:rFonts w:ascii="宋体" w:hAnsi="宋体" w:cs="宋体"/>
        </w:rPr>
      </w:pPr>
      <w:r>
        <w:rPr>
          <w:rFonts w:hint="eastAsia" w:ascii="宋体" w:hAnsi="宋体" w:cs="宋体"/>
        </w:rPr>
        <w:t>（五）提出质疑的日期。</w:t>
      </w:r>
    </w:p>
    <w:p>
      <w:pPr>
        <w:pStyle w:val="88"/>
        <w:spacing w:line="300" w:lineRule="auto"/>
        <w:ind w:firstLine="420"/>
        <w:rPr>
          <w:rFonts w:ascii="宋体" w:hAnsi="宋体" w:cs="宋体"/>
        </w:rPr>
      </w:pPr>
      <w:r>
        <w:rPr>
          <w:rFonts w:hint="eastAsia" w:ascii="宋体" w:hAnsi="宋体" w:cs="宋体"/>
        </w:rPr>
        <w:t>5.15.3采购过程的质疑期限自各采购程序环节结束之日起计算，7个工作日内向采购代理机构提出，逾期提出不予受理。</w:t>
      </w:r>
    </w:p>
    <w:p>
      <w:pPr>
        <w:pStyle w:val="88"/>
        <w:spacing w:line="300" w:lineRule="auto"/>
        <w:ind w:firstLine="420"/>
        <w:rPr>
          <w:rFonts w:ascii="宋体" w:hAnsi="宋体" w:cs="宋体"/>
        </w:rPr>
      </w:pPr>
      <w:r>
        <w:rPr>
          <w:rFonts w:hint="eastAsia" w:ascii="宋体" w:hAnsi="宋体" w:cs="宋体"/>
        </w:rPr>
        <w:t>采购结果的质疑期限自采购结果公告</w:t>
      </w:r>
      <w:r>
        <w:rPr>
          <w:rFonts w:hint="eastAsia" w:ascii="宋体" w:hAnsi="宋体" w:cs="宋体"/>
          <w:szCs w:val="21"/>
        </w:rPr>
        <w:t>期限届满之日（自本公告发布之日起至第2个工作日止）</w:t>
      </w:r>
      <w:r>
        <w:rPr>
          <w:rFonts w:hint="eastAsia" w:ascii="宋体" w:hAnsi="宋体" w:cs="宋体"/>
        </w:rPr>
        <w:t>之日起计算，7个工作日内向采购代理机构提出，逾期提出不予受理。</w:t>
      </w:r>
    </w:p>
    <w:p>
      <w:pPr>
        <w:pStyle w:val="88"/>
        <w:spacing w:line="300" w:lineRule="auto"/>
        <w:ind w:firstLine="420"/>
        <w:rPr>
          <w:rFonts w:ascii="宋体" w:hAnsi="宋体" w:cs="宋体"/>
        </w:rPr>
      </w:pPr>
      <w:r>
        <w:rPr>
          <w:rFonts w:hint="eastAsia" w:ascii="宋体" w:hAnsi="宋体" w:cs="宋体"/>
        </w:rPr>
        <w:t>5.15.4质疑书中涉及的相关材料中有外文资料的，应当将与质疑相关的外文资料完整、客观、真实地翻译为中文，并注明翻译人员姓名、工作单位、联系方式等信息。</w:t>
      </w:r>
    </w:p>
    <w:p>
      <w:pPr>
        <w:pStyle w:val="88"/>
        <w:spacing w:line="300" w:lineRule="auto"/>
        <w:ind w:firstLine="420"/>
        <w:rPr>
          <w:rFonts w:ascii="宋体" w:hAnsi="宋体" w:cs="宋体"/>
        </w:rPr>
      </w:pPr>
      <w:r>
        <w:rPr>
          <w:rFonts w:hint="eastAsia" w:ascii="宋体" w:hAnsi="宋体" w:cs="宋体"/>
        </w:rPr>
        <w:t>5.15.5质疑书必须署名，由法定代表人签字（或盖章）并加盖单位公章，否则不予受理。</w:t>
      </w:r>
    </w:p>
    <w:p>
      <w:pPr>
        <w:pStyle w:val="88"/>
        <w:spacing w:line="300" w:lineRule="auto"/>
        <w:ind w:firstLine="420"/>
        <w:rPr>
          <w:rFonts w:ascii="宋体" w:hAnsi="宋体" w:cs="宋体"/>
        </w:rPr>
      </w:pPr>
      <w:r>
        <w:rPr>
          <w:rFonts w:hint="eastAsia" w:ascii="宋体" w:hAnsi="宋体" w:cs="宋体"/>
        </w:rPr>
        <w:t>5.15.6质疑书以直接提交、传真或邮寄方式提交（一式三份）。</w:t>
      </w:r>
    </w:p>
    <w:p>
      <w:pPr>
        <w:pStyle w:val="88"/>
        <w:spacing w:line="300" w:lineRule="auto"/>
        <w:ind w:firstLine="420"/>
        <w:rPr>
          <w:rFonts w:ascii="宋体" w:hAnsi="宋体" w:cs="宋体"/>
        </w:rPr>
      </w:pPr>
      <w:r>
        <w:rPr>
          <w:rFonts w:hint="eastAsia" w:ascii="宋体" w:hAnsi="宋体" w:cs="宋体"/>
        </w:rPr>
        <w:t>5.15.7质疑书以传真形式提交后，同时须向采购代理机构提交质疑书原件，采购代理机构以收到原件之日作为收到质疑日。</w:t>
      </w:r>
    </w:p>
    <w:p>
      <w:pPr>
        <w:pStyle w:val="88"/>
        <w:spacing w:line="300" w:lineRule="auto"/>
        <w:ind w:firstLine="420"/>
        <w:rPr>
          <w:rFonts w:ascii="宋体" w:hAnsi="宋体" w:cs="宋体"/>
        </w:rPr>
      </w:pPr>
      <w:r>
        <w:rPr>
          <w:rFonts w:hint="eastAsia" w:ascii="宋体" w:hAnsi="宋体" w:cs="宋体"/>
        </w:rPr>
        <w:t>5.15.8供应商不得捏造事实、提供虚假材料或者以非法手段取得证明材料进行质疑。</w:t>
      </w:r>
    </w:p>
    <w:p>
      <w:pPr>
        <w:pStyle w:val="7"/>
        <w:ind w:firstLine="422"/>
        <w:rPr>
          <w:rFonts w:ascii="宋体" w:hAnsi="宋体" w:cs="宋体"/>
        </w:rPr>
      </w:pPr>
      <w:r>
        <w:rPr>
          <w:rFonts w:hint="eastAsia" w:ascii="宋体" w:hAnsi="宋体" w:cs="宋体"/>
        </w:rPr>
        <w:t>5.16 发出中标通知书</w:t>
      </w:r>
    </w:p>
    <w:p>
      <w:pPr>
        <w:pStyle w:val="88"/>
        <w:spacing w:line="300" w:lineRule="auto"/>
        <w:ind w:firstLine="420"/>
        <w:rPr>
          <w:rFonts w:ascii="宋体" w:hAnsi="宋体" w:cs="宋体"/>
        </w:rPr>
      </w:pPr>
      <w:r>
        <w:rPr>
          <w:rFonts w:hint="eastAsia" w:ascii="宋体" w:hAnsi="宋体" w:cs="宋体"/>
        </w:rPr>
        <w:t>5.16.1采购人及采购代理机构将以书面形式向中标人发出中标通知书。中标通知书发出后，采购人不得违法改变中标结果，中标人无正当理由不得放弃中标。</w:t>
      </w:r>
    </w:p>
    <w:p>
      <w:pPr>
        <w:pStyle w:val="7"/>
        <w:ind w:firstLine="422"/>
        <w:rPr>
          <w:rFonts w:ascii="宋体" w:hAnsi="宋体" w:cs="宋体"/>
        </w:rPr>
      </w:pPr>
      <w:r>
        <w:rPr>
          <w:rFonts w:hint="eastAsia" w:ascii="宋体" w:hAnsi="宋体" w:cs="宋体"/>
        </w:rPr>
        <w:t>5.17 签订合同</w:t>
      </w:r>
    </w:p>
    <w:p>
      <w:pPr>
        <w:pStyle w:val="88"/>
        <w:spacing w:line="300" w:lineRule="auto"/>
        <w:ind w:firstLine="420"/>
        <w:rPr>
          <w:rFonts w:ascii="宋体" w:hAnsi="宋体" w:cs="宋体"/>
        </w:rPr>
      </w:pPr>
      <w:r>
        <w:rPr>
          <w:rFonts w:hint="eastAsia" w:ascii="宋体" w:hAnsi="宋体" w:cs="宋体"/>
        </w:rPr>
        <w:t>5.17.1采购人应当自中标通知书发出之日起30日内，按照招标文件和中标人投标文件的规定，与中标人签订书面合同。所签订的合同不得对招标文件确定的事项和中标人投标文件作实质性修改。</w:t>
      </w:r>
    </w:p>
    <w:p>
      <w:pPr>
        <w:pStyle w:val="88"/>
        <w:spacing w:line="300" w:lineRule="auto"/>
        <w:ind w:firstLine="420"/>
        <w:rPr>
          <w:rFonts w:ascii="宋体" w:hAnsi="宋体" w:cs="宋体"/>
        </w:rPr>
      </w:pPr>
      <w:r>
        <w:rPr>
          <w:rFonts w:hint="eastAsia" w:ascii="宋体" w:hAnsi="宋体" w:cs="宋体"/>
        </w:rPr>
        <w:t>5.17.2招标文件及补充文件、中标人的投标文件及投标修改文件、评标过程中有关澄清文件和中标通知书均作为合同附件。</w:t>
      </w:r>
    </w:p>
    <w:p>
      <w:pPr>
        <w:pStyle w:val="88"/>
        <w:spacing w:line="300" w:lineRule="auto"/>
        <w:ind w:firstLine="420"/>
        <w:rPr>
          <w:rFonts w:ascii="宋体" w:hAnsi="宋体" w:cs="宋体"/>
        </w:rPr>
      </w:pPr>
      <w:r>
        <w:rPr>
          <w:rFonts w:hint="eastAsia" w:ascii="宋体" w:hAnsi="宋体" w:cs="宋体"/>
        </w:rPr>
        <w:t>5.17.3拒签合同的责任</w:t>
      </w:r>
    </w:p>
    <w:p>
      <w:pPr>
        <w:pStyle w:val="88"/>
        <w:spacing w:line="300" w:lineRule="auto"/>
        <w:ind w:firstLine="420"/>
        <w:rPr>
          <w:rFonts w:ascii="宋体" w:hAnsi="宋体" w:cs="宋体"/>
        </w:rPr>
      </w:pPr>
      <w:r>
        <w:rPr>
          <w:rFonts w:hint="eastAsia" w:ascii="宋体" w:hAnsi="宋体" w:cs="宋体"/>
        </w:rPr>
        <w:t>中标人接到中标通知书后，在规定时间内借故否认已经承诺的条件而拒签合同者，以投标违约处理，其投标保证金不予退回，并赔偿采购人由此造成的直接经济损失。采购人将向政府采购监督管理部门进行报告。</w:t>
      </w:r>
    </w:p>
    <w:p>
      <w:pPr>
        <w:pStyle w:val="4"/>
        <w:snapToGrid w:val="0"/>
        <w:rPr>
          <w:rFonts w:ascii="宋体" w:hAnsi="宋体" w:eastAsia="宋体" w:cs="宋体"/>
          <w:color w:val="auto"/>
        </w:rPr>
      </w:pPr>
      <w:r>
        <w:rPr>
          <w:rFonts w:hint="eastAsia" w:ascii="宋体" w:hAnsi="宋体" w:eastAsia="宋体" w:cs="宋体"/>
          <w:color w:val="auto"/>
        </w:rPr>
        <w:br w:type="page"/>
      </w:r>
      <w:bookmarkStart w:id="46" w:name="_Toc516132584"/>
      <w:r>
        <w:rPr>
          <w:rFonts w:hint="eastAsia" w:ascii="宋体" w:hAnsi="宋体" w:eastAsia="宋体" w:cs="宋体"/>
          <w:color w:val="auto"/>
        </w:rPr>
        <w:t xml:space="preserve">第三章  </w:t>
      </w:r>
      <w:bookmarkEnd w:id="31"/>
      <w:bookmarkEnd w:id="32"/>
      <w:bookmarkEnd w:id="33"/>
      <w:r>
        <w:rPr>
          <w:rFonts w:hint="eastAsia" w:ascii="宋体" w:hAnsi="宋体" w:eastAsia="宋体" w:cs="宋体"/>
          <w:color w:val="auto"/>
        </w:rPr>
        <w:t>采购需求总体要求</w:t>
      </w:r>
      <w:bookmarkEnd w:id="46"/>
    </w:p>
    <w:p>
      <w:pPr>
        <w:snapToGrid w:val="0"/>
        <w:spacing w:line="360" w:lineRule="auto"/>
        <w:jc w:val="center"/>
        <w:rPr>
          <w:rFonts w:ascii="宋体" w:hAnsi="宋体" w:cs="宋体"/>
          <w:b/>
          <w:bCs/>
        </w:rPr>
      </w:pPr>
      <w:bookmarkStart w:id="47" w:name="_Toc426996350"/>
      <w:bookmarkStart w:id="48" w:name="_Toc335039016"/>
      <w:bookmarkStart w:id="49" w:name="_Toc82338235"/>
      <w:bookmarkStart w:id="50" w:name="_Toc82873318"/>
      <w:bookmarkStart w:id="51" w:name="_Toc82338237"/>
      <w:bookmarkStart w:id="52" w:name="_Toc82873320"/>
      <w:r>
        <w:rPr>
          <w:rFonts w:hint="eastAsia" w:ascii="宋体" w:hAnsi="宋体" w:cs="宋体"/>
        </w:rPr>
        <w:t>投标人应仔细阅读本招标文件。对其中带“▲”的条款，投标人须作出实质性响应。</w:t>
      </w:r>
    </w:p>
    <w:p>
      <w:pPr>
        <w:pStyle w:val="5"/>
        <w:snapToGrid w:val="0"/>
        <w:ind w:firstLine="422"/>
        <w:rPr>
          <w:rFonts w:ascii="宋体" w:hAnsi="宋体" w:cs="宋体"/>
        </w:rPr>
      </w:pPr>
      <w:r>
        <w:rPr>
          <w:rFonts w:hint="eastAsia" w:ascii="宋体" w:hAnsi="宋体" w:cs="宋体"/>
        </w:rPr>
        <w:t>一、行业分类</w:t>
      </w:r>
    </w:p>
    <w:p>
      <w:pPr>
        <w:pStyle w:val="3"/>
        <w:widowControl w:val="0"/>
        <w:autoSpaceDE/>
        <w:autoSpaceDN/>
        <w:spacing w:before="0" w:line="300" w:lineRule="auto"/>
        <w:ind w:firstLine="573"/>
        <w:textAlignment w:val="auto"/>
        <w:rPr>
          <w:rFonts w:hAnsi="宋体" w:cs="宋体"/>
          <w:sz w:val="21"/>
          <w:szCs w:val="21"/>
          <w:u w:val="single"/>
        </w:rPr>
      </w:pPr>
      <w:r>
        <w:rPr>
          <w:rFonts w:hint="eastAsia" w:hAnsi="宋体" w:cs="宋体"/>
          <w:sz w:val="21"/>
          <w:szCs w:val="21"/>
        </w:rPr>
        <w:t>根据《关于印发中小企业划型标准规定的通知》（工信部联企业〔2011〕300号），本项目行业分类为</w:t>
      </w:r>
      <w:r>
        <w:rPr>
          <w:rFonts w:hint="eastAsia" w:hAnsi="宋体" w:cs="宋体"/>
          <w:sz w:val="21"/>
          <w:szCs w:val="21"/>
          <w:u w:val="single"/>
        </w:rPr>
        <w:t>（十六）其他未列明行业</w:t>
      </w:r>
    </w:p>
    <w:p>
      <w:pPr>
        <w:pStyle w:val="3"/>
        <w:widowControl w:val="0"/>
        <w:autoSpaceDE/>
        <w:autoSpaceDN/>
        <w:spacing w:before="0" w:line="300" w:lineRule="auto"/>
        <w:ind w:firstLine="573"/>
        <w:textAlignment w:val="auto"/>
        <w:rPr>
          <w:rFonts w:hAnsi="宋体" w:cs="宋体"/>
          <w:sz w:val="21"/>
          <w:szCs w:val="21"/>
          <w:u w:val="single"/>
        </w:rPr>
      </w:pPr>
      <w:r>
        <w:rPr>
          <w:rFonts w:hint="eastAsia" w:hAnsi="宋体" w:cs="宋体"/>
          <w:sz w:val="21"/>
          <w:szCs w:val="21"/>
        </w:rPr>
        <w:t>根据《2017国民经济行业分类注释》（网络版）（国统办设管字〔2018〕93号），本项目标的对应国民经济行业分类为</w:t>
      </w:r>
      <w:r>
        <w:rPr>
          <w:rFonts w:hint="eastAsia" w:hAnsi="宋体" w:cs="宋体"/>
          <w:sz w:val="21"/>
          <w:szCs w:val="21"/>
          <w:u w:val="single"/>
        </w:rPr>
        <w:t>O居民服务、修理和其他服务业——808殡葬服务</w:t>
      </w:r>
    </w:p>
    <w:p>
      <w:pPr>
        <w:pStyle w:val="5"/>
        <w:tabs>
          <w:tab w:val="left" w:pos="432"/>
        </w:tabs>
        <w:adjustRightInd w:val="0"/>
        <w:snapToGrid w:val="0"/>
        <w:ind w:firstLine="422"/>
        <w:rPr>
          <w:rFonts w:ascii="宋体" w:hAnsi="宋体" w:cs="宋体"/>
          <w:szCs w:val="24"/>
        </w:rPr>
      </w:pPr>
      <w:bookmarkStart w:id="53" w:name="_Toc11003"/>
      <w:r>
        <w:rPr>
          <w:rFonts w:hint="eastAsia" w:ascii="宋体" w:hAnsi="宋体" w:cs="宋体"/>
          <w:szCs w:val="24"/>
        </w:rPr>
        <w:t>二、政策要求</w:t>
      </w:r>
      <w:bookmarkEnd w:id="53"/>
    </w:p>
    <w:p>
      <w:pPr>
        <w:adjustRightInd w:val="0"/>
        <w:snapToGrid w:val="0"/>
        <w:spacing w:line="300" w:lineRule="auto"/>
        <w:ind w:firstLine="422" w:firstLineChars="200"/>
        <w:rPr>
          <w:rFonts w:ascii="宋体" w:hAnsi="宋体" w:cs="宋体"/>
          <w:b/>
          <w:bCs/>
          <w:szCs w:val="21"/>
          <w:u w:val="single"/>
        </w:rPr>
      </w:pPr>
      <w:r>
        <w:rPr>
          <w:rFonts w:hint="eastAsia" w:ascii="宋体" w:hAnsi="宋体" w:cs="宋体"/>
          <w:b/>
          <w:bCs/>
          <w:szCs w:val="21"/>
          <w:u w:val="single"/>
        </w:rPr>
        <w:t>▲本项目专门面向中小企业采购，符合《政府采购促进中小企业发展管理办法》（财库〔2020〕46号）规定的中小企业可以参加本项目。</w:t>
      </w:r>
    </w:p>
    <w:p>
      <w:pPr>
        <w:pStyle w:val="3"/>
        <w:adjustRightInd w:val="0"/>
        <w:spacing w:before="0" w:line="300" w:lineRule="auto"/>
        <w:rPr>
          <w:rFonts w:hAnsi="宋体" w:cs="宋体"/>
          <w:sz w:val="21"/>
          <w:szCs w:val="21"/>
        </w:rPr>
      </w:pPr>
      <w:r>
        <w:rPr>
          <w:rFonts w:hint="eastAsia" w:hAnsi="宋体" w:cs="宋体"/>
          <w:sz w:val="21"/>
          <w:szCs w:val="21"/>
        </w:rPr>
        <w:t>本项目根据工信部等部委发布的《关于印发中小企业划型标准规定的通知》（工信部联企业〔2011〕300号）中的具体品目确定相应中小企业标准。符合上述条件的中小微型企业应按照采购文件的格式要求提供《中小企业声明函》。符合《关于促进残疾人就业政府采购政策的通知》（财库〔2017〕141号）规定的条件并提供《残疾人福利性单位声明函》的残疾人福利性单位视同小型、微型企业；根据《关于政府采购支持监狱企业发展有关问题的通知》（财库[2014]68号）的规定，磋商供应商提供由省级以上监狱管理局、戒毒管理局（含新疆生产建设兵团）出具的属于监狱企业证明文件的，视同为小型和微型企业。联合体各方均为小型、微型企业的，联合体视同为小型、微型企业。</w:t>
      </w:r>
    </w:p>
    <w:p>
      <w:pPr>
        <w:pStyle w:val="3"/>
        <w:widowControl w:val="0"/>
        <w:autoSpaceDE/>
        <w:autoSpaceDN/>
        <w:spacing w:before="0" w:line="300" w:lineRule="auto"/>
        <w:ind w:firstLine="573"/>
        <w:textAlignment w:val="auto"/>
        <w:rPr>
          <w:rFonts w:hAnsi="宋体" w:cs="宋体"/>
          <w:sz w:val="21"/>
          <w:szCs w:val="21"/>
        </w:rPr>
      </w:pPr>
      <w:r>
        <w:rPr>
          <w:rFonts w:hint="eastAsia" w:hAnsi="宋体" w:cs="宋体"/>
          <w:sz w:val="21"/>
          <w:szCs w:val="21"/>
        </w:rPr>
        <w:t>供应商可根据工业和信息化部中小企业局《中小企业规模类型自测小程序《中小企业规模类型自测小程序》（http://sme.miit.gov.cn/baosong/appweb/orgScale.html）结合本项目标的对应行业分类和自身各项指标自测自身企业规模类型。</w:t>
      </w:r>
      <w:r>
        <w:rPr>
          <w:rFonts w:hint="eastAsia" w:hAnsi="宋体" w:cs="宋体"/>
          <w:b/>
          <w:bCs/>
          <w:sz w:val="21"/>
          <w:szCs w:val="21"/>
          <w:u w:val="single"/>
        </w:rPr>
        <w:t>如提供符合《政府采购促进中小企业发展管理办法》（财库〔2020〕46号）规定的中小企业货物、工程或者服务的投标人，应当提供该办法附件的《中小企业声明函》供评标委员会核实、认定。未提供《中小企业声明函》或经认定填写内容有误的投标人，不予认定为有效供应商。</w:t>
      </w:r>
    </w:p>
    <w:p>
      <w:pPr>
        <w:pStyle w:val="5"/>
        <w:snapToGrid w:val="0"/>
        <w:ind w:firstLine="422"/>
        <w:rPr>
          <w:rFonts w:ascii="宋体" w:hAnsi="宋体" w:cs="宋体"/>
        </w:rPr>
      </w:pPr>
      <w:r>
        <w:rPr>
          <w:rFonts w:hint="eastAsia" w:ascii="宋体" w:hAnsi="宋体" w:cs="宋体"/>
        </w:rPr>
        <w:t>三、技术标准、规范（不限于以下）</w:t>
      </w:r>
      <w:bookmarkEnd w:id="47"/>
      <w:bookmarkEnd w:id="48"/>
    </w:p>
    <w:p>
      <w:pPr>
        <w:pStyle w:val="88"/>
        <w:snapToGrid w:val="0"/>
        <w:spacing w:line="300" w:lineRule="auto"/>
        <w:ind w:firstLine="420"/>
        <w:rPr>
          <w:rFonts w:ascii="宋体" w:hAnsi="宋体" w:cs="宋体"/>
        </w:rPr>
      </w:pPr>
      <w:r>
        <w:rPr>
          <w:rFonts w:hint="eastAsia" w:ascii="宋体" w:hAnsi="宋体" w:cs="宋体"/>
        </w:rPr>
        <w:t>1、国家规定的标准及规范，按最新的标准及规范执行。</w:t>
      </w:r>
    </w:p>
    <w:p>
      <w:pPr>
        <w:pStyle w:val="88"/>
        <w:snapToGrid w:val="0"/>
        <w:spacing w:line="300" w:lineRule="auto"/>
        <w:ind w:firstLine="420"/>
        <w:rPr>
          <w:rFonts w:ascii="宋体" w:hAnsi="宋体" w:cs="宋体"/>
        </w:rPr>
      </w:pPr>
      <w:r>
        <w:rPr>
          <w:rFonts w:hint="eastAsia" w:ascii="宋体" w:hAnsi="宋体" w:cs="宋体"/>
        </w:rPr>
        <w:t>2、行业标准及规范，按最新的标准及规范执行。</w:t>
      </w:r>
    </w:p>
    <w:p>
      <w:pPr>
        <w:pStyle w:val="88"/>
        <w:snapToGrid w:val="0"/>
        <w:spacing w:line="300" w:lineRule="auto"/>
        <w:ind w:firstLine="420"/>
        <w:rPr>
          <w:rFonts w:ascii="宋体" w:hAnsi="宋体" w:cs="宋体"/>
        </w:rPr>
      </w:pPr>
      <w:r>
        <w:rPr>
          <w:rFonts w:hint="eastAsia" w:ascii="宋体" w:hAnsi="宋体" w:cs="宋体"/>
        </w:rPr>
        <w:t>3、产品本体质量应符合中华人民共和国及产品品牌所在国的有关质量标准，上述标准如有不一致，执行两者中更严格的标准。</w:t>
      </w:r>
    </w:p>
    <w:p>
      <w:pPr>
        <w:pStyle w:val="88"/>
        <w:snapToGrid w:val="0"/>
        <w:spacing w:line="300" w:lineRule="auto"/>
        <w:ind w:firstLine="420"/>
        <w:rPr>
          <w:rFonts w:ascii="宋体" w:hAnsi="宋体" w:cs="宋体"/>
        </w:rPr>
      </w:pPr>
      <w:r>
        <w:rPr>
          <w:rFonts w:hint="eastAsia" w:ascii="宋体" w:hAnsi="宋体" w:cs="宋体"/>
        </w:rPr>
        <w:t>4、其它相关标准及规范，按最新的标准及规范执行。</w:t>
      </w:r>
    </w:p>
    <w:p>
      <w:pPr>
        <w:pStyle w:val="5"/>
        <w:snapToGrid w:val="0"/>
        <w:ind w:firstLine="422"/>
        <w:rPr>
          <w:rFonts w:ascii="宋体" w:hAnsi="宋体" w:cs="宋体"/>
        </w:rPr>
      </w:pPr>
      <w:bookmarkStart w:id="54" w:name="_Toc426996351"/>
      <w:bookmarkStart w:id="55" w:name="_Toc335039017"/>
      <w:r>
        <w:rPr>
          <w:rFonts w:hint="eastAsia" w:ascii="宋体" w:hAnsi="宋体" w:cs="宋体"/>
        </w:rPr>
        <w:t>四、</w:t>
      </w:r>
      <w:bookmarkEnd w:id="49"/>
      <w:bookmarkEnd w:id="50"/>
      <w:r>
        <w:rPr>
          <w:rFonts w:hint="eastAsia" w:ascii="宋体" w:hAnsi="宋体" w:cs="宋体"/>
        </w:rPr>
        <w:t>基本要求</w:t>
      </w:r>
      <w:bookmarkEnd w:id="54"/>
      <w:bookmarkEnd w:id="55"/>
    </w:p>
    <w:bookmarkEnd w:id="51"/>
    <w:bookmarkEnd w:id="52"/>
    <w:p>
      <w:pPr>
        <w:pStyle w:val="88"/>
        <w:snapToGrid w:val="0"/>
        <w:spacing w:line="300" w:lineRule="auto"/>
        <w:ind w:firstLine="420"/>
        <w:rPr>
          <w:rFonts w:ascii="宋体" w:hAnsi="宋体" w:cs="宋体"/>
        </w:rPr>
      </w:pPr>
      <w:r>
        <w:rPr>
          <w:rFonts w:hint="eastAsia" w:ascii="宋体" w:hAnsi="宋体" w:cs="宋体"/>
        </w:rPr>
        <w:t>1、投标人须提供符合国家相应标准及规范生产的产品，并保证其使用的安全性与可靠性。投标人应在投标文件中明确产品具体配置说明、技术指标，同时投标人应提供技术支持资料，技术支持资料包括权威机构出具的认证证书或第三方检测机构出具的检测报告或投标产品制造商公开发布的印刷资料，若权威机构出具的认证证书或第三方检测机构出具的检测报告与投标产品制造商公开发布的印刷资料不一致，以权威机构出具的认证证书或第三方检测机构出具的检测报告为准，对于非标准和非通用设备，投标人也可提供此前完成的类似项目的合同技术规格及最终的性能检验报告（应有用户单位盖章）作为技术支持资料。</w:t>
      </w:r>
    </w:p>
    <w:p>
      <w:pPr>
        <w:pStyle w:val="88"/>
        <w:snapToGrid w:val="0"/>
        <w:spacing w:line="300" w:lineRule="auto"/>
        <w:ind w:firstLine="420"/>
        <w:rPr>
          <w:rFonts w:ascii="宋体" w:hAnsi="宋体" w:cs="宋体"/>
        </w:rPr>
      </w:pPr>
      <w:r>
        <w:rPr>
          <w:rFonts w:hint="eastAsia" w:ascii="宋体" w:hAnsi="宋体" w:cs="宋体"/>
        </w:rPr>
        <w:t>2、如投标文件中未提供技术支持资料或投标文件中明确的技术指标与技术支持资料不一致，评标委员会可对其做出不利的评审。</w:t>
      </w:r>
    </w:p>
    <w:p>
      <w:pPr>
        <w:pStyle w:val="88"/>
        <w:snapToGrid w:val="0"/>
        <w:spacing w:line="300" w:lineRule="auto"/>
        <w:ind w:firstLine="420"/>
        <w:rPr>
          <w:rFonts w:ascii="宋体" w:hAnsi="宋体" w:cs="宋体"/>
        </w:rPr>
      </w:pPr>
      <w:r>
        <w:rPr>
          <w:rFonts w:hint="eastAsia" w:ascii="宋体" w:hAnsi="宋体" w:cs="宋体"/>
        </w:rPr>
        <w:t>3、中标人须对中标产品使用的安全性、有效性及可靠性承担全部责任，须保证合同验收阶段的性能检验报告与投标文件明确的技术指标一致。</w:t>
      </w:r>
    </w:p>
    <w:p>
      <w:pPr>
        <w:pStyle w:val="88"/>
        <w:snapToGrid w:val="0"/>
        <w:spacing w:line="300" w:lineRule="auto"/>
        <w:ind w:firstLine="420"/>
        <w:rPr>
          <w:rFonts w:ascii="宋体" w:hAnsi="宋体" w:cs="宋体"/>
        </w:rPr>
      </w:pPr>
      <w:r>
        <w:rPr>
          <w:rFonts w:hint="eastAsia" w:ascii="宋体" w:hAnsi="宋体" w:cs="宋体"/>
        </w:rPr>
        <w:t>4、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投标的产品如有属于最新节能产品政府采购清单、最新环境标志产品政府采购清单内产品（相关信息查看中国政府采购网http：//www.ccgp.gov.cn），投标人应在投标文件中提供相关证明材料。</w:t>
      </w:r>
    </w:p>
    <w:p>
      <w:pPr>
        <w:pStyle w:val="88"/>
        <w:snapToGrid w:val="0"/>
        <w:spacing w:line="300" w:lineRule="auto"/>
        <w:ind w:firstLine="420"/>
        <w:rPr>
          <w:rFonts w:ascii="宋体" w:hAnsi="宋体" w:cs="宋体"/>
        </w:rPr>
      </w:pPr>
      <w:r>
        <w:rPr>
          <w:rFonts w:hint="eastAsia" w:ascii="宋体" w:hAnsi="宋体" w:cs="宋体"/>
        </w:rPr>
        <w:t>5、投标人的投标产品技术指标应具备相当于或高于招标文件中规定的要求，并能提供更好的性能，具有更高的可靠性、安全性、耐用性。</w:t>
      </w:r>
    </w:p>
    <w:p>
      <w:pPr>
        <w:pStyle w:val="88"/>
        <w:snapToGrid w:val="0"/>
        <w:spacing w:line="300" w:lineRule="auto"/>
        <w:ind w:firstLine="420"/>
        <w:rPr>
          <w:rFonts w:ascii="宋体" w:hAnsi="宋体" w:cs="宋体"/>
        </w:rPr>
      </w:pPr>
      <w:r>
        <w:rPr>
          <w:rFonts w:hint="eastAsia" w:ascii="宋体" w:hAnsi="宋体" w:cs="宋体"/>
        </w:rPr>
        <w:t>6、投标人应在投标文件中对产品的技术指标进行明确说明。否则，评标委员会可对其做出不利的评审。</w:t>
      </w:r>
    </w:p>
    <w:p>
      <w:pPr>
        <w:pStyle w:val="88"/>
        <w:snapToGrid w:val="0"/>
        <w:spacing w:line="300" w:lineRule="auto"/>
        <w:ind w:firstLine="420"/>
        <w:rPr>
          <w:rFonts w:ascii="宋体" w:hAnsi="宋体" w:cs="宋体"/>
        </w:rPr>
      </w:pPr>
      <w:r>
        <w:rPr>
          <w:rFonts w:hint="eastAsia" w:ascii="宋体" w:hAnsi="宋体" w:cs="宋体"/>
        </w:rPr>
        <w:t>7、工作条件</w:t>
      </w:r>
    </w:p>
    <w:p>
      <w:pPr>
        <w:pStyle w:val="88"/>
        <w:snapToGrid w:val="0"/>
        <w:spacing w:line="300" w:lineRule="auto"/>
        <w:ind w:firstLine="420"/>
        <w:rPr>
          <w:rFonts w:ascii="宋体" w:hAnsi="宋体" w:cs="宋体"/>
        </w:rPr>
      </w:pPr>
      <w:r>
        <w:rPr>
          <w:rFonts w:hint="eastAsia" w:ascii="宋体" w:hAnsi="宋体" w:cs="宋体"/>
        </w:rPr>
        <w:t>投标人提供的产品应在采购人所处的条件下正常工作，投标人可以通过现场踏勘进行了解。</w:t>
      </w:r>
    </w:p>
    <w:p>
      <w:pPr>
        <w:pStyle w:val="88"/>
        <w:snapToGrid w:val="0"/>
        <w:spacing w:line="300" w:lineRule="auto"/>
        <w:ind w:firstLine="420"/>
        <w:rPr>
          <w:rFonts w:ascii="宋体" w:hAnsi="宋体" w:cs="宋体"/>
        </w:rPr>
      </w:pPr>
      <w:r>
        <w:rPr>
          <w:rFonts w:hint="eastAsia" w:ascii="宋体" w:hAnsi="宋体" w:cs="宋体"/>
        </w:rPr>
        <w:t>8、环境要求</w:t>
      </w:r>
    </w:p>
    <w:p>
      <w:pPr>
        <w:pStyle w:val="88"/>
        <w:snapToGrid w:val="0"/>
        <w:spacing w:line="300" w:lineRule="auto"/>
        <w:ind w:firstLine="420"/>
        <w:rPr>
          <w:rFonts w:ascii="宋体" w:hAnsi="宋体" w:cs="宋体"/>
        </w:rPr>
      </w:pPr>
      <w:r>
        <w:rPr>
          <w:rFonts w:hint="eastAsia" w:ascii="宋体" w:hAnsi="宋体" w:cs="宋体"/>
        </w:rPr>
        <w:t>投标产品安装运行对环境的要求应能满足采购人的现有条件，如投标产品对环境有特别要求，投标人须在投标文件中进行明确，否则，未适应产品安装运行所要具备的环境条件的营造费用由投标人承担。投标人可通过现场踏勘了解采购人能够提供的现有条件。</w:t>
      </w:r>
    </w:p>
    <w:p>
      <w:pPr>
        <w:pStyle w:val="88"/>
        <w:snapToGrid w:val="0"/>
        <w:spacing w:line="300" w:lineRule="auto"/>
        <w:ind w:firstLine="420"/>
        <w:rPr>
          <w:rFonts w:ascii="宋体" w:hAnsi="宋体" w:cs="宋体"/>
        </w:rPr>
      </w:pPr>
      <w:r>
        <w:rPr>
          <w:rFonts w:hint="eastAsia" w:ascii="宋体" w:hAnsi="宋体" w:cs="宋体"/>
        </w:rPr>
        <w:t>9、产品本体</w:t>
      </w:r>
    </w:p>
    <w:p>
      <w:pPr>
        <w:pStyle w:val="88"/>
        <w:snapToGrid w:val="0"/>
        <w:spacing w:line="300" w:lineRule="auto"/>
        <w:ind w:firstLine="420"/>
        <w:rPr>
          <w:rFonts w:ascii="宋体" w:hAnsi="宋体" w:cs="宋体"/>
        </w:rPr>
      </w:pPr>
      <w:r>
        <w:rPr>
          <w:rFonts w:hint="eastAsia" w:ascii="宋体" w:hAnsi="宋体" w:cs="宋体"/>
        </w:rPr>
        <w:t>产品本体是指产品在工作条件和环境条件具备的前提下正常运行就能达到投标文件承诺的技术指标及性能，不需要另外配置其他物品。</w:t>
      </w:r>
    </w:p>
    <w:p>
      <w:pPr>
        <w:pStyle w:val="88"/>
        <w:snapToGrid w:val="0"/>
        <w:spacing w:line="300" w:lineRule="auto"/>
        <w:ind w:firstLine="420"/>
        <w:rPr>
          <w:rFonts w:ascii="宋体" w:hAnsi="宋体" w:cs="宋体"/>
        </w:rPr>
      </w:pPr>
      <w:r>
        <w:rPr>
          <w:rFonts w:hint="eastAsia" w:ascii="宋体" w:hAnsi="宋体" w:cs="宋体"/>
        </w:rPr>
        <w:t>10、随机配送的备品备件、易损件、另配件、专用工具</w:t>
      </w:r>
    </w:p>
    <w:p>
      <w:pPr>
        <w:pStyle w:val="88"/>
        <w:snapToGrid w:val="0"/>
        <w:spacing w:line="300" w:lineRule="auto"/>
        <w:ind w:firstLine="420"/>
        <w:rPr>
          <w:rFonts w:ascii="宋体" w:hAnsi="宋体" w:cs="宋体"/>
        </w:rPr>
      </w:pPr>
      <w:r>
        <w:rPr>
          <w:rFonts w:hint="eastAsia" w:ascii="宋体" w:hAnsi="宋体" w:cs="宋体"/>
        </w:rPr>
        <w:t>随机配送的备品备件、易损件、另配件、专用工具是指与产品相关的辅助性物品，是为方便采购人使用而提供的、不会影响产品本身正常运行。</w:t>
      </w:r>
    </w:p>
    <w:p>
      <w:pPr>
        <w:pStyle w:val="88"/>
        <w:snapToGrid w:val="0"/>
        <w:spacing w:line="300" w:lineRule="auto"/>
        <w:ind w:firstLine="420"/>
        <w:rPr>
          <w:rFonts w:ascii="宋体" w:hAnsi="宋体" w:cs="宋体"/>
        </w:rPr>
      </w:pPr>
      <w:r>
        <w:rPr>
          <w:rFonts w:hint="eastAsia" w:ascii="宋体" w:hAnsi="宋体" w:cs="宋体"/>
        </w:rPr>
        <w:t>包括采购人要求随机配送或产品自身随机配送的物品，投标人应在投标文件中列出各种随机配送的备品备件、易损件、另配件、专用工具的规格、用途、数量、单价和总价，所需费用应包括在投标报价之内。</w:t>
      </w:r>
    </w:p>
    <w:p>
      <w:pPr>
        <w:pStyle w:val="5"/>
        <w:snapToGrid w:val="0"/>
        <w:ind w:firstLine="422"/>
        <w:rPr>
          <w:rFonts w:ascii="宋体" w:hAnsi="宋体" w:cs="宋体"/>
        </w:rPr>
      </w:pPr>
      <w:bookmarkStart w:id="56" w:name="_Toc329113953"/>
      <w:bookmarkStart w:id="57" w:name="_Toc328992072"/>
      <w:bookmarkStart w:id="58" w:name="_Toc335039018"/>
      <w:bookmarkStart w:id="59" w:name="_Toc426996352"/>
      <w:r>
        <w:rPr>
          <w:rFonts w:hint="eastAsia" w:ascii="宋体" w:hAnsi="宋体" w:cs="宋体"/>
        </w:rPr>
        <w:t>五、</w:t>
      </w:r>
      <w:bookmarkEnd w:id="56"/>
      <w:bookmarkEnd w:id="57"/>
      <w:bookmarkEnd w:id="58"/>
      <w:r>
        <w:rPr>
          <w:rFonts w:hint="eastAsia" w:ascii="宋体" w:hAnsi="宋体" w:cs="宋体"/>
        </w:rPr>
        <w:t>采购内容及需求</w:t>
      </w:r>
      <w:bookmarkEnd w:id="59"/>
    </w:p>
    <w:p>
      <w:pPr>
        <w:pStyle w:val="88"/>
        <w:snapToGrid w:val="0"/>
        <w:spacing w:line="300" w:lineRule="auto"/>
        <w:ind w:firstLine="420"/>
        <w:rPr>
          <w:rFonts w:ascii="宋体" w:hAnsi="宋体" w:cs="宋体"/>
        </w:rPr>
      </w:pPr>
      <w:r>
        <w:rPr>
          <w:rFonts w:hint="eastAsia" w:ascii="宋体" w:hAnsi="宋体" w:cs="宋体"/>
        </w:rPr>
        <w:t>具体要求详见招标文件的“第四章   采购需求具体要求”。</w:t>
      </w:r>
    </w:p>
    <w:p>
      <w:pPr>
        <w:pStyle w:val="5"/>
        <w:snapToGrid w:val="0"/>
        <w:ind w:firstLine="422"/>
        <w:rPr>
          <w:rFonts w:ascii="宋体" w:hAnsi="宋体" w:cs="宋体"/>
        </w:rPr>
      </w:pPr>
      <w:bookmarkStart w:id="60" w:name="_Toc329113954"/>
      <w:bookmarkStart w:id="61" w:name="_Toc328992073"/>
      <w:bookmarkStart w:id="62" w:name="_Toc335039019"/>
      <w:bookmarkStart w:id="63" w:name="_Toc426996353"/>
      <w:r>
        <w:rPr>
          <w:rFonts w:hint="eastAsia" w:ascii="宋体" w:hAnsi="宋体" w:cs="宋体"/>
        </w:rPr>
        <w:t>六、工作范围</w:t>
      </w:r>
      <w:bookmarkEnd w:id="60"/>
      <w:bookmarkEnd w:id="61"/>
      <w:bookmarkEnd w:id="62"/>
      <w:bookmarkEnd w:id="63"/>
    </w:p>
    <w:p>
      <w:pPr>
        <w:pStyle w:val="88"/>
        <w:snapToGrid w:val="0"/>
        <w:spacing w:line="300" w:lineRule="auto"/>
        <w:ind w:firstLine="420"/>
        <w:rPr>
          <w:rFonts w:ascii="宋体" w:hAnsi="宋体" w:cs="宋体"/>
        </w:rPr>
      </w:pPr>
      <w:r>
        <w:rPr>
          <w:rFonts w:hint="eastAsia" w:ascii="宋体" w:hAnsi="宋体" w:cs="宋体"/>
        </w:rPr>
        <w:t>各投标人须按国家有关标准及规范完成招标文件规定的所有工作内容：</w:t>
      </w:r>
    </w:p>
    <w:p>
      <w:pPr>
        <w:pStyle w:val="88"/>
        <w:snapToGrid w:val="0"/>
        <w:spacing w:line="300" w:lineRule="auto"/>
        <w:ind w:firstLine="420"/>
        <w:rPr>
          <w:rFonts w:ascii="宋体" w:hAnsi="宋体" w:cs="宋体"/>
        </w:rPr>
      </w:pPr>
      <w:r>
        <w:rPr>
          <w:rFonts w:hint="eastAsia" w:ascii="宋体" w:hAnsi="宋体" w:cs="宋体"/>
        </w:rPr>
        <w:t>1、完成所有产品供货；</w:t>
      </w:r>
    </w:p>
    <w:p>
      <w:pPr>
        <w:pStyle w:val="88"/>
        <w:snapToGrid w:val="0"/>
        <w:spacing w:line="300" w:lineRule="auto"/>
        <w:ind w:firstLine="420"/>
        <w:rPr>
          <w:rFonts w:ascii="宋体" w:hAnsi="宋体" w:cs="宋体"/>
        </w:rPr>
      </w:pPr>
      <w:r>
        <w:rPr>
          <w:rFonts w:hint="eastAsia" w:ascii="宋体" w:hAnsi="宋体" w:cs="宋体"/>
        </w:rPr>
        <w:t>2、履行所有规定服务；</w:t>
      </w:r>
    </w:p>
    <w:p>
      <w:pPr>
        <w:pStyle w:val="88"/>
        <w:snapToGrid w:val="0"/>
        <w:spacing w:line="300" w:lineRule="auto"/>
        <w:ind w:firstLine="420"/>
        <w:rPr>
          <w:rFonts w:ascii="宋体" w:hAnsi="宋体" w:cs="宋体"/>
        </w:rPr>
      </w:pPr>
      <w:r>
        <w:rPr>
          <w:rFonts w:hint="eastAsia" w:ascii="宋体" w:hAnsi="宋体" w:cs="宋体"/>
        </w:rPr>
        <w:t>3、产品及服务须达到招标文件规定的质量标准及使用要求。</w:t>
      </w:r>
    </w:p>
    <w:p>
      <w:pPr>
        <w:adjustRightInd w:val="0"/>
        <w:snapToGrid w:val="0"/>
        <w:spacing w:line="300" w:lineRule="auto"/>
        <w:ind w:firstLine="420" w:firstLineChars="200"/>
        <w:jc w:val="left"/>
        <w:rPr>
          <w:rFonts w:ascii="宋体" w:hAnsi="宋体" w:cs="宋体"/>
        </w:rPr>
      </w:pPr>
      <w:r>
        <w:rPr>
          <w:rFonts w:hint="eastAsia" w:ascii="宋体" w:hAnsi="宋体" w:cs="宋体"/>
        </w:rPr>
        <w:br w:type="page"/>
      </w:r>
    </w:p>
    <w:p>
      <w:pPr>
        <w:pStyle w:val="4"/>
        <w:snapToGrid w:val="0"/>
        <w:rPr>
          <w:rFonts w:ascii="宋体" w:hAnsi="宋体" w:eastAsia="宋体" w:cs="宋体"/>
          <w:color w:val="auto"/>
        </w:rPr>
      </w:pPr>
      <w:bookmarkStart w:id="64" w:name="_Toc298767927"/>
      <w:bookmarkStart w:id="65" w:name="_Toc294012141"/>
      <w:bookmarkStart w:id="66" w:name="_Toc516132585"/>
      <w:r>
        <w:rPr>
          <w:rFonts w:hint="eastAsia" w:ascii="宋体" w:hAnsi="宋体" w:eastAsia="宋体" w:cs="宋体"/>
          <w:color w:val="auto"/>
        </w:rPr>
        <w:t xml:space="preserve">第四章  </w:t>
      </w:r>
      <w:bookmarkEnd w:id="64"/>
      <w:bookmarkEnd w:id="65"/>
      <w:r>
        <w:rPr>
          <w:rFonts w:hint="eastAsia" w:ascii="宋体" w:hAnsi="宋体" w:eastAsia="宋体" w:cs="宋体"/>
          <w:color w:val="auto"/>
        </w:rPr>
        <w:t>采购需求具体要求</w:t>
      </w:r>
      <w:bookmarkEnd w:id="66"/>
    </w:p>
    <w:p>
      <w:pPr>
        <w:snapToGrid w:val="0"/>
        <w:spacing w:line="360" w:lineRule="auto"/>
        <w:jc w:val="center"/>
        <w:rPr>
          <w:rFonts w:ascii="宋体" w:hAnsi="宋体" w:cs="宋体"/>
          <w:b/>
          <w:bCs/>
        </w:rPr>
      </w:pPr>
      <w:r>
        <w:rPr>
          <w:rFonts w:hint="eastAsia" w:ascii="宋体" w:hAnsi="宋体" w:cs="宋体"/>
        </w:rPr>
        <w:t>投标人应仔细阅读本招标文件。对其中带“▲”的条款，投标人须作出实质性响应。</w:t>
      </w:r>
    </w:p>
    <w:p>
      <w:pPr>
        <w:adjustRightInd w:val="0"/>
        <w:snapToGrid w:val="0"/>
        <w:spacing w:line="360" w:lineRule="auto"/>
        <w:rPr>
          <w:rFonts w:ascii="宋体" w:hAnsi="宋体" w:cs="宋体"/>
          <w:b/>
          <w:bCs/>
          <w:szCs w:val="21"/>
        </w:rPr>
      </w:pPr>
      <w:r>
        <w:rPr>
          <w:rFonts w:hint="eastAsia" w:ascii="宋体" w:hAnsi="宋体" w:cs="宋体"/>
          <w:b/>
          <w:bCs/>
          <w:szCs w:val="21"/>
        </w:rPr>
        <w:t>一、技术要求：</w:t>
      </w:r>
    </w:p>
    <w:p>
      <w:pPr>
        <w:adjustRightInd w:val="0"/>
        <w:snapToGrid w:val="0"/>
        <w:spacing w:line="360" w:lineRule="auto"/>
        <w:ind w:firstLine="420" w:firstLineChars="200"/>
        <w:rPr>
          <w:rFonts w:ascii="宋体" w:hAnsi="宋体" w:cs="宋体"/>
        </w:rPr>
      </w:pPr>
      <w:r>
        <w:rPr>
          <w:rFonts w:hint="eastAsia" w:ascii="宋体" w:hAnsi="宋体" w:cs="宋体"/>
          <w:szCs w:val="21"/>
        </w:rPr>
        <w:t>杭州殡仪馆2022年度花圈供货服务项目共择优选取综合得分前1名的供应商作为中标供应商，中标供应商对杭州殡仪馆售卖的花圈进行花圈制造、供货、运输及相关服务等。</w:t>
      </w:r>
    </w:p>
    <w:tbl>
      <w:tblPr>
        <w:tblStyle w:val="44"/>
        <w:tblW w:w="9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489"/>
        <w:gridCol w:w="2898"/>
        <w:gridCol w:w="2698"/>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20" w:type="dxa"/>
            <w:vAlign w:val="center"/>
          </w:tcPr>
          <w:p>
            <w:pPr>
              <w:adjustRightInd w:val="0"/>
              <w:snapToGrid w:val="0"/>
              <w:rPr>
                <w:rFonts w:ascii="宋体" w:hAnsi="宋体" w:cs="宋体"/>
                <w:b/>
              </w:rPr>
            </w:pPr>
            <w:r>
              <w:rPr>
                <w:rFonts w:hint="eastAsia" w:ascii="宋体" w:hAnsi="宋体" w:cs="宋体"/>
                <w:b/>
              </w:rPr>
              <w:t>序号</w:t>
            </w:r>
          </w:p>
        </w:tc>
        <w:tc>
          <w:tcPr>
            <w:tcW w:w="1489" w:type="dxa"/>
            <w:vAlign w:val="center"/>
          </w:tcPr>
          <w:p>
            <w:pPr>
              <w:adjustRightInd w:val="0"/>
              <w:snapToGrid w:val="0"/>
              <w:ind w:firstLine="198" w:firstLineChars="94"/>
              <w:rPr>
                <w:rFonts w:ascii="宋体" w:hAnsi="宋体" w:cs="宋体"/>
                <w:b/>
              </w:rPr>
            </w:pPr>
            <w:r>
              <w:rPr>
                <w:rFonts w:hint="eastAsia" w:ascii="宋体" w:hAnsi="宋体" w:cs="宋体"/>
                <w:b/>
              </w:rPr>
              <w:t>名称</w:t>
            </w:r>
          </w:p>
        </w:tc>
        <w:tc>
          <w:tcPr>
            <w:tcW w:w="2898" w:type="dxa"/>
            <w:vAlign w:val="center"/>
          </w:tcPr>
          <w:p>
            <w:pPr>
              <w:adjustRightInd w:val="0"/>
              <w:snapToGrid w:val="0"/>
              <w:ind w:firstLine="422"/>
              <w:rPr>
                <w:rFonts w:ascii="宋体" w:hAnsi="宋体" w:cs="宋体"/>
                <w:b/>
              </w:rPr>
            </w:pPr>
            <w:r>
              <w:rPr>
                <w:rFonts w:hint="eastAsia" w:ascii="宋体" w:hAnsi="宋体" w:cs="宋体"/>
                <w:b/>
              </w:rPr>
              <w:t>材质要求</w:t>
            </w:r>
          </w:p>
        </w:tc>
        <w:tc>
          <w:tcPr>
            <w:tcW w:w="2698" w:type="dxa"/>
            <w:vAlign w:val="center"/>
          </w:tcPr>
          <w:p>
            <w:pPr>
              <w:adjustRightInd w:val="0"/>
              <w:snapToGrid w:val="0"/>
              <w:ind w:firstLine="422"/>
              <w:rPr>
                <w:rFonts w:ascii="宋体" w:hAnsi="宋体" w:cs="宋体"/>
                <w:b/>
              </w:rPr>
            </w:pPr>
            <w:r>
              <w:rPr>
                <w:rFonts w:hint="eastAsia" w:ascii="宋体" w:hAnsi="宋体" w:cs="宋体"/>
                <w:b/>
              </w:rPr>
              <w:t>规格</w:t>
            </w:r>
          </w:p>
        </w:tc>
        <w:tc>
          <w:tcPr>
            <w:tcW w:w="1200" w:type="dxa"/>
            <w:vAlign w:val="center"/>
          </w:tcPr>
          <w:p>
            <w:pPr>
              <w:adjustRightInd w:val="0"/>
              <w:snapToGrid w:val="0"/>
              <w:rPr>
                <w:rFonts w:ascii="宋体" w:hAnsi="宋体" w:cs="宋体"/>
                <w:b/>
              </w:rPr>
            </w:pPr>
            <w:r>
              <w:rPr>
                <w:rFonts w:hint="eastAsia" w:ascii="宋体" w:hAnsi="宋体" w:cs="宋体"/>
                <w:b/>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20" w:type="dxa"/>
            <w:vAlign w:val="center"/>
          </w:tcPr>
          <w:p>
            <w:pPr>
              <w:adjustRightInd w:val="0"/>
              <w:snapToGrid w:val="0"/>
              <w:ind w:firstLine="199" w:firstLineChars="95"/>
              <w:rPr>
                <w:rFonts w:ascii="宋体" w:hAnsi="宋体" w:cs="宋体"/>
              </w:rPr>
            </w:pPr>
            <w:r>
              <w:rPr>
                <w:rFonts w:hint="eastAsia"/>
              </w:rPr>
              <w:t>1</w:t>
            </w:r>
          </w:p>
        </w:tc>
        <w:tc>
          <w:tcPr>
            <w:tcW w:w="1489" w:type="dxa"/>
            <w:vAlign w:val="center"/>
          </w:tcPr>
          <w:p>
            <w:pPr>
              <w:adjustRightInd w:val="0"/>
              <w:snapToGrid w:val="0"/>
              <w:rPr>
                <w:rFonts w:ascii="宋体" w:hAnsi="宋体" w:cs="宋体"/>
              </w:rPr>
            </w:pPr>
            <w:r>
              <w:t>水仙花圈</w:t>
            </w:r>
          </w:p>
        </w:tc>
        <w:tc>
          <w:tcPr>
            <w:tcW w:w="2898" w:type="dxa"/>
            <w:vAlign w:val="center"/>
          </w:tcPr>
          <w:p>
            <w:pPr>
              <w:adjustRightInd w:val="0"/>
              <w:snapToGrid w:val="0"/>
              <w:rPr>
                <w:rFonts w:ascii="宋体" w:hAnsi="宋体" w:cs="宋体"/>
              </w:rPr>
            </w:pPr>
            <w:r>
              <w:rPr>
                <w:rFonts w:hint="eastAsia"/>
              </w:rPr>
              <w:t>青面竹篾、白色衬布、</w:t>
            </w:r>
            <w:r>
              <w:t>拱形竹架、层底部，圆奠、水仙花</w:t>
            </w:r>
            <w:r>
              <w:rPr>
                <w:rFonts w:hint="eastAsia"/>
              </w:rPr>
              <w:t>100朵、叶子18片，底部有五角星花托等塑料配件</w:t>
            </w:r>
          </w:p>
        </w:tc>
        <w:tc>
          <w:tcPr>
            <w:tcW w:w="2698" w:type="dxa"/>
            <w:vAlign w:val="center"/>
          </w:tcPr>
          <w:p>
            <w:pPr>
              <w:adjustRightInd w:val="0"/>
              <w:snapToGrid w:val="0"/>
              <w:rPr>
                <w:rFonts w:ascii="宋体" w:hAnsi="宋体" w:cs="宋体"/>
              </w:rPr>
            </w:pPr>
            <w:r>
              <w:t>拱圆形直径不小于1.</w:t>
            </w:r>
            <w:r>
              <w:rPr>
                <w:rFonts w:hint="eastAsia"/>
              </w:rPr>
              <w:t>3</w:t>
            </w:r>
            <w:r>
              <w:t>米</w:t>
            </w:r>
            <w:r>
              <w:rPr>
                <w:rFonts w:hint="eastAsia"/>
              </w:rPr>
              <w:t>，竹蔑圈数4圈，竹蔑圈宽1公分，厚0.7公分，4根底竹架宽度1.5公分，厚度1公分</w:t>
            </w:r>
          </w:p>
        </w:tc>
        <w:tc>
          <w:tcPr>
            <w:tcW w:w="1200" w:type="dxa"/>
            <w:vAlign w:val="center"/>
          </w:tcPr>
          <w:p>
            <w:pPr>
              <w:adjustRightInd w:val="0"/>
              <w:snapToGrid w:val="0"/>
              <w:ind w:firstLine="420"/>
              <w:rPr>
                <w:rFonts w:ascii="宋体" w:hAnsi="宋体" w:cs="宋体"/>
              </w:rPr>
            </w:pPr>
            <w:r>
              <w:rPr>
                <w:rFonts w:hint="eastAsi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20" w:type="dxa"/>
            <w:vAlign w:val="center"/>
          </w:tcPr>
          <w:p>
            <w:pPr>
              <w:adjustRightInd w:val="0"/>
              <w:snapToGrid w:val="0"/>
              <w:ind w:firstLine="199" w:firstLineChars="95"/>
              <w:rPr>
                <w:rFonts w:ascii="宋体" w:hAnsi="宋体" w:cs="宋体"/>
              </w:rPr>
            </w:pPr>
            <w:r>
              <w:rPr>
                <w:rFonts w:hint="eastAsia"/>
              </w:rPr>
              <w:t>2</w:t>
            </w:r>
          </w:p>
        </w:tc>
        <w:tc>
          <w:tcPr>
            <w:tcW w:w="1489" w:type="dxa"/>
            <w:vAlign w:val="center"/>
          </w:tcPr>
          <w:p>
            <w:pPr>
              <w:adjustRightInd w:val="0"/>
              <w:snapToGrid w:val="0"/>
              <w:rPr>
                <w:rFonts w:ascii="宋体" w:hAnsi="宋体" w:cs="宋体"/>
              </w:rPr>
            </w:pPr>
            <w:r>
              <w:rPr>
                <w:rFonts w:hint="eastAsia"/>
              </w:rPr>
              <w:t>蓝白</w:t>
            </w:r>
            <w:r>
              <w:t>仿真花圈</w:t>
            </w:r>
          </w:p>
        </w:tc>
        <w:tc>
          <w:tcPr>
            <w:tcW w:w="2898" w:type="dxa"/>
            <w:vAlign w:val="center"/>
          </w:tcPr>
          <w:p>
            <w:pPr>
              <w:adjustRightInd w:val="0"/>
              <w:snapToGrid w:val="0"/>
              <w:rPr>
                <w:rFonts w:ascii="宋体" w:hAnsi="宋体" w:cs="宋体"/>
              </w:rPr>
            </w:pPr>
            <w:r>
              <w:rPr>
                <w:rFonts w:hint="eastAsia"/>
              </w:rPr>
              <w:t>青面竹篾、白色衬布、</w:t>
            </w:r>
            <w:r>
              <w:t>拱形竹架、层底部，圆奠、水仙花</w:t>
            </w:r>
            <w:r>
              <w:rPr>
                <w:rFonts w:hint="eastAsia"/>
              </w:rPr>
              <w:t>11朵</w:t>
            </w:r>
            <w:r>
              <w:t>、孔雀枚花</w:t>
            </w:r>
            <w:r>
              <w:rPr>
                <w:rFonts w:hint="eastAsia"/>
              </w:rPr>
              <w:t>125朵、底部有五角星花托等塑料</w:t>
            </w:r>
            <w:r>
              <w:t>配件</w:t>
            </w:r>
          </w:p>
        </w:tc>
        <w:tc>
          <w:tcPr>
            <w:tcW w:w="2698" w:type="dxa"/>
            <w:vAlign w:val="center"/>
          </w:tcPr>
          <w:p>
            <w:pPr>
              <w:adjustRightInd w:val="0"/>
              <w:snapToGrid w:val="0"/>
              <w:rPr>
                <w:rFonts w:ascii="宋体" w:hAnsi="宋体" w:cs="宋体"/>
              </w:rPr>
            </w:pPr>
            <w:r>
              <w:t>拱圆形直径不小于1.3米</w:t>
            </w:r>
            <w:r>
              <w:rPr>
                <w:rFonts w:hint="eastAsia"/>
              </w:rPr>
              <w:t>，竹蔑圈数4圈，竹蔑圈宽1公分，厚0.7公分，4根底竹架宽度1.5公分，厚度1公分</w:t>
            </w:r>
          </w:p>
        </w:tc>
        <w:tc>
          <w:tcPr>
            <w:tcW w:w="1200" w:type="dxa"/>
            <w:vAlign w:val="center"/>
          </w:tcPr>
          <w:p>
            <w:pPr>
              <w:adjustRightInd w:val="0"/>
              <w:snapToGrid w:val="0"/>
              <w:ind w:firstLine="420"/>
              <w:rPr>
                <w:rFonts w:ascii="宋体" w:hAnsi="宋体" w:cs="宋体"/>
              </w:rPr>
            </w:pPr>
            <w:r>
              <w:rPr>
                <w:rFonts w:hint="eastAsi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20" w:type="dxa"/>
            <w:vAlign w:val="center"/>
          </w:tcPr>
          <w:p>
            <w:pPr>
              <w:adjustRightInd w:val="0"/>
              <w:snapToGrid w:val="0"/>
              <w:ind w:firstLine="199" w:firstLineChars="95"/>
              <w:rPr>
                <w:rFonts w:ascii="宋体" w:hAnsi="宋体" w:cs="宋体"/>
              </w:rPr>
            </w:pPr>
            <w:r>
              <w:rPr>
                <w:rFonts w:hint="eastAsia"/>
              </w:rPr>
              <w:t>3</w:t>
            </w:r>
          </w:p>
        </w:tc>
        <w:tc>
          <w:tcPr>
            <w:tcW w:w="1489" w:type="dxa"/>
            <w:vAlign w:val="center"/>
          </w:tcPr>
          <w:p>
            <w:pPr>
              <w:adjustRightInd w:val="0"/>
              <w:snapToGrid w:val="0"/>
              <w:rPr>
                <w:rFonts w:ascii="宋体" w:hAnsi="宋体" w:cs="宋体"/>
              </w:rPr>
            </w:pPr>
            <w:r>
              <w:rPr>
                <w:rFonts w:hint="eastAsia"/>
              </w:rPr>
              <w:t>仿真龙珠玫</w:t>
            </w:r>
            <w:r>
              <w:t>花圈</w:t>
            </w:r>
            <w:r>
              <w:rPr>
                <w:rFonts w:hint="eastAsia"/>
              </w:rPr>
              <w:t>(A款B款)</w:t>
            </w:r>
          </w:p>
        </w:tc>
        <w:tc>
          <w:tcPr>
            <w:tcW w:w="2898" w:type="dxa"/>
            <w:vAlign w:val="center"/>
          </w:tcPr>
          <w:p>
            <w:pPr>
              <w:adjustRightInd w:val="0"/>
              <w:snapToGrid w:val="0"/>
              <w:rPr>
                <w:rFonts w:ascii="宋体" w:hAnsi="宋体" w:cs="宋体"/>
              </w:rPr>
            </w:pPr>
            <w:r>
              <w:rPr>
                <w:rFonts w:hint="eastAsia"/>
              </w:rPr>
              <w:t>青面竹篾、白色衬布、圆</w:t>
            </w:r>
            <w:r>
              <w:t>形竹架，层底部</w:t>
            </w:r>
            <w:r>
              <w:rPr>
                <w:rFonts w:hint="eastAsia"/>
              </w:rPr>
              <w:t>、龙珠玫两色</w:t>
            </w:r>
            <w:r>
              <w:t>绢花</w:t>
            </w:r>
            <w:r>
              <w:rPr>
                <w:rFonts w:hint="eastAsia"/>
              </w:rPr>
              <w:t>162朵,</w:t>
            </w:r>
            <w:r>
              <w:t>牛角花材质</w:t>
            </w:r>
            <w:r>
              <w:rPr>
                <w:rFonts w:hint="eastAsia"/>
              </w:rPr>
              <w:t>，底部有五角星花托等塑料</w:t>
            </w:r>
            <w:r>
              <w:t>配件</w:t>
            </w:r>
          </w:p>
        </w:tc>
        <w:tc>
          <w:tcPr>
            <w:tcW w:w="2698" w:type="dxa"/>
            <w:vAlign w:val="center"/>
          </w:tcPr>
          <w:p>
            <w:pPr>
              <w:adjustRightInd w:val="0"/>
              <w:snapToGrid w:val="0"/>
              <w:rPr>
                <w:rFonts w:ascii="宋体" w:hAnsi="宋体" w:cs="宋体"/>
              </w:rPr>
            </w:pPr>
            <w:r>
              <w:t>圆形直径不小于1.3米</w:t>
            </w:r>
            <w:r>
              <w:rPr>
                <w:rFonts w:hint="eastAsia"/>
              </w:rPr>
              <w:t>，竹蔑圈数4圈，竹蔑圈宽1公分，厚0.7公分，3根底竹架宽度1.5公分，厚度1公分</w:t>
            </w:r>
          </w:p>
        </w:tc>
        <w:tc>
          <w:tcPr>
            <w:tcW w:w="1200" w:type="dxa"/>
            <w:vAlign w:val="center"/>
          </w:tcPr>
          <w:p>
            <w:pPr>
              <w:adjustRightInd w:val="0"/>
              <w:snapToGrid w:val="0"/>
              <w:ind w:firstLine="420"/>
              <w:rPr>
                <w:rFonts w:ascii="宋体" w:hAnsi="宋体" w:cs="宋体"/>
              </w:rPr>
            </w:pPr>
            <w:r>
              <w:rPr>
                <w:rFonts w:hint="eastAsia"/>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20" w:type="dxa"/>
            <w:vAlign w:val="center"/>
          </w:tcPr>
          <w:p>
            <w:pPr>
              <w:adjustRightInd w:val="0"/>
              <w:snapToGrid w:val="0"/>
              <w:ind w:firstLine="199" w:firstLineChars="95"/>
              <w:rPr>
                <w:rFonts w:ascii="宋体" w:hAnsi="宋体" w:cs="宋体"/>
              </w:rPr>
            </w:pPr>
            <w:r>
              <w:rPr>
                <w:rFonts w:hint="eastAsia"/>
              </w:rPr>
              <w:t>4</w:t>
            </w:r>
          </w:p>
        </w:tc>
        <w:tc>
          <w:tcPr>
            <w:tcW w:w="1489" w:type="dxa"/>
            <w:vAlign w:val="center"/>
          </w:tcPr>
          <w:p>
            <w:pPr>
              <w:adjustRightInd w:val="0"/>
              <w:snapToGrid w:val="0"/>
              <w:rPr>
                <w:rFonts w:ascii="宋体" w:hAnsi="宋体" w:cs="宋体"/>
              </w:rPr>
            </w:pPr>
            <w:r>
              <w:t>精品花圈</w:t>
            </w:r>
          </w:p>
        </w:tc>
        <w:tc>
          <w:tcPr>
            <w:tcW w:w="2898" w:type="dxa"/>
            <w:vAlign w:val="center"/>
          </w:tcPr>
          <w:p>
            <w:pPr>
              <w:adjustRightInd w:val="0"/>
              <w:snapToGrid w:val="0"/>
              <w:rPr>
                <w:rFonts w:ascii="宋体" w:hAnsi="宋体" w:cs="宋体"/>
              </w:rPr>
            </w:pPr>
            <w:r>
              <w:rPr>
                <w:rFonts w:hint="eastAsia"/>
              </w:rPr>
              <w:t>青面竹篾、白色衬布、圆</w:t>
            </w:r>
            <w:r>
              <w:t>形竹架，层底部，大地</w:t>
            </w:r>
            <w:r>
              <w:rPr>
                <w:rFonts w:hint="eastAsia"/>
              </w:rPr>
              <w:t>菊（立体型）72朵</w:t>
            </w:r>
            <w:r>
              <w:t>、</w:t>
            </w:r>
            <w:r>
              <w:rPr>
                <w:rFonts w:hint="eastAsia"/>
              </w:rPr>
              <w:t>红玫瑰（立体型）17朵、</w:t>
            </w:r>
            <w:r>
              <w:t>绢花牛角，质</w:t>
            </w:r>
            <w:r>
              <w:rPr>
                <w:rFonts w:hint="eastAsia"/>
              </w:rPr>
              <w:t>底部有五角星花托等塑料</w:t>
            </w:r>
            <w:r>
              <w:t>配件</w:t>
            </w:r>
          </w:p>
        </w:tc>
        <w:tc>
          <w:tcPr>
            <w:tcW w:w="2698" w:type="dxa"/>
            <w:vAlign w:val="center"/>
          </w:tcPr>
          <w:p>
            <w:pPr>
              <w:adjustRightInd w:val="0"/>
              <w:snapToGrid w:val="0"/>
              <w:rPr>
                <w:rFonts w:ascii="宋体" w:hAnsi="宋体" w:cs="宋体"/>
              </w:rPr>
            </w:pPr>
            <w:r>
              <w:t>圆形直径不小于1.3米</w:t>
            </w:r>
            <w:r>
              <w:rPr>
                <w:rFonts w:hint="eastAsia"/>
              </w:rPr>
              <w:t>，竹蔑圈数4圈，竹蔑圈宽1公分，厚0.7公分，3根底竹架宽度1.5公分，厚度1公分</w:t>
            </w:r>
          </w:p>
        </w:tc>
        <w:tc>
          <w:tcPr>
            <w:tcW w:w="1200" w:type="dxa"/>
            <w:vAlign w:val="center"/>
          </w:tcPr>
          <w:p>
            <w:pPr>
              <w:adjustRightInd w:val="0"/>
              <w:snapToGrid w:val="0"/>
              <w:ind w:firstLine="420"/>
              <w:rPr>
                <w:rFonts w:ascii="宋体" w:hAnsi="宋体" w:cs="宋体"/>
              </w:rPr>
            </w:pPr>
            <w:r>
              <w:rPr>
                <w:rFonts w:hint="eastAsia"/>
              </w:rPr>
              <w:t>122</w:t>
            </w:r>
          </w:p>
        </w:tc>
      </w:tr>
    </w:tbl>
    <w:p>
      <w:pPr>
        <w:adjustRightInd w:val="0"/>
        <w:snapToGrid w:val="0"/>
        <w:spacing w:line="360" w:lineRule="auto"/>
        <w:ind w:firstLine="420" w:firstLineChars="200"/>
        <w:rPr>
          <w:rFonts w:ascii="宋体" w:hAnsi="宋体" w:cs="宋体"/>
          <w:szCs w:val="21"/>
        </w:rPr>
      </w:pPr>
    </w:p>
    <w:p>
      <w:pPr>
        <w:adjustRightInd w:val="0"/>
        <w:snapToGrid w:val="0"/>
        <w:spacing w:line="360" w:lineRule="auto"/>
        <w:ind w:firstLine="420" w:firstLineChars="200"/>
        <w:rPr>
          <w:rFonts w:ascii="宋体" w:hAnsi="宋体" w:cs="宋体"/>
          <w:b/>
        </w:rPr>
      </w:pPr>
      <w:r>
        <w:rPr>
          <w:rFonts w:hint="eastAsia" w:ascii="宋体" w:hAnsi="宋体" w:cs="宋体"/>
          <w:szCs w:val="21"/>
        </w:rPr>
        <w:t>★</w:t>
      </w:r>
      <w:r>
        <w:rPr>
          <w:rFonts w:hint="eastAsia" w:ascii="宋体" w:hAnsi="宋体" w:cs="宋体"/>
          <w:b/>
        </w:rPr>
        <w:t>花圈花朵要饱满、不得出现花瓣稀疏漏出白色衬底和竹架的,衬布需拉紧后包住竹圈外围，花圈上的花朵必须扎紧不能轻易抖落或移位，花朵排列紧密不松散；同一款花圈不能有色差，竹篾不得出现虫蛀、霉变等情况，花圈颜色应与参照图一致。</w:t>
      </w:r>
    </w:p>
    <w:p>
      <w:pPr>
        <w:adjustRightInd w:val="0"/>
        <w:snapToGrid w:val="0"/>
        <w:spacing w:line="360" w:lineRule="auto"/>
        <w:ind w:firstLine="420"/>
        <w:rPr>
          <w:rFonts w:ascii="宋体" w:hAnsi="宋体" w:cs="宋体"/>
          <w:b/>
          <w:bCs/>
          <w:szCs w:val="21"/>
        </w:rPr>
      </w:pPr>
      <w:r>
        <w:rPr>
          <w:rFonts w:hint="eastAsia" w:ascii="宋体" w:hAnsi="宋体" w:cs="宋体"/>
          <w:b/>
          <w:bCs/>
          <w:szCs w:val="21"/>
        </w:rPr>
        <w:t>▲本项目投标须提供4个款式的花圈实样（不含挽联）各一只。</w:t>
      </w:r>
    </w:p>
    <w:p>
      <w:pPr>
        <w:adjustRightInd w:val="0"/>
        <w:snapToGrid w:val="0"/>
        <w:spacing w:line="360" w:lineRule="auto"/>
        <w:ind w:firstLine="420"/>
        <w:rPr>
          <w:rFonts w:ascii="宋体" w:hAnsi="宋体" w:cs="宋体"/>
          <w:b/>
          <w:bCs/>
          <w:szCs w:val="21"/>
        </w:rPr>
      </w:pPr>
      <w:r>
        <w:rPr>
          <w:rFonts w:hint="eastAsia" w:ascii="宋体" w:hAnsi="宋体" w:cs="宋体"/>
          <w:b/>
          <w:bCs/>
          <w:szCs w:val="21"/>
        </w:rPr>
        <w:t>▲样品提交时间和地点：与投标截止时间前提交至杭州市环城北路141号永通信息广场西写字楼10楼，未按招标文件要求地点和时间提交的投标样品将予以拒绝。</w:t>
      </w:r>
    </w:p>
    <w:p>
      <w:pPr>
        <w:adjustRightInd w:val="0"/>
        <w:snapToGrid w:val="0"/>
        <w:spacing w:line="360" w:lineRule="auto"/>
        <w:ind w:firstLine="422" w:firstLineChars="200"/>
        <w:rPr>
          <w:rFonts w:ascii="宋体" w:hAnsi="宋体" w:cs="宋体"/>
          <w:b/>
        </w:rPr>
        <w:sectPr>
          <w:footerReference r:id="rId5" w:type="first"/>
          <w:headerReference r:id="rId3" w:type="default"/>
          <w:footerReference r:id="rId4" w:type="default"/>
          <w:pgSz w:w="11906" w:h="16838"/>
          <w:pgMar w:top="1247" w:right="1247" w:bottom="1247" w:left="1474" w:header="851" w:footer="850" w:gutter="0"/>
          <w:cols w:space="720" w:num="1"/>
          <w:titlePg/>
          <w:docGrid w:linePitch="312" w:charSpace="0"/>
        </w:sectPr>
      </w:pPr>
      <w:r>
        <w:rPr>
          <w:rFonts w:hint="eastAsia" w:ascii="宋体" w:hAnsi="宋体" w:cs="宋体"/>
          <w:b/>
          <w:bCs/>
          <w:szCs w:val="21"/>
        </w:rPr>
        <w:t>▲投标样品暗标评审，投标样品应分别密封，并在封皮上注明：采购单位名称、项目名称、项目编号、投标单位名称、授权委托人姓名，投标样品中不得出现投标人名称及能反映投标人信息的任何标记。若评标委员会发现有任何泄露投标人信息的标记等，其投标将视为无效。</w:t>
      </w:r>
      <w:r>
        <w:rPr>
          <w:rFonts w:hint="eastAsia" w:ascii="宋体" w:hAnsi="宋体" w:cs="宋体"/>
          <w:b/>
        </w:rPr>
        <w:t xml:space="preserve"> </w:t>
      </w:r>
    </w:p>
    <w:p>
      <w:pPr>
        <w:pStyle w:val="2"/>
        <w:rPr>
          <w:rFonts w:hAnsi="宋体"/>
        </w:rPr>
      </w:pPr>
    </w:p>
    <w:p>
      <w:pPr>
        <w:adjustRightInd w:val="0"/>
        <w:snapToGrid w:val="0"/>
        <w:spacing w:line="360" w:lineRule="auto"/>
        <w:ind w:firstLine="422" w:firstLineChars="200"/>
        <w:rPr>
          <w:rFonts w:ascii="宋体" w:hAnsi="宋体" w:cs="宋体"/>
          <w:b/>
        </w:rPr>
      </w:pPr>
      <w:r>
        <w:rPr>
          <w:rFonts w:hint="eastAsia" w:ascii="宋体" w:hAnsi="宋体" w:cs="宋体"/>
          <w:b/>
        </w:rPr>
        <w:t>款式参照图:</w:t>
      </w:r>
    </w:p>
    <w:p>
      <w:pPr>
        <w:adjustRightInd w:val="0"/>
        <w:snapToGrid w:val="0"/>
        <w:spacing w:line="360" w:lineRule="auto"/>
        <w:jc w:val="center"/>
        <w:rPr>
          <w:rFonts w:ascii="宋体" w:hAnsi="宋体" w:cs="宋体"/>
          <w:b/>
        </w:rPr>
      </w:pPr>
      <w:r>
        <w:rPr>
          <w:rFonts w:hint="eastAsia" w:ascii="宋体" w:hAnsi="宋体" w:cs="宋体"/>
          <w:b/>
        </w:rPr>
        <w:drawing>
          <wp:inline distT="0" distB="0" distL="0" distR="0">
            <wp:extent cx="5958840" cy="6538595"/>
            <wp:effectExtent l="0" t="0" r="0" b="14605"/>
            <wp:docPr id="1" name="图片 0" descr="微信图片_2021092711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210927110240.jpg"/>
                    <pic:cNvPicPr>
                      <a:picLocks noChangeAspect="1"/>
                    </pic:cNvPicPr>
                  </pic:nvPicPr>
                  <pic:blipFill>
                    <a:blip r:embed="rId7" cstate="print"/>
                    <a:stretch>
                      <a:fillRect/>
                    </a:stretch>
                  </pic:blipFill>
                  <pic:spPr>
                    <a:xfrm>
                      <a:off x="0" y="0"/>
                      <a:ext cx="5957691" cy="6537325"/>
                    </a:xfrm>
                    <a:prstGeom prst="rect">
                      <a:avLst/>
                    </a:prstGeom>
                  </pic:spPr>
                </pic:pic>
              </a:graphicData>
            </a:graphic>
          </wp:inline>
        </w:drawing>
      </w:r>
    </w:p>
    <w:p>
      <w:pPr>
        <w:pStyle w:val="2"/>
        <w:adjustRightInd w:val="0"/>
        <w:spacing w:before="0" w:after="0"/>
        <w:ind w:left="0" w:leftChars="0" w:firstLine="0"/>
        <w:jc w:val="center"/>
        <w:rPr>
          <w:rFonts w:hAnsi="宋体"/>
          <w:b/>
        </w:rPr>
      </w:pPr>
      <w:r>
        <w:rPr>
          <w:rFonts w:hint="eastAsia" w:hAnsi="宋体"/>
          <w:b/>
        </w:rPr>
        <w:t>水仙花圈参照图</w:t>
      </w:r>
    </w:p>
    <w:p>
      <w:pPr>
        <w:pStyle w:val="2"/>
        <w:adjustRightInd w:val="0"/>
        <w:spacing w:before="0" w:after="0"/>
        <w:ind w:left="0" w:leftChars="0" w:firstLine="0"/>
        <w:jc w:val="center"/>
        <w:rPr>
          <w:rFonts w:hAnsi="宋体"/>
          <w:b/>
        </w:rPr>
      </w:pPr>
      <w:r>
        <w:rPr>
          <w:rFonts w:hint="eastAsia" w:hAnsi="宋体"/>
          <w:b/>
        </w:rPr>
        <w:drawing>
          <wp:inline distT="0" distB="0" distL="0" distR="0">
            <wp:extent cx="6188710" cy="6282690"/>
            <wp:effectExtent l="19050" t="0" r="2540" b="0"/>
            <wp:docPr id="3" name="图片 2" descr="微信图片_2021092711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210927110247.jpg"/>
                    <pic:cNvPicPr>
                      <a:picLocks noChangeAspect="1"/>
                    </pic:cNvPicPr>
                  </pic:nvPicPr>
                  <pic:blipFill>
                    <a:blip r:embed="rId8" cstate="print"/>
                    <a:stretch>
                      <a:fillRect/>
                    </a:stretch>
                  </pic:blipFill>
                  <pic:spPr>
                    <a:xfrm>
                      <a:off x="0" y="0"/>
                      <a:ext cx="6188710" cy="6282690"/>
                    </a:xfrm>
                    <a:prstGeom prst="rect">
                      <a:avLst/>
                    </a:prstGeom>
                  </pic:spPr>
                </pic:pic>
              </a:graphicData>
            </a:graphic>
          </wp:inline>
        </w:drawing>
      </w:r>
    </w:p>
    <w:p>
      <w:pPr>
        <w:pStyle w:val="2"/>
        <w:adjustRightInd w:val="0"/>
        <w:spacing w:before="0" w:after="0"/>
        <w:ind w:left="0" w:leftChars="0" w:firstLine="0"/>
        <w:jc w:val="center"/>
        <w:rPr>
          <w:rFonts w:hAnsi="宋体"/>
          <w:b/>
        </w:rPr>
      </w:pPr>
      <w:r>
        <w:rPr>
          <w:rFonts w:hint="eastAsia" w:hAnsi="宋体"/>
          <w:b/>
        </w:rPr>
        <w:t>蓝白仿真花圈样图</w:t>
      </w:r>
    </w:p>
    <w:p>
      <w:pPr>
        <w:pStyle w:val="2"/>
        <w:adjustRightInd w:val="0"/>
        <w:spacing w:before="0" w:after="0"/>
        <w:ind w:left="0" w:leftChars="0" w:firstLine="0"/>
        <w:jc w:val="center"/>
        <w:rPr>
          <w:rFonts w:hAnsi="宋体"/>
          <w:b/>
        </w:rPr>
      </w:pPr>
      <w:r>
        <w:rPr>
          <w:rFonts w:hint="eastAsia" w:hAnsi="宋体"/>
        </w:rPr>
        <w:drawing>
          <wp:inline distT="0" distB="0" distL="0" distR="0">
            <wp:extent cx="5518150" cy="5387340"/>
            <wp:effectExtent l="0" t="0" r="13970" b="7620"/>
            <wp:docPr id="8" name="图片 7" descr="微信图片_202109271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210927110300.jpg"/>
                    <pic:cNvPicPr>
                      <a:picLocks noChangeAspect="1"/>
                    </pic:cNvPicPr>
                  </pic:nvPicPr>
                  <pic:blipFill>
                    <a:blip r:embed="rId9" cstate="print"/>
                    <a:srcRect/>
                    <a:stretch>
                      <a:fillRect/>
                    </a:stretch>
                  </pic:blipFill>
                  <pic:spPr>
                    <a:xfrm>
                      <a:off x="0" y="0"/>
                      <a:ext cx="5518150" cy="5387340"/>
                    </a:xfrm>
                    <a:prstGeom prst="rect">
                      <a:avLst/>
                    </a:prstGeom>
                  </pic:spPr>
                </pic:pic>
              </a:graphicData>
            </a:graphic>
          </wp:inline>
        </w:drawing>
      </w:r>
    </w:p>
    <w:p>
      <w:pPr>
        <w:pStyle w:val="2"/>
        <w:adjustRightInd w:val="0"/>
        <w:spacing w:before="0" w:after="0"/>
        <w:ind w:left="0" w:leftChars="0" w:firstLine="0"/>
        <w:jc w:val="center"/>
        <w:rPr>
          <w:rFonts w:hAnsi="宋体"/>
          <w:b/>
        </w:rPr>
      </w:pPr>
      <w:r>
        <w:rPr>
          <w:rFonts w:hint="eastAsia" w:hAnsi="宋体"/>
          <w:b/>
        </w:rPr>
        <w:t>仿真龙珠玫花圈(A款)样图</w:t>
      </w:r>
    </w:p>
    <w:p>
      <w:pPr>
        <w:adjustRightInd w:val="0"/>
        <w:snapToGrid w:val="0"/>
        <w:spacing w:line="360" w:lineRule="auto"/>
        <w:rPr>
          <w:rFonts w:ascii="宋体" w:hAnsi="宋体" w:cs="宋体"/>
        </w:rPr>
      </w:pPr>
      <w:r>
        <w:rPr>
          <w:rFonts w:hint="eastAsia" w:ascii="宋体" w:hAnsi="宋体" w:cs="宋体"/>
        </w:rPr>
        <w:drawing>
          <wp:inline distT="0" distB="0" distL="0" distR="0">
            <wp:extent cx="5760085" cy="5724525"/>
            <wp:effectExtent l="0" t="0" r="635" b="5715"/>
            <wp:docPr id="10" name="图片 9" descr="微信图片_202109271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微信图片_20210927110253.jpg"/>
                    <pic:cNvPicPr>
                      <a:picLocks noChangeAspect="1"/>
                    </pic:cNvPicPr>
                  </pic:nvPicPr>
                  <pic:blipFill>
                    <a:blip r:embed="rId10" cstate="print"/>
                    <a:srcRect/>
                    <a:stretch>
                      <a:fillRect/>
                    </a:stretch>
                  </pic:blipFill>
                  <pic:spPr>
                    <a:xfrm>
                      <a:off x="0" y="0"/>
                      <a:ext cx="5760085" cy="5724525"/>
                    </a:xfrm>
                    <a:prstGeom prst="rect">
                      <a:avLst/>
                    </a:prstGeom>
                  </pic:spPr>
                </pic:pic>
              </a:graphicData>
            </a:graphic>
          </wp:inline>
        </w:drawing>
      </w:r>
    </w:p>
    <w:p>
      <w:pPr>
        <w:pStyle w:val="2"/>
        <w:adjustRightInd w:val="0"/>
        <w:spacing w:before="0" w:after="0"/>
        <w:ind w:left="0" w:leftChars="0" w:firstLine="0"/>
        <w:jc w:val="center"/>
        <w:rPr>
          <w:rFonts w:hAnsi="宋体"/>
          <w:b/>
        </w:rPr>
      </w:pPr>
      <w:r>
        <w:rPr>
          <w:rFonts w:hint="eastAsia" w:hAnsi="宋体"/>
          <w:b/>
        </w:rPr>
        <w:t>仿真龙珠玫花圈(B款)样图</w:t>
      </w:r>
    </w:p>
    <w:p>
      <w:pPr>
        <w:adjustRightInd w:val="0"/>
        <w:snapToGrid w:val="0"/>
        <w:spacing w:line="360" w:lineRule="auto"/>
        <w:rPr>
          <w:rFonts w:ascii="宋体" w:hAnsi="宋体" w:cs="宋体"/>
        </w:rPr>
      </w:pPr>
      <w:r>
        <w:rPr>
          <w:rFonts w:hint="eastAsia" w:ascii="宋体" w:hAnsi="宋体" w:cs="宋体"/>
        </w:rPr>
        <w:drawing>
          <wp:inline distT="0" distB="0" distL="0" distR="0">
            <wp:extent cx="6188710" cy="7399655"/>
            <wp:effectExtent l="0" t="0" r="13970" b="6985"/>
            <wp:docPr id="5" name="图片 4" descr="微信图片_2021092711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10927110221.jpg"/>
                    <pic:cNvPicPr>
                      <a:picLocks noChangeAspect="1"/>
                    </pic:cNvPicPr>
                  </pic:nvPicPr>
                  <pic:blipFill>
                    <a:blip r:embed="rId11" cstate="print"/>
                    <a:stretch>
                      <a:fillRect/>
                    </a:stretch>
                  </pic:blipFill>
                  <pic:spPr>
                    <a:xfrm>
                      <a:off x="0" y="0"/>
                      <a:ext cx="6188710" cy="7399655"/>
                    </a:xfrm>
                    <a:prstGeom prst="rect">
                      <a:avLst/>
                    </a:prstGeom>
                  </pic:spPr>
                </pic:pic>
              </a:graphicData>
            </a:graphic>
          </wp:inline>
        </w:drawing>
      </w:r>
    </w:p>
    <w:p>
      <w:pPr>
        <w:pStyle w:val="2"/>
        <w:adjustRightInd w:val="0"/>
        <w:spacing w:before="0" w:after="0"/>
        <w:ind w:left="0" w:leftChars="0" w:firstLine="0"/>
        <w:jc w:val="center"/>
        <w:rPr>
          <w:rFonts w:hAnsi="宋体"/>
          <w:b/>
        </w:rPr>
      </w:pPr>
      <w:r>
        <w:rPr>
          <w:rFonts w:hint="eastAsia" w:hAnsi="宋体"/>
          <w:b/>
        </w:rPr>
        <w:t>精品花圈样图</w:t>
      </w:r>
    </w:p>
    <w:p>
      <w:pPr>
        <w:adjustRightInd w:val="0"/>
        <w:snapToGrid w:val="0"/>
        <w:spacing w:line="360" w:lineRule="auto"/>
        <w:rPr>
          <w:rFonts w:ascii="宋体" w:hAnsi="宋体" w:cs="宋体"/>
          <w:b/>
          <w:bCs/>
          <w:szCs w:val="21"/>
        </w:rPr>
      </w:pPr>
      <w:r>
        <w:rPr>
          <w:rFonts w:hint="eastAsia" w:ascii="宋体" w:hAnsi="宋体" w:cs="宋体"/>
          <w:b/>
          <w:bCs/>
          <w:szCs w:val="21"/>
        </w:rPr>
        <w:t>二、商务要求：</w:t>
      </w:r>
    </w:p>
    <w:p>
      <w:pPr>
        <w:numPr>
          <w:ilvl w:val="0"/>
          <w:numId w:val="5"/>
        </w:numPr>
        <w:adjustRightInd w:val="0"/>
        <w:snapToGrid w:val="0"/>
        <w:spacing w:line="360" w:lineRule="auto"/>
        <w:ind w:left="0" w:firstLine="420" w:firstLineChars="200"/>
        <w:outlineLvl w:val="0"/>
        <w:rPr>
          <w:rFonts w:ascii="宋体" w:hAnsi="宋体" w:cs="宋体"/>
        </w:rPr>
      </w:pPr>
      <w:bookmarkStart w:id="67" w:name="_Toc528656461"/>
      <w:r>
        <w:rPr>
          <w:rFonts w:hint="eastAsia" w:ascii="宋体" w:hAnsi="宋体" w:cs="宋体"/>
        </w:rPr>
        <w:t>采购人为中标人提供4个大小不等的仓库及仓库里现有的货架、电脑、打印机、电话等均与寿制品项目共同使用</w:t>
      </w:r>
      <w:r>
        <w:rPr>
          <w:rFonts w:hint="eastAsia" w:ascii="宋体" w:hAnsi="宋体" w:cs="宋体"/>
          <w:b/>
        </w:rPr>
        <w:t>。</w:t>
      </w:r>
      <w:bookmarkEnd w:id="67"/>
    </w:p>
    <w:p>
      <w:pPr>
        <w:numPr>
          <w:ilvl w:val="0"/>
          <w:numId w:val="5"/>
        </w:numPr>
        <w:adjustRightInd w:val="0"/>
        <w:snapToGrid w:val="0"/>
        <w:spacing w:line="360" w:lineRule="auto"/>
        <w:ind w:left="0" w:firstLine="420" w:firstLineChars="200"/>
        <w:outlineLvl w:val="0"/>
        <w:rPr>
          <w:rFonts w:ascii="宋体" w:hAnsi="宋体" w:cs="宋体"/>
        </w:rPr>
      </w:pPr>
      <w:bookmarkStart w:id="68" w:name="_Toc528656462"/>
      <w:r>
        <w:rPr>
          <w:rFonts w:hint="eastAsia" w:ascii="宋体" w:hAnsi="宋体" w:cs="宋体"/>
        </w:rPr>
        <w:t>因业务需要须新增设施、设备及原有设施、设备的维修均由中标人负责。</w:t>
      </w:r>
      <w:bookmarkEnd w:id="68"/>
    </w:p>
    <w:p>
      <w:pPr>
        <w:numPr>
          <w:ilvl w:val="0"/>
          <w:numId w:val="5"/>
        </w:numPr>
        <w:adjustRightInd w:val="0"/>
        <w:snapToGrid w:val="0"/>
        <w:spacing w:line="360" w:lineRule="auto"/>
        <w:ind w:left="0" w:firstLine="420" w:firstLineChars="200"/>
        <w:outlineLvl w:val="0"/>
        <w:rPr>
          <w:rFonts w:ascii="宋体" w:hAnsi="宋体" w:cs="宋体"/>
        </w:rPr>
      </w:pPr>
      <w:bookmarkStart w:id="69" w:name="_Toc528656463"/>
      <w:r>
        <w:rPr>
          <w:rFonts w:hint="eastAsia" w:ascii="宋体" w:hAnsi="宋体" w:cs="宋体"/>
        </w:rPr>
        <w:t>因花圈售后服务性质的特殊性，</w:t>
      </w:r>
      <w:r>
        <w:rPr>
          <w:rFonts w:hint="eastAsia" w:ascii="宋体" w:hAnsi="宋体" w:cs="宋体"/>
          <w:kern w:val="0"/>
          <w:szCs w:val="21"/>
        </w:rPr>
        <w:t>仓库管理员、夜间值班员工资等售后服务事宜由采购人委托专业单位或人员处理，本项目共</w:t>
      </w:r>
      <w:r>
        <w:rPr>
          <w:rFonts w:hint="eastAsia" w:ascii="宋体" w:hAnsi="宋体" w:cs="宋体"/>
          <w:szCs w:val="21"/>
        </w:rPr>
        <w:t>中标</w:t>
      </w:r>
      <w:r>
        <w:rPr>
          <w:rFonts w:hint="eastAsia" w:ascii="宋体" w:hAnsi="宋体" w:cs="宋体"/>
          <w:kern w:val="0"/>
          <w:szCs w:val="21"/>
        </w:rPr>
        <w:t>1家供应商，</w:t>
      </w:r>
      <w:r>
        <w:rPr>
          <w:rFonts w:hint="eastAsia" w:ascii="宋体" w:hAnsi="宋体" w:cs="宋体"/>
          <w:szCs w:val="21"/>
        </w:rPr>
        <w:t>中标</w:t>
      </w:r>
      <w:r>
        <w:rPr>
          <w:rFonts w:hint="eastAsia" w:ascii="宋体" w:hAnsi="宋体" w:cs="宋体"/>
          <w:kern w:val="0"/>
          <w:szCs w:val="21"/>
        </w:rPr>
        <w:t>供应商每月需</w:t>
      </w:r>
      <w:r>
        <w:rPr>
          <w:rFonts w:hint="eastAsia" w:ascii="宋体" w:hAnsi="宋体" w:cs="宋体"/>
        </w:rPr>
        <w:t>按月支付给采购人以上采保服务费用计4.7万元/月。</w:t>
      </w:r>
      <w:bookmarkEnd w:id="69"/>
    </w:p>
    <w:p>
      <w:pPr>
        <w:numPr>
          <w:ilvl w:val="0"/>
          <w:numId w:val="5"/>
        </w:numPr>
        <w:adjustRightInd w:val="0"/>
        <w:snapToGrid w:val="0"/>
        <w:spacing w:line="360" w:lineRule="auto"/>
        <w:ind w:left="0" w:firstLine="420" w:firstLineChars="200"/>
        <w:outlineLvl w:val="0"/>
        <w:rPr>
          <w:rFonts w:ascii="宋体" w:hAnsi="宋体" w:cs="宋体"/>
        </w:rPr>
      </w:pPr>
      <w:bookmarkStart w:id="70" w:name="_Toc528656464"/>
      <w:r>
        <w:rPr>
          <w:rFonts w:hint="eastAsia" w:ascii="宋体" w:hAnsi="宋体" w:cs="宋体"/>
        </w:rPr>
        <w:t>中标人应服从采购人规章制度的管理，中标人负责花圈出厂前、入仓和出仓时的质量、数量的核对及验收工作，并作好台帐记录，接受采购人的不定时检查。</w:t>
      </w:r>
      <w:bookmarkEnd w:id="70"/>
    </w:p>
    <w:p>
      <w:pPr>
        <w:numPr>
          <w:ilvl w:val="0"/>
          <w:numId w:val="5"/>
        </w:numPr>
        <w:adjustRightInd w:val="0"/>
        <w:snapToGrid w:val="0"/>
        <w:spacing w:line="360" w:lineRule="auto"/>
        <w:ind w:left="0" w:firstLine="420" w:firstLineChars="200"/>
        <w:outlineLvl w:val="0"/>
        <w:rPr>
          <w:rFonts w:ascii="宋体" w:hAnsi="宋体" w:cs="宋体"/>
        </w:rPr>
      </w:pPr>
      <w:bookmarkStart w:id="71" w:name="_Toc528656465"/>
      <w:r>
        <w:rPr>
          <w:rFonts w:hint="eastAsia" w:ascii="宋体" w:hAnsi="宋体" w:cs="宋体"/>
        </w:rPr>
        <w:t>根据采购人销售花圈的需要，中标人必须送货到指定位置。</w:t>
      </w:r>
      <w:bookmarkEnd w:id="71"/>
    </w:p>
    <w:p>
      <w:pPr>
        <w:numPr>
          <w:ilvl w:val="0"/>
          <w:numId w:val="5"/>
        </w:numPr>
        <w:adjustRightInd w:val="0"/>
        <w:snapToGrid w:val="0"/>
        <w:spacing w:line="360" w:lineRule="auto"/>
        <w:ind w:left="0" w:firstLine="420" w:firstLineChars="200"/>
        <w:outlineLvl w:val="0"/>
        <w:rPr>
          <w:rFonts w:ascii="宋体" w:hAnsi="宋体" w:cs="宋体"/>
        </w:rPr>
      </w:pPr>
      <w:bookmarkStart w:id="72" w:name="_Toc528656466"/>
      <w:r>
        <w:rPr>
          <w:rFonts w:hint="eastAsia" w:ascii="宋体" w:hAnsi="宋体" w:cs="宋体"/>
        </w:rPr>
        <w:t>中标人必须为采购人提供保质保量的花圈，中标人根据采购人的实际需要以365天、全天候24小时及时准确地为采购人提供服务。</w:t>
      </w:r>
      <w:bookmarkEnd w:id="72"/>
    </w:p>
    <w:p>
      <w:pPr>
        <w:numPr>
          <w:ilvl w:val="0"/>
          <w:numId w:val="5"/>
        </w:numPr>
        <w:adjustRightInd w:val="0"/>
        <w:snapToGrid w:val="0"/>
        <w:spacing w:line="360" w:lineRule="auto"/>
        <w:ind w:left="0" w:firstLine="420" w:firstLineChars="200"/>
        <w:outlineLvl w:val="0"/>
        <w:rPr>
          <w:rFonts w:ascii="宋体" w:hAnsi="宋体" w:cs="宋体"/>
        </w:rPr>
      </w:pPr>
      <w:bookmarkStart w:id="73" w:name="_Toc528656467"/>
      <w:r>
        <w:rPr>
          <w:rFonts w:hint="eastAsia" w:ascii="宋体" w:hAnsi="宋体" w:cs="宋体"/>
        </w:rPr>
        <w:t>中标人提前做好业务高峰期的备货工作和突发事件的供货工作。</w:t>
      </w:r>
      <w:bookmarkEnd w:id="73"/>
    </w:p>
    <w:p>
      <w:pPr>
        <w:numPr>
          <w:ilvl w:val="0"/>
          <w:numId w:val="5"/>
        </w:numPr>
        <w:adjustRightInd w:val="0"/>
        <w:snapToGrid w:val="0"/>
        <w:spacing w:line="360" w:lineRule="auto"/>
        <w:ind w:left="0" w:firstLine="420" w:firstLineChars="200"/>
        <w:outlineLvl w:val="0"/>
        <w:rPr>
          <w:rFonts w:ascii="宋体" w:hAnsi="宋体" w:cs="宋体"/>
        </w:rPr>
      </w:pPr>
      <w:bookmarkStart w:id="74" w:name="_Toc528656468"/>
      <w:r>
        <w:rPr>
          <w:rFonts w:hint="eastAsia" w:ascii="宋体" w:hAnsi="宋体" w:cs="宋体"/>
        </w:rPr>
        <w:t>花圈以中标单价按实结算，中标人应于每月23日前根据采购人工作人员签发的领料单和财务月报表核对上月的23日起至当月的22日止的花圈采购量，经核对无误后，凭增值税专用发票向采购人申请支付货款。</w:t>
      </w:r>
      <w:bookmarkEnd w:id="74"/>
    </w:p>
    <w:p>
      <w:pPr>
        <w:adjustRightInd w:val="0"/>
        <w:snapToGrid w:val="0"/>
        <w:spacing w:line="360" w:lineRule="auto"/>
        <w:ind w:firstLine="420" w:firstLineChars="200"/>
        <w:jc w:val="left"/>
        <w:rPr>
          <w:rFonts w:ascii="宋体" w:hAnsi="宋体" w:cs="宋体"/>
        </w:rPr>
      </w:pPr>
      <w:r>
        <w:rPr>
          <w:rFonts w:hint="eastAsia" w:ascii="宋体" w:hAnsi="宋体" w:cs="宋体"/>
        </w:rPr>
        <w:t>9、</w:t>
      </w:r>
      <w:bookmarkStart w:id="75" w:name="_Toc528656469"/>
      <w:r>
        <w:rPr>
          <w:rFonts w:hint="eastAsia" w:ascii="宋体" w:hAnsi="宋体" w:cs="宋体"/>
        </w:rPr>
        <w:t>中标通知书发出后，采购人、中标人共同将中标样品进行封存，作为今后验收的标准，合同到期后采购人退还中标样品给中标人。中标人应在采购合同解除或终止之日起三日内取回，否则采购人可以作为废弃物予以处理。</w:t>
      </w:r>
    </w:p>
    <w:p>
      <w:pPr>
        <w:adjustRightInd w:val="0"/>
        <w:snapToGrid w:val="0"/>
        <w:spacing w:line="360" w:lineRule="auto"/>
        <w:ind w:firstLine="420" w:firstLineChars="200"/>
        <w:rPr>
          <w:rFonts w:ascii="宋体" w:hAnsi="宋体" w:cs="宋体"/>
          <w:kern w:val="0"/>
          <w:szCs w:val="21"/>
        </w:rPr>
      </w:pPr>
      <w:r>
        <w:rPr>
          <w:rFonts w:hint="eastAsia" w:ascii="宋体" w:hAnsi="宋体" w:cs="宋体"/>
        </w:rPr>
        <w:t>10、采购人将定期或不定期对花圈进行检查，如采购人发现中标人交付的花圈与封存的样品不一致，</w:t>
      </w:r>
      <w:bookmarkEnd w:id="75"/>
      <w:r>
        <w:rPr>
          <w:rFonts w:hint="eastAsia" w:ascii="宋体" w:hAnsi="宋体" w:cs="宋体"/>
          <w:szCs w:val="21"/>
        </w:rPr>
        <w:t>或花圈出现缺陷、瑕疵、没有按照招标文件要求供应的，采购人有权要求</w:t>
      </w:r>
      <w:r>
        <w:rPr>
          <w:rFonts w:hint="eastAsia" w:ascii="宋体" w:hAnsi="宋体" w:cs="宋体"/>
        </w:rPr>
        <w:t>更换</w:t>
      </w:r>
      <w:r>
        <w:rPr>
          <w:rFonts w:hint="eastAsia" w:ascii="宋体" w:hAnsi="宋体" w:cs="宋体"/>
          <w:szCs w:val="21"/>
        </w:rPr>
        <w:t>，所产生的一切费用由中标人支付，且中标人每次支付采购人2000元违约金，从履约保证金中扣除。如出现3次及以上该情况，采购人有权解除合同。</w:t>
      </w:r>
      <w:r>
        <w:rPr>
          <w:rFonts w:hint="eastAsia" w:ascii="宋体" w:hAnsi="宋体" w:cs="宋体"/>
          <w:kern w:val="0"/>
          <w:szCs w:val="21"/>
        </w:rPr>
        <w:t>如需对花圈进行破坏性试验或第三方检测，所产生的一切费用由中标人支付。</w:t>
      </w:r>
    </w:p>
    <w:p>
      <w:pPr>
        <w:adjustRightInd w:val="0"/>
        <w:snapToGrid w:val="0"/>
        <w:spacing w:line="360" w:lineRule="auto"/>
        <w:ind w:firstLine="420" w:firstLineChars="200"/>
        <w:outlineLvl w:val="0"/>
        <w:rPr>
          <w:rFonts w:ascii="宋体" w:hAnsi="宋体" w:cs="宋体"/>
        </w:rPr>
      </w:pPr>
      <w:bookmarkStart w:id="76" w:name="_Toc528656470"/>
      <w:r>
        <w:rPr>
          <w:rFonts w:hint="eastAsia" w:ascii="宋体" w:hAnsi="宋体" w:cs="宋体"/>
        </w:rPr>
        <w:t>11、采购人可以根据市场需求，经双方友好协商调整花圈的款式、面料、成本价、制作工艺等,最终由采购人确定。</w:t>
      </w:r>
      <w:bookmarkEnd w:id="76"/>
    </w:p>
    <w:p>
      <w:pPr>
        <w:adjustRightInd w:val="0"/>
        <w:snapToGrid w:val="0"/>
        <w:spacing w:line="360" w:lineRule="auto"/>
        <w:ind w:firstLine="420" w:firstLineChars="200"/>
        <w:outlineLvl w:val="0"/>
        <w:rPr>
          <w:rFonts w:ascii="宋体" w:hAnsi="宋体" w:cs="宋体"/>
        </w:rPr>
      </w:pPr>
      <w:bookmarkStart w:id="77" w:name="_Toc528656471"/>
      <w:r>
        <w:rPr>
          <w:rFonts w:hint="eastAsia" w:ascii="宋体" w:hAnsi="宋体" w:cs="宋体"/>
        </w:rPr>
        <w:t>12、中标人有责任对自己的花圈进行宣传、通过用照片或动态视频的方式提供给采购人。</w:t>
      </w:r>
      <w:bookmarkEnd w:id="77"/>
    </w:p>
    <w:p>
      <w:pPr>
        <w:adjustRightInd w:val="0"/>
        <w:snapToGrid w:val="0"/>
        <w:spacing w:line="360" w:lineRule="auto"/>
        <w:ind w:firstLine="420" w:firstLineChars="200"/>
        <w:outlineLvl w:val="0"/>
        <w:rPr>
          <w:rFonts w:ascii="宋体" w:hAnsi="宋体" w:cs="宋体"/>
        </w:rPr>
      </w:pPr>
      <w:bookmarkStart w:id="78" w:name="_Toc528656472"/>
      <w:r>
        <w:rPr>
          <w:rFonts w:hint="eastAsia" w:ascii="宋体" w:hAnsi="宋体" w:cs="宋体"/>
        </w:rPr>
        <w:t>13、采购人有权根据实际的销售数量对招标数量、种类进行调整。</w:t>
      </w:r>
      <w:bookmarkEnd w:id="78"/>
    </w:p>
    <w:p>
      <w:pPr>
        <w:adjustRightInd w:val="0"/>
        <w:snapToGrid w:val="0"/>
        <w:spacing w:line="360" w:lineRule="auto"/>
        <w:ind w:firstLine="420" w:firstLineChars="200"/>
        <w:outlineLvl w:val="0"/>
        <w:rPr>
          <w:rFonts w:ascii="宋体" w:hAnsi="宋体" w:cs="宋体"/>
        </w:rPr>
      </w:pPr>
      <w:bookmarkStart w:id="79" w:name="_Toc528656473"/>
      <w:r>
        <w:rPr>
          <w:rFonts w:hint="eastAsia" w:ascii="宋体" w:hAnsi="宋体" w:cs="宋体"/>
        </w:rPr>
        <w:t>14、服务时间：从2022年1月1日至2022年12月31日。</w:t>
      </w:r>
      <w:bookmarkEnd w:id="79"/>
    </w:p>
    <w:p>
      <w:pPr>
        <w:adjustRightInd w:val="0"/>
        <w:snapToGrid w:val="0"/>
        <w:spacing w:line="360" w:lineRule="auto"/>
        <w:ind w:firstLine="420" w:firstLineChars="200"/>
        <w:outlineLvl w:val="0"/>
        <w:rPr>
          <w:rFonts w:ascii="宋体" w:hAnsi="宋体" w:cs="宋体"/>
        </w:rPr>
      </w:pPr>
      <w:bookmarkStart w:id="80" w:name="_Toc528656474"/>
      <w:r>
        <w:rPr>
          <w:rFonts w:hint="eastAsia" w:ascii="宋体" w:hAnsi="宋体" w:cs="宋体"/>
        </w:rPr>
        <w:t>15、中标人应在合同签订后一周内向采购人支付履约保证金15万元。合同期满扣除中标人应付的违约金等款项后无息返还。在合同履约过程中，如保证金被用以支付违约金的，中标人应在支付采保服务费时一并予以补足。</w:t>
      </w:r>
      <w:bookmarkEnd w:id="80"/>
    </w:p>
    <w:p>
      <w:pPr>
        <w:adjustRightInd w:val="0"/>
        <w:snapToGrid w:val="0"/>
        <w:spacing w:line="360" w:lineRule="auto"/>
        <w:ind w:firstLine="420" w:firstLineChars="200"/>
        <w:outlineLvl w:val="0"/>
        <w:rPr>
          <w:rFonts w:ascii="宋体" w:hAnsi="宋体" w:cs="宋体"/>
        </w:rPr>
      </w:pPr>
      <w:bookmarkStart w:id="81" w:name="_Toc528656475"/>
      <w:r>
        <w:rPr>
          <w:rFonts w:hint="eastAsia" w:ascii="宋体" w:hAnsi="宋体" w:cs="宋体"/>
        </w:rPr>
        <w:t>16、中标人没有按照采购人要求送达花圈，或因库存不足导致不能及时供货，</w:t>
      </w:r>
      <w:r>
        <w:rPr>
          <w:rFonts w:hint="eastAsia" w:ascii="宋体" w:hAnsi="宋体" w:cs="宋体"/>
          <w:szCs w:val="21"/>
        </w:rPr>
        <w:t>中标人应按未及时供货花圈总量销售价款的3</w:t>
      </w:r>
      <w:r>
        <w:rPr>
          <w:rFonts w:ascii="宋体" w:hAnsi="宋体" w:cs="宋体"/>
          <w:szCs w:val="21"/>
        </w:rPr>
        <w:t>0%</w:t>
      </w:r>
      <w:r>
        <w:rPr>
          <w:rFonts w:hint="eastAsia" w:ascii="宋体" w:hAnsi="宋体" w:cs="宋体"/>
          <w:szCs w:val="21"/>
        </w:rPr>
        <w:t>计算违约金</w:t>
      </w:r>
      <w:r>
        <w:rPr>
          <w:rFonts w:hint="eastAsia" w:ascii="宋体" w:hAnsi="宋体" w:cs="宋体"/>
        </w:rPr>
        <w:t>支付给采购人。采购人在处理后续工作中所产生的一切费用，均由中标人支付给采购人。</w:t>
      </w:r>
      <w:bookmarkEnd w:id="81"/>
    </w:p>
    <w:p>
      <w:pPr>
        <w:adjustRightInd w:val="0"/>
        <w:snapToGrid w:val="0"/>
        <w:spacing w:line="360" w:lineRule="auto"/>
        <w:ind w:firstLine="420" w:firstLineChars="200"/>
        <w:outlineLvl w:val="0"/>
        <w:rPr>
          <w:rFonts w:ascii="宋体" w:hAnsi="宋体" w:cs="宋体"/>
          <w:szCs w:val="21"/>
        </w:rPr>
      </w:pPr>
      <w:bookmarkStart w:id="82" w:name="_Toc528656476"/>
      <w:r>
        <w:rPr>
          <w:rFonts w:hint="eastAsia" w:ascii="宋体" w:hAnsi="宋体" w:cs="宋体"/>
        </w:rPr>
        <w:t>17、中标人在服务期满前或者采购合同解除后三日内</w:t>
      </w:r>
      <w:r>
        <w:rPr>
          <w:rFonts w:hint="eastAsia" w:ascii="宋体" w:hAnsi="宋体" w:cs="宋体"/>
          <w:b/>
        </w:rPr>
        <w:t>，</w:t>
      </w:r>
      <w:r>
        <w:rPr>
          <w:rFonts w:hint="eastAsia" w:ascii="宋体" w:hAnsi="宋体" w:cs="宋体"/>
        </w:rPr>
        <w:t>做好采购人仓库内的清仓工作。如在限定期限内未清理所有花圈的，采购人有权按照无主处理中标人在采购人仓库内的所有花圈</w:t>
      </w:r>
      <w:bookmarkEnd w:id="82"/>
      <w:r>
        <w:rPr>
          <w:rFonts w:hint="eastAsia" w:ascii="宋体" w:hAnsi="宋体" w:cs="宋体"/>
        </w:rPr>
        <w:t>，</w:t>
      </w:r>
      <w:r>
        <w:rPr>
          <w:rFonts w:hint="eastAsia" w:ascii="宋体" w:hAnsi="宋体" w:cs="宋体"/>
          <w:szCs w:val="21"/>
        </w:rPr>
        <w:t>所产生费用由中标人承担。</w:t>
      </w:r>
    </w:p>
    <w:p>
      <w:pPr>
        <w:adjustRightInd w:val="0"/>
        <w:snapToGrid w:val="0"/>
        <w:spacing w:line="360" w:lineRule="auto"/>
        <w:ind w:firstLine="420" w:firstLineChars="200"/>
        <w:outlineLvl w:val="0"/>
        <w:rPr>
          <w:rFonts w:ascii="宋体" w:hAnsi="宋体" w:cs="宋体"/>
        </w:rPr>
      </w:pPr>
      <w:bookmarkStart w:id="83" w:name="_Toc528656477"/>
      <w:r>
        <w:rPr>
          <w:rFonts w:hint="eastAsia" w:ascii="宋体" w:hAnsi="宋体" w:cs="宋体"/>
        </w:rPr>
        <w:t>18、中标人制作的花圈必须符合国家环保标准，违反约定造成采购人员工身体伤害的，中标人应承担相应的经济赔偿，立即更换符合环保标准要求的。如涉及到第三方检测、所产生的实际费用由中标人支付。</w:t>
      </w:r>
      <w:bookmarkEnd w:id="83"/>
    </w:p>
    <w:p>
      <w:pPr>
        <w:adjustRightInd w:val="0"/>
        <w:snapToGrid w:val="0"/>
        <w:spacing w:line="360" w:lineRule="auto"/>
        <w:ind w:firstLine="420" w:firstLineChars="200"/>
        <w:outlineLvl w:val="0"/>
        <w:rPr>
          <w:rFonts w:ascii="宋体" w:hAnsi="宋体" w:cs="宋体"/>
        </w:rPr>
      </w:pPr>
      <w:bookmarkStart w:id="84" w:name="_Toc528656478"/>
      <w:r>
        <w:rPr>
          <w:rFonts w:hint="eastAsia" w:ascii="宋体" w:hAnsi="宋体" w:cs="宋体"/>
        </w:rPr>
        <w:t>19、中标人未能达到规定要求，发生质量问题由新闻媒体、社会团体、上级领导等介入，造成恶劣社会影响，或在服务中发生虚报数量等诚信问题的，采购人有权解除合同，中标人支付给采购人违约金10万元，在处理后续工作中所产生的费用，由中标人承担。</w:t>
      </w:r>
      <w:bookmarkEnd w:id="84"/>
    </w:p>
    <w:p>
      <w:pPr>
        <w:adjustRightInd w:val="0"/>
        <w:snapToGrid w:val="0"/>
        <w:spacing w:line="360" w:lineRule="auto"/>
        <w:ind w:firstLine="422" w:firstLineChars="200"/>
        <w:outlineLvl w:val="0"/>
        <w:rPr>
          <w:rFonts w:ascii="宋体" w:hAnsi="宋体" w:cs="宋体"/>
          <w:b/>
        </w:rPr>
      </w:pPr>
      <w:bookmarkStart w:id="85" w:name="_Toc528656480"/>
      <w:r>
        <w:rPr>
          <w:rFonts w:hint="eastAsia" w:ascii="宋体" w:hAnsi="宋体" w:cs="宋体"/>
          <w:b/>
        </w:rPr>
        <w:t>★20、投标人应承诺凡在杭州殡仪馆销售的花圈不得在网络平台销售，也不得在实体店销售、赠与或以其他任何形式转让给第三方（承诺书格式自拟）。</w:t>
      </w:r>
      <w:bookmarkEnd w:id="85"/>
    </w:p>
    <w:p>
      <w:pPr>
        <w:adjustRightInd w:val="0"/>
        <w:snapToGrid w:val="0"/>
        <w:spacing w:line="360" w:lineRule="auto"/>
        <w:ind w:firstLine="420" w:firstLineChars="200"/>
        <w:outlineLvl w:val="0"/>
        <w:rPr>
          <w:rFonts w:ascii="宋体" w:hAnsi="宋体" w:cs="宋体"/>
        </w:rPr>
      </w:pPr>
      <w:bookmarkStart w:id="86" w:name="_Toc528656481"/>
      <w:r>
        <w:rPr>
          <w:rFonts w:hint="eastAsia" w:ascii="宋体" w:hAnsi="宋体" w:cs="宋体"/>
        </w:rPr>
        <w:t>21、</w:t>
      </w:r>
      <w:bookmarkEnd w:id="86"/>
      <w:r>
        <w:rPr>
          <w:rFonts w:hint="eastAsia" w:ascii="宋体" w:hAnsi="宋体" w:cs="宋体"/>
        </w:rPr>
        <w:t>花圈质保期：自采购人出售给丧户之日起6个月。</w:t>
      </w:r>
    </w:p>
    <w:p>
      <w:pPr>
        <w:adjustRightInd w:val="0"/>
        <w:snapToGrid w:val="0"/>
        <w:spacing w:line="360" w:lineRule="auto"/>
        <w:ind w:firstLine="420" w:firstLineChars="200"/>
        <w:rPr>
          <w:rFonts w:ascii="宋体" w:hAnsi="宋体" w:cs="宋体"/>
        </w:rPr>
      </w:pPr>
      <w:r>
        <w:rPr>
          <w:rFonts w:hint="eastAsia" w:ascii="宋体" w:hAnsi="宋体" w:cs="宋体"/>
        </w:rPr>
        <w:t>22、中标人提供的花圈收到丧户的有效投诉的，中标人按照涉及花圈销售价格五倍计算支付违约金给采购人，采购人在处理中所产生的一切费用均由中标人负责，并有中标人承担所有责任。</w:t>
      </w:r>
    </w:p>
    <w:p>
      <w:pPr>
        <w:adjustRightInd w:val="0"/>
        <w:snapToGrid w:val="0"/>
        <w:spacing w:line="360" w:lineRule="auto"/>
        <w:ind w:firstLine="422" w:firstLineChars="200"/>
        <w:rPr>
          <w:rFonts w:ascii="宋体" w:hAnsi="宋体" w:cs="宋体"/>
          <w:b/>
          <w:szCs w:val="21"/>
          <w:u w:val="single"/>
        </w:rPr>
      </w:pPr>
      <w:r>
        <w:rPr>
          <w:rFonts w:hint="eastAsia" w:ascii="宋体" w:hAnsi="宋体" w:cs="宋体"/>
          <w:b/>
          <w:szCs w:val="21"/>
          <w:u w:val="single"/>
        </w:rPr>
        <w:t>2</w:t>
      </w:r>
      <w:r>
        <w:rPr>
          <w:rFonts w:ascii="宋体" w:hAnsi="宋体" w:cs="宋体"/>
          <w:b/>
          <w:szCs w:val="21"/>
          <w:u w:val="single"/>
        </w:rPr>
        <w:t>3</w:t>
      </w:r>
      <w:r>
        <w:rPr>
          <w:rFonts w:hint="eastAsia" w:ascii="宋体" w:hAnsi="宋体" w:cs="宋体"/>
          <w:b/>
          <w:szCs w:val="21"/>
          <w:u w:val="single"/>
        </w:rPr>
        <w:t>、采购人因政策调整或其他原因，可以提前三十日调整中标人终止本合同，双方互不承担责任。</w:t>
      </w:r>
    </w:p>
    <w:p>
      <w:pPr>
        <w:pStyle w:val="2"/>
      </w:pPr>
    </w:p>
    <w:p>
      <w:pPr>
        <w:tabs>
          <w:tab w:val="left" w:pos="540"/>
        </w:tabs>
        <w:snapToGrid w:val="0"/>
        <w:spacing w:line="360" w:lineRule="auto"/>
        <w:ind w:left="-420" w:firstLine="422" w:firstLineChars="200"/>
        <w:rPr>
          <w:rFonts w:ascii="宋体" w:hAnsi="宋体" w:cs="宋体"/>
          <w:b/>
          <w:szCs w:val="21"/>
        </w:rPr>
      </w:pPr>
    </w:p>
    <w:p>
      <w:pPr>
        <w:widowControl/>
        <w:autoSpaceDE w:val="0"/>
        <w:autoSpaceDN w:val="0"/>
        <w:spacing w:line="360" w:lineRule="auto"/>
        <w:ind w:firstLine="450"/>
        <w:jc w:val="center"/>
        <w:rPr>
          <w:rFonts w:ascii="宋体" w:hAnsi="宋体" w:cs="宋体"/>
          <w:b/>
          <w:sz w:val="28"/>
          <w:szCs w:val="28"/>
        </w:rPr>
      </w:pPr>
      <w:r>
        <w:rPr>
          <w:rFonts w:hint="eastAsia" w:ascii="宋体" w:hAnsi="宋体" w:cs="宋体"/>
          <w:sz w:val="24"/>
          <w:lang w:val="zh-CN"/>
        </w:rPr>
        <w:br w:type="page"/>
      </w:r>
      <w:bookmarkStart w:id="87" w:name="_Toc82873328"/>
      <w:bookmarkStart w:id="88" w:name="_Toc211745569"/>
      <w:bookmarkStart w:id="89" w:name="_Toc82338245"/>
      <w:bookmarkStart w:id="90" w:name="_Toc516132586"/>
      <w:r>
        <w:rPr>
          <w:rFonts w:hint="eastAsia" w:ascii="宋体" w:hAnsi="宋体" w:cs="宋体"/>
          <w:b/>
          <w:sz w:val="28"/>
          <w:szCs w:val="28"/>
        </w:rPr>
        <w:t>第五章  采购合同</w:t>
      </w:r>
      <w:bookmarkEnd w:id="87"/>
      <w:bookmarkEnd w:id="88"/>
      <w:bookmarkEnd w:id="89"/>
      <w:r>
        <w:rPr>
          <w:rFonts w:hint="eastAsia" w:ascii="宋体" w:hAnsi="宋体" w:cs="宋体"/>
          <w:b/>
          <w:sz w:val="28"/>
          <w:szCs w:val="28"/>
        </w:rPr>
        <w:t>（参考范本）</w:t>
      </w:r>
      <w:bookmarkEnd w:id="90"/>
    </w:p>
    <w:p>
      <w:pPr>
        <w:snapToGrid w:val="0"/>
        <w:spacing w:line="360" w:lineRule="auto"/>
        <w:ind w:firstLine="732" w:firstLineChars="305"/>
        <w:rPr>
          <w:rFonts w:ascii="宋体" w:hAnsi="宋体" w:cs="宋体"/>
          <w:sz w:val="24"/>
        </w:rPr>
      </w:pPr>
      <w:r>
        <w:rPr>
          <w:rFonts w:hint="eastAsia" w:ascii="宋体" w:hAnsi="宋体" w:cs="宋体"/>
          <w:sz w:val="24"/>
        </w:rPr>
        <w:t>（本合同以最终签订为准）</w:t>
      </w:r>
    </w:p>
    <w:p>
      <w:pPr>
        <w:snapToGrid w:val="0"/>
        <w:spacing w:line="360" w:lineRule="auto"/>
        <w:rPr>
          <w:rFonts w:ascii="宋体" w:hAnsi="宋体" w:cs="宋体"/>
        </w:rPr>
      </w:pPr>
      <w:r>
        <w:rPr>
          <w:rFonts w:hint="eastAsia" w:ascii="宋体" w:hAnsi="宋体" w:cs="宋体"/>
        </w:rPr>
        <w:t>采购人（甲方）：杭州殡仪馆</w:t>
      </w:r>
    </w:p>
    <w:p>
      <w:pPr>
        <w:snapToGrid w:val="0"/>
        <w:spacing w:line="360" w:lineRule="auto"/>
        <w:rPr>
          <w:rFonts w:ascii="宋体" w:hAnsi="宋体" w:cs="宋体"/>
          <w:u w:val="single"/>
        </w:rPr>
      </w:pPr>
      <w:r>
        <w:rPr>
          <w:rFonts w:hint="eastAsia" w:ascii="宋体" w:hAnsi="宋体" w:cs="宋体"/>
          <w:u w:val="single"/>
        </w:rPr>
        <w:t>联系地址：杭州西湖区西溪路731号</w:t>
      </w:r>
    </w:p>
    <w:p>
      <w:pPr>
        <w:snapToGrid w:val="0"/>
        <w:spacing w:line="360" w:lineRule="auto"/>
        <w:rPr>
          <w:rFonts w:ascii="宋体" w:hAnsi="宋体" w:cs="宋体"/>
          <w:u w:val="single"/>
        </w:rPr>
      </w:pPr>
      <w:r>
        <w:rPr>
          <w:rFonts w:hint="eastAsia" w:ascii="宋体" w:hAnsi="宋体" w:cs="宋体"/>
          <w:u w:val="single"/>
        </w:rPr>
        <w:t>联系人：联系电话：</w:t>
      </w:r>
    </w:p>
    <w:p>
      <w:pPr>
        <w:snapToGrid w:val="0"/>
        <w:spacing w:line="360" w:lineRule="auto"/>
        <w:rPr>
          <w:rFonts w:ascii="宋体" w:hAnsi="宋体" w:cs="宋体"/>
          <w:u w:val="single"/>
        </w:rPr>
      </w:pPr>
      <w:r>
        <w:rPr>
          <w:rFonts w:hint="eastAsia" w:ascii="宋体" w:hAnsi="宋体" w:cs="宋体"/>
          <w:u w:val="single"/>
        </w:rPr>
        <w:t>投标人（乙方）：</w:t>
      </w:r>
    </w:p>
    <w:p>
      <w:pPr>
        <w:snapToGrid w:val="0"/>
        <w:spacing w:line="360" w:lineRule="auto"/>
        <w:rPr>
          <w:rFonts w:ascii="宋体" w:hAnsi="宋体" w:cs="宋体"/>
          <w:u w:val="single"/>
        </w:rPr>
      </w:pPr>
      <w:r>
        <w:rPr>
          <w:rFonts w:hint="eastAsia" w:ascii="宋体" w:hAnsi="宋体" w:cs="宋体"/>
          <w:u w:val="single"/>
        </w:rPr>
        <w:t>联系地址：</w:t>
      </w:r>
    </w:p>
    <w:p>
      <w:pPr>
        <w:snapToGrid w:val="0"/>
        <w:spacing w:line="360" w:lineRule="auto"/>
        <w:rPr>
          <w:rFonts w:ascii="宋体" w:hAnsi="宋体" w:cs="宋体"/>
          <w:u w:val="single"/>
        </w:rPr>
      </w:pPr>
      <w:r>
        <w:rPr>
          <w:rFonts w:hint="eastAsia" w:ascii="宋体" w:hAnsi="宋体" w:cs="宋体"/>
          <w:u w:val="single"/>
        </w:rPr>
        <w:t>联系人：联系电话：</w:t>
      </w:r>
    </w:p>
    <w:p>
      <w:pPr>
        <w:snapToGrid w:val="0"/>
        <w:spacing w:line="360" w:lineRule="auto"/>
        <w:ind w:firstLine="420" w:firstLineChars="200"/>
        <w:rPr>
          <w:rFonts w:ascii="宋体" w:hAnsi="宋体" w:cs="宋体"/>
          <w:szCs w:val="21"/>
        </w:rPr>
      </w:pPr>
      <w:r>
        <w:rPr>
          <w:rFonts w:hint="eastAsia" w:ascii="宋体" w:hAnsi="宋体" w:cs="宋体"/>
          <w:szCs w:val="21"/>
        </w:rPr>
        <w:t>根据招标文件（编号：      ）的相关规定，甲、乙双方根据</w:t>
      </w:r>
      <w:r>
        <w:rPr>
          <w:rFonts w:hint="eastAsia" w:ascii="宋体" w:hAnsi="宋体" w:cs="宋体"/>
          <w:szCs w:val="21"/>
          <w:u w:val="single"/>
        </w:rPr>
        <w:t>杭州殡仪馆2022年花圈供货服务采购项目</w:t>
      </w:r>
      <w:r>
        <w:rPr>
          <w:rFonts w:hint="eastAsia" w:ascii="宋体" w:hAnsi="宋体" w:cs="宋体"/>
          <w:szCs w:val="21"/>
        </w:rPr>
        <w:t>公开招标的结果，签署本合同。</w:t>
      </w:r>
    </w:p>
    <w:p>
      <w:pPr>
        <w:snapToGrid w:val="0"/>
        <w:spacing w:line="360" w:lineRule="auto"/>
        <w:rPr>
          <w:rFonts w:ascii="宋体" w:hAnsi="宋体" w:cs="宋体"/>
          <w:b/>
          <w:szCs w:val="21"/>
        </w:rPr>
      </w:pPr>
      <w:r>
        <w:rPr>
          <w:rFonts w:hint="eastAsia" w:ascii="宋体" w:hAnsi="宋体" w:cs="宋体"/>
          <w:b/>
          <w:szCs w:val="21"/>
        </w:rPr>
        <w:t>第一条：采购合同的组成</w:t>
      </w:r>
    </w:p>
    <w:p>
      <w:pPr>
        <w:snapToGrid w:val="0"/>
        <w:spacing w:line="360" w:lineRule="auto"/>
        <w:ind w:firstLine="420" w:firstLineChars="200"/>
        <w:rPr>
          <w:rFonts w:ascii="宋体" w:hAnsi="宋体" w:cs="宋体"/>
          <w:szCs w:val="21"/>
        </w:rPr>
      </w:pPr>
      <w:r>
        <w:rPr>
          <w:rFonts w:hint="eastAsia" w:ascii="宋体" w:hAnsi="宋体" w:cs="宋体"/>
          <w:szCs w:val="21"/>
        </w:rPr>
        <w:t>采购合同、招标文件、投标文件、补充文件、各标准及规范</w:t>
      </w:r>
    </w:p>
    <w:p>
      <w:pPr>
        <w:snapToGrid w:val="0"/>
        <w:spacing w:line="360" w:lineRule="auto"/>
        <w:rPr>
          <w:rFonts w:ascii="宋体" w:hAnsi="宋体" w:cs="宋体"/>
          <w:b/>
          <w:szCs w:val="21"/>
        </w:rPr>
      </w:pPr>
      <w:r>
        <w:rPr>
          <w:rFonts w:hint="eastAsia" w:ascii="宋体" w:hAnsi="宋体" w:cs="宋体"/>
          <w:b/>
          <w:szCs w:val="21"/>
        </w:rPr>
        <w:t>第二条：型号、配置、颜色、数量、价格</w:t>
      </w:r>
    </w:p>
    <w:tbl>
      <w:tblPr>
        <w:tblStyle w:val="44"/>
        <w:tblW w:w="9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358"/>
        <w:gridCol w:w="2643"/>
        <w:gridCol w:w="2461"/>
        <w:gridCol w:w="109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48" w:type="dxa"/>
            <w:vAlign w:val="center"/>
          </w:tcPr>
          <w:p>
            <w:pPr>
              <w:adjustRightInd w:val="0"/>
              <w:snapToGrid w:val="0"/>
              <w:rPr>
                <w:rFonts w:ascii="宋体" w:hAnsi="宋体" w:cs="宋体"/>
                <w:b/>
              </w:rPr>
            </w:pPr>
            <w:r>
              <w:rPr>
                <w:rFonts w:hint="eastAsia" w:ascii="宋体" w:hAnsi="宋体" w:cs="宋体"/>
                <w:b/>
              </w:rPr>
              <w:t>序号</w:t>
            </w:r>
          </w:p>
        </w:tc>
        <w:tc>
          <w:tcPr>
            <w:tcW w:w="1358" w:type="dxa"/>
            <w:vAlign w:val="center"/>
          </w:tcPr>
          <w:p>
            <w:pPr>
              <w:adjustRightInd w:val="0"/>
              <w:snapToGrid w:val="0"/>
              <w:ind w:firstLine="198" w:firstLineChars="94"/>
              <w:rPr>
                <w:rFonts w:ascii="宋体" w:hAnsi="宋体" w:cs="宋体"/>
                <w:b/>
              </w:rPr>
            </w:pPr>
            <w:r>
              <w:rPr>
                <w:rFonts w:hint="eastAsia" w:ascii="宋体" w:hAnsi="宋体" w:cs="宋体"/>
                <w:b/>
              </w:rPr>
              <w:t>名称</w:t>
            </w:r>
          </w:p>
        </w:tc>
        <w:tc>
          <w:tcPr>
            <w:tcW w:w="2643" w:type="dxa"/>
            <w:vAlign w:val="center"/>
          </w:tcPr>
          <w:p>
            <w:pPr>
              <w:adjustRightInd w:val="0"/>
              <w:snapToGrid w:val="0"/>
              <w:ind w:firstLine="422"/>
              <w:rPr>
                <w:rFonts w:ascii="宋体" w:hAnsi="宋体" w:cs="宋体"/>
                <w:b/>
              </w:rPr>
            </w:pPr>
            <w:r>
              <w:rPr>
                <w:rFonts w:hint="eastAsia" w:ascii="宋体" w:hAnsi="宋体" w:cs="宋体"/>
                <w:b/>
              </w:rPr>
              <w:t>材质要求</w:t>
            </w:r>
          </w:p>
        </w:tc>
        <w:tc>
          <w:tcPr>
            <w:tcW w:w="2461" w:type="dxa"/>
            <w:vAlign w:val="center"/>
          </w:tcPr>
          <w:p>
            <w:pPr>
              <w:adjustRightInd w:val="0"/>
              <w:snapToGrid w:val="0"/>
              <w:ind w:firstLine="422"/>
              <w:rPr>
                <w:rFonts w:ascii="宋体" w:hAnsi="宋体" w:cs="宋体"/>
                <w:b/>
              </w:rPr>
            </w:pPr>
            <w:r>
              <w:rPr>
                <w:rFonts w:hint="eastAsia" w:ascii="宋体" w:hAnsi="宋体" w:cs="宋体"/>
                <w:b/>
              </w:rPr>
              <w:t>规格</w:t>
            </w:r>
          </w:p>
        </w:tc>
        <w:tc>
          <w:tcPr>
            <w:tcW w:w="1094" w:type="dxa"/>
            <w:vAlign w:val="center"/>
          </w:tcPr>
          <w:p>
            <w:pPr>
              <w:adjustRightInd w:val="0"/>
              <w:snapToGrid w:val="0"/>
              <w:rPr>
                <w:rFonts w:ascii="宋体" w:hAnsi="宋体" w:cs="宋体"/>
                <w:b/>
              </w:rPr>
            </w:pPr>
            <w:r>
              <w:rPr>
                <w:rFonts w:hint="eastAsia" w:ascii="宋体" w:hAnsi="宋体" w:cs="宋体"/>
                <w:b/>
              </w:rPr>
              <w:t>单价（元）</w:t>
            </w:r>
          </w:p>
        </w:tc>
        <w:tc>
          <w:tcPr>
            <w:tcW w:w="1094" w:type="dxa"/>
            <w:vAlign w:val="center"/>
          </w:tcPr>
          <w:p>
            <w:pPr>
              <w:adjustRightInd w:val="0"/>
              <w:snapToGrid w:val="0"/>
              <w:rPr>
                <w:rFonts w:ascii="宋体" w:hAnsi="宋体" w:cs="宋体"/>
                <w:b/>
              </w:rPr>
            </w:pPr>
            <w:r>
              <w:rPr>
                <w:rFonts w:hint="eastAsia" w:ascii="宋体" w:hAnsi="宋体" w:cs="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48" w:type="dxa"/>
            <w:vAlign w:val="center"/>
          </w:tcPr>
          <w:p>
            <w:pPr>
              <w:adjustRightInd w:val="0"/>
              <w:snapToGrid w:val="0"/>
              <w:ind w:firstLine="199" w:firstLineChars="95"/>
              <w:rPr>
                <w:rFonts w:ascii="宋体" w:hAnsi="宋体" w:cs="宋体"/>
              </w:rPr>
            </w:pPr>
            <w:r>
              <w:rPr>
                <w:rFonts w:hint="eastAsia" w:ascii="宋体" w:hAnsi="宋体" w:cs="宋体"/>
              </w:rPr>
              <w:t>1</w:t>
            </w:r>
          </w:p>
        </w:tc>
        <w:tc>
          <w:tcPr>
            <w:tcW w:w="1358" w:type="dxa"/>
            <w:vAlign w:val="center"/>
          </w:tcPr>
          <w:p>
            <w:pPr>
              <w:adjustRightInd w:val="0"/>
              <w:snapToGrid w:val="0"/>
              <w:rPr>
                <w:rFonts w:ascii="宋体" w:hAnsi="宋体" w:cs="宋体"/>
              </w:rPr>
            </w:pPr>
            <w:r>
              <w:rPr>
                <w:rFonts w:hint="eastAsia" w:ascii="宋体" w:hAnsi="宋体" w:cs="宋体"/>
              </w:rPr>
              <w:t>水仙花圈</w:t>
            </w:r>
          </w:p>
        </w:tc>
        <w:tc>
          <w:tcPr>
            <w:tcW w:w="2643" w:type="dxa"/>
            <w:vAlign w:val="center"/>
          </w:tcPr>
          <w:p>
            <w:pPr>
              <w:adjustRightInd w:val="0"/>
              <w:snapToGrid w:val="0"/>
              <w:rPr>
                <w:rFonts w:ascii="宋体" w:hAnsi="宋体" w:cs="宋体"/>
              </w:rPr>
            </w:pPr>
            <w:r>
              <w:rPr>
                <w:rFonts w:hint="eastAsia" w:ascii="宋体" w:hAnsi="宋体" w:cs="宋体"/>
              </w:rPr>
              <w:t>青面竹篾、白色衬布、拱形竹架、层底部，圆奠、水仙花100朵、叶子18片，底部有五角星花托等塑料配件</w:t>
            </w:r>
          </w:p>
        </w:tc>
        <w:tc>
          <w:tcPr>
            <w:tcW w:w="2461" w:type="dxa"/>
            <w:vAlign w:val="center"/>
          </w:tcPr>
          <w:p>
            <w:pPr>
              <w:adjustRightInd w:val="0"/>
              <w:snapToGrid w:val="0"/>
              <w:rPr>
                <w:rFonts w:ascii="宋体" w:hAnsi="宋体" w:cs="宋体"/>
              </w:rPr>
            </w:pPr>
            <w:r>
              <w:rPr>
                <w:rFonts w:hint="eastAsia" w:ascii="宋体" w:hAnsi="宋体" w:cs="宋体"/>
              </w:rPr>
              <w:t>拱圆形直径不小于1.3米，竹蔑圈数4圈，竹蔑圈宽1公分，厚0.7公分，4根底竹架宽度1.5公分，厚度1公分</w:t>
            </w:r>
          </w:p>
        </w:tc>
        <w:tc>
          <w:tcPr>
            <w:tcW w:w="1094" w:type="dxa"/>
            <w:vAlign w:val="center"/>
          </w:tcPr>
          <w:p>
            <w:pPr>
              <w:adjustRightInd w:val="0"/>
              <w:snapToGrid w:val="0"/>
              <w:jc w:val="center"/>
              <w:rPr>
                <w:rFonts w:ascii="宋体" w:hAnsi="宋体" w:cs="宋体"/>
              </w:rPr>
            </w:pPr>
          </w:p>
        </w:tc>
        <w:tc>
          <w:tcPr>
            <w:tcW w:w="1094" w:type="dxa"/>
            <w:vAlign w:val="center"/>
          </w:tcPr>
          <w:p>
            <w:pPr>
              <w:adjustRightInd w:val="0"/>
              <w:snapToGrid w:val="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48" w:type="dxa"/>
            <w:vAlign w:val="center"/>
          </w:tcPr>
          <w:p>
            <w:pPr>
              <w:adjustRightInd w:val="0"/>
              <w:snapToGrid w:val="0"/>
              <w:ind w:firstLine="199" w:firstLineChars="95"/>
              <w:rPr>
                <w:rFonts w:ascii="宋体" w:hAnsi="宋体" w:cs="宋体"/>
              </w:rPr>
            </w:pPr>
            <w:r>
              <w:rPr>
                <w:rFonts w:hint="eastAsia" w:ascii="宋体" w:hAnsi="宋体" w:cs="宋体"/>
              </w:rPr>
              <w:t>2</w:t>
            </w:r>
          </w:p>
        </w:tc>
        <w:tc>
          <w:tcPr>
            <w:tcW w:w="1358" w:type="dxa"/>
            <w:vAlign w:val="center"/>
          </w:tcPr>
          <w:p>
            <w:pPr>
              <w:adjustRightInd w:val="0"/>
              <w:snapToGrid w:val="0"/>
              <w:rPr>
                <w:rFonts w:ascii="宋体" w:hAnsi="宋体" w:cs="宋体"/>
              </w:rPr>
            </w:pPr>
            <w:r>
              <w:rPr>
                <w:rFonts w:hint="eastAsia" w:ascii="宋体" w:hAnsi="宋体" w:cs="宋体"/>
              </w:rPr>
              <w:t>蓝白仿真花圈</w:t>
            </w:r>
          </w:p>
        </w:tc>
        <w:tc>
          <w:tcPr>
            <w:tcW w:w="2643" w:type="dxa"/>
            <w:vAlign w:val="center"/>
          </w:tcPr>
          <w:p>
            <w:pPr>
              <w:adjustRightInd w:val="0"/>
              <w:snapToGrid w:val="0"/>
              <w:rPr>
                <w:rFonts w:ascii="宋体" w:hAnsi="宋体" w:cs="宋体"/>
              </w:rPr>
            </w:pPr>
            <w:r>
              <w:rPr>
                <w:rFonts w:hint="eastAsia" w:ascii="宋体" w:hAnsi="宋体" w:cs="宋体"/>
              </w:rPr>
              <w:t>青面竹篾、白色衬布、拱形竹架、层底部，圆奠、水仙花11朵、孔雀枚花125朵、底部有五角星花托等塑料配件</w:t>
            </w:r>
          </w:p>
        </w:tc>
        <w:tc>
          <w:tcPr>
            <w:tcW w:w="2461" w:type="dxa"/>
            <w:vAlign w:val="center"/>
          </w:tcPr>
          <w:p>
            <w:pPr>
              <w:adjustRightInd w:val="0"/>
              <w:snapToGrid w:val="0"/>
              <w:rPr>
                <w:rFonts w:ascii="宋体" w:hAnsi="宋体" w:cs="宋体"/>
              </w:rPr>
            </w:pPr>
            <w:r>
              <w:rPr>
                <w:rFonts w:hint="eastAsia" w:ascii="宋体" w:hAnsi="宋体" w:cs="宋体"/>
              </w:rPr>
              <w:t>拱圆形直径不小于1.3米，竹蔑圈数4圈，竹蔑圈宽1公分，厚0.7公分，4根底竹架宽度1.5公分，厚度1公分</w:t>
            </w:r>
          </w:p>
        </w:tc>
        <w:tc>
          <w:tcPr>
            <w:tcW w:w="1094" w:type="dxa"/>
            <w:vAlign w:val="center"/>
          </w:tcPr>
          <w:p>
            <w:pPr>
              <w:adjustRightInd w:val="0"/>
              <w:snapToGrid w:val="0"/>
              <w:jc w:val="center"/>
              <w:rPr>
                <w:rFonts w:ascii="宋体" w:hAnsi="宋体" w:cs="宋体"/>
              </w:rPr>
            </w:pPr>
          </w:p>
        </w:tc>
        <w:tc>
          <w:tcPr>
            <w:tcW w:w="1094" w:type="dxa"/>
            <w:vAlign w:val="center"/>
          </w:tcPr>
          <w:p>
            <w:pPr>
              <w:adjustRightInd w:val="0"/>
              <w:snapToGrid w:val="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48" w:type="dxa"/>
            <w:vAlign w:val="center"/>
          </w:tcPr>
          <w:p>
            <w:pPr>
              <w:adjustRightInd w:val="0"/>
              <w:snapToGrid w:val="0"/>
              <w:ind w:firstLine="199" w:firstLineChars="95"/>
              <w:rPr>
                <w:rFonts w:ascii="宋体" w:hAnsi="宋体" w:cs="宋体"/>
              </w:rPr>
            </w:pPr>
            <w:r>
              <w:rPr>
                <w:rFonts w:hint="eastAsia" w:ascii="宋体" w:hAnsi="宋体" w:cs="宋体"/>
              </w:rPr>
              <w:t>3</w:t>
            </w:r>
          </w:p>
        </w:tc>
        <w:tc>
          <w:tcPr>
            <w:tcW w:w="1358" w:type="dxa"/>
            <w:vAlign w:val="center"/>
          </w:tcPr>
          <w:p>
            <w:pPr>
              <w:adjustRightInd w:val="0"/>
              <w:snapToGrid w:val="0"/>
              <w:rPr>
                <w:rFonts w:ascii="宋体" w:hAnsi="宋体" w:cs="宋体"/>
              </w:rPr>
            </w:pPr>
            <w:r>
              <w:rPr>
                <w:rFonts w:hint="eastAsia" w:ascii="宋体" w:hAnsi="宋体" w:cs="宋体"/>
              </w:rPr>
              <w:t>仿真龙珠玫花圈(A款B款)</w:t>
            </w:r>
          </w:p>
        </w:tc>
        <w:tc>
          <w:tcPr>
            <w:tcW w:w="2643" w:type="dxa"/>
            <w:vAlign w:val="center"/>
          </w:tcPr>
          <w:p>
            <w:pPr>
              <w:adjustRightInd w:val="0"/>
              <w:snapToGrid w:val="0"/>
              <w:rPr>
                <w:rFonts w:ascii="宋体" w:hAnsi="宋体" w:cs="宋体"/>
              </w:rPr>
            </w:pPr>
            <w:r>
              <w:rPr>
                <w:rFonts w:hint="eastAsia" w:ascii="宋体" w:hAnsi="宋体" w:cs="宋体"/>
              </w:rPr>
              <w:t>青面竹篾、白色衬布、圆形竹架，层底部、龙珠玫两色绢花162朵,牛角花材质，底部有五角星花托等塑料配件</w:t>
            </w:r>
          </w:p>
        </w:tc>
        <w:tc>
          <w:tcPr>
            <w:tcW w:w="2461" w:type="dxa"/>
            <w:vAlign w:val="center"/>
          </w:tcPr>
          <w:p>
            <w:pPr>
              <w:adjustRightInd w:val="0"/>
              <w:snapToGrid w:val="0"/>
              <w:rPr>
                <w:rFonts w:ascii="宋体" w:hAnsi="宋体" w:cs="宋体"/>
              </w:rPr>
            </w:pPr>
            <w:r>
              <w:rPr>
                <w:rFonts w:hint="eastAsia" w:ascii="宋体" w:hAnsi="宋体" w:cs="宋体"/>
              </w:rPr>
              <w:t>圆形直径不小于1.3米，竹蔑圈数4圈，竹蔑圈宽1公分，厚0.7公分，3根底竹架宽度1.5公分，厚度1公分</w:t>
            </w:r>
          </w:p>
        </w:tc>
        <w:tc>
          <w:tcPr>
            <w:tcW w:w="1094" w:type="dxa"/>
            <w:vAlign w:val="center"/>
          </w:tcPr>
          <w:p>
            <w:pPr>
              <w:adjustRightInd w:val="0"/>
              <w:snapToGrid w:val="0"/>
              <w:jc w:val="center"/>
              <w:rPr>
                <w:rFonts w:ascii="宋体" w:hAnsi="宋体" w:cs="宋体"/>
              </w:rPr>
            </w:pPr>
          </w:p>
        </w:tc>
        <w:tc>
          <w:tcPr>
            <w:tcW w:w="1094" w:type="dxa"/>
            <w:vAlign w:val="center"/>
          </w:tcPr>
          <w:p>
            <w:pPr>
              <w:adjustRightInd w:val="0"/>
              <w:snapToGrid w:val="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48" w:type="dxa"/>
            <w:vAlign w:val="center"/>
          </w:tcPr>
          <w:p>
            <w:pPr>
              <w:adjustRightInd w:val="0"/>
              <w:snapToGrid w:val="0"/>
              <w:ind w:firstLine="199" w:firstLineChars="95"/>
              <w:rPr>
                <w:rFonts w:ascii="宋体" w:hAnsi="宋体" w:cs="宋体"/>
              </w:rPr>
            </w:pPr>
            <w:r>
              <w:rPr>
                <w:rFonts w:hint="eastAsia" w:ascii="宋体" w:hAnsi="宋体" w:cs="宋体"/>
              </w:rPr>
              <w:t>4</w:t>
            </w:r>
          </w:p>
        </w:tc>
        <w:tc>
          <w:tcPr>
            <w:tcW w:w="1358" w:type="dxa"/>
            <w:vAlign w:val="center"/>
          </w:tcPr>
          <w:p>
            <w:pPr>
              <w:adjustRightInd w:val="0"/>
              <w:snapToGrid w:val="0"/>
              <w:rPr>
                <w:rFonts w:ascii="宋体" w:hAnsi="宋体" w:cs="宋体"/>
              </w:rPr>
            </w:pPr>
            <w:r>
              <w:rPr>
                <w:rFonts w:hint="eastAsia" w:ascii="宋体" w:hAnsi="宋体" w:cs="宋体"/>
              </w:rPr>
              <w:t>精品花圈</w:t>
            </w:r>
          </w:p>
        </w:tc>
        <w:tc>
          <w:tcPr>
            <w:tcW w:w="2643" w:type="dxa"/>
            <w:vAlign w:val="center"/>
          </w:tcPr>
          <w:p>
            <w:pPr>
              <w:adjustRightInd w:val="0"/>
              <w:snapToGrid w:val="0"/>
              <w:rPr>
                <w:rFonts w:ascii="宋体" w:hAnsi="宋体" w:cs="宋体"/>
              </w:rPr>
            </w:pPr>
            <w:r>
              <w:rPr>
                <w:rFonts w:hint="eastAsia" w:ascii="宋体" w:hAnsi="宋体" w:cs="宋体"/>
              </w:rPr>
              <w:t>青面竹篾、白色衬布、圆形竹架，层底部，大地菊（立体型）72朵、红玫瑰（立体型）17朵、绢花牛角，质底部有五角星花托等塑料配件</w:t>
            </w:r>
          </w:p>
        </w:tc>
        <w:tc>
          <w:tcPr>
            <w:tcW w:w="2461" w:type="dxa"/>
            <w:vAlign w:val="center"/>
          </w:tcPr>
          <w:p>
            <w:pPr>
              <w:adjustRightInd w:val="0"/>
              <w:snapToGrid w:val="0"/>
              <w:rPr>
                <w:rFonts w:ascii="宋体" w:hAnsi="宋体" w:cs="宋体"/>
              </w:rPr>
            </w:pPr>
            <w:r>
              <w:rPr>
                <w:rFonts w:hint="eastAsia" w:ascii="宋体" w:hAnsi="宋体" w:cs="宋体"/>
              </w:rPr>
              <w:t>圆形直径不小于1.3米，竹蔑圈数4圈，竹蔑圈宽1公分，厚0.7公分，3根底竹架宽度1.5公分，厚度1公分</w:t>
            </w:r>
          </w:p>
        </w:tc>
        <w:tc>
          <w:tcPr>
            <w:tcW w:w="1094" w:type="dxa"/>
            <w:vAlign w:val="center"/>
          </w:tcPr>
          <w:p>
            <w:pPr>
              <w:adjustRightInd w:val="0"/>
              <w:snapToGrid w:val="0"/>
              <w:jc w:val="center"/>
              <w:rPr>
                <w:rFonts w:ascii="宋体" w:hAnsi="宋体" w:cs="宋体"/>
              </w:rPr>
            </w:pPr>
          </w:p>
        </w:tc>
        <w:tc>
          <w:tcPr>
            <w:tcW w:w="1094" w:type="dxa"/>
            <w:vAlign w:val="center"/>
          </w:tcPr>
          <w:p>
            <w:pPr>
              <w:adjustRightInd w:val="0"/>
              <w:snapToGrid w:val="0"/>
              <w:jc w:val="center"/>
              <w:rPr>
                <w:rFonts w:ascii="宋体" w:hAnsi="宋体" w:cs="宋体"/>
              </w:rPr>
            </w:pPr>
          </w:p>
        </w:tc>
      </w:tr>
    </w:tbl>
    <w:p>
      <w:pPr>
        <w:snapToGrid w:val="0"/>
        <w:spacing w:line="360" w:lineRule="auto"/>
        <w:rPr>
          <w:rFonts w:ascii="宋体" w:hAnsi="宋体" w:cs="宋体"/>
          <w:b/>
          <w:szCs w:val="21"/>
        </w:rPr>
      </w:pPr>
    </w:p>
    <w:p>
      <w:pPr>
        <w:snapToGrid w:val="0"/>
        <w:spacing w:line="360" w:lineRule="auto"/>
        <w:rPr>
          <w:rFonts w:ascii="宋体" w:hAnsi="宋体" w:cs="宋体"/>
          <w:b/>
          <w:szCs w:val="21"/>
        </w:rPr>
      </w:pPr>
      <w:r>
        <w:rPr>
          <w:rFonts w:hint="eastAsia" w:ascii="宋体" w:hAnsi="宋体" w:cs="宋体"/>
          <w:b/>
          <w:szCs w:val="21"/>
        </w:rPr>
        <w:t>第三条：技术资料</w:t>
      </w:r>
    </w:p>
    <w:p>
      <w:pPr>
        <w:adjustRightInd w:val="0"/>
        <w:snapToGrid w:val="0"/>
        <w:spacing w:line="360" w:lineRule="auto"/>
        <w:ind w:firstLine="420" w:firstLineChars="200"/>
        <w:rPr>
          <w:rFonts w:ascii="宋体" w:hAnsi="宋体" w:cs="宋体"/>
        </w:rPr>
      </w:pPr>
      <w:r>
        <w:rPr>
          <w:rFonts w:hint="eastAsia" w:ascii="宋体" w:hAnsi="宋体" w:cs="宋体"/>
        </w:rPr>
        <w:t>1、乙方应按招标文件规定的时间向甲方提供使用花圈的有关技术资料。</w:t>
      </w:r>
    </w:p>
    <w:p>
      <w:pPr>
        <w:adjustRightInd w:val="0"/>
        <w:snapToGrid w:val="0"/>
        <w:spacing w:line="360" w:lineRule="auto"/>
        <w:ind w:firstLine="420" w:firstLineChars="200"/>
        <w:rPr>
          <w:rFonts w:ascii="宋体" w:hAnsi="宋体" w:cs="宋体"/>
        </w:rPr>
      </w:pPr>
      <w:r>
        <w:rPr>
          <w:rFonts w:hint="eastAsia" w:ascii="宋体" w:hAnsi="宋体" w:cs="宋体"/>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360" w:lineRule="auto"/>
        <w:rPr>
          <w:rFonts w:ascii="宋体" w:hAnsi="宋体" w:cs="宋体"/>
          <w:b/>
          <w:szCs w:val="21"/>
        </w:rPr>
      </w:pPr>
      <w:r>
        <w:rPr>
          <w:rFonts w:hint="eastAsia" w:ascii="宋体" w:hAnsi="宋体" w:cs="宋体"/>
          <w:b/>
          <w:szCs w:val="21"/>
        </w:rPr>
        <w:t>第四条：知识产权、产权担保</w:t>
      </w:r>
    </w:p>
    <w:p>
      <w:pPr>
        <w:adjustRightInd w:val="0"/>
        <w:snapToGrid w:val="0"/>
        <w:spacing w:line="360" w:lineRule="auto"/>
        <w:ind w:firstLine="420" w:firstLineChars="200"/>
        <w:rPr>
          <w:rFonts w:ascii="宋体" w:hAnsi="宋体" w:cs="宋体"/>
          <w:szCs w:val="21"/>
        </w:rPr>
      </w:pPr>
      <w:r>
        <w:rPr>
          <w:rFonts w:hint="eastAsia" w:ascii="宋体" w:hAnsi="宋体" w:cs="宋体"/>
        </w:rPr>
        <w:t>乙方应保证所提供的花圈或其任何一部分均不会侵犯任何第三方的知识产权</w:t>
      </w:r>
      <w:r>
        <w:rPr>
          <w:rFonts w:hint="eastAsia" w:ascii="宋体" w:hAnsi="宋体" w:cs="宋体"/>
          <w:bCs/>
        </w:rPr>
        <w:t>。封存样品花圈的样式以及在合同履行过程中经甲方同意的花圈样式属于甲方所有，只能用于供给甲方的花圈。</w:t>
      </w:r>
    </w:p>
    <w:p>
      <w:pPr>
        <w:snapToGrid w:val="0"/>
        <w:spacing w:line="360" w:lineRule="auto"/>
        <w:rPr>
          <w:rFonts w:ascii="宋体" w:hAnsi="宋体" w:cs="宋体"/>
          <w:b/>
          <w:szCs w:val="21"/>
        </w:rPr>
      </w:pPr>
      <w:r>
        <w:rPr>
          <w:rFonts w:hint="eastAsia" w:ascii="宋体" w:hAnsi="宋体" w:cs="宋体"/>
          <w:b/>
          <w:szCs w:val="21"/>
        </w:rPr>
        <w:t>第五条：履约保证金</w:t>
      </w:r>
    </w:p>
    <w:p>
      <w:pPr>
        <w:snapToGrid w:val="0"/>
        <w:spacing w:line="360" w:lineRule="auto"/>
        <w:ind w:firstLine="420" w:firstLineChars="200"/>
        <w:rPr>
          <w:rFonts w:ascii="宋体" w:hAnsi="宋体" w:cs="宋体"/>
          <w:szCs w:val="21"/>
        </w:rPr>
      </w:pPr>
      <w:r>
        <w:rPr>
          <w:rFonts w:hint="eastAsia" w:ascii="宋体" w:hAnsi="宋体" w:cs="宋体"/>
          <w:szCs w:val="21"/>
        </w:rPr>
        <w:t>乙方交纳人民币</w:t>
      </w:r>
      <w:r>
        <w:rPr>
          <w:rFonts w:hint="eastAsia" w:ascii="宋体" w:hAnsi="宋体" w:cs="宋体"/>
          <w:szCs w:val="21"/>
          <w:u w:val="single"/>
        </w:rPr>
        <w:t>壹拾伍万</w:t>
      </w:r>
      <w:r>
        <w:rPr>
          <w:rFonts w:hint="eastAsia" w:ascii="宋体" w:hAnsi="宋体" w:cs="宋体"/>
          <w:szCs w:val="21"/>
        </w:rPr>
        <w:t>元作为本合同的履约保证金，</w:t>
      </w:r>
      <w:r>
        <w:rPr>
          <w:rFonts w:hint="eastAsia" w:ascii="宋体" w:hAnsi="宋体" w:cs="宋体"/>
        </w:rPr>
        <w:t>合同期满扣除中标人应付的违约金等款项后无息返还。在合同履约过程中，如保证金被用以支付违约金的，中标人应在支付采保服务费时一并予以补足。</w:t>
      </w:r>
    </w:p>
    <w:p>
      <w:pPr>
        <w:snapToGrid w:val="0"/>
        <w:spacing w:line="360" w:lineRule="auto"/>
        <w:rPr>
          <w:rFonts w:ascii="宋体" w:hAnsi="宋体" w:cs="宋体"/>
          <w:b/>
          <w:szCs w:val="21"/>
        </w:rPr>
      </w:pPr>
      <w:r>
        <w:rPr>
          <w:rFonts w:hint="eastAsia" w:ascii="宋体" w:hAnsi="宋体" w:cs="宋体"/>
          <w:b/>
          <w:szCs w:val="21"/>
        </w:rPr>
        <w:t>第六条：供货地点及供货时间</w:t>
      </w:r>
    </w:p>
    <w:p>
      <w:pPr>
        <w:tabs>
          <w:tab w:val="left" w:pos="1260"/>
          <w:tab w:val="left" w:pos="1800"/>
        </w:tabs>
        <w:adjustRightInd w:val="0"/>
        <w:snapToGrid w:val="0"/>
        <w:spacing w:line="360" w:lineRule="auto"/>
        <w:ind w:firstLine="420" w:firstLineChars="200"/>
        <w:rPr>
          <w:rFonts w:ascii="宋体" w:hAnsi="宋体" w:cs="宋体"/>
        </w:rPr>
      </w:pPr>
      <w:r>
        <w:rPr>
          <w:rFonts w:hint="eastAsia" w:ascii="宋体" w:hAnsi="宋体" w:cs="宋体"/>
        </w:rPr>
        <w:t>1、供货方式：乙方将花圈运输至甲方，存储在甲方处，甲方提供存放场地。</w:t>
      </w:r>
    </w:p>
    <w:p>
      <w:pPr>
        <w:tabs>
          <w:tab w:val="left" w:pos="1260"/>
          <w:tab w:val="left" w:pos="1800"/>
        </w:tabs>
        <w:adjustRightInd w:val="0"/>
        <w:snapToGrid w:val="0"/>
        <w:spacing w:line="360" w:lineRule="auto"/>
        <w:ind w:firstLine="420" w:firstLineChars="200"/>
        <w:rPr>
          <w:rFonts w:ascii="宋体" w:hAnsi="宋体" w:cs="宋体"/>
        </w:rPr>
      </w:pPr>
      <w:r>
        <w:rPr>
          <w:rFonts w:hint="eastAsia" w:ascii="宋体" w:hAnsi="宋体" w:cs="宋体"/>
        </w:rPr>
        <w:t>2、供货地点：按照甲方指定的地点为准。</w:t>
      </w:r>
    </w:p>
    <w:p>
      <w:pPr>
        <w:tabs>
          <w:tab w:val="left" w:pos="1260"/>
          <w:tab w:val="left" w:pos="1800"/>
        </w:tabs>
        <w:adjustRightInd w:val="0"/>
        <w:snapToGrid w:val="0"/>
        <w:spacing w:line="360" w:lineRule="auto"/>
        <w:ind w:firstLine="420" w:firstLineChars="200"/>
        <w:rPr>
          <w:rFonts w:ascii="宋体" w:hAnsi="宋体" w:cs="宋体"/>
          <w:bCs/>
          <w:szCs w:val="21"/>
        </w:rPr>
      </w:pPr>
      <w:r>
        <w:rPr>
          <w:rFonts w:hint="eastAsia" w:ascii="宋体" w:hAnsi="宋体" w:cs="宋体"/>
        </w:rPr>
        <w:t>3、合同期限：2022年1月1日至2022年12月31日。</w:t>
      </w:r>
    </w:p>
    <w:p>
      <w:pPr>
        <w:snapToGrid w:val="0"/>
        <w:spacing w:line="360" w:lineRule="auto"/>
        <w:rPr>
          <w:rFonts w:ascii="宋体" w:hAnsi="宋体" w:cs="宋体"/>
          <w:szCs w:val="21"/>
        </w:rPr>
      </w:pPr>
      <w:r>
        <w:rPr>
          <w:rFonts w:hint="eastAsia" w:ascii="宋体" w:hAnsi="宋体" w:cs="宋体"/>
          <w:b/>
          <w:szCs w:val="21"/>
        </w:rPr>
        <w:t>第七条：货款结算方式</w:t>
      </w:r>
    </w:p>
    <w:p>
      <w:pPr>
        <w:tabs>
          <w:tab w:val="left" w:pos="1260"/>
          <w:tab w:val="left" w:pos="1800"/>
        </w:tabs>
        <w:adjustRightInd w:val="0"/>
        <w:snapToGrid w:val="0"/>
        <w:spacing w:line="360" w:lineRule="auto"/>
        <w:ind w:firstLine="420" w:firstLineChars="200"/>
        <w:rPr>
          <w:rFonts w:ascii="宋体" w:hAnsi="宋体" w:cs="宋体"/>
        </w:rPr>
      </w:pPr>
      <w:r>
        <w:rPr>
          <w:rFonts w:hint="eastAsia" w:ascii="宋体" w:hAnsi="宋体" w:cs="宋体"/>
        </w:rPr>
        <w:t>1、合同签订且具备实施条件后15天内，甲方凭乙方开具的合规发票支付预算金额的30%作为预付款，预付款在后期计算货款时予以扣除。</w:t>
      </w:r>
    </w:p>
    <w:p>
      <w:pPr>
        <w:tabs>
          <w:tab w:val="left" w:pos="1260"/>
          <w:tab w:val="left" w:pos="1800"/>
        </w:tabs>
        <w:adjustRightInd w:val="0"/>
        <w:snapToGrid w:val="0"/>
        <w:spacing w:line="360" w:lineRule="auto"/>
        <w:ind w:firstLine="420" w:firstLineChars="200"/>
        <w:rPr>
          <w:rFonts w:ascii="宋体" w:hAnsi="宋体" w:cs="宋体"/>
        </w:rPr>
      </w:pPr>
      <w:r>
        <w:rPr>
          <w:rFonts w:hint="eastAsia" w:ascii="宋体" w:hAnsi="宋体" w:cs="宋体"/>
        </w:rPr>
        <w:t>2、货款以中标单价按实结算，乙方应于每月23日前根据甲方签发的领料单和财务月报表等与甲方核对上月的23日起至当月的22日止的花圈采购量，经核对无误后，凭增值税专用发票向甲方申请支付货款。</w:t>
      </w:r>
    </w:p>
    <w:p>
      <w:pPr>
        <w:tabs>
          <w:tab w:val="left" w:pos="1260"/>
          <w:tab w:val="left" w:pos="1800"/>
        </w:tabs>
        <w:adjustRightInd w:val="0"/>
        <w:snapToGrid w:val="0"/>
        <w:spacing w:line="360" w:lineRule="auto"/>
        <w:ind w:firstLine="420" w:firstLineChars="200"/>
        <w:rPr>
          <w:rFonts w:ascii="宋体" w:hAnsi="宋体" w:cs="宋体"/>
        </w:rPr>
      </w:pPr>
      <w:r>
        <w:rPr>
          <w:rFonts w:hint="eastAsia" w:ascii="宋体" w:hAnsi="宋体" w:cs="宋体"/>
        </w:rPr>
        <w:t>3、因花圈售后服务性质的特殊性，仓库管理员、夜间值班员工资等特殊售后服务事宜由甲方委托专业单位或人员处理。乙方应向甲方支付以上采保服务费用计47000元/月，在每月25日前支付。</w:t>
      </w:r>
    </w:p>
    <w:p>
      <w:pPr>
        <w:adjustRightInd w:val="0"/>
        <w:snapToGrid w:val="0"/>
        <w:spacing w:line="360" w:lineRule="auto"/>
        <w:ind w:firstLine="310" w:firstLineChars="147"/>
        <w:rPr>
          <w:rFonts w:ascii="宋体" w:hAnsi="宋体" w:cs="宋体"/>
          <w:b/>
          <w:szCs w:val="21"/>
        </w:rPr>
      </w:pPr>
      <w:r>
        <w:rPr>
          <w:rFonts w:hint="eastAsia" w:ascii="宋体" w:hAnsi="宋体" w:cs="宋体"/>
          <w:b/>
          <w:kern w:val="0"/>
          <w:szCs w:val="21"/>
        </w:rPr>
        <w:t>4.本合同为单价合同，采购项目的预算金额为</w:t>
      </w:r>
      <w:r>
        <w:rPr>
          <w:rFonts w:hint="eastAsia" w:ascii="宋体" w:hAnsi="宋体" w:cs="宋体"/>
          <w:b/>
          <w:kern w:val="0"/>
          <w:szCs w:val="21"/>
          <w:u w:val="single"/>
        </w:rPr>
        <w:t xml:space="preserve">       </w:t>
      </w:r>
      <w:r>
        <w:rPr>
          <w:rFonts w:hint="eastAsia" w:ascii="宋体" w:hAnsi="宋体" w:cs="宋体"/>
          <w:b/>
          <w:kern w:val="0"/>
          <w:szCs w:val="21"/>
        </w:rPr>
        <w:t>万元。结算货款总金额超出预算金额后，根据货款结算需要，双方可以按照本合同约定的内容，另行签订书面补充协议。</w:t>
      </w:r>
    </w:p>
    <w:p>
      <w:pPr>
        <w:adjustRightInd w:val="0"/>
        <w:snapToGrid w:val="0"/>
        <w:spacing w:line="360" w:lineRule="auto"/>
        <w:ind w:firstLine="310" w:firstLineChars="147"/>
        <w:rPr>
          <w:rFonts w:ascii="宋体" w:hAnsi="宋体" w:cs="宋体"/>
          <w:b/>
          <w:szCs w:val="21"/>
        </w:rPr>
      </w:pPr>
      <w:r>
        <w:rPr>
          <w:rFonts w:hint="eastAsia" w:ascii="宋体" w:hAnsi="宋体" w:cs="宋体"/>
          <w:b/>
          <w:szCs w:val="21"/>
        </w:rPr>
        <w:t>5、项目采购空档期服务：</w:t>
      </w:r>
    </w:p>
    <w:p>
      <w:pPr>
        <w:adjustRightInd w:val="0"/>
        <w:snapToGrid w:val="0"/>
        <w:spacing w:line="360" w:lineRule="auto"/>
        <w:ind w:firstLine="308" w:firstLineChars="147"/>
        <w:rPr>
          <w:rFonts w:ascii="宋体" w:hAnsi="宋体" w:cs="宋体"/>
          <w:bCs/>
          <w:szCs w:val="21"/>
        </w:rPr>
      </w:pPr>
      <w:r>
        <w:rPr>
          <w:rFonts w:hint="eastAsia" w:ascii="宋体" w:hAnsi="宋体" w:cs="宋体"/>
          <w:bCs/>
          <w:szCs w:val="21"/>
        </w:rPr>
        <w:t>自2022年12月    日起至甲方与乙方签订合同前所产生的甲方与上一年度花圈供货服务供应商的结算款，在签订合同后由甲方通过乙方支付给上一年度花圈供货服务供应商。乙方在收到甲方支付的款项后3个工作日内支付给上一年度花圈供货服务供应商。（款项产生的税费由上一年度花圈供货服务供应商承担）</w:t>
      </w:r>
    </w:p>
    <w:p>
      <w:pPr>
        <w:adjustRightInd w:val="0"/>
        <w:snapToGrid w:val="0"/>
        <w:spacing w:line="360" w:lineRule="auto"/>
        <w:ind w:firstLine="308" w:firstLineChars="147"/>
        <w:rPr>
          <w:rFonts w:ascii="宋体" w:hAnsi="宋体" w:cs="宋体"/>
          <w:bCs/>
          <w:szCs w:val="21"/>
        </w:rPr>
      </w:pPr>
      <w:r>
        <w:rPr>
          <w:rFonts w:hint="eastAsia" w:ascii="宋体" w:hAnsi="宋体" w:cs="宋体"/>
          <w:bCs/>
          <w:szCs w:val="21"/>
        </w:rPr>
        <w:t>本项目实施完成后，若甲方未完成2023年度花圈供货服务招标或合同签订的，由乙方继续提供服务，期间产生的结算款由甲方通过2023年度花圈供货服务中标人按实际款额支付给乙方。</w:t>
      </w:r>
    </w:p>
    <w:p>
      <w:pPr>
        <w:snapToGrid w:val="0"/>
        <w:spacing w:line="360" w:lineRule="auto"/>
        <w:rPr>
          <w:rFonts w:ascii="宋体" w:hAnsi="宋体" w:cs="宋体"/>
          <w:szCs w:val="21"/>
        </w:rPr>
      </w:pPr>
      <w:r>
        <w:rPr>
          <w:rFonts w:hint="eastAsia" w:ascii="宋体" w:hAnsi="宋体" w:cs="宋体"/>
          <w:b/>
          <w:szCs w:val="21"/>
        </w:rPr>
        <w:t>第八条：税费</w:t>
      </w:r>
    </w:p>
    <w:p>
      <w:pPr>
        <w:snapToGrid w:val="0"/>
        <w:spacing w:line="360" w:lineRule="auto"/>
        <w:ind w:firstLine="420" w:firstLineChars="200"/>
        <w:rPr>
          <w:rFonts w:ascii="宋体" w:hAnsi="宋体" w:cs="宋体"/>
          <w:szCs w:val="21"/>
        </w:rPr>
      </w:pPr>
      <w:r>
        <w:rPr>
          <w:rFonts w:hint="eastAsia" w:ascii="宋体" w:hAnsi="宋体" w:cs="宋体"/>
          <w:szCs w:val="21"/>
        </w:rPr>
        <w:t>甲方要求乙方必须为一般纳税人，在甲方付款前向乙方出具增值税专用发票。</w:t>
      </w:r>
    </w:p>
    <w:p>
      <w:pPr>
        <w:snapToGrid w:val="0"/>
        <w:spacing w:line="360" w:lineRule="auto"/>
        <w:rPr>
          <w:rFonts w:ascii="宋体" w:hAnsi="宋体" w:cs="宋体"/>
          <w:b/>
          <w:szCs w:val="21"/>
        </w:rPr>
      </w:pPr>
      <w:r>
        <w:rPr>
          <w:rFonts w:hint="eastAsia" w:ascii="宋体" w:hAnsi="宋体" w:cs="宋体"/>
          <w:b/>
          <w:szCs w:val="21"/>
        </w:rPr>
        <w:t>第九条：质量保证及售后服务</w:t>
      </w:r>
    </w:p>
    <w:p>
      <w:pPr>
        <w:numPr>
          <w:ilvl w:val="0"/>
          <w:numId w:val="6"/>
        </w:numPr>
        <w:adjustRightInd w:val="0"/>
        <w:snapToGrid w:val="0"/>
        <w:spacing w:line="360" w:lineRule="auto"/>
        <w:ind w:left="0" w:firstLine="420" w:firstLineChars="200"/>
        <w:rPr>
          <w:rFonts w:ascii="宋体" w:hAnsi="宋体" w:cs="宋体"/>
          <w:b/>
        </w:rPr>
      </w:pPr>
      <w:r>
        <w:rPr>
          <w:rFonts w:hint="eastAsia" w:ascii="宋体" w:hAnsi="宋体" w:cs="宋体"/>
        </w:rPr>
        <w:t>质量保质期：自甲方出售给丧户之日起6个月。</w:t>
      </w:r>
    </w:p>
    <w:p>
      <w:pPr>
        <w:numPr>
          <w:ilvl w:val="0"/>
          <w:numId w:val="6"/>
        </w:numPr>
        <w:adjustRightInd w:val="0"/>
        <w:snapToGrid w:val="0"/>
        <w:spacing w:line="360" w:lineRule="auto"/>
        <w:ind w:left="0" w:firstLine="420" w:firstLineChars="200"/>
        <w:rPr>
          <w:rFonts w:ascii="宋体" w:hAnsi="宋体" w:cs="宋体"/>
        </w:rPr>
      </w:pPr>
      <w:r>
        <w:rPr>
          <w:rFonts w:hint="eastAsia" w:ascii="宋体" w:hAnsi="宋体" w:cs="宋体"/>
        </w:rPr>
        <w:t>乙方应按招标文件规定的花圈性能、技术要求、质量标准保证在甲方馆内提供未经使用的全新的花圈。</w:t>
      </w:r>
    </w:p>
    <w:p>
      <w:pPr>
        <w:numPr>
          <w:ilvl w:val="0"/>
          <w:numId w:val="6"/>
        </w:numPr>
        <w:adjustRightInd w:val="0"/>
        <w:snapToGrid w:val="0"/>
        <w:spacing w:line="360" w:lineRule="auto"/>
        <w:ind w:left="0" w:firstLine="420" w:firstLineChars="200"/>
        <w:rPr>
          <w:rFonts w:ascii="宋体" w:hAnsi="宋体" w:cs="宋体"/>
        </w:rPr>
      </w:pPr>
      <w:r>
        <w:rPr>
          <w:rFonts w:hint="eastAsia" w:ascii="宋体" w:hAnsi="宋体" w:cs="宋体"/>
        </w:rPr>
        <w:t>乙方制作的花圈必须符合国家环保标准。</w:t>
      </w:r>
    </w:p>
    <w:p>
      <w:pPr>
        <w:adjustRightInd w:val="0"/>
        <w:snapToGrid w:val="0"/>
        <w:spacing w:line="360" w:lineRule="auto"/>
        <w:ind w:firstLine="420" w:firstLineChars="200"/>
        <w:rPr>
          <w:rFonts w:ascii="宋体" w:hAnsi="宋体" w:cs="宋体"/>
        </w:rPr>
      </w:pPr>
      <w:r>
        <w:rPr>
          <w:rFonts w:hint="eastAsia" w:ascii="宋体" w:hAnsi="宋体" w:cs="宋体"/>
        </w:rPr>
        <w:t>4、乙方提供的花圈在质保期内因花圈本身的质量问题，乙方应负责免费更换。</w:t>
      </w:r>
    </w:p>
    <w:p>
      <w:pPr>
        <w:adjustRightInd w:val="0"/>
        <w:snapToGrid w:val="0"/>
        <w:spacing w:line="360" w:lineRule="auto"/>
        <w:ind w:firstLine="420" w:firstLineChars="200"/>
        <w:rPr>
          <w:rFonts w:ascii="宋体" w:hAnsi="宋体" w:cs="宋体"/>
        </w:rPr>
      </w:pPr>
      <w:r>
        <w:rPr>
          <w:rFonts w:hint="eastAsia" w:ascii="宋体" w:hAnsi="宋体" w:cs="宋体"/>
        </w:rPr>
        <w:t>5、如丧户在使用过程中发生质量问题或甲方接到投诉，乙方在接到甲方通知后在</w:t>
      </w:r>
      <w:r>
        <w:rPr>
          <w:rFonts w:hint="eastAsia" w:ascii="宋体" w:hAnsi="宋体" w:cs="宋体"/>
          <w:u w:val="single"/>
        </w:rPr>
        <w:t xml:space="preserve"> 4 </w:t>
      </w:r>
      <w:r>
        <w:rPr>
          <w:rFonts w:hint="eastAsia" w:ascii="宋体" w:hAnsi="宋体" w:cs="宋体"/>
        </w:rPr>
        <w:t>小时内作出解决性响应。</w:t>
      </w:r>
    </w:p>
    <w:p>
      <w:pPr>
        <w:adjustRightInd w:val="0"/>
        <w:snapToGrid w:val="0"/>
        <w:spacing w:line="360" w:lineRule="auto"/>
        <w:ind w:firstLine="420" w:firstLineChars="200"/>
        <w:rPr>
          <w:rFonts w:ascii="宋体" w:hAnsi="宋体" w:cs="宋体"/>
        </w:rPr>
      </w:pPr>
      <w:r>
        <w:rPr>
          <w:rFonts w:hint="eastAsia" w:ascii="宋体" w:hAnsi="宋体" w:cs="宋体"/>
        </w:rPr>
        <w:t>6、 在质保期内，乙方应对花圈出现的质量及安全问题负责处理解决并承担一切费用。</w:t>
      </w:r>
    </w:p>
    <w:p>
      <w:pPr>
        <w:adjustRightInd w:val="0"/>
        <w:snapToGrid w:val="0"/>
        <w:spacing w:line="360" w:lineRule="auto"/>
        <w:ind w:firstLine="420" w:firstLineChars="200"/>
        <w:rPr>
          <w:rFonts w:ascii="宋体" w:hAnsi="宋体" w:cs="宋体"/>
          <w:szCs w:val="21"/>
        </w:rPr>
      </w:pPr>
      <w:r>
        <w:rPr>
          <w:rFonts w:hint="eastAsia" w:ascii="宋体" w:hAnsi="宋体" w:cs="宋体"/>
        </w:rPr>
        <w:t>7、乙方提供的花圈收到丧户的有效投诉的，</w:t>
      </w:r>
      <w:r>
        <w:rPr>
          <w:rFonts w:hint="eastAsia" w:ascii="宋体" w:hAnsi="宋体" w:cs="宋体"/>
          <w:szCs w:val="21"/>
        </w:rPr>
        <w:t>乙方按照涉及花圈销售价格五倍计算违约金支付给甲方，甲方在处理中所产生的一切费用均由乙方负责，并有乙方承担所有责任。</w:t>
      </w:r>
    </w:p>
    <w:p>
      <w:pPr>
        <w:snapToGrid w:val="0"/>
        <w:spacing w:line="360" w:lineRule="auto"/>
        <w:rPr>
          <w:rFonts w:ascii="宋体" w:hAnsi="宋体" w:cs="宋体"/>
          <w:b/>
          <w:szCs w:val="21"/>
        </w:rPr>
      </w:pPr>
      <w:r>
        <w:rPr>
          <w:rFonts w:hint="eastAsia" w:ascii="宋体" w:hAnsi="宋体" w:cs="宋体"/>
          <w:b/>
          <w:szCs w:val="21"/>
        </w:rPr>
        <w:t>第十条：验收</w:t>
      </w:r>
    </w:p>
    <w:p>
      <w:pPr>
        <w:spacing w:line="400" w:lineRule="exact"/>
        <w:ind w:firstLine="420"/>
        <w:rPr>
          <w:rFonts w:ascii="宋体" w:hAnsi="宋体" w:cs="宋体"/>
          <w:kern w:val="0"/>
          <w:szCs w:val="21"/>
        </w:rPr>
      </w:pPr>
      <w:r>
        <w:rPr>
          <w:rFonts w:hint="eastAsia" w:ascii="宋体" w:hAnsi="宋体" w:cs="宋体"/>
        </w:rPr>
        <w:t>甲方将定期或不定期对花圈进行检查，如甲方发现乙方交付的花圈与封存的样品不一致，</w:t>
      </w:r>
      <w:r>
        <w:rPr>
          <w:rFonts w:hint="eastAsia" w:ascii="宋体" w:hAnsi="宋体" w:cs="宋体"/>
          <w:szCs w:val="21"/>
        </w:rPr>
        <w:t>或花圈出现缺陷、瑕疵、没有按照招标文件要求供应的，甲方有权要求</w:t>
      </w:r>
      <w:r>
        <w:rPr>
          <w:rFonts w:hint="eastAsia" w:ascii="宋体" w:hAnsi="宋体" w:cs="宋体"/>
        </w:rPr>
        <w:t>更换</w:t>
      </w:r>
      <w:r>
        <w:rPr>
          <w:rFonts w:hint="eastAsia" w:ascii="宋体" w:hAnsi="宋体" w:cs="宋体"/>
          <w:szCs w:val="21"/>
        </w:rPr>
        <w:t>，所产生的一切费用由乙方支付，且乙方每次支付甲方2000元违约金，从履约保证金中扣除。如出现3次及以上该情况，甲方有权解除合同。</w:t>
      </w:r>
      <w:r>
        <w:rPr>
          <w:rFonts w:hint="eastAsia" w:ascii="宋体" w:hAnsi="宋体" w:cs="宋体"/>
          <w:kern w:val="0"/>
          <w:szCs w:val="21"/>
        </w:rPr>
        <w:t>如需对花圈进行破坏性试验或第三方检测，所产生的一切费用由乙方支付。</w:t>
      </w:r>
    </w:p>
    <w:p>
      <w:pPr>
        <w:snapToGrid w:val="0"/>
        <w:spacing w:line="360" w:lineRule="auto"/>
        <w:rPr>
          <w:rFonts w:ascii="宋体" w:hAnsi="宋体" w:cs="宋体"/>
          <w:b/>
          <w:szCs w:val="21"/>
        </w:rPr>
      </w:pPr>
      <w:r>
        <w:rPr>
          <w:rFonts w:hint="eastAsia" w:ascii="宋体" w:hAnsi="宋体" w:cs="宋体"/>
          <w:b/>
          <w:szCs w:val="21"/>
        </w:rPr>
        <w:t>第十一条：花圈（含涉外棺）包装、发运及运输</w:t>
      </w:r>
    </w:p>
    <w:p>
      <w:pPr>
        <w:adjustRightInd w:val="0"/>
        <w:snapToGrid w:val="0"/>
        <w:spacing w:line="360" w:lineRule="auto"/>
        <w:ind w:firstLine="420" w:firstLineChars="200"/>
        <w:rPr>
          <w:rFonts w:ascii="宋体" w:hAnsi="宋体" w:cs="宋体"/>
        </w:rPr>
      </w:pPr>
      <w:r>
        <w:rPr>
          <w:rFonts w:hint="eastAsia" w:ascii="宋体" w:hAnsi="宋体" w:cs="宋体"/>
          <w:szCs w:val="21"/>
        </w:rPr>
        <w:t>1、</w:t>
      </w:r>
      <w:r>
        <w:rPr>
          <w:rFonts w:hint="eastAsia" w:ascii="宋体" w:hAnsi="宋体" w:cs="宋体"/>
        </w:rPr>
        <w:t>乙方应在花圈发运前对其进行满足运输距离、防潮、防震和防破损装卸等要求包装，以保证花圈安全运达仓库指定地点。</w:t>
      </w:r>
    </w:p>
    <w:p>
      <w:pPr>
        <w:adjustRightInd w:val="0"/>
        <w:snapToGrid w:val="0"/>
        <w:spacing w:line="360" w:lineRule="auto"/>
        <w:ind w:firstLine="420" w:firstLineChars="200"/>
        <w:rPr>
          <w:rFonts w:ascii="宋体" w:hAnsi="宋体" w:cs="宋体"/>
          <w:szCs w:val="21"/>
        </w:rPr>
      </w:pPr>
      <w:r>
        <w:rPr>
          <w:rFonts w:hint="eastAsia" w:ascii="宋体" w:hAnsi="宋体" w:cs="宋体"/>
          <w:kern w:val="0"/>
          <w:szCs w:val="21"/>
        </w:rPr>
        <w:t>2、每款花圈须提供铭牌（合格证、产品说明、质量三包卡）</w:t>
      </w:r>
      <w:r>
        <w:rPr>
          <w:rFonts w:hint="eastAsia" w:ascii="宋体" w:hAnsi="宋体" w:cs="宋体"/>
        </w:rPr>
        <w:t>附于花圈上。</w:t>
      </w:r>
    </w:p>
    <w:p>
      <w:pPr>
        <w:snapToGrid w:val="0"/>
        <w:spacing w:line="360" w:lineRule="auto"/>
        <w:rPr>
          <w:rFonts w:ascii="宋体" w:hAnsi="宋体" w:cs="宋体"/>
          <w:b/>
          <w:szCs w:val="21"/>
        </w:rPr>
      </w:pPr>
      <w:r>
        <w:rPr>
          <w:rFonts w:hint="eastAsia" w:ascii="宋体" w:hAnsi="宋体" w:cs="宋体"/>
          <w:b/>
          <w:szCs w:val="21"/>
        </w:rPr>
        <w:t>第十二条：违约责任</w:t>
      </w:r>
    </w:p>
    <w:p>
      <w:pPr>
        <w:adjustRightInd w:val="0"/>
        <w:snapToGrid w:val="0"/>
        <w:spacing w:line="360" w:lineRule="auto"/>
        <w:ind w:firstLine="420" w:firstLineChars="200"/>
        <w:outlineLvl w:val="0"/>
        <w:rPr>
          <w:rFonts w:ascii="宋体" w:hAnsi="宋体" w:cs="宋体"/>
        </w:rPr>
      </w:pPr>
      <w:r>
        <w:rPr>
          <w:rFonts w:hint="eastAsia" w:ascii="宋体" w:hAnsi="宋体" w:cs="宋体"/>
          <w:szCs w:val="21"/>
        </w:rPr>
        <w:t>1、</w:t>
      </w:r>
      <w:r>
        <w:rPr>
          <w:rFonts w:hint="eastAsia" w:ascii="宋体" w:hAnsi="宋体" w:cs="宋体"/>
        </w:rPr>
        <w:t>乙方没有按照甲方要求送达花圈，或因库存不足导致不能及时供货，</w:t>
      </w:r>
      <w:r>
        <w:rPr>
          <w:rFonts w:hint="eastAsia" w:ascii="宋体" w:hAnsi="宋体" w:cs="宋体"/>
          <w:szCs w:val="21"/>
        </w:rPr>
        <w:t>乙方应按未及时供货花圈总量销售价款的3</w:t>
      </w:r>
      <w:r>
        <w:rPr>
          <w:rFonts w:ascii="宋体" w:hAnsi="宋体" w:cs="宋体"/>
          <w:szCs w:val="21"/>
        </w:rPr>
        <w:t>0%</w:t>
      </w:r>
      <w:r>
        <w:rPr>
          <w:rFonts w:hint="eastAsia" w:ascii="宋体" w:hAnsi="宋体" w:cs="宋体"/>
          <w:szCs w:val="21"/>
        </w:rPr>
        <w:t>计算违约金</w:t>
      </w:r>
      <w:r>
        <w:rPr>
          <w:rFonts w:hint="eastAsia" w:ascii="宋体" w:hAnsi="宋体" w:cs="宋体"/>
        </w:rPr>
        <w:t>支付给甲方。再次发生的，甲方可以解除本合同。甲方在处理后续工作中所产生的一切费用，均由乙方支付给甲方。</w:t>
      </w:r>
    </w:p>
    <w:p>
      <w:pPr>
        <w:adjustRightInd w:val="0"/>
        <w:snapToGrid w:val="0"/>
        <w:spacing w:line="360" w:lineRule="auto"/>
        <w:ind w:firstLine="420" w:firstLineChars="200"/>
        <w:outlineLvl w:val="0"/>
        <w:rPr>
          <w:rFonts w:ascii="宋体" w:hAnsi="宋体" w:cs="宋体"/>
          <w:szCs w:val="21"/>
        </w:rPr>
      </w:pPr>
      <w:r>
        <w:rPr>
          <w:rFonts w:hint="eastAsia" w:ascii="宋体" w:hAnsi="宋体" w:cs="宋体"/>
        </w:rPr>
        <w:t>2、乙方在服务期满前或者本合同解除后三日内</w:t>
      </w:r>
      <w:r>
        <w:rPr>
          <w:rFonts w:hint="eastAsia" w:ascii="宋体" w:hAnsi="宋体" w:cs="宋体"/>
          <w:b/>
        </w:rPr>
        <w:t>，</w:t>
      </w:r>
      <w:r>
        <w:rPr>
          <w:rFonts w:hint="eastAsia" w:ascii="宋体" w:hAnsi="宋体" w:cs="宋体"/>
        </w:rPr>
        <w:t>应做好甲方仓库内的清仓工作。如在限定期限内未清理所有花圈的，甲方有权按照无主处理乙方在甲方仓库内的所有花圈，</w:t>
      </w:r>
      <w:r>
        <w:rPr>
          <w:rFonts w:hint="eastAsia" w:ascii="宋体" w:hAnsi="宋体" w:cs="宋体"/>
          <w:szCs w:val="21"/>
        </w:rPr>
        <w:t>所产生费用由乙方承担。</w:t>
      </w:r>
    </w:p>
    <w:p>
      <w:pPr>
        <w:adjustRightInd w:val="0"/>
        <w:snapToGrid w:val="0"/>
        <w:spacing w:line="360" w:lineRule="auto"/>
        <w:ind w:firstLine="420" w:firstLineChars="200"/>
        <w:outlineLvl w:val="0"/>
        <w:rPr>
          <w:rFonts w:ascii="宋体" w:hAnsi="宋体" w:cs="宋体"/>
        </w:rPr>
      </w:pPr>
      <w:r>
        <w:rPr>
          <w:rFonts w:hint="eastAsia" w:ascii="宋体" w:hAnsi="宋体" w:cs="宋体"/>
        </w:rPr>
        <w:t>3、乙方制作的花圈必须符合国家环保标准，违反约定造成甲方员工身体伤害的，乙方应承担相应的经济赔偿，立即更换符合环保标准要求的。如涉及到第三方检测、所产生的实际费用由乙方支付。</w:t>
      </w:r>
    </w:p>
    <w:p>
      <w:pPr>
        <w:adjustRightInd w:val="0"/>
        <w:snapToGrid w:val="0"/>
        <w:spacing w:line="360" w:lineRule="auto"/>
        <w:ind w:firstLine="420" w:firstLineChars="200"/>
        <w:outlineLvl w:val="0"/>
        <w:rPr>
          <w:rFonts w:ascii="宋体" w:hAnsi="宋体" w:cs="宋体"/>
        </w:rPr>
      </w:pPr>
      <w:r>
        <w:rPr>
          <w:rFonts w:hint="eastAsia" w:ascii="宋体" w:hAnsi="宋体" w:cs="宋体"/>
        </w:rPr>
        <w:t>4、乙方未能达到规定要求，发生质量问题由新闻媒体、社会团体、上级领导等介入，造成恶劣社会影响，或在服务中发生虚报数量等诚信问题的，甲方有权解除合同。在处理后续工作中所产生的费用，由乙方承担。</w:t>
      </w:r>
    </w:p>
    <w:p>
      <w:pPr>
        <w:adjustRightInd w:val="0"/>
        <w:snapToGrid w:val="0"/>
        <w:spacing w:line="360" w:lineRule="auto"/>
        <w:ind w:firstLine="420" w:firstLineChars="200"/>
        <w:outlineLvl w:val="0"/>
        <w:rPr>
          <w:rFonts w:ascii="宋体" w:hAnsi="宋体" w:cs="宋体"/>
          <w:bCs/>
        </w:rPr>
      </w:pPr>
      <w:r>
        <w:rPr>
          <w:rFonts w:ascii="宋体" w:hAnsi="宋体" w:cs="宋体"/>
          <w:bCs/>
        </w:rPr>
        <w:t>5</w:t>
      </w:r>
      <w:r>
        <w:rPr>
          <w:rFonts w:hint="eastAsia" w:ascii="宋体" w:hAnsi="宋体" w:cs="宋体"/>
          <w:bCs/>
        </w:rPr>
        <w:t>、乙方将在杭州殡仪馆销售的花圈在网络平台销售，或者在实体店销售、赠与或以其他任何形式转让给第三方的，甲方可以解除本合同。</w:t>
      </w:r>
    </w:p>
    <w:p>
      <w:pPr>
        <w:adjustRightInd w:val="0"/>
        <w:snapToGrid w:val="0"/>
        <w:spacing w:line="360" w:lineRule="auto"/>
        <w:ind w:firstLine="420" w:firstLineChars="200"/>
        <w:outlineLvl w:val="0"/>
        <w:rPr>
          <w:rFonts w:ascii="宋体" w:hAnsi="宋体" w:cs="宋体"/>
          <w:bCs/>
        </w:rPr>
      </w:pPr>
      <w:r>
        <w:rPr>
          <w:rFonts w:hint="eastAsia" w:ascii="宋体" w:hAnsi="宋体" w:cs="宋体"/>
          <w:bCs/>
        </w:rPr>
        <w:t>6、除本合同另有约定外，甲方因乙方违反本合同约定或者法律规定解除本合同的，履约保证金作为违约金支付给甲方。</w:t>
      </w:r>
    </w:p>
    <w:p>
      <w:pPr>
        <w:pStyle w:val="2"/>
        <w:ind w:left="0" w:leftChars="0" w:firstLineChars="200"/>
        <w:rPr>
          <w:rFonts w:hint="eastAsia"/>
          <w:color w:val="FF0000"/>
        </w:rPr>
      </w:pPr>
      <w:r>
        <w:rPr>
          <w:color w:val="FF0000"/>
        </w:rPr>
        <w:t>7</w:t>
      </w:r>
      <w:r>
        <w:rPr>
          <w:rFonts w:hint="eastAsia"/>
          <w:color w:val="FF0000"/>
        </w:rPr>
        <w:t>、如乙方违约的，应承担甲方主张权利发生的律师费、诉讼财产保全费等诉讼费用。</w:t>
      </w:r>
    </w:p>
    <w:p>
      <w:pPr>
        <w:snapToGrid w:val="0"/>
        <w:spacing w:line="360" w:lineRule="auto"/>
        <w:rPr>
          <w:rFonts w:ascii="宋体" w:hAnsi="宋体" w:cs="宋体"/>
          <w:b/>
          <w:szCs w:val="21"/>
        </w:rPr>
      </w:pPr>
      <w:r>
        <w:rPr>
          <w:rFonts w:hint="eastAsia" w:ascii="宋体" w:hAnsi="宋体" w:cs="宋体"/>
          <w:b/>
          <w:szCs w:val="21"/>
        </w:rPr>
        <w:t>第十三条：不可抗力事件处理</w:t>
      </w:r>
    </w:p>
    <w:p>
      <w:pPr>
        <w:snapToGrid w:val="0"/>
        <w:spacing w:line="360" w:lineRule="auto"/>
        <w:ind w:firstLine="420" w:firstLineChars="200"/>
        <w:rPr>
          <w:rFonts w:ascii="宋体" w:hAnsi="宋体" w:cs="宋体"/>
          <w:szCs w:val="21"/>
        </w:rPr>
      </w:pPr>
      <w:r>
        <w:rPr>
          <w:rFonts w:hint="eastAsia" w:ascii="宋体" w:hAnsi="宋体" w:cs="宋体"/>
          <w:szCs w:val="21"/>
        </w:rPr>
        <w:t>1、在合同有效期内，任何一方因不可抗力事件导致不能履行合同，则合同履行期可延长，其延长期与不可抗力影响期相同。</w:t>
      </w:r>
    </w:p>
    <w:p>
      <w:pPr>
        <w:snapToGrid w:val="0"/>
        <w:spacing w:line="360" w:lineRule="auto"/>
        <w:ind w:firstLine="420" w:firstLineChars="200"/>
        <w:rPr>
          <w:rFonts w:ascii="宋体" w:hAnsi="宋体" w:cs="宋体"/>
          <w:szCs w:val="21"/>
        </w:rPr>
      </w:pPr>
      <w:r>
        <w:rPr>
          <w:rFonts w:hint="eastAsia" w:ascii="宋体" w:hAnsi="宋体" w:cs="宋体"/>
          <w:szCs w:val="21"/>
        </w:rPr>
        <w:t>2、不可抗力事件发生后，应立即通知对方，并寄送有关权威机构出具的证明。</w:t>
      </w:r>
    </w:p>
    <w:p>
      <w:pPr>
        <w:snapToGrid w:val="0"/>
        <w:spacing w:line="360" w:lineRule="auto"/>
        <w:ind w:firstLine="420" w:firstLineChars="200"/>
        <w:rPr>
          <w:rFonts w:ascii="宋体" w:hAnsi="宋体" w:cs="宋体"/>
          <w:szCs w:val="21"/>
        </w:rPr>
      </w:pPr>
      <w:r>
        <w:rPr>
          <w:rFonts w:hint="eastAsia" w:ascii="宋体" w:hAnsi="宋体" w:cs="宋体"/>
          <w:szCs w:val="21"/>
        </w:rPr>
        <w:t>3、不可抗力事件延续120天以上，双方应通过友好协商，确定是否继续履行合同。</w:t>
      </w:r>
    </w:p>
    <w:p>
      <w:pPr>
        <w:snapToGrid w:val="0"/>
        <w:spacing w:line="360" w:lineRule="auto"/>
        <w:rPr>
          <w:rFonts w:ascii="宋体" w:hAnsi="宋体" w:cs="宋体"/>
          <w:b/>
          <w:szCs w:val="21"/>
        </w:rPr>
      </w:pPr>
      <w:r>
        <w:rPr>
          <w:rFonts w:hint="eastAsia" w:ascii="宋体" w:hAnsi="宋体" w:cs="宋体"/>
          <w:b/>
          <w:szCs w:val="21"/>
        </w:rPr>
        <w:t>第十四条：诉讼</w:t>
      </w:r>
    </w:p>
    <w:p>
      <w:pPr>
        <w:snapToGrid w:val="0"/>
        <w:spacing w:line="360" w:lineRule="auto"/>
        <w:ind w:firstLine="420" w:firstLineChars="200"/>
        <w:rPr>
          <w:rFonts w:ascii="宋体" w:hAnsi="宋体" w:cs="宋体"/>
          <w:szCs w:val="21"/>
        </w:rPr>
      </w:pPr>
      <w:r>
        <w:rPr>
          <w:rFonts w:hint="eastAsia" w:ascii="宋体" w:hAnsi="宋体" w:cs="宋体"/>
          <w:szCs w:val="21"/>
        </w:rPr>
        <w:t>双方在执行合同中所发生的一切争议，应通过协商解决。如协商不成，可向甲方所在地法院起诉。</w:t>
      </w:r>
    </w:p>
    <w:p>
      <w:pPr>
        <w:snapToGrid w:val="0"/>
        <w:spacing w:line="360" w:lineRule="auto"/>
        <w:rPr>
          <w:rFonts w:ascii="宋体" w:hAnsi="宋体" w:cs="宋体"/>
          <w:b/>
          <w:szCs w:val="21"/>
        </w:rPr>
      </w:pPr>
      <w:r>
        <w:rPr>
          <w:rFonts w:hint="eastAsia" w:ascii="宋体" w:hAnsi="宋体" w:cs="宋体"/>
          <w:b/>
          <w:szCs w:val="21"/>
        </w:rPr>
        <w:t>第十五条：合同生效及其它</w:t>
      </w:r>
    </w:p>
    <w:p>
      <w:pPr>
        <w:snapToGrid w:val="0"/>
        <w:spacing w:line="360" w:lineRule="auto"/>
        <w:ind w:firstLine="420" w:firstLineChars="200"/>
        <w:rPr>
          <w:rFonts w:ascii="宋体" w:hAnsi="宋体" w:cs="宋体"/>
          <w:szCs w:val="21"/>
        </w:rPr>
      </w:pPr>
      <w:r>
        <w:rPr>
          <w:rFonts w:hint="eastAsia" w:ascii="宋体" w:hAnsi="宋体" w:cs="宋体"/>
          <w:szCs w:val="21"/>
        </w:rPr>
        <w:t>1、合同经双方法定代表人或授权代表签字并加盖单位公章，在财政部门备案后生效。</w:t>
      </w:r>
    </w:p>
    <w:p>
      <w:pPr>
        <w:snapToGrid w:val="0"/>
        <w:spacing w:line="360" w:lineRule="auto"/>
        <w:ind w:firstLine="420" w:firstLineChars="200"/>
        <w:rPr>
          <w:rFonts w:ascii="宋体" w:hAnsi="宋体" w:cs="宋体"/>
          <w:szCs w:val="21"/>
        </w:rPr>
      </w:pPr>
      <w:r>
        <w:rPr>
          <w:rFonts w:hint="eastAsia" w:ascii="宋体" w:hAnsi="宋体" w:cs="宋体"/>
          <w:szCs w:val="21"/>
        </w:rPr>
        <w:t>2、合同执行中涉及采购资金和采购内容修改或补充的签书面补充协议，方可作为主合同不可分割的一部分。</w:t>
      </w:r>
    </w:p>
    <w:p>
      <w:pPr>
        <w:snapToGrid w:val="0"/>
        <w:spacing w:line="360" w:lineRule="auto"/>
        <w:ind w:firstLine="420" w:firstLineChars="200"/>
        <w:rPr>
          <w:rFonts w:ascii="宋体" w:hAnsi="宋体" w:cs="宋体"/>
          <w:szCs w:val="21"/>
        </w:rPr>
      </w:pPr>
      <w:r>
        <w:rPr>
          <w:rFonts w:hint="eastAsia" w:ascii="宋体" w:hAnsi="宋体" w:cs="宋体"/>
          <w:szCs w:val="21"/>
        </w:rPr>
        <w:t>3、本合同首部列明的地址、联系人、联系电话作为各自的送达地址，与本合同有关的文件以快递方式寄送至送达地址的，自寄出满三日视为送达。若发生诉讼的，人民法院可以根据该送达地址寄送法律文件。</w:t>
      </w:r>
    </w:p>
    <w:p>
      <w:pPr>
        <w:snapToGrid w:val="0"/>
        <w:spacing w:line="360" w:lineRule="auto"/>
        <w:ind w:firstLine="420" w:firstLineChars="200"/>
        <w:rPr>
          <w:rFonts w:ascii="宋体" w:hAnsi="宋体" w:cs="宋体"/>
          <w:bCs/>
          <w:szCs w:val="21"/>
        </w:rPr>
      </w:pPr>
      <w:r>
        <w:rPr>
          <w:rFonts w:hint="eastAsia" w:ascii="宋体" w:hAnsi="宋体" w:cs="宋体"/>
          <w:szCs w:val="21"/>
        </w:rPr>
        <w:t>4、本合同未尽事宜，</w:t>
      </w:r>
      <w:r>
        <w:rPr>
          <w:rFonts w:hint="eastAsia" w:ascii="宋体" w:hAnsi="宋体" w:cs="宋体"/>
          <w:bCs/>
          <w:szCs w:val="21"/>
        </w:rPr>
        <w:t>按</w:t>
      </w:r>
      <w:r>
        <w:rPr>
          <w:rFonts w:hint="eastAsia" w:ascii="宋体" w:hAnsi="宋体" w:cs="宋体"/>
          <w:szCs w:val="21"/>
        </w:rPr>
        <w:t>《中华人民共和国民法典》有关条文、</w:t>
      </w:r>
      <w:r>
        <w:rPr>
          <w:rFonts w:hint="eastAsia" w:ascii="宋体" w:hAnsi="宋体" w:cs="宋体"/>
          <w:bCs/>
          <w:szCs w:val="21"/>
        </w:rPr>
        <w:t>本项目招标文件有关规定和乙方投标文件的有关承诺执行，若本合同与招标文件有冲突的，则由甲方选择适用。</w:t>
      </w:r>
    </w:p>
    <w:p>
      <w:pPr>
        <w:snapToGrid w:val="0"/>
        <w:spacing w:line="360" w:lineRule="auto"/>
        <w:ind w:firstLine="420"/>
        <w:rPr>
          <w:rFonts w:ascii="宋体" w:hAnsi="宋体" w:cs="宋体"/>
          <w:szCs w:val="21"/>
        </w:rPr>
      </w:pPr>
      <w:r>
        <w:rPr>
          <w:rFonts w:hint="eastAsia" w:ascii="宋体" w:hAnsi="宋体" w:cs="宋体"/>
          <w:bCs/>
          <w:szCs w:val="21"/>
        </w:rPr>
        <w:t>5、甲方因相关政策变化或者其他原因，提前30天通知乙方，可以终止采购合同。</w:t>
      </w:r>
    </w:p>
    <w:p>
      <w:pPr>
        <w:snapToGrid w:val="0"/>
        <w:spacing w:line="360" w:lineRule="auto"/>
        <w:ind w:firstLine="420" w:firstLineChars="200"/>
        <w:rPr>
          <w:rFonts w:ascii="宋体" w:hAnsi="宋体" w:cs="宋体"/>
          <w:szCs w:val="21"/>
        </w:rPr>
      </w:pPr>
      <w:r>
        <w:rPr>
          <w:rFonts w:hint="eastAsia" w:ascii="宋体" w:hAnsi="宋体" w:cs="宋体"/>
          <w:szCs w:val="21"/>
        </w:rPr>
        <w:t>6、本合同一式伍份，具有同等法律效力，甲乙双方各执贰份，</w:t>
      </w:r>
      <w:r>
        <w:rPr>
          <w:rFonts w:hint="eastAsia" w:ascii="宋体" w:hAnsi="宋体" w:cs="宋体"/>
          <w:snapToGrid w:val="0"/>
        </w:rPr>
        <w:t>鉴证方执壹份。</w:t>
      </w:r>
    </w:p>
    <w:p>
      <w:pPr>
        <w:snapToGrid w:val="0"/>
        <w:spacing w:line="360" w:lineRule="auto"/>
        <w:ind w:firstLine="420" w:firstLineChars="200"/>
        <w:rPr>
          <w:rFonts w:ascii="宋体" w:hAnsi="宋体" w:cs="宋体"/>
          <w:szCs w:val="21"/>
        </w:rPr>
      </w:pPr>
      <w:r>
        <w:rPr>
          <w:rFonts w:hint="eastAsia" w:ascii="宋体" w:hAnsi="宋体" w:cs="宋体"/>
          <w:szCs w:val="21"/>
        </w:rPr>
        <w:t>（以下无正文）</w:t>
      </w:r>
    </w:p>
    <w:p>
      <w:pPr>
        <w:snapToGrid w:val="0"/>
        <w:spacing w:line="360" w:lineRule="auto"/>
        <w:ind w:firstLine="420" w:firstLineChars="200"/>
        <w:rPr>
          <w:rFonts w:ascii="宋体" w:hAnsi="宋体" w:cs="宋体"/>
          <w:szCs w:val="21"/>
        </w:rPr>
      </w:pPr>
      <w:r>
        <w:rPr>
          <w:rFonts w:hint="eastAsia" w:ascii="宋体" w:hAnsi="宋体" w:cs="宋体"/>
          <w:szCs w:val="21"/>
        </w:rPr>
        <w:t xml:space="preserve">甲方：                                   乙方： </w:t>
      </w:r>
    </w:p>
    <w:p>
      <w:pPr>
        <w:snapToGrid w:val="0"/>
        <w:spacing w:line="360" w:lineRule="auto"/>
        <w:ind w:firstLine="420" w:firstLineChars="200"/>
        <w:rPr>
          <w:rFonts w:ascii="宋体" w:hAnsi="宋体" w:cs="宋体"/>
          <w:szCs w:val="21"/>
        </w:rPr>
      </w:pPr>
      <w:r>
        <w:rPr>
          <w:rFonts w:hint="eastAsia" w:ascii="宋体" w:hAnsi="宋体" w:cs="宋体"/>
          <w:szCs w:val="21"/>
        </w:rPr>
        <w:t>法定（授权）代表人：                     法定（授权）代表人：</w:t>
      </w:r>
    </w:p>
    <w:p>
      <w:pPr>
        <w:tabs>
          <w:tab w:val="left" w:pos="1260"/>
          <w:tab w:val="left" w:pos="1800"/>
        </w:tabs>
        <w:snapToGrid w:val="0"/>
        <w:spacing w:line="360" w:lineRule="auto"/>
        <w:ind w:firstLine="420" w:firstLineChars="200"/>
        <w:rPr>
          <w:rFonts w:ascii="宋体" w:hAnsi="宋体" w:cs="宋体"/>
          <w:szCs w:val="21"/>
        </w:rPr>
      </w:pPr>
      <w:r>
        <w:rPr>
          <w:rFonts w:hint="eastAsia" w:ascii="宋体" w:hAnsi="宋体" w:cs="宋体"/>
          <w:szCs w:val="21"/>
        </w:rPr>
        <w:t>签字日期：      年  月  日               签字日期：      年  月  日</w:t>
      </w:r>
    </w:p>
    <w:p>
      <w:pPr>
        <w:tabs>
          <w:tab w:val="left" w:pos="1260"/>
          <w:tab w:val="left" w:pos="1800"/>
        </w:tabs>
        <w:snapToGrid w:val="0"/>
        <w:spacing w:line="360" w:lineRule="auto"/>
        <w:rPr>
          <w:rFonts w:ascii="宋体" w:hAnsi="宋体" w:cs="宋体"/>
          <w:szCs w:val="21"/>
        </w:rPr>
      </w:pPr>
    </w:p>
    <w:p>
      <w:pPr>
        <w:snapToGrid w:val="0"/>
        <w:spacing w:line="360" w:lineRule="auto"/>
        <w:ind w:firstLine="420"/>
        <w:rPr>
          <w:rFonts w:ascii="宋体" w:hAnsi="宋体" w:cs="宋体"/>
        </w:rPr>
      </w:pPr>
      <w:r>
        <w:rPr>
          <w:rFonts w:hint="eastAsia" w:ascii="宋体" w:hAnsi="宋体" w:cs="宋体"/>
        </w:rPr>
        <w:t>鉴证方：</w:t>
      </w:r>
    </w:p>
    <w:p>
      <w:pPr>
        <w:snapToGrid w:val="0"/>
        <w:spacing w:line="360" w:lineRule="auto"/>
        <w:ind w:firstLine="420"/>
        <w:rPr>
          <w:rFonts w:ascii="宋体" w:hAnsi="宋体" w:cs="宋体"/>
        </w:rPr>
      </w:pPr>
      <w:r>
        <w:rPr>
          <w:rFonts w:hint="eastAsia" w:ascii="宋体" w:hAnsi="宋体" w:cs="宋体"/>
        </w:rPr>
        <w:t xml:space="preserve">法定（授权）代表人：                    </w:t>
      </w:r>
    </w:p>
    <w:p>
      <w:pPr>
        <w:adjustRightInd w:val="0"/>
        <w:snapToGrid w:val="0"/>
        <w:spacing w:line="360" w:lineRule="auto"/>
        <w:ind w:firstLine="420" w:firstLineChars="200"/>
        <w:rPr>
          <w:rFonts w:ascii="宋体" w:hAnsi="宋体" w:cs="宋体"/>
          <w:szCs w:val="21"/>
        </w:rPr>
      </w:pPr>
      <w:r>
        <w:rPr>
          <w:rFonts w:hint="eastAsia" w:ascii="宋体" w:hAnsi="宋体" w:cs="宋体"/>
        </w:rPr>
        <w:t>签字日期：      年  月  日</w:t>
      </w:r>
    </w:p>
    <w:p>
      <w:pPr>
        <w:snapToGrid w:val="0"/>
        <w:spacing w:line="300" w:lineRule="auto"/>
        <w:rPr>
          <w:rFonts w:ascii="宋体" w:hAnsi="宋体" w:cs="宋体"/>
          <w:b/>
        </w:rPr>
      </w:pPr>
      <w:r>
        <w:rPr>
          <w:rFonts w:hint="eastAsia" w:ascii="宋体" w:hAnsi="宋体" w:cs="宋体"/>
          <w:szCs w:val="21"/>
        </w:rPr>
        <w:br w:type="page"/>
      </w:r>
    </w:p>
    <w:p>
      <w:pPr>
        <w:pStyle w:val="4"/>
        <w:snapToGrid w:val="0"/>
        <w:rPr>
          <w:rFonts w:ascii="宋体" w:hAnsi="宋体" w:eastAsia="宋体" w:cs="宋体"/>
          <w:color w:val="auto"/>
        </w:rPr>
      </w:pPr>
      <w:bookmarkStart w:id="91" w:name="_Toc516132587"/>
      <w:r>
        <w:rPr>
          <w:rFonts w:hint="eastAsia" w:ascii="宋体" w:hAnsi="宋体" w:eastAsia="宋体" w:cs="宋体"/>
          <w:color w:val="auto"/>
        </w:rPr>
        <w:t>第六章  评标办法</w:t>
      </w:r>
      <w:bookmarkEnd w:id="91"/>
    </w:p>
    <w:p>
      <w:pPr>
        <w:adjustRightInd w:val="0"/>
        <w:snapToGrid w:val="0"/>
        <w:spacing w:line="360" w:lineRule="auto"/>
        <w:ind w:firstLine="420" w:firstLineChars="200"/>
        <w:rPr>
          <w:rFonts w:ascii="宋体" w:hAnsi="宋体" w:cs="宋体"/>
        </w:rPr>
      </w:pPr>
      <w:r>
        <w:rPr>
          <w:rFonts w:hint="eastAsia" w:ascii="宋体" w:hAnsi="宋体" w:cs="宋体"/>
        </w:rPr>
        <w:t>本评标办法遵照《中华人民共和国政府采购法》等政府采购有关规定，并结合本项目的具体情况制定。</w:t>
      </w:r>
    </w:p>
    <w:p>
      <w:pPr>
        <w:adjustRightInd w:val="0"/>
        <w:snapToGrid w:val="0"/>
        <w:spacing w:line="360" w:lineRule="auto"/>
        <w:ind w:firstLine="422" w:firstLineChars="200"/>
        <w:rPr>
          <w:rFonts w:ascii="宋体" w:hAnsi="宋体" w:cs="宋体"/>
          <w:b/>
          <w:bCs/>
        </w:rPr>
      </w:pPr>
      <w:r>
        <w:rPr>
          <w:rFonts w:hint="eastAsia" w:ascii="宋体" w:hAnsi="宋体" w:cs="宋体"/>
          <w:b/>
          <w:bCs/>
        </w:rPr>
        <w:t>一、总则</w:t>
      </w:r>
    </w:p>
    <w:p>
      <w:pPr>
        <w:snapToGrid w:val="0"/>
        <w:spacing w:line="360" w:lineRule="auto"/>
        <w:ind w:firstLine="420" w:firstLineChars="200"/>
        <w:rPr>
          <w:rFonts w:ascii="宋体" w:hAnsi="宋体" w:cs="宋体"/>
        </w:rPr>
      </w:pPr>
      <w:r>
        <w:rPr>
          <w:rFonts w:hint="eastAsia" w:ascii="宋体" w:hAnsi="宋体" w:cs="宋体"/>
        </w:rPr>
        <w:t>评标工作遵循公正、公平、科学、择优的原则，评标人员将本着认真、公正、诚实、廉洁的精神，进行评标工作，择优推荐中标候选人。在评标期间，评标委员及相关工作人员必须严格遵守保密规定，不得泄露评标的有关情况。</w:t>
      </w:r>
    </w:p>
    <w:p>
      <w:pPr>
        <w:snapToGrid w:val="0"/>
        <w:spacing w:line="360" w:lineRule="auto"/>
        <w:ind w:firstLine="420" w:firstLineChars="200"/>
        <w:rPr>
          <w:rFonts w:ascii="宋体" w:hAnsi="宋体" w:cs="宋体"/>
        </w:rPr>
      </w:pPr>
      <w:r>
        <w:rPr>
          <w:rFonts w:hint="eastAsia" w:ascii="宋体" w:hAnsi="宋体" w:cs="宋体"/>
        </w:rPr>
        <w:t>对未中标人，评标委员会不作任何落标解释。</w:t>
      </w:r>
    </w:p>
    <w:p>
      <w:pPr>
        <w:snapToGrid w:val="0"/>
        <w:spacing w:line="360" w:lineRule="auto"/>
        <w:ind w:firstLine="420" w:firstLineChars="200"/>
        <w:rPr>
          <w:rFonts w:ascii="宋体" w:hAnsi="宋体" w:cs="宋体"/>
        </w:rPr>
      </w:pPr>
      <w:r>
        <w:rPr>
          <w:rFonts w:hint="eastAsia" w:ascii="宋体" w:hAnsi="宋体" w:cs="宋体"/>
        </w:rPr>
        <w:t>评标委员会成员对需要共同认定的事项存在争议的，应当按照少数服从多数的原则作出结论。持不同意见的评标委员会成员应当在评标报告上签署不同意见及理由，否则视为同意评标报告。</w:t>
      </w:r>
    </w:p>
    <w:p>
      <w:pPr>
        <w:adjustRightInd w:val="0"/>
        <w:snapToGrid w:val="0"/>
        <w:spacing w:line="360" w:lineRule="auto"/>
        <w:ind w:firstLine="422" w:firstLineChars="200"/>
        <w:rPr>
          <w:rFonts w:ascii="宋体" w:hAnsi="宋体" w:cs="宋体"/>
          <w:b/>
          <w:bCs/>
        </w:rPr>
      </w:pPr>
      <w:r>
        <w:rPr>
          <w:rFonts w:hint="eastAsia" w:ascii="宋体" w:hAnsi="宋体" w:cs="宋体"/>
          <w:b/>
          <w:bCs/>
        </w:rPr>
        <w:t>二、评标组织</w:t>
      </w:r>
    </w:p>
    <w:p>
      <w:pPr>
        <w:snapToGrid w:val="0"/>
        <w:spacing w:line="360" w:lineRule="auto"/>
        <w:ind w:firstLine="420" w:firstLineChars="200"/>
        <w:rPr>
          <w:rFonts w:ascii="宋体" w:hAnsi="宋体" w:cs="宋体"/>
        </w:rPr>
      </w:pPr>
      <w:r>
        <w:rPr>
          <w:rFonts w:hint="eastAsia" w:ascii="宋体" w:hAnsi="宋体" w:cs="宋体"/>
        </w:rPr>
        <w:t>评标工作由招标采购单位依法组建的评标委员会负责。评标委员会负责审标、询标、评审等工作，并向采购人提出评审意见和评标报告。</w:t>
      </w:r>
    </w:p>
    <w:p>
      <w:pPr>
        <w:tabs>
          <w:tab w:val="left" w:pos="3438"/>
        </w:tabs>
        <w:adjustRightInd w:val="0"/>
        <w:snapToGrid w:val="0"/>
        <w:spacing w:line="360" w:lineRule="auto"/>
        <w:ind w:firstLine="420" w:firstLineChars="200"/>
        <w:rPr>
          <w:rFonts w:ascii="宋体" w:hAnsi="宋体" w:cs="宋体"/>
          <w:b/>
          <w:bCs/>
        </w:rPr>
      </w:pPr>
      <w:r>
        <w:rPr>
          <w:rFonts w:hint="eastAsia" w:ascii="宋体" w:hAnsi="宋体" w:cs="宋体"/>
        </w:rPr>
        <w:t>三、</w:t>
      </w:r>
      <w:r>
        <w:rPr>
          <w:rFonts w:hint="eastAsia" w:ascii="宋体" w:hAnsi="宋体" w:cs="宋体"/>
          <w:b/>
          <w:bCs/>
        </w:rPr>
        <w:t>符合性审查</w:t>
      </w:r>
    </w:p>
    <w:p>
      <w:pPr>
        <w:snapToGrid w:val="0"/>
        <w:spacing w:line="360" w:lineRule="auto"/>
        <w:ind w:firstLine="420" w:firstLineChars="200"/>
        <w:rPr>
          <w:rFonts w:ascii="宋体" w:hAnsi="宋体" w:cs="宋体"/>
        </w:rPr>
      </w:pPr>
      <w:r>
        <w:rPr>
          <w:rFonts w:hint="eastAsia" w:ascii="宋体" w:hAnsi="宋体" w:cs="宋体"/>
        </w:rPr>
        <w:t>评标委员会对投标文件依据招标文件规定进行符合性审查。</w:t>
      </w:r>
    </w:p>
    <w:p>
      <w:pPr>
        <w:pStyle w:val="34"/>
        <w:adjustRightInd w:val="0"/>
        <w:snapToGrid w:val="0"/>
        <w:spacing w:line="360" w:lineRule="auto"/>
        <w:ind w:firstLine="422"/>
        <w:rPr>
          <w:rFonts w:ascii="宋体" w:hAnsi="宋体" w:eastAsia="宋体" w:cs="宋体"/>
          <w:b/>
          <w:bCs/>
          <w:color w:val="auto"/>
          <w:sz w:val="21"/>
        </w:rPr>
      </w:pPr>
      <w:r>
        <w:rPr>
          <w:rFonts w:hint="eastAsia" w:ascii="宋体" w:hAnsi="宋体" w:eastAsia="宋体" w:cs="宋体"/>
          <w:b/>
          <w:bCs/>
          <w:color w:val="auto"/>
          <w:sz w:val="21"/>
        </w:rPr>
        <w:t>四、投标文件的澄清、说明或者补正</w:t>
      </w:r>
    </w:p>
    <w:p>
      <w:pPr>
        <w:autoSpaceDE w:val="0"/>
        <w:autoSpaceDN w:val="0"/>
        <w:adjustRightInd w:val="0"/>
        <w:snapToGrid w:val="0"/>
        <w:spacing w:line="360" w:lineRule="auto"/>
        <w:ind w:firstLine="420" w:firstLineChars="200"/>
        <w:textAlignment w:val="bottom"/>
        <w:rPr>
          <w:rFonts w:ascii="宋体" w:hAnsi="宋体" w:cs="宋体"/>
        </w:rPr>
      </w:pPr>
      <w:r>
        <w:rPr>
          <w:rFonts w:hint="eastAsia" w:ascii="宋体" w:hAnsi="宋体" w:cs="宋体"/>
        </w:rPr>
        <w:t>投标人根据评标委员会要求对投标文件进行澄清、说明或者补正。评标期间，投标人应随时随地答复评标委员会的询标。</w:t>
      </w:r>
    </w:p>
    <w:p>
      <w:pPr>
        <w:adjustRightInd w:val="0"/>
        <w:snapToGrid w:val="0"/>
        <w:spacing w:line="360" w:lineRule="auto"/>
        <w:ind w:firstLine="422" w:firstLineChars="200"/>
        <w:rPr>
          <w:rFonts w:ascii="宋体" w:hAnsi="宋体" w:cs="宋体"/>
          <w:b/>
          <w:bCs/>
        </w:rPr>
      </w:pPr>
      <w:r>
        <w:rPr>
          <w:rFonts w:hint="eastAsia" w:ascii="宋体" w:hAnsi="宋体" w:cs="宋体"/>
          <w:b/>
          <w:bCs/>
        </w:rPr>
        <w:t>五、评标细则</w:t>
      </w:r>
    </w:p>
    <w:p>
      <w:pPr>
        <w:pStyle w:val="24"/>
        <w:adjustRightInd w:val="0"/>
        <w:snapToGrid w:val="0"/>
        <w:spacing w:line="360" w:lineRule="auto"/>
        <w:ind w:firstLine="422" w:firstLineChars="200"/>
        <w:rPr>
          <w:rFonts w:hAnsi="宋体" w:cs="宋体"/>
          <w:b/>
          <w:sz w:val="21"/>
          <w:szCs w:val="21"/>
          <w:u w:val="single"/>
        </w:rPr>
      </w:pPr>
      <w:r>
        <w:rPr>
          <w:rFonts w:hint="eastAsia" w:hAnsi="宋体" w:cs="宋体"/>
          <w:b/>
          <w:sz w:val="21"/>
          <w:szCs w:val="21"/>
          <w:u w:val="single"/>
        </w:rPr>
        <w:t>1、本项目采用综合评分法（总分100分），评标委员会根据本评标办法进行评审，对符合性审查合格的投标文件进行商务和技术评估，综合评价。</w:t>
      </w:r>
    </w:p>
    <w:p>
      <w:pPr>
        <w:widowControl/>
        <w:snapToGrid w:val="0"/>
        <w:spacing w:line="360" w:lineRule="auto"/>
        <w:ind w:firstLine="422" w:firstLineChars="200"/>
        <w:rPr>
          <w:rFonts w:ascii="宋体" w:hAnsi="宋体" w:cs="宋体"/>
          <w:b/>
          <w:kern w:val="0"/>
          <w:szCs w:val="21"/>
          <w:u w:val="single"/>
        </w:rPr>
      </w:pPr>
      <w:r>
        <w:rPr>
          <w:rFonts w:hint="eastAsia" w:ascii="宋体" w:hAnsi="宋体" w:cs="宋体"/>
          <w:b/>
          <w:kern w:val="0"/>
          <w:szCs w:val="21"/>
          <w:u w:val="single"/>
        </w:rPr>
        <w:t>投标人的价格分统一按照下列公式计算：</w:t>
      </w:r>
    </w:p>
    <w:p>
      <w:pPr>
        <w:widowControl/>
        <w:snapToGrid w:val="0"/>
        <w:spacing w:line="360" w:lineRule="auto"/>
        <w:ind w:firstLine="422" w:firstLineChars="200"/>
        <w:rPr>
          <w:rFonts w:ascii="宋体" w:hAnsi="宋体" w:cs="宋体"/>
          <w:b/>
          <w:szCs w:val="21"/>
          <w:u w:val="single"/>
        </w:rPr>
      </w:pPr>
      <w:r>
        <w:rPr>
          <w:rFonts w:hint="eastAsia" w:ascii="宋体" w:hAnsi="宋体" w:cs="宋体"/>
          <w:b/>
          <w:szCs w:val="21"/>
          <w:u w:val="single"/>
        </w:rPr>
        <w:t>投标报价得分=(评标基准价／评标价)×10%×100</w:t>
      </w:r>
    </w:p>
    <w:p>
      <w:pPr>
        <w:pStyle w:val="24"/>
        <w:adjustRightInd w:val="0"/>
        <w:snapToGrid w:val="0"/>
        <w:spacing w:line="360" w:lineRule="auto"/>
        <w:ind w:firstLine="422" w:firstLineChars="200"/>
        <w:rPr>
          <w:rFonts w:hAnsi="宋体" w:cs="宋体"/>
          <w:b/>
          <w:sz w:val="21"/>
          <w:szCs w:val="21"/>
          <w:u w:val="thick"/>
        </w:rPr>
      </w:pPr>
      <w:r>
        <w:rPr>
          <w:rFonts w:hint="eastAsia" w:hAnsi="宋体" w:cs="宋体"/>
          <w:b/>
          <w:sz w:val="21"/>
          <w:szCs w:val="21"/>
          <w:u w:val="single"/>
        </w:rPr>
        <w:t>4、每个供应商最终得分=价格分+商务资信技术分。</w:t>
      </w:r>
    </w:p>
    <w:p>
      <w:pPr>
        <w:pStyle w:val="24"/>
        <w:adjustRightInd w:val="0"/>
        <w:snapToGrid w:val="0"/>
        <w:spacing w:line="360" w:lineRule="auto"/>
        <w:ind w:firstLine="420" w:firstLineChars="200"/>
        <w:rPr>
          <w:rFonts w:hAnsi="宋体" w:cs="宋体"/>
          <w:sz w:val="21"/>
          <w:szCs w:val="21"/>
        </w:rPr>
      </w:pPr>
      <w:r>
        <w:rPr>
          <w:rFonts w:hint="eastAsia" w:hAnsi="宋体" w:cs="宋体"/>
          <w:sz w:val="21"/>
          <w:szCs w:val="21"/>
        </w:rPr>
        <w:t>5、评审时，评标委员会各成员应当独立对每个有效响应的文件进行评价、打分，然后汇总每个供应商每项评分因素的得分。</w:t>
      </w:r>
    </w:p>
    <w:p>
      <w:pPr>
        <w:pStyle w:val="24"/>
        <w:adjustRightInd w:val="0"/>
        <w:snapToGrid w:val="0"/>
        <w:spacing w:line="360" w:lineRule="auto"/>
        <w:ind w:firstLine="420" w:firstLineChars="200"/>
        <w:rPr>
          <w:rFonts w:hAnsi="宋体" w:cs="宋体"/>
          <w:sz w:val="21"/>
          <w:szCs w:val="21"/>
        </w:rPr>
      </w:pPr>
      <w:r>
        <w:rPr>
          <w:rFonts w:hint="eastAsia" w:hAnsi="宋体" w:cs="宋体"/>
          <w:sz w:val="21"/>
          <w:szCs w:val="21"/>
        </w:rPr>
        <w:t>6、对供应商的价格分等客观评分项的评分应当一致，对其他需要借助专业知识评判的主观评分项，应当严格按照评分细则公正评分。</w:t>
      </w:r>
    </w:p>
    <w:p>
      <w:pPr>
        <w:pStyle w:val="24"/>
        <w:adjustRightInd w:val="0"/>
        <w:snapToGrid w:val="0"/>
        <w:spacing w:line="360" w:lineRule="auto"/>
        <w:ind w:firstLine="420" w:firstLineChars="200"/>
        <w:rPr>
          <w:rFonts w:hAnsi="宋体" w:cs="宋体"/>
          <w:sz w:val="21"/>
          <w:szCs w:val="21"/>
        </w:rPr>
      </w:pPr>
      <w:r>
        <w:rPr>
          <w:rFonts w:hint="eastAsia" w:hAnsi="宋体" w:cs="宋体"/>
          <w:sz w:val="21"/>
          <w:szCs w:val="21"/>
        </w:rPr>
        <w:t>7、评标结果按评审后得分由高到低顺序排列。得分相同的，按投标报价由低到高顺序排列。得分且投标报价相同的并列。并编写评标报告。</w:t>
      </w:r>
    </w:p>
    <w:p>
      <w:pPr>
        <w:pStyle w:val="24"/>
        <w:adjustRightInd w:val="0"/>
        <w:snapToGrid w:val="0"/>
        <w:spacing w:line="360" w:lineRule="auto"/>
        <w:ind w:firstLine="420" w:firstLineChars="200"/>
        <w:rPr>
          <w:rFonts w:hAnsi="宋体" w:cs="宋体"/>
          <w:sz w:val="21"/>
          <w:szCs w:val="21"/>
        </w:rPr>
      </w:pPr>
      <w:r>
        <w:rPr>
          <w:rFonts w:hint="eastAsia" w:hAnsi="宋体" w:cs="宋体"/>
          <w:sz w:val="21"/>
          <w:szCs w:val="21"/>
        </w:rPr>
        <w:t>8、评分因素及分值范围</w:t>
      </w:r>
    </w:p>
    <w:p>
      <w:pPr>
        <w:snapToGrid w:val="0"/>
        <w:spacing w:line="360" w:lineRule="auto"/>
        <w:ind w:firstLine="422" w:firstLineChars="200"/>
        <w:rPr>
          <w:rFonts w:ascii="宋体" w:hAnsi="宋体" w:cs="宋体"/>
          <w:b/>
          <w:bCs/>
          <w:szCs w:val="21"/>
        </w:rPr>
      </w:pPr>
      <w:bookmarkStart w:id="92" w:name="_Toc345320402"/>
      <w:r>
        <w:rPr>
          <w:rFonts w:hint="eastAsia" w:ascii="宋体" w:hAnsi="宋体" w:cs="宋体"/>
          <w:b/>
          <w:bCs/>
          <w:szCs w:val="21"/>
        </w:rPr>
        <w:t>1）商务资信技术分</w:t>
      </w:r>
      <w:bookmarkEnd w:id="92"/>
      <w:r>
        <w:rPr>
          <w:rFonts w:hint="eastAsia" w:ascii="宋体" w:hAnsi="宋体" w:cs="宋体"/>
          <w:b/>
          <w:bCs/>
          <w:szCs w:val="21"/>
        </w:rPr>
        <w:t>（90分）</w:t>
      </w:r>
    </w:p>
    <w:p>
      <w:pPr>
        <w:pStyle w:val="34"/>
        <w:adjustRightInd w:val="0"/>
        <w:snapToGrid w:val="0"/>
        <w:spacing w:line="360" w:lineRule="auto"/>
        <w:ind w:firstLine="420"/>
        <w:rPr>
          <w:rFonts w:ascii="宋体" w:hAnsi="宋体" w:eastAsia="宋体" w:cs="宋体"/>
          <w:color w:val="auto"/>
          <w:sz w:val="21"/>
          <w:szCs w:val="21"/>
        </w:rPr>
      </w:pPr>
      <w:r>
        <w:rPr>
          <w:rFonts w:hint="eastAsia" w:ascii="宋体" w:hAnsi="宋体" w:eastAsia="宋体" w:cs="宋体"/>
          <w:color w:val="auto"/>
          <w:sz w:val="21"/>
          <w:szCs w:val="21"/>
        </w:rPr>
        <w:t>该评分分值由评标委员会根据评审情况在分值范围内独立评分（具体分值设定详见表格），小数点后保留一位小数。每个投标人的最终得分为评标委员会打分汇总后的算术平均值</w:t>
      </w:r>
      <w:r>
        <w:rPr>
          <w:rFonts w:hint="eastAsia" w:ascii="宋体" w:hAnsi="宋体" w:eastAsia="宋体" w:cs="宋体"/>
          <w:color w:val="auto"/>
          <w:kern w:val="0"/>
          <w:sz w:val="21"/>
          <w:szCs w:val="21"/>
        </w:rPr>
        <w:t>（小数点后保留二位小数，第三位四舍五入）</w:t>
      </w:r>
      <w:r>
        <w:rPr>
          <w:rFonts w:hint="eastAsia" w:ascii="宋体" w:hAnsi="宋体" w:eastAsia="宋体" w:cs="宋体"/>
          <w:color w:val="auto"/>
          <w:sz w:val="21"/>
          <w:szCs w:val="21"/>
        </w:rPr>
        <w:t>。</w:t>
      </w:r>
    </w:p>
    <w:tbl>
      <w:tblPr>
        <w:tblStyle w:val="44"/>
        <w:tblW w:w="9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7228"/>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046" w:type="dxa"/>
            <w:gridSpan w:val="2"/>
            <w:vAlign w:val="center"/>
          </w:tcPr>
          <w:p>
            <w:pPr>
              <w:snapToGrid w:val="0"/>
              <w:ind w:firstLine="422"/>
              <w:jc w:val="center"/>
              <w:rPr>
                <w:rFonts w:ascii="宋体" w:hAnsi="宋体" w:cs="宋体"/>
                <w:b/>
                <w:sz w:val="18"/>
                <w:szCs w:val="18"/>
              </w:rPr>
            </w:pPr>
            <w:bookmarkStart w:id="93" w:name="_Toc345320401"/>
            <w:r>
              <w:rPr>
                <w:rFonts w:hint="eastAsia" w:ascii="宋体" w:hAnsi="宋体" w:cs="宋体"/>
                <w:b/>
                <w:sz w:val="18"/>
                <w:szCs w:val="18"/>
              </w:rPr>
              <w:t>评审项目</w:t>
            </w:r>
          </w:p>
        </w:tc>
        <w:tc>
          <w:tcPr>
            <w:tcW w:w="1373" w:type="dxa"/>
            <w:vAlign w:val="center"/>
          </w:tcPr>
          <w:p>
            <w:pPr>
              <w:snapToGrid w:val="0"/>
              <w:ind w:firstLine="422"/>
              <w:rPr>
                <w:rFonts w:ascii="宋体" w:hAnsi="宋体" w:cs="宋体"/>
                <w:b/>
                <w:sz w:val="18"/>
                <w:szCs w:val="18"/>
              </w:rPr>
            </w:pPr>
            <w:r>
              <w:rPr>
                <w:rFonts w:hint="eastAsia" w:ascii="宋体" w:hAnsi="宋体" w:cs="宋体"/>
                <w:b/>
                <w:sz w:val="18"/>
                <w:szCs w:val="1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1</w:t>
            </w:r>
          </w:p>
        </w:tc>
        <w:tc>
          <w:tcPr>
            <w:tcW w:w="7228" w:type="dxa"/>
            <w:vAlign w:val="center"/>
          </w:tcPr>
          <w:p>
            <w:pPr>
              <w:adjustRightInd w:val="0"/>
              <w:snapToGrid w:val="0"/>
              <w:ind w:left="31" w:leftChars="15"/>
              <w:rPr>
                <w:rFonts w:ascii="宋体" w:hAnsi="宋体" w:cs="宋体"/>
                <w:sz w:val="18"/>
                <w:szCs w:val="18"/>
              </w:rPr>
            </w:pPr>
            <w:r>
              <w:rPr>
                <w:rFonts w:hint="eastAsia" w:ascii="宋体" w:hAnsi="宋体" w:cs="宋体"/>
                <w:sz w:val="18"/>
                <w:szCs w:val="18"/>
              </w:rPr>
              <w:t>投标人自2019年1月1日以来具有类似年度服务的成功案例，每有1个得1分，最多得4分。（证明材料为销售协议（或合同）或服务对象的证明复印件，须明确为年度协议（或合同），否则不得分，原件备查）（同一服务对象的协议（或合同）不能重复得分，最多得1分）</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2</w:t>
            </w:r>
          </w:p>
        </w:tc>
        <w:tc>
          <w:tcPr>
            <w:tcW w:w="7228" w:type="dxa"/>
            <w:vAlign w:val="center"/>
          </w:tcPr>
          <w:p>
            <w:pPr>
              <w:adjustRightInd w:val="0"/>
              <w:snapToGrid w:val="0"/>
              <w:rPr>
                <w:rFonts w:ascii="宋体" w:hAnsi="宋体" w:cs="宋体"/>
                <w:sz w:val="18"/>
                <w:szCs w:val="18"/>
              </w:rPr>
            </w:pPr>
            <w:r>
              <w:rPr>
                <w:rFonts w:hint="eastAsia" w:ascii="宋体" w:hAnsi="宋体" w:cs="宋体"/>
                <w:sz w:val="18"/>
                <w:szCs w:val="18"/>
              </w:rPr>
              <w:t>投标人在杭州范围内具有仓储场地，仓库面积＜500㎡得1分，500㎡≤仓库面积＜1000㎡得2分，1000㎡≤仓库面积＜2000㎡得3分，仓库面积≥2000㎡得4分</w:t>
            </w:r>
            <w:r>
              <w:rPr>
                <w:rFonts w:hint="eastAsia" w:ascii="宋体" w:hAnsi="宋体" w:cs="宋体"/>
                <w:sz w:val="18"/>
                <w:szCs w:val="18"/>
                <w:lang w:bidi="ar"/>
              </w:rPr>
              <w:t>（证明材料为仓储场地产权证或租赁合同复印件，原件备查），杭州范围内无仓储场地不得分；</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3</w:t>
            </w:r>
          </w:p>
        </w:tc>
        <w:tc>
          <w:tcPr>
            <w:tcW w:w="7228" w:type="dxa"/>
            <w:vAlign w:val="center"/>
          </w:tcPr>
          <w:p>
            <w:pPr>
              <w:adjustRightInd w:val="0"/>
              <w:snapToGrid w:val="0"/>
              <w:rPr>
                <w:rFonts w:ascii="宋体" w:hAnsi="宋体" w:cs="宋体"/>
                <w:sz w:val="18"/>
                <w:szCs w:val="18"/>
              </w:rPr>
            </w:pPr>
            <w:r>
              <w:rPr>
                <w:rFonts w:hint="eastAsia" w:ascii="宋体" w:hAnsi="宋体" w:cs="宋体"/>
                <w:sz w:val="18"/>
                <w:szCs w:val="18"/>
              </w:rPr>
              <w:t>投标人自有</w:t>
            </w:r>
            <w:r>
              <w:rPr>
                <w:rFonts w:hint="eastAsia" w:ascii="宋体" w:hAnsi="宋体" w:cs="宋体"/>
                <w:sz w:val="18"/>
                <w:szCs w:val="18"/>
                <w:lang w:bidi="ar"/>
              </w:rPr>
              <w:t>生产设备和生产场地（证明材料为设备购置凭证、生产场地产权证或租赁合同复印件，原件备查）</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4</w:t>
            </w:r>
          </w:p>
        </w:tc>
        <w:tc>
          <w:tcPr>
            <w:tcW w:w="7228" w:type="dxa"/>
            <w:vAlign w:val="center"/>
          </w:tcPr>
          <w:p>
            <w:pPr>
              <w:snapToGrid w:val="0"/>
              <w:rPr>
                <w:rFonts w:ascii="宋体" w:hAnsi="宋体" w:cs="宋体"/>
                <w:sz w:val="18"/>
                <w:szCs w:val="18"/>
              </w:rPr>
            </w:pPr>
            <w:r>
              <w:rPr>
                <w:rFonts w:hint="eastAsia" w:ascii="宋体" w:hAnsi="宋体" w:cs="宋体"/>
                <w:sz w:val="18"/>
                <w:szCs w:val="18"/>
              </w:rPr>
              <w:t>所投货物具体配置、技术参数及偏离情况，有一项偏离的扣1分；</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5</w:t>
            </w:r>
          </w:p>
        </w:tc>
        <w:tc>
          <w:tcPr>
            <w:tcW w:w="7228" w:type="dxa"/>
            <w:vAlign w:val="center"/>
          </w:tcPr>
          <w:p>
            <w:pPr>
              <w:snapToGrid w:val="0"/>
              <w:rPr>
                <w:rFonts w:ascii="宋体" w:hAnsi="宋体" w:cs="宋体"/>
                <w:sz w:val="18"/>
                <w:szCs w:val="18"/>
              </w:rPr>
            </w:pPr>
            <w:r>
              <w:rPr>
                <w:rFonts w:hint="eastAsia" w:ascii="宋体" w:hAnsi="宋体" w:cs="宋体"/>
                <w:sz w:val="18"/>
                <w:szCs w:val="18"/>
              </w:rPr>
              <w:t>投标人的服务方案的可行性、合理性（3分）</w:t>
            </w:r>
          </w:p>
          <w:p>
            <w:pPr>
              <w:snapToGrid w:val="0"/>
              <w:rPr>
                <w:rFonts w:ascii="宋体" w:hAnsi="宋体" w:cs="宋体"/>
                <w:sz w:val="18"/>
                <w:szCs w:val="18"/>
              </w:rPr>
            </w:pPr>
            <w:r>
              <w:rPr>
                <w:rFonts w:hint="eastAsia" w:ascii="宋体" w:hAnsi="宋体" w:cs="宋体"/>
                <w:sz w:val="18"/>
                <w:szCs w:val="18"/>
              </w:rPr>
              <w:t>投标人的优惠方案与增值服务（3分）</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6</w:t>
            </w:r>
          </w:p>
        </w:tc>
        <w:tc>
          <w:tcPr>
            <w:tcW w:w="7228" w:type="dxa"/>
            <w:vAlign w:val="center"/>
          </w:tcPr>
          <w:p>
            <w:pPr>
              <w:adjustRightInd w:val="0"/>
              <w:snapToGrid w:val="0"/>
              <w:rPr>
                <w:rFonts w:ascii="宋体" w:hAnsi="宋体" w:cs="宋体"/>
                <w:sz w:val="18"/>
                <w:szCs w:val="18"/>
              </w:rPr>
            </w:pPr>
            <w:r>
              <w:rPr>
                <w:rFonts w:hint="eastAsia" w:ascii="宋体" w:hAnsi="宋体" w:cs="宋体"/>
                <w:sz w:val="18"/>
                <w:szCs w:val="18"/>
                <w:lang w:bidi="ar"/>
              </w:rPr>
              <w:t>投标人的实施方案【运输（3分）、临时储存（3分）、制作工艺（3分）】的可行性、合理性</w:t>
            </w:r>
            <w:r>
              <w:rPr>
                <w:rFonts w:hint="eastAsia" w:ascii="宋体" w:hAnsi="宋体" w:cs="宋体"/>
                <w:sz w:val="18"/>
                <w:szCs w:val="18"/>
              </w:rPr>
              <w:t>；</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7</w:t>
            </w:r>
          </w:p>
        </w:tc>
        <w:tc>
          <w:tcPr>
            <w:tcW w:w="7228" w:type="dxa"/>
            <w:vAlign w:val="center"/>
          </w:tcPr>
          <w:p>
            <w:pPr>
              <w:adjustRightInd w:val="0"/>
              <w:snapToGrid w:val="0"/>
              <w:rPr>
                <w:rFonts w:ascii="宋体" w:hAnsi="宋体" w:cs="宋体"/>
                <w:sz w:val="18"/>
                <w:szCs w:val="18"/>
              </w:rPr>
            </w:pPr>
            <w:r>
              <w:rPr>
                <w:rFonts w:hint="eastAsia" w:ascii="宋体" w:hAnsi="宋体" w:cs="宋体"/>
                <w:sz w:val="18"/>
                <w:szCs w:val="18"/>
              </w:rPr>
              <w:t xml:space="preserve">投标货物原材料可靠性与安全性（2分）、品牌知名度与认可度（2分）； </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8</w:t>
            </w:r>
          </w:p>
        </w:tc>
        <w:tc>
          <w:tcPr>
            <w:tcW w:w="7228" w:type="dxa"/>
            <w:vAlign w:val="center"/>
          </w:tcPr>
          <w:p>
            <w:pPr>
              <w:adjustRightInd w:val="0"/>
              <w:snapToGrid w:val="0"/>
              <w:rPr>
                <w:rFonts w:ascii="宋体" w:hAnsi="宋体" w:cs="宋体"/>
                <w:sz w:val="18"/>
                <w:szCs w:val="18"/>
              </w:rPr>
            </w:pPr>
            <w:r>
              <w:rPr>
                <w:rFonts w:hint="eastAsia" w:ascii="宋体" w:hAnsi="宋体" w:cs="宋体"/>
                <w:sz w:val="18"/>
                <w:szCs w:val="18"/>
              </w:rPr>
              <w:t xml:space="preserve">投标货物及原材料环保性优劣程度（3分）；有货物及原材料检测报告（3分）； </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9</w:t>
            </w:r>
          </w:p>
        </w:tc>
        <w:tc>
          <w:tcPr>
            <w:tcW w:w="7228" w:type="dxa"/>
            <w:vAlign w:val="center"/>
          </w:tcPr>
          <w:p>
            <w:pPr>
              <w:snapToGrid w:val="0"/>
              <w:rPr>
                <w:rFonts w:ascii="宋体" w:hAnsi="宋体" w:cs="宋体"/>
                <w:sz w:val="18"/>
                <w:szCs w:val="18"/>
              </w:rPr>
            </w:pPr>
            <w:r>
              <w:rPr>
                <w:rFonts w:hint="eastAsia" w:ascii="宋体" w:hAnsi="宋体" w:cs="宋体"/>
                <w:sz w:val="18"/>
                <w:szCs w:val="18"/>
              </w:rPr>
              <w:t>售前（2分）、售中（2分）、售后（2分）服务方案服务承诺的可行性、完整性、以及服务承诺落实的保障措施；</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10</w:t>
            </w:r>
          </w:p>
        </w:tc>
        <w:tc>
          <w:tcPr>
            <w:tcW w:w="7228" w:type="dxa"/>
            <w:vAlign w:val="center"/>
          </w:tcPr>
          <w:p>
            <w:pPr>
              <w:snapToGrid w:val="0"/>
              <w:rPr>
                <w:rFonts w:ascii="宋体" w:hAnsi="宋体" w:cs="宋体"/>
                <w:sz w:val="18"/>
                <w:szCs w:val="18"/>
              </w:rPr>
            </w:pPr>
            <w:r>
              <w:rPr>
                <w:rFonts w:hint="eastAsia" w:ascii="宋体" w:hAnsi="宋体" w:cs="宋体"/>
                <w:sz w:val="18"/>
                <w:szCs w:val="18"/>
              </w:rPr>
              <w:t>投标人本地化服务能力，距离招标人最近的供货机构（注册或登记情况、联系方式、地址、技术力量配备等）（2分）；负责服务期内的售后响应程度（2分）；</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11</w:t>
            </w:r>
          </w:p>
        </w:tc>
        <w:tc>
          <w:tcPr>
            <w:tcW w:w="7228" w:type="dxa"/>
            <w:vAlign w:val="center"/>
          </w:tcPr>
          <w:p>
            <w:pPr>
              <w:snapToGrid w:val="0"/>
              <w:rPr>
                <w:rFonts w:ascii="宋体" w:hAnsi="宋体" w:cs="宋体"/>
                <w:sz w:val="18"/>
                <w:szCs w:val="18"/>
              </w:rPr>
            </w:pPr>
            <w:r>
              <w:rPr>
                <w:rFonts w:hint="eastAsia" w:ascii="宋体" w:hAnsi="宋体" w:cs="宋体"/>
                <w:sz w:val="18"/>
                <w:szCs w:val="18"/>
              </w:rPr>
              <w:t>投诉处理方案（2分），突发事件应对能力（2分），临时任务应急能力</w:t>
            </w:r>
            <w:r>
              <w:rPr>
                <w:rFonts w:hint="eastAsia" w:ascii="宋体" w:hAnsi="宋体" w:cs="宋体"/>
                <w:sz w:val="18"/>
                <w:szCs w:val="18"/>
                <w:lang w:bidi="ar"/>
              </w:rPr>
              <w:t>（如对非投标的提供能力）</w:t>
            </w:r>
            <w:r>
              <w:rPr>
                <w:rFonts w:hint="eastAsia" w:ascii="宋体" w:hAnsi="宋体" w:cs="宋体"/>
                <w:sz w:val="18"/>
                <w:szCs w:val="18"/>
              </w:rPr>
              <w:t>（2分）、突发事件应急预案、响应程度等（2分）；</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12</w:t>
            </w:r>
          </w:p>
        </w:tc>
        <w:tc>
          <w:tcPr>
            <w:tcW w:w="7228" w:type="dxa"/>
            <w:vAlign w:val="center"/>
          </w:tcPr>
          <w:p>
            <w:pPr>
              <w:snapToGrid w:val="0"/>
              <w:rPr>
                <w:rFonts w:ascii="宋体" w:hAnsi="宋体" w:cs="宋体"/>
                <w:sz w:val="18"/>
                <w:szCs w:val="18"/>
              </w:rPr>
            </w:pPr>
            <w:r>
              <w:rPr>
                <w:rFonts w:hint="eastAsia" w:ascii="宋体" w:hAnsi="宋体" w:cs="宋体"/>
                <w:sz w:val="18"/>
                <w:szCs w:val="18"/>
              </w:rPr>
              <w:t>项目管理组织结构（2分）；人员配备的专业素质、技术能力、经验等情况计划有利于项目实施的程度（2分）；投标人是否具有符合采购人结算要求的财务制度（3分）；</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sz w:val="18"/>
                <w:szCs w:val="18"/>
              </w:rPr>
            </w:pPr>
            <w:r>
              <w:rPr>
                <w:rFonts w:hint="eastAsia" w:ascii="宋体" w:hAnsi="宋体" w:cs="宋体"/>
                <w:sz w:val="18"/>
                <w:szCs w:val="18"/>
              </w:rPr>
              <w:t>13</w:t>
            </w:r>
          </w:p>
        </w:tc>
        <w:tc>
          <w:tcPr>
            <w:tcW w:w="7228" w:type="dxa"/>
            <w:vAlign w:val="center"/>
          </w:tcPr>
          <w:p>
            <w:pPr>
              <w:pStyle w:val="3"/>
              <w:spacing w:before="0" w:line="240" w:lineRule="auto"/>
              <w:ind w:firstLine="0"/>
              <w:rPr>
                <w:rFonts w:hAnsi="宋体" w:cs="宋体"/>
                <w:sz w:val="18"/>
                <w:szCs w:val="18"/>
              </w:rPr>
            </w:pPr>
            <w:r>
              <w:rPr>
                <w:rFonts w:hint="eastAsia" w:hAnsi="宋体" w:cs="宋体"/>
                <w:sz w:val="18"/>
                <w:szCs w:val="18"/>
              </w:rPr>
              <w:t xml:space="preserve">投标样品：(25分) </w:t>
            </w:r>
          </w:p>
          <w:p>
            <w:pPr>
              <w:pStyle w:val="3"/>
              <w:spacing w:before="0" w:line="240" w:lineRule="auto"/>
              <w:ind w:firstLine="0"/>
              <w:rPr>
                <w:rFonts w:hAnsi="宋体" w:cs="宋体"/>
                <w:b/>
                <w:sz w:val="18"/>
                <w:szCs w:val="18"/>
              </w:rPr>
            </w:pPr>
            <w:r>
              <w:rPr>
                <w:rFonts w:hint="eastAsia" w:hAnsi="宋体" w:cs="宋体"/>
                <w:sz w:val="18"/>
                <w:szCs w:val="18"/>
              </w:rPr>
              <w:t>（1）▲</w:t>
            </w:r>
            <w:r>
              <w:rPr>
                <w:rFonts w:hint="eastAsia" w:hAnsi="宋体" w:cs="宋体"/>
                <w:b/>
                <w:sz w:val="18"/>
                <w:szCs w:val="18"/>
              </w:rPr>
              <w:t>投标样品暗标评审，投标样品中不得出现投标人名称及能反映投标人信息的任何标记。若评标委员会发现有任何泄露投标人信息的标记等，其投标将视为无效。</w:t>
            </w:r>
          </w:p>
          <w:p>
            <w:pPr>
              <w:snapToGrid w:val="0"/>
              <w:rPr>
                <w:rFonts w:ascii="宋体" w:hAnsi="宋体" w:cs="宋体"/>
                <w:sz w:val="18"/>
                <w:szCs w:val="18"/>
              </w:rPr>
            </w:pPr>
            <w:r>
              <w:rPr>
                <w:rFonts w:hint="eastAsia" w:ascii="宋体" w:hAnsi="宋体" w:cs="宋体"/>
                <w:sz w:val="18"/>
                <w:szCs w:val="18"/>
              </w:rPr>
              <w:t>（2）评标委员会对投标人提供的每件投标货物样品进行评审，根据招标文件的有关要求根据提供的实样及检测报告，对以下内容进行打分。</w:t>
            </w:r>
          </w:p>
          <w:p>
            <w:pPr>
              <w:snapToGrid w:val="0"/>
              <w:jc w:val="left"/>
              <w:rPr>
                <w:rFonts w:ascii="宋体" w:hAnsi="宋体" w:cs="宋体"/>
                <w:sz w:val="18"/>
                <w:szCs w:val="18"/>
              </w:rPr>
            </w:pPr>
            <w:r>
              <w:rPr>
                <w:rFonts w:hint="eastAsia" w:ascii="宋体" w:hAnsi="宋体" w:cs="宋体"/>
                <w:sz w:val="18"/>
                <w:szCs w:val="18"/>
              </w:rPr>
              <w:t>制作规范性、专业性（0-5分）</w:t>
            </w:r>
          </w:p>
          <w:p>
            <w:pPr>
              <w:snapToGrid w:val="0"/>
              <w:jc w:val="left"/>
              <w:rPr>
                <w:rFonts w:ascii="宋体" w:hAnsi="宋体" w:cs="宋体"/>
                <w:sz w:val="18"/>
                <w:szCs w:val="18"/>
              </w:rPr>
            </w:pPr>
            <w:r>
              <w:rPr>
                <w:rFonts w:hint="eastAsia" w:ascii="宋体" w:hAnsi="宋体" w:cs="宋体"/>
                <w:sz w:val="18"/>
                <w:szCs w:val="18"/>
              </w:rPr>
              <w:t>主体及附属配件材质的优劣程度（0-5分）</w:t>
            </w:r>
          </w:p>
          <w:p>
            <w:pPr>
              <w:snapToGrid w:val="0"/>
              <w:jc w:val="left"/>
              <w:rPr>
                <w:rFonts w:ascii="宋体" w:hAnsi="宋体" w:cs="宋体"/>
                <w:sz w:val="18"/>
                <w:szCs w:val="18"/>
              </w:rPr>
            </w:pPr>
            <w:r>
              <w:rPr>
                <w:rFonts w:hint="eastAsia" w:ascii="宋体" w:hAnsi="宋体" w:cs="宋体"/>
                <w:sz w:val="18"/>
                <w:szCs w:val="18"/>
              </w:rPr>
              <w:t>制作工艺水平（0-5分）</w:t>
            </w:r>
          </w:p>
          <w:p>
            <w:pPr>
              <w:snapToGrid w:val="0"/>
              <w:jc w:val="left"/>
              <w:rPr>
                <w:rFonts w:ascii="宋体" w:hAnsi="宋体" w:cs="宋体"/>
                <w:sz w:val="18"/>
                <w:szCs w:val="18"/>
              </w:rPr>
            </w:pPr>
            <w:r>
              <w:rPr>
                <w:rFonts w:hint="eastAsia" w:ascii="宋体" w:hAnsi="宋体" w:cs="宋体"/>
                <w:sz w:val="18"/>
                <w:szCs w:val="18"/>
              </w:rPr>
              <w:t>外观设计优美程度，是否符合本地殡葬特色（0-5分）</w:t>
            </w:r>
          </w:p>
          <w:p>
            <w:pPr>
              <w:snapToGrid w:val="0"/>
              <w:jc w:val="left"/>
              <w:rPr>
                <w:rFonts w:ascii="宋体" w:hAnsi="宋体" w:cs="宋体"/>
                <w:sz w:val="18"/>
                <w:szCs w:val="18"/>
              </w:rPr>
            </w:pPr>
            <w:r>
              <w:rPr>
                <w:rFonts w:hint="eastAsia" w:ascii="宋体" w:hAnsi="宋体" w:cs="宋体"/>
                <w:sz w:val="18"/>
                <w:szCs w:val="18"/>
              </w:rPr>
              <w:t>安全性及牢固性（0-5分）</w:t>
            </w:r>
          </w:p>
        </w:tc>
        <w:tc>
          <w:tcPr>
            <w:tcW w:w="1373" w:type="dxa"/>
            <w:vAlign w:val="center"/>
          </w:tcPr>
          <w:p>
            <w:pPr>
              <w:adjustRightInd w:val="0"/>
              <w:snapToGrid w:val="0"/>
              <w:jc w:val="center"/>
              <w:rPr>
                <w:rFonts w:ascii="宋体" w:hAnsi="宋体" w:cs="宋体"/>
                <w:sz w:val="18"/>
                <w:szCs w:val="18"/>
              </w:rPr>
            </w:pPr>
            <w:r>
              <w:rPr>
                <w:rFonts w:hint="eastAsia" w:ascii="宋体" w:hAnsi="宋体" w:cs="宋体"/>
                <w:sz w:val="18"/>
                <w:szCs w:val="18"/>
              </w:rPr>
              <w:t>0-25</w:t>
            </w:r>
          </w:p>
        </w:tc>
      </w:tr>
    </w:tbl>
    <w:p>
      <w:pPr>
        <w:snapToGrid w:val="0"/>
        <w:spacing w:line="360" w:lineRule="auto"/>
        <w:ind w:firstLine="422" w:firstLineChars="200"/>
        <w:rPr>
          <w:rFonts w:ascii="宋体" w:hAnsi="宋体" w:cs="宋体"/>
          <w:b/>
          <w:bCs/>
          <w:szCs w:val="21"/>
        </w:rPr>
      </w:pPr>
      <w:r>
        <w:rPr>
          <w:rFonts w:hint="eastAsia" w:ascii="宋体" w:hAnsi="宋体" w:cs="宋体"/>
          <w:b/>
          <w:bCs/>
          <w:szCs w:val="21"/>
        </w:rPr>
        <w:t>3）价格分</w:t>
      </w:r>
      <w:bookmarkEnd w:id="93"/>
      <w:r>
        <w:rPr>
          <w:rFonts w:hint="eastAsia" w:ascii="宋体" w:hAnsi="宋体" w:cs="宋体"/>
          <w:b/>
          <w:bCs/>
          <w:szCs w:val="21"/>
        </w:rPr>
        <w:t>（10分）</w:t>
      </w:r>
    </w:p>
    <w:p>
      <w:pPr>
        <w:pStyle w:val="3"/>
        <w:spacing w:before="0" w:line="360" w:lineRule="auto"/>
        <w:ind w:firstLine="420" w:firstLineChars="200"/>
        <w:rPr>
          <w:rFonts w:hAnsi="宋体" w:cs="宋体"/>
          <w:sz w:val="21"/>
          <w:szCs w:val="21"/>
        </w:rPr>
      </w:pPr>
      <w:r>
        <w:rPr>
          <w:rFonts w:hint="eastAsia" w:hAnsi="宋体" w:cs="宋体"/>
          <w:sz w:val="21"/>
          <w:szCs w:val="21"/>
        </w:rPr>
        <w:t>价格评分将在有效投标人范围内进行，最高得</w:t>
      </w:r>
      <w:r>
        <w:rPr>
          <w:rFonts w:hint="eastAsia" w:hAnsi="宋体" w:cs="宋体"/>
          <w:sz w:val="21"/>
          <w:szCs w:val="21"/>
          <w:u w:val="single"/>
        </w:rPr>
        <w:t>10</w:t>
      </w:r>
      <w:r>
        <w:rPr>
          <w:rFonts w:hint="eastAsia" w:hAnsi="宋体" w:cs="宋体"/>
          <w:sz w:val="21"/>
          <w:szCs w:val="21"/>
        </w:rPr>
        <w:t>分。（小数点后保留二位小数，第三位四舍五入）。</w:t>
      </w:r>
    </w:p>
    <w:p>
      <w:pPr>
        <w:pStyle w:val="3"/>
        <w:spacing w:before="0" w:line="360" w:lineRule="auto"/>
        <w:ind w:firstLine="420" w:firstLineChars="200"/>
        <w:rPr>
          <w:rFonts w:hAnsi="宋体" w:cs="宋体"/>
          <w:sz w:val="21"/>
          <w:szCs w:val="21"/>
        </w:rPr>
      </w:pPr>
      <w:r>
        <w:rPr>
          <w:rFonts w:hint="eastAsia" w:hAnsi="宋体" w:cs="宋体"/>
          <w:sz w:val="21"/>
          <w:szCs w:val="21"/>
        </w:rPr>
        <w:t>各投标人须对所有档次的花圈进行统一折扣率报价，折扣率为供应商的实际收入费率。评标基准价的确定：评标价中的最低价作为评标基准价。</w:t>
      </w:r>
    </w:p>
    <w:p>
      <w:pPr>
        <w:pStyle w:val="3"/>
        <w:spacing w:before="0" w:line="360" w:lineRule="auto"/>
        <w:ind w:firstLine="420" w:firstLineChars="200"/>
        <w:rPr>
          <w:rFonts w:hAnsi="宋体" w:cs="宋体"/>
          <w:sz w:val="21"/>
          <w:szCs w:val="21"/>
        </w:rPr>
      </w:pPr>
      <w:r>
        <w:rPr>
          <w:rFonts w:hint="eastAsia" w:hAnsi="宋体" w:cs="宋体"/>
          <w:sz w:val="21"/>
          <w:szCs w:val="21"/>
        </w:rPr>
        <w:t>投标人的价格分统一按照下列公式计算：</w:t>
      </w:r>
    </w:p>
    <w:p>
      <w:pPr>
        <w:widowControl/>
        <w:snapToGrid w:val="0"/>
        <w:spacing w:line="360" w:lineRule="auto"/>
        <w:ind w:firstLine="420" w:firstLineChars="200"/>
        <w:rPr>
          <w:rFonts w:ascii="宋体" w:hAnsi="宋体" w:cs="宋体"/>
          <w:kern w:val="0"/>
          <w:szCs w:val="21"/>
        </w:rPr>
      </w:pPr>
      <w:r>
        <w:rPr>
          <w:rFonts w:hint="eastAsia" w:ascii="宋体" w:hAnsi="宋体" w:cs="宋体"/>
          <w:kern w:val="0"/>
          <w:szCs w:val="21"/>
        </w:rPr>
        <w:t>投标报价得分=(</w:t>
      </w:r>
      <w:r>
        <w:rPr>
          <w:rFonts w:hint="eastAsia" w:ascii="宋体" w:hAnsi="宋体" w:cs="宋体"/>
          <w:b/>
          <w:kern w:val="0"/>
          <w:szCs w:val="21"/>
          <w:u w:val="single"/>
        </w:rPr>
        <w:t>评标基准价</w:t>
      </w:r>
      <w:r>
        <w:rPr>
          <w:rFonts w:hint="eastAsia" w:ascii="宋体" w:hAnsi="宋体" w:cs="宋体"/>
          <w:kern w:val="0"/>
          <w:szCs w:val="21"/>
        </w:rPr>
        <w:t>／</w:t>
      </w:r>
      <w:r>
        <w:rPr>
          <w:rFonts w:hint="eastAsia" w:ascii="宋体" w:hAnsi="宋体" w:cs="宋体"/>
          <w:b/>
          <w:kern w:val="0"/>
          <w:szCs w:val="21"/>
          <w:u w:val="single"/>
        </w:rPr>
        <w:t>投标报价</w:t>
      </w:r>
      <w:r>
        <w:rPr>
          <w:rFonts w:hint="eastAsia" w:ascii="宋体" w:hAnsi="宋体" w:cs="宋体"/>
          <w:kern w:val="0"/>
          <w:szCs w:val="21"/>
        </w:rPr>
        <w:t>)×</w:t>
      </w:r>
      <w:r>
        <w:rPr>
          <w:rFonts w:hint="eastAsia" w:ascii="宋体" w:hAnsi="宋体" w:cs="宋体"/>
          <w:kern w:val="0"/>
          <w:szCs w:val="21"/>
          <w:u w:val="single"/>
        </w:rPr>
        <w:t>10</w:t>
      </w:r>
      <w:r>
        <w:rPr>
          <w:rFonts w:hint="eastAsia" w:ascii="宋体" w:hAnsi="宋体" w:cs="宋体"/>
          <w:kern w:val="0"/>
          <w:szCs w:val="21"/>
        </w:rPr>
        <w:t>%×100</w:t>
      </w:r>
    </w:p>
    <w:p>
      <w:pPr>
        <w:widowControl/>
        <w:snapToGrid w:val="0"/>
        <w:spacing w:line="360" w:lineRule="auto"/>
        <w:ind w:firstLine="420" w:firstLineChars="200"/>
        <w:rPr>
          <w:rFonts w:ascii="宋体" w:hAnsi="宋体" w:cs="宋体"/>
          <w:szCs w:val="21"/>
        </w:rPr>
      </w:pPr>
      <w:r>
        <w:rPr>
          <w:rFonts w:hint="eastAsia" w:ascii="宋体" w:hAnsi="宋体" w:cs="宋体"/>
          <w:szCs w:val="21"/>
        </w:rPr>
        <w:t>此项由评标委员会集体核实后统一打分。</w:t>
      </w:r>
    </w:p>
    <w:p>
      <w:pPr>
        <w:adjustRightInd w:val="0"/>
        <w:snapToGrid w:val="0"/>
        <w:spacing w:line="360" w:lineRule="auto"/>
        <w:ind w:firstLine="422" w:firstLineChars="200"/>
        <w:rPr>
          <w:rFonts w:ascii="宋体" w:hAnsi="宋体" w:cs="宋体"/>
          <w:b/>
          <w:bCs/>
        </w:rPr>
      </w:pPr>
      <w:r>
        <w:rPr>
          <w:rFonts w:hint="eastAsia" w:ascii="宋体" w:hAnsi="宋体" w:cs="宋体"/>
          <w:b/>
          <w:bCs/>
        </w:rPr>
        <w:t>六、修改评标结果</w:t>
      </w:r>
    </w:p>
    <w:p>
      <w:pPr>
        <w:adjustRightInd w:val="0"/>
        <w:snapToGrid w:val="0"/>
        <w:spacing w:line="360" w:lineRule="auto"/>
        <w:ind w:firstLine="440" w:firstLineChars="200"/>
        <w:rPr>
          <w:rFonts w:ascii="宋体" w:hAnsi="宋体" w:cs="宋体"/>
          <w:b/>
          <w:bCs/>
        </w:rPr>
      </w:pPr>
      <w:r>
        <w:rPr>
          <w:rStyle w:val="78"/>
          <w:rFonts w:hint="default" w:cs="宋体"/>
          <w:color w:val="auto"/>
        </w:rPr>
        <w:t>评标结果汇总完成后，除下列情形外，任何人不得修改评标结果：</w:t>
      </w:r>
    </w:p>
    <w:p>
      <w:pPr>
        <w:adjustRightInd w:val="0"/>
        <w:snapToGrid w:val="0"/>
        <w:spacing w:line="360" w:lineRule="auto"/>
        <w:ind w:firstLine="440" w:firstLineChars="200"/>
        <w:rPr>
          <w:rStyle w:val="78"/>
          <w:rFonts w:hint="default" w:cs="宋体"/>
          <w:color w:val="auto"/>
        </w:rPr>
      </w:pPr>
      <w:r>
        <w:rPr>
          <w:rStyle w:val="78"/>
          <w:rFonts w:hint="default" w:cs="宋体"/>
          <w:color w:val="auto"/>
        </w:rPr>
        <w:t>（一）分值汇总计算错误的</w:t>
      </w:r>
    </w:p>
    <w:p>
      <w:pPr>
        <w:adjustRightInd w:val="0"/>
        <w:snapToGrid w:val="0"/>
        <w:spacing w:line="360" w:lineRule="auto"/>
        <w:ind w:firstLine="440" w:firstLineChars="200"/>
        <w:rPr>
          <w:rStyle w:val="78"/>
          <w:rFonts w:hint="default" w:cs="宋体"/>
          <w:color w:val="auto"/>
        </w:rPr>
      </w:pPr>
      <w:r>
        <w:rPr>
          <w:rStyle w:val="78"/>
          <w:rFonts w:hint="default" w:cs="宋体"/>
          <w:color w:val="auto"/>
        </w:rPr>
        <w:t>（二）分项评分超出评分标准范围的；</w:t>
      </w:r>
    </w:p>
    <w:p>
      <w:pPr>
        <w:adjustRightInd w:val="0"/>
        <w:snapToGrid w:val="0"/>
        <w:spacing w:line="360" w:lineRule="auto"/>
        <w:ind w:firstLine="440" w:firstLineChars="200"/>
        <w:rPr>
          <w:rStyle w:val="78"/>
          <w:rFonts w:hint="default" w:cs="宋体"/>
          <w:color w:val="auto"/>
        </w:rPr>
      </w:pPr>
      <w:r>
        <w:rPr>
          <w:rStyle w:val="78"/>
          <w:rFonts w:hint="default" w:cs="宋体"/>
          <w:color w:val="auto"/>
        </w:rPr>
        <w:t>（三）评标委员会成员对客观评审因素评分不一致的；</w:t>
      </w:r>
    </w:p>
    <w:p>
      <w:pPr>
        <w:adjustRightInd w:val="0"/>
        <w:snapToGrid w:val="0"/>
        <w:spacing w:line="360" w:lineRule="auto"/>
        <w:ind w:firstLine="440" w:firstLineChars="200"/>
        <w:rPr>
          <w:rStyle w:val="78"/>
          <w:rFonts w:hint="default" w:cs="宋体"/>
          <w:color w:val="auto"/>
        </w:rPr>
      </w:pPr>
      <w:r>
        <w:rPr>
          <w:rStyle w:val="78"/>
          <w:rFonts w:hint="default" w:cs="宋体"/>
          <w:color w:val="auto"/>
        </w:rPr>
        <w:t>（四）经评标委员会认定评分畸高、畸低的。</w:t>
      </w:r>
    </w:p>
    <w:p>
      <w:pPr>
        <w:adjustRightInd w:val="0"/>
        <w:snapToGrid w:val="0"/>
        <w:spacing w:line="360" w:lineRule="auto"/>
        <w:ind w:firstLine="422" w:firstLineChars="200"/>
        <w:rPr>
          <w:rFonts w:ascii="宋体" w:hAnsi="宋体" w:cs="宋体"/>
          <w:b/>
          <w:bCs/>
        </w:rPr>
      </w:pPr>
      <w:r>
        <w:rPr>
          <w:rFonts w:hint="eastAsia" w:ascii="宋体" w:hAnsi="宋体" w:cs="宋体"/>
          <w:b/>
          <w:bCs/>
        </w:rPr>
        <w:t>七、确定中标人</w:t>
      </w:r>
    </w:p>
    <w:p>
      <w:pPr>
        <w:autoSpaceDE w:val="0"/>
        <w:autoSpaceDN w:val="0"/>
        <w:adjustRightInd w:val="0"/>
        <w:snapToGrid w:val="0"/>
        <w:spacing w:line="360" w:lineRule="auto"/>
        <w:ind w:firstLine="420" w:firstLineChars="200"/>
        <w:textAlignment w:val="bottom"/>
        <w:rPr>
          <w:rFonts w:ascii="宋体" w:hAnsi="宋体" w:cs="宋体"/>
        </w:rPr>
      </w:pPr>
      <w:r>
        <w:rPr>
          <w:rFonts w:hint="eastAsia" w:ascii="宋体" w:hAnsi="宋体" w:cs="宋体"/>
        </w:rPr>
        <w:t xml:space="preserve">采购人将根据评标委员会提交的评标报告及推荐的中标候选人，确定第一中标候选人为中标人，如排序并列，确定商务资信技术分加样品分得分高者为中标人，如商务资信技术分加样品分相同，确定样品分得分高者为中标人，如样品分仍然相同，采取随机抽取的方式确定。 </w:t>
      </w:r>
    </w:p>
    <w:p>
      <w:pPr>
        <w:widowControl/>
        <w:snapToGrid w:val="0"/>
        <w:spacing w:line="300" w:lineRule="auto"/>
        <w:ind w:firstLine="420" w:firstLineChars="200"/>
        <w:jc w:val="left"/>
        <w:rPr>
          <w:rFonts w:ascii="宋体" w:hAnsi="宋体" w:cs="宋体"/>
          <w:kern w:val="0"/>
          <w:szCs w:val="21"/>
        </w:rPr>
      </w:pPr>
    </w:p>
    <w:p>
      <w:pPr>
        <w:pStyle w:val="4"/>
        <w:snapToGrid w:val="0"/>
        <w:rPr>
          <w:rFonts w:ascii="宋体" w:hAnsi="宋体" w:eastAsia="宋体" w:cs="宋体"/>
          <w:color w:val="auto"/>
        </w:rPr>
      </w:pPr>
      <w:r>
        <w:rPr>
          <w:rFonts w:hint="eastAsia" w:ascii="宋体" w:hAnsi="宋体" w:eastAsia="宋体" w:cs="宋体"/>
          <w:color w:val="auto"/>
          <w:kern w:val="0"/>
          <w:szCs w:val="21"/>
        </w:rPr>
        <w:br w:type="page"/>
      </w:r>
      <w:r>
        <w:rPr>
          <w:rFonts w:hint="eastAsia" w:ascii="宋体" w:hAnsi="宋体" w:eastAsia="宋体" w:cs="宋体"/>
          <w:color w:val="auto"/>
        </w:rPr>
        <w:t xml:space="preserve"> </w:t>
      </w:r>
    </w:p>
    <w:p>
      <w:pPr>
        <w:pStyle w:val="4"/>
        <w:snapToGrid w:val="0"/>
        <w:rPr>
          <w:rFonts w:ascii="宋体" w:hAnsi="宋体" w:eastAsia="宋体" w:cs="宋体"/>
          <w:color w:val="auto"/>
        </w:rPr>
      </w:pPr>
      <w:bookmarkStart w:id="94" w:name="_Toc516132588"/>
      <w:bookmarkStart w:id="95" w:name="_Toc82338246"/>
      <w:bookmarkStart w:id="96" w:name="_Toc82873329"/>
      <w:bookmarkStart w:id="97" w:name="_Toc211745570"/>
      <w:r>
        <w:rPr>
          <w:rFonts w:hint="eastAsia" w:ascii="宋体" w:hAnsi="宋体" w:eastAsia="宋体" w:cs="宋体"/>
          <w:color w:val="auto"/>
        </w:rPr>
        <w:t>第七章  投标文件格式</w:t>
      </w:r>
      <w:bookmarkEnd w:id="94"/>
      <w:bookmarkEnd w:id="95"/>
      <w:bookmarkEnd w:id="96"/>
      <w:bookmarkEnd w:id="97"/>
    </w:p>
    <w:p>
      <w:pPr>
        <w:snapToGrid w:val="0"/>
        <w:spacing w:line="300" w:lineRule="auto"/>
        <w:jc w:val="center"/>
        <w:rPr>
          <w:rFonts w:ascii="宋体" w:hAnsi="宋体" w:cs="宋体"/>
        </w:rPr>
      </w:pPr>
      <w:r>
        <w:rPr>
          <w:rFonts w:hint="eastAsia" w:ascii="宋体" w:hAnsi="宋体" w:cs="宋体"/>
        </w:rPr>
        <w:t>（未提供格式的由投标人自拟）</w:t>
      </w:r>
    </w:p>
    <w:p>
      <w:pPr>
        <w:pStyle w:val="5"/>
        <w:snapToGrid w:val="0"/>
        <w:ind w:firstLine="422"/>
        <w:rPr>
          <w:rFonts w:ascii="宋体" w:hAnsi="宋体" w:cs="宋体"/>
        </w:rPr>
      </w:pPr>
      <w:bookmarkStart w:id="98" w:name="_Toc437953145"/>
      <w:bookmarkStart w:id="99" w:name="_Toc345575534"/>
      <w:r>
        <w:rPr>
          <w:rFonts w:hint="eastAsia" w:ascii="宋体" w:hAnsi="宋体" w:cs="宋体"/>
        </w:rPr>
        <w:t>报价文件封面</w:t>
      </w:r>
      <w:bookmarkEnd w:id="98"/>
      <w:bookmarkEnd w:id="99"/>
    </w:p>
    <w:p>
      <w:pPr>
        <w:tabs>
          <w:tab w:val="left" w:pos="2580"/>
          <w:tab w:val="left" w:pos="5940"/>
        </w:tabs>
        <w:autoSpaceDE w:val="0"/>
        <w:autoSpaceDN w:val="0"/>
        <w:adjustRightInd w:val="0"/>
        <w:snapToGrid w:val="0"/>
        <w:spacing w:line="300" w:lineRule="auto"/>
        <w:ind w:right="-20"/>
        <w:rPr>
          <w:rFonts w:ascii="宋体" w:hAnsi="宋体" w:cs="宋体"/>
          <w:kern w:val="0"/>
          <w:sz w:val="28"/>
        </w:rPr>
      </w:pPr>
    </w:p>
    <w:p>
      <w:pPr>
        <w:tabs>
          <w:tab w:val="left" w:pos="2580"/>
          <w:tab w:val="left" w:pos="5940"/>
        </w:tabs>
        <w:autoSpaceDE w:val="0"/>
        <w:autoSpaceDN w:val="0"/>
        <w:adjustRightInd w:val="0"/>
        <w:snapToGrid w:val="0"/>
        <w:spacing w:line="300" w:lineRule="auto"/>
        <w:ind w:right="-20" w:firstLine="980" w:firstLineChars="350"/>
        <w:rPr>
          <w:rFonts w:ascii="宋体" w:hAnsi="宋体" w:cs="宋体"/>
          <w:kern w:val="0"/>
          <w:sz w:val="28"/>
          <w:u w:val="single"/>
        </w:rPr>
      </w:pPr>
      <w:r>
        <w:rPr>
          <w:rFonts w:hint="eastAsia" w:ascii="宋体" w:hAnsi="宋体" w:cs="宋体"/>
          <w:kern w:val="0"/>
          <w:sz w:val="28"/>
        </w:rPr>
        <w:t>项目名称：</w:t>
      </w:r>
      <w:r>
        <w:rPr>
          <w:rFonts w:hint="eastAsia" w:ascii="宋体" w:hAnsi="宋体" w:cs="宋体"/>
          <w:kern w:val="0"/>
          <w:sz w:val="28"/>
          <w:u w:val="single"/>
        </w:rPr>
        <w:t xml:space="preserve">                                         </w:t>
      </w:r>
    </w:p>
    <w:p>
      <w:pPr>
        <w:tabs>
          <w:tab w:val="left" w:pos="2580"/>
          <w:tab w:val="left" w:pos="5940"/>
        </w:tabs>
        <w:autoSpaceDE w:val="0"/>
        <w:autoSpaceDN w:val="0"/>
        <w:adjustRightInd w:val="0"/>
        <w:snapToGrid w:val="0"/>
        <w:spacing w:line="300" w:lineRule="auto"/>
        <w:ind w:right="-20" w:firstLine="980" w:firstLineChars="350"/>
        <w:rPr>
          <w:rFonts w:ascii="宋体" w:hAnsi="宋体" w:cs="宋体"/>
          <w:kern w:val="0"/>
          <w:sz w:val="28"/>
          <w:u w:val="single"/>
        </w:rPr>
      </w:pPr>
      <w:r>
        <w:rPr>
          <w:rFonts w:hint="eastAsia" w:ascii="宋体" w:hAnsi="宋体" w:cs="宋体"/>
          <w:kern w:val="0"/>
          <w:sz w:val="28"/>
        </w:rPr>
        <w:t>项目编号：</w:t>
      </w:r>
      <w:r>
        <w:rPr>
          <w:rFonts w:hint="eastAsia" w:ascii="宋体" w:hAnsi="宋体" w:cs="宋体"/>
          <w:kern w:val="0"/>
          <w:sz w:val="28"/>
          <w:u w:val="single"/>
        </w:rPr>
        <w:t xml:space="preserve">                                     </w:t>
      </w:r>
    </w:p>
    <w:p>
      <w:pPr>
        <w:tabs>
          <w:tab w:val="left" w:pos="2580"/>
          <w:tab w:val="left" w:pos="5940"/>
        </w:tabs>
        <w:autoSpaceDE w:val="0"/>
        <w:autoSpaceDN w:val="0"/>
        <w:adjustRightInd w:val="0"/>
        <w:snapToGrid w:val="0"/>
        <w:spacing w:line="300" w:lineRule="auto"/>
        <w:ind w:right="-20" w:firstLine="980" w:firstLineChars="350"/>
        <w:rPr>
          <w:rFonts w:ascii="宋体" w:hAnsi="宋体" w:cs="宋体"/>
          <w:kern w:val="0"/>
          <w:sz w:val="28"/>
          <w:u w:val="single"/>
        </w:rPr>
      </w:pPr>
      <w:r>
        <w:rPr>
          <w:rFonts w:hint="eastAsia" w:ascii="宋体" w:hAnsi="宋体" w:cs="宋体"/>
          <w:kern w:val="0"/>
          <w:sz w:val="28"/>
        </w:rPr>
        <w:t>标项序号及标项内容：</w:t>
      </w:r>
      <w:r>
        <w:rPr>
          <w:rFonts w:hint="eastAsia" w:ascii="宋体" w:hAnsi="宋体" w:cs="宋体"/>
          <w:kern w:val="0"/>
          <w:sz w:val="28"/>
          <w:u w:val="single"/>
        </w:rPr>
        <w:t xml:space="preserve">                               </w:t>
      </w:r>
    </w:p>
    <w:p>
      <w:pPr>
        <w:autoSpaceDE w:val="0"/>
        <w:autoSpaceDN w:val="0"/>
        <w:adjustRightInd w:val="0"/>
        <w:snapToGrid w:val="0"/>
        <w:spacing w:line="300" w:lineRule="auto"/>
        <w:jc w:val="left"/>
        <w:rPr>
          <w:rFonts w:ascii="宋体" w:hAnsi="宋体" w:cs="宋体"/>
          <w:b/>
          <w:bCs/>
          <w:kern w:val="0"/>
          <w:sz w:val="44"/>
          <w:szCs w:val="44"/>
        </w:rPr>
      </w:pPr>
    </w:p>
    <w:p>
      <w:pPr>
        <w:autoSpaceDE w:val="0"/>
        <w:autoSpaceDN w:val="0"/>
        <w:adjustRightInd w:val="0"/>
        <w:snapToGrid w:val="0"/>
        <w:spacing w:line="300" w:lineRule="auto"/>
        <w:jc w:val="left"/>
        <w:rPr>
          <w:rFonts w:ascii="宋体" w:hAnsi="宋体" w:cs="宋体"/>
          <w:kern w:val="0"/>
          <w:sz w:val="24"/>
        </w:rPr>
      </w:pPr>
    </w:p>
    <w:p>
      <w:pPr>
        <w:autoSpaceDE w:val="0"/>
        <w:autoSpaceDN w:val="0"/>
        <w:adjustRightInd w:val="0"/>
        <w:snapToGrid w:val="0"/>
        <w:spacing w:line="300" w:lineRule="auto"/>
        <w:jc w:val="left"/>
        <w:rPr>
          <w:rFonts w:ascii="宋体" w:hAnsi="宋体" w:cs="宋体"/>
          <w:kern w:val="0"/>
          <w:sz w:val="24"/>
        </w:rPr>
      </w:pPr>
    </w:p>
    <w:p>
      <w:pPr>
        <w:autoSpaceDE w:val="0"/>
        <w:autoSpaceDN w:val="0"/>
        <w:adjustRightInd w:val="0"/>
        <w:snapToGrid w:val="0"/>
        <w:spacing w:line="300" w:lineRule="auto"/>
        <w:jc w:val="left"/>
        <w:rPr>
          <w:rFonts w:ascii="宋体" w:hAnsi="宋体" w:cs="宋体"/>
          <w:kern w:val="0"/>
          <w:sz w:val="24"/>
        </w:rPr>
      </w:pPr>
    </w:p>
    <w:p>
      <w:pPr>
        <w:autoSpaceDE w:val="0"/>
        <w:autoSpaceDN w:val="0"/>
        <w:adjustRightInd w:val="0"/>
        <w:snapToGrid w:val="0"/>
        <w:spacing w:line="300" w:lineRule="auto"/>
        <w:jc w:val="left"/>
        <w:rPr>
          <w:rFonts w:ascii="宋体" w:hAnsi="宋体" w:cs="宋体"/>
          <w:kern w:val="0"/>
          <w:sz w:val="24"/>
        </w:rPr>
      </w:pPr>
    </w:p>
    <w:p>
      <w:pPr>
        <w:autoSpaceDE w:val="0"/>
        <w:autoSpaceDN w:val="0"/>
        <w:adjustRightInd w:val="0"/>
        <w:snapToGrid w:val="0"/>
        <w:spacing w:line="300" w:lineRule="auto"/>
        <w:jc w:val="left"/>
        <w:rPr>
          <w:rFonts w:ascii="宋体" w:hAnsi="宋体" w:cs="宋体"/>
          <w:kern w:val="0"/>
          <w:sz w:val="24"/>
        </w:rPr>
      </w:pPr>
    </w:p>
    <w:p>
      <w:pPr>
        <w:tabs>
          <w:tab w:val="left" w:pos="1805"/>
          <w:tab w:val="left" w:pos="5360"/>
        </w:tabs>
        <w:autoSpaceDE w:val="0"/>
        <w:autoSpaceDN w:val="0"/>
        <w:adjustRightInd w:val="0"/>
        <w:snapToGrid w:val="0"/>
        <w:spacing w:line="300" w:lineRule="auto"/>
        <w:ind w:right="-20"/>
        <w:jc w:val="center"/>
        <w:rPr>
          <w:rFonts w:ascii="宋体" w:hAnsi="宋体" w:cs="宋体"/>
          <w:kern w:val="0"/>
          <w:sz w:val="72"/>
        </w:rPr>
      </w:pPr>
      <w:r>
        <w:rPr>
          <w:rFonts w:hint="eastAsia" w:ascii="宋体" w:hAnsi="宋体" w:cs="宋体"/>
          <w:kern w:val="0"/>
          <w:sz w:val="72"/>
        </w:rPr>
        <w:t>投 标 文 件</w:t>
      </w:r>
    </w:p>
    <w:p>
      <w:pPr>
        <w:tabs>
          <w:tab w:val="left" w:pos="1805"/>
          <w:tab w:val="left" w:pos="5360"/>
        </w:tabs>
        <w:autoSpaceDE w:val="0"/>
        <w:autoSpaceDN w:val="0"/>
        <w:adjustRightInd w:val="0"/>
        <w:snapToGrid w:val="0"/>
        <w:spacing w:line="300" w:lineRule="auto"/>
        <w:ind w:right="-20"/>
        <w:jc w:val="center"/>
        <w:rPr>
          <w:rFonts w:ascii="宋体" w:hAnsi="宋体" w:cs="宋体"/>
          <w:kern w:val="0"/>
          <w:sz w:val="72"/>
        </w:rPr>
      </w:pPr>
      <w:r>
        <w:rPr>
          <w:rFonts w:hint="eastAsia" w:ascii="宋体" w:hAnsi="宋体" w:cs="宋体"/>
          <w:kern w:val="0"/>
          <w:sz w:val="72"/>
        </w:rPr>
        <w:t>（报价文件）</w:t>
      </w:r>
    </w:p>
    <w:p>
      <w:pPr>
        <w:autoSpaceDE w:val="0"/>
        <w:autoSpaceDN w:val="0"/>
        <w:adjustRightInd w:val="0"/>
        <w:snapToGrid w:val="0"/>
        <w:spacing w:line="300" w:lineRule="auto"/>
        <w:jc w:val="left"/>
        <w:rPr>
          <w:rFonts w:ascii="宋体" w:hAnsi="宋体" w:cs="宋体"/>
          <w:kern w:val="0"/>
          <w:sz w:val="16"/>
        </w:rPr>
      </w:pPr>
    </w:p>
    <w:p>
      <w:pPr>
        <w:autoSpaceDE w:val="0"/>
        <w:autoSpaceDN w:val="0"/>
        <w:adjustRightInd w:val="0"/>
        <w:snapToGrid w:val="0"/>
        <w:spacing w:line="300" w:lineRule="auto"/>
        <w:jc w:val="left"/>
        <w:rPr>
          <w:rFonts w:ascii="宋体" w:hAnsi="宋体" w:cs="宋体"/>
          <w:kern w:val="0"/>
          <w:sz w:val="20"/>
        </w:rPr>
      </w:pPr>
    </w:p>
    <w:p>
      <w:pPr>
        <w:autoSpaceDE w:val="0"/>
        <w:autoSpaceDN w:val="0"/>
        <w:adjustRightInd w:val="0"/>
        <w:snapToGrid w:val="0"/>
        <w:spacing w:line="300" w:lineRule="auto"/>
        <w:jc w:val="left"/>
        <w:rPr>
          <w:rFonts w:ascii="宋体" w:hAnsi="宋体" w:cs="宋体"/>
          <w:kern w:val="0"/>
          <w:sz w:val="20"/>
        </w:rPr>
      </w:pPr>
    </w:p>
    <w:p>
      <w:pPr>
        <w:autoSpaceDE w:val="0"/>
        <w:autoSpaceDN w:val="0"/>
        <w:adjustRightInd w:val="0"/>
        <w:snapToGrid w:val="0"/>
        <w:spacing w:line="300" w:lineRule="auto"/>
        <w:jc w:val="left"/>
        <w:rPr>
          <w:rFonts w:ascii="宋体" w:hAnsi="宋体" w:cs="宋体"/>
          <w:kern w:val="0"/>
          <w:sz w:val="20"/>
        </w:rPr>
      </w:pPr>
    </w:p>
    <w:p>
      <w:pPr>
        <w:autoSpaceDE w:val="0"/>
        <w:autoSpaceDN w:val="0"/>
        <w:adjustRightInd w:val="0"/>
        <w:snapToGrid w:val="0"/>
        <w:spacing w:line="300" w:lineRule="auto"/>
        <w:jc w:val="left"/>
        <w:rPr>
          <w:rFonts w:ascii="宋体" w:hAnsi="宋体" w:cs="宋体"/>
          <w:kern w:val="0"/>
          <w:sz w:val="20"/>
        </w:rPr>
      </w:pPr>
    </w:p>
    <w:p>
      <w:pPr>
        <w:autoSpaceDE w:val="0"/>
        <w:autoSpaceDN w:val="0"/>
        <w:adjustRightInd w:val="0"/>
        <w:snapToGrid w:val="0"/>
        <w:spacing w:line="300" w:lineRule="auto"/>
        <w:jc w:val="left"/>
        <w:rPr>
          <w:rFonts w:ascii="宋体" w:hAnsi="宋体" w:cs="宋体"/>
          <w:kern w:val="0"/>
          <w:sz w:val="20"/>
        </w:rPr>
      </w:pPr>
    </w:p>
    <w:p>
      <w:pPr>
        <w:tabs>
          <w:tab w:val="left" w:pos="6080"/>
          <w:tab w:val="left" w:pos="6640"/>
        </w:tabs>
        <w:autoSpaceDE w:val="0"/>
        <w:autoSpaceDN w:val="0"/>
        <w:adjustRightInd w:val="0"/>
        <w:snapToGrid w:val="0"/>
        <w:spacing w:line="300" w:lineRule="auto"/>
        <w:ind w:left="774" w:right="403"/>
        <w:jc w:val="left"/>
        <w:rPr>
          <w:rFonts w:ascii="宋体" w:hAnsi="宋体" w:cs="宋体"/>
          <w:kern w:val="0"/>
          <w:sz w:val="28"/>
        </w:rPr>
      </w:pPr>
      <w:r>
        <w:rPr>
          <w:rFonts w:hint="eastAsia" w:ascii="宋体" w:hAnsi="宋体" w:cs="宋体"/>
          <w:kern w:val="0"/>
          <w:sz w:val="28"/>
        </w:rPr>
        <w:t>投标人：</w:t>
      </w:r>
      <w:r>
        <w:rPr>
          <w:rFonts w:hint="eastAsia" w:ascii="宋体" w:hAnsi="宋体" w:cs="宋体"/>
          <w:kern w:val="0"/>
          <w:sz w:val="28"/>
          <w:u w:val="single"/>
        </w:rPr>
        <w:t xml:space="preserve">                          </w:t>
      </w:r>
      <w:r>
        <w:rPr>
          <w:rFonts w:hint="eastAsia" w:ascii="宋体" w:hAnsi="宋体" w:cs="宋体"/>
          <w:kern w:val="0"/>
          <w:sz w:val="28"/>
        </w:rPr>
        <w:t>（盖单位公章）</w:t>
      </w:r>
    </w:p>
    <w:p>
      <w:pPr>
        <w:tabs>
          <w:tab w:val="left" w:pos="6080"/>
          <w:tab w:val="left" w:pos="6640"/>
        </w:tabs>
        <w:autoSpaceDE w:val="0"/>
        <w:autoSpaceDN w:val="0"/>
        <w:adjustRightInd w:val="0"/>
        <w:snapToGrid w:val="0"/>
        <w:spacing w:line="300" w:lineRule="auto"/>
        <w:ind w:left="774" w:right="403"/>
        <w:jc w:val="left"/>
        <w:rPr>
          <w:rFonts w:ascii="宋体" w:hAnsi="宋体" w:cs="宋体"/>
          <w:kern w:val="0"/>
          <w:sz w:val="28"/>
        </w:rPr>
      </w:pPr>
      <w:r>
        <w:rPr>
          <w:rFonts w:hint="eastAsia" w:ascii="宋体" w:hAnsi="宋体" w:cs="宋体"/>
          <w:kern w:val="0"/>
          <w:sz w:val="28"/>
        </w:rPr>
        <w:t>投标文件签署人：</w:t>
      </w:r>
      <w:r>
        <w:rPr>
          <w:rFonts w:hint="eastAsia" w:ascii="宋体" w:hAnsi="宋体" w:cs="宋体"/>
          <w:kern w:val="0"/>
          <w:sz w:val="28"/>
          <w:u w:val="single"/>
        </w:rPr>
        <w:t xml:space="preserve">                  </w:t>
      </w:r>
      <w:r>
        <w:rPr>
          <w:rFonts w:hint="eastAsia" w:ascii="宋体" w:hAnsi="宋体" w:cs="宋体"/>
          <w:kern w:val="0"/>
          <w:sz w:val="28"/>
        </w:rPr>
        <w:t>（签字或盖章）</w:t>
      </w:r>
    </w:p>
    <w:p>
      <w:pPr>
        <w:tabs>
          <w:tab w:val="left" w:pos="6080"/>
          <w:tab w:val="left" w:pos="6640"/>
        </w:tabs>
        <w:autoSpaceDE w:val="0"/>
        <w:autoSpaceDN w:val="0"/>
        <w:adjustRightInd w:val="0"/>
        <w:snapToGrid w:val="0"/>
        <w:spacing w:line="300" w:lineRule="auto"/>
        <w:ind w:left="774" w:right="403"/>
        <w:jc w:val="left"/>
        <w:rPr>
          <w:rFonts w:ascii="宋体" w:hAnsi="宋体" w:cs="宋体"/>
          <w:kern w:val="0"/>
          <w:sz w:val="28"/>
        </w:rPr>
      </w:pPr>
    </w:p>
    <w:p>
      <w:pPr>
        <w:tabs>
          <w:tab w:val="left" w:pos="3280"/>
          <w:tab w:val="left" w:pos="4680"/>
          <w:tab w:val="left" w:pos="6080"/>
        </w:tabs>
        <w:autoSpaceDE w:val="0"/>
        <w:autoSpaceDN w:val="0"/>
        <w:adjustRightInd w:val="0"/>
        <w:snapToGrid w:val="0"/>
        <w:spacing w:line="300" w:lineRule="auto"/>
        <w:ind w:left="2173" w:leftChars="1035" w:right="-20" w:firstLine="546" w:firstLineChars="195"/>
        <w:jc w:val="left"/>
        <w:rPr>
          <w:rFonts w:ascii="宋体" w:hAnsi="宋体" w:cs="宋体"/>
          <w:kern w:val="0"/>
          <w:sz w:val="28"/>
        </w:rPr>
      </w:pPr>
      <w:r>
        <w:rPr>
          <w:rFonts w:hint="eastAsia" w:ascii="宋体" w:hAnsi="宋体" w:cs="宋体"/>
          <w:kern w:val="0"/>
          <w:sz w:val="28"/>
          <w:u w:val="single"/>
        </w:rPr>
        <w:t xml:space="preserve">      </w:t>
      </w:r>
      <w:r>
        <w:rPr>
          <w:rFonts w:hint="eastAsia" w:ascii="宋体" w:hAnsi="宋体" w:cs="宋体"/>
          <w:kern w:val="0"/>
          <w:sz w:val="28"/>
        </w:rPr>
        <w:t>年</w:t>
      </w:r>
      <w:r>
        <w:rPr>
          <w:rFonts w:hint="eastAsia" w:ascii="宋体" w:hAnsi="宋体" w:cs="宋体"/>
          <w:kern w:val="0"/>
          <w:sz w:val="28"/>
          <w:u w:val="single"/>
        </w:rPr>
        <w:t xml:space="preserve">   </w:t>
      </w:r>
      <w:r>
        <w:rPr>
          <w:rFonts w:hint="eastAsia" w:ascii="宋体" w:hAnsi="宋体" w:cs="宋体"/>
          <w:kern w:val="0"/>
          <w:sz w:val="28"/>
        </w:rPr>
        <w:t>月</w:t>
      </w:r>
      <w:r>
        <w:rPr>
          <w:rFonts w:hint="eastAsia" w:ascii="宋体" w:hAnsi="宋体" w:cs="宋体"/>
          <w:kern w:val="0"/>
          <w:sz w:val="28"/>
          <w:u w:val="single"/>
        </w:rPr>
        <w:t xml:space="preserve">   </w:t>
      </w:r>
      <w:r>
        <w:rPr>
          <w:rFonts w:hint="eastAsia" w:ascii="宋体" w:hAnsi="宋体" w:cs="宋体"/>
          <w:kern w:val="0"/>
          <w:sz w:val="28"/>
        </w:rPr>
        <w:t>日</w:t>
      </w:r>
    </w:p>
    <w:p>
      <w:pPr>
        <w:snapToGrid w:val="0"/>
        <w:spacing w:line="300" w:lineRule="auto"/>
        <w:jc w:val="center"/>
        <w:rPr>
          <w:rFonts w:ascii="宋体" w:hAnsi="宋体" w:cs="宋体"/>
        </w:rPr>
      </w:pPr>
    </w:p>
    <w:p>
      <w:pPr>
        <w:pStyle w:val="5"/>
        <w:snapToGrid w:val="0"/>
        <w:ind w:firstLine="422"/>
        <w:rPr>
          <w:rFonts w:ascii="宋体" w:hAnsi="宋体" w:cs="宋体"/>
        </w:rPr>
      </w:pPr>
      <w:r>
        <w:rPr>
          <w:rFonts w:hint="eastAsia" w:ascii="宋体" w:hAnsi="宋体" w:cs="宋体"/>
        </w:rPr>
        <w:br w:type="page"/>
      </w:r>
      <w:bookmarkStart w:id="100" w:name="_Toc345575538"/>
      <w:bookmarkStart w:id="101" w:name="_Toc336683578"/>
      <w:r>
        <w:rPr>
          <w:rFonts w:hint="eastAsia" w:ascii="宋体" w:hAnsi="宋体" w:cs="宋体"/>
        </w:rPr>
        <w:t>一、投标函格式</w:t>
      </w:r>
      <w:bookmarkEnd w:id="100"/>
      <w:bookmarkEnd w:id="101"/>
      <w:r>
        <w:rPr>
          <w:rFonts w:hint="eastAsia" w:ascii="宋体" w:hAnsi="宋体" w:cs="宋体"/>
        </w:rPr>
        <w:t xml:space="preserve"> </w:t>
      </w:r>
    </w:p>
    <w:p>
      <w:pPr>
        <w:pStyle w:val="21"/>
        <w:adjustRightInd w:val="0"/>
        <w:snapToGrid w:val="0"/>
        <w:spacing w:line="300" w:lineRule="auto"/>
        <w:jc w:val="center"/>
        <w:rPr>
          <w:rFonts w:hAnsi="宋体" w:cs="宋体"/>
          <w:b/>
          <w:bCs/>
          <w:sz w:val="32"/>
        </w:rPr>
      </w:pPr>
      <w:r>
        <w:rPr>
          <w:rFonts w:hint="eastAsia" w:hAnsi="宋体" w:cs="宋体"/>
          <w:b/>
          <w:bCs/>
          <w:sz w:val="32"/>
        </w:rPr>
        <w:t>投标函</w:t>
      </w:r>
    </w:p>
    <w:p>
      <w:pPr>
        <w:pStyle w:val="21"/>
        <w:adjustRightInd w:val="0"/>
        <w:snapToGrid w:val="0"/>
        <w:spacing w:line="300" w:lineRule="auto"/>
        <w:rPr>
          <w:rFonts w:hAnsi="宋体" w:cs="宋体"/>
        </w:rPr>
      </w:pPr>
      <w:r>
        <w:rPr>
          <w:rFonts w:hint="eastAsia" w:hAnsi="宋体" w:cs="宋体"/>
          <w:u w:val="single"/>
        </w:rPr>
        <w:t>（采购人单位名称）</w:t>
      </w:r>
      <w:r>
        <w:rPr>
          <w:rFonts w:hint="eastAsia" w:hAnsi="宋体" w:cs="宋体"/>
        </w:rPr>
        <w:t>：</w:t>
      </w:r>
    </w:p>
    <w:p>
      <w:pPr>
        <w:pStyle w:val="21"/>
        <w:adjustRightInd w:val="0"/>
        <w:snapToGrid w:val="0"/>
        <w:spacing w:line="300" w:lineRule="auto"/>
        <w:rPr>
          <w:rFonts w:hAnsi="宋体" w:cs="宋体"/>
        </w:rPr>
      </w:pPr>
      <w:r>
        <w:rPr>
          <w:rFonts w:hint="eastAsia" w:hAnsi="宋体" w:cs="宋体"/>
          <w:u w:val="single"/>
        </w:rPr>
        <w:t>浙江中诺招标代理有限公司</w:t>
      </w:r>
      <w:r>
        <w:rPr>
          <w:rFonts w:hint="eastAsia" w:hAnsi="宋体" w:cs="宋体"/>
        </w:rPr>
        <w:t>：</w:t>
      </w:r>
    </w:p>
    <w:p>
      <w:pPr>
        <w:pStyle w:val="21"/>
        <w:adjustRightInd w:val="0"/>
        <w:snapToGrid w:val="0"/>
        <w:spacing w:line="300" w:lineRule="auto"/>
        <w:ind w:firstLine="411" w:firstLineChars="196"/>
        <w:rPr>
          <w:rFonts w:hAnsi="宋体" w:cs="宋体"/>
        </w:rPr>
      </w:pPr>
      <w:r>
        <w:rPr>
          <w:rFonts w:hint="eastAsia" w:hAnsi="宋体" w:cs="宋体"/>
          <w:u w:val="single"/>
        </w:rPr>
        <w:t xml:space="preserve">                 </w:t>
      </w:r>
      <w:r>
        <w:rPr>
          <w:rFonts w:hint="eastAsia" w:hAnsi="宋体" w:cs="宋体"/>
        </w:rPr>
        <w:t>（投标人全称）参加贵方组织的</w:t>
      </w:r>
      <w:r>
        <w:rPr>
          <w:rFonts w:hint="eastAsia" w:hAnsi="宋体" w:cs="宋体"/>
          <w:u w:val="single"/>
        </w:rPr>
        <w:t xml:space="preserve">        </w:t>
      </w:r>
      <w:r>
        <w:rPr>
          <w:rFonts w:hint="eastAsia" w:hAnsi="宋体" w:cs="宋体"/>
        </w:rPr>
        <w:t>（项目名称）</w:t>
      </w:r>
      <w:r>
        <w:rPr>
          <w:rFonts w:hint="eastAsia" w:hAnsi="宋体" w:cs="宋体"/>
          <w:u w:val="single"/>
        </w:rPr>
        <w:t xml:space="preserve">          </w:t>
      </w:r>
      <w:r>
        <w:rPr>
          <w:rFonts w:hint="eastAsia" w:hAnsi="宋体" w:cs="宋体"/>
        </w:rPr>
        <w:t>（项目编号）招标的有关活动，并对</w:t>
      </w:r>
      <w:r>
        <w:rPr>
          <w:rFonts w:hint="eastAsia" w:hAnsi="宋体" w:cs="宋体"/>
          <w:u w:val="single"/>
        </w:rPr>
        <w:t xml:space="preserve">                 </w:t>
      </w:r>
      <w:r>
        <w:rPr>
          <w:rFonts w:hint="eastAsia" w:hAnsi="宋体" w:cs="宋体"/>
        </w:rPr>
        <w:t>（项目名称）进行投标。为此我方：</w:t>
      </w:r>
    </w:p>
    <w:p>
      <w:pPr>
        <w:adjustRightInd w:val="0"/>
        <w:snapToGrid w:val="0"/>
        <w:spacing w:line="300" w:lineRule="auto"/>
        <w:ind w:firstLine="420" w:firstLineChars="200"/>
        <w:rPr>
          <w:rFonts w:ascii="宋体" w:hAnsi="宋体" w:cs="宋体"/>
          <w:szCs w:val="21"/>
        </w:rPr>
      </w:pPr>
      <w:r>
        <w:rPr>
          <w:rFonts w:hint="eastAsia" w:ascii="宋体" w:hAnsi="宋体" w:cs="宋体"/>
          <w:szCs w:val="21"/>
        </w:rPr>
        <w:t>1、承诺在投标人</w:t>
      </w:r>
      <w:r>
        <w:rPr>
          <w:rFonts w:hint="eastAsia" w:ascii="宋体" w:hAnsi="宋体" w:cs="宋体"/>
          <w:kern w:val="44"/>
          <w:szCs w:val="21"/>
        </w:rPr>
        <w:t>须知</w:t>
      </w:r>
      <w:r>
        <w:rPr>
          <w:rFonts w:hint="eastAsia" w:ascii="宋体" w:hAnsi="宋体" w:cs="宋体"/>
          <w:szCs w:val="21"/>
        </w:rPr>
        <w:t>规定的投标截止日起遵守本投标文件中的承诺，且在投标有效期满之前均具有约束力。本投标文件的有效期为</w:t>
      </w:r>
      <w:r>
        <w:rPr>
          <w:rFonts w:hint="eastAsia" w:ascii="宋体" w:hAnsi="宋体" w:cs="宋体"/>
        </w:rPr>
        <w:t>自投标截止时间起90天。</w:t>
      </w:r>
    </w:p>
    <w:p>
      <w:pPr>
        <w:adjustRightInd w:val="0"/>
        <w:snapToGrid w:val="0"/>
        <w:spacing w:line="300" w:lineRule="auto"/>
        <w:ind w:firstLine="420" w:firstLineChars="200"/>
        <w:rPr>
          <w:rFonts w:ascii="宋体" w:hAnsi="宋体" w:cs="宋体"/>
          <w:szCs w:val="21"/>
        </w:rPr>
      </w:pPr>
      <w:r>
        <w:rPr>
          <w:rFonts w:hint="eastAsia" w:ascii="宋体" w:hAnsi="宋体" w:cs="宋体"/>
          <w:szCs w:val="21"/>
        </w:rPr>
        <w:t>2、承诺已经具备《中华人民共和国政府采购法》中规定的参加政府采购活动的投标人应当具备的条件及采购人规定的特定条件。</w:t>
      </w:r>
    </w:p>
    <w:p>
      <w:pPr>
        <w:adjustRightInd w:val="0"/>
        <w:snapToGrid w:val="0"/>
        <w:spacing w:line="300" w:lineRule="auto"/>
        <w:ind w:firstLine="420" w:firstLineChars="200"/>
        <w:rPr>
          <w:rFonts w:ascii="宋体" w:hAnsi="宋体" w:cs="宋体"/>
          <w:szCs w:val="21"/>
        </w:rPr>
      </w:pPr>
      <w:r>
        <w:rPr>
          <w:rFonts w:hint="eastAsia" w:ascii="宋体" w:hAnsi="宋体" w:cs="宋体"/>
          <w:szCs w:val="21"/>
        </w:rPr>
        <w:t>3、已详细审核全部招标文件，包括招标文件补充（如果有）、参考资料及有关附件，确认无误。</w:t>
      </w:r>
    </w:p>
    <w:p>
      <w:pPr>
        <w:adjustRightInd w:val="0"/>
        <w:snapToGrid w:val="0"/>
        <w:spacing w:line="300" w:lineRule="auto"/>
        <w:ind w:firstLine="420" w:firstLineChars="200"/>
        <w:rPr>
          <w:rFonts w:ascii="宋体" w:hAnsi="宋体" w:cs="宋体"/>
          <w:szCs w:val="21"/>
        </w:rPr>
      </w:pPr>
      <w:r>
        <w:rPr>
          <w:rFonts w:hint="eastAsia" w:ascii="宋体" w:hAnsi="宋体" w:cs="宋体"/>
          <w:szCs w:val="21"/>
        </w:rPr>
        <w:t>4、提供</w:t>
      </w:r>
      <w:r>
        <w:rPr>
          <w:rFonts w:hint="eastAsia" w:ascii="宋体" w:hAnsi="宋体" w:cs="宋体"/>
          <w:kern w:val="44"/>
          <w:szCs w:val="21"/>
        </w:rPr>
        <w:t>投标人须知</w:t>
      </w:r>
      <w:r>
        <w:rPr>
          <w:rFonts w:hint="eastAsia" w:ascii="宋体" w:hAnsi="宋体" w:cs="宋体"/>
          <w:szCs w:val="21"/>
        </w:rPr>
        <w:t>规定的全部投标文件，包括</w:t>
      </w:r>
      <w:r>
        <w:rPr>
          <w:rFonts w:hint="eastAsia" w:ascii="宋体" w:hAnsi="宋体" w:cs="宋体"/>
          <w:szCs w:val="21"/>
          <w:u w:val="single"/>
        </w:rPr>
        <w:t>电子投标文件、□以介质存储的数据电文形式的备份投标文件</w:t>
      </w:r>
      <w:r>
        <w:rPr>
          <w:rFonts w:hint="eastAsia" w:ascii="宋体" w:hAnsi="宋体" w:cs="宋体"/>
          <w:szCs w:val="21"/>
        </w:rPr>
        <w:t>。</w:t>
      </w:r>
    </w:p>
    <w:p>
      <w:pPr>
        <w:adjustRightInd w:val="0"/>
        <w:snapToGrid w:val="0"/>
        <w:spacing w:line="300" w:lineRule="auto"/>
        <w:ind w:firstLine="420" w:firstLineChars="200"/>
        <w:rPr>
          <w:rFonts w:ascii="宋体" w:hAnsi="宋体" w:cs="宋体"/>
        </w:rPr>
      </w:pPr>
      <w:r>
        <w:rPr>
          <w:rFonts w:hint="eastAsia" w:ascii="宋体" w:hAnsi="宋体" w:cs="宋体"/>
          <w:szCs w:val="21"/>
        </w:rPr>
        <w:t>5、投标</w:t>
      </w:r>
      <w:r>
        <w:rPr>
          <w:rFonts w:hint="eastAsia" w:ascii="宋体" w:hAnsi="宋体" w:cs="宋体"/>
        </w:rPr>
        <w:t>报价详见《开标一览表》。</w:t>
      </w:r>
    </w:p>
    <w:p>
      <w:pPr>
        <w:adjustRightInd w:val="0"/>
        <w:snapToGrid w:val="0"/>
        <w:spacing w:line="300" w:lineRule="auto"/>
        <w:ind w:firstLine="420" w:firstLineChars="200"/>
        <w:rPr>
          <w:rFonts w:ascii="宋体" w:hAnsi="宋体" w:cs="宋体"/>
          <w:szCs w:val="21"/>
        </w:rPr>
      </w:pPr>
      <w:r>
        <w:rPr>
          <w:rFonts w:hint="eastAsia" w:ascii="宋体" w:hAnsi="宋体" w:cs="宋体"/>
          <w:szCs w:val="21"/>
        </w:rPr>
        <w:t>6、保证遵守招标文件中的其他有关规定。</w:t>
      </w:r>
    </w:p>
    <w:p>
      <w:pPr>
        <w:adjustRightInd w:val="0"/>
        <w:snapToGrid w:val="0"/>
        <w:spacing w:line="300" w:lineRule="auto"/>
        <w:ind w:firstLine="420" w:firstLineChars="200"/>
        <w:rPr>
          <w:rFonts w:ascii="宋体" w:hAnsi="宋体" w:cs="宋体"/>
          <w:szCs w:val="21"/>
        </w:rPr>
      </w:pPr>
      <w:r>
        <w:rPr>
          <w:rFonts w:hint="eastAsia" w:ascii="宋体" w:hAnsi="宋体" w:cs="宋体"/>
          <w:szCs w:val="21"/>
        </w:rPr>
        <w:t>7、完全理解不一定接受最低价中标。</w:t>
      </w:r>
    </w:p>
    <w:p>
      <w:pPr>
        <w:adjustRightInd w:val="0"/>
        <w:snapToGrid w:val="0"/>
        <w:spacing w:line="300" w:lineRule="auto"/>
        <w:ind w:firstLine="420" w:firstLineChars="200"/>
        <w:rPr>
          <w:rFonts w:ascii="宋体" w:hAnsi="宋体" w:cs="宋体"/>
          <w:szCs w:val="21"/>
        </w:rPr>
      </w:pPr>
      <w:r>
        <w:rPr>
          <w:rFonts w:hint="eastAsia" w:ascii="宋体" w:hAnsi="宋体" w:cs="宋体"/>
          <w:szCs w:val="21"/>
        </w:rPr>
        <w:t>8、我公司自愿参加本项目的投标，并保证投标文件中所列举的投标报价文件及相关资料和公司基本情况资料是真实的、合法的。愿意向贵方提供任何与该项目投标有关的数据、情况和技术资料。若贵方需要，愿意提供我方做出的一切承诺的证明材料。</w:t>
      </w:r>
    </w:p>
    <w:p>
      <w:pPr>
        <w:adjustRightInd w:val="0"/>
        <w:snapToGrid w:val="0"/>
        <w:spacing w:line="300" w:lineRule="auto"/>
        <w:ind w:firstLine="420" w:firstLineChars="200"/>
        <w:rPr>
          <w:rFonts w:ascii="宋体" w:hAnsi="宋体" w:cs="宋体"/>
          <w:szCs w:val="21"/>
        </w:rPr>
      </w:pPr>
      <w:r>
        <w:rPr>
          <w:rFonts w:hint="eastAsia" w:ascii="宋体" w:hAnsi="宋体" w:cs="宋体"/>
          <w:szCs w:val="21"/>
        </w:rPr>
        <w:t>9、保证忠实地执行双方所签订的合同，并承担合同规定的责任和义务。</w:t>
      </w:r>
    </w:p>
    <w:p>
      <w:pPr>
        <w:adjustRightInd w:val="0"/>
        <w:snapToGrid w:val="0"/>
        <w:spacing w:line="300" w:lineRule="auto"/>
        <w:ind w:firstLine="420" w:firstLineChars="200"/>
        <w:rPr>
          <w:rFonts w:ascii="宋体" w:hAnsi="宋体" w:cs="宋体"/>
          <w:szCs w:val="21"/>
        </w:rPr>
      </w:pPr>
      <w:r>
        <w:rPr>
          <w:rFonts w:hint="eastAsia" w:ascii="宋体" w:hAnsi="宋体" w:cs="宋体"/>
          <w:szCs w:val="21"/>
        </w:rPr>
        <w:t>10、承诺，招标过程中不存在以下行为：</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 xml:space="preserve">（一）提供虚假材料谋取中标、成交的； </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 xml:space="preserve">（二）采取不正当手段诋毁、排挤其他供应商的； </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 xml:space="preserve">（三）与采购人、其他供应商或者采购代理机构恶意串通的； </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 xml:space="preserve">（四）向采购人、采购代理机构行贿或者提供其他不正当利益的； </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 xml:space="preserve">（五）在招标采购过程中与采购人进行协商谈判的； </w:t>
      </w:r>
    </w:p>
    <w:p>
      <w:pPr>
        <w:adjustRightInd w:val="0"/>
        <w:snapToGrid w:val="0"/>
        <w:spacing w:line="300" w:lineRule="auto"/>
        <w:ind w:firstLine="420" w:firstLineChars="200"/>
        <w:rPr>
          <w:rFonts w:ascii="宋体" w:hAnsi="宋体" w:cs="宋体"/>
          <w:szCs w:val="21"/>
        </w:rPr>
      </w:pPr>
      <w:r>
        <w:rPr>
          <w:rFonts w:hint="eastAsia" w:ascii="宋体" w:hAnsi="宋体" w:cs="宋体"/>
          <w:kern w:val="0"/>
          <w:szCs w:val="21"/>
        </w:rPr>
        <w:t>（六）拒绝有关部门监督检查或者提供虚假情况的。</w:t>
      </w:r>
    </w:p>
    <w:p>
      <w:pPr>
        <w:adjustRightInd w:val="0"/>
        <w:snapToGrid w:val="0"/>
        <w:spacing w:line="300" w:lineRule="auto"/>
        <w:ind w:firstLine="420" w:firstLineChars="200"/>
        <w:rPr>
          <w:rFonts w:ascii="宋体" w:hAnsi="宋体" w:cs="宋体"/>
          <w:szCs w:val="21"/>
        </w:rPr>
      </w:pPr>
    </w:p>
    <w:p>
      <w:pPr>
        <w:pStyle w:val="21"/>
        <w:adjustRightInd w:val="0"/>
        <w:snapToGrid w:val="0"/>
        <w:spacing w:line="300" w:lineRule="auto"/>
        <w:ind w:firstLine="480"/>
        <w:rPr>
          <w:rFonts w:hAnsi="宋体" w:cs="宋体"/>
          <w:u w:val="single"/>
        </w:rPr>
      </w:pPr>
      <w:r>
        <w:rPr>
          <w:rFonts w:hint="eastAsia" w:hAnsi="宋体" w:cs="宋体"/>
        </w:rPr>
        <w:t>投标人全称（盖单位公章）：</w:t>
      </w:r>
      <w:r>
        <w:rPr>
          <w:rFonts w:hint="eastAsia" w:hAnsi="宋体" w:cs="宋体"/>
          <w:u w:val="single"/>
        </w:rPr>
        <w:t xml:space="preserve">             </w:t>
      </w:r>
    </w:p>
    <w:p>
      <w:pPr>
        <w:pStyle w:val="21"/>
        <w:adjustRightInd w:val="0"/>
        <w:snapToGrid w:val="0"/>
        <w:spacing w:line="300" w:lineRule="auto"/>
        <w:ind w:firstLine="480"/>
        <w:rPr>
          <w:rFonts w:hAnsi="宋体" w:cs="宋体"/>
          <w:u w:val="single"/>
        </w:rPr>
      </w:pPr>
      <w:r>
        <w:rPr>
          <w:rFonts w:hint="eastAsia" w:hAnsi="宋体" w:cs="宋体"/>
        </w:rPr>
        <w:t>投标文件签署人（签字或盖章）：</w:t>
      </w:r>
      <w:r>
        <w:rPr>
          <w:rFonts w:hint="eastAsia" w:hAnsi="宋体" w:cs="宋体"/>
          <w:u w:val="single"/>
        </w:rPr>
        <w:t xml:space="preserve">           </w:t>
      </w:r>
    </w:p>
    <w:p>
      <w:pPr>
        <w:pStyle w:val="21"/>
        <w:adjustRightInd w:val="0"/>
        <w:snapToGrid w:val="0"/>
        <w:spacing w:line="300" w:lineRule="auto"/>
        <w:ind w:firstLine="480"/>
        <w:rPr>
          <w:rFonts w:hAnsi="宋体" w:cs="宋体"/>
          <w:u w:val="single"/>
        </w:rPr>
      </w:pPr>
      <w:r>
        <w:rPr>
          <w:rFonts w:hint="eastAsia" w:hAnsi="宋体" w:cs="宋体"/>
        </w:rPr>
        <w:t>日期：</w:t>
      </w:r>
      <w:r>
        <w:rPr>
          <w:rFonts w:hint="eastAsia" w:hAnsi="宋体" w:cs="宋体"/>
          <w:kern w:val="0"/>
          <w:szCs w:val="21"/>
        </w:rPr>
        <w:t xml:space="preserve">   年  月  日</w:t>
      </w:r>
    </w:p>
    <w:p>
      <w:pPr>
        <w:pStyle w:val="21"/>
        <w:adjustRightInd w:val="0"/>
        <w:snapToGrid w:val="0"/>
        <w:spacing w:line="300" w:lineRule="auto"/>
        <w:ind w:firstLine="480"/>
        <w:rPr>
          <w:rFonts w:hAnsi="宋体" w:cs="宋体"/>
          <w:u w:val="single"/>
        </w:rPr>
      </w:pPr>
      <w:r>
        <w:rPr>
          <w:rFonts w:hint="eastAsia" w:hAnsi="宋体" w:cs="宋体"/>
        </w:rPr>
        <w:t>单位地址：</w:t>
      </w:r>
      <w:r>
        <w:rPr>
          <w:rFonts w:hint="eastAsia" w:hAnsi="宋体" w:cs="宋体"/>
          <w:u w:val="single"/>
        </w:rPr>
        <w:t xml:space="preserve">                </w:t>
      </w:r>
      <w:r>
        <w:rPr>
          <w:rFonts w:hint="eastAsia" w:hAnsi="宋体" w:cs="宋体"/>
        </w:rPr>
        <w:t>邮编：</w:t>
      </w:r>
      <w:r>
        <w:rPr>
          <w:rFonts w:hint="eastAsia" w:hAnsi="宋体" w:cs="宋体"/>
          <w:u w:val="single"/>
        </w:rPr>
        <w:t xml:space="preserve">            </w:t>
      </w:r>
      <w:r>
        <w:rPr>
          <w:rFonts w:hint="eastAsia" w:hAnsi="宋体" w:cs="宋体"/>
        </w:rPr>
        <w:t>电话：</w:t>
      </w:r>
      <w:r>
        <w:rPr>
          <w:rFonts w:hint="eastAsia" w:hAnsi="宋体" w:cs="宋体"/>
          <w:u w:val="single"/>
        </w:rPr>
        <w:t xml:space="preserve">          </w:t>
      </w:r>
      <w:r>
        <w:rPr>
          <w:rFonts w:hint="eastAsia" w:hAnsi="宋体" w:cs="宋体"/>
        </w:rPr>
        <w:t>传真：</w:t>
      </w:r>
      <w:r>
        <w:rPr>
          <w:rFonts w:hint="eastAsia" w:hAnsi="宋体" w:cs="宋体"/>
          <w:u w:val="single"/>
        </w:rPr>
        <w:t xml:space="preserve">              </w:t>
      </w:r>
    </w:p>
    <w:p>
      <w:pPr>
        <w:pStyle w:val="21"/>
        <w:adjustRightInd w:val="0"/>
        <w:snapToGrid w:val="0"/>
        <w:spacing w:line="300" w:lineRule="auto"/>
        <w:ind w:firstLine="480"/>
        <w:rPr>
          <w:rFonts w:hAnsi="宋体" w:cs="宋体"/>
        </w:rPr>
      </w:pPr>
      <w:r>
        <w:rPr>
          <w:rFonts w:hint="eastAsia" w:hAnsi="宋体" w:cs="宋体"/>
        </w:rPr>
        <w:t>户名：</w:t>
      </w:r>
      <w:r>
        <w:rPr>
          <w:rFonts w:hint="eastAsia" w:hAnsi="宋体" w:cs="宋体"/>
          <w:u w:val="single"/>
        </w:rPr>
        <w:t xml:space="preserve">             </w:t>
      </w:r>
    </w:p>
    <w:p>
      <w:pPr>
        <w:pStyle w:val="21"/>
        <w:adjustRightInd w:val="0"/>
        <w:snapToGrid w:val="0"/>
        <w:spacing w:line="300" w:lineRule="auto"/>
        <w:ind w:firstLine="480"/>
        <w:rPr>
          <w:rFonts w:hAnsi="宋体" w:cs="宋体"/>
        </w:rPr>
      </w:pPr>
      <w:r>
        <w:rPr>
          <w:rFonts w:hint="eastAsia" w:hAnsi="宋体" w:cs="宋体"/>
        </w:rPr>
        <w:t>开户银行：</w:t>
      </w:r>
      <w:r>
        <w:rPr>
          <w:rFonts w:hint="eastAsia" w:hAnsi="宋体" w:cs="宋体"/>
          <w:u w:val="single"/>
        </w:rPr>
        <w:t xml:space="preserve">         </w:t>
      </w:r>
    </w:p>
    <w:p>
      <w:pPr>
        <w:pStyle w:val="21"/>
        <w:adjustRightInd w:val="0"/>
        <w:snapToGrid w:val="0"/>
        <w:spacing w:line="300" w:lineRule="auto"/>
        <w:ind w:firstLine="480"/>
        <w:rPr>
          <w:rFonts w:hAnsi="宋体" w:cs="宋体"/>
        </w:rPr>
      </w:pPr>
      <w:r>
        <w:rPr>
          <w:rFonts w:hint="eastAsia" w:hAnsi="宋体" w:cs="宋体"/>
        </w:rPr>
        <w:t xml:space="preserve">账户： </w:t>
      </w:r>
      <w:r>
        <w:rPr>
          <w:rFonts w:hint="eastAsia" w:hAnsi="宋体" w:cs="宋体"/>
          <w:u w:val="single"/>
        </w:rPr>
        <w:t xml:space="preserve">            </w:t>
      </w:r>
      <w:r>
        <w:rPr>
          <w:rFonts w:hint="eastAsia" w:hAnsi="宋体" w:cs="宋体"/>
        </w:rPr>
        <w:br w:type="page"/>
      </w:r>
    </w:p>
    <w:p>
      <w:pPr>
        <w:pStyle w:val="5"/>
        <w:snapToGrid w:val="0"/>
        <w:ind w:firstLine="422"/>
        <w:rPr>
          <w:rFonts w:ascii="宋体" w:hAnsi="宋体" w:cs="宋体"/>
        </w:rPr>
      </w:pPr>
      <w:bookmarkStart w:id="102" w:name="_Toc345575539"/>
      <w:bookmarkStart w:id="103" w:name="_Toc336683579"/>
      <w:r>
        <w:rPr>
          <w:rFonts w:hint="eastAsia" w:ascii="宋体" w:hAnsi="宋体" w:cs="宋体"/>
        </w:rPr>
        <w:t>二、开标一览表格式</w:t>
      </w:r>
      <w:bookmarkEnd w:id="102"/>
      <w:bookmarkEnd w:id="103"/>
    </w:p>
    <w:p>
      <w:pPr>
        <w:pStyle w:val="21"/>
        <w:adjustRightInd w:val="0"/>
        <w:snapToGrid w:val="0"/>
        <w:spacing w:line="300" w:lineRule="auto"/>
        <w:jc w:val="center"/>
        <w:rPr>
          <w:rFonts w:hAnsi="宋体" w:cs="宋体"/>
          <w:b/>
          <w:bCs/>
          <w:sz w:val="32"/>
          <w:szCs w:val="32"/>
        </w:rPr>
      </w:pPr>
      <w:r>
        <w:rPr>
          <w:rFonts w:hint="eastAsia" w:hAnsi="宋体" w:cs="宋体"/>
          <w:b/>
          <w:bCs/>
          <w:sz w:val="32"/>
          <w:szCs w:val="32"/>
        </w:rPr>
        <w:t>开标一览表</w:t>
      </w:r>
    </w:p>
    <w:p>
      <w:pPr>
        <w:pStyle w:val="21"/>
        <w:adjustRightInd w:val="0"/>
        <w:snapToGrid w:val="0"/>
        <w:spacing w:line="300" w:lineRule="auto"/>
        <w:rPr>
          <w:rFonts w:hAnsi="宋体" w:cs="宋体"/>
          <w:u w:val="single"/>
        </w:rPr>
      </w:pPr>
      <w:r>
        <w:rPr>
          <w:rFonts w:hint="eastAsia" w:hAnsi="宋体" w:cs="宋体"/>
        </w:rPr>
        <w:t xml:space="preserve">项目名称： </w:t>
      </w:r>
      <w:r>
        <w:rPr>
          <w:rFonts w:hint="eastAsia" w:hAnsi="宋体" w:cs="宋体"/>
          <w:u w:val="single"/>
        </w:rPr>
        <w:t xml:space="preserve">                   </w:t>
      </w:r>
    </w:p>
    <w:p>
      <w:pPr>
        <w:pStyle w:val="21"/>
        <w:adjustRightInd w:val="0"/>
        <w:snapToGrid w:val="0"/>
        <w:spacing w:line="300" w:lineRule="auto"/>
        <w:rPr>
          <w:rFonts w:hAnsi="宋体" w:cs="宋体"/>
        </w:rPr>
      </w:pPr>
      <w:r>
        <w:rPr>
          <w:rFonts w:hint="eastAsia" w:hAnsi="宋体" w:cs="宋体"/>
        </w:rPr>
        <w:t xml:space="preserve">项目编号： </w:t>
      </w:r>
      <w:r>
        <w:rPr>
          <w:rFonts w:hint="eastAsia" w:hAnsi="宋体" w:cs="宋体"/>
          <w:u w:val="single"/>
        </w:rPr>
        <w:t xml:space="preserve">                   </w:t>
      </w:r>
    </w:p>
    <w:tbl>
      <w:tblPr>
        <w:tblStyle w:val="4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2125"/>
        <w:gridCol w:w="1347"/>
        <w:gridCol w:w="2125"/>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488" w:type="pct"/>
            <w:vAlign w:val="center"/>
          </w:tcPr>
          <w:p>
            <w:pPr>
              <w:spacing w:after="120"/>
              <w:rPr>
                <w:rFonts w:ascii="宋体" w:hAnsi="宋体" w:cs="宋体"/>
                <w:szCs w:val="21"/>
              </w:rPr>
            </w:pPr>
            <w:r>
              <w:rPr>
                <w:rFonts w:hint="eastAsia" w:ascii="宋体" w:hAnsi="宋体" w:cs="宋体"/>
                <w:szCs w:val="21"/>
              </w:rPr>
              <w:t>序号</w:t>
            </w:r>
          </w:p>
        </w:tc>
        <w:tc>
          <w:tcPr>
            <w:tcW w:w="1131" w:type="pct"/>
            <w:vAlign w:val="center"/>
          </w:tcPr>
          <w:p>
            <w:pPr>
              <w:spacing w:after="120"/>
              <w:jc w:val="center"/>
              <w:rPr>
                <w:rFonts w:ascii="宋体" w:hAnsi="宋体" w:cs="宋体"/>
                <w:szCs w:val="21"/>
              </w:rPr>
            </w:pPr>
            <w:r>
              <w:rPr>
                <w:rFonts w:hint="eastAsia" w:ascii="宋体" w:hAnsi="宋体" w:cs="宋体"/>
                <w:szCs w:val="21"/>
              </w:rPr>
              <w:t>采购内容</w:t>
            </w:r>
          </w:p>
        </w:tc>
        <w:tc>
          <w:tcPr>
            <w:tcW w:w="717" w:type="pct"/>
            <w:vAlign w:val="center"/>
          </w:tcPr>
          <w:p>
            <w:pPr>
              <w:spacing w:after="120"/>
              <w:jc w:val="center"/>
              <w:rPr>
                <w:rFonts w:ascii="宋体" w:hAnsi="宋体" w:cs="宋体"/>
                <w:szCs w:val="21"/>
              </w:rPr>
            </w:pPr>
            <w:r>
              <w:rPr>
                <w:rFonts w:hint="eastAsia" w:ascii="宋体" w:hAnsi="宋体" w:cs="宋体"/>
                <w:szCs w:val="21"/>
              </w:rPr>
              <w:t>数量</w:t>
            </w:r>
          </w:p>
        </w:tc>
        <w:tc>
          <w:tcPr>
            <w:tcW w:w="1131" w:type="pct"/>
            <w:vAlign w:val="center"/>
          </w:tcPr>
          <w:p>
            <w:pPr>
              <w:spacing w:after="120"/>
              <w:jc w:val="center"/>
              <w:rPr>
                <w:rFonts w:ascii="宋体" w:hAnsi="宋体" w:cs="宋体"/>
                <w:szCs w:val="21"/>
              </w:rPr>
            </w:pPr>
            <w:r>
              <w:rPr>
                <w:rFonts w:hint="eastAsia" w:ascii="宋体" w:hAnsi="宋体" w:cs="宋体"/>
                <w:szCs w:val="21"/>
              </w:rPr>
              <w:t>单价（元/个）</w:t>
            </w:r>
          </w:p>
        </w:tc>
        <w:tc>
          <w:tcPr>
            <w:tcW w:w="1532" w:type="pct"/>
            <w:vAlign w:val="center"/>
          </w:tcPr>
          <w:p>
            <w:pPr>
              <w:spacing w:after="120"/>
              <w:jc w:val="center"/>
              <w:rPr>
                <w:rFonts w:ascii="宋体" w:hAnsi="宋体" w:cs="宋体"/>
                <w:szCs w:val="21"/>
              </w:rPr>
            </w:pPr>
            <w:r>
              <w:rPr>
                <w:rFonts w:hint="eastAsia" w:ascii="宋体" w:hAnsi="宋体" w:cs="宋体"/>
                <w:szCs w:val="21"/>
              </w:rPr>
              <w:t>折扣率（按最高限价的</w:t>
            </w:r>
            <w:r>
              <w:rPr>
                <w:rFonts w:hint="eastAsia" w:ascii="宋体" w:hAnsi="宋体" w:cs="宋体"/>
                <w:szCs w:val="21"/>
                <w:u w:val="single"/>
              </w:rPr>
              <w:t xml:space="preserve">  </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88" w:type="pct"/>
            <w:vAlign w:val="center"/>
          </w:tcPr>
          <w:p>
            <w:pPr>
              <w:adjustRightInd w:val="0"/>
              <w:snapToGrid w:val="0"/>
              <w:ind w:firstLine="199" w:firstLineChars="95"/>
              <w:jc w:val="left"/>
              <w:rPr>
                <w:rFonts w:ascii="宋体" w:hAnsi="宋体" w:cs="宋体"/>
              </w:rPr>
            </w:pPr>
            <w:r>
              <w:rPr>
                <w:rFonts w:hint="eastAsia" w:ascii="宋体" w:hAnsi="宋体" w:cs="宋体"/>
              </w:rPr>
              <w:t>1</w:t>
            </w:r>
          </w:p>
        </w:tc>
        <w:tc>
          <w:tcPr>
            <w:tcW w:w="2125" w:type="dxa"/>
            <w:vAlign w:val="center"/>
          </w:tcPr>
          <w:p>
            <w:pPr>
              <w:adjustRightInd w:val="0"/>
              <w:snapToGrid w:val="0"/>
              <w:rPr>
                <w:rFonts w:ascii="宋体" w:hAnsi="宋体" w:cs="宋体"/>
              </w:rPr>
            </w:pPr>
            <w:r>
              <w:rPr>
                <w:rFonts w:hint="eastAsia" w:ascii="宋体" w:hAnsi="宋体" w:cs="宋体"/>
              </w:rPr>
              <w:t>水仙花圈</w:t>
            </w:r>
          </w:p>
        </w:tc>
        <w:tc>
          <w:tcPr>
            <w:tcW w:w="717" w:type="pct"/>
            <w:vMerge w:val="restart"/>
            <w:vAlign w:val="center"/>
          </w:tcPr>
          <w:p>
            <w:pPr>
              <w:spacing w:after="120"/>
              <w:jc w:val="center"/>
              <w:rPr>
                <w:rFonts w:ascii="宋体" w:hAnsi="宋体" w:cs="宋体"/>
                <w:szCs w:val="21"/>
              </w:rPr>
            </w:pPr>
            <w:r>
              <w:rPr>
                <w:rFonts w:hint="eastAsia" w:ascii="宋体" w:hAnsi="宋体" w:cs="宋体"/>
                <w:szCs w:val="21"/>
              </w:rPr>
              <w:t>按需</w:t>
            </w:r>
          </w:p>
        </w:tc>
        <w:tc>
          <w:tcPr>
            <w:tcW w:w="1131" w:type="pct"/>
            <w:vAlign w:val="center"/>
          </w:tcPr>
          <w:p>
            <w:pPr>
              <w:spacing w:after="120"/>
              <w:rPr>
                <w:rFonts w:ascii="宋体" w:hAnsi="宋体" w:cs="宋体"/>
                <w:szCs w:val="21"/>
              </w:rPr>
            </w:pPr>
          </w:p>
        </w:tc>
        <w:tc>
          <w:tcPr>
            <w:tcW w:w="1532" w:type="pct"/>
            <w:vMerge w:val="restart"/>
            <w:vAlign w:val="center"/>
          </w:tcPr>
          <w:p>
            <w:pPr>
              <w:spacing w:after="120"/>
              <w:jc w:val="center"/>
              <w:rPr>
                <w:rFonts w:ascii="宋体" w:hAnsi="宋体" w:cs="宋体"/>
                <w:szCs w:val="21"/>
              </w:rPr>
            </w:pPr>
            <w:r>
              <w:rPr>
                <w:rFonts w:hint="eastAsia" w:ascii="宋体" w:hAnsi="宋体" w:cs="宋体"/>
                <w:szCs w:val="21"/>
              </w:rPr>
              <w:t>最高限价的</w:t>
            </w:r>
            <w:r>
              <w:rPr>
                <w:rFonts w:hint="eastAsia" w:ascii="宋体" w:hAnsi="宋体" w:cs="宋体"/>
                <w:szCs w:val="21"/>
                <w:u w:val="single"/>
              </w:rPr>
              <w:t xml:space="preserve">  </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488" w:type="pct"/>
            <w:vAlign w:val="center"/>
          </w:tcPr>
          <w:p>
            <w:pPr>
              <w:adjustRightInd w:val="0"/>
              <w:snapToGrid w:val="0"/>
              <w:ind w:firstLine="199" w:firstLineChars="95"/>
              <w:jc w:val="left"/>
              <w:rPr>
                <w:rFonts w:ascii="宋体" w:hAnsi="宋体" w:cs="宋体"/>
              </w:rPr>
            </w:pPr>
            <w:r>
              <w:rPr>
                <w:rFonts w:hint="eastAsia" w:ascii="宋体" w:hAnsi="宋体" w:cs="宋体"/>
              </w:rPr>
              <w:t>2</w:t>
            </w:r>
          </w:p>
        </w:tc>
        <w:tc>
          <w:tcPr>
            <w:tcW w:w="2125" w:type="dxa"/>
            <w:vAlign w:val="center"/>
          </w:tcPr>
          <w:p>
            <w:pPr>
              <w:adjustRightInd w:val="0"/>
              <w:snapToGrid w:val="0"/>
              <w:rPr>
                <w:rFonts w:ascii="宋体" w:hAnsi="宋体" w:cs="宋体"/>
              </w:rPr>
            </w:pPr>
            <w:r>
              <w:rPr>
                <w:rFonts w:hint="eastAsia" w:ascii="宋体" w:hAnsi="宋体" w:cs="宋体"/>
              </w:rPr>
              <w:t>蓝白仿真花圈</w:t>
            </w:r>
          </w:p>
        </w:tc>
        <w:tc>
          <w:tcPr>
            <w:tcW w:w="717" w:type="pct"/>
            <w:vMerge w:val="continue"/>
            <w:vAlign w:val="center"/>
          </w:tcPr>
          <w:p>
            <w:pPr>
              <w:spacing w:after="120"/>
              <w:jc w:val="center"/>
              <w:rPr>
                <w:rFonts w:ascii="宋体" w:hAnsi="宋体" w:cs="宋体"/>
                <w:szCs w:val="21"/>
              </w:rPr>
            </w:pPr>
          </w:p>
        </w:tc>
        <w:tc>
          <w:tcPr>
            <w:tcW w:w="1131" w:type="pct"/>
            <w:vAlign w:val="center"/>
          </w:tcPr>
          <w:p>
            <w:pPr>
              <w:spacing w:after="120"/>
              <w:rPr>
                <w:rFonts w:ascii="宋体" w:hAnsi="宋体" w:cs="宋体"/>
                <w:szCs w:val="21"/>
              </w:rPr>
            </w:pPr>
          </w:p>
        </w:tc>
        <w:tc>
          <w:tcPr>
            <w:tcW w:w="1532" w:type="pct"/>
            <w:vMerge w:val="continue"/>
          </w:tcPr>
          <w:p>
            <w:pPr>
              <w:spacing w:after="1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488" w:type="pct"/>
            <w:vAlign w:val="center"/>
          </w:tcPr>
          <w:p>
            <w:pPr>
              <w:adjustRightInd w:val="0"/>
              <w:snapToGrid w:val="0"/>
              <w:ind w:firstLine="199" w:firstLineChars="95"/>
              <w:jc w:val="left"/>
              <w:rPr>
                <w:rFonts w:ascii="宋体" w:hAnsi="宋体" w:cs="宋体"/>
              </w:rPr>
            </w:pPr>
            <w:r>
              <w:rPr>
                <w:rFonts w:hint="eastAsia" w:ascii="宋体" w:hAnsi="宋体" w:cs="宋体"/>
              </w:rPr>
              <w:t>3</w:t>
            </w:r>
          </w:p>
        </w:tc>
        <w:tc>
          <w:tcPr>
            <w:tcW w:w="2125" w:type="dxa"/>
            <w:vAlign w:val="center"/>
          </w:tcPr>
          <w:p>
            <w:pPr>
              <w:adjustRightInd w:val="0"/>
              <w:snapToGrid w:val="0"/>
              <w:rPr>
                <w:rFonts w:ascii="宋体" w:hAnsi="宋体" w:cs="宋体"/>
              </w:rPr>
            </w:pPr>
            <w:r>
              <w:rPr>
                <w:rFonts w:hint="eastAsia" w:ascii="宋体" w:hAnsi="宋体" w:cs="宋体"/>
              </w:rPr>
              <w:t>仿真龙珠玫花圈(A款B款)</w:t>
            </w:r>
          </w:p>
        </w:tc>
        <w:tc>
          <w:tcPr>
            <w:tcW w:w="717" w:type="pct"/>
            <w:vMerge w:val="continue"/>
            <w:vAlign w:val="center"/>
          </w:tcPr>
          <w:p>
            <w:pPr>
              <w:spacing w:after="120"/>
              <w:jc w:val="center"/>
              <w:rPr>
                <w:rFonts w:ascii="宋体" w:hAnsi="宋体" w:cs="宋体"/>
                <w:szCs w:val="21"/>
              </w:rPr>
            </w:pPr>
          </w:p>
        </w:tc>
        <w:tc>
          <w:tcPr>
            <w:tcW w:w="1131" w:type="pct"/>
            <w:vAlign w:val="center"/>
          </w:tcPr>
          <w:p>
            <w:pPr>
              <w:spacing w:after="120"/>
              <w:rPr>
                <w:rFonts w:ascii="宋体" w:hAnsi="宋体" w:cs="宋体"/>
                <w:szCs w:val="21"/>
              </w:rPr>
            </w:pPr>
          </w:p>
        </w:tc>
        <w:tc>
          <w:tcPr>
            <w:tcW w:w="1532" w:type="pct"/>
            <w:vMerge w:val="continue"/>
          </w:tcPr>
          <w:p>
            <w:pPr>
              <w:spacing w:after="1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88" w:type="pct"/>
            <w:vAlign w:val="center"/>
          </w:tcPr>
          <w:p>
            <w:pPr>
              <w:adjustRightInd w:val="0"/>
              <w:snapToGrid w:val="0"/>
              <w:ind w:firstLine="199" w:firstLineChars="95"/>
              <w:jc w:val="left"/>
              <w:rPr>
                <w:rFonts w:ascii="宋体" w:hAnsi="宋体" w:cs="宋体"/>
              </w:rPr>
            </w:pPr>
            <w:r>
              <w:rPr>
                <w:rFonts w:hint="eastAsia" w:ascii="宋体" w:hAnsi="宋体" w:cs="宋体"/>
              </w:rPr>
              <w:t>4</w:t>
            </w:r>
          </w:p>
        </w:tc>
        <w:tc>
          <w:tcPr>
            <w:tcW w:w="2125" w:type="dxa"/>
            <w:vAlign w:val="center"/>
          </w:tcPr>
          <w:p>
            <w:pPr>
              <w:adjustRightInd w:val="0"/>
              <w:snapToGrid w:val="0"/>
              <w:rPr>
                <w:rFonts w:ascii="宋体" w:hAnsi="宋体" w:cs="宋体"/>
              </w:rPr>
            </w:pPr>
            <w:r>
              <w:rPr>
                <w:rFonts w:hint="eastAsia" w:ascii="宋体" w:hAnsi="宋体" w:cs="宋体"/>
              </w:rPr>
              <w:t>精品花圈</w:t>
            </w:r>
          </w:p>
        </w:tc>
        <w:tc>
          <w:tcPr>
            <w:tcW w:w="717" w:type="pct"/>
            <w:vMerge w:val="continue"/>
            <w:vAlign w:val="center"/>
          </w:tcPr>
          <w:p>
            <w:pPr>
              <w:spacing w:after="120"/>
              <w:jc w:val="center"/>
              <w:rPr>
                <w:rFonts w:ascii="宋体" w:hAnsi="宋体" w:cs="宋体"/>
                <w:szCs w:val="21"/>
              </w:rPr>
            </w:pPr>
          </w:p>
        </w:tc>
        <w:tc>
          <w:tcPr>
            <w:tcW w:w="1131" w:type="pct"/>
            <w:vAlign w:val="center"/>
          </w:tcPr>
          <w:p>
            <w:pPr>
              <w:spacing w:after="120"/>
              <w:rPr>
                <w:rFonts w:ascii="宋体" w:hAnsi="宋体" w:cs="宋体"/>
                <w:szCs w:val="21"/>
              </w:rPr>
            </w:pPr>
          </w:p>
        </w:tc>
        <w:tc>
          <w:tcPr>
            <w:tcW w:w="1532" w:type="pct"/>
            <w:vMerge w:val="continue"/>
          </w:tcPr>
          <w:p>
            <w:pPr>
              <w:spacing w:after="120"/>
              <w:jc w:val="center"/>
              <w:rPr>
                <w:rFonts w:ascii="宋体" w:hAnsi="宋体" w:cs="宋体"/>
                <w:szCs w:val="21"/>
              </w:rPr>
            </w:pPr>
          </w:p>
        </w:tc>
      </w:tr>
    </w:tbl>
    <w:p>
      <w:pPr>
        <w:adjustRightInd w:val="0"/>
        <w:snapToGrid w:val="0"/>
        <w:spacing w:line="300" w:lineRule="auto"/>
        <w:ind w:firstLine="420" w:firstLineChars="200"/>
        <w:rPr>
          <w:rFonts w:ascii="宋体" w:hAnsi="宋体" w:cs="宋体"/>
        </w:rPr>
      </w:pPr>
    </w:p>
    <w:p>
      <w:pPr>
        <w:adjustRightInd w:val="0"/>
        <w:snapToGrid w:val="0"/>
        <w:spacing w:line="300" w:lineRule="auto"/>
        <w:ind w:firstLine="840" w:firstLineChars="400"/>
        <w:rPr>
          <w:rFonts w:ascii="宋体" w:hAnsi="宋体" w:cs="宋体"/>
        </w:rPr>
      </w:pPr>
      <w:r>
        <w:rPr>
          <w:rFonts w:hint="eastAsia" w:ascii="宋体" w:hAnsi="宋体" w:cs="宋体"/>
        </w:rPr>
        <w:t>注：4款花圈报价折扣率必须统一。</w:t>
      </w:r>
    </w:p>
    <w:p>
      <w:pPr>
        <w:adjustRightInd w:val="0"/>
        <w:snapToGrid w:val="0"/>
        <w:spacing w:line="300" w:lineRule="auto"/>
        <w:ind w:firstLine="420" w:firstLineChars="200"/>
        <w:rPr>
          <w:rFonts w:ascii="宋体" w:hAnsi="宋体" w:cs="宋体"/>
        </w:rPr>
      </w:pPr>
    </w:p>
    <w:p>
      <w:pPr>
        <w:adjustRightInd w:val="0"/>
        <w:snapToGrid w:val="0"/>
        <w:spacing w:line="300" w:lineRule="auto"/>
        <w:ind w:firstLine="420" w:firstLineChars="200"/>
        <w:rPr>
          <w:rFonts w:ascii="宋体" w:hAnsi="宋体" w:cs="宋体"/>
        </w:rPr>
      </w:pPr>
      <w:r>
        <w:rPr>
          <w:rFonts w:hint="eastAsia" w:ascii="宋体" w:hAnsi="宋体" w:cs="宋体"/>
        </w:rPr>
        <w:t>投标人全称（盖单位公章）：</w:t>
      </w:r>
      <w:r>
        <w:rPr>
          <w:rFonts w:hint="eastAsia" w:ascii="宋体" w:hAnsi="宋体" w:cs="宋体"/>
          <w:u w:val="single"/>
        </w:rPr>
        <w:t xml:space="preserve">                                  </w:t>
      </w:r>
    </w:p>
    <w:p>
      <w:pPr>
        <w:adjustRightInd w:val="0"/>
        <w:snapToGrid w:val="0"/>
        <w:spacing w:line="300" w:lineRule="auto"/>
        <w:ind w:firstLine="420" w:firstLineChars="200"/>
        <w:rPr>
          <w:rFonts w:ascii="宋体" w:hAnsi="宋体" w:cs="宋体"/>
        </w:rPr>
      </w:pPr>
      <w:r>
        <w:rPr>
          <w:rFonts w:hint="eastAsia" w:ascii="宋体" w:hAnsi="宋体" w:cs="宋体"/>
        </w:rPr>
        <w:t>投标文件签署人（签字或盖章）：</w:t>
      </w:r>
      <w:r>
        <w:rPr>
          <w:rFonts w:hint="eastAsia" w:ascii="宋体" w:hAnsi="宋体" w:cs="宋体"/>
          <w:u w:val="single"/>
        </w:rPr>
        <w:t xml:space="preserve">                              </w:t>
      </w:r>
    </w:p>
    <w:p>
      <w:pPr>
        <w:adjustRightInd w:val="0"/>
        <w:snapToGrid w:val="0"/>
        <w:spacing w:line="300" w:lineRule="auto"/>
        <w:ind w:firstLine="420" w:firstLineChars="200"/>
        <w:rPr>
          <w:rFonts w:ascii="宋体" w:hAnsi="宋体" w:cs="宋体"/>
          <w:u w:val="single"/>
        </w:rPr>
      </w:pPr>
      <w:r>
        <w:rPr>
          <w:rFonts w:hint="eastAsia" w:ascii="宋体" w:hAnsi="宋体" w:cs="宋体"/>
        </w:rPr>
        <w:t>日期：</w:t>
      </w:r>
      <w:r>
        <w:rPr>
          <w:rFonts w:hint="eastAsia" w:ascii="宋体" w:hAnsi="宋体" w:cs="宋体"/>
          <w:kern w:val="0"/>
          <w:szCs w:val="21"/>
        </w:rPr>
        <w:t xml:space="preserve">   年  月  日</w:t>
      </w:r>
    </w:p>
    <w:p>
      <w:pPr>
        <w:pStyle w:val="5"/>
        <w:snapToGrid w:val="0"/>
        <w:ind w:firstLine="422"/>
        <w:rPr>
          <w:rFonts w:ascii="宋体" w:hAnsi="宋体" w:cs="宋体"/>
        </w:rPr>
      </w:pPr>
      <w:r>
        <w:rPr>
          <w:rFonts w:hint="eastAsia" w:ascii="宋体" w:hAnsi="宋体" w:cs="宋体"/>
        </w:rPr>
        <w:br w:type="page"/>
      </w:r>
      <w:bookmarkStart w:id="104" w:name="_Toc437953149"/>
      <w:r>
        <w:rPr>
          <w:rFonts w:hint="eastAsia" w:ascii="宋体" w:hAnsi="宋体" w:cs="宋体"/>
          <w:kern w:val="0"/>
        </w:rPr>
        <w:t>商务技术文件封面</w:t>
      </w:r>
      <w:bookmarkEnd w:id="104"/>
    </w:p>
    <w:p>
      <w:pPr>
        <w:tabs>
          <w:tab w:val="left" w:pos="2580"/>
          <w:tab w:val="left" w:pos="5940"/>
        </w:tabs>
        <w:autoSpaceDE w:val="0"/>
        <w:autoSpaceDN w:val="0"/>
        <w:adjustRightInd w:val="0"/>
        <w:snapToGrid w:val="0"/>
        <w:spacing w:line="300" w:lineRule="auto"/>
        <w:ind w:right="-20" w:firstLine="735" w:firstLineChars="350"/>
        <w:rPr>
          <w:rFonts w:ascii="宋体" w:hAnsi="宋体" w:cs="宋体"/>
        </w:rPr>
      </w:pPr>
    </w:p>
    <w:p>
      <w:pPr>
        <w:tabs>
          <w:tab w:val="left" w:pos="2580"/>
          <w:tab w:val="left" w:pos="5940"/>
        </w:tabs>
        <w:autoSpaceDE w:val="0"/>
        <w:autoSpaceDN w:val="0"/>
        <w:adjustRightInd w:val="0"/>
        <w:snapToGrid w:val="0"/>
        <w:spacing w:line="300" w:lineRule="auto"/>
        <w:ind w:right="-20" w:firstLine="735" w:firstLineChars="350"/>
        <w:rPr>
          <w:rFonts w:ascii="宋体" w:hAnsi="宋体" w:cs="宋体"/>
        </w:rPr>
      </w:pPr>
    </w:p>
    <w:p>
      <w:pPr>
        <w:tabs>
          <w:tab w:val="left" w:pos="2580"/>
          <w:tab w:val="left" w:pos="5940"/>
        </w:tabs>
        <w:autoSpaceDE w:val="0"/>
        <w:autoSpaceDN w:val="0"/>
        <w:adjustRightInd w:val="0"/>
        <w:snapToGrid w:val="0"/>
        <w:spacing w:line="300" w:lineRule="auto"/>
        <w:ind w:right="-20" w:firstLine="980" w:firstLineChars="350"/>
        <w:rPr>
          <w:rFonts w:ascii="宋体" w:hAnsi="宋体" w:cs="宋体"/>
          <w:kern w:val="0"/>
          <w:sz w:val="28"/>
          <w:u w:val="single"/>
        </w:rPr>
      </w:pPr>
      <w:r>
        <w:rPr>
          <w:rFonts w:hint="eastAsia" w:ascii="宋体" w:hAnsi="宋体" w:cs="宋体"/>
          <w:kern w:val="0"/>
          <w:sz w:val="28"/>
        </w:rPr>
        <w:t>项目名称：</w:t>
      </w:r>
      <w:r>
        <w:rPr>
          <w:rFonts w:hint="eastAsia" w:ascii="宋体" w:hAnsi="宋体" w:cs="宋体"/>
          <w:kern w:val="0"/>
          <w:sz w:val="28"/>
          <w:u w:val="single"/>
        </w:rPr>
        <w:t xml:space="preserve">                                         </w:t>
      </w:r>
    </w:p>
    <w:p>
      <w:pPr>
        <w:tabs>
          <w:tab w:val="left" w:pos="2580"/>
          <w:tab w:val="left" w:pos="5940"/>
        </w:tabs>
        <w:autoSpaceDE w:val="0"/>
        <w:autoSpaceDN w:val="0"/>
        <w:adjustRightInd w:val="0"/>
        <w:snapToGrid w:val="0"/>
        <w:spacing w:line="300" w:lineRule="auto"/>
        <w:ind w:right="-20" w:firstLine="980" w:firstLineChars="350"/>
        <w:rPr>
          <w:rFonts w:ascii="宋体" w:hAnsi="宋体" w:cs="宋体"/>
          <w:kern w:val="0"/>
          <w:sz w:val="28"/>
          <w:u w:val="single"/>
        </w:rPr>
      </w:pPr>
      <w:r>
        <w:rPr>
          <w:rFonts w:hint="eastAsia" w:ascii="宋体" w:hAnsi="宋体" w:cs="宋体"/>
          <w:kern w:val="0"/>
          <w:sz w:val="28"/>
        </w:rPr>
        <w:t>项目编号：</w:t>
      </w:r>
      <w:r>
        <w:rPr>
          <w:rFonts w:hint="eastAsia" w:ascii="宋体" w:hAnsi="宋体" w:cs="宋体"/>
          <w:kern w:val="0"/>
          <w:sz w:val="28"/>
          <w:u w:val="single"/>
        </w:rPr>
        <w:t xml:space="preserve">                                     </w:t>
      </w:r>
    </w:p>
    <w:p>
      <w:pPr>
        <w:tabs>
          <w:tab w:val="left" w:pos="2580"/>
          <w:tab w:val="left" w:pos="5940"/>
        </w:tabs>
        <w:autoSpaceDE w:val="0"/>
        <w:autoSpaceDN w:val="0"/>
        <w:adjustRightInd w:val="0"/>
        <w:snapToGrid w:val="0"/>
        <w:spacing w:line="300" w:lineRule="auto"/>
        <w:ind w:right="-20" w:firstLine="980" w:firstLineChars="350"/>
        <w:rPr>
          <w:rFonts w:ascii="宋体" w:hAnsi="宋体" w:cs="宋体"/>
          <w:kern w:val="0"/>
          <w:sz w:val="28"/>
          <w:u w:val="single"/>
        </w:rPr>
      </w:pPr>
      <w:r>
        <w:rPr>
          <w:rFonts w:hint="eastAsia" w:ascii="宋体" w:hAnsi="宋体" w:cs="宋体"/>
          <w:kern w:val="0"/>
          <w:sz w:val="28"/>
        </w:rPr>
        <w:t>标项序号及标项内容：</w:t>
      </w:r>
      <w:r>
        <w:rPr>
          <w:rFonts w:hint="eastAsia" w:ascii="宋体" w:hAnsi="宋体" w:cs="宋体"/>
          <w:kern w:val="0"/>
          <w:sz w:val="28"/>
          <w:u w:val="single"/>
        </w:rPr>
        <w:t xml:space="preserve">                               </w:t>
      </w:r>
    </w:p>
    <w:p>
      <w:pPr>
        <w:autoSpaceDE w:val="0"/>
        <w:autoSpaceDN w:val="0"/>
        <w:adjustRightInd w:val="0"/>
        <w:snapToGrid w:val="0"/>
        <w:spacing w:line="300" w:lineRule="auto"/>
        <w:jc w:val="left"/>
        <w:rPr>
          <w:rFonts w:ascii="宋体" w:hAnsi="宋体" w:cs="宋体"/>
          <w:b/>
          <w:bCs/>
          <w:kern w:val="0"/>
          <w:sz w:val="44"/>
          <w:szCs w:val="44"/>
        </w:rPr>
      </w:pPr>
    </w:p>
    <w:p>
      <w:pPr>
        <w:autoSpaceDE w:val="0"/>
        <w:autoSpaceDN w:val="0"/>
        <w:adjustRightInd w:val="0"/>
        <w:snapToGrid w:val="0"/>
        <w:spacing w:line="300" w:lineRule="auto"/>
        <w:jc w:val="left"/>
        <w:rPr>
          <w:rFonts w:ascii="宋体" w:hAnsi="宋体" w:cs="宋体"/>
          <w:kern w:val="0"/>
          <w:sz w:val="24"/>
        </w:rPr>
      </w:pPr>
    </w:p>
    <w:p>
      <w:pPr>
        <w:autoSpaceDE w:val="0"/>
        <w:autoSpaceDN w:val="0"/>
        <w:adjustRightInd w:val="0"/>
        <w:snapToGrid w:val="0"/>
        <w:spacing w:line="300" w:lineRule="auto"/>
        <w:jc w:val="left"/>
        <w:rPr>
          <w:rFonts w:ascii="宋体" w:hAnsi="宋体" w:cs="宋体"/>
          <w:kern w:val="0"/>
          <w:sz w:val="24"/>
        </w:rPr>
      </w:pPr>
    </w:p>
    <w:p>
      <w:pPr>
        <w:autoSpaceDE w:val="0"/>
        <w:autoSpaceDN w:val="0"/>
        <w:adjustRightInd w:val="0"/>
        <w:snapToGrid w:val="0"/>
        <w:spacing w:line="300" w:lineRule="auto"/>
        <w:jc w:val="left"/>
        <w:rPr>
          <w:rFonts w:ascii="宋体" w:hAnsi="宋体" w:cs="宋体"/>
          <w:kern w:val="0"/>
          <w:sz w:val="24"/>
        </w:rPr>
      </w:pPr>
    </w:p>
    <w:p>
      <w:pPr>
        <w:autoSpaceDE w:val="0"/>
        <w:autoSpaceDN w:val="0"/>
        <w:adjustRightInd w:val="0"/>
        <w:snapToGrid w:val="0"/>
        <w:spacing w:line="300" w:lineRule="auto"/>
        <w:jc w:val="left"/>
        <w:rPr>
          <w:rFonts w:ascii="宋体" w:hAnsi="宋体" w:cs="宋体"/>
          <w:kern w:val="0"/>
          <w:sz w:val="24"/>
        </w:rPr>
      </w:pPr>
    </w:p>
    <w:p>
      <w:pPr>
        <w:autoSpaceDE w:val="0"/>
        <w:autoSpaceDN w:val="0"/>
        <w:adjustRightInd w:val="0"/>
        <w:snapToGrid w:val="0"/>
        <w:spacing w:line="300" w:lineRule="auto"/>
        <w:jc w:val="left"/>
        <w:rPr>
          <w:rFonts w:ascii="宋体" w:hAnsi="宋体" w:cs="宋体"/>
          <w:kern w:val="0"/>
          <w:sz w:val="24"/>
        </w:rPr>
      </w:pPr>
    </w:p>
    <w:p>
      <w:pPr>
        <w:tabs>
          <w:tab w:val="left" w:pos="1805"/>
          <w:tab w:val="left" w:pos="5360"/>
        </w:tabs>
        <w:autoSpaceDE w:val="0"/>
        <w:autoSpaceDN w:val="0"/>
        <w:adjustRightInd w:val="0"/>
        <w:snapToGrid w:val="0"/>
        <w:spacing w:line="300" w:lineRule="auto"/>
        <w:ind w:right="-20"/>
        <w:jc w:val="center"/>
        <w:rPr>
          <w:rFonts w:ascii="宋体" w:hAnsi="宋体" w:cs="宋体"/>
          <w:kern w:val="0"/>
          <w:sz w:val="72"/>
        </w:rPr>
      </w:pPr>
      <w:r>
        <w:rPr>
          <w:rFonts w:hint="eastAsia" w:ascii="宋体" w:hAnsi="宋体" w:cs="宋体"/>
          <w:kern w:val="0"/>
          <w:sz w:val="72"/>
        </w:rPr>
        <w:t>投 标 文 件</w:t>
      </w:r>
    </w:p>
    <w:p>
      <w:pPr>
        <w:tabs>
          <w:tab w:val="left" w:pos="1805"/>
          <w:tab w:val="left" w:pos="5360"/>
        </w:tabs>
        <w:autoSpaceDE w:val="0"/>
        <w:autoSpaceDN w:val="0"/>
        <w:adjustRightInd w:val="0"/>
        <w:snapToGrid w:val="0"/>
        <w:spacing w:line="300" w:lineRule="auto"/>
        <w:ind w:right="-20"/>
        <w:jc w:val="center"/>
        <w:rPr>
          <w:rFonts w:ascii="宋体" w:hAnsi="宋体" w:cs="宋体"/>
          <w:kern w:val="0"/>
          <w:sz w:val="72"/>
        </w:rPr>
      </w:pPr>
      <w:r>
        <w:rPr>
          <w:rFonts w:hint="eastAsia" w:ascii="宋体" w:hAnsi="宋体" w:cs="宋体"/>
          <w:kern w:val="0"/>
          <w:sz w:val="72"/>
        </w:rPr>
        <w:t>（商务技术文件）</w:t>
      </w:r>
    </w:p>
    <w:p>
      <w:pPr>
        <w:autoSpaceDE w:val="0"/>
        <w:autoSpaceDN w:val="0"/>
        <w:adjustRightInd w:val="0"/>
        <w:snapToGrid w:val="0"/>
        <w:spacing w:line="300" w:lineRule="auto"/>
        <w:jc w:val="left"/>
        <w:rPr>
          <w:rFonts w:ascii="宋体" w:hAnsi="宋体" w:cs="宋体"/>
          <w:kern w:val="0"/>
          <w:sz w:val="16"/>
        </w:rPr>
      </w:pPr>
    </w:p>
    <w:p>
      <w:pPr>
        <w:autoSpaceDE w:val="0"/>
        <w:autoSpaceDN w:val="0"/>
        <w:adjustRightInd w:val="0"/>
        <w:snapToGrid w:val="0"/>
        <w:spacing w:line="300" w:lineRule="auto"/>
        <w:jc w:val="left"/>
        <w:rPr>
          <w:rFonts w:ascii="宋体" w:hAnsi="宋体" w:cs="宋体"/>
          <w:kern w:val="0"/>
          <w:sz w:val="20"/>
        </w:rPr>
      </w:pPr>
    </w:p>
    <w:p>
      <w:pPr>
        <w:autoSpaceDE w:val="0"/>
        <w:autoSpaceDN w:val="0"/>
        <w:adjustRightInd w:val="0"/>
        <w:snapToGrid w:val="0"/>
        <w:spacing w:line="300" w:lineRule="auto"/>
        <w:jc w:val="left"/>
        <w:rPr>
          <w:rFonts w:ascii="宋体" w:hAnsi="宋体" w:cs="宋体"/>
          <w:kern w:val="0"/>
          <w:sz w:val="20"/>
        </w:rPr>
      </w:pPr>
    </w:p>
    <w:p>
      <w:pPr>
        <w:autoSpaceDE w:val="0"/>
        <w:autoSpaceDN w:val="0"/>
        <w:adjustRightInd w:val="0"/>
        <w:snapToGrid w:val="0"/>
        <w:spacing w:line="300" w:lineRule="auto"/>
        <w:jc w:val="left"/>
        <w:rPr>
          <w:rFonts w:ascii="宋体" w:hAnsi="宋体" w:cs="宋体"/>
          <w:kern w:val="0"/>
          <w:sz w:val="20"/>
        </w:rPr>
      </w:pPr>
    </w:p>
    <w:p>
      <w:pPr>
        <w:autoSpaceDE w:val="0"/>
        <w:autoSpaceDN w:val="0"/>
        <w:adjustRightInd w:val="0"/>
        <w:snapToGrid w:val="0"/>
        <w:spacing w:line="300" w:lineRule="auto"/>
        <w:jc w:val="left"/>
        <w:rPr>
          <w:rFonts w:ascii="宋体" w:hAnsi="宋体" w:cs="宋体"/>
          <w:kern w:val="0"/>
          <w:sz w:val="20"/>
        </w:rPr>
      </w:pPr>
    </w:p>
    <w:p>
      <w:pPr>
        <w:autoSpaceDE w:val="0"/>
        <w:autoSpaceDN w:val="0"/>
        <w:adjustRightInd w:val="0"/>
        <w:snapToGrid w:val="0"/>
        <w:spacing w:line="300" w:lineRule="auto"/>
        <w:jc w:val="left"/>
        <w:rPr>
          <w:rFonts w:ascii="宋体" w:hAnsi="宋体" w:cs="宋体"/>
          <w:kern w:val="0"/>
          <w:sz w:val="20"/>
        </w:rPr>
      </w:pPr>
    </w:p>
    <w:p>
      <w:pPr>
        <w:autoSpaceDE w:val="0"/>
        <w:autoSpaceDN w:val="0"/>
        <w:adjustRightInd w:val="0"/>
        <w:snapToGrid w:val="0"/>
        <w:spacing w:line="300" w:lineRule="auto"/>
        <w:jc w:val="left"/>
        <w:rPr>
          <w:rFonts w:ascii="宋体" w:hAnsi="宋体" w:cs="宋体"/>
          <w:kern w:val="0"/>
          <w:sz w:val="20"/>
        </w:rPr>
      </w:pPr>
    </w:p>
    <w:p>
      <w:pPr>
        <w:autoSpaceDE w:val="0"/>
        <w:autoSpaceDN w:val="0"/>
        <w:adjustRightInd w:val="0"/>
        <w:snapToGrid w:val="0"/>
        <w:spacing w:line="300" w:lineRule="auto"/>
        <w:jc w:val="left"/>
        <w:rPr>
          <w:rFonts w:ascii="宋体" w:hAnsi="宋体" w:cs="宋体"/>
          <w:kern w:val="0"/>
          <w:sz w:val="20"/>
        </w:rPr>
      </w:pPr>
    </w:p>
    <w:p>
      <w:pPr>
        <w:autoSpaceDE w:val="0"/>
        <w:autoSpaceDN w:val="0"/>
        <w:adjustRightInd w:val="0"/>
        <w:snapToGrid w:val="0"/>
        <w:spacing w:line="300" w:lineRule="auto"/>
        <w:jc w:val="left"/>
        <w:rPr>
          <w:rFonts w:ascii="宋体" w:hAnsi="宋体" w:cs="宋体"/>
          <w:kern w:val="0"/>
          <w:sz w:val="20"/>
        </w:rPr>
      </w:pPr>
    </w:p>
    <w:p>
      <w:pPr>
        <w:tabs>
          <w:tab w:val="left" w:pos="6080"/>
          <w:tab w:val="left" w:pos="6640"/>
        </w:tabs>
        <w:autoSpaceDE w:val="0"/>
        <w:autoSpaceDN w:val="0"/>
        <w:adjustRightInd w:val="0"/>
        <w:snapToGrid w:val="0"/>
        <w:spacing w:line="300" w:lineRule="auto"/>
        <w:ind w:left="774" w:right="403"/>
        <w:jc w:val="left"/>
        <w:rPr>
          <w:rFonts w:ascii="宋体" w:hAnsi="宋体" w:cs="宋体"/>
          <w:kern w:val="0"/>
          <w:sz w:val="28"/>
        </w:rPr>
      </w:pPr>
      <w:r>
        <w:rPr>
          <w:rFonts w:hint="eastAsia" w:ascii="宋体" w:hAnsi="宋体" w:cs="宋体"/>
          <w:kern w:val="0"/>
          <w:sz w:val="28"/>
        </w:rPr>
        <w:t>投标人：</w:t>
      </w:r>
      <w:r>
        <w:rPr>
          <w:rFonts w:hint="eastAsia" w:ascii="宋体" w:hAnsi="宋体" w:cs="宋体"/>
          <w:kern w:val="0"/>
          <w:sz w:val="28"/>
          <w:u w:val="single"/>
        </w:rPr>
        <w:t xml:space="preserve">                          </w:t>
      </w:r>
      <w:r>
        <w:rPr>
          <w:rFonts w:hint="eastAsia" w:ascii="宋体" w:hAnsi="宋体" w:cs="宋体"/>
          <w:kern w:val="0"/>
          <w:sz w:val="28"/>
        </w:rPr>
        <w:t>（盖单位公章）</w:t>
      </w:r>
    </w:p>
    <w:p>
      <w:pPr>
        <w:tabs>
          <w:tab w:val="left" w:pos="6080"/>
          <w:tab w:val="left" w:pos="6640"/>
        </w:tabs>
        <w:autoSpaceDE w:val="0"/>
        <w:autoSpaceDN w:val="0"/>
        <w:adjustRightInd w:val="0"/>
        <w:snapToGrid w:val="0"/>
        <w:spacing w:line="300" w:lineRule="auto"/>
        <w:ind w:left="774" w:right="403"/>
        <w:jc w:val="left"/>
        <w:rPr>
          <w:rFonts w:ascii="宋体" w:hAnsi="宋体" w:cs="宋体"/>
          <w:kern w:val="0"/>
          <w:sz w:val="28"/>
        </w:rPr>
      </w:pPr>
      <w:r>
        <w:rPr>
          <w:rFonts w:hint="eastAsia" w:ascii="宋体" w:hAnsi="宋体" w:cs="宋体"/>
          <w:kern w:val="0"/>
          <w:sz w:val="28"/>
        </w:rPr>
        <w:t>投标文件签署人：</w:t>
      </w:r>
      <w:r>
        <w:rPr>
          <w:rFonts w:hint="eastAsia" w:ascii="宋体" w:hAnsi="宋体" w:cs="宋体"/>
          <w:kern w:val="0"/>
          <w:sz w:val="28"/>
          <w:u w:val="single"/>
        </w:rPr>
        <w:t xml:space="preserve">               </w:t>
      </w:r>
      <w:r>
        <w:rPr>
          <w:rFonts w:hint="eastAsia" w:ascii="宋体" w:hAnsi="宋体" w:cs="宋体"/>
          <w:kern w:val="0"/>
          <w:sz w:val="28"/>
        </w:rPr>
        <w:t>（签字或盖章）</w:t>
      </w:r>
    </w:p>
    <w:p>
      <w:pPr>
        <w:tabs>
          <w:tab w:val="left" w:pos="6080"/>
          <w:tab w:val="left" w:pos="6640"/>
        </w:tabs>
        <w:autoSpaceDE w:val="0"/>
        <w:autoSpaceDN w:val="0"/>
        <w:adjustRightInd w:val="0"/>
        <w:snapToGrid w:val="0"/>
        <w:spacing w:line="300" w:lineRule="auto"/>
        <w:ind w:left="774" w:right="403"/>
        <w:jc w:val="left"/>
        <w:rPr>
          <w:rFonts w:ascii="宋体" w:hAnsi="宋体" w:cs="宋体"/>
          <w:kern w:val="0"/>
          <w:sz w:val="28"/>
        </w:rPr>
      </w:pPr>
    </w:p>
    <w:p>
      <w:pPr>
        <w:tabs>
          <w:tab w:val="left" w:pos="3280"/>
          <w:tab w:val="left" w:pos="4680"/>
          <w:tab w:val="left" w:pos="6080"/>
        </w:tabs>
        <w:autoSpaceDE w:val="0"/>
        <w:autoSpaceDN w:val="0"/>
        <w:adjustRightInd w:val="0"/>
        <w:snapToGrid w:val="0"/>
        <w:spacing w:line="300" w:lineRule="auto"/>
        <w:ind w:left="2173" w:leftChars="1035" w:right="-20" w:firstLine="546" w:firstLineChars="195"/>
        <w:jc w:val="left"/>
        <w:rPr>
          <w:rFonts w:ascii="宋体" w:hAnsi="宋体" w:cs="宋体"/>
          <w:kern w:val="0"/>
          <w:sz w:val="28"/>
        </w:rPr>
      </w:pPr>
      <w:r>
        <w:rPr>
          <w:rFonts w:hint="eastAsia" w:ascii="宋体" w:hAnsi="宋体" w:cs="宋体"/>
          <w:kern w:val="0"/>
          <w:sz w:val="28"/>
          <w:u w:val="single"/>
        </w:rPr>
        <w:t xml:space="preserve">      </w:t>
      </w:r>
      <w:r>
        <w:rPr>
          <w:rFonts w:hint="eastAsia" w:ascii="宋体" w:hAnsi="宋体" w:cs="宋体"/>
          <w:kern w:val="0"/>
          <w:sz w:val="28"/>
        </w:rPr>
        <w:t>年</w:t>
      </w:r>
      <w:r>
        <w:rPr>
          <w:rFonts w:hint="eastAsia" w:ascii="宋体" w:hAnsi="宋体" w:cs="宋体"/>
          <w:kern w:val="0"/>
          <w:sz w:val="28"/>
          <w:u w:val="single"/>
        </w:rPr>
        <w:t xml:space="preserve">   </w:t>
      </w:r>
      <w:r>
        <w:rPr>
          <w:rFonts w:hint="eastAsia" w:ascii="宋体" w:hAnsi="宋体" w:cs="宋体"/>
          <w:kern w:val="0"/>
          <w:sz w:val="28"/>
        </w:rPr>
        <w:t>月</w:t>
      </w:r>
      <w:r>
        <w:rPr>
          <w:rFonts w:hint="eastAsia" w:ascii="宋体" w:hAnsi="宋体" w:cs="宋体"/>
          <w:kern w:val="0"/>
          <w:sz w:val="28"/>
          <w:u w:val="single"/>
        </w:rPr>
        <w:t xml:space="preserve">   </w:t>
      </w:r>
      <w:r>
        <w:rPr>
          <w:rFonts w:hint="eastAsia" w:ascii="宋体" w:hAnsi="宋体" w:cs="宋体"/>
          <w:kern w:val="0"/>
          <w:sz w:val="28"/>
        </w:rPr>
        <w:t>日</w:t>
      </w:r>
    </w:p>
    <w:p>
      <w:pPr>
        <w:pStyle w:val="5"/>
        <w:snapToGrid w:val="0"/>
        <w:ind w:firstLine="422"/>
        <w:rPr>
          <w:rFonts w:ascii="宋体" w:hAnsi="宋体" w:cs="宋体"/>
        </w:rPr>
      </w:pPr>
      <w:r>
        <w:rPr>
          <w:rFonts w:hint="eastAsia" w:ascii="宋体" w:hAnsi="宋体" w:cs="宋体"/>
        </w:rPr>
        <w:br w:type="page"/>
      </w:r>
      <w:r>
        <w:rPr>
          <w:rFonts w:hint="eastAsia" w:ascii="宋体" w:hAnsi="宋体" w:cs="宋体"/>
        </w:rPr>
        <w:t>一、法定代表人资格证明书</w:t>
      </w:r>
    </w:p>
    <w:p>
      <w:pPr>
        <w:pStyle w:val="21"/>
        <w:adjustRightInd w:val="0"/>
        <w:snapToGrid w:val="0"/>
        <w:spacing w:line="300" w:lineRule="auto"/>
        <w:jc w:val="center"/>
        <w:rPr>
          <w:rFonts w:hAnsi="宋体" w:cs="宋体"/>
          <w:b/>
          <w:bCs/>
          <w:sz w:val="32"/>
        </w:rPr>
      </w:pPr>
      <w:r>
        <w:rPr>
          <w:rFonts w:hint="eastAsia" w:hAnsi="宋体" w:cs="宋体"/>
          <w:b/>
          <w:bCs/>
          <w:sz w:val="32"/>
        </w:rPr>
        <w:t>法定代表人资格证明书</w:t>
      </w:r>
    </w:p>
    <w:p>
      <w:pPr>
        <w:adjustRightInd w:val="0"/>
        <w:snapToGrid w:val="0"/>
        <w:spacing w:line="300" w:lineRule="auto"/>
        <w:ind w:firstLine="420" w:firstLineChars="200"/>
        <w:rPr>
          <w:rFonts w:ascii="宋体" w:hAnsi="宋体" w:cs="宋体"/>
          <w:szCs w:val="21"/>
        </w:rPr>
      </w:pPr>
    </w:p>
    <w:p>
      <w:pPr>
        <w:adjustRightInd w:val="0"/>
        <w:snapToGrid w:val="0"/>
        <w:spacing w:line="300" w:lineRule="auto"/>
        <w:ind w:firstLine="420" w:firstLineChars="200"/>
        <w:rPr>
          <w:rFonts w:ascii="宋体" w:hAnsi="宋体" w:cs="宋体"/>
          <w:szCs w:val="21"/>
        </w:rPr>
      </w:pPr>
    </w:p>
    <w:p>
      <w:pPr>
        <w:adjustRightInd w:val="0"/>
        <w:snapToGrid w:val="0"/>
        <w:spacing w:line="300" w:lineRule="auto"/>
        <w:ind w:firstLine="420" w:firstLineChars="200"/>
        <w:rPr>
          <w:rFonts w:ascii="宋体" w:hAnsi="宋体" w:cs="宋体"/>
          <w:szCs w:val="21"/>
          <w:u w:val="single"/>
        </w:rPr>
      </w:pPr>
      <w:r>
        <w:rPr>
          <w:rFonts w:hint="eastAsia" w:ascii="宋体" w:hAnsi="宋体" w:cs="宋体"/>
          <w:szCs w:val="21"/>
        </w:rPr>
        <w:t xml:space="preserve">投标人名称： </w:t>
      </w:r>
      <w:r>
        <w:rPr>
          <w:rFonts w:hint="eastAsia" w:ascii="宋体" w:hAnsi="宋体" w:cs="宋体"/>
          <w:szCs w:val="21"/>
          <w:u w:val="single"/>
        </w:rPr>
        <w:t xml:space="preserve">             </w:t>
      </w:r>
    </w:p>
    <w:p>
      <w:pPr>
        <w:adjustRightInd w:val="0"/>
        <w:snapToGrid w:val="0"/>
        <w:spacing w:line="300" w:lineRule="auto"/>
        <w:ind w:firstLine="420" w:firstLineChars="200"/>
        <w:rPr>
          <w:rFonts w:ascii="宋体" w:hAnsi="宋体" w:cs="宋体"/>
          <w:szCs w:val="21"/>
          <w:u w:val="single"/>
        </w:rPr>
      </w:pPr>
      <w:r>
        <w:rPr>
          <w:rFonts w:hint="eastAsia" w:ascii="宋体" w:hAnsi="宋体" w:cs="宋体"/>
          <w:szCs w:val="21"/>
        </w:rPr>
        <w:t>法定地址：</w:t>
      </w:r>
      <w:r>
        <w:rPr>
          <w:rFonts w:hint="eastAsia" w:ascii="宋体" w:hAnsi="宋体" w:cs="宋体"/>
          <w:szCs w:val="21"/>
          <w:u w:val="single"/>
        </w:rPr>
        <w:t xml:space="preserve">                </w:t>
      </w:r>
    </w:p>
    <w:p>
      <w:pPr>
        <w:adjustRightInd w:val="0"/>
        <w:snapToGrid w:val="0"/>
        <w:spacing w:line="300" w:lineRule="auto"/>
        <w:ind w:firstLine="420" w:firstLineChars="200"/>
        <w:rPr>
          <w:rFonts w:ascii="宋体" w:hAnsi="宋体" w:cs="宋体"/>
          <w:szCs w:val="21"/>
          <w:u w:val="single"/>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 xml:space="preserve"> 性别：</w:t>
      </w:r>
      <w:r>
        <w:rPr>
          <w:rFonts w:hint="eastAsia" w:ascii="宋体" w:hAnsi="宋体" w:cs="宋体"/>
          <w:szCs w:val="21"/>
          <w:u w:val="single"/>
        </w:rPr>
        <w:t xml:space="preserve">      </w:t>
      </w:r>
      <w:r>
        <w:rPr>
          <w:rFonts w:hint="eastAsia" w:ascii="宋体" w:hAnsi="宋体" w:cs="宋体"/>
          <w:szCs w:val="21"/>
        </w:rPr>
        <w:t xml:space="preserve">  年龄：</w:t>
      </w:r>
      <w:r>
        <w:rPr>
          <w:rFonts w:hint="eastAsia" w:ascii="宋体" w:hAnsi="宋体" w:cs="宋体"/>
          <w:szCs w:val="21"/>
          <w:u w:val="single"/>
        </w:rPr>
        <w:t xml:space="preserve">       </w:t>
      </w:r>
      <w:r>
        <w:rPr>
          <w:rFonts w:hint="eastAsia" w:ascii="宋体" w:hAnsi="宋体" w:cs="宋体"/>
          <w:szCs w:val="21"/>
        </w:rPr>
        <w:t xml:space="preserve"> 职务： </w:t>
      </w:r>
      <w:r>
        <w:rPr>
          <w:rFonts w:hint="eastAsia" w:ascii="宋体" w:hAnsi="宋体" w:cs="宋体"/>
          <w:szCs w:val="21"/>
          <w:u w:val="single"/>
        </w:rPr>
        <w:t xml:space="preserve">        </w:t>
      </w:r>
    </w:p>
    <w:p>
      <w:pPr>
        <w:adjustRightInd w:val="0"/>
        <w:snapToGrid w:val="0"/>
        <w:spacing w:line="300" w:lineRule="auto"/>
        <w:ind w:firstLine="420" w:firstLineChars="200"/>
        <w:rPr>
          <w:rFonts w:ascii="宋体" w:hAnsi="宋体" w:cs="宋体"/>
          <w:szCs w:val="21"/>
          <w:u w:val="single"/>
        </w:rPr>
      </w:pPr>
      <w:r>
        <w:rPr>
          <w:rFonts w:hint="eastAsia" w:ascii="宋体" w:hAnsi="宋体" w:cs="宋体"/>
          <w:szCs w:val="21"/>
        </w:rPr>
        <w:t>身份证号码：</w:t>
      </w:r>
      <w:r>
        <w:rPr>
          <w:rFonts w:hint="eastAsia" w:ascii="宋体" w:hAnsi="宋体" w:cs="宋体"/>
          <w:szCs w:val="21"/>
          <w:u w:val="single"/>
        </w:rPr>
        <w:t xml:space="preserve">                         </w:t>
      </w:r>
    </w:p>
    <w:p>
      <w:pPr>
        <w:adjustRightInd w:val="0"/>
        <w:snapToGrid w:val="0"/>
        <w:spacing w:line="300" w:lineRule="auto"/>
        <w:ind w:firstLine="420" w:firstLineChars="200"/>
        <w:rPr>
          <w:rFonts w:ascii="宋体" w:hAnsi="宋体" w:cs="宋体"/>
          <w:szCs w:val="21"/>
        </w:rPr>
      </w:pPr>
      <w:r>
        <w:rPr>
          <w:rFonts w:hint="eastAsia" w:ascii="宋体" w:hAnsi="宋体" w:cs="宋体"/>
          <w:szCs w:val="21"/>
        </w:rPr>
        <w:t>该同志系</w:t>
      </w:r>
      <w:r>
        <w:rPr>
          <w:rFonts w:hint="eastAsia" w:ascii="宋体" w:hAnsi="宋体" w:cs="宋体"/>
          <w:szCs w:val="21"/>
          <w:u w:val="single"/>
        </w:rPr>
        <w:t xml:space="preserve">                                </w:t>
      </w:r>
      <w:r>
        <w:rPr>
          <w:rFonts w:hint="eastAsia" w:ascii="宋体" w:hAnsi="宋体" w:cs="宋体"/>
          <w:szCs w:val="21"/>
        </w:rPr>
        <w:t>公司法定代表人。</w:t>
      </w:r>
    </w:p>
    <w:p>
      <w:pPr>
        <w:adjustRightInd w:val="0"/>
        <w:snapToGrid w:val="0"/>
        <w:spacing w:line="300" w:lineRule="auto"/>
        <w:ind w:firstLine="613" w:firstLineChars="292"/>
        <w:rPr>
          <w:rFonts w:ascii="宋体" w:hAnsi="宋体" w:cs="宋体"/>
          <w:szCs w:val="21"/>
        </w:rPr>
      </w:pPr>
      <w:r>
        <w:rPr>
          <w:rFonts w:hint="eastAsia" w:ascii="宋体" w:hAnsi="宋体" w:cs="宋体"/>
          <w:szCs w:val="21"/>
        </w:rPr>
        <w:t>特此证明！</w:t>
      </w:r>
    </w:p>
    <w:p>
      <w:pPr>
        <w:adjustRightInd w:val="0"/>
        <w:snapToGrid w:val="0"/>
        <w:spacing w:line="300" w:lineRule="auto"/>
        <w:ind w:right="900" w:firstLine="315" w:firstLineChars="150"/>
        <w:rPr>
          <w:rFonts w:ascii="宋体" w:hAnsi="宋体" w:cs="宋体"/>
          <w:szCs w:val="21"/>
        </w:rPr>
      </w:pPr>
    </w:p>
    <w:p>
      <w:pPr>
        <w:adjustRightInd w:val="0"/>
        <w:snapToGrid w:val="0"/>
        <w:spacing w:line="300" w:lineRule="auto"/>
        <w:ind w:right="900" w:firstLine="315" w:firstLineChars="150"/>
        <w:rPr>
          <w:rFonts w:ascii="宋体" w:hAnsi="宋体" w:cs="宋体"/>
          <w:szCs w:val="21"/>
        </w:rPr>
      </w:pPr>
    </w:p>
    <w:p>
      <w:pPr>
        <w:adjustRightInd w:val="0"/>
        <w:snapToGrid w:val="0"/>
        <w:spacing w:line="300" w:lineRule="auto"/>
        <w:ind w:right="900" w:firstLine="315" w:firstLineChars="150"/>
        <w:rPr>
          <w:rFonts w:ascii="宋体" w:hAnsi="宋体" w:cs="宋体"/>
          <w:szCs w:val="21"/>
        </w:rPr>
      </w:pPr>
      <w:r>
        <w:rPr>
          <w:rFonts w:hint="eastAsia" w:ascii="宋体" w:hAnsi="宋体" w:cs="宋体"/>
          <w:szCs w:val="21"/>
        </w:rPr>
        <w:t>投标人：</w:t>
      </w:r>
      <w:r>
        <w:rPr>
          <w:rFonts w:hint="eastAsia" w:ascii="宋体" w:hAnsi="宋体" w:cs="宋体"/>
          <w:szCs w:val="21"/>
          <w:u w:val="single"/>
        </w:rPr>
        <w:t xml:space="preserve">               </w:t>
      </w:r>
      <w:r>
        <w:rPr>
          <w:rFonts w:hint="eastAsia" w:ascii="宋体" w:hAnsi="宋体" w:cs="宋体"/>
          <w:szCs w:val="21"/>
        </w:rPr>
        <w:t>（盖章）</w:t>
      </w:r>
    </w:p>
    <w:p>
      <w:pPr>
        <w:adjustRightInd w:val="0"/>
        <w:snapToGrid w:val="0"/>
        <w:spacing w:line="300" w:lineRule="auto"/>
        <w:ind w:right="900" w:firstLine="315" w:firstLineChars="150"/>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line="300" w:lineRule="auto"/>
        <w:rPr>
          <w:rFonts w:ascii="宋体" w:hAnsi="宋体" w:cs="宋体"/>
          <w:szCs w:val="21"/>
        </w:rPr>
      </w:pPr>
    </w:p>
    <w:p>
      <w:pPr>
        <w:snapToGrid w:val="0"/>
        <w:spacing w:line="300" w:lineRule="auto"/>
        <w:rPr>
          <w:rFonts w:ascii="宋体" w:hAnsi="宋体" w:cs="宋体"/>
          <w:szCs w:val="21"/>
        </w:rPr>
      </w:pPr>
    </w:p>
    <w:p>
      <w:pPr>
        <w:snapToGrid w:val="0"/>
        <w:spacing w:line="300" w:lineRule="auto"/>
        <w:rPr>
          <w:rFonts w:ascii="宋体" w:hAnsi="宋体" w:cs="宋体"/>
          <w:szCs w:val="21"/>
        </w:rPr>
      </w:pPr>
      <w:r>
        <w:rPr>
          <w:rFonts w:hint="eastAsia" w:ascii="宋体" w:hAnsi="宋体" w:cs="宋体"/>
          <w:szCs w:val="21"/>
        </w:rPr>
        <w:t>附：法定代表人身份证复印件正面及背面</w:t>
      </w:r>
    </w:p>
    <w:p>
      <w:pPr>
        <w:snapToGrid w:val="0"/>
        <w:spacing w:line="300" w:lineRule="auto"/>
        <w:rPr>
          <w:rFonts w:ascii="宋体" w:hAnsi="宋体" w:cs="宋体"/>
        </w:rPr>
      </w:pPr>
      <w:r>
        <w:rPr>
          <w:rFonts w:hint="eastAsia" w:ascii="宋体" w:hAnsi="宋体" w:cs="宋体"/>
          <w:sz w:val="24"/>
        </w:rPr>
        <w:br w:type="page"/>
      </w:r>
    </w:p>
    <w:p>
      <w:pPr>
        <w:pStyle w:val="5"/>
        <w:snapToGrid w:val="0"/>
        <w:ind w:firstLine="422"/>
        <w:rPr>
          <w:rFonts w:ascii="宋体" w:hAnsi="宋体" w:cs="宋体"/>
        </w:rPr>
      </w:pPr>
      <w:bookmarkStart w:id="105" w:name="_Toc336683576"/>
      <w:bookmarkStart w:id="106" w:name="_Toc345575535"/>
      <w:r>
        <w:rPr>
          <w:rFonts w:hint="eastAsia" w:ascii="宋体" w:hAnsi="宋体" w:cs="宋体"/>
        </w:rPr>
        <w:t>二、法定代表人授权</w:t>
      </w:r>
      <w:bookmarkEnd w:id="105"/>
      <w:bookmarkEnd w:id="106"/>
      <w:r>
        <w:rPr>
          <w:rFonts w:hint="eastAsia" w:ascii="宋体" w:hAnsi="宋体" w:cs="宋体"/>
        </w:rPr>
        <w:t xml:space="preserve">委托书格式  </w:t>
      </w:r>
    </w:p>
    <w:p>
      <w:pPr>
        <w:widowControl/>
        <w:snapToGrid w:val="0"/>
        <w:spacing w:line="300" w:lineRule="auto"/>
        <w:jc w:val="left"/>
        <w:rPr>
          <w:rFonts w:ascii="宋体" w:hAnsi="宋体" w:cs="宋体"/>
          <w:b/>
          <w:bCs/>
          <w:sz w:val="32"/>
          <w:szCs w:val="20"/>
        </w:rPr>
      </w:pPr>
    </w:p>
    <w:p>
      <w:pPr>
        <w:pStyle w:val="21"/>
        <w:adjustRightInd w:val="0"/>
        <w:snapToGrid w:val="0"/>
        <w:spacing w:line="300" w:lineRule="auto"/>
        <w:jc w:val="center"/>
        <w:rPr>
          <w:rFonts w:hAnsi="宋体" w:cs="宋体"/>
          <w:b/>
          <w:bCs/>
          <w:sz w:val="32"/>
        </w:rPr>
      </w:pPr>
      <w:r>
        <w:rPr>
          <w:rFonts w:hint="eastAsia" w:hAnsi="宋体" w:cs="宋体"/>
          <w:b/>
          <w:bCs/>
          <w:sz w:val="32"/>
        </w:rPr>
        <w:t>法定代表人授权委托书</w:t>
      </w:r>
    </w:p>
    <w:p>
      <w:pPr>
        <w:widowControl/>
        <w:snapToGrid w:val="0"/>
        <w:spacing w:line="300" w:lineRule="auto"/>
        <w:jc w:val="left"/>
        <w:rPr>
          <w:rFonts w:ascii="宋体" w:hAnsi="宋体" w:cs="宋体"/>
          <w:b/>
          <w:bCs/>
          <w:sz w:val="32"/>
          <w:szCs w:val="20"/>
        </w:rPr>
      </w:pPr>
    </w:p>
    <w:p>
      <w:pPr>
        <w:adjustRightInd w:val="0"/>
        <w:snapToGrid w:val="0"/>
        <w:spacing w:line="360" w:lineRule="auto"/>
        <w:rPr>
          <w:rFonts w:ascii="宋体" w:hAnsi="宋体" w:cs="宋体"/>
          <w:kern w:val="0"/>
          <w:sz w:val="24"/>
          <w:lang w:val="zh-CN"/>
        </w:rPr>
      </w:pPr>
      <w:r>
        <w:rPr>
          <w:rFonts w:hint="eastAsia" w:ascii="宋体" w:hAnsi="宋体" w:cs="宋体"/>
          <w:sz w:val="24"/>
        </w:rPr>
        <w:t>杭州殡仪馆</w:t>
      </w:r>
      <w:r>
        <w:rPr>
          <w:rFonts w:hint="eastAsia" w:ascii="宋体" w:hAnsi="宋体" w:cs="宋体"/>
          <w:kern w:val="0"/>
          <w:sz w:val="24"/>
          <w:lang w:val="zh-CN"/>
        </w:rPr>
        <w:t>：</w:t>
      </w:r>
    </w:p>
    <w:p>
      <w:pPr>
        <w:adjustRightInd w:val="0"/>
        <w:snapToGrid w:val="0"/>
        <w:spacing w:line="360" w:lineRule="auto"/>
        <w:rPr>
          <w:rFonts w:ascii="宋体" w:hAnsi="宋体" w:cs="宋体"/>
          <w:kern w:val="0"/>
          <w:sz w:val="24"/>
        </w:rPr>
      </w:pPr>
      <w:r>
        <w:rPr>
          <w:rFonts w:hint="eastAsia" w:ascii="宋体" w:hAnsi="宋体" w:cs="宋体"/>
          <w:kern w:val="0"/>
          <w:sz w:val="24"/>
          <w:lang w:val="zh-CN"/>
        </w:rPr>
        <w:t>浙江中诺招标代理有限公司：</w:t>
      </w:r>
    </w:p>
    <w:p>
      <w:pPr>
        <w:adjustRightInd w:val="0"/>
        <w:snapToGrid w:val="0"/>
        <w:spacing w:line="360" w:lineRule="auto"/>
        <w:ind w:firstLine="576"/>
        <w:rPr>
          <w:rFonts w:ascii="宋体" w:hAnsi="宋体" w:cs="宋体"/>
          <w:kern w:val="0"/>
          <w:sz w:val="24"/>
        </w:rPr>
      </w:pPr>
      <w:r>
        <w:rPr>
          <w:rFonts w:hint="eastAsia" w:ascii="宋体" w:hAnsi="宋体" w:cs="宋体"/>
          <w:kern w:val="0"/>
          <w:sz w:val="24"/>
          <w:lang w:val="zh-CN"/>
        </w:rPr>
        <w:t>兹委派我公司</w:t>
      </w:r>
      <w:r>
        <w:rPr>
          <w:rFonts w:hint="eastAsia" w:ascii="宋体" w:hAnsi="宋体" w:cs="宋体"/>
          <w:kern w:val="0"/>
          <w:sz w:val="24"/>
          <w:u w:val="single"/>
          <w:lang w:val="zh-CN"/>
        </w:rPr>
        <w:t xml:space="preserve">     </w:t>
      </w:r>
      <w:r>
        <w:rPr>
          <w:rFonts w:hint="eastAsia" w:ascii="宋体" w:hAnsi="宋体" w:cs="宋体"/>
          <w:kern w:val="0"/>
          <w:sz w:val="24"/>
          <w:lang w:val="zh-CN"/>
        </w:rPr>
        <w:t>先生/女士(其在本公司的职务是：</w:t>
      </w:r>
      <w:r>
        <w:rPr>
          <w:rFonts w:hint="eastAsia" w:ascii="宋体" w:hAnsi="宋体" w:cs="宋体"/>
          <w:kern w:val="0"/>
          <w:sz w:val="24"/>
          <w:u w:val="single"/>
          <w:lang w:val="zh-CN"/>
        </w:rPr>
        <w:t xml:space="preserve">         </w:t>
      </w:r>
      <w:r>
        <w:rPr>
          <w:rFonts w:hint="eastAsia" w:ascii="宋体" w:hAnsi="宋体" w:cs="宋体"/>
          <w:kern w:val="0"/>
          <w:sz w:val="24"/>
          <w:lang w:val="zh-CN"/>
        </w:rPr>
        <w:t>，联系电话：</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传真：</w:t>
      </w:r>
      <w:r>
        <w:rPr>
          <w:rFonts w:hint="eastAsia" w:ascii="宋体" w:hAnsi="宋体" w:cs="宋体"/>
          <w:kern w:val="0"/>
          <w:sz w:val="24"/>
          <w:u w:val="single"/>
          <w:lang w:val="zh-CN"/>
        </w:rPr>
        <w:t xml:space="preserve">    </w:t>
      </w:r>
      <w:r>
        <w:rPr>
          <w:rFonts w:hint="eastAsia" w:ascii="宋体" w:hAnsi="宋体" w:cs="宋体"/>
          <w:kern w:val="0"/>
          <w:sz w:val="24"/>
          <w:lang w:val="zh-CN"/>
        </w:rPr>
        <w:t>)，代表我公司全权处理</w:t>
      </w:r>
      <w:r>
        <w:rPr>
          <w:rFonts w:hint="eastAsia" w:ascii="宋体" w:hAnsi="宋体" w:cs="宋体"/>
          <w:kern w:val="0"/>
          <w:sz w:val="24"/>
          <w:u w:val="single"/>
          <w:lang w:val="zh-CN"/>
        </w:rPr>
        <w:t xml:space="preserve">               </w:t>
      </w:r>
      <w:r>
        <w:rPr>
          <w:rFonts w:hint="eastAsia" w:ascii="宋体" w:hAnsi="宋体" w:cs="宋体"/>
          <w:sz w:val="24"/>
        </w:rPr>
        <w:t>项目</w:t>
      </w:r>
      <w:r>
        <w:rPr>
          <w:rFonts w:hint="eastAsia" w:ascii="宋体" w:hAnsi="宋体" w:cs="宋体"/>
          <w:kern w:val="0"/>
          <w:sz w:val="24"/>
          <w:lang w:val="zh-CN"/>
        </w:rPr>
        <w:t>(采购编号：</w:t>
      </w:r>
      <w:r>
        <w:rPr>
          <w:rFonts w:hint="eastAsia" w:ascii="宋体" w:hAnsi="宋体" w:cs="宋体"/>
          <w:kern w:val="0"/>
          <w:sz w:val="24"/>
          <w:u w:val="single"/>
          <w:lang w:val="zh-CN"/>
        </w:rPr>
        <w:t xml:space="preserve">            </w:t>
      </w:r>
      <w:r>
        <w:rPr>
          <w:rFonts w:hint="eastAsia" w:ascii="宋体" w:hAnsi="宋体" w:cs="宋体"/>
          <w:kern w:val="0"/>
          <w:sz w:val="24"/>
          <w:lang w:val="zh-CN"/>
        </w:rPr>
        <w:t>)政府采购投标的一切事项，若中标则全权代表本公司签订相关合同，并负责处理合同履行等事宜。</w:t>
      </w:r>
    </w:p>
    <w:p>
      <w:pPr>
        <w:adjustRightInd w:val="0"/>
        <w:snapToGrid w:val="0"/>
        <w:spacing w:line="360" w:lineRule="auto"/>
        <w:rPr>
          <w:rFonts w:ascii="宋体" w:hAnsi="宋体" w:cs="宋体"/>
          <w:kern w:val="0"/>
          <w:sz w:val="24"/>
          <w:lang w:val="zh-CN"/>
        </w:rPr>
      </w:pPr>
      <w:r>
        <w:rPr>
          <w:rFonts w:hint="eastAsia" w:ascii="宋体" w:hAnsi="宋体" w:cs="宋体"/>
          <w:kern w:val="0"/>
          <w:sz w:val="24"/>
          <w:lang w:val="zh-CN"/>
        </w:rPr>
        <w:t xml:space="preserve">    本委托书有效期：自20</w:t>
      </w:r>
      <w:r>
        <w:rPr>
          <w:rFonts w:hint="eastAsia" w:ascii="宋体" w:hAnsi="宋体" w:cs="宋体"/>
          <w:kern w:val="0"/>
          <w:sz w:val="24"/>
        </w:rPr>
        <w:t xml:space="preserve">  </w:t>
      </w:r>
      <w:r>
        <w:rPr>
          <w:rFonts w:hint="eastAsia" w:ascii="宋体" w:hAnsi="宋体" w:cs="宋体"/>
          <w:kern w:val="0"/>
          <w:sz w:val="24"/>
          <w:lang w:val="zh-CN"/>
        </w:rPr>
        <w:t>年 月  日起至20</w:t>
      </w:r>
      <w:r>
        <w:rPr>
          <w:rFonts w:hint="eastAsia" w:ascii="宋体" w:hAnsi="宋体" w:cs="宋体"/>
          <w:kern w:val="0"/>
          <w:sz w:val="24"/>
        </w:rPr>
        <w:t xml:space="preserve"> </w:t>
      </w:r>
      <w:r>
        <w:rPr>
          <w:rFonts w:hint="eastAsia" w:ascii="宋体" w:hAnsi="宋体" w:cs="宋体"/>
          <w:kern w:val="0"/>
          <w:sz w:val="24"/>
          <w:lang w:val="zh-CN"/>
        </w:rPr>
        <w:t>年  月  日止。</w:t>
      </w:r>
    </w:p>
    <w:p>
      <w:pPr>
        <w:adjustRightInd w:val="0"/>
        <w:snapToGrid w:val="0"/>
        <w:spacing w:line="360" w:lineRule="auto"/>
        <w:ind w:firstLine="465"/>
        <w:rPr>
          <w:rFonts w:ascii="宋体" w:hAnsi="宋体" w:cs="宋体"/>
          <w:kern w:val="0"/>
          <w:sz w:val="24"/>
          <w:lang w:val="zh-CN"/>
        </w:rPr>
      </w:pPr>
      <w:r>
        <w:rPr>
          <w:rFonts w:hint="eastAsia" w:ascii="宋体" w:hAnsi="宋体" w:cs="宋体"/>
          <w:kern w:val="0"/>
          <w:sz w:val="24"/>
          <w:lang w:val="zh-CN"/>
        </w:rPr>
        <w:t>特此告知。</w:t>
      </w:r>
    </w:p>
    <w:p>
      <w:pPr>
        <w:adjustRightInd w:val="0"/>
        <w:snapToGrid w:val="0"/>
        <w:spacing w:line="360" w:lineRule="auto"/>
        <w:ind w:firstLine="465"/>
        <w:rPr>
          <w:rFonts w:ascii="宋体" w:hAnsi="宋体" w:cs="宋体"/>
          <w:kern w:val="0"/>
          <w:sz w:val="24"/>
        </w:rPr>
      </w:pPr>
    </w:p>
    <w:p>
      <w:pPr>
        <w:adjustRightInd w:val="0"/>
        <w:snapToGrid w:val="0"/>
        <w:spacing w:line="360" w:lineRule="auto"/>
        <w:rPr>
          <w:rFonts w:ascii="宋体" w:hAnsi="宋体" w:cs="宋体"/>
          <w:kern w:val="0"/>
          <w:sz w:val="24"/>
        </w:rPr>
      </w:pPr>
      <w:r>
        <w:rPr>
          <w:rFonts w:hint="eastAsia" w:ascii="宋体" w:hAnsi="宋体" w:cs="宋体"/>
          <w:kern w:val="0"/>
          <w:sz w:val="24"/>
          <w:lang w:val="zh-CN"/>
        </w:rPr>
        <w:t xml:space="preserve">                                                  投标人名称(公章)：</w:t>
      </w:r>
    </w:p>
    <w:p>
      <w:pPr>
        <w:adjustRightInd w:val="0"/>
        <w:snapToGrid w:val="0"/>
        <w:spacing w:line="360" w:lineRule="auto"/>
        <w:rPr>
          <w:rFonts w:ascii="宋体" w:hAnsi="宋体" w:cs="宋体"/>
          <w:kern w:val="0"/>
          <w:sz w:val="24"/>
        </w:rPr>
      </w:pPr>
      <w:r>
        <w:rPr>
          <w:rFonts w:hint="eastAsia" w:ascii="宋体" w:hAnsi="宋体" w:cs="宋体"/>
          <w:kern w:val="0"/>
          <w:sz w:val="24"/>
          <w:lang w:val="zh-CN"/>
        </w:rPr>
        <w:t xml:space="preserve">                                                  法定代表人(签字)：</w:t>
      </w:r>
    </w:p>
    <w:p>
      <w:pPr>
        <w:pStyle w:val="21"/>
        <w:adjustRightInd w:val="0"/>
        <w:snapToGrid w:val="0"/>
        <w:spacing w:line="300" w:lineRule="auto"/>
        <w:jc w:val="center"/>
        <w:rPr>
          <w:rFonts w:hAnsi="宋体" w:cs="宋体"/>
          <w:b/>
          <w:bCs/>
          <w:sz w:val="32"/>
        </w:rPr>
      </w:pPr>
      <w:r>
        <w:rPr>
          <w:rFonts w:hint="eastAsia" w:hAnsi="宋体" w:cs="宋体"/>
          <w:kern w:val="0"/>
          <w:sz w:val="24"/>
          <w:lang w:val="zh-CN"/>
        </w:rPr>
        <w:t xml:space="preserve">                                                  签发日期：20</w:t>
      </w:r>
      <w:r>
        <w:rPr>
          <w:rFonts w:hint="eastAsia" w:hAnsi="宋体" w:cs="宋体"/>
          <w:kern w:val="0"/>
          <w:sz w:val="24"/>
        </w:rPr>
        <w:t xml:space="preserve">  </w:t>
      </w:r>
      <w:r>
        <w:rPr>
          <w:rFonts w:hint="eastAsia" w:hAnsi="宋体" w:cs="宋体"/>
          <w:kern w:val="0"/>
          <w:sz w:val="24"/>
          <w:lang w:val="zh-CN"/>
        </w:rPr>
        <w:t>年  月   日</w:t>
      </w:r>
    </w:p>
    <w:p>
      <w:pPr>
        <w:snapToGrid w:val="0"/>
        <w:spacing w:line="300" w:lineRule="auto"/>
        <w:ind w:firstLine="422" w:firstLineChars="200"/>
        <w:rPr>
          <w:rFonts w:ascii="宋体" w:hAnsi="宋体" w:cs="宋体"/>
          <w:b/>
        </w:rPr>
      </w:pPr>
    </w:p>
    <w:p>
      <w:pPr>
        <w:pStyle w:val="5"/>
        <w:snapToGrid w:val="0"/>
        <w:ind w:firstLine="422"/>
        <w:rPr>
          <w:rFonts w:ascii="宋体" w:hAnsi="宋体" w:cs="宋体"/>
        </w:rPr>
      </w:pPr>
      <w:r>
        <w:rPr>
          <w:rFonts w:hint="eastAsia" w:ascii="宋体" w:hAnsi="宋体" w:cs="宋体"/>
        </w:rPr>
        <w:br w:type="page"/>
      </w:r>
      <w:bookmarkStart w:id="107" w:name="_Toc345575537"/>
      <w:r>
        <w:rPr>
          <w:rFonts w:hint="eastAsia" w:ascii="宋体" w:hAnsi="宋体" w:cs="宋体"/>
        </w:rPr>
        <w:t>三、投标保证金</w:t>
      </w:r>
      <w:bookmarkEnd w:id="107"/>
    </w:p>
    <w:p>
      <w:pPr>
        <w:adjustRightInd w:val="0"/>
        <w:snapToGrid w:val="0"/>
        <w:spacing w:line="360" w:lineRule="auto"/>
        <w:jc w:val="center"/>
        <w:rPr>
          <w:rFonts w:ascii="宋体" w:hAnsi="宋体" w:cs="宋体"/>
          <w:sz w:val="24"/>
        </w:rPr>
      </w:pPr>
      <w:r>
        <w:rPr>
          <w:rFonts w:hint="eastAsia" w:ascii="宋体" w:hAnsi="宋体" w:cs="宋体"/>
          <w:sz w:val="24"/>
        </w:rPr>
        <w:t>本项目不设投标保证金</w:t>
      </w:r>
    </w:p>
    <w:p>
      <w:pPr>
        <w:pStyle w:val="5"/>
        <w:snapToGrid w:val="0"/>
        <w:ind w:firstLine="422"/>
        <w:rPr>
          <w:rFonts w:ascii="宋体" w:hAnsi="宋体" w:cs="宋体"/>
        </w:rPr>
      </w:pPr>
      <w:bookmarkStart w:id="108" w:name="_Toc345575543"/>
      <w:bookmarkStart w:id="109" w:name="_Toc336683581"/>
      <w:r>
        <w:rPr>
          <w:rFonts w:hint="eastAsia" w:ascii="宋体" w:hAnsi="宋体" w:cs="宋体"/>
        </w:rPr>
        <w:t>四、偏离表</w:t>
      </w:r>
      <w:bookmarkEnd w:id="108"/>
      <w:bookmarkEnd w:id="109"/>
      <w:r>
        <w:rPr>
          <w:rFonts w:hint="eastAsia" w:ascii="宋体" w:hAnsi="宋体" w:cs="宋体"/>
        </w:rPr>
        <w:t xml:space="preserve"> </w:t>
      </w:r>
    </w:p>
    <w:p>
      <w:pPr>
        <w:pStyle w:val="21"/>
        <w:adjustRightInd w:val="0"/>
        <w:snapToGrid w:val="0"/>
        <w:spacing w:line="300" w:lineRule="auto"/>
        <w:jc w:val="center"/>
        <w:rPr>
          <w:rFonts w:hAnsi="宋体" w:cs="宋体"/>
          <w:b/>
          <w:bCs/>
          <w:sz w:val="32"/>
          <w:szCs w:val="32"/>
        </w:rPr>
      </w:pPr>
      <w:r>
        <w:rPr>
          <w:rFonts w:hint="eastAsia" w:hAnsi="宋体" w:cs="宋体"/>
          <w:b/>
          <w:bCs/>
          <w:sz w:val="32"/>
          <w:szCs w:val="32"/>
        </w:rPr>
        <w:t>偏离表</w:t>
      </w:r>
    </w:p>
    <w:p>
      <w:pPr>
        <w:snapToGrid w:val="0"/>
        <w:spacing w:line="300" w:lineRule="auto"/>
        <w:rPr>
          <w:rFonts w:ascii="宋体" w:hAnsi="宋体" w:cs="宋体"/>
          <w:u w:val="single"/>
        </w:rPr>
      </w:pPr>
      <w:r>
        <w:rPr>
          <w:rFonts w:hint="eastAsia" w:ascii="宋体" w:hAnsi="宋体" w:cs="宋体"/>
        </w:rPr>
        <w:t>项目名称：</w:t>
      </w:r>
      <w:r>
        <w:rPr>
          <w:rFonts w:hint="eastAsia" w:ascii="宋体" w:hAnsi="宋体" w:cs="宋体"/>
          <w:u w:val="single"/>
        </w:rPr>
        <w:t xml:space="preserve">                          </w:t>
      </w:r>
    </w:p>
    <w:p>
      <w:pPr>
        <w:snapToGrid w:val="0"/>
        <w:spacing w:line="300" w:lineRule="auto"/>
        <w:rPr>
          <w:rFonts w:ascii="宋体" w:hAnsi="宋体" w:cs="宋体"/>
          <w:u w:val="single"/>
        </w:rPr>
      </w:pPr>
      <w:r>
        <w:rPr>
          <w:rFonts w:hint="eastAsia" w:ascii="宋体" w:hAnsi="宋体" w:cs="宋体"/>
        </w:rPr>
        <w:t>项目编号：</w:t>
      </w:r>
      <w:r>
        <w:rPr>
          <w:rFonts w:hint="eastAsia" w:ascii="宋体" w:hAnsi="宋体" w:cs="宋体"/>
          <w:u w:val="single"/>
        </w:rPr>
        <w:t xml:space="preserve">                          </w:t>
      </w:r>
    </w:p>
    <w:p>
      <w:pPr>
        <w:snapToGrid w:val="0"/>
        <w:spacing w:line="300" w:lineRule="auto"/>
        <w:rPr>
          <w:rFonts w:ascii="宋体" w:hAnsi="宋体" w:cs="宋体"/>
          <w:u w:val="single"/>
        </w:rPr>
      </w:pPr>
      <w:r>
        <w:rPr>
          <w:rFonts w:hint="eastAsia" w:ascii="宋体" w:hAnsi="宋体" w:cs="宋体"/>
        </w:rPr>
        <w:t>标项内容：</w:t>
      </w:r>
      <w:r>
        <w:rPr>
          <w:rFonts w:hint="eastAsia" w:ascii="宋体" w:hAnsi="宋体" w:cs="宋体"/>
          <w:u w:val="single"/>
        </w:rPr>
        <w:t xml:space="preserve">                          </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3060"/>
        <w:gridCol w:w="2340"/>
        <w:gridCol w:w="28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rPr>
            </w:pPr>
            <w:r>
              <w:rPr>
                <w:rFonts w:hint="eastAsia" w:ascii="宋体" w:hAnsi="宋体" w:cs="宋体"/>
              </w:rPr>
              <w:t>序号</w:t>
            </w:r>
          </w:p>
        </w:tc>
        <w:tc>
          <w:tcPr>
            <w:tcW w:w="3060" w:type="dxa"/>
            <w:vAlign w:val="center"/>
          </w:tcPr>
          <w:p>
            <w:pPr>
              <w:snapToGrid w:val="0"/>
              <w:spacing w:line="300" w:lineRule="auto"/>
              <w:jc w:val="center"/>
              <w:rPr>
                <w:rFonts w:ascii="宋体" w:hAnsi="宋体" w:cs="宋体"/>
              </w:rPr>
            </w:pPr>
            <w:r>
              <w:rPr>
                <w:rFonts w:hint="eastAsia" w:ascii="宋体" w:hAnsi="宋体" w:cs="宋体"/>
              </w:rPr>
              <w:t>招标要求</w:t>
            </w:r>
          </w:p>
        </w:tc>
        <w:tc>
          <w:tcPr>
            <w:tcW w:w="2340" w:type="dxa"/>
            <w:vAlign w:val="center"/>
          </w:tcPr>
          <w:p>
            <w:pPr>
              <w:snapToGrid w:val="0"/>
              <w:spacing w:line="300" w:lineRule="auto"/>
              <w:jc w:val="center"/>
              <w:rPr>
                <w:rFonts w:ascii="宋体" w:hAnsi="宋体" w:cs="宋体"/>
              </w:rPr>
            </w:pPr>
            <w:r>
              <w:rPr>
                <w:rFonts w:hint="eastAsia" w:ascii="宋体" w:hAnsi="宋体" w:cs="宋体"/>
              </w:rPr>
              <w:t>投标响应</w:t>
            </w:r>
          </w:p>
        </w:tc>
        <w:tc>
          <w:tcPr>
            <w:tcW w:w="2880" w:type="dxa"/>
            <w:vAlign w:val="center"/>
          </w:tcPr>
          <w:p>
            <w:pPr>
              <w:snapToGrid w:val="0"/>
              <w:spacing w:line="300" w:lineRule="auto"/>
              <w:jc w:val="center"/>
              <w:rPr>
                <w:rFonts w:ascii="宋体" w:hAnsi="宋体" w:cs="宋体"/>
              </w:rPr>
            </w:pPr>
            <w:r>
              <w:rPr>
                <w:rFonts w:hint="eastAsia" w:ascii="宋体" w:hAnsi="宋体" w:cs="宋体"/>
              </w:rPr>
              <w:t>说明（正偏离/负偏离）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spacing w:val="20"/>
              </w:rPr>
            </w:pPr>
          </w:p>
        </w:tc>
        <w:tc>
          <w:tcPr>
            <w:tcW w:w="3060" w:type="dxa"/>
            <w:vAlign w:val="center"/>
          </w:tcPr>
          <w:p>
            <w:pPr>
              <w:snapToGrid w:val="0"/>
              <w:spacing w:line="300" w:lineRule="auto"/>
              <w:jc w:val="center"/>
              <w:rPr>
                <w:rFonts w:ascii="宋体" w:hAnsi="宋体" w:cs="宋体"/>
                <w:spacing w:val="20"/>
              </w:rPr>
            </w:pPr>
          </w:p>
        </w:tc>
        <w:tc>
          <w:tcPr>
            <w:tcW w:w="2340" w:type="dxa"/>
            <w:vAlign w:val="center"/>
          </w:tcPr>
          <w:p>
            <w:pPr>
              <w:snapToGrid w:val="0"/>
              <w:spacing w:line="300" w:lineRule="auto"/>
              <w:jc w:val="center"/>
              <w:rPr>
                <w:rFonts w:ascii="宋体" w:hAnsi="宋体" w:cs="宋体"/>
                <w:spacing w:val="20"/>
              </w:rPr>
            </w:pPr>
          </w:p>
        </w:tc>
        <w:tc>
          <w:tcPr>
            <w:tcW w:w="2880"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400" w:hRule="atLeast"/>
        </w:trPr>
        <w:tc>
          <w:tcPr>
            <w:tcW w:w="1008" w:type="dxa"/>
            <w:vAlign w:val="center"/>
          </w:tcPr>
          <w:p>
            <w:pPr>
              <w:snapToGrid w:val="0"/>
              <w:spacing w:line="300" w:lineRule="auto"/>
              <w:jc w:val="center"/>
              <w:rPr>
                <w:rFonts w:ascii="宋体" w:hAnsi="宋体" w:cs="宋体"/>
                <w:spacing w:val="20"/>
              </w:rPr>
            </w:pPr>
          </w:p>
        </w:tc>
        <w:tc>
          <w:tcPr>
            <w:tcW w:w="3060" w:type="dxa"/>
            <w:vAlign w:val="center"/>
          </w:tcPr>
          <w:p>
            <w:pPr>
              <w:snapToGrid w:val="0"/>
              <w:spacing w:line="300" w:lineRule="auto"/>
              <w:jc w:val="center"/>
              <w:rPr>
                <w:rFonts w:ascii="宋体" w:hAnsi="宋体" w:cs="宋体"/>
                <w:spacing w:val="20"/>
              </w:rPr>
            </w:pPr>
          </w:p>
        </w:tc>
        <w:tc>
          <w:tcPr>
            <w:tcW w:w="2340" w:type="dxa"/>
            <w:vAlign w:val="center"/>
          </w:tcPr>
          <w:p>
            <w:pPr>
              <w:snapToGrid w:val="0"/>
              <w:spacing w:line="300" w:lineRule="auto"/>
              <w:jc w:val="center"/>
              <w:rPr>
                <w:rFonts w:ascii="宋体" w:hAnsi="宋体" w:cs="宋体"/>
                <w:spacing w:val="20"/>
              </w:rPr>
            </w:pPr>
          </w:p>
        </w:tc>
        <w:tc>
          <w:tcPr>
            <w:tcW w:w="2880"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spacing w:val="20"/>
              </w:rPr>
            </w:pPr>
          </w:p>
        </w:tc>
        <w:tc>
          <w:tcPr>
            <w:tcW w:w="3060" w:type="dxa"/>
            <w:vAlign w:val="center"/>
          </w:tcPr>
          <w:p>
            <w:pPr>
              <w:snapToGrid w:val="0"/>
              <w:spacing w:line="300" w:lineRule="auto"/>
              <w:jc w:val="center"/>
              <w:rPr>
                <w:rFonts w:ascii="宋体" w:hAnsi="宋体" w:cs="宋体"/>
                <w:spacing w:val="20"/>
              </w:rPr>
            </w:pPr>
          </w:p>
        </w:tc>
        <w:tc>
          <w:tcPr>
            <w:tcW w:w="2340" w:type="dxa"/>
            <w:vAlign w:val="center"/>
          </w:tcPr>
          <w:p>
            <w:pPr>
              <w:snapToGrid w:val="0"/>
              <w:spacing w:line="300" w:lineRule="auto"/>
              <w:jc w:val="center"/>
              <w:rPr>
                <w:rFonts w:ascii="宋体" w:hAnsi="宋体" w:cs="宋体"/>
                <w:spacing w:val="20"/>
              </w:rPr>
            </w:pPr>
          </w:p>
        </w:tc>
        <w:tc>
          <w:tcPr>
            <w:tcW w:w="2880"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spacing w:val="20"/>
              </w:rPr>
            </w:pPr>
          </w:p>
        </w:tc>
        <w:tc>
          <w:tcPr>
            <w:tcW w:w="3060" w:type="dxa"/>
            <w:vAlign w:val="center"/>
          </w:tcPr>
          <w:p>
            <w:pPr>
              <w:snapToGrid w:val="0"/>
              <w:spacing w:line="300" w:lineRule="auto"/>
              <w:jc w:val="center"/>
              <w:rPr>
                <w:rFonts w:ascii="宋体" w:hAnsi="宋体" w:cs="宋体"/>
                <w:spacing w:val="20"/>
              </w:rPr>
            </w:pPr>
          </w:p>
        </w:tc>
        <w:tc>
          <w:tcPr>
            <w:tcW w:w="2340" w:type="dxa"/>
            <w:vAlign w:val="center"/>
          </w:tcPr>
          <w:p>
            <w:pPr>
              <w:snapToGrid w:val="0"/>
              <w:spacing w:line="300" w:lineRule="auto"/>
              <w:jc w:val="center"/>
              <w:rPr>
                <w:rFonts w:ascii="宋体" w:hAnsi="宋体" w:cs="宋体"/>
                <w:spacing w:val="20"/>
              </w:rPr>
            </w:pPr>
          </w:p>
        </w:tc>
        <w:tc>
          <w:tcPr>
            <w:tcW w:w="2880"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spacing w:val="20"/>
              </w:rPr>
            </w:pPr>
          </w:p>
        </w:tc>
        <w:tc>
          <w:tcPr>
            <w:tcW w:w="3060" w:type="dxa"/>
            <w:vAlign w:val="center"/>
          </w:tcPr>
          <w:p>
            <w:pPr>
              <w:snapToGrid w:val="0"/>
              <w:spacing w:line="300" w:lineRule="auto"/>
              <w:jc w:val="center"/>
              <w:rPr>
                <w:rFonts w:ascii="宋体" w:hAnsi="宋体" w:cs="宋体"/>
                <w:spacing w:val="20"/>
              </w:rPr>
            </w:pPr>
          </w:p>
        </w:tc>
        <w:tc>
          <w:tcPr>
            <w:tcW w:w="2340" w:type="dxa"/>
            <w:vAlign w:val="center"/>
          </w:tcPr>
          <w:p>
            <w:pPr>
              <w:snapToGrid w:val="0"/>
              <w:spacing w:line="300" w:lineRule="auto"/>
              <w:jc w:val="center"/>
              <w:rPr>
                <w:rFonts w:ascii="宋体" w:hAnsi="宋体" w:cs="宋体"/>
                <w:spacing w:val="20"/>
              </w:rPr>
            </w:pPr>
          </w:p>
        </w:tc>
        <w:tc>
          <w:tcPr>
            <w:tcW w:w="2880"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spacing w:val="20"/>
              </w:rPr>
            </w:pPr>
          </w:p>
        </w:tc>
        <w:tc>
          <w:tcPr>
            <w:tcW w:w="3060" w:type="dxa"/>
            <w:vAlign w:val="center"/>
          </w:tcPr>
          <w:p>
            <w:pPr>
              <w:snapToGrid w:val="0"/>
              <w:spacing w:line="300" w:lineRule="auto"/>
              <w:jc w:val="center"/>
              <w:rPr>
                <w:rFonts w:ascii="宋体" w:hAnsi="宋体" w:cs="宋体"/>
                <w:spacing w:val="20"/>
              </w:rPr>
            </w:pPr>
          </w:p>
        </w:tc>
        <w:tc>
          <w:tcPr>
            <w:tcW w:w="2340" w:type="dxa"/>
            <w:vAlign w:val="center"/>
          </w:tcPr>
          <w:p>
            <w:pPr>
              <w:snapToGrid w:val="0"/>
              <w:spacing w:line="300" w:lineRule="auto"/>
              <w:jc w:val="center"/>
              <w:rPr>
                <w:rFonts w:ascii="宋体" w:hAnsi="宋体" w:cs="宋体"/>
                <w:spacing w:val="20"/>
              </w:rPr>
            </w:pPr>
          </w:p>
        </w:tc>
        <w:tc>
          <w:tcPr>
            <w:tcW w:w="2880"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spacing w:val="20"/>
              </w:rPr>
            </w:pPr>
          </w:p>
        </w:tc>
        <w:tc>
          <w:tcPr>
            <w:tcW w:w="3060" w:type="dxa"/>
            <w:vAlign w:val="center"/>
          </w:tcPr>
          <w:p>
            <w:pPr>
              <w:snapToGrid w:val="0"/>
              <w:spacing w:line="300" w:lineRule="auto"/>
              <w:jc w:val="center"/>
              <w:rPr>
                <w:rFonts w:ascii="宋体" w:hAnsi="宋体" w:cs="宋体"/>
                <w:spacing w:val="20"/>
              </w:rPr>
            </w:pPr>
          </w:p>
        </w:tc>
        <w:tc>
          <w:tcPr>
            <w:tcW w:w="2340" w:type="dxa"/>
            <w:vAlign w:val="center"/>
          </w:tcPr>
          <w:p>
            <w:pPr>
              <w:snapToGrid w:val="0"/>
              <w:spacing w:line="300" w:lineRule="auto"/>
              <w:jc w:val="center"/>
              <w:rPr>
                <w:rFonts w:ascii="宋体" w:hAnsi="宋体" w:cs="宋体"/>
                <w:spacing w:val="20"/>
              </w:rPr>
            </w:pPr>
          </w:p>
        </w:tc>
        <w:tc>
          <w:tcPr>
            <w:tcW w:w="2880"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spacing w:val="20"/>
              </w:rPr>
            </w:pPr>
          </w:p>
        </w:tc>
        <w:tc>
          <w:tcPr>
            <w:tcW w:w="3060" w:type="dxa"/>
            <w:vAlign w:val="center"/>
          </w:tcPr>
          <w:p>
            <w:pPr>
              <w:snapToGrid w:val="0"/>
              <w:spacing w:line="300" w:lineRule="auto"/>
              <w:jc w:val="center"/>
              <w:rPr>
                <w:rFonts w:ascii="宋体" w:hAnsi="宋体" w:cs="宋体"/>
                <w:spacing w:val="20"/>
              </w:rPr>
            </w:pPr>
          </w:p>
        </w:tc>
        <w:tc>
          <w:tcPr>
            <w:tcW w:w="2340" w:type="dxa"/>
            <w:vAlign w:val="center"/>
          </w:tcPr>
          <w:p>
            <w:pPr>
              <w:snapToGrid w:val="0"/>
              <w:spacing w:line="300" w:lineRule="auto"/>
              <w:jc w:val="center"/>
              <w:rPr>
                <w:rFonts w:ascii="宋体" w:hAnsi="宋体" w:cs="宋体"/>
                <w:spacing w:val="20"/>
              </w:rPr>
            </w:pPr>
          </w:p>
        </w:tc>
        <w:tc>
          <w:tcPr>
            <w:tcW w:w="2880"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spacing w:val="20"/>
              </w:rPr>
            </w:pPr>
          </w:p>
        </w:tc>
        <w:tc>
          <w:tcPr>
            <w:tcW w:w="3060" w:type="dxa"/>
            <w:vAlign w:val="center"/>
          </w:tcPr>
          <w:p>
            <w:pPr>
              <w:snapToGrid w:val="0"/>
              <w:spacing w:line="300" w:lineRule="auto"/>
              <w:jc w:val="center"/>
              <w:rPr>
                <w:rFonts w:ascii="宋体" w:hAnsi="宋体" w:cs="宋体"/>
                <w:spacing w:val="20"/>
              </w:rPr>
            </w:pPr>
          </w:p>
        </w:tc>
        <w:tc>
          <w:tcPr>
            <w:tcW w:w="2340" w:type="dxa"/>
            <w:vAlign w:val="center"/>
          </w:tcPr>
          <w:p>
            <w:pPr>
              <w:snapToGrid w:val="0"/>
              <w:spacing w:line="300" w:lineRule="auto"/>
              <w:jc w:val="center"/>
              <w:rPr>
                <w:rFonts w:ascii="宋体" w:hAnsi="宋体" w:cs="宋体"/>
                <w:spacing w:val="20"/>
              </w:rPr>
            </w:pPr>
          </w:p>
        </w:tc>
        <w:tc>
          <w:tcPr>
            <w:tcW w:w="2880"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spacing w:val="20"/>
              </w:rPr>
            </w:pPr>
          </w:p>
        </w:tc>
        <w:tc>
          <w:tcPr>
            <w:tcW w:w="3060" w:type="dxa"/>
            <w:vAlign w:val="center"/>
          </w:tcPr>
          <w:p>
            <w:pPr>
              <w:snapToGrid w:val="0"/>
              <w:spacing w:line="300" w:lineRule="auto"/>
              <w:jc w:val="center"/>
              <w:rPr>
                <w:rFonts w:ascii="宋体" w:hAnsi="宋体" w:cs="宋体"/>
                <w:spacing w:val="20"/>
              </w:rPr>
            </w:pPr>
          </w:p>
        </w:tc>
        <w:tc>
          <w:tcPr>
            <w:tcW w:w="2340" w:type="dxa"/>
            <w:vAlign w:val="center"/>
          </w:tcPr>
          <w:p>
            <w:pPr>
              <w:snapToGrid w:val="0"/>
              <w:spacing w:line="300" w:lineRule="auto"/>
              <w:jc w:val="center"/>
              <w:rPr>
                <w:rFonts w:ascii="宋体" w:hAnsi="宋体" w:cs="宋体"/>
                <w:spacing w:val="20"/>
              </w:rPr>
            </w:pPr>
          </w:p>
        </w:tc>
        <w:tc>
          <w:tcPr>
            <w:tcW w:w="2880" w:type="dxa"/>
            <w:vAlign w:val="center"/>
          </w:tcPr>
          <w:p>
            <w:pPr>
              <w:snapToGrid w:val="0"/>
              <w:spacing w:line="300" w:lineRule="auto"/>
              <w:jc w:val="center"/>
              <w:rPr>
                <w:rFonts w:ascii="宋体" w:hAnsi="宋体" w:cs="宋体"/>
                <w:spacing w:val="20"/>
              </w:rPr>
            </w:pPr>
          </w:p>
        </w:tc>
      </w:tr>
    </w:tbl>
    <w:p>
      <w:pPr>
        <w:snapToGrid w:val="0"/>
        <w:spacing w:line="300" w:lineRule="auto"/>
        <w:rPr>
          <w:rFonts w:ascii="宋体" w:hAnsi="宋体" w:cs="宋体"/>
        </w:rPr>
      </w:pPr>
      <w:r>
        <w:rPr>
          <w:rFonts w:hint="eastAsia" w:ascii="宋体" w:hAnsi="宋体" w:cs="宋体"/>
        </w:rPr>
        <w:t>填表说明：对招标文件有任何偏离（包括正偏离及负偏离）均应汇总并填写在此表中。</w:t>
      </w:r>
    </w:p>
    <w:p>
      <w:pPr>
        <w:snapToGrid w:val="0"/>
        <w:spacing w:line="300" w:lineRule="auto"/>
        <w:rPr>
          <w:rFonts w:ascii="宋体" w:hAnsi="宋体" w:cs="宋体"/>
          <w:spacing w:val="20"/>
          <w:u w:val="single"/>
        </w:rPr>
      </w:pPr>
      <w:r>
        <w:rPr>
          <w:rFonts w:hint="eastAsia" w:ascii="宋体" w:hAnsi="宋体" w:cs="宋体"/>
        </w:rPr>
        <w:t>投标人全称（盖单位公章）：</w:t>
      </w:r>
      <w:r>
        <w:rPr>
          <w:rFonts w:hint="eastAsia" w:ascii="宋体" w:hAnsi="宋体" w:cs="宋体"/>
          <w:spacing w:val="20"/>
          <w:u w:val="single"/>
        </w:rPr>
        <w:t xml:space="preserve">                  </w:t>
      </w:r>
    </w:p>
    <w:p>
      <w:pPr>
        <w:snapToGrid w:val="0"/>
        <w:spacing w:line="300" w:lineRule="auto"/>
        <w:rPr>
          <w:rFonts w:ascii="宋体" w:hAnsi="宋体" w:cs="宋体"/>
          <w:spacing w:val="20"/>
          <w:u w:val="single"/>
        </w:rPr>
      </w:pPr>
      <w:r>
        <w:rPr>
          <w:rFonts w:hint="eastAsia" w:ascii="宋体" w:hAnsi="宋体" w:cs="宋体"/>
        </w:rPr>
        <w:t>投标文件签署人（签字或盖章）：</w:t>
      </w:r>
      <w:r>
        <w:rPr>
          <w:rFonts w:hint="eastAsia" w:ascii="宋体" w:hAnsi="宋体" w:cs="宋体"/>
          <w:spacing w:val="20"/>
          <w:u w:val="single"/>
        </w:rPr>
        <w:t xml:space="preserve">               </w:t>
      </w:r>
    </w:p>
    <w:p>
      <w:pPr>
        <w:snapToGrid w:val="0"/>
        <w:spacing w:line="300" w:lineRule="auto"/>
        <w:rPr>
          <w:rFonts w:ascii="宋体" w:hAnsi="宋体" w:cs="宋体"/>
        </w:rPr>
      </w:pPr>
      <w:r>
        <w:rPr>
          <w:rFonts w:hint="eastAsia" w:ascii="宋体" w:hAnsi="宋体" w:cs="宋体"/>
          <w:spacing w:val="20"/>
        </w:rPr>
        <w:t>日期：</w:t>
      </w:r>
      <w:r>
        <w:rPr>
          <w:rFonts w:hint="eastAsia" w:ascii="宋体" w:hAnsi="宋体" w:cs="宋体"/>
        </w:rPr>
        <w:t xml:space="preserve">   年  月  日</w:t>
      </w:r>
    </w:p>
    <w:p>
      <w:pPr>
        <w:snapToGrid w:val="0"/>
        <w:spacing w:line="300" w:lineRule="auto"/>
        <w:rPr>
          <w:rFonts w:ascii="宋体" w:hAnsi="宋体" w:cs="宋体"/>
        </w:rPr>
      </w:pPr>
      <w:r>
        <w:rPr>
          <w:rFonts w:hint="eastAsia" w:ascii="宋体" w:hAnsi="宋体" w:cs="宋体"/>
        </w:rPr>
        <w:t>说明：</w:t>
      </w:r>
    </w:p>
    <w:p>
      <w:pPr>
        <w:snapToGrid w:val="0"/>
        <w:spacing w:line="300" w:lineRule="auto"/>
        <w:rPr>
          <w:rFonts w:ascii="宋体" w:hAnsi="宋体" w:cs="宋体"/>
        </w:rPr>
      </w:pPr>
      <w:r>
        <w:rPr>
          <w:rFonts w:hint="eastAsia" w:ascii="宋体" w:hAnsi="宋体" w:cs="宋体"/>
        </w:rPr>
        <w:t>1、如投标人提交的投标文件响应条款与招标文件的要求存在负偏离（即：不符点），需逐项填写《偏离表》。完全满足招标文件要求的投标人只需填写“完全满足招标文件的全部要求”。</w:t>
      </w:r>
    </w:p>
    <w:p>
      <w:pPr>
        <w:snapToGrid w:val="0"/>
        <w:spacing w:line="300" w:lineRule="auto"/>
        <w:rPr>
          <w:rFonts w:ascii="宋体" w:hAnsi="宋体" w:cs="宋体"/>
        </w:rPr>
      </w:pPr>
      <w:r>
        <w:rPr>
          <w:rFonts w:hint="eastAsia" w:ascii="宋体" w:hAnsi="宋体" w:cs="宋体"/>
        </w:rPr>
        <w:t>2、若中标人以未在偏离表中列出的负偏离为由，不按招标要求签约，采购人有权取消该中标人的中标资格并不予退还其投标保证金，并按有关规定重新确定中标单位或另行采购。</w:t>
      </w:r>
    </w:p>
    <w:p>
      <w:pPr>
        <w:snapToGrid w:val="0"/>
        <w:spacing w:line="300" w:lineRule="auto"/>
        <w:rPr>
          <w:rFonts w:ascii="宋体" w:hAnsi="宋体" w:cs="宋体"/>
        </w:rPr>
      </w:pPr>
      <w:r>
        <w:rPr>
          <w:rFonts w:hint="eastAsia" w:ascii="宋体" w:hAnsi="宋体" w:cs="宋体"/>
        </w:rPr>
        <w:t>3、投标人可调整、修改上述表格。</w:t>
      </w:r>
    </w:p>
    <w:p>
      <w:pPr>
        <w:snapToGrid w:val="0"/>
        <w:spacing w:line="300" w:lineRule="auto"/>
        <w:rPr>
          <w:rFonts w:ascii="宋体" w:hAnsi="宋体" w:cs="宋体"/>
          <w:spacing w:val="20"/>
        </w:rPr>
      </w:pPr>
    </w:p>
    <w:p>
      <w:pPr>
        <w:pStyle w:val="5"/>
        <w:snapToGrid w:val="0"/>
        <w:ind w:firstLine="502"/>
        <w:rPr>
          <w:rFonts w:ascii="宋体" w:hAnsi="宋体" w:cs="宋体"/>
        </w:rPr>
      </w:pPr>
      <w:r>
        <w:rPr>
          <w:rFonts w:hint="eastAsia" w:ascii="宋体" w:hAnsi="宋体" w:cs="宋体"/>
          <w:spacing w:val="20"/>
        </w:rPr>
        <w:br w:type="page"/>
      </w:r>
      <w:bookmarkStart w:id="110" w:name="_Toc303030576"/>
      <w:bookmarkStart w:id="111" w:name="_Toc335138374"/>
      <w:bookmarkStart w:id="112" w:name="_Toc230930642"/>
      <w:bookmarkStart w:id="113" w:name="_Toc345575549"/>
      <w:bookmarkStart w:id="114" w:name="_Toc184635147"/>
      <w:r>
        <w:rPr>
          <w:rFonts w:hint="eastAsia" w:ascii="宋体" w:hAnsi="宋体" w:cs="宋体"/>
          <w:spacing w:val="20"/>
        </w:rPr>
        <w:t>五</w:t>
      </w:r>
      <w:r>
        <w:rPr>
          <w:rFonts w:hint="eastAsia" w:ascii="宋体" w:hAnsi="宋体" w:cs="宋体"/>
        </w:rPr>
        <w:t>、资格审查资料</w:t>
      </w:r>
      <w:bookmarkEnd w:id="110"/>
      <w:bookmarkEnd w:id="111"/>
      <w:bookmarkEnd w:id="112"/>
      <w:bookmarkEnd w:id="113"/>
      <w:bookmarkEnd w:id="114"/>
    </w:p>
    <w:p>
      <w:pPr>
        <w:pStyle w:val="21"/>
        <w:adjustRightInd w:val="0"/>
        <w:snapToGrid w:val="0"/>
        <w:spacing w:line="300" w:lineRule="auto"/>
        <w:jc w:val="center"/>
        <w:rPr>
          <w:rFonts w:hAnsi="宋体" w:cs="宋体"/>
          <w:b/>
          <w:bCs/>
          <w:sz w:val="32"/>
          <w:szCs w:val="32"/>
        </w:rPr>
      </w:pPr>
      <w:r>
        <w:rPr>
          <w:rFonts w:hint="eastAsia" w:hAnsi="宋体" w:cs="宋体"/>
          <w:b/>
          <w:bCs/>
          <w:sz w:val="32"/>
        </w:rPr>
        <w:t>资格</w:t>
      </w:r>
      <w:r>
        <w:rPr>
          <w:rFonts w:hint="eastAsia" w:hAnsi="宋体" w:cs="宋体"/>
          <w:b/>
          <w:bCs/>
          <w:sz w:val="32"/>
          <w:szCs w:val="32"/>
        </w:rPr>
        <w:t>审查资料</w:t>
      </w:r>
    </w:p>
    <w:p>
      <w:pPr>
        <w:autoSpaceDE w:val="0"/>
        <w:autoSpaceDN w:val="0"/>
        <w:adjustRightInd w:val="0"/>
        <w:snapToGrid w:val="0"/>
        <w:spacing w:line="300" w:lineRule="auto"/>
        <w:ind w:firstLine="420" w:firstLineChars="200"/>
        <w:jc w:val="left"/>
        <w:rPr>
          <w:rFonts w:ascii="宋体" w:hAnsi="宋体" w:cs="宋体"/>
          <w:kern w:val="0"/>
        </w:rPr>
      </w:pPr>
      <w:bookmarkStart w:id="115" w:name="_Toc303030577"/>
      <w:bookmarkStart w:id="116" w:name="_Toc230930643"/>
      <w:bookmarkStart w:id="117" w:name="_Toc335138375"/>
      <w:r>
        <w:rPr>
          <w:rFonts w:hint="eastAsia" w:ascii="宋体" w:hAnsi="宋体" w:cs="宋体"/>
          <w:kern w:val="0"/>
        </w:rPr>
        <w:t>（一）资格审查须知</w:t>
      </w:r>
      <w:bookmarkEnd w:id="115"/>
      <w:bookmarkEnd w:id="116"/>
      <w:bookmarkEnd w:id="117"/>
    </w:p>
    <w:p>
      <w:pPr>
        <w:autoSpaceDE w:val="0"/>
        <w:autoSpaceDN w:val="0"/>
        <w:adjustRightInd w:val="0"/>
        <w:snapToGrid w:val="0"/>
        <w:spacing w:line="300" w:lineRule="auto"/>
        <w:ind w:firstLine="420" w:firstLineChars="200"/>
        <w:jc w:val="left"/>
        <w:rPr>
          <w:rFonts w:ascii="宋体" w:hAnsi="宋体" w:cs="宋体"/>
          <w:kern w:val="0"/>
        </w:rPr>
      </w:pPr>
      <w:r>
        <w:rPr>
          <w:rFonts w:hint="eastAsia" w:ascii="宋体" w:hAnsi="宋体" w:cs="宋体"/>
          <w:kern w:val="0"/>
        </w:rPr>
        <w:t>1、投标人必须认真填写招标文件规定的所有表格，并对其真实性负责，采购人有权对其进行调查核实和要求澄清。</w:t>
      </w:r>
    </w:p>
    <w:p>
      <w:pPr>
        <w:autoSpaceDE w:val="0"/>
        <w:autoSpaceDN w:val="0"/>
        <w:adjustRightInd w:val="0"/>
        <w:snapToGrid w:val="0"/>
        <w:spacing w:line="300" w:lineRule="auto"/>
        <w:ind w:firstLine="420" w:firstLineChars="200"/>
        <w:jc w:val="left"/>
        <w:rPr>
          <w:rFonts w:ascii="宋体" w:hAnsi="宋体" w:cs="宋体"/>
          <w:kern w:val="0"/>
        </w:rPr>
      </w:pPr>
      <w:r>
        <w:rPr>
          <w:rFonts w:hint="eastAsia" w:ascii="宋体" w:hAnsi="宋体" w:cs="宋体"/>
          <w:kern w:val="0"/>
        </w:rPr>
        <w:t>2、资格审查按通过和不通过两种方式进行评定，投标人的资格等方面的要求作为资格审查通过的强制性资格条件，经核实有一项不符合要求，则投标人的资格为不通过，不通过的投标人对其投标文件不进行后续评审。</w:t>
      </w:r>
    </w:p>
    <w:p>
      <w:pPr>
        <w:autoSpaceDE w:val="0"/>
        <w:autoSpaceDN w:val="0"/>
        <w:adjustRightInd w:val="0"/>
        <w:snapToGrid w:val="0"/>
        <w:spacing w:line="300" w:lineRule="auto"/>
        <w:ind w:firstLine="420" w:firstLineChars="200"/>
        <w:jc w:val="left"/>
        <w:rPr>
          <w:rFonts w:ascii="宋体" w:hAnsi="宋体" w:cs="宋体"/>
          <w:kern w:val="0"/>
        </w:rPr>
      </w:pPr>
      <w:bookmarkStart w:id="118" w:name="_Toc204944488"/>
      <w:bookmarkStart w:id="119" w:name="_Toc303030578"/>
      <w:bookmarkStart w:id="120" w:name="_Toc191897610"/>
      <w:bookmarkStart w:id="121" w:name="_Toc208484561"/>
      <w:bookmarkStart w:id="122" w:name="_Toc335138376"/>
      <w:bookmarkStart w:id="123" w:name="_Toc208051215"/>
      <w:bookmarkStart w:id="124" w:name="_Toc179623472"/>
      <w:bookmarkStart w:id="125" w:name="_Toc179801514"/>
      <w:bookmarkStart w:id="126" w:name="_Toc227658251"/>
      <w:r>
        <w:rPr>
          <w:rFonts w:hint="eastAsia" w:ascii="宋体" w:hAnsi="宋体" w:cs="宋体"/>
          <w:kern w:val="0"/>
        </w:rPr>
        <w:t>（二）资格审查资料</w:t>
      </w:r>
      <w:bookmarkEnd w:id="118"/>
      <w:bookmarkEnd w:id="119"/>
      <w:bookmarkEnd w:id="120"/>
      <w:bookmarkEnd w:id="121"/>
      <w:bookmarkEnd w:id="122"/>
      <w:bookmarkEnd w:id="123"/>
      <w:bookmarkEnd w:id="124"/>
      <w:bookmarkEnd w:id="125"/>
      <w:bookmarkEnd w:id="126"/>
      <w:r>
        <w:rPr>
          <w:rFonts w:hint="eastAsia" w:ascii="宋体" w:hAnsi="宋体" w:cs="宋体"/>
          <w:kern w:val="0"/>
        </w:rPr>
        <w:t>格式</w:t>
      </w:r>
    </w:p>
    <w:p>
      <w:pPr>
        <w:autoSpaceDE w:val="0"/>
        <w:autoSpaceDN w:val="0"/>
        <w:adjustRightInd w:val="0"/>
        <w:snapToGrid w:val="0"/>
        <w:spacing w:line="300" w:lineRule="auto"/>
        <w:ind w:firstLine="420" w:firstLineChars="200"/>
        <w:jc w:val="left"/>
        <w:rPr>
          <w:rFonts w:ascii="宋体" w:hAnsi="宋体" w:cs="宋体"/>
          <w:kern w:val="0"/>
        </w:rPr>
      </w:pPr>
      <w:r>
        <w:rPr>
          <w:rFonts w:hint="eastAsia" w:ascii="宋体" w:hAnsi="宋体" w:cs="宋体"/>
          <w:kern w:val="0"/>
        </w:rPr>
        <w:t>表1 强制性资格条件</w:t>
      </w:r>
    </w:p>
    <w:p>
      <w:pPr>
        <w:autoSpaceDE w:val="0"/>
        <w:autoSpaceDN w:val="0"/>
        <w:adjustRightInd w:val="0"/>
        <w:snapToGrid w:val="0"/>
        <w:spacing w:line="300" w:lineRule="auto"/>
        <w:ind w:firstLine="420" w:firstLineChars="200"/>
        <w:jc w:val="left"/>
        <w:rPr>
          <w:rFonts w:ascii="宋体" w:hAnsi="宋体" w:cs="宋体"/>
          <w:kern w:val="0"/>
        </w:rPr>
      </w:pPr>
      <w:r>
        <w:rPr>
          <w:rFonts w:hint="eastAsia" w:ascii="宋体" w:hAnsi="宋体" w:cs="宋体"/>
          <w:kern w:val="0"/>
        </w:rPr>
        <w:t>表附件</w:t>
      </w:r>
    </w:p>
    <w:p>
      <w:pPr>
        <w:snapToGrid w:val="0"/>
        <w:spacing w:line="300" w:lineRule="auto"/>
        <w:ind w:left="280" w:hanging="280" w:hangingChars="100"/>
        <w:outlineLvl w:val="2"/>
        <w:rPr>
          <w:rFonts w:ascii="宋体" w:hAnsi="宋体" w:cs="宋体"/>
        </w:rPr>
      </w:pPr>
      <w:bookmarkStart w:id="127" w:name="_Toc191897470"/>
      <w:bookmarkStart w:id="128" w:name="_Toc227658252"/>
      <w:bookmarkStart w:id="129" w:name="_Toc208484562"/>
      <w:bookmarkStart w:id="130" w:name="_Toc208051216"/>
      <w:bookmarkStart w:id="131" w:name="_Toc204944489"/>
      <w:bookmarkStart w:id="132" w:name="_Toc191897611"/>
      <w:bookmarkStart w:id="133" w:name="_Toc179801515"/>
      <w:r>
        <w:rPr>
          <w:rFonts w:hint="eastAsia" w:ascii="宋体" w:hAnsi="宋体" w:cs="宋体"/>
          <w:sz w:val="28"/>
          <w:szCs w:val="28"/>
        </w:rPr>
        <w:br w:type="page"/>
      </w:r>
      <w:bookmarkEnd w:id="127"/>
      <w:bookmarkEnd w:id="128"/>
      <w:bookmarkEnd w:id="129"/>
      <w:bookmarkEnd w:id="130"/>
      <w:bookmarkEnd w:id="131"/>
      <w:bookmarkEnd w:id="132"/>
      <w:bookmarkEnd w:id="133"/>
      <w:bookmarkStart w:id="134" w:name="_Toc179801516"/>
      <w:bookmarkStart w:id="135" w:name="_Toc303030579"/>
      <w:bookmarkStart w:id="136" w:name="_Toc191897612"/>
      <w:bookmarkStart w:id="137" w:name="_Toc204944490"/>
      <w:bookmarkStart w:id="138" w:name="_Toc179623474"/>
      <w:bookmarkStart w:id="139" w:name="_Toc227658253"/>
      <w:bookmarkStart w:id="140" w:name="_Toc208051217"/>
      <w:bookmarkStart w:id="141" w:name="_Toc208484563"/>
      <w:bookmarkStart w:id="142" w:name="_Toc335138377"/>
      <w:r>
        <w:rPr>
          <w:rFonts w:hint="eastAsia" w:ascii="宋体" w:hAnsi="宋体" w:cs="宋体"/>
        </w:rPr>
        <w:t>表1：强制性资格条件</w:t>
      </w:r>
      <w:bookmarkEnd w:id="134"/>
      <w:bookmarkEnd w:id="135"/>
      <w:bookmarkEnd w:id="136"/>
      <w:bookmarkEnd w:id="137"/>
      <w:bookmarkEnd w:id="138"/>
      <w:bookmarkEnd w:id="139"/>
      <w:bookmarkEnd w:id="140"/>
      <w:bookmarkEnd w:id="141"/>
      <w:bookmarkEnd w:id="142"/>
    </w:p>
    <w:p>
      <w:pPr>
        <w:pStyle w:val="21"/>
        <w:adjustRightInd w:val="0"/>
        <w:snapToGrid w:val="0"/>
        <w:spacing w:line="300" w:lineRule="auto"/>
        <w:jc w:val="center"/>
        <w:rPr>
          <w:rFonts w:hAnsi="宋体" w:cs="宋体"/>
          <w:b/>
          <w:bCs/>
          <w:sz w:val="32"/>
        </w:rPr>
      </w:pPr>
      <w:r>
        <w:rPr>
          <w:rFonts w:hint="eastAsia" w:hAnsi="宋体" w:cs="宋体"/>
          <w:b/>
          <w:bCs/>
          <w:sz w:val="32"/>
        </w:rPr>
        <w:t>强制性资格条件表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4460"/>
        <w:gridCol w:w="1380"/>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dxa"/>
            <w:vAlign w:val="center"/>
          </w:tcPr>
          <w:p>
            <w:pPr>
              <w:snapToGrid w:val="0"/>
              <w:spacing w:line="300" w:lineRule="auto"/>
              <w:jc w:val="center"/>
              <w:rPr>
                <w:rFonts w:ascii="宋体" w:hAnsi="宋体" w:cs="宋体"/>
                <w:szCs w:val="21"/>
              </w:rPr>
            </w:pPr>
            <w:r>
              <w:rPr>
                <w:rFonts w:hint="eastAsia" w:ascii="宋体" w:hAnsi="宋体" w:cs="宋体"/>
                <w:szCs w:val="21"/>
              </w:rPr>
              <w:t>序号</w:t>
            </w:r>
          </w:p>
        </w:tc>
        <w:tc>
          <w:tcPr>
            <w:tcW w:w="4460" w:type="dxa"/>
            <w:vAlign w:val="center"/>
          </w:tcPr>
          <w:p>
            <w:pPr>
              <w:snapToGrid w:val="0"/>
              <w:spacing w:line="300" w:lineRule="auto"/>
              <w:jc w:val="center"/>
              <w:rPr>
                <w:rFonts w:ascii="宋体" w:hAnsi="宋体" w:cs="宋体"/>
                <w:szCs w:val="21"/>
              </w:rPr>
            </w:pPr>
            <w:r>
              <w:rPr>
                <w:rFonts w:hint="eastAsia" w:ascii="宋体" w:hAnsi="宋体" w:cs="宋体"/>
                <w:szCs w:val="21"/>
              </w:rPr>
              <w:t>强制性资格条件</w:t>
            </w:r>
          </w:p>
        </w:tc>
        <w:tc>
          <w:tcPr>
            <w:tcW w:w="1380" w:type="dxa"/>
            <w:vAlign w:val="center"/>
          </w:tcPr>
          <w:p>
            <w:pPr>
              <w:snapToGrid w:val="0"/>
              <w:spacing w:line="300" w:lineRule="auto"/>
              <w:jc w:val="center"/>
              <w:rPr>
                <w:rFonts w:ascii="宋体" w:hAnsi="宋体" w:cs="宋体"/>
                <w:szCs w:val="21"/>
              </w:rPr>
            </w:pPr>
            <w:r>
              <w:rPr>
                <w:rFonts w:hint="eastAsia" w:ascii="宋体" w:hAnsi="宋体" w:cs="宋体"/>
                <w:szCs w:val="21"/>
              </w:rPr>
              <w:t>投标人对能达到程度的简述（投标人填写）</w:t>
            </w:r>
          </w:p>
        </w:tc>
        <w:tc>
          <w:tcPr>
            <w:tcW w:w="3298" w:type="dxa"/>
            <w:vAlign w:val="center"/>
          </w:tcPr>
          <w:p>
            <w:pPr>
              <w:snapToGrid w:val="0"/>
              <w:spacing w:line="300" w:lineRule="auto"/>
              <w:jc w:val="center"/>
              <w:rPr>
                <w:rFonts w:ascii="宋体" w:hAnsi="宋体" w:cs="宋体"/>
                <w:szCs w:val="21"/>
              </w:rPr>
            </w:pPr>
            <w:r>
              <w:rPr>
                <w:rFonts w:hint="eastAsia" w:ascii="宋体" w:hAnsi="宋体" w:cs="宋体"/>
                <w:szCs w:val="21"/>
              </w:rPr>
              <w:t>证明资料附后（盖单位公章）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dxa"/>
            <w:tcBorders>
              <w:bottom w:val="single" w:color="auto" w:sz="4" w:space="0"/>
            </w:tcBorders>
            <w:vAlign w:val="center"/>
          </w:tcPr>
          <w:p>
            <w:pPr>
              <w:snapToGrid w:val="0"/>
              <w:spacing w:line="300" w:lineRule="auto"/>
              <w:jc w:val="center"/>
              <w:rPr>
                <w:rFonts w:ascii="宋体" w:hAnsi="宋体" w:cs="宋体"/>
                <w:szCs w:val="21"/>
              </w:rPr>
            </w:pPr>
            <w:r>
              <w:rPr>
                <w:rFonts w:hint="eastAsia" w:ascii="宋体" w:hAnsi="宋体" w:cs="宋体"/>
                <w:szCs w:val="21"/>
              </w:rPr>
              <w:t>1</w:t>
            </w:r>
          </w:p>
        </w:tc>
        <w:tc>
          <w:tcPr>
            <w:tcW w:w="4460" w:type="dxa"/>
            <w:tcBorders>
              <w:bottom w:val="single" w:color="auto" w:sz="4" w:space="0"/>
            </w:tcBorders>
            <w:vAlign w:val="center"/>
          </w:tcPr>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（一）基本条件</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（1）具有独立承担民事责任的能力；</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（2）具有良好的商业信誉和健全的财务会计制度；</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（3）具有履行合同所必需的设备和专业技术能力；</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（4）有依法缴纳税收和社会保障资金的良好记录；</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（5）参加政府采购活动前三年内，在经营活动中没有重大违法记录；</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（二）政策条件：</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 xml:space="preserve">（1）本项目专门面向中小企业采购，符合《政府采购促进中小企业发展管理办法》（财库〔2020〕46号）规定的供应商可以参加本项目。 </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（三）特定条件：</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1）供应商未被列入失信被执行人名单、重大税收违法案件当事人名单、政府采购严重违法失信行为记录名单，信用信息以投标截止日信用中国网站（www.creditchina.gov.cn）、中国政府采购网（www.ccgp.gov.cn）公布为准；</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（2）单位负责人为同一人或者存在直接控股、管理关系的不同供应商，不得参加同一合同项下的政府采购活动；</w:t>
            </w:r>
          </w:p>
        </w:tc>
        <w:tc>
          <w:tcPr>
            <w:tcW w:w="1380" w:type="dxa"/>
            <w:tcBorders>
              <w:bottom w:val="single" w:color="auto" w:sz="4" w:space="0"/>
            </w:tcBorders>
            <w:vAlign w:val="center"/>
          </w:tcPr>
          <w:p>
            <w:pPr>
              <w:snapToGrid w:val="0"/>
              <w:spacing w:line="300" w:lineRule="auto"/>
              <w:jc w:val="center"/>
              <w:rPr>
                <w:rFonts w:ascii="宋体" w:hAnsi="宋体" w:cs="宋体"/>
                <w:szCs w:val="21"/>
              </w:rPr>
            </w:pPr>
          </w:p>
        </w:tc>
        <w:tc>
          <w:tcPr>
            <w:tcW w:w="3298" w:type="dxa"/>
            <w:tcBorders>
              <w:bottom w:val="single" w:color="auto" w:sz="4" w:space="0"/>
            </w:tcBorders>
            <w:vAlign w:val="center"/>
          </w:tcPr>
          <w:p>
            <w:pPr>
              <w:snapToGrid w:val="0"/>
              <w:spacing w:line="300" w:lineRule="auto"/>
              <w:jc w:val="left"/>
              <w:rPr>
                <w:rFonts w:ascii="宋体" w:hAnsi="宋体" w:cs="宋体"/>
                <w:szCs w:val="21"/>
              </w:rPr>
            </w:pPr>
            <w:r>
              <w:rPr>
                <w:rFonts w:hint="eastAsia" w:ascii="宋体" w:hAnsi="宋体" w:cs="宋体"/>
                <w:szCs w:val="21"/>
              </w:rPr>
              <w:t>（一）法人或者其他组织的营业执照等能证明供应商具有</w:t>
            </w:r>
            <w:r>
              <w:rPr>
                <w:rFonts w:hint="eastAsia" w:ascii="宋体" w:hAnsi="宋体" w:cs="宋体"/>
                <w:kern w:val="0"/>
                <w:szCs w:val="21"/>
              </w:rPr>
              <w:t>独立承担民事责任的能力的</w:t>
            </w:r>
            <w:r>
              <w:rPr>
                <w:rFonts w:hint="eastAsia" w:ascii="宋体" w:hAnsi="宋体" w:cs="宋体"/>
                <w:szCs w:val="21"/>
              </w:rPr>
              <w:t>证明文件；</w:t>
            </w:r>
          </w:p>
          <w:p>
            <w:pPr>
              <w:snapToGrid w:val="0"/>
              <w:spacing w:line="300" w:lineRule="auto"/>
              <w:jc w:val="left"/>
              <w:rPr>
                <w:rFonts w:ascii="宋体" w:hAnsi="宋体" w:cs="宋体"/>
                <w:szCs w:val="21"/>
              </w:rPr>
            </w:pPr>
            <w:r>
              <w:rPr>
                <w:rFonts w:hint="eastAsia" w:ascii="宋体" w:hAnsi="宋体" w:cs="宋体"/>
                <w:szCs w:val="21"/>
              </w:rPr>
              <w:t>（二）承诺符合参与政府采购活动和资格条件并且没有税收缴纳、社会保障等方面的失信记录的声明（附件一）；</w:t>
            </w:r>
          </w:p>
          <w:p>
            <w:pPr>
              <w:snapToGrid w:val="0"/>
              <w:spacing w:line="300" w:lineRule="auto"/>
              <w:jc w:val="left"/>
              <w:rPr>
                <w:rFonts w:ascii="宋体" w:hAnsi="宋体" w:cs="宋体"/>
                <w:szCs w:val="21"/>
              </w:rPr>
            </w:pPr>
            <w:r>
              <w:rPr>
                <w:rFonts w:hint="eastAsia" w:ascii="宋体" w:hAnsi="宋体" w:cs="宋体"/>
                <w:szCs w:val="21"/>
              </w:rPr>
              <w:t>（三）具备履行合同所必需的设备和专业技术能力的证明材料（附件二）；</w:t>
            </w:r>
          </w:p>
          <w:p>
            <w:pPr>
              <w:snapToGrid w:val="0"/>
              <w:spacing w:line="300" w:lineRule="auto"/>
              <w:jc w:val="left"/>
              <w:rPr>
                <w:rFonts w:ascii="宋体" w:hAnsi="宋体" w:cs="宋体"/>
                <w:szCs w:val="21"/>
              </w:rPr>
            </w:pPr>
            <w:r>
              <w:rPr>
                <w:rFonts w:hint="eastAsia" w:ascii="宋体" w:hAnsi="宋体" w:cs="宋体"/>
                <w:szCs w:val="21"/>
              </w:rPr>
              <w:t xml:space="preserve">（四）中小企业声明函（附件三） </w:t>
            </w:r>
          </w:p>
        </w:tc>
      </w:tr>
    </w:tbl>
    <w:p>
      <w:pPr>
        <w:snapToGrid w:val="0"/>
        <w:spacing w:line="300" w:lineRule="auto"/>
        <w:ind w:firstLine="422" w:firstLineChars="200"/>
        <w:rPr>
          <w:rFonts w:ascii="宋体" w:hAnsi="宋体" w:cs="宋体"/>
          <w:b/>
          <w:kern w:val="0"/>
          <w:szCs w:val="21"/>
        </w:rPr>
      </w:pPr>
      <w:r>
        <w:rPr>
          <w:rFonts w:hint="eastAsia" w:ascii="宋体" w:hAnsi="宋体" w:cs="宋体"/>
          <w:b/>
          <w:kern w:val="0"/>
          <w:szCs w:val="21"/>
        </w:rPr>
        <w:t>注：1、证明材料复印件需齐全，不得缺页，否则证明无效。</w:t>
      </w:r>
    </w:p>
    <w:p>
      <w:pPr>
        <w:snapToGrid w:val="0"/>
        <w:spacing w:line="300" w:lineRule="auto"/>
        <w:ind w:firstLine="843" w:firstLineChars="400"/>
        <w:rPr>
          <w:rFonts w:ascii="宋体" w:hAnsi="宋体" w:cs="宋体"/>
          <w:b/>
          <w:kern w:val="0"/>
          <w:szCs w:val="21"/>
        </w:rPr>
      </w:pPr>
      <w:r>
        <w:rPr>
          <w:rFonts w:hint="eastAsia" w:ascii="宋体" w:hAnsi="宋体" w:cs="宋体"/>
          <w:b/>
          <w:kern w:val="0"/>
          <w:szCs w:val="21"/>
        </w:rPr>
        <w:t>2、证明材料因具备充分性，与要求相对应，否则由此产生的责任和风险投标人承担。</w:t>
      </w:r>
    </w:p>
    <w:p>
      <w:pPr>
        <w:snapToGrid w:val="0"/>
        <w:spacing w:line="300" w:lineRule="auto"/>
        <w:rPr>
          <w:rFonts w:ascii="宋体" w:hAnsi="宋体" w:cs="宋体"/>
        </w:rPr>
      </w:pPr>
      <w:bookmarkStart w:id="143" w:name="_Toc413337003"/>
    </w:p>
    <w:p>
      <w:pPr>
        <w:snapToGrid w:val="0"/>
        <w:spacing w:line="300" w:lineRule="auto"/>
        <w:rPr>
          <w:rFonts w:ascii="宋体" w:hAnsi="宋体" w:cs="宋体"/>
          <w:spacing w:val="20"/>
          <w:u w:val="single"/>
        </w:rPr>
      </w:pPr>
      <w:r>
        <w:rPr>
          <w:rFonts w:hint="eastAsia" w:ascii="宋体" w:hAnsi="宋体" w:cs="宋体"/>
        </w:rPr>
        <w:t>投标人全称（盖单位公章）：</w:t>
      </w:r>
      <w:r>
        <w:rPr>
          <w:rFonts w:hint="eastAsia" w:ascii="宋体" w:hAnsi="宋体" w:cs="宋体"/>
          <w:spacing w:val="20"/>
          <w:u w:val="single"/>
        </w:rPr>
        <w:t xml:space="preserve">                  </w:t>
      </w:r>
    </w:p>
    <w:p>
      <w:pPr>
        <w:snapToGrid w:val="0"/>
        <w:spacing w:line="300" w:lineRule="auto"/>
        <w:rPr>
          <w:rFonts w:ascii="宋体" w:hAnsi="宋体" w:cs="宋体"/>
          <w:spacing w:val="20"/>
          <w:u w:val="single"/>
        </w:rPr>
      </w:pPr>
      <w:r>
        <w:rPr>
          <w:rFonts w:hint="eastAsia" w:ascii="宋体" w:hAnsi="宋体" w:cs="宋体"/>
        </w:rPr>
        <w:t>投标文件签署人（签字或盖章）：</w:t>
      </w:r>
      <w:r>
        <w:rPr>
          <w:rFonts w:hint="eastAsia" w:ascii="宋体" w:hAnsi="宋体" w:cs="宋体"/>
          <w:spacing w:val="20"/>
          <w:u w:val="single"/>
        </w:rPr>
        <w:t xml:space="preserve">               </w:t>
      </w:r>
    </w:p>
    <w:p>
      <w:pPr>
        <w:snapToGrid w:val="0"/>
        <w:spacing w:line="300" w:lineRule="auto"/>
        <w:rPr>
          <w:rFonts w:ascii="宋体" w:hAnsi="宋体" w:cs="宋体"/>
          <w:spacing w:val="20"/>
        </w:rPr>
      </w:pPr>
      <w:r>
        <w:rPr>
          <w:rFonts w:hint="eastAsia" w:ascii="宋体" w:hAnsi="宋体" w:cs="宋体"/>
          <w:spacing w:val="20"/>
        </w:rPr>
        <w:t>日期：</w:t>
      </w:r>
      <w:r>
        <w:rPr>
          <w:rFonts w:hint="eastAsia" w:ascii="宋体" w:hAnsi="宋体" w:cs="宋体"/>
        </w:rPr>
        <w:t xml:space="preserve">   年  月  日</w:t>
      </w:r>
    </w:p>
    <w:p>
      <w:pPr>
        <w:snapToGrid w:val="0"/>
        <w:spacing w:line="300" w:lineRule="auto"/>
        <w:rPr>
          <w:rFonts w:ascii="宋体" w:hAnsi="宋体" w:cs="宋体"/>
          <w:szCs w:val="21"/>
        </w:rPr>
      </w:pPr>
    </w:p>
    <w:p>
      <w:pPr>
        <w:snapToGrid w:val="0"/>
        <w:spacing w:line="300" w:lineRule="auto"/>
        <w:rPr>
          <w:rFonts w:ascii="宋体" w:hAnsi="宋体" w:cs="宋体"/>
          <w:szCs w:val="21"/>
        </w:rPr>
      </w:pPr>
    </w:p>
    <w:p>
      <w:pPr>
        <w:snapToGrid w:val="0"/>
        <w:spacing w:line="360" w:lineRule="auto"/>
        <w:jc w:val="center"/>
        <w:rPr>
          <w:rFonts w:ascii="宋体" w:hAnsi="宋体" w:cs="宋体"/>
          <w:szCs w:val="21"/>
          <w:lang w:val="zh-CN"/>
        </w:rPr>
      </w:pPr>
      <w:r>
        <w:rPr>
          <w:rFonts w:hint="eastAsia" w:ascii="宋体" w:hAnsi="宋体" w:cs="宋体"/>
          <w:szCs w:val="21"/>
        </w:rPr>
        <w:br w:type="page"/>
      </w:r>
      <w:r>
        <w:rPr>
          <w:rFonts w:hint="eastAsia" w:ascii="宋体" w:hAnsi="宋体" w:cs="宋体"/>
          <w:szCs w:val="21"/>
        </w:rPr>
        <w:t>附件一：</w:t>
      </w:r>
      <w:r>
        <w:rPr>
          <w:rFonts w:hint="eastAsia" w:ascii="宋体" w:hAnsi="宋体" w:cs="宋体"/>
          <w:szCs w:val="21"/>
          <w:lang w:val="zh-CN"/>
        </w:rPr>
        <w:t>承诺符合参与政府采购活动和资格条件并且没有税收缴纳、社会保障等方面的失信记录的声明</w:t>
      </w:r>
    </w:p>
    <w:p>
      <w:pPr>
        <w:pStyle w:val="21"/>
        <w:adjustRightInd w:val="0"/>
        <w:snapToGrid w:val="0"/>
        <w:spacing w:line="300" w:lineRule="auto"/>
        <w:jc w:val="center"/>
        <w:rPr>
          <w:rFonts w:hAnsi="宋体" w:cs="宋体"/>
          <w:b/>
          <w:bCs/>
          <w:sz w:val="32"/>
          <w:lang w:val="zh-CN"/>
        </w:rPr>
      </w:pPr>
      <w:r>
        <w:rPr>
          <w:rFonts w:hint="eastAsia" w:hAnsi="宋体" w:cs="宋体"/>
          <w:b/>
          <w:bCs/>
          <w:sz w:val="32"/>
          <w:lang w:val="zh-CN"/>
        </w:rPr>
        <w:t>承诺符合参与政府采购活动和资格条件并且没有税收缴纳、社会保障等方面的失信记录的声明</w:t>
      </w:r>
    </w:p>
    <w:p>
      <w:pPr>
        <w:snapToGrid w:val="0"/>
        <w:spacing w:line="300" w:lineRule="auto"/>
        <w:rPr>
          <w:rFonts w:ascii="宋体" w:hAnsi="宋体" w:cs="宋体"/>
          <w:szCs w:val="21"/>
          <w:u w:val="single"/>
        </w:rPr>
      </w:pPr>
      <w:r>
        <w:rPr>
          <w:rFonts w:hint="eastAsia" w:ascii="宋体" w:hAnsi="宋体" w:cs="宋体"/>
          <w:szCs w:val="21"/>
          <w:u w:val="single"/>
        </w:rPr>
        <w:t xml:space="preserve">   （采购人）           ：</w:t>
      </w:r>
    </w:p>
    <w:p>
      <w:pPr>
        <w:snapToGrid w:val="0"/>
        <w:spacing w:line="300" w:lineRule="auto"/>
        <w:ind w:firstLine="420" w:firstLineChars="200"/>
        <w:rPr>
          <w:rFonts w:ascii="宋体" w:hAnsi="宋体" w:cs="宋体"/>
          <w:szCs w:val="21"/>
        </w:rPr>
      </w:pPr>
      <w:r>
        <w:rPr>
          <w:rFonts w:hint="eastAsia" w:ascii="宋体" w:hAnsi="宋体" w:cs="宋体"/>
          <w:szCs w:val="21"/>
          <w:lang w:val="zh-CN"/>
        </w:rPr>
        <w:t>我方</w:t>
      </w:r>
      <w:r>
        <w:rPr>
          <w:rFonts w:hint="eastAsia" w:ascii="宋体" w:hAnsi="宋体" w:cs="宋体"/>
          <w:szCs w:val="21"/>
        </w:rPr>
        <w:t>郑重承诺，我方满足《中华人民共和国政府采购法》第二十二条规定的合格投标人资格条件，且满足本项目落实政府采购政策需满足的资格要求及本项目的特定资格要求。</w:t>
      </w:r>
    </w:p>
    <w:p>
      <w:pPr>
        <w:snapToGrid w:val="0"/>
        <w:spacing w:line="300" w:lineRule="auto"/>
        <w:ind w:firstLine="420" w:firstLineChars="200"/>
        <w:rPr>
          <w:rFonts w:ascii="宋体" w:hAnsi="宋体" w:cs="宋体"/>
          <w:szCs w:val="21"/>
        </w:rPr>
      </w:pPr>
      <w:r>
        <w:rPr>
          <w:rFonts w:hint="eastAsia" w:ascii="宋体" w:hAnsi="宋体" w:cs="宋体"/>
          <w:szCs w:val="21"/>
        </w:rPr>
        <w:t>我方郑重承诺，我方没有税收缴纳、社会保障等方面的失信记录。</w:t>
      </w:r>
    </w:p>
    <w:p>
      <w:pPr>
        <w:snapToGrid w:val="0"/>
        <w:spacing w:line="300" w:lineRule="auto"/>
        <w:ind w:firstLine="420" w:firstLineChars="200"/>
        <w:rPr>
          <w:rFonts w:ascii="宋体" w:hAnsi="宋体" w:cs="宋体"/>
          <w:szCs w:val="21"/>
        </w:rPr>
      </w:pPr>
      <w:r>
        <w:rPr>
          <w:rFonts w:hint="eastAsia" w:ascii="宋体" w:hAnsi="宋体" w:cs="宋体"/>
          <w:szCs w:val="21"/>
        </w:rPr>
        <w:t xml:space="preserve">以上情况如有虚假，承担相关责任。 </w:t>
      </w:r>
    </w:p>
    <w:p>
      <w:pPr>
        <w:snapToGrid w:val="0"/>
        <w:spacing w:line="360" w:lineRule="auto"/>
        <w:rPr>
          <w:rFonts w:ascii="宋体" w:hAnsi="宋体" w:cs="宋体"/>
          <w:kern w:val="0"/>
          <w:sz w:val="24"/>
          <w:lang w:val="zh-CN"/>
        </w:rPr>
      </w:pPr>
    </w:p>
    <w:p>
      <w:pPr>
        <w:snapToGrid w:val="0"/>
        <w:spacing w:line="300" w:lineRule="auto"/>
        <w:rPr>
          <w:rFonts w:ascii="宋体" w:hAnsi="宋体" w:cs="宋体"/>
          <w:spacing w:val="20"/>
          <w:u w:val="single"/>
        </w:rPr>
      </w:pPr>
      <w:r>
        <w:rPr>
          <w:rFonts w:hint="eastAsia" w:ascii="宋体" w:hAnsi="宋体" w:cs="宋体"/>
        </w:rPr>
        <w:t>投标人全称（盖单位公章）：</w:t>
      </w:r>
      <w:r>
        <w:rPr>
          <w:rFonts w:hint="eastAsia" w:ascii="宋体" w:hAnsi="宋体" w:cs="宋体"/>
          <w:spacing w:val="20"/>
          <w:u w:val="single"/>
        </w:rPr>
        <w:t xml:space="preserve">                  </w:t>
      </w:r>
    </w:p>
    <w:p>
      <w:pPr>
        <w:snapToGrid w:val="0"/>
        <w:spacing w:line="300" w:lineRule="auto"/>
        <w:rPr>
          <w:rFonts w:ascii="宋体" w:hAnsi="宋体" w:cs="宋体"/>
          <w:spacing w:val="20"/>
          <w:u w:val="single"/>
        </w:rPr>
      </w:pPr>
      <w:r>
        <w:rPr>
          <w:rFonts w:hint="eastAsia" w:ascii="宋体" w:hAnsi="宋体" w:cs="宋体"/>
        </w:rPr>
        <w:t>投标文件签署人（签字或盖章）：</w:t>
      </w:r>
      <w:r>
        <w:rPr>
          <w:rFonts w:hint="eastAsia" w:ascii="宋体" w:hAnsi="宋体" w:cs="宋体"/>
          <w:spacing w:val="20"/>
          <w:u w:val="single"/>
        </w:rPr>
        <w:t xml:space="preserve">               </w:t>
      </w:r>
    </w:p>
    <w:p>
      <w:pPr>
        <w:snapToGrid w:val="0"/>
        <w:spacing w:line="300" w:lineRule="auto"/>
        <w:rPr>
          <w:rFonts w:ascii="宋体" w:hAnsi="宋体" w:cs="宋体"/>
        </w:rPr>
      </w:pPr>
      <w:r>
        <w:rPr>
          <w:rFonts w:hint="eastAsia" w:ascii="宋体" w:hAnsi="宋体" w:cs="宋体"/>
          <w:spacing w:val="20"/>
        </w:rPr>
        <w:t>日期：</w:t>
      </w:r>
      <w:r>
        <w:rPr>
          <w:rFonts w:hint="eastAsia" w:ascii="宋体" w:hAnsi="宋体" w:cs="宋体"/>
        </w:rPr>
        <w:t xml:space="preserve">   年  月  日</w:t>
      </w:r>
    </w:p>
    <w:p>
      <w:pPr>
        <w:snapToGrid w:val="0"/>
        <w:spacing w:line="300" w:lineRule="auto"/>
        <w:ind w:left="210" w:hanging="210" w:hangingChars="100"/>
        <w:outlineLvl w:val="2"/>
        <w:rPr>
          <w:rFonts w:ascii="宋体" w:hAnsi="宋体" w:cs="宋体"/>
          <w:szCs w:val="21"/>
        </w:rPr>
      </w:pPr>
    </w:p>
    <w:p>
      <w:pPr>
        <w:snapToGrid w:val="0"/>
        <w:spacing w:line="300" w:lineRule="auto"/>
        <w:ind w:left="210" w:hanging="210" w:hangingChars="100"/>
        <w:outlineLvl w:val="2"/>
        <w:rPr>
          <w:rFonts w:ascii="宋体" w:hAnsi="宋体" w:cs="宋体"/>
          <w:szCs w:val="21"/>
        </w:rPr>
      </w:pPr>
    </w:p>
    <w:p>
      <w:pPr>
        <w:snapToGrid w:val="0"/>
        <w:spacing w:line="300" w:lineRule="auto"/>
        <w:ind w:left="210" w:hanging="210" w:hangingChars="100"/>
        <w:outlineLvl w:val="2"/>
        <w:rPr>
          <w:rFonts w:ascii="宋体" w:hAnsi="宋体" w:cs="宋体"/>
        </w:rPr>
      </w:pPr>
      <w:r>
        <w:rPr>
          <w:rFonts w:hint="eastAsia" w:ascii="宋体" w:hAnsi="宋体" w:cs="宋体"/>
        </w:rPr>
        <w:t>附件二：履行合同所必需的设备和专业技术能力</w:t>
      </w:r>
    </w:p>
    <w:p>
      <w:pPr>
        <w:pStyle w:val="21"/>
        <w:adjustRightInd w:val="0"/>
        <w:snapToGrid w:val="0"/>
        <w:spacing w:line="300" w:lineRule="auto"/>
        <w:jc w:val="center"/>
        <w:rPr>
          <w:rFonts w:hAnsi="宋体" w:cs="宋体"/>
          <w:b/>
          <w:bCs/>
          <w:sz w:val="32"/>
        </w:rPr>
      </w:pPr>
      <w:r>
        <w:rPr>
          <w:rFonts w:hint="eastAsia" w:hAnsi="宋体" w:cs="宋体"/>
          <w:b/>
          <w:bCs/>
          <w:sz w:val="32"/>
        </w:rPr>
        <w:t>生产经营活动有关的设备一览表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609"/>
        <w:gridCol w:w="1179"/>
        <w:gridCol w:w="1255"/>
        <w:gridCol w:w="1522"/>
        <w:gridCol w:w="1446"/>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dxa"/>
            <w:vAlign w:val="center"/>
          </w:tcPr>
          <w:p>
            <w:pPr>
              <w:snapToGrid w:val="0"/>
              <w:spacing w:line="300" w:lineRule="auto"/>
              <w:jc w:val="center"/>
              <w:rPr>
                <w:rFonts w:ascii="宋体" w:hAnsi="宋体" w:cs="宋体"/>
                <w:szCs w:val="21"/>
              </w:rPr>
            </w:pPr>
            <w:r>
              <w:rPr>
                <w:rFonts w:hint="eastAsia" w:ascii="宋体" w:hAnsi="宋体" w:cs="宋体"/>
                <w:szCs w:val="21"/>
              </w:rPr>
              <w:t>序号</w:t>
            </w:r>
          </w:p>
        </w:tc>
        <w:tc>
          <w:tcPr>
            <w:tcW w:w="1609" w:type="dxa"/>
            <w:vAlign w:val="center"/>
          </w:tcPr>
          <w:p>
            <w:pPr>
              <w:snapToGrid w:val="0"/>
              <w:spacing w:line="300" w:lineRule="auto"/>
              <w:jc w:val="center"/>
              <w:rPr>
                <w:rFonts w:ascii="宋体" w:hAnsi="宋体" w:cs="宋体"/>
                <w:szCs w:val="21"/>
              </w:rPr>
            </w:pPr>
            <w:r>
              <w:rPr>
                <w:rFonts w:hint="eastAsia" w:ascii="宋体" w:hAnsi="宋体" w:cs="宋体"/>
                <w:szCs w:val="21"/>
              </w:rPr>
              <w:t>设施名称</w:t>
            </w:r>
          </w:p>
        </w:tc>
        <w:tc>
          <w:tcPr>
            <w:tcW w:w="1179" w:type="dxa"/>
            <w:vAlign w:val="center"/>
          </w:tcPr>
          <w:p>
            <w:pPr>
              <w:snapToGrid w:val="0"/>
              <w:spacing w:line="300" w:lineRule="auto"/>
              <w:jc w:val="center"/>
              <w:rPr>
                <w:rFonts w:ascii="宋体" w:hAnsi="宋体" w:cs="宋体"/>
                <w:szCs w:val="21"/>
              </w:rPr>
            </w:pPr>
            <w:r>
              <w:rPr>
                <w:rFonts w:hint="eastAsia" w:ascii="宋体" w:hAnsi="宋体" w:cs="宋体"/>
                <w:szCs w:val="21"/>
              </w:rPr>
              <w:t>规格型号</w:t>
            </w:r>
          </w:p>
        </w:tc>
        <w:tc>
          <w:tcPr>
            <w:tcW w:w="1255" w:type="dxa"/>
            <w:vAlign w:val="center"/>
          </w:tcPr>
          <w:p>
            <w:pPr>
              <w:snapToGrid w:val="0"/>
              <w:spacing w:line="300" w:lineRule="auto"/>
              <w:jc w:val="center"/>
              <w:rPr>
                <w:rFonts w:ascii="宋体" w:hAnsi="宋体" w:cs="宋体"/>
                <w:szCs w:val="21"/>
              </w:rPr>
            </w:pPr>
            <w:r>
              <w:rPr>
                <w:rFonts w:hint="eastAsia" w:ascii="宋体" w:hAnsi="宋体" w:cs="宋体"/>
                <w:szCs w:val="21"/>
              </w:rPr>
              <w:t>制造厂家</w:t>
            </w:r>
          </w:p>
        </w:tc>
        <w:tc>
          <w:tcPr>
            <w:tcW w:w="1522" w:type="dxa"/>
            <w:vAlign w:val="center"/>
          </w:tcPr>
          <w:p>
            <w:pPr>
              <w:snapToGrid w:val="0"/>
              <w:spacing w:line="300" w:lineRule="auto"/>
              <w:jc w:val="center"/>
              <w:rPr>
                <w:rFonts w:ascii="宋体" w:hAnsi="宋体" w:cs="宋体"/>
                <w:szCs w:val="21"/>
              </w:rPr>
            </w:pPr>
            <w:r>
              <w:rPr>
                <w:rFonts w:hint="eastAsia" w:ascii="宋体" w:hAnsi="宋体" w:cs="宋体"/>
                <w:szCs w:val="21"/>
              </w:rPr>
              <w:t>数量（套）</w:t>
            </w:r>
          </w:p>
        </w:tc>
        <w:tc>
          <w:tcPr>
            <w:tcW w:w="1446" w:type="dxa"/>
            <w:vAlign w:val="center"/>
          </w:tcPr>
          <w:p>
            <w:pPr>
              <w:snapToGrid w:val="0"/>
              <w:spacing w:line="300" w:lineRule="auto"/>
              <w:jc w:val="center"/>
              <w:rPr>
                <w:rFonts w:ascii="宋体" w:hAnsi="宋体" w:cs="宋体"/>
                <w:szCs w:val="21"/>
              </w:rPr>
            </w:pPr>
            <w:r>
              <w:rPr>
                <w:rFonts w:hint="eastAsia" w:ascii="宋体" w:hAnsi="宋体" w:cs="宋体"/>
                <w:szCs w:val="21"/>
              </w:rPr>
              <w:t>用途</w:t>
            </w:r>
          </w:p>
        </w:tc>
        <w:tc>
          <w:tcPr>
            <w:tcW w:w="1446" w:type="dxa"/>
            <w:vAlign w:val="center"/>
          </w:tcPr>
          <w:p>
            <w:pPr>
              <w:snapToGrid w:val="0"/>
              <w:spacing w:line="300" w:lineRule="auto"/>
              <w:jc w:val="center"/>
              <w:rPr>
                <w:rFonts w:ascii="宋体" w:hAnsi="宋体" w:cs="宋体"/>
                <w:szCs w:val="21"/>
              </w:rPr>
            </w:pPr>
            <w:r>
              <w:rPr>
                <w:rFonts w:hint="eastAsia" w:ascii="宋体" w:hAnsi="宋体" w:cs="宋体"/>
                <w:szCs w:val="21"/>
              </w:rPr>
              <w:t>备注（自有或租赁）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dxa"/>
            <w:vAlign w:val="center"/>
          </w:tcPr>
          <w:p>
            <w:pPr>
              <w:snapToGrid w:val="0"/>
              <w:spacing w:line="300" w:lineRule="auto"/>
              <w:jc w:val="center"/>
              <w:rPr>
                <w:rFonts w:ascii="宋体" w:hAnsi="宋体" w:cs="宋体"/>
                <w:szCs w:val="21"/>
              </w:rPr>
            </w:pPr>
            <w:r>
              <w:rPr>
                <w:rFonts w:hint="eastAsia" w:ascii="宋体" w:hAnsi="宋体" w:cs="宋体"/>
                <w:szCs w:val="21"/>
              </w:rPr>
              <w:t>1</w:t>
            </w:r>
          </w:p>
        </w:tc>
        <w:tc>
          <w:tcPr>
            <w:tcW w:w="1609" w:type="dxa"/>
            <w:vAlign w:val="center"/>
          </w:tcPr>
          <w:p>
            <w:pPr>
              <w:snapToGrid w:val="0"/>
              <w:spacing w:line="300" w:lineRule="auto"/>
              <w:jc w:val="center"/>
              <w:rPr>
                <w:rFonts w:ascii="宋体" w:hAnsi="宋体" w:cs="宋体"/>
                <w:szCs w:val="21"/>
              </w:rPr>
            </w:pPr>
          </w:p>
        </w:tc>
        <w:tc>
          <w:tcPr>
            <w:tcW w:w="1179" w:type="dxa"/>
            <w:vAlign w:val="center"/>
          </w:tcPr>
          <w:p>
            <w:pPr>
              <w:snapToGrid w:val="0"/>
              <w:spacing w:line="300" w:lineRule="auto"/>
              <w:jc w:val="center"/>
              <w:rPr>
                <w:rFonts w:ascii="宋体" w:hAnsi="宋体" w:cs="宋体"/>
                <w:szCs w:val="21"/>
              </w:rPr>
            </w:pPr>
          </w:p>
        </w:tc>
        <w:tc>
          <w:tcPr>
            <w:tcW w:w="1255" w:type="dxa"/>
            <w:vAlign w:val="center"/>
          </w:tcPr>
          <w:p>
            <w:pPr>
              <w:snapToGrid w:val="0"/>
              <w:spacing w:line="300" w:lineRule="auto"/>
              <w:jc w:val="center"/>
              <w:rPr>
                <w:rFonts w:ascii="宋体" w:hAnsi="宋体" w:cs="宋体"/>
                <w:szCs w:val="21"/>
              </w:rPr>
            </w:pPr>
          </w:p>
        </w:tc>
        <w:tc>
          <w:tcPr>
            <w:tcW w:w="1522" w:type="dxa"/>
            <w:vAlign w:val="center"/>
          </w:tcPr>
          <w:p>
            <w:pPr>
              <w:snapToGrid w:val="0"/>
              <w:spacing w:line="300" w:lineRule="auto"/>
              <w:jc w:val="center"/>
              <w:rPr>
                <w:rFonts w:ascii="宋体" w:hAnsi="宋体" w:cs="宋体"/>
                <w:szCs w:val="21"/>
              </w:rPr>
            </w:pPr>
          </w:p>
        </w:tc>
        <w:tc>
          <w:tcPr>
            <w:tcW w:w="1446" w:type="dxa"/>
          </w:tcPr>
          <w:p>
            <w:pPr>
              <w:snapToGrid w:val="0"/>
              <w:spacing w:line="300" w:lineRule="auto"/>
              <w:jc w:val="center"/>
              <w:rPr>
                <w:rFonts w:ascii="宋体" w:hAnsi="宋体" w:cs="宋体"/>
                <w:szCs w:val="21"/>
              </w:rPr>
            </w:pPr>
          </w:p>
        </w:tc>
        <w:tc>
          <w:tcPr>
            <w:tcW w:w="1446" w:type="dxa"/>
            <w:vAlign w:val="center"/>
          </w:tcPr>
          <w:p>
            <w:pPr>
              <w:snapToGrid w:val="0"/>
              <w:spacing w:line="30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dxa"/>
            <w:vAlign w:val="center"/>
          </w:tcPr>
          <w:p>
            <w:pPr>
              <w:snapToGrid w:val="0"/>
              <w:spacing w:line="300" w:lineRule="auto"/>
              <w:jc w:val="center"/>
              <w:rPr>
                <w:rFonts w:ascii="宋体" w:hAnsi="宋体" w:cs="宋体"/>
                <w:szCs w:val="21"/>
              </w:rPr>
            </w:pPr>
            <w:r>
              <w:rPr>
                <w:rFonts w:hint="eastAsia" w:ascii="宋体" w:hAnsi="宋体" w:cs="宋体"/>
                <w:szCs w:val="21"/>
              </w:rPr>
              <w:t>2</w:t>
            </w:r>
          </w:p>
        </w:tc>
        <w:tc>
          <w:tcPr>
            <w:tcW w:w="1609" w:type="dxa"/>
            <w:vAlign w:val="center"/>
          </w:tcPr>
          <w:p>
            <w:pPr>
              <w:snapToGrid w:val="0"/>
              <w:spacing w:line="300" w:lineRule="auto"/>
              <w:jc w:val="center"/>
              <w:rPr>
                <w:rFonts w:ascii="宋体" w:hAnsi="宋体" w:cs="宋体"/>
                <w:szCs w:val="21"/>
              </w:rPr>
            </w:pPr>
          </w:p>
        </w:tc>
        <w:tc>
          <w:tcPr>
            <w:tcW w:w="1179" w:type="dxa"/>
            <w:vAlign w:val="center"/>
          </w:tcPr>
          <w:p>
            <w:pPr>
              <w:snapToGrid w:val="0"/>
              <w:spacing w:line="300" w:lineRule="auto"/>
              <w:jc w:val="center"/>
              <w:rPr>
                <w:rFonts w:ascii="宋体" w:hAnsi="宋体" w:cs="宋体"/>
                <w:szCs w:val="21"/>
              </w:rPr>
            </w:pPr>
          </w:p>
        </w:tc>
        <w:tc>
          <w:tcPr>
            <w:tcW w:w="1255" w:type="dxa"/>
            <w:vAlign w:val="center"/>
          </w:tcPr>
          <w:p>
            <w:pPr>
              <w:snapToGrid w:val="0"/>
              <w:spacing w:line="300" w:lineRule="auto"/>
              <w:jc w:val="center"/>
              <w:rPr>
                <w:rFonts w:ascii="宋体" w:hAnsi="宋体" w:cs="宋体"/>
                <w:szCs w:val="21"/>
              </w:rPr>
            </w:pPr>
          </w:p>
        </w:tc>
        <w:tc>
          <w:tcPr>
            <w:tcW w:w="1522" w:type="dxa"/>
            <w:vAlign w:val="center"/>
          </w:tcPr>
          <w:p>
            <w:pPr>
              <w:snapToGrid w:val="0"/>
              <w:spacing w:line="300" w:lineRule="auto"/>
              <w:jc w:val="center"/>
              <w:rPr>
                <w:rFonts w:ascii="宋体" w:hAnsi="宋体" w:cs="宋体"/>
                <w:szCs w:val="21"/>
              </w:rPr>
            </w:pPr>
          </w:p>
        </w:tc>
        <w:tc>
          <w:tcPr>
            <w:tcW w:w="1446" w:type="dxa"/>
          </w:tcPr>
          <w:p>
            <w:pPr>
              <w:snapToGrid w:val="0"/>
              <w:spacing w:line="300" w:lineRule="auto"/>
              <w:jc w:val="center"/>
              <w:rPr>
                <w:rFonts w:ascii="宋体" w:hAnsi="宋体" w:cs="宋体"/>
                <w:szCs w:val="21"/>
              </w:rPr>
            </w:pPr>
          </w:p>
        </w:tc>
        <w:tc>
          <w:tcPr>
            <w:tcW w:w="1446" w:type="dxa"/>
            <w:vAlign w:val="center"/>
          </w:tcPr>
          <w:p>
            <w:pPr>
              <w:snapToGrid w:val="0"/>
              <w:spacing w:line="30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dxa"/>
            <w:vAlign w:val="center"/>
          </w:tcPr>
          <w:p>
            <w:pPr>
              <w:snapToGrid w:val="0"/>
              <w:spacing w:line="300" w:lineRule="auto"/>
              <w:jc w:val="center"/>
              <w:rPr>
                <w:rFonts w:ascii="宋体" w:hAnsi="宋体" w:cs="宋体"/>
                <w:szCs w:val="21"/>
              </w:rPr>
            </w:pPr>
            <w:r>
              <w:rPr>
                <w:rFonts w:hint="eastAsia" w:ascii="宋体" w:hAnsi="宋体" w:cs="宋体"/>
                <w:szCs w:val="21"/>
              </w:rPr>
              <w:t>3</w:t>
            </w:r>
          </w:p>
        </w:tc>
        <w:tc>
          <w:tcPr>
            <w:tcW w:w="1609" w:type="dxa"/>
            <w:vAlign w:val="center"/>
          </w:tcPr>
          <w:p>
            <w:pPr>
              <w:snapToGrid w:val="0"/>
              <w:spacing w:line="300" w:lineRule="auto"/>
              <w:jc w:val="center"/>
              <w:rPr>
                <w:rFonts w:ascii="宋体" w:hAnsi="宋体" w:cs="宋体"/>
                <w:szCs w:val="21"/>
              </w:rPr>
            </w:pPr>
          </w:p>
        </w:tc>
        <w:tc>
          <w:tcPr>
            <w:tcW w:w="1179" w:type="dxa"/>
            <w:vAlign w:val="center"/>
          </w:tcPr>
          <w:p>
            <w:pPr>
              <w:snapToGrid w:val="0"/>
              <w:spacing w:line="300" w:lineRule="auto"/>
              <w:jc w:val="center"/>
              <w:rPr>
                <w:rFonts w:ascii="宋体" w:hAnsi="宋体" w:cs="宋体"/>
                <w:szCs w:val="21"/>
              </w:rPr>
            </w:pPr>
          </w:p>
        </w:tc>
        <w:tc>
          <w:tcPr>
            <w:tcW w:w="1255" w:type="dxa"/>
            <w:vAlign w:val="center"/>
          </w:tcPr>
          <w:p>
            <w:pPr>
              <w:snapToGrid w:val="0"/>
              <w:spacing w:line="300" w:lineRule="auto"/>
              <w:jc w:val="center"/>
              <w:rPr>
                <w:rFonts w:ascii="宋体" w:hAnsi="宋体" w:cs="宋体"/>
                <w:szCs w:val="21"/>
              </w:rPr>
            </w:pPr>
          </w:p>
        </w:tc>
        <w:tc>
          <w:tcPr>
            <w:tcW w:w="1522" w:type="dxa"/>
            <w:vAlign w:val="center"/>
          </w:tcPr>
          <w:p>
            <w:pPr>
              <w:snapToGrid w:val="0"/>
              <w:spacing w:line="300" w:lineRule="auto"/>
              <w:jc w:val="center"/>
              <w:rPr>
                <w:rFonts w:ascii="宋体" w:hAnsi="宋体" w:cs="宋体"/>
                <w:szCs w:val="21"/>
              </w:rPr>
            </w:pPr>
          </w:p>
        </w:tc>
        <w:tc>
          <w:tcPr>
            <w:tcW w:w="1446" w:type="dxa"/>
          </w:tcPr>
          <w:p>
            <w:pPr>
              <w:snapToGrid w:val="0"/>
              <w:spacing w:line="300" w:lineRule="auto"/>
              <w:jc w:val="center"/>
              <w:rPr>
                <w:rFonts w:ascii="宋体" w:hAnsi="宋体" w:cs="宋体"/>
                <w:szCs w:val="21"/>
              </w:rPr>
            </w:pPr>
          </w:p>
        </w:tc>
        <w:tc>
          <w:tcPr>
            <w:tcW w:w="1446" w:type="dxa"/>
            <w:vAlign w:val="center"/>
          </w:tcPr>
          <w:p>
            <w:pPr>
              <w:snapToGrid w:val="0"/>
              <w:spacing w:line="30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dxa"/>
            <w:vAlign w:val="center"/>
          </w:tcPr>
          <w:p>
            <w:pPr>
              <w:snapToGrid w:val="0"/>
              <w:spacing w:line="300" w:lineRule="auto"/>
              <w:jc w:val="center"/>
              <w:rPr>
                <w:rFonts w:ascii="宋体" w:hAnsi="宋体" w:cs="宋体"/>
                <w:szCs w:val="21"/>
              </w:rPr>
            </w:pPr>
            <w:r>
              <w:rPr>
                <w:rFonts w:hint="eastAsia" w:ascii="宋体" w:hAnsi="宋体" w:cs="宋体"/>
                <w:szCs w:val="21"/>
              </w:rPr>
              <w:t>…</w:t>
            </w:r>
          </w:p>
        </w:tc>
        <w:tc>
          <w:tcPr>
            <w:tcW w:w="1609" w:type="dxa"/>
            <w:vAlign w:val="center"/>
          </w:tcPr>
          <w:p>
            <w:pPr>
              <w:snapToGrid w:val="0"/>
              <w:spacing w:line="300" w:lineRule="auto"/>
              <w:jc w:val="center"/>
              <w:rPr>
                <w:rFonts w:ascii="宋体" w:hAnsi="宋体" w:cs="宋体"/>
                <w:szCs w:val="21"/>
              </w:rPr>
            </w:pPr>
          </w:p>
        </w:tc>
        <w:tc>
          <w:tcPr>
            <w:tcW w:w="1179" w:type="dxa"/>
            <w:vAlign w:val="center"/>
          </w:tcPr>
          <w:p>
            <w:pPr>
              <w:snapToGrid w:val="0"/>
              <w:spacing w:line="300" w:lineRule="auto"/>
              <w:jc w:val="center"/>
              <w:rPr>
                <w:rFonts w:ascii="宋体" w:hAnsi="宋体" w:cs="宋体"/>
                <w:szCs w:val="21"/>
              </w:rPr>
            </w:pPr>
          </w:p>
        </w:tc>
        <w:tc>
          <w:tcPr>
            <w:tcW w:w="1255" w:type="dxa"/>
            <w:vAlign w:val="center"/>
          </w:tcPr>
          <w:p>
            <w:pPr>
              <w:snapToGrid w:val="0"/>
              <w:spacing w:line="300" w:lineRule="auto"/>
              <w:jc w:val="center"/>
              <w:rPr>
                <w:rFonts w:ascii="宋体" w:hAnsi="宋体" w:cs="宋体"/>
                <w:szCs w:val="21"/>
              </w:rPr>
            </w:pPr>
          </w:p>
        </w:tc>
        <w:tc>
          <w:tcPr>
            <w:tcW w:w="1522" w:type="dxa"/>
            <w:vAlign w:val="center"/>
          </w:tcPr>
          <w:p>
            <w:pPr>
              <w:snapToGrid w:val="0"/>
              <w:spacing w:line="300" w:lineRule="auto"/>
              <w:jc w:val="center"/>
              <w:rPr>
                <w:rFonts w:ascii="宋体" w:hAnsi="宋体" w:cs="宋体"/>
                <w:szCs w:val="21"/>
              </w:rPr>
            </w:pPr>
          </w:p>
        </w:tc>
        <w:tc>
          <w:tcPr>
            <w:tcW w:w="1446" w:type="dxa"/>
          </w:tcPr>
          <w:p>
            <w:pPr>
              <w:snapToGrid w:val="0"/>
              <w:spacing w:line="300" w:lineRule="auto"/>
              <w:jc w:val="center"/>
              <w:rPr>
                <w:rFonts w:ascii="宋体" w:hAnsi="宋体" w:cs="宋体"/>
                <w:szCs w:val="21"/>
              </w:rPr>
            </w:pPr>
          </w:p>
        </w:tc>
        <w:tc>
          <w:tcPr>
            <w:tcW w:w="1446" w:type="dxa"/>
            <w:vAlign w:val="center"/>
          </w:tcPr>
          <w:p>
            <w:pPr>
              <w:snapToGrid w:val="0"/>
              <w:spacing w:line="300" w:lineRule="auto"/>
              <w:jc w:val="center"/>
              <w:rPr>
                <w:rFonts w:ascii="宋体" w:hAnsi="宋体" w:cs="宋体"/>
                <w:szCs w:val="21"/>
              </w:rPr>
            </w:pPr>
          </w:p>
        </w:tc>
      </w:tr>
    </w:tbl>
    <w:p>
      <w:pPr>
        <w:pStyle w:val="21"/>
        <w:adjustRightInd w:val="0"/>
        <w:snapToGrid w:val="0"/>
        <w:spacing w:line="300" w:lineRule="auto"/>
        <w:jc w:val="center"/>
        <w:rPr>
          <w:rFonts w:hAnsi="宋体" w:cs="宋体"/>
          <w:b/>
          <w:bCs/>
          <w:sz w:val="32"/>
        </w:rPr>
      </w:pPr>
      <w:r>
        <w:rPr>
          <w:rFonts w:hint="eastAsia" w:hAnsi="宋体" w:cs="宋体"/>
          <w:b/>
          <w:bCs/>
          <w:sz w:val="32"/>
        </w:rPr>
        <w:t>专业技术人员一览表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697"/>
        <w:gridCol w:w="695"/>
        <w:gridCol w:w="1167"/>
        <w:gridCol w:w="695"/>
        <w:gridCol w:w="697"/>
        <w:gridCol w:w="695"/>
        <w:gridCol w:w="1209"/>
        <w:gridCol w:w="2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Merge w:val="restart"/>
            <w:vAlign w:val="center"/>
          </w:tcPr>
          <w:p>
            <w:pPr>
              <w:snapToGrid w:val="0"/>
              <w:spacing w:line="300" w:lineRule="auto"/>
              <w:jc w:val="center"/>
              <w:rPr>
                <w:rFonts w:ascii="宋体" w:hAnsi="宋体" w:cs="宋体"/>
                <w:szCs w:val="21"/>
              </w:rPr>
            </w:pPr>
            <w:r>
              <w:rPr>
                <w:rFonts w:hint="eastAsia" w:ascii="宋体" w:hAnsi="宋体" w:cs="宋体"/>
                <w:szCs w:val="21"/>
              </w:rPr>
              <w:t>职务</w:t>
            </w:r>
          </w:p>
        </w:tc>
        <w:tc>
          <w:tcPr>
            <w:tcW w:w="697" w:type="dxa"/>
            <w:vMerge w:val="restart"/>
            <w:vAlign w:val="center"/>
          </w:tcPr>
          <w:p>
            <w:pPr>
              <w:snapToGrid w:val="0"/>
              <w:spacing w:line="300" w:lineRule="auto"/>
              <w:jc w:val="center"/>
              <w:rPr>
                <w:rFonts w:ascii="宋体" w:hAnsi="宋体" w:cs="宋体"/>
                <w:szCs w:val="21"/>
              </w:rPr>
            </w:pPr>
            <w:r>
              <w:rPr>
                <w:rFonts w:hint="eastAsia" w:ascii="宋体" w:hAnsi="宋体" w:cs="宋体"/>
                <w:szCs w:val="21"/>
              </w:rPr>
              <w:t>姓名</w:t>
            </w:r>
          </w:p>
        </w:tc>
        <w:tc>
          <w:tcPr>
            <w:tcW w:w="695" w:type="dxa"/>
            <w:vMerge w:val="restart"/>
            <w:vAlign w:val="center"/>
          </w:tcPr>
          <w:p>
            <w:pPr>
              <w:snapToGrid w:val="0"/>
              <w:spacing w:line="300" w:lineRule="auto"/>
              <w:jc w:val="center"/>
              <w:rPr>
                <w:rFonts w:ascii="宋体" w:hAnsi="宋体" w:cs="宋体"/>
                <w:szCs w:val="21"/>
              </w:rPr>
            </w:pPr>
            <w:r>
              <w:rPr>
                <w:rFonts w:hint="eastAsia" w:ascii="宋体" w:hAnsi="宋体" w:cs="宋体"/>
                <w:szCs w:val="21"/>
              </w:rPr>
              <w:t>职称</w:t>
            </w:r>
          </w:p>
        </w:tc>
        <w:tc>
          <w:tcPr>
            <w:tcW w:w="4463" w:type="dxa"/>
            <w:gridSpan w:val="5"/>
            <w:vAlign w:val="center"/>
          </w:tcPr>
          <w:p>
            <w:pPr>
              <w:snapToGrid w:val="0"/>
              <w:spacing w:line="300" w:lineRule="auto"/>
              <w:jc w:val="center"/>
              <w:rPr>
                <w:rFonts w:ascii="宋体" w:hAnsi="宋体" w:cs="宋体"/>
                <w:szCs w:val="21"/>
              </w:rPr>
            </w:pPr>
            <w:r>
              <w:rPr>
                <w:rFonts w:hint="eastAsia" w:ascii="宋体" w:hAnsi="宋体" w:cs="宋体"/>
                <w:szCs w:val="21"/>
              </w:rPr>
              <w:t>执业或职业资格证明</w:t>
            </w:r>
          </w:p>
        </w:tc>
        <w:tc>
          <w:tcPr>
            <w:tcW w:w="2919" w:type="dxa"/>
            <w:vAlign w:val="center"/>
          </w:tcPr>
          <w:p>
            <w:pPr>
              <w:snapToGrid w:val="0"/>
              <w:spacing w:line="300" w:lineRule="auto"/>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Merge w:val="continue"/>
            <w:vAlign w:val="center"/>
          </w:tcPr>
          <w:p>
            <w:pPr>
              <w:snapToGrid w:val="0"/>
              <w:spacing w:line="300" w:lineRule="auto"/>
              <w:jc w:val="center"/>
              <w:rPr>
                <w:rFonts w:ascii="宋体" w:hAnsi="宋体" w:cs="宋体"/>
                <w:szCs w:val="21"/>
              </w:rPr>
            </w:pPr>
          </w:p>
        </w:tc>
        <w:tc>
          <w:tcPr>
            <w:tcW w:w="697" w:type="dxa"/>
            <w:vMerge w:val="continue"/>
            <w:vAlign w:val="center"/>
          </w:tcPr>
          <w:p>
            <w:pPr>
              <w:snapToGrid w:val="0"/>
              <w:spacing w:line="300" w:lineRule="auto"/>
              <w:jc w:val="center"/>
              <w:rPr>
                <w:rFonts w:ascii="宋体" w:hAnsi="宋体" w:cs="宋体"/>
                <w:szCs w:val="21"/>
              </w:rPr>
            </w:pPr>
          </w:p>
        </w:tc>
        <w:tc>
          <w:tcPr>
            <w:tcW w:w="695" w:type="dxa"/>
            <w:vMerge w:val="continue"/>
            <w:vAlign w:val="center"/>
          </w:tcPr>
          <w:p>
            <w:pPr>
              <w:snapToGrid w:val="0"/>
              <w:spacing w:line="300" w:lineRule="auto"/>
              <w:jc w:val="center"/>
              <w:rPr>
                <w:rFonts w:ascii="宋体" w:hAnsi="宋体" w:cs="宋体"/>
                <w:szCs w:val="21"/>
              </w:rPr>
            </w:pPr>
          </w:p>
        </w:tc>
        <w:tc>
          <w:tcPr>
            <w:tcW w:w="1167" w:type="dxa"/>
            <w:vAlign w:val="center"/>
          </w:tcPr>
          <w:p>
            <w:pPr>
              <w:snapToGrid w:val="0"/>
              <w:spacing w:line="300" w:lineRule="auto"/>
              <w:jc w:val="center"/>
              <w:rPr>
                <w:rFonts w:ascii="宋体" w:hAnsi="宋体" w:cs="宋体"/>
                <w:szCs w:val="21"/>
              </w:rPr>
            </w:pPr>
            <w:r>
              <w:rPr>
                <w:rFonts w:hint="eastAsia" w:ascii="宋体" w:hAnsi="宋体" w:cs="宋体"/>
                <w:szCs w:val="21"/>
              </w:rPr>
              <w:t>证书名称</w:t>
            </w:r>
          </w:p>
        </w:tc>
        <w:tc>
          <w:tcPr>
            <w:tcW w:w="695" w:type="dxa"/>
            <w:vAlign w:val="center"/>
          </w:tcPr>
          <w:p>
            <w:pPr>
              <w:snapToGrid w:val="0"/>
              <w:spacing w:line="300" w:lineRule="auto"/>
              <w:jc w:val="center"/>
              <w:rPr>
                <w:rFonts w:ascii="宋体" w:hAnsi="宋体" w:cs="宋体"/>
                <w:szCs w:val="21"/>
              </w:rPr>
            </w:pPr>
            <w:r>
              <w:rPr>
                <w:rFonts w:hint="eastAsia" w:ascii="宋体" w:hAnsi="宋体" w:cs="宋体"/>
                <w:szCs w:val="21"/>
              </w:rPr>
              <w:t>级别</w:t>
            </w:r>
          </w:p>
        </w:tc>
        <w:tc>
          <w:tcPr>
            <w:tcW w:w="697" w:type="dxa"/>
            <w:vAlign w:val="center"/>
          </w:tcPr>
          <w:p>
            <w:pPr>
              <w:snapToGrid w:val="0"/>
              <w:spacing w:line="300" w:lineRule="auto"/>
              <w:jc w:val="center"/>
              <w:rPr>
                <w:rFonts w:ascii="宋体" w:hAnsi="宋体" w:cs="宋体"/>
                <w:szCs w:val="21"/>
              </w:rPr>
            </w:pPr>
            <w:r>
              <w:rPr>
                <w:rFonts w:hint="eastAsia" w:ascii="宋体" w:hAnsi="宋体" w:cs="宋体"/>
                <w:szCs w:val="21"/>
              </w:rPr>
              <w:t>证号</w:t>
            </w:r>
          </w:p>
        </w:tc>
        <w:tc>
          <w:tcPr>
            <w:tcW w:w="695" w:type="dxa"/>
            <w:vAlign w:val="center"/>
          </w:tcPr>
          <w:p>
            <w:pPr>
              <w:snapToGrid w:val="0"/>
              <w:spacing w:line="300" w:lineRule="auto"/>
              <w:jc w:val="center"/>
              <w:rPr>
                <w:rFonts w:ascii="宋体" w:hAnsi="宋体" w:cs="宋体"/>
                <w:szCs w:val="21"/>
              </w:rPr>
            </w:pPr>
            <w:r>
              <w:rPr>
                <w:rFonts w:hint="eastAsia" w:ascii="宋体" w:hAnsi="宋体" w:cs="宋体"/>
                <w:szCs w:val="21"/>
              </w:rPr>
              <w:t>专业</w:t>
            </w:r>
          </w:p>
        </w:tc>
        <w:tc>
          <w:tcPr>
            <w:tcW w:w="1209" w:type="dxa"/>
            <w:vAlign w:val="center"/>
          </w:tcPr>
          <w:p>
            <w:pPr>
              <w:snapToGrid w:val="0"/>
              <w:spacing w:line="300" w:lineRule="auto"/>
              <w:jc w:val="center"/>
              <w:rPr>
                <w:rFonts w:ascii="宋体" w:hAnsi="宋体" w:cs="宋体"/>
                <w:szCs w:val="21"/>
              </w:rPr>
            </w:pPr>
            <w:r>
              <w:rPr>
                <w:rFonts w:hint="eastAsia" w:ascii="宋体" w:hAnsi="宋体" w:cs="宋体"/>
                <w:szCs w:val="21"/>
              </w:rPr>
              <w:t>社保缴纳</w:t>
            </w:r>
          </w:p>
        </w:tc>
        <w:tc>
          <w:tcPr>
            <w:tcW w:w="2919" w:type="dxa"/>
            <w:vAlign w:val="center"/>
          </w:tcPr>
          <w:p>
            <w:pPr>
              <w:snapToGrid w:val="0"/>
              <w:spacing w:line="300" w:lineRule="auto"/>
              <w:jc w:val="center"/>
              <w:rPr>
                <w:rFonts w:ascii="宋体" w:hAnsi="宋体" w:cs="宋体"/>
                <w:szCs w:val="21"/>
              </w:rPr>
            </w:pPr>
            <w:r>
              <w:rPr>
                <w:rFonts w:hint="eastAsia" w:ascii="宋体" w:hAnsi="宋体" w:cs="宋体"/>
                <w:szCs w:val="21"/>
              </w:rPr>
              <w:t>实施经验说明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Align w:val="center"/>
          </w:tcPr>
          <w:p>
            <w:pPr>
              <w:snapToGrid w:val="0"/>
              <w:spacing w:line="300" w:lineRule="auto"/>
              <w:jc w:val="center"/>
              <w:rPr>
                <w:rFonts w:ascii="宋体" w:hAnsi="宋体" w:cs="宋体"/>
                <w:szCs w:val="21"/>
              </w:rPr>
            </w:pPr>
          </w:p>
        </w:tc>
        <w:tc>
          <w:tcPr>
            <w:tcW w:w="69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116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69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1209" w:type="dxa"/>
            <w:vAlign w:val="center"/>
          </w:tcPr>
          <w:p>
            <w:pPr>
              <w:snapToGrid w:val="0"/>
              <w:spacing w:line="300" w:lineRule="auto"/>
              <w:jc w:val="center"/>
              <w:rPr>
                <w:rFonts w:ascii="宋体" w:hAnsi="宋体" w:cs="宋体"/>
                <w:szCs w:val="21"/>
              </w:rPr>
            </w:pPr>
          </w:p>
        </w:tc>
        <w:tc>
          <w:tcPr>
            <w:tcW w:w="2919" w:type="dxa"/>
            <w:vAlign w:val="center"/>
          </w:tcPr>
          <w:p>
            <w:pPr>
              <w:snapToGrid w:val="0"/>
              <w:spacing w:line="30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Align w:val="center"/>
          </w:tcPr>
          <w:p>
            <w:pPr>
              <w:snapToGrid w:val="0"/>
              <w:spacing w:line="300" w:lineRule="auto"/>
              <w:jc w:val="center"/>
              <w:rPr>
                <w:rFonts w:ascii="宋体" w:hAnsi="宋体" w:cs="宋体"/>
                <w:szCs w:val="21"/>
              </w:rPr>
            </w:pPr>
          </w:p>
        </w:tc>
        <w:tc>
          <w:tcPr>
            <w:tcW w:w="69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116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69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1209" w:type="dxa"/>
            <w:vAlign w:val="center"/>
          </w:tcPr>
          <w:p>
            <w:pPr>
              <w:snapToGrid w:val="0"/>
              <w:spacing w:line="300" w:lineRule="auto"/>
              <w:jc w:val="center"/>
              <w:rPr>
                <w:rFonts w:ascii="宋体" w:hAnsi="宋体" w:cs="宋体"/>
                <w:szCs w:val="21"/>
              </w:rPr>
            </w:pPr>
          </w:p>
        </w:tc>
        <w:tc>
          <w:tcPr>
            <w:tcW w:w="2919" w:type="dxa"/>
            <w:vAlign w:val="center"/>
          </w:tcPr>
          <w:p>
            <w:pPr>
              <w:snapToGrid w:val="0"/>
              <w:spacing w:line="30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Align w:val="center"/>
          </w:tcPr>
          <w:p>
            <w:pPr>
              <w:snapToGrid w:val="0"/>
              <w:spacing w:line="300" w:lineRule="auto"/>
              <w:jc w:val="center"/>
              <w:rPr>
                <w:rFonts w:ascii="宋体" w:hAnsi="宋体" w:cs="宋体"/>
                <w:szCs w:val="21"/>
              </w:rPr>
            </w:pPr>
          </w:p>
        </w:tc>
        <w:tc>
          <w:tcPr>
            <w:tcW w:w="69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116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69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1209" w:type="dxa"/>
            <w:vAlign w:val="center"/>
          </w:tcPr>
          <w:p>
            <w:pPr>
              <w:snapToGrid w:val="0"/>
              <w:spacing w:line="300" w:lineRule="auto"/>
              <w:jc w:val="center"/>
              <w:rPr>
                <w:rFonts w:ascii="宋体" w:hAnsi="宋体" w:cs="宋体"/>
                <w:szCs w:val="21"/>
              </w:rPr>
            </w:pPr>
          </w:p>
        </w:tc>
        <w:tc>
          <w:tcPr>
            <w:tcW w:w="2919" w:type="dxa"/>
            <w:vAlign w:val="center"/>
          </w:tcPr>
          <w:p>
            <w:pPr>
              <w:snapToGrid w:val="0"/>
              <w:spacing w:line="30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Align w:val="center"/>
          </w:tcPr>
          <w:p>
            <w:pPr>
              <w:snapToGrid w:val="0"/>
              <w:spacing w:line="300" w:lineRule="auto"/>
              <w:jc w:val="center"/>
              <w:rPr>
                <w:rFonts w:ascii="宋体" w:hAnsi="宋体" w:cs="宋体"/>
                <w:szCs w:val="21"/>
              </w:rPr>
            </w:pPr>
          </w:p>
        </w:tc>
        <w:tc>
          <w:tcPr>
            <w:tcW w:w="69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116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69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1209" w:type="dxa"/>
            <w:vAlign w:val="center"/>
          </w:tcPr>
          <w:p>
            <w:pPr>
              <w:snapToGrid w:val="0"/>
              <w:spacing w:line="300" w:lineRule="auto"/>
              <w:jc w:val="center"/>
              <w:rPr>
                <w:rFonts w:ascii="宋体" w:hAnsi="宋体" w:cs="宋体"/>
                <w:szCs w:val="21"/>
              </w:rPr>
            </w:pPr>
          </w:p>
        </w:tc>
        <w:tc>
          <w:tcPr>
            <w:tcW w:w="2919" w:type="dxa"/>
            <w:vAlign w:val="center"/>
          </w:tcPr>
          <w:p>
            <w:pPr>
              <w:snapToGrid w:val="0"/>
              <w:spacing w:line="30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Align w:val="center"/>
          </w:tcPr>
          <w:p>
            <w:pPr>
              <w:snapToGrid w:val="0"/>
              <w:spacing w:line="300" w:lineRule="auto"/>
              <w:jc w:val="center"/>
              <w:rPr>
                <w:rFonts w:ascii="宋体" w:hAnsi="宋体" w:cs="宋体"/>
                <w:szCs w:val="21"/>
              </w:rPr>
            </w:pPr>
          </w:p>
        </w:tc>
        <w:tc>
          <w:tcPr>
            <w:tcW w:w="69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116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697" w:type="dxa"/>
            <w:vAlign w:val="center"/>
          </w:tcPr>
          <w:p>
            <w:pPr>
              <w:snapToGrid w:val="0"/>
              <w:spacing w:line="300" w:lineRule="auto"/>
              <w:jc w:val="center"/>
              <w:rPr>
                <w:rFonts w:ascii="宋体" w:hAnsi="宋体" w:cs="宋体"/>
                <w:szCs w:val="21"/>
              </w:rPr>
            </w:pPr>
          </w:p>
        </w:tc>
        <w:tc>
          <w:tcPr>
            <w:tcW w:w="695" w:type="dxa"/>
            <w:vAlign w:val="center"/>
          </w:tcPr>
          <w:p>
            <w:pPr>
              <w:snapToGrid w:val="0"/>
              <w:spacing w:line="300" w:lineRule="auto"/>
              <w:jc w:val="center"/>
              <w:rPr>
                <w:rFonts w:ascii="宋体" w:hAnsi="宋体" w:cs="宋体"/>
                <w:szCs w:val="21"/>
              </w:rPr>
            </w:pPr>
          </w:p>
        </w:tc>
        <w:tc>
          <w:tcPr>
            <w:tcW w:w="1209" w:type="dxa"/>
            <w:vAlign w:val="center"/>
          </w:tcPr>
          <w:p>
            <w:pPr>
              <w:snapToGrid w:val="0"/>
              <w:spacing w:line="300" w:lineRule="auto"/>
              <w:jc w:val="center"/>
              <w:rPr>
                <w:rFonts w:ascii="宋体" w:hAnsi="宋体" w:cs="宋体"/>
                <w:szCs w:val="21"/>
              </w:rPr>
            </w:pPr>
          </w:p>
        </w:tc>
        <w:tc>
          <w:tcPr>
            <w:tcW w:w="2919" w:type="dxa"/>
            <w:vAlign w:val="center"/>
          </w:tcPr>
          <w:p>
            <w:pPr>
              <w:snapToGrid w:val="0"/>
              <w:spacing w:line="300" w:lineRule="auto"/>
              <w:jc w:val="center"/>
              <w:rPr>
                <w:rFonts w:ascii="宋体" w:hAnsi="宋体" w:cs="宋体"/>
                <w:szCs w:val="21"/>
              </w:rPr>
            </w:pPr>
          </w:p>
        </w:tc>
      </w:tr>
    </w:tbl>
    <w:p>
      <w:pPr>
        <w:snapToGrid w:val="0"/>
        <w:spacing w:line="300" w:lineRule="auto"/>
        <w:rPr>
          <w:rFonts w:ascii="宋体" w:hAnsi="宋体" w:cs="宋体"/>
          <w:szCs w:val="21"/>
        </w:rPr>
      </w:pPr>
      <w:r>
        <w:rPr>
          <w:rFonts w:hint="eastAsia" w:ascii="宋体" w:hAnsi="宋体" w:cs="宋体"/>
          <w:szCs w:val="21"/>
        </w:rPr>
        <w:t>附：相关人员的职称、执业证书等复印件证明材料</w:t>
      </w:r>
    </w:p>
    <w:p>
      <w:pPr>
        <w:snapToGrid w:val="0"/>
        <w:spacing w:line="300" w:lineRule="auto"/>
        <w:rPr>
          <w:rFonts w:ascii="宋体" w:hAnsi="宋体" w:cs="宋体"/>
          <w:szCs w:val="21"/>
        </w:rPr>
        <w:sectPr>
          <w:pgSz w:w="11906" w:h="16838"/>
          <w:pgMar w:top="1247" w:right="1247" w:bottom="1247" w:left="1474" w:header="851" w:footer="850" w:gutter="0"/>
          <w:cols w:space="720" w:num="1"/>
          <w:titlePg/>
          <w:docGrid w:linePitch="312" w:charSpace="0"/>
        </w:sectPr>
      </w:pPr>
    </w:p>
    <w:bookmarkEnd w:id="143"/>
    <w:p>
      <w:pPr>
        <w:snapToGrid w:val="0"/>
        <w:spacing w:line="300" w:lineRule="auto"/>
        <w:rPr>
          <w:rFonts w:ascii="宋体" w:hAnsi="宋体" w:cs="宋体"/>
          <w:szCs w:val="21"/>
        </w:rPr>
      </w:pPr>
      <w:r>
        <w:rPr>
          <w:rFonts w:hint="eastAsia" w:ascii="宋体" w:hAnsi="宋体" w:cs="宋体"/>
        </w:rPr>
        <w:t>附件三：</w:t>
      </w:r>
      <w:r>
        <w:rPr>
          <w:rFonts w:hint="eastAsia" w:ascii="宋体" w:hAnsi="宋体" w:cs="宋体"/>
          <w:szCs w:val="21"/>
        </w:rPr>
        <w:t>中小企业声明函或监狱企业声明函及其相关的充分的证明材料、残疾人福利性单位声明函</w:t>
      </w:r>
    </w:p>
    <w:p>
      <w:pPr>
        <w:snapToGrid w:val="0"/>
        <w:spacing w:line="300" w:lineRule="auto"/>
        <w:jc w:val="center"/>
        <w:rPr>
          <w:rFonts w:ascii="宋体" w:hAnsi="宋体" w:cs="宋体"/>
          <w:b/>
          <w:bCs/>
          <w:sz w:val="32"/>
          <w:szCs w:val="32"/>
        </w:rPr>
      </w:pPr>
      <w:r>
        <w:rPr>
          <w:rFonts w:hint="eastAsia" w:ascii="宋体" w:hAnsi="宋体" w:cs="宋体"/>
          <w:b/>
          <w:bCs/>
          <w:sz w:val="32"/>
          <w:szCs w:val="32"/>
        </w:rPr>
        <w:t>中小企业声明函（工程、服务）</w:t>
      </w:r>
    </w:p>
    <w:p>
      <w:pPr>
        <w:adjustRightInd w:val="0"/>
        <w:snapToGrid w:val="0"/>
        <w:spacing w:line="300" w:lineRule="auto"/>
        <w:jc w:val="center"/>
        <w:rPr>
          <w:rFonts w:ascii="宋体" w:hAnsi="宋体" w:cs="宋体"/>
          <w:b/>
          <w:szCs w:val="21"/>
        </w:rPr>
      </w:pPr>
      <w:r>
        <w:rPr>
          <w:rFonts w:hint="eastAsia" w:ascii="宋体" w:hAnsi="宋体" w:cs="宋体"/>
          <w:b/>
          <w:szCs w:val="21"/>
        </w:rPr>
        <w:t xml:space="preserve">【非中小企业不用提供】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本公司（联合体）郑重声明，根据《政府采购促进中小企业发展管理办法》（财库﹝2020﹞46号）的规定，本公司（联合体）参加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u w:val="single"/>
        </w:rPr>
        <w:t>（标的名称）</w:t>
      </w:r>
      <w:r>
        <w:rPr>
          <w:rFonts w:hint="eastAsia" w:ascii="宋体" w:hAnsi="宋体" w:cs="宋体"/>
          <w:sz w:val="24"/>
        </w:rPr>
        <w:t>，属于</w:t>
      </w:r>
      <w:r>
        <w:rPr>
          <w:rFonts w:hint="eastAsia" w:ascii="宋体" w:hAnsi="宋体" w:cs="宋体"/>
          <w:sz w:val="24"/>
          <w:u w:val="single"/>
        </w:rPr>
        <w:t>（采购文件中明确的所属行业）</w:t>
      </w:r>
      <w:r>
        <w:rPr>
          <w:rFonts w:hint="eastAsia" w:ascii="宋体" w:hAnsi="宋体" w:cs="宋体"/>
          <w:sz w:val="24"/>
        </w:rPr>
        <w:t>；承建（承接）企业为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（中型企业、小型企业、微型企业）</w:t>
      </w:r>
      <w:r>
        <w:rPr>
          <w:rFonts w:hint="eastAsia" w:ascii="宋体" w:hAnsi="宋体" w:cs="宋体"/>
          <w:sz w:val="24"/>
        </w:rPr>
        <w:t>；</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u w:val="single"/>
        </w:rPr>
        <w:t>（标的名称）</w:t>
      </w:r>
      <w:r>
        <w:rPr>
          <w:rFonts w:hint="eastAsia" w:ascii="宋体" w:hAnsi="宋体" w:cs="宋体"/>
          <w:sz w:val="24"/>
        </w:rPr>
        <w:t>，属于</w:t>
      </w:r>
      <w:r>
        <w:rPr>
          <w:rFonts w:hint="eastAsia" w:ascii="宋体" w:hAnsi="宋体" w:cs="宋体"/>
          <w:sz w:val="24"/>
          <w:u w:val="single"/>
        </w:rPr>
        <w:t>（采购文件中明确的所属行业）</w:t>
      </w:r>
      <w:r>
        <w:rPr>
          <w:rFonts w:hint="eastAsia" w:ascii="宋体" w:hAnsi="宋体" w:cs="宋体"/>
          <w:sz w:val="24"/>
        </w:rPr>
        <w:t>；承建（承接）企业为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（中型企业、小型企业、微型企业）</w:t>
      </w:r>
      <w:r>
        <w:rPr>
          <w:rFonts w:hint="eastAsia" w:ascii="宋体" w:hAnsi="宋体" w:cs="宋体"/>
          <w:sz w:val="24"/>
        </w:rPr>
        <w:t>；</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adjustRightInd w:val="0"/>
        <w:snapToGrid w:val="0"/>
        <w:spacing w:line="360" w:lineRule="auto"/>
        <w:ind w:firstLine="6518" w:firstLineChars="2716"/>
        <w:rPr>
          <w:rFonts w:ascii="宋体" w:hAnsi="宋体" w:cs="宋体"/>
          <w:sz w:val="24"/>
        </w:rPr>
      </w:pPr>
    </w:p>
    <w:p>
      <w:pPr>
        <w:adjustRightInd w:val="0"/>
        <w:snapToGrid w:val="0"/>
        <w:spacing w:line="360" w:lineRule="auto"/>
        <w:ind w:firstLine="6518" w:firstLineChars="2716"/>
        <w:rPr>
          <w:rFonts w:ascii="宋体" w:hAnsi="宋体" w:cs="宋体"/>
          <w:sz w:val="24"/>
        </w:rPr>
      </w:pPr>
    </w:p>
    <w:p>
      <w:pPr>
        <w:adjustRightInd w:val="0"/>
        <w:snapToGrid w:val="0"/>
        <w:spacing w:line="360" w:lineRule="auto"/>
        <w:ind w:firstLine="6518" w:firstLineChars="2716"/>
        <w:rPr>
          <w:rFonts w:ascii="宋体" w:hAnsi="宋体" w:cs="宋体"/>
          <w:sz w:val="24"/>
        </w:rPr>
      </w:pPr>
      <w:r>
        <w:rPr>
          <w:rFonts w:hint="eastAsia" w:ascii="宋体" w:hAnsi="宋体" w:cs="宋体"/>
          <w:sz w:val="24"/>
        </w:rPr>
        <w:t>企业名称（盖章）：</w:t>
      </w:r>
    </w:p>
    <w:p>
      <w:pPr>
        <w:adjustRightInd w:val="0"/>
        <w:snapToGrid w:val="0"/>
        <w:spacing w:line="360" w:lineRule="auto"/>
        <w:ind w:firstLine="6518" w:firstLineChars="2716"/>
        <w:rPr>
          <w:rFonts w:ascii="宋体" w:hAnsi="宋体" w:cs="宋体"/>
          <w:sz w:val="24"/>
        </w:rPr>
      </w:pPr>
      <w:r>
        <w:rPr>
          <w:rFonts w:hint="eastAsia" w:ascii="宋体" w:hAnsi="宋体" w:cs="宋体"/>
          <w:sz w:val="24"/>
        </w:rPr>
        <w:t>日期：</w:t>
      </w:r>
    </w:p>
    <w:p>
      <w:pPr>
        <w:spacing w:line="300" w:lineRule="auto"/>
        <w:ind w:firstLine="480"/>
        <w:rPr>
          <w:rFonts w:ascii="宋体" w:hAnsi="宋体" w:cs="宋体"/>
          <w:szCs w:val="21"/>
        </w:rPr>
      </w:pPr>
    </w:p>
    <w:p>
      <w:pPr>
        <w:pStyle w:val="21"/>
        <w:adjustRightInd w:val="0"/>
        <w:snapToGrid w:val="0"/>
        <w:spacing w:line="300" w:lineRule="auto"/>
        <w:ind w:firstLine="420" w:firstLineChars="200"/>
        <w:rPr>
          <w:rFonts w:hAnsi="宋体" w:cs="宋体"/>
          <w:szCs w:val="21"/>
        </w:rPr>
      </w:pPr>
    </w:p>
    <w:p>
      <w:pPr>
        <w:pStyle w:val="21"/>
        <w:adjustRightInd w:val="0"/>
        <w:snapToGrid w:val="0"/>
        <w:spacing w:line="300" w:lineRule="auto"/>
        <w:ind w:firstLine="420" w:firstLineChars="200"/>
        <w:rPr>
          <w:rFonts w:hAnsi="宋体" w:cs="宋体"/>
        </w:rPr>
      </w:pPr>
      <w:r>
        <w:rPr>
          <w:rFonts w:hint="eastAsia" w:hAnsi="宋体" w:cs="宋体"/>
        </w:rPr>
        <w:br w:type="page"/>
      </w:r>
    </w:p>
    <w:p>
      <w:pPr>
        <w:snapToGrid w:val="0"/>
        <w:spacing w:line="300" w:lineRule="auto"/>
        <w:jc w:val="center"/>
        <w:rPr>
          <w:rFonts w:ascii="宋体" w:hAnsi="宋体" w:cs="宋体"/>
          <w:b/>
          <w:bCs/>
          <w:sz w:val="32"/>
          <w:szCs w:val="32"/>
        </w:rPr>
      </w:pPr>
      <w:r>
        <w:rPr>
          <w:rFonts w:hint="eastAsia" w:ascii="宋体" w:hAnsi="宋体" w:cs="宋体"/>
          <w:b/>
          <w:bCs/>
          <w:sz w:val="32"/>
          <w:szCs w:val="32"/>
        </w:rPr>
        <w:t>监狱企业声明函</w:t>
      </w:r>
    </w:p>
    <w:p>
      <w:pPr>
        <w:adjustRightInd w:val="0"/>
        <w:snapToGrid w:val="0"/>
        <w:spacing w:line="300" w:lineRule="auto"/>
        <w:jc w:val="center"/>
        <w:rPr>
          <w:rFonts w:ascii="宋体" w:hAnsi="宋体" w:cs="宋体"/>
          <w:b/>
          <w:szCs w:val="21"/>
        </w:rPr>
      </w:pPr>
      <w:r>
        <w:rPr>
          <w:rFonts w:hint="eastAsia" w:ascii="宋体" w:hAnsi="宋体" w:cs="宋体"/>
          <w:b/>
          <w:szCs w:val="21"/>
        </w:rPr>
        <w:t>【非监狱企业不用提供】</w:t>
      </w:r>
    </w:p>
    <w:p>
      <w:pPr>
        <w:widowControl/>
        <w:adjustRightInd w:val="0"/>
        <w:snapToGrid w:val="0"/>
        <w:spacing w:line="300" w:lineRule="auto"/>
        <w:ind w:firstLine="420" w:firstLineChars="200"/>
        <w:rPr>
          <w:rFonts w:ascii="宋体" w:hAnsi="宋体" w:cs="宋体"/>
          <w:szCs w:val="21"/>
        </w:rPr>
      </w:pPr>
    </w:p>
    <w:p>
      <w:pPr>
        <w:widowControl/>
        <w:adjustRightInd w:val="0"/>
        <w:snapToGrid w:val="0"/>
        <w:spacing w:line="300" w:lineRule="auto"/>
        <w:ind w:firstLine="420" w:firstLineChars="200"/>
        <w:jc w:val="left"/>
        <w:rPr>
          <w:rFonts w:ascii="宋体" w:hAnsi="宋体" w:cs="宋体"/>
          <w:szCs w:val="21"/>
        </w:rPr>
      </w:pPr>
      <w:r>
        <w:rPr>
          <w:rFonts w:hint="eastAsia" w:ascii="宋体" w:hAnsi="宋体" w:cs="宋体"/>
          <w:szCs w:val="21"/>
        </w:rPr>
        <w:t>本企业郑重声明，根据《关于政府采购支持监狱企业发展有关问题的通知》（财库[2014]68号）的规定，本企业为</w:t>
      </w:r>
      <w:r>
        <w:rPr>
          <w:rFonts w:hint="eastAsia" w:ascii="宋体" w:hAnsi="宋体" w:cs="宋体"/>
          <w:szCs w:val="21"/>
          <w:u w:val="single"/>
        </w:rPr>
        <w:t>监狱企业</w:t>
      </w:r>
      <w:r>
        <w:rPr>
          <w:rFonts w:hint="eastAsia" w:ascii="宋体" w:hAnsi="宋体" w:cs="宋体"/>
          <w:szCs w:val="21"/>
        </w:rPr>
        <w:t>。</w:t>
      </w:r>
    </w:p>
    <w:p>
      <w:pPr>
        <w:widowControl/>
        <w:adjustRightInd w:val="0"/>
        <w:snapToGrid w:val="0"/>
        <w:spacing w:line="300" w:lineRule="auto"/>
        <w:ind w:firstLine="420" w:firstLineChars="200"/>
        <w:jc w:val="left"/>
        <w:rPr>
          <w:rFonts w:ascii="宋体" w:hAnsi="宋体" w:cs="宋体"/>
          <w:szCs w:val="21"/>
        </w:rPr>
      </w:pPr>
      <w:r>
        <w:rPr>
          <w:rFonts w:hint="eastAsia" w:ascii="宋体" w:hAnsi="宋体" w:cs="宋体"/>
          <w:szCs w:val="21"/>
        </w:rPr>
        <w:t>根据上述标准，我企业属于</w:t>
      </w:r>
      <w:r>
        <w:rPr>
          <w:rFonts w:hint="eastAsia" w:ascii="宋体" w:hAnsi="宋体" w:cs="宋体"/>
          <w:szCs w:val="21"/>
          <w:u w:val="single"/>
        </w:rPr>
        <w:t>监狱企业</w:t>
      </w:r>
      <w:r>
        <w:rPr>
          <w:rFonts w:hint="eastAsia" w:ascii="宋体" w:hAnsi="宋体" w:cs="宋体"/>
          <w:szCs w:val="21"/>
        </w:rPr>
        <w:t>的理由为：。</w:t>
      </w:r>
    </w:p>
    <w:p>
      <w:pPr>
        <w:widowControl/>
        <w:adjustRightInd w:val="0"/>
        <w:snapToGrid w:val="0"/>
        <w:spacing w:line="300" w:lineRule="auto"/>
        <w:ind w:firstLine="420" w:firstLineChars="200"/>
        <w:rPr>
          <w:rFonts w:ascii="宋体" w:hAnsi="宋体" w:cs="宋体"/>
          <w:szCs w:val="21"/>
        </w:rPr>
      </w:pPr>
      <w:r>
        <w:rPr>
          <w:rFonts w:hint="eastAsia" w:ascii="宋体" w:hAnsi="宋体" w:cs="宋体"/>
          <w:szCs w:val="21"/>
        </w:rPr>
        <w:t>本企业为参加（项目名称：</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）采购活动提供本企业的产品。</w:t>
      </w:r>
    </w:p>
    <w:p>
      <w:pPr>
        <w:widowControl/>
        <w:adjustRightInd w:val="0"/>
        <w:snapToGrid w:val="0"/>
        <w:spacing w:line="300" w:lineRule="auto"/>
        <w:ind w:firstLine="420" w:firstLineChars="200"/>
        <w:rPr>
          <w:rFonts w:ascii="宋体" w:hAnsi="宋体" w:cs="宋体"/>
          <w:szCs w:val="21"/>
        </w:rPr>
      </w:pPr>
      <w:r>
        <w:rPr>
          <w:rFonts w:hint="eastAsia" w:ascii="宋体" w:hAnsi="宋体" w:cs="宋体"/>
          <w:szCs w:val="21"/>
        </w:rPr>
        <w:t>本企业对上述声明的真实性负责。如有虚假，将依法承担相应责任。</w:t>
      </w:r>
    </w:p>
    <w:p>
      <w:pPr>
        <w:adjustRightInd w:val="0"/>
        <w:snapToGrid w:val="0"/>
        <w:spacing w:line="300" w:lineRule="auto"/>
        <w:ind w:firstLine="420" w:firstLineChars="200"/>
        <w:jc w:val="center"/>
        <w:rPr>
          <w:rFonts w:ascii="宋体" w:hAnsi="宋体" w:cs="宋体"/>
          <w:szCs w:val="21"/>
        </w:rPr>
      </w:pPr>
    </w:p>
    <w:p>
      <w:pPr>
        <w:adjustRightInd w:val="0"/>
        <w:snapToGrid w:val="0"/>
        <w:spacing w:line="300" w:lineRule="auto"/>
        <w:ind w:firstLine="420" w:firstLineChars="200"/>
        <w:rPr>
          <w:rFonts w:ascii="宋体" w:hAnsi="宋体" w:cs="宋体"/>
          <w:kern w:val="0"/>
          <w:szCs w:val="21"/>
          <w:u w:val="single"/>
        </w:rPr>
      </w:pPr>
      <w:r>
        <w:rPr>
          <w:rFonts w:hint="eastAsia" w:ascii="宋体" w:hAnsi="宋体" w:cs="宋体"/>
          <w:kern w:val="0"/>
          <w:szCs w:val="21"/>
        </w:rPr>
        <w:t>投标人名称（盖章）：</w:t>
      </w:r>
      <w:r>
        <w:rPr>
          <w:rFonts w:hint="eastAsia" w:ascii="宋体" w:hAnsi="宋体" w:cs="宋体"/>
          <w:kern w:val="0"/>
          <w:szCs w:val="21"/>
          <w:u w:val="single"/>
        </w:rPr>
        <w:t xml:space="preserve">                    </w:t>
      </w:r>
    </w:p>
    <w:p>
      <w:pPr>
        <w:adjustRightInd w:val="0"/>
        <w:snapToGrid w:val="0"/>
        <w:spacing w:line="300" w:lineRule="auto"/>
        <w:ind w:firstLine="420" w:firstLineChars="200"/>
        <w:rPr>
          <w:rFonts w:ascii="宋体" w:hAnsi="宋体" w:cs="宋体"/>
          <w:kern w:val="0"/>
          <w:szCs w:val="21"/>
        </w:rPr>
      </w:pPr>
      <w:r>
        <w:rPr>
          <w:rFonts w:hint="eastAsia" w:ascii="宋体" w:hAnsi="宋体" w:cs="宋体"/>
          <w:kern w:val="0"/>
          <w:szCs w:val="21"/>
        </w:rPr>
        <w:t>日期：    年   月  日</w:t>
      </w:r>
    </w:p>
    <w:p>
      <w:pPr>
        <w:widowControl/>
        <w:snapToGrid w:val="0"/>
        <w:spacing w:line="300" w:lineRule="auto"/>
        <w:ind w:firstLine="420" w:firstLineChars="200"/>
        <w:rPr>
          <w:rFonts w:ascii="宋体" w:hAnsi="宋体" w:cs="宋体"/>
          <w:kern w:val="0"/>
          <w:szCs w:val="21"/>
        </w:rPr>
      </w:pPr>
      <w:r>
        <w:rPr>
          <w:rFonts w:hint="eastAsia" w:ascii="宋体" w:hAnsi="宋体" w:cs="宋体"/>
          <w:kern w:val="0"/>
          <w:szCs w:val="21"/>
        </w:rPr>
        <w:t>监狱企业参加政府采购活动时，应当提供由省级以上监狱管理局、戒毒管理局（含新疆生产建设兵团）出具的属于监狱企业的证明文件。</w:t>
      </w:r>
    </w:p>
    <w:p>
      <w:pPr>
        <w:pStyle w:val="21"/>
        <w:adjustRightInd w:val="0"/>
        <w:snapToGrid w:val="0"/>
        <w:spacing w:line="300" w:lineRule="auto"/>
        <w:ind w:firstLine="420" w:firstLineChars="200"/>
        <w:rPr>
          <w:rFonts w:hAnsi="宋体" w:cs="宋体"/>
        </w:rPr>
      </w:pPr>
      <w:r>
        <w:rPr>
          <w:rFonts w:hint="eastAsia" w:hAnsi="宋体" w:cs="宋体"/>
          <w:kern w:val="0"/>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Style w:val="21"/>
        <w:adjustRightInd w:val="0"/>
        <w:snapToGrid w:val="0"/>
        <w:spacing w:line="300" w:lineRule="auto"/>
        <w:ind w:firstLine="420" w:firstLineChars="200"/>
        <w:rPr>
          <w:rFonts w:hAnsi="宋体" w:cs="宋体"/>
          <w:szCs w:val="21"/>
        </w:rPr>
      </w:pPr>
    </w:p>
    <w:p>
      <w:pPr>
        <w:pStyle w:val="21"/>
        <w:adjustRightInd w:val="0"/>
        <w:snapToGrid w:val="0"/>
        <w:spacing w:line="300" w:lineRule="auto"/>
        <w:ind w:firstLine="420" w:firstLineChars="200"/>
        <w:rPr>
          <w:rFonts w:hAnsi="宋体" w:cs="宋体"/>
          <w:szCs w:val="21"/>
        </w:rPr>
      </w:pPr>
    </w:p>
    <w:p>
      <w:pPr>
        <w:snapToGrid w:val="0"/>
        <w:spacing w:line="300" w:lineRule="auto"/>
        <w:jc w:val="center"/>
        <w:rPr>
          <w:rFonts w:ascii="宋体" w:hAnsi="宋体" w:cs="宋体"/>
          <w:b/>
          <w:bCs/>
          <w:sz w:val="32"/>
          <w:szCs w:val="32"/>
        </w:rPr>
      </w:pPr>
      <w:r>
        <w:rPr>
          <w:rFonts w:hint="eastAsia" w:ascii="宋体" w:hAnsi="宋体" w:cs="宋体"/>
          <w:b/>
          <w:bCs/>
          <w:sz w:val="32"/>
          <w:szCs w:val="32"/>
        </w:rPr>
        <w:t>残疾人福利性单位声明函</w:t>
      </w:r>
    </w:p>
    <w:p>
      <w:pPr>
        <w:adjustRightInd w:val="0"/>
        <w:snapToGrid w:val="0"/>
        <w:spacing w:line="300" w:lineRule="auto"/>
        <w:jc w:val="center"/>
        <w:rPr>
          <w:rFonts w:ascii="宋体" w:hAnsi="宋体" w:cs="宋体"/>
          <w:b/>
          <w:szCs w:val="21"/>
        </w:rPr>
      </w:pPr>
      <w:r>
        <w:rPr>
          <w:rFonts w:hint="eastAsia" w:ascii="宋体" w:hAnsi="宋体" w:cs="宋体"/>
          <w:b/>
          <w:szCs w:val="21"/>
        </w:rPr>
        <w:t>【非残疾人福利性单位不用提供】</w:t>
      </w:r>
    </w:p>
    <w:p>
      <w:pPr>
        <w:snapToGrid w:val="0"/>
        <w:spacing w:line="300" w:lineRule="auto"/>
        <w:jc w:val="center"/>
        <w:rPr>
          <w:rFonts w:ascii="宋体" w:hAnsi="宋体" w:cs="宋体"/>
          <w:b/>
          <w:bCs/>
          <w:sz w:val="32"/>
          <w:szCs w:val="32"/>
        </w:rPr>
      </w:pPr>
    </w:p>
    <w:p>
      <w:pPr>
        <w:snapToGrid w:val="0"/>
        <w:spacing w:line="300" w:lineRule="auto"/>
        <w:ind w:firstLine="444" w:firstLineChars="200"/>
        <w:rPr>
          <w:rFonts w:ascii="宋体" w:hAnsi="宋体" w:cs="宋体"/>
          <w:spacing w:val="6"/>
          <w:szCs w:val="21"/>
        </w:rPr>
      </w:pPr>
      <w:r>
        <w:rPr>
          <w:rFonts w:hint="eastAsia" w:ascii="宋体" w:hAnsi="宋体" w:cs="宋体"/>
          <w:spacing w:val="6"/>
          <w:szCs w:val="21"/>
        </w:rPr>
        <w:t>本单位郑重声明，根据《财政部民政部中国残疾人联合会关于促进残疾人就业政府采购政策的通知》（财库</w:t>
      </w:r>
      <w:r>
        <w:rPr>
          <w:rFonts w:hint="eastAsia" w:ascii="宋体" w:hAnsi="宋体" w:cs="宋体"/>
          <w:szCs w:val="21"/>
        </w:rPr>
        <w:t>〔2017〕141</w:t>
      </w:r>
      <w:r>
        <w:rPr>
          <w:rFonts w:hint="eastAsia" w:ascii="宋体" w:hAnsi="宋体" w:cs="宋体"/>
          <w:spacing w:val="6"/>
          <w:szCs w:val="21"/>
        </w:rPr>
        <w:t>号）的规定，本单位为符合条件的残疾人福利性单位，且本单位参加</w:t>
      </w:r>
      <w:r>
        <w:rPr>
          <w:rFonts w:hint="eastAsia" w:ascii="宋体" w:hAnsi="宋体" w:cs="宋体"/>
          <w:spacing w:val="6"/>
          <w:szCs w:val="21"/>
          <w:u w:val="single"/>
        </w:rPr>
        <w:t>（采购人名称）</w:t>
      </w:r>
      <w:r>
        <w:rPr>
          <w:rFonts w:hint="eastAsia" w:ascii="宋体" w:hAnsi="宋体" w:cs="宋体"/>
          <w:spacing w:val="6"/>
          <w:szCs w:val="21"/>
        </w:rPr>
        <w:t>单位的</w:t>
      </w:r>
      <w:r>
        <w:rPr>
          <w:rFonts w:hint="eastAsia" w:ascii="宋体" w:hAnsi="宋体" w:cs="宋体"/>
          <w:spacing w:val="6"/>
          <w:szCs w:val="21"/>
          <w:u w:val="single"/>
        </w:rPr>
        <w:t>（项目名称）</w:t>
      </w:r>
      <w:r>
        <w:rPr>
          <w:rFonts w:hint="eastAsia" w:ascii="宋体" w:hAnsi="宋体" w:cs="宋体"/>
          <w:spacing w:val="6"/>
          <w:szCs w:val="21"/>
        </w:rPr>
        <w:t>项目采购活动提供本单位制造的货物（由本单位承担工程/提供服务），或者提供其他残疾人福利性单位制造的货物（不包括使用非残疾人福利性单位注册商标的货物）。</w:t>
      </w:r>
    </w:p>
    <w:p>
      <w:pPr>
        <w:snapToGrid w:val="0"/>
        <w:spacing w:line="300" w:lineRule="auto"/>
        <w:ind w:firstLine="444" w:firstLineChars="200"/>
        <w:rPr>
          <w:rFonts w:ascii="宋体" w:hAnsi="宋体" w:cs="宋体"/>
          <w:spacing w:val="6"/>
          <w:szCs w:val="21"/>
        </w:rPr>
      </w:pPr>
      <w:r>
        <w:rPr>
          <w:rFonts w:hint="eastAsia" w:ascii="宋体" w:hAnsi="宋体" w:cs="宋体"/>
          <w:spacing w:val="6"/>
          <w:szCs w:val="21"/>
        </w:rPr>
        <w:t>本单位对上述声明的真实性负责。如有虚假，将依法承担相应责任。</w:t>
      </w:r>
    </w:p>
    <w:p>
      <w:pPr>
        <w:snapToGrid w:val="0"/>
        <w:spacing w:line="300" w:lineRule="auto"/>
        <w:ind w:firstLine="444" w:firstLineChars="200"/>
        <w:rPr>
          <w:rFonts w:ascii="宋体" w:hAnsi="宋体" w:cs="宋体"/>
          <w:spacing w:val="6"/>
          <w:szCs w:val="21"/>
        </w:rPr>
      </w:pPr>
    </w:p>
    <w:p>
      <w:pPr>
        <w:snapToGrid w:val="0"/>
        <w:spacing w:line="300" w:lineRule="auto"/>
        <w:ind w:firstLine="444" w:firstLineChars="200"/>
        <w:rPr>
          <w:rFonts w:ascii="宋体" w:hAnsi="宋体" w:cs="宋体"/>
          <w:spacing w:val="6"/>
          <w:szCs w:val="21"/>
        </w:rPr>
      </w:pPr>
    </w:p>
    <w:p>
      <w:pPr>
        <w:adjustRightInd w:val="0"/>
        <w:snapToGrid w:val="0"/>
        <w:spacing w:line="300" w:lineRule="auto"/>
        <w:ind w:firstLine="420" w:firstLineChars="200"/>
        <w:rPr>
          <w:rFonts w:ascii="宋体" w:hAnsi="宋体" w:cs="宋体"/>
          <w:kern w:val="0"/>
          <w:szCs w:val="21"/>
          <w:u w:val="single"/>
        </w:rPr>
      </w:pPr>
      <w:r>
        <w:rPr>
          <w:rFonts w:hint="eastAsia" w:ascii="宋体" w:hAnsi="宋体" w:cs="宋体"/>
          <w:kern w:val="0"/>
          <w:szCs w:val="21"/>
        </w:rPr>
        <w:t>投标人名称（盖章）：</w:t>
      </w:r>
      <w:r>
        <w:rPr>
          <w:rFonts w:hint="eastAsia" w:ascii="宋体" w:hAnsi="宋体" w:cs="宋体"/>
          <w:kern w:val="0"/>
          <w:szCs w:val="21"/>
          <w:u w:val="single"/>
        </w:rPr>
        <w:t xml:space="preserve">                    </w:t>
      </w:r>
    </w:p>
    <w:p>
      <w:pPr>
        <w:adjustRightInd w:val="0"/>
        <w:snapToGrid w:val="0"/>
        <w:spacing w:line="300" w:lineRule="auto"/>
        <w:ind w:firstLine="420" w:firstLineChars="200"/>
        <w:rPr>
          <w:rFonts w:ascii="宋体" w:hAnsi="宋体" w:cs="宋体"/>
          <w:kern w:val="0"/>
          <w:szCs w:val="21"/>
        </w:rPr>
      </w:pPr>
      <w:r>
        <w:rPr>
          <w:rFonts w:hint="eastAsia" w:ascii="宋体" w:hAnsi="宋体" w:cs="宋体"/>
          <w:kern w:val="0"/>
          <w:szCs w:val="21"/>
        </w:rPr>
        <w:t>日期：    年   月  日</w:t>
      </w:r>
    </w:p>
    <w:p>
      <w:pPr>
        <w:snapToGrid w:val="0"/>
        <w:spacing w:line="300" w:lineRule="auto"/>
        <w:rPr>
          <w:rFonts w:ascii="宋体" w:hAnsi="宋体" w:cs="宋体"/>
        </w:rPr>
        <w:sectPr>
          <w:pgSz w:w="11906" w:h="16838"/>
          <w:pgMar w:top="1247" w:right="1247" w:bottom="1247" w:left="1474" w:header="851" w:footer="850" w:gutter="0"/>
          <w:cols w:space="720" w:num="1"/>
          <w:titlePg/>
          <w:docGrid w:linePitch="312" w:charSpace="0"/>
        </w:sectPr>
      </w:pPr>
    </w:p>
    <w:p>
      <w:pPr>
        <w:snapToGrid w:val="0"/>
        <w:spacing w:line="300" w:lineRule="auto"/>
        <w:rPr>
          <w:rFonts w:ascii="宋体" w:hAnsi="宋体" w:cs="宋体"/>
        </w:rPr>
      </w:pPr>
      <w:r>
        <w:rPr>
          <w:rFonts w:hint="eastAsia" w:ascii="宋体" w:hAnsi="宋体" w:cs="宋体"/>
        </w:rPr>
        <w:t>附件五：联合体协议书（如有）</w:t>
      </w:r>
    </w:p>
    <w:p>
      <w:pPr>
        <w:pStyle w:val="21"/>
        <w:adjustRightInd w:val="0"/>
        <w:snapToGrid w:val="0"/>
        <w:spacing w:line="300" w:lineRule="auto"/>
        <w:jc w:val="center"/>
        <w:rPr>
          <w:rFonts w:hAnsi="宋体" w:cs="宋体"/>
          <w:b/>
          <w:bCs/>
          <w:sz w:val="32"/>
        </w:rPr>
      </w:pPr>
      <w:r>
        <w:rPr>
          <w:rFonts w:hint="eastAsia" w:hAnsi="宋体" w:cs="宋体"/>
          <w:b/>
          <w:bCs/>
          <w:sz w:val="32"/>
        </w:rPr>
        <w:t>联合体协议书（如有）</w:t>
      </w:r>
    </w:p>
    <w:p>
      <w:pPr>
        <w:spacing w:line="360" w:lineRule="auto"/>
        <w:ind w:firstLine="630" w:firstLineChars="300"/>
        <w:rPr>
          <w:rFonts w:ascii="宋体" w:hAnsi="宋体" w:cs="宋体"/>
        </w:rPr>
      </w:pPr>
      <w:r>
        <w:rPr>
          <w:rFonts w:hint="eastAsia" w:ascii="宋体" w:hAnsi="宋体" w:cs="宋体"/>
          <w:u w:val="single"/>
        </w:rPr>
        <w:t xml:space="preserve">（甲单位名称） </w:t>
      </w:r>
      <w:r>
        <w:rPr>
          <w:rFonts w:hint="eastAsia" w:ascii="宋体" w:hAnsi="宋体" w:cs="宋体"/>
        </w:rPr>
        <w:t xml:space="preserve"> 、</w:t>
      </w:r>
      <w:r>
        <w:rPr>
          <w:rFonts w:hint="eastAsia" w:ascii="宋体" w:hAnsi="宋体" w:cs="宋体"/>
          <w:u w:val="single"/>
        </w:rPr>
        <w:t xml:space="preserve">  （乙单位名称）、 ……     </w:t>
      </w:r>
      <w:r>
        <w:rPr>
          <w:rFonts w:hint="eastAsia" w:ascii="宋体" w:hAnsi="宋体" w:cs="宋体"/>
        </w:rPr>
        <w:t>自愿组成联合体，参加</w:t>
      </w:r>
      <w:r>
        <w:rPr>
          <w:rFonts w:hint="eastAsia" w:ascii="宋体" w:hAnsi="宋体" w:cs="宋体"/>
          <w:u w:val="single"/>
        </w:rPr>
        <w:t xml:space="preserve">          </w:t>
      </w:r>
      <w:r>
        <w:rPr>
          <w:rFonts w:hint="eastAsia" w:ascii="宋体" w:hAnsi="宋体" w:cs="宋体"/>
        </w:rPr>
        <w:t>项目的投标。现就有关事宜订立协议如下：</w:t>
      </w:r>
    </w:p>
    <w:p>
      <w:pPr>
        <w:spacing w:line="360" w:lineRule="auto"/>
        <w:ind w:firstLine="645"/>
        <w:rPr>
          <w:rFonts w:ascii="宋体" w:hAnsi="宋体" w:cs="宋体"/>
        </w:rPr>
      </w:pPr>
      <w:r>
        <w:rPr>
          <w:rFonts w:hint="eastAsia" w:ascii="宋体" w:hAnsi="宋体" w:cs="宋体"/>
        </w:rPr>
        <w:t>1．</w:t>
      </w:r>
      <w:r>
        <w:rPr>
          <w:rFonts w:hint="eastAsia" w:ascii="宋体" w:hAnsi="宋体" w:cs="宋体"/>
          <w:u w:val="single"/>
        </w:rPr>
        <w:t xml:space="preserve"> （甲单位名称）  </w:t>
      </w:r>
      <w:r>
        <w:rPr>
          <w:rFonts w:hint="eastAsia" w:ascii="宋体" w:hAnsi="宋体" w:cs="宋体"/>
        </w:rPr>
        <w:t>为联合体主办人，</w:t>
      </w:r>
      <w:r>
        <w:rPr>
          <w:rFonts w:hint="eastAsia" w:ascii="宋体" w:hAnsi="宋体" w:cs="宋体"/>
          <w:u w:val="single"/>
        </w:rPr>
        <w:t xml:space="preserve">  （乙单位名称）、 ……    </w:t>
      </w:r>
      <w:r>
        <w:rPr>
          <w:rFonts w:hint="eastAsia" w:ascii="宋体" w:hAnsi="宋体" w:cs="宋体"/>
        </w:rPr>
        <w:t>为联合体成员。</w:t>
      </w:r>
    </w:p>
    <w:p>
      <w:pPr>
        <w:spacing w:line="360" w:lineRule="auto"/>
        <w:ind w:firstLine="645"/>
        <w:rPr>
          <w:rFonts w:ascii="宋体" w:hAnsi="宋体" w:cs="宋体"/>
        </w:rPr>
      </w:pPr>
      <w:r>
        <w:rPr>
          <w:rFonts w:hint="eastAsia" w:ascii="宋体" w:hAnsi="宋体" w:cs="宋体"/>
        </w:rPr>
        <w:t>2．联合体内部有关事项规定如下：</w:t>
      </w:r>
    </w:p>
    <w:p>
      <w:pPr>
        <w:spacing w:line="360" w:lineRule="auto"/>
        <w:ind w:firstLine="645"/>
        <w:rPr>
          <w:rFonts w:ascii="宋体" w:hAnsi="宋体" w:cs="宋体"/>
        </w:rPr>
      </w:pPr>
      <w:r>
        <w:rPr>
          <w:rFonts w:hint="eastAsia" w:ascii="宋体" w:hAnsi="宋体" w:cs="宋体"/>
        </w:rPr>
        <w:t>（1）联合体授权联合体主办人对联合体各成员的资格预审申请资料进行统一汇总后一并提交给采购人，联合体主办人所提交的资格预审申请书已代表了联合体各成员的真实情况。</w:t>
      </w:r>
    </w:p>
    <w:p>
      <w:pPr>
        <w:spacing w:line="360" w:lineRule="auto"/>
        <w:ind w:firstLine="645"/>
        <w:rPr>
          <w:rFonts w:ascii="宋体" w:hAnsi="宋体" w:cs="宋体"/>
        </w:rPr>
      </w:pPr>
      <w:r>
        <w:rPr>
          <w:rFonts w:hint="eastAsia" w:ascii="宋体" w:hAnsi="宋体" w:cs="宋体"/>
        </w:rPr>
        <w:t>（2）投标工作将由联合体授权主办人负责；联合体主办人合法代表联合体提交并签署投标文件，联合体主办人在投标文件中的所有承诺均代表了联合体各成员。</w:t>
      </w:r>
    </w:p>
    <w:p>
      <w:pPr>
        <w:spacing w:line="360" w:lineRule="auto"/>
        <w:ind w:firstLine="645"/>
        <w:rPr>
          <w:rFonts w:ascii="宋体" w:hAnsi="宋体" w:cs="宋体"/>
        </w:rPr>
      </w:pPr>
      <w:r>
        <w:rPr>
          <w:rFonts w:hint="eastAsia" w:ascii="宋体" w:hAnsi="宋体" w:cs="宋体"/>
        </w:rPr>
        <w:t>（3）联合体将严格按照招标文件的各项要求，递交投标文件，切实执行一切合同文件，共同承担合同规定的一切义务和责任，同时按照内部职责的划分，承担自身所负的责任和风险，在法律上承担连带责任。</w:t>
      </w:r>
    </w:p>
    <w:p>
      <w:pPr>
        <w:spacing w:line="360" w:lineRule="auto"/>
        <w:ind w:firstLine="645"/>
        <w:rPr>
          <w:rFonts w:ascii="宋体" w:hAnsi="宋体" w:cs="宋体"/>
        </w:rPr>
      </w:pPr>
      <w:r>
        <w:rPr>
          <w:rFonts w:hint="eastAsia" w:ascii="宋体" w:hAnsi="宋体" w:cs="宋体"/>
        </w:rPr>
        <w:t>（4）如中标，联合体内部将遵守以下规定。</w:t>
      </w:r>
    </w:p>
    <w:p>
      <w:pPr>
        <w:spacing w:line="360" w:lineRule="auto"/>
        <w:ind w:firstLine="645"/>
        <w:rPr>
          <w:rFonts w:ascii="宋体" w:hAnsi="宋体" w:cs="宋体"/>
        </w:rPr>
      </w:pPr>
      <w:r>
        <w:rPr>
          <w:rFonts w:hint="eastAsia" w:ascii="宋体" w:hAnsi="宋体" w:cs="宋体"/>
        </w:rPr>
        <w:t>a．联合体主办人和成员共同与业主签订合同书，并就中标项目向业主负有连带的和各自的法律责任。</w:t>
      </w:r>
    </w:p>
    <w:p>
      <w:pPr>
        <w:spacing w:line="360" w:lineRule="auto"/>
        <w:ind w:firstLine="645"/>
        <w:rPr>
          <w:rFonts w:ascii="宋体" w:hAnsi="宋体" w:cs="宋体"/>
        </w:rPr>
      </w:pPr>
      <w:r>
        <w:rPr>
          <w:rFonts w:hint="eastAsia" w:ascii="宋体" w:hAnsi="宋体" w:cs="宋体"/>
        </w:rPr>
        <w:t>b．联合体主办人代表联合体成员承担责任和接受业主的指令、指示和通知，并且在整个合同实施过程中的全部事宜（包括支付）均由联合体主办人负责；</w:t>
      </w:r>
    </w:p>
    <w:p>
      <w:pPr>
        <w:spacing w:line="360" w:lineRule="auto"/>
        <w:ind w:firstLine="645"/>
        <w:rPr>
          <w:rFonts w:ascii="宋体" w:hAnsi="宋体" w:cs="宋体"/>
        </w:rPr>
      </w:pPr>
      <w:r>
        <w:rPr>
          <w:rFonts w:hint="eastAsia" w:ascii="宋体" w:hAnsi="宋体" w:cs="宋体"/>
        </w:rPr>
        <w:t>（5）中标后，在项目实施过程中的有关费用按各自承担的工作量分摊。</w:t>
      </w:r>
    </w:p>
    <w:p>
      <w:pPr>
        <w:spacing w:line="360" w:lineRule="auto"/>
        <w:ind w:firstLine="645"/>
        <w:rPr>
          <w:rFonts w:ascii="宋体" w:hAnsi="宋体" w:cs="宋体"/>
        </w:rPr>
      </w:pPr>
      <w:r>
        <w:rPr>
          <w:rFonts w:hint="eastAsia" w:ascii="宋体" w:hAnsi="宋体" w:cs="宋体"/>
        </w:rPr>
        <w:t>3．本协议书自签署之日起生效，在上述（4）a所述的合同书规定的期限之后自行失效。</w:t>
      </w:r>
    </w:p>
    <w:p>
      <w:pPr>
        <w:spacing w:line="360" w:lineRule="auto"/>
        <w:ind w:firstLine="645"/>
        <w:rPr>
          <w:rFonts w:ascii="宋体" w:hAnsi="宋体" w:cs="宋体"/>
        </w:rPr>
      </w:pPr>
      <w:r>
        <w:rPr>
          <w:rFonts w:hint="eastAsia" w:ascii="宋体" w:hAnsi="宋体" w:cs="宋体"/>
        </w:rPr>
        <w:t>4．本协议书一式</w:t>
      </w:r>
      <w:r>
        <w:rPr>
          <w:rFonts w:hint="eastAsia" w:ascii="宋体" w:hAnsi="宋体" w:cs="宋体"/>
          <w:u w:val="single"/>
        </w:rPr>
        <w:t xml:space="preserve">      </w:t>
      </w:r>
      <w:r>
        <w:rPr>
          <w:rFonts w:hint="eastAsia" w:ascii="宋体" w:hAnsi="宋体" w:cs="宋体"/>
        </w:rPr>
        <w:t>份。其中：正本</w:t>
      </w:r>
      <w:r>
        <w:rPr>
          <w:rFonts w:hint="eastAsia" w:ascii="宋体" w:hAnsi="宋体" w:cs="宋体"/>
          <w:u w:val="single"/>
        </w:rPr>
        <w:t xml:space="preserve">      </w:t>
      </w:r>
      <w:r>
        <w:rPr>
          <w:rFonts w:hint="eastAsia" w:ascii="宋体" w:hAnsi="宋体" w:cs="宋体"/>
        </w:rPr>
        <w:t>份 ，送交业主一份，联合体主办人及成员各</w:t>
      </w:r>
      <w:r>
        <w:rPr>
          <w:rFonts w:hint="eastAsia" w:ascii="宋体" w:hAnsi="宋体" w:cs="宋体"/>
          <w:u w:val="single"/>
        </w:rPr>
        <w:t xml:space="preserve">     </w:t>
      </w:r>
      <w:r>
        <w:rPr>
          <w:rFonts w:hint="eastAsia" w:ascii="宋体" w:hAnsi="宋体" w:cs="宋体"/>
        </w:rPr>
        <w:t>份；副本</w:t>
      </w:r>
      <w:r>
        <w:rPr>
          <w:rFonts w:hint="eastAsia" w:ascii="宋体" w:hAnsi="宋体" w:cs="宋体"/>
          <w:u w:val="single"/>
        </w:rPr>
        <w:t xml:space="preserve">     </w:t>
      </w:r>
      <w:r>
        <w:rPr>
          <w:rFonts w:hint="eastAsia" w:ascii="宋体" w:hAnsi="宋体" w:cs="宋体"/>
        </w:rPr>
        <w:t>份，联合体主办人及成员各执</w:t>
      </w:r>
      <w:r>
        <w:rPr>
          <w:rFonts w:hint="eastAsia" w:ascii="宋体" w:hAnsi="宋体" w:cs="宋体"/>
          <w:u w:val="single"/>
        </w:rPr>
        <w:t xml:space="preserve">      </w:t>
      </w:r>
      <w:r>
        <w:rPr>
          <w:rFonts w:hint="eastAsia" w:ascii="宋体" w:hAnsi="宋体" w:cs="宋体"/>
        </w:rPr>
        <w:t>份。</w:t>
      </w:r>
    </w:p>
    <w:p>
      <w:pPr>
        <w:ind w:firstLine="645"/>
        <w:rPr>
          <w:rFonts w:ascii="宋体" w:hAnsi="宋体" w:cs="宋体"/>
        </w:rPr>
      </w:pPr>
    </w:p>
    <w:p>
      <w:pPr>
        <w:ind w:firstLine="645"/>
        <w:rPr>
          <w:rFonts w:ascii="宋体" w:hAnsi="宋体" w:cs="宋体"/>
        </w:rPr>
      </w:pPr>
    </w:p>
    <w:p>
      <w:pPr>
        <w:ind w:firstLine="645"/>
        <w:rPr>
          <w:rFonts w:ascii="宋体" w:hAnsi="宋体" w:cs="宋体"/>
        </w:rPr>
      </w:pPr>
    </w:p>
    <w:p>
      <w:pPr>
        <w:adjustRightInd w:val="0"/>
        <w:rPr>
          <w:rFonts w:ascii="宋体" w:hAnsi="宋体" w:cs="宋体"/>
        </w:rPr>
      </w:pPr>
      <w:r>
        <w:rPr>
          <w:rFonts w:hint="eastAsia" w:ascii="宋体" w:hAnsi="宋体" w:cs="宋体"/>
        </w:rPr>
        <w:t>签订协议单位：</w:t>
      </w:r>
    </w:p>
    <w:p>
      <w:pPr>
        <w:adjustRightInd w:val="0"/>
        <w:rPr>
          <w:rFonts w:ascii="宋体" w:hAnsi="宋体" w:cs="宋体"/>
        </w:rPr>
      </w:pPr>
    </w:p>
    <w:p>
      <w:pPr>
        <w:adjustRightInd w:val="0"/>
        <w:rPr>
          <w:rFonts w:ascii="宋体" w:hAnsi="宋体" w:cs="宋体"/>
        </w:rPr>
      </w:pPr>
      <w:r>
        <w:rPr>
          <w:rFonts w:hint="eastAsia" w:ascii="宋体" w:hAnsi="宋体" w:cs="宋体"/>
        </w:rPr>
        <w:t>甲单位名称：</w:t>
      </w:r>
      <w:r>
        <w:rPr>
          <w:rFonts w:hint="eastAsia" w:ascii="宋体" w:hAnsi="宋体" w:cs="宋体"/>
          <w:u w:val="single"/>
        </w:rPr>
        <w:t xml:space="preserve">    （全称）（盖章）   </w:t>
      </w:r>
      <w:r>
        <w:rPr>
          <w:rFonts w:hint="eastAsia" w:ascii="宋体" w:hAnsi="宋体" w:cs="宋体"/>
        </w:rPr>
        <w:t xml:space="preserve">                     乙单位名称：</w:t>
      </w:r>
      <w:r>
        <w:rPr>
          <w:rFonts w:hint="eastAsia" w:ascii="宋体" w:hAnsi="宋体" w:cs="宋体"/>
          <w:u w:val="single"/>
        </w:rPr>
        <w:t xml:space="preserve">  （全称）（盖章）           </w:t>
      </w:r>
    </w:p>
    <w:p>
      <w:pPr>
        <w:adjustRightInd w:val="0"/>
        <w:rPr>
          <w:rFonts w:ascii="宋体" w:hAnsi="宋体" w:cs="宋体"/>
        </w:rPr>
      </w:pPr>
      <w:r>
        <w:rPr>
          <w:rFonts w:hint="eastAsia" w:ascii="宋体" w:hAnsi="宋体" w:cs="宋体"/>
        </w:rPr>
        <w:t>法定代表人：</w:t>
      </w:r>
      <w:r>
        <w:rPr>
          <w:rFonts w:hint="eastAsia" w:ascii="宋体" w:hAnsi="宋体" w:cs="宋体"/>
          <w:u w:val="single"/>
        </w:rPr>
        <w:t xml:space="preserve">       （职务）       </w:t>
      </w:r>
      <w:r>
        <w:rPr>
          <w:rFonts w:hint="eastAsia" w:ascii="宋体" w:hAnsi="宋体" w:cs="宋体"/>
        </w:rPr>
        <w:t xml:space="preserve">                     法定代表人：</w:t>
      </w:r>
      <w:r>
        <w:rPr>
          <w:rFonts w:hint="eastAsia" w:ascii="宋体" w:hAnsi="宋体" w:cs="宋体"/>
          <w:u w:val="single"/>
        </w:rPr>
        <w:t xml:space="preserve">     （职务）            </w:t>
      </w:r>
    </w:p>
    <w:p>
      <w:pPr>
        <w:adjustRightInd w:val="0"/>
        <w:rPr>
          <w:rFonts w:ascii="宋体" w:hAnsi="宋体" w:cs="宋体"/>
          <w:u w:val="single"/>
        </w:rPr>
      </w:pPr>
      <w:r>
        <w:rPr>
          <w:rFonts w:hint="eastAsia" w:ascii="宋体" w:hAnsi="宋体" w:cs="宋体"/>
        </w:rPr>
        <w:t xml:space="preserve">            </w:t>
      </w:r>
      <w:r>
        <w:rPr>
          <w:rFonts w:hint="eastAsia" w:ascii="宋体" w:hAnsi="宋体" w:cs="宋体"/>
          <w:u w:val="single"/>
        </w:rPr>
        <w:t xml:space="preserve">       （姓名）       </w:t>
      </w:r>
      <w:r>
        <w:rPr>
          <w:rFonts w:hint="eastAsia" w:ascii="宋体" w:hAnsi="宋体" w:cs="宋体"/>
        </w:rPr>
        <w:t xml:space="preserve">                                  </w:t>
      </w:r>
      <w:r>
        <w:rPr>
          <w:rFonts w:hint="eastAsia" w:ascii="宋体" w:hAnsi="宋体" w:cs="宋体"/>
          <w:u w:val="single"/>
        </w:rPr>
        <w:t xml:space="preserve">     （姓名）         </w:t>
      </w:r>
    </w:p>
    <w:p>
      <w:pPr>
        <w:adjustRightInd w:val="0"/>
        <w:rPr>
          <w:rFonts w:ascii="宋体" w:hAnsi="宋体" w:cs="宋体"/>
          <w:u w:val="single"/>
        </w:rPr>
      </w:pPr>
      <w:r>
        <w:rPr>
          <w:rFonts w:hint="eastAsia" w:ascii="宋体" w:hAnsi="宋体" w:cs="宋体"/>
        </w:rPr>
        <w:t xml:space="preserve">            </w:t>
      </w:r>
      <w:r>
        <w:rPr>
          <w:rFonts w:hint="eastAsia" w:ascii="宋体" w:hAnsi="宋体" w:cs="宋体"/>
          <w:u w:val="single"/>
        </w:rPr>
        <w:t xml:space="preserve">       （签字）       </w:t>
      </w:r>
      <w:r>
        <w:rPr>
          <w:rFonts w:hint="eastAsia" w:ascii="宋体" w:hAnsi="宋体" w:cs="宋体"/>
        </w:rPr>
        <w:t xml:space="preserve">                                  </w:t>
      </w:r>
      <w:r>
        <w:rPr>
          <w:rFonts w:hint="eastAsia" w:ascii="宋体" w:hAnsi="宋体" w:cs="宋体"/>
          <w:u w:val="single"/>
        </w:rPr>
        <w:t xml:space="preserve">     （签字）       </w:t>
      </w:r>
    </w:p>
    <w:p>
      <w:pPr>
        <w:snapToGrid w:val="0"/>
        <w:spacing w:line="300" w:lineRule="auto"/>
        <w:rPr>
          <w:rFonts w:ascii="宋体" w:hAnsi="宋体" w:cs="宋体"/>
        </w:rPr>
      </w:pPr>
      <w:r>
        <w:rPr>
          <w:rFonts w:hint="eastAsia" w:ascii="宋体" w:hAnsi="宋体" w:cs="宋体"/>
        </w:rPr>
        <w:t xml:space="preserve">日      期： </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                       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snapToGrid w:val="0"/>
        <w:spacing w:line="300" w:lineRule="auto"/>
        <w:rPr>
          <w:rFonts w:ascii="宋体" w:hAnsi="宋体" w:cs="宋体"/>
        </w:rPr>
      </w:pPr>
    </w:p>
    <w:p>
      <w:pPr>
        <w:snapToGrid w:val="0"/>
        <w:spacing w:line="300" w:lineRule="auto"/>
        <w:rPr>
          <w:rFonts w:ascii="宋体" w:hAnsi="宋体" w:cs="宋体"/>
          <w:spacing w:val="20"/>
        </w:rPr>
      </w:pPr>
    </w:p>
    <w:p>
      <w:pPr>
        <w:pStyle w:val="5"/>
        <w:snapToGrid w:val="0"/>
        <w:ind w:firstLine="422"/>
        <w:rPr>
          <w:rFonts w:ascii="宋体" w:hAnsi="宋体" w:cs="宋体"/>
        </w:rPr>
      </w:pPr>
      <w:r>
        <w:rPr>
          <w:rFonts w:hint="eastAsia" w:ascii="宋体" w:hAnsi="宋体" w:cs="宋体"/>
          <w:szCs w:val="21"/>
        </w:rPr>
        <w:br w:type="page"/>
      </w:r>
      <w:bookmarkStart w:id="144" w:name="_Toc345575550"/>
      <w:bookmarkStart w:id="145" w:name="_Toc245088215"/>
      <w:r>
        <w:rPr>
          <w:rFonts w:hint="eastAsia" w:ascii="宋体" w:hAnsi="宋体" w:cs="宋体"/>
          <w:szCs w:val="21"/>
        </w:rPr>
        <w:t>六</w:t>
      </w:r>
      <w:r>
        <w:rPr>
          <w:rFonts w:hint="eastAsia" w:ascii="宋体" w:hAnsi="宋体" w:cs="宋体"/>
        </w:rPr>
        <w:t>、</w:t>
      </w:r>
      <w:bookmarkEnd w:id="144"/>
      <w:bookmarkEnd w:id="145"/>
      <w:r>
        <w:rPr>
          <w:rFonts w:hint="eastAsia" w:ascii="宋体" w:hAnsi="宋体" w:cs="宋体"/>
        </w:rPr>
        <w:t>廉政承诺书</w:t>
      </w:r>
    </w:p>
    <w:p>
      <w:pPr>
        <w:pStyle w:val="21"/>
        <w:adjustRightInd w:val="0"/>
        <w:snapToGrid w:val="0"/>
        <w:spacing w:line="300" w:lineRule="auto"/>
        <w:jc w:val="center"/>
        <w:rPr>
          <w:rFonts w:hAnsi="宋体" w:cs="宋体"/>
          <w:b/>
          <w:bCs/>
          <w:sz w:val="32"/>
        </w:rPr>
      </w:pPr>
      <w:r>
        <w:rPr>
          <w:rFonts w:hint="eastAsia" w:hAnsi="宋体" w:cs="宋体"/>
          <w:b/>
          <w:bCs/>
          <w:sz w:val="32"/>
        </w:rPr>
        <w:t>廉政承诺书</w:t>
      </w:r>
    </w:p>
    <w:p>
      <w:pPr>
        <w:snapToGrid w:val="0"/>
        <w:spacing w:line="300" w:lineRule="auto"/>
        <w:rPr>
          <w:rFonts w:ascii="宋体" w:hAnsi="宋体" w:cs="宋体"/>
          <w:szCs w:val="21"/>
        </w:rPr>
      </w:pPr>
      <w:r>
        <w:rPr>
          <w:rFonts w:hint="eastAsia" w:ascii="宋体" w:hAnsi="宋体" w:cs="宋体"/>
          <w:szCs w:val="21"/>
        </w:rPr>
        <w:t>（采购单位）：</w:t>
      </w:r>
    </w:p>
    <w:p>
      <w:pPr>
        <w:snapToGrid w:val="0"/>
        <w:spacing w:line="300" w:lineRule="auto"/>
        <w:ind w:firstLine="420" w:firstLineChars="200"/>
        <w:rPr>
          <w:rFonts w:ascii="宋体" w:hAnsi="宋体" w:cs="宋体"/>
          <w:szCs w:val="21"/>
        </w:rPr>
      </w:pPr>
      <w:r>
        <w:rPr>
          <w:rFonts w:hint="eastAsia" w:ascii="宋体" w:hAnsi="宋体" w:cs="宋体"/>
          <w:szCs w:val="21"/>
        </w:rPr>
        <w:t xml:space="preserve">我单位响应你单位项目招标要求参加投标。在这次投标过程中和中标后，我们将严格遵守国家法律法规要求，并郑重承诺：    </w:t>
      </w:r>
    </w:p>
    <w:p>
      <w:pPr>
        <w:snapToGrid w:val="0"/>
        <w:spacing w:line="300" w:lineRule="auto"/>
        <w:ind w:firstLine="420" w:firstLineChars="200"/>
        <w:rPr>
          <w:rFonts w:ascii="宋体" w:hAnsi="宋体" w:cs="宋体"/>
          <w:szCs w:val="21"/>
        </w:rPr>
      </w:pPr>
      <w:r>
        <w:rPr>
          <w:rFonts w:hint="eastAsia" w:ascii="宋体" w:hAnsi="宋体" w:cs="宋体"/>
          <w:szCs w:val="21"/>
        </w:rPr>
        <w:t xml:space="preserve">一、不向项目有关人员及部门赠送礼金礼物、有价证券、回扣以及中介费、介绍费、咨询费等好处费；    </w:t>
      </w:r>
    </w:p>
    <w:p>
      <w:pPr>
        <w:snapToGrid w:val="0"/>
        <w:spacing w:line="300" w:lineRule="auto"/>
        <w:ind w:firstLine="420" w:firstLineChars="200"/>
        <w:rPr>
          <w:rFonts w:ascii="宋体" w:hAnsi="宋体" w:cs="宋体"/>
          <w:szCs w:val="21"/>
        </w:rPr>
      </w:pPr>
      <w:r>
        <w:rPr>
          <w:rFonts w:hint="eastAsia" w:ascii="宋体" w:hAnsi="宋体" w:cs="宋体"/>
          <w:szCs w:val="21"/>
        </w:rPr>
        <w:t xml:space="preserve">二、不为项目有关人员及部门报销应由你方单位或个人支付的费用；    </w:t>
      </w:r>
    </w:p>
    <w:p>
      <w:pPr>
        <w:snapToGrid w:val="0"/>
        <w:spacing w:line="300" w:lineRule="auto"/>
        <w:ind w:firstLine="420" w:firstLineChars="200"/>
        <w:rPr>
          <w:rFonts w:ascii="宋体" w:hAnsi="宋体" w:cs="宋体"/>
          <w:szCs w:val="21"/>
        </w:rPr>
      </w:pPr>
      <w:r>
        <w:rPr>
          <w:rFonts w:hint="eastAsia" w:ascii="宋体" w:hAnsi="宋体" w:cs="宋体"/>
          <w:szCs w:val="21"/>
        </w:rPr>
        <w:t xml:space="preserve">三、不向项目有关人员及部门提供有可能影响公正的宴请和健身娱乐等活动；    </w:t>
      </w:r>
    </w:p>
    <w:p>
      <w:pPr>
        <w:snapToGrid w:val="0"/>
        <w:spacing w:line="300" w:lineRule="auto"/>
        <w:ind w:firstLine="420" w:firstLineChars="200"/>
        <w:rPr>
          <w:rFonts w:ascii="宋体" w:hAnsi="宋体" w:cs="宋体"/>
          <w:szCs w:val="21"/>
        </w:rPr>
      </w:pPr>
      <w:r>
        <w:rPr>
          <w:rFonts w:hint="eastAsia" w:ascii="宋体" w:hAnsi="宋体" w:cs="宋体"/>
          <w:szCs w:val="21"/>
        </w:rPr>
        <w:t xml:space="preserve">四、不为项目有关人员及部门出国（境）、旅游等提供方便；    </w:t>
      </w:r>
    </w:p>
    <w:p>
      <w:pPr>
        <w:snapToGrid w:val="0"/>
        <w:spacing w:line="300" w:lineRule="auto"/>
        <w:ind w:firstLine="420" w:firstLineChars="200"/>
        <w:rPr>
          <w:rFonts w:ascii="宋体" w:hAnsi="宋体" w:cs="宋体"/>
          <w:szCs w:val="21"/>
        </w:rPr>
      </w:pPr>
      <w:r>
        <w:rPr>
          <w:rFonts w:hint="eastAsia" w:ascii="宋体" w:hAnsi="宋体" w:cs="宋体"/>
          <w:szCs w:val="21"/>
        </w:rPr>
        <w:t xml:space="preserve">五、不为项目有关人员个人装修住房、婚丧嫁娶、配偶子女工作安排等提供好处；    </w:t>
      </w:r>
    </w:p>
    <w:p>
      <w:pPr>
        <w:snapToGrid w:val="0"/>
        <w:spacing w:line="300" w:lineRule="auto"/>
        <w:ind w:firstLine="420" w:firstLineChars="200"/>
        <w:rPr>
          <w:rFonts w:ascii="宋体" w:hAnsi="宋体" w:cs="宋体"/>
          <w:szCs w:val="21"/>
        </w:rPr>
      </w:pPr>
      <w:r>
        <w:rPr>
          <w:rFonts w:hint="eastAsia" w:ascii="宋体" w:hAnsi="宋体" w:cs="宋体"/>
          <w:szCs w:val="21"/>
        </w:rPr>
        <w:t xml:space="preserve">六、严格遵守政府采购法、合同法等法律，诚实守信，合法经营，坚决抵制各种违法违纪行为。    </w:t>
      </w:r>
    </w:p>
    <w:p>
      <w:pPr>
        <w:snapToGrid w:val="0"/>
        <w:spacing w:line="300" w:lineRule="auto"/>
        <w:ind w:firstLine="420" w:firstLineChars="200"/>
        <w:rPr>
          <w:rFonts w:ascii="宋体" w:hAnsi="宋体" w:cs="宋体"/>
          <w:szCs w:val="21"/>
        </w:rPr>
      </w:pPr>
      <w:r>
        <w:rPr>
          <w:rFonts w:hint="eastAsia" w:ascii="宋体" w:hAnsi="宋体" w:cs="宋体"/>
          <w:szCs w:val="21"/>
        </w:rPr>
        <w:t>如违反上述承诺，你单位有权立即取消我单位投标、中标资格，有权拒绝我单位在一定时期内进入你单位进行项目建设或其他经营活动，并通报政府采购监管部门。由此引起的相应损失均由我单位承担。</w:t>
      </w:r>
    </w:p>
    <w:p>
      <w:pPr>
        <w:snapToGrid w:val="0"/>
        <w:spacing w:line="300" w:lineRule="auto"/>
        <w:rPr>
          <w:rFonts w:ascii="宋体" w:hAnsi="宋体" w:cs="宋体"/>
        </w:rPr>
      </w:pPr>
    </w:p>
    <w:p>
      <w:pPr>
        <w:snapToGrid w:val="0"/>
        <w:spacing w:line="300" w:lineRule="auto"/>
        <w:rPr>
          <w:rFonts w:ascii="宋体" w:hAnsi="宋体" w:cs="宋体"/>
        </w:rPr>
      </w:pPr>
    </w:p>
    <w:p>
      <w:pPr>
        <w:snapToGrid w:val="0"/>
        <w:spacing w:line="300" w:lineRule="auto"/>
        <w:rPr>
          <w:rFonts w:ascii="宋体" w:hAnsi="宋体" w:cs="宋体"/>
          <w:spacing w:val="20"/>
          <w:u w:val="single"/>
        </w:rPr>
      </w:pPr>
      <w:r>
        <w:rPr>
          <w:rFonts w:hint="eastAsia" w:ascii="宋体" w:hAnsi="宋体" w:cs="宋体"/>
        </w:rPr>
        <w:t>投标人全称（盖单位公章）：</w:t>
      </w:r>
      <w:r>
        <w:rPr>
          <w:rFonts w:hint="eastAsia" w:ascii="宋体" w:hAnsi="宋体" w:cs="宋体"/>
          <w:spacing w:val="20"/>
          <w:u w:val="single"/>
        </w:rPr>
        <w:t xml:space="preserve">                  </w:t>
      </w:r>
    </w:p>
    <w:p>
      <w:pPr>
        <w:snapToGrid w:val="0"/>
        <w:spacing w:line="300" w:lineRule="auto"/>
        <w:rPr>
          <w:rFonts w:ascii="宋体" w:hAnsi="宋体" w:cs="宋体"/>
          <w:spacing w:val="20"/>
          <w:u w:val="single"/>
        </w:rPr>
      </w:pPr>
      <w:r>
        <w:rPr>
          <w:rFonts w:hint="eastAsia" w:ascii="宋体" w:hAnsi="宋体" w:cs="宋体"/>
        </w:rPr>
        <w:t>投标文件签署人（签字或盖章）：</w:t>
      </w:r>
      <w:r>
        <w:rPr>
          <w:rFonts w:hint="eastAsia" w:ascii="宋体" w:hAnsi="宋体" w:cs="宋体"/>
          <w:spacing w:val="20"/>
          <w:u w:val="single"/>
        </w:rPr>
        <w:t xml:space="preserve">               </w:t>
      </w:r>
    </w:p>
    <w:p>
      <w:pPr>
        <w:snapToGrid w:val="0"/>
        <w:spacing w:line="300" w:lineRule="auto"/>
        <w:rPr>
          <w:rFonts w:ascii="宋体" w:hAnsi="宋体" w:cs="宋体"/>
          <w:spacing w:val="20"/>
        </w:rPr>
      </w:pPr>
      <w:r>
        <w:rPr>
          <w:rFonts w:hint="eastAsia" w:ascii="宋体" w:hAnsi="宋体" w:cs="宋体"/>
          <w:spacing w:val="20"/>
        </w:rPr>
        <w:t>日期：</w:t>
      </w:r>
      <w:r>
        <w:rPr>
          <w:rFonts w:hint="eastAsia" w:ascii="宋体" w:hAnsi="宋体" w:cs="宋体"/>
        </w:rPr>
        <w:t xml:space="preserve">   年  月  日</w:t>
      </w:r>
    </w:p>
    <w:p>
      <w:pPr>
        <w:snapToGrid w:val="0"/>
        <w:spacing w:line="300" w:lineRule="auto"/>
        <w:ind w:firstLine="480"/>
        <w:rPr>
          <w:rFonts w:ascii="宋体" w:hAnsi="宋体" w:cs="宋体"/>
          <w:szCs w:val="21"/>
        </w:rPr>
      </w:pPr>
    </w:p>
    <w:p>
      <w:pPr>
        <w:pStyle w:val="18"/>
        <w:snapToGrid w:val="0"/>
        <w:spacing w:line="300" w:lineRule="auto"/>
        <w:ind w:left="840" w:hanging="420"/>
        <w:rPr>
          <w:rFonts w:ascii="宋体" w:hAnsi="宋体" w:cs="宋体"/>
          <w:spacing w:val="20"/>
        </w:rPr>
      </w:pPr>
      <w:r>
        <w:rPr>
          <w:rFonts w:hint="eastAsia" w:ascii="宋体" w:hAnsi="宋体" w:cs="宋体"/>
        </w:rPr>
        <w:br w:type="page"/>
      </w:r>
    </w:p>
    <w:p>
      <w:pPr>
        <w:pStyle w:val="5"/>
        <w:snapToGrid w:val="0"/>
        <w:ind w:firstLine="422"/>
        <w:rPr>
          <w:rFonts w:ascii="宋体" w:hAnsi="宋体" w:cs="宋体"/>
        </w:rPr>
      </w:pPr>
      <w:bookmarkStart w:id="146" w:name="_Toc345575551"/>
      <w:bookmarkStart w:id="147" w:name="_Toc336683582"/>
      <w:r>
        <w:rPr>
          <w:rFonts w:hint="eastAsia" w:ascii="宋体" w:hAnsi="宋体" w:cs="宋体"/>
        </w:rPr>
        <w:t>七、相关业绩表格式</w:t>
      </w:r>
      <w:bookmarkEnd w:id="146"/>
      <w:bookmarkEnd w:id="147"/>
    </w:p>
    <w:p>
      <w:pPr>
        <w:pStyle w:val="21"/>
        <w:adjustRightInd w:val="0"/>
        <w:snapToGrid w:val="0"/>
        <w:spacing w:line="300" w:lineRule="auto"/>
        <w:jc w:val="center"/>
        <w:rPr>
          <w:rFonts w:hAnsi="宋体" w:cs="宋体"/>
          <w:b/>
          <w:bCs/>
          <w:sz w:val="32"/>
          <w:szCs w:val="32"/>
        </w:rPr>
      </w:pPr>
      <w:r>
        <w:rPr>
          <w:rFonts w:hint="eastAsia" w:hAnsi="宋体" w:cs="宋体"/>
          <w:b/>
          <w:bCs/>
          <w:sz w:val="32"/>
        </w:rPr>
        <w:t>相关</w:t>
      </w:r>
      <w:r>
        <w:rPr>
          <w:rFonts w:hint="eastAsia" w:hAnsi="宋体" w:cs="宋体"/>
          <w:b/>
          <w:bCs/>
          <w:sz w:val="32"/>
          <w:szCs w:val="32"/>
        </w:rPr>
        <w:t>业绩表</w:t>
      </w:r>
    </w:p>
    <w:p>
      <w:pPr>
        <w:snapToGrid w:val="0"/>
        <w:spacing w:line="300" w:lineRule="auto"/>
        <w:rPr>
          <w:rFonts w:ascii="宋体" w:hAnsi="宋体" w:cs="宋体"/>
          <w:u w:val="single"/>
        </w:rPr>
      </w:pPr>
      <w:r>
        <w:rPr>
          <w:rFonts w:hint="eastAsia" w:ascii="宋体" w:hAnsi="宋体" w:cs="宋体"/>
        </w:rPr>
        <w:t>项目名称：</w:t>
      </w:r>
      <w:r>
        <w:rPr>
          <w:rFonts w:hint="eastAsia" w:ascii="宋体" w:hAnsi="宋体" w:cs="宋体"/>
          <w:u w:val="single"/>
        </w:rPr>
        <w:t xml:space="preserve">                          </w:t>
      </w:r>
    </w:p>
    <w:p>
      <w:pPr>
        <w:snapToGrid w:val="0"/>
        <w:spacing w:line="300" w:lineRule="auto"/>
        <w:rPr>
          <w:rFonts w:ascii="宋体" w:hAnsi="宋体" w:cs="宋体"/>
          <w:u w:val="single"/>
        </w:rPr>
      </w:pPr>
      <w:r>
        <w:rPr>
          <w:rFonts w:hint="eastAsia" w:ascii="宋体" w:hAnsi="宋体" w:cs="宋体"/>
        </w:rPr>
        <w:t>项目编号：</w:t>
      </w:r>
      <w:r>
        <w:rPr>
          <w:rFonts w:hint="eastAsia" w:ascii="宋体" w:hAnsi="宋体" w:cs="宋体"/>
          <w:u w:val="single"/>
        </w:rPr>
        <w:t xml:space="preserve">                          </w:t>
      </w:r>
    </w:p>
    <w:p>
      <w:pPr>
        <w:snapToGrid w:val="0"/>
        <w:spacing w:line="300" w:lineRule="auto"/>
        <w:rPr>
          <w:rFonts w:ascii="宋体" w:hAnsi="宋体" w:cs="宋体"/>
        </w:rPr>
      </w:pPr>
      <w:r>
        <w:rPr>
          <w:rFonts w:hint="eastAsia" w:ascii="宋体" w:hAnsi="宋体" w:cs="宋体"/>
        </w:rPr>
        <w:t>标项内容：</w:t>
      </w:r>
      <w:r>
        <w:rPr>
          <w:rFonts w:hint="eastAsia" w:ascii="宋体" w:hAnsi="宋体" w:cs="宋体"/>
          <w:u w:val="single"/>
        </w:rPr>
        <w:t xml:space="preserve">                          </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1440"/>
        <w:gridCol w:w="1620"/>
        <w:gridCol w:w="1080"/>
        <w:gridCol w:w="1080"/>
        <w:gridCol w:w="900"/>
        <w:gridCol w:w="900"/>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caps/>
              </w:rPr>
            </w:pPr>
            <w:r>
              <w:rPr>
                <w:rFonts w:hint="eastAsia" w:ascii="宋体" w:hAnsi="宋体" w:cs="宋体"/>
                <w:caps/>
              </w:rPr>
              <w:t>序号</w:t>
            </w:r>
          </w:p>
        </w:tc>
        <w:tc>
          <w:tcPr>
            <w:tcW w:w="1080" w:type="dxa"/>
            <w:vAlign w:val="center"/>
          </w:tcPr>
          <w:p>
            <w:pPr>
              <w:snapToGrid w:val="0"/>
              <w:spacing w:line="300" w:lineRule="auto"/>
              <w:jc w:val="center"/>
              <w:rPr>
                <w:rFonts w:ascii="宋体" w:hAnsi="宋体" w:cs="宋体"/>
                <w:caps/>
              </w:rPr>
            </w:pPr>
            <w:r>
              <w:rPr>
                <w:rFonts w:hint="eastAsia" w:ascii="宋体" w:hAnsi="宋体" w:cs="宋体"/>
              </w:rPr>
              <w:t>合同编号</w:t>
            </w:r>
          </w:p>
        </w:tc>
        <w:tc>
          <w:tcPr>
            <w:tcW w:w="1440" w:type="dxa"/>
            <w:vAlign w:val="center"/>
          </w:tcPr>
          <w:p>
            <w:pPr>
              <w:snapToGrid w:val="0"/>
              <w:spacing w:line="300" w:lineRule="auto"/>
              <w:jc w:val="center"/>
              <w:rPr>
                <w:rFonts w:ascii="宋体" w:hAnsi="宋体" w:cs="宋体"/>
                <w:caps/>
              </w:rPr>
            </w:pPr>
            <w:r>
              <w:rPr>
                <w:rFonts w:hint="eastAsia" w:ascii="宋体" w:hAnsi="宋体" w:cs="宋体"/>
                <w:caps/>
              </w:rPr>
              <w:t>用户名称</w:t>
            </w:r>
          </w:p>
        </w:tc>
        <w:tc>
          <w:tcPr>
            <w:tcW w:w="1620" w:type="dxa"/>
            <w:vAlign w:val="center"/>
          </w:tcPr>
          <w:p>
            <w:pPr>
              <w:snapToGrid w:val="0"/>
              <w:spacing w:line="300" w:lineRule="auto"/>
              <w:jc w:val="center"/>
              <w:rPr>
                <w:rFonts w:ascii="宋体" w:hAnsi="宋体" w:cs="宋体"/>
                <w:caps/>
              </w:rPr>
            </w:pPr>
            <w:r>
              <w:rPr>
                <w:rFonts w:hint="eastAsia" w:ascii="宋体" w:hAnsi="宋体" w:cs="宋体"/>
                <w:caps/>
              </w:rPr>
              <w:t>合同内容描述</w:t>
            </w:r>
          </w:p>
        </w:tc>
        <w:tc>
          <w:tcPr>
            <w:tcW w:w="1080" w:type="dxa"/>
            <w:vAlign w:val="center"/>
          </w:tcPr>
          <w:p>
            <w:pPr>
              <w:snapToGrid w:val="0"/>
              <w:spacing w:line="300" w:lineRule="auto"/>
              <w:jc w:val="center"/>
              <w:rPr>
                <w:rFonts w:ascii="宋体" w:hAnsi="宋体" w:cs="宋体"/>
                <w:caps/>
              </w:rPr>
            </w:pPr>
            <w:r>
              <w:rPr>
                <w:rFonts w:hint="eastAsia" w:ascii="宋体" w:hAnsi="宋体" w:cs="宋体"/>
                <w:caps/>
              </w:rPr>
              <w:t>合同金额</w:t>
            </w:r>
          </w:p>
        </w:tc>
        <w:tc>
          <w:tcPr>
            <w:tcW w:w="1080" w:type="dxa"/>
            <w:vAlign w:val="center"/>
          </w:tcPr>
          <w:p>
            <w:pPr>
              <w:snapToGrid w:val="0"/>
              <w:spacing w:line="300" w:lineRule="auto"/>
              <w:jc w:val="center"/>
              <w:rPr>
                <w:rFonts w:ascii="宋体" w:hAnsi="宋体" w:cs="宋体"/>
                <w:caps/>
              </w:rPr>
            </w:pPr>
            <w:r>
              <w:rPr>
                <w:rFonts w:hint="eastAsia" w:ascii="宋体" w:hAnsi="宋体" w:cs="宋体"/>
              </w:rPr>
              <w:t>签约及完成日期</w:t>
            </w:r>
          </w:p>
        </w:tc>
        <w:tc>
          <w:tcPr>
            <w:tcW w:w="900" w:type="dxa"/>
            <w:vAlign w:val="center"/>
          </w:tcPr>
          <w:p>
            <w:pPr>
              <w:snapToGrid w:val="0"/>
              <w:spacing w:line="300" w:lineRule="auto"/>
              <w:jc w:val="center"/>
              <w:rPr>
                <w:rFonts w:ascii="宋体" w:hAnsi="宋体" w:cs="宋体"/>
              </w:rPr>
            </w:pPr>
            <w:r>
              <w:rPr>
                <w:rFonts w:hint="eastAsia" w:ascii="宋体" w:hAnsi="宋体" w:cs="宋体"/>
              </w:rPr>
              <w:t>联系人</w:t>
            </w:r>
          </w:p>
        </w:tc>
        <w:tc>
          <w:tcPr>
            <w:tcW w:w="900" w:type="dxa"/>
            <w:vAlign w:val="center"/>
          </w:tcPr>
          <w:p>
            <w:pPr>
              <w:snapToGrid w:val="0"/>
              <w:spacing w:line="300" w:lineRule="auto"/>
              <w:jc w:val="center"/>
              <w:rPr>
                <w:rFonts w:ascii="宋体" w:hAnsi="宋体" w:cs="宋体"/>
              </w:rPr>
            </w:pPr>
            <w:r>
              <w:rPr>
                <w:rFonts w:hint="eastAsia" w:ascii="宋体" w:hAnsi="宋体" w:cs="宋体"/>
              </w:rPr>
              <w:t>联系电话</w:t>
            </w:r>
          </w:p>
        </w:tc>
        <w:tc>
          <w:tcPr>
            <w:tcW w:w="719" w:type="dxa"/>
            <w:vAlign w:val="center"/>
          </w:tcPr>
          <w:p>
            <w:pPr>
              <w:snapToGrid w:val="0"/>
              <w:spacing w:line="300" w:lineRule="auto"/>
              <w:jc w:val="center"/>
              <w:rPr>
                <w:rFonts w:ascii="宋体" w:hAnsi="宋体" w:cs="宋体"/>
              </w:rPr>
            </w:pPr>
            <w:r>
              <w:rPr>
                <w:rFonts w:hint="eastAsia" w:ascii="宋体" w:hAnsi="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440" w:type="dxa"/>
            <w:vAlign w:val="center"/>
          </w:tcPr>
          <w:p>
            <w:pPr>
              <w:snapToGrid w:val="0"/>
              <w:spacing w:line="300" w:lineRule="auto"/>
              <w:jc w:val="center"/>
              <w:rPr>
                <w:rFonts w:ascii="宋体" w:hAnsi="宋体" w:cs="宋体"/>
                <w:spacing w:val="20"/>
              </w:rPr>
            </w:pPr>
          </w:p>
        </w:tc>
        <w:tc>
          <w:tcPr>
            <w:tcW w:w="162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719"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440" w:type="dxa"/>
            <w:vAlign w:val="center"/>
          </w:tcPr>
          <w:p>
            <w:pPr>
              <w:snapToGrid w:val="0"/>
              <w:spacing w:line="300" w:lineRule="auto"/>
              <w:jc w:val="center"/>
              <w:rPr>
                <w:rFonts w:ascii="宋体" w:hAnsi="宋体" w:cs="宋体"/>
                <w:spacing w:val="20"/>
              </w:rPr>
            </w:pPr>
          </w:p>
        </w:tc>
        <w:tc>
          <w:tcPr>
            <w:tcW w:w="162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719"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440" w:type="dxa"/>
            <w:vAlign w:val="center"/>
          </w:tcPr>
          <w:p>
            <w:pPr>
              <w:snapToGrid w:val="0"/>
              <w:spacing w:line="300" w:lineRule="auto"/>
              <w:jc w:val="center"/>
              <w:rPr>
                <w:rFonts w:ascii="宋体" w:hAnsi="宋体" w:cs="宋体"/>
                <w:spacing w:val="20"/>
              </w:rPr>
            </w:pPr>
          </w:p>
        </w:tc>
        <w:tc>
          <w:tcPr>
            <w:tcW w:w="162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719"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440" w:type="dxa"/>
            <w:vAlign w:val="center"/>
          </w:tcPr>
          <w:p>
            <w:pPr>
              <w:snapToGrid w:val="0"/>
              <w:spacing w:line="300" w:lineRule="auto"/>
              <w:jc w:val="center"/>
              <w:rPr>
                <w:rFonts w:ascii="宋体" w:hAnsi="宋体" w:cs="宋体"/>
                <w:spacing w:val="20"/>
              </w:rPr>
            </w:pPr>
          </w:p>
        </w:tc>
        <w:tc>
          <w:tcPr>
            <w:tcW w:w="162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719"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440" w:type="dxa"/>
            <w:vAlign w:val="center"/>
          </w:tcPr>
          <w:p>
            <w:pPr>
              <w:snapToGrid w:val="0"/>
              <w:spacing w:line="300" w:lineRule="auto"/>
              <w:jc w:val="center"/>
              <w:rPr>
                <w:rFonts w:ascii="宋体" w:hAnsi="宋体" w:cs="宋体"/>
                <w:spacing w:val="20"/>
              </w:rPr>
            </w:pPr>
          </w:p>
        </w:tc>
        <w:tc>
          <w:tcPr>
            <w:tcW w:w="162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719"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440" w:type="dxa"/>
            <w:vAlign w:val="center"/>
          </w:tcPr>
          <w:p>
            <w:pPr>
              <w:snapToGrid w:val="0"/>
              <w:spacing w:line="300" w:lineRule="auto"/>
              <w:jc w:val="center"/>
              <w:rPr>
                <w:rFonts w:ascii="宋体" w:hAnsi="宋体" w:cs="宋体"/>
                <w:spacing w:val="20"/>
              </w:rPr>
            </w:pPr>
          </w:p>
        </w:tc>
        <w:tc>
          <w:tcPr>
            <w:tcW w:w="162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719"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440" w:type="dxa"/>
            <w:vAlign w:val="center"/>
          </w:tcPr>
          <w:p>
            <w:pPr>
              <w:snapToGrid w:val="0"/>
              <w:spacing w:line="300" w:lineRule="auto"/>
              <w:jc w:val="center"/>
              <w:rPr>
                <w:rFonts w:ascii="宋体" w:hAnsi="宋体" w:cs="宋体"/>
                <w:spacing w:val="20"/>
              </w:rPr>
            </w:pPr>
          </w:p>
        </w:tc>
        <w:tc>
          <w:tcPr>
            <w:tcW w:w="162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719"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440" w:type="dxa"/>
            <w:vAlign w:val="center"/>
          </w:tcPr>
          <w:p>
            <w:pPr>
              <w:snapToGrid w:val="0"/>
              <w:spacing w:line="300" w:lineRule="auto"/>
              <w:jc w:val="center"/>
              <w:rPr>
                <w:rFonts w:ascii="宋体" w:hAnsi="宋体" w:cs="宋体"/>
                <w:spacing w:val="20"/>
              </w:rPr>
            </w:pPr>
          </w:p>
        </w:tc>
        <w:tc>
          <w:tcPr>
            <w:tcW w:w="162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719"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440" w:type="dxa"/>
            <w:vAlign w:val="center"/>
          </w:tcPr>
          <w:p>
            <w:pPr>
              <w:snapToGrid w:val="0"/>
              <w:spacing w:line="300" w:lineRule="auto"/>
              <w:jc w:val="center"/>
              <w:rPr>
                <w:rFonts w:ascii="宋体" w:hAnsi="宋体" w:cs="宋体"/>
                <w:spacing w:val="20"/>
              </w:rPr>
            </w:pPr>
          </w:p>
        </w:tc>
        <w:tc>
          <w:tcPr>
            <w:tcW w:w="162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719" w:type="dxa"/>
            <w:vAlign w:val="center"/>
          </w:tcPr>
          <w:p>
            <w:pPr>
              <w:snapToGrid w:val="0"/>
              <w:spacing w:line="300" w:lineRule="auto"/>
              <w:jc w:val="center"/>
              <w:rPr>
                <w:rFonts w:ascii="宋体" w:hAnsi="宋体" w:cs="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440" w:type="dxa"/>
            <w:vAlign w:val="center"/>
          </w:tcPr>
          <w:p>
            <w:pPr>
              <w:snapToGrid w:val="0"/>
              <w:spacing w:line="300" w:lineRule="auto"/>
              <w:jc w:val="center"/>
              <w:rPr>
                <w:rFonts w:ascii="宋体" w:hAnsi="宋体" w:cs="宋体"/>
                <w:spacing w:val="20"/>
              </w:rPr>
            </w:pPr>
          </w:p>
        </w:tc>
        <w:tc>
          <w:tcPr>
            <w:tcW w:w="162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108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900" w:type="dxa"/>
            <w:vAlign w:val="center"/>
          </w:tcPr>
          <w:p>
            <w:pPr>
              <w:snapToGrid w:val="0"/>
              <w:spacing w:line="300" w:lineRule="auto"/>
              <w:jc w:val="center"/>
              <w:rPr>
                <w:rFonts w:ascii="宋体" w:hAnsi="宋体" w:cs="宋体"/>
                <w:spacing w:val="20"/>
              </w:rPr>
            </w:pPr>
          </w:p>
        </w:tc>
        <w:tc>
          <w:tcPr>
            <w:tcW w:w="719" w:type="dxa"/>
            <w:vAlign w:val="center"/>
          </w:tcPr>
          <w:p>
            <w:pPr>
              <w:snapToGrid w:val="0"/>
              <w:spacing w:line="300" w:lineRule="auto"/>
              <w:jc w:val="center"/>
              <w:rPr>
                <w:rFonts w:ascii="宋体" w:hAnsi="宋体" w:cs="宋体"/>
                <w:spacing w:val="20"/>
              </w:rPr>
            </w:pPr>
          </w:p>
        </w:tc>
      </w:tr>
    </w:tbl>
    <w:p>
      <w:pPr>
        <w:adjustRightInd w:val="0"/>
        <w:snapToGrid w:val="0"/>
        <w:spacing w:line="300" w:lineRule="auto"/>
        <w:rPr>
          <w:rFonts w:ascii="宋体" w:hAnsi="宋体" w:cs="宋体"/>
        </w:rPr>
      </w:pPr>
      <w:r>
        <w:rPr>
          <w:rFonts w:hint="eastAsia" w:ascii="宋体" w:hAnsi="宋体" w:cs="宋体"/>
        </w:rPr>
        <w:t>填表说明：</w:t>
      </w:r>
    </w:p>
    <w:p>
      <w:pPr>
        <w:numPr>
          <w:ilvl w:val="0"/>
          <w:numId w:val="7"/>
        </w:numPr>
        <w:adjustRightInd w:val="0"/>
        <w:snapToGrid w:val="0"/>
        <w:spacing w:line="300" w:lineRule="auto"/>
        <w:rPr>
          <w:rFonts w:ascii="宋体" w:hAnsi="宋体" w:cs="宋体"/>
        </w:rPr>
      </w:pPr>
      <w:r>
        <w:rPr>
          <w:rFonts w:hint="eastAsia" w:ascii="宋体" w:hAnsi="宋体" w:cs="宋体"/>
        </w:rPr>
        <w:t>此表不提供，可视为无业绩。</w:t>
      </w:r>
    </w:p>
    <w:p>
      <w:pPr>
        <w:numPr>
          <w:ilvl w:val="0"/>
          <w:numId w:val="7"/>
        </w:numPr>
        <w:adjustRightInd w:val="0"/>
        <w:snapToGrid w:val="0"/>
        <w:spacing w:line="300" w:lineRule="auto"/>
        <w:rPr>
          <w:rFonts w:ascii="宋体" w:hAnsi="宋体" w:cs="宋体"/>
        </w:rPr>
      </w:pPr>
      <w:r>
        <w:rPr>
          <w:rFonts w:hint="eastAsia" w:ascii="宋体" w:hAnsi="宋体" w:cs="宋体"/>
        </w:rPr>
        <w:t>此表仅提供了格式，表格不够可自行增加。</w:t>
      </w:r>
    </w:p>
    <w:p>
      <w:pPr>
        <w:numPr>
          <w:ilvl w:val="0"/>
          <w:numId w:val="7"/>
        </w:numPr>
        <w:adjustRightInd w:val="0"/>
        <w:snapToGrid w:val="0"/>
        <w:spacing w:line="300" w:lineRule="auto"/>
        <w:rPr>
          <w:rFonts w:ascii="宋体" w:hAnsi="宋体" w:cs="宋体"/>
        </w:rPr>
      </w:pPr>
      <w:r>
        <w:rPr>
          <w:rFonts w:hint="eastAsia" w:ascii="宋体" w:hAnsi="宋体" w:cs="宋体"/>
        </w:rPr>
        <w:t>表后附合同等相关证明材料。</w:t>
      </w:r>
    </w:p>
    <w:p>
      <w:pPr>
        <w:adjustRightInd w:val="0"/>
        <w:snapToGrid w:val="0"/>
        <w:spacing w:line="300" w:lineRule="auto"/>
        <w:rPr>
          <w:rFonts w:ascii="宋体" w:hAnsi="宋体" w:cs="宋体"/>
        </w:rPr>
      </w:pPr>
    </w:p>
    <w:p>
      <w:pPr>
        <w:snapToGrid w:val="0"/>
        <w:spacing w:line="300" w:lineRule="auto"/>
        <w:rPr>
          <w:rFonts w:ascii="宋体" w:hAnsi="宋体" w:cs="宋体"/>
          <w:spacing w:val="20"/>
          <w:u w:val="single"/>
        </w:rPr>
      </w:pPr>
      <w:r>
        <w:rPr>
          <w:rFonts w:hint="eastAsia" w:ascii="宋体" w:hAnsi="宋体" w:cs="宋体"/>
        </w:rPr>
        <w:t>投标人全称（盖单位公章）：</w:t>
      </w:r>
      <w:r>
        <w:rPr>
          <w:rFonts w:hint="eastAsia" w:ascii="宋体" w:hAnsi="宋体" w:cs="宋体"/>
          <w:spacing w:val="20"/>
          <w:u w:val="single"/>
        </w:rPr>
        <w:t xml:space="preserve">                  </w:t>
      </w:r>
    </w:p>
    <w:p>
      <w:pPr>
        <w:snapToGrid w:val="0"/>
        <w:spacing w:line="300" w:lineRule="auto"/>
        <w:rPr>
          <w:rFonts w:ascii="宋体" w:hAnsi="宋体" w:cs="宋体"/>
          <w:spacing w:val="20"/>
          <w:u w:val="single"/>
        </w:rPr>
      </w:pPr>
      <w:r>
        <w:rPr>
          <w:rFonts w:hint="eastAsia" w:ascii="宋体" w:hAnsi="宋体" w:cs="宋体"/>
        </w:rPr>
        <w:t>投标文件签署人（签字或盖章）：</w:t>
      </w:r>
      <w:r>
        <w:rPr>
          <w:rFonts w:hint="eastAsia" w:ascii="宋体" w:hAnsi="宋体" w:cs="宋体"/>
          <w:spacing w:val="20"/>
          <w:u w:val="single"/>
        </w:rPr>
        <w:t xml:space="preserve">               </w:t>
      </w:r>
    </w:p>
    <w:p>
      <w:pPr>
        <w:snapToGrid w:val="0"/>
        <w:spacing w:line="300" w:lineRule="auto"/>
        <w:rPr>
          <w:rFonts w:ascii="宋体" w:hAnsi="宋体" w:cs="宋体"/>
          <w:spacing w:val="20"/>
        </w:rPr>
      </w:pPr>
      <w:r>
        <w:rPr>
          <w:rFonts w:hint="eastAsia" w:ascii="宋体" w:hAnsi="宋体" w:cs="宋体"/>
          <w:spacing w:val="20"/>
        </w:rPr>
        <w:t>日期：</w:t>
      </w:r>
      <w:r>
        <w:rPr>
          <w:rFonts w:hint="eastAsia" w:ascii="宋体" w:hAnsi="宋体" w:cs="宋体"/>
        </w:rPr>
        <w:t xml:space="preserve">   年  月  日</w:t>
      </w:r>
    </w:p>
    <w:p>
      <w:pPr>
        <w:pStyle w:val="5"/>
        <w:snapToGrid w:val="0"/>
        <w:ind w:firstLine="419" w:firstLineChars="167"/>
        <w:rPr>
          <w:rFonts w:ascii="宋体" w:hAnsi="宋体" w:cs="宋体"/>
        </w:rPr>
      </w:pPr>
      <w:r>
        <w:rPr>
          <w:rFonts w:hint="eastAsia" w:ascii="宋体" w:hAnsi="宋体" w:cs="宋体"/>
          <w:spacing w:val="20"/>
        </w:rPr>
        <w:br w:type="page"/>
      </w:r>
      <w:r>
        <w:rPr>
          <w:rFonts w:hint="eastAsia" w:ascii="宋体" w:hAnsi="宋体" w:cs="宋体"/>
        </w:rPr>
        <w:t>八、技术服务响应方案；</w:t>
      </w:r>
    </w:p>
    <w:p>
      <w:pPr>
        <w:pStyle w:val="5"/>
        <w:snapToGrid w:val="0"/>
        <w:ind w:firstLine="422"/>
        <w:rPr>
          <w:rFonts w:ascii="宋体" w:hAnsi="宋体" w:cs="宋体"/>
        </w:rPr>
      </w:pPr>
      <w:r>
        <w:rPr>
          <w:rFonts w:hint="eastAsia" w:ascii="宋体" w:hAnsi="宋体" w:cs="宋体"/>
        </w:rPr>
        <w:t>九、项目服务团队人员配置情况</w:t>
      </w:r>
    </w:p>
    <w:p>
      <w:pPr>
        <w:spacing w:line="480" w:lineRule="exact"/>
        <w:jc w:val="center"/>
        <w:rPr>
          <w:rFonts w:ascii="宋体" w:hAnsi="宋体" w:cs="宋体"/>
          <w:b/>
          <w:sz w:val="30"/>
        </w:rPr>
      </w:pPr>
      <w:r>
        <w:rPr>
          <w:rFonts w:hint="eastAsia" w:ascii="宋体" w:hAnsi="宋体" w:cs="宋体"/>
          <w:sz w:val="28"/>
        </w:rPr>
        <w:t>（由投标人根据采购需求及招标文件要求编制）</w:t>
      </w:r>
    </w:p>
    <w:p>
      <w:pPr>
        <w:autoSpaceDE w:val="0"/>
        <w:autoSpaceDN w:val="0"/>
        <w:adjustRightInd w:val="0"/>
        <w:spacing w:line="400" w:lineRule="exact"/>
        <w:rPr>
          <w:rFonts w:ascii="宋体" w:hAnsi="宋体" w:cs="宋体"/>
          <w:b/>
          <w:sz w:val="24"/>
        </w:rPr>
      </w:pPr>
      <w:r>
        <w:rPr>
          <w:rFonts w:hint="eastAsia" w:ascii="宋体" w:hAnsi="宋体" w:cs="宋体"/>
          <w:b/>
          <w:sz w:val="24"/>
        </w:rPr>
        <w:t>附表B:本项目的项目组人员情况表</w:t>
      </w:r>
      <w:r>
        <w:rPr>
          <w:rFonts w:hint="eastAsia" w:ascii="宋体" w:hAnsi="宋体" w:cs="宋体"/>
          <w:sz w:val="24"/>
        </w:rPr>
        <w:t>（按此格式自制）</w:t>
      </w:r>
    </w:p>
    <w:tbl>
      <w:tblPr>
        <w:tblStyle w:val="44"/>
        <w:tblW w:w="0" w:type="auto"/>
        <w:tblInd w:w="108" w:type="dxa"/>
        <w:tblLayout w:type="fixed"/>
        <w:tblCellMar>
          <w:top w:w="0" w:type="dxa"/>
          <w:left w:w="108" w:type="dxa"/>
          <w:bottom w:w="0" w:type="dxa"/>
          <w:right w:w="108" w:type="dxa"/>
        </w:tblCellMar>
      </w:tblPr>
      <w:tblGrid>
        <w:gridCol w:w="710"/>
        <w:gridCol w:w="1331"/>
        <w:gridCol w:w="697"/>
        <w:gridCol w:w="991"/>
        <w:gridCol w:w="1751"/>
        <w:gridCol w:w="1827"/>
        <w:gridCol w:w="1827"/>
      </w:tblGrid>
      <w:tr>
        <w:tblPrEx>
          <w:tblCellMar>
            <w:top w:w="0" w:type="dxa"/>
            <w:left w:w="108" w:type="dxa"/>
            <w:bottom w:w="0" w:type="dxa"/>
            <w:right w:w="108" w:type="dxa"/>
          </w:tblCellMar>
        </w:tblPrEx>
        <w:trPr>
          <w:trHeight w:val="738" w:hRule="atLeast"/>
        </w:trPr>
        <w:tc>
          <w:tcPr>
            <w:tcW w:w="71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sz w:val="24"/>
              </w:rPr>
            </w:pPr>
            <w:r>
              <w:rPr>
                <w:rFonts w:hint="eastAsia" w:ascii="宋体" w:hAnsi="宋体" w:cs="宋体"/>
                <w:sz w:val="24"/>
              </w:rPr>
              <w:t>序号</w:t>
            </w:r>
          </w:p>
        </w:tc>
        <w:tc>
          <w:tcPr>
            <w:tcW w:w="133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sz w:val="24"/>
              </w:rPr>
            </w:pPr>
            <w:r>
              <w:rPr>
                <w:rFonts w:hint="eastAsia" w:ascii="宋体" w:hAnsi="宋体" w:cs="宋体"/>
                <w:sz w:val="24"/>
              </w:rPr>
              <w:t>姓名</w:t>
            </w:r>
          </w:p>
        </w:tc>
        <w:tc>
          <w:tcPr>
            <w:tcW w:w="69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sz w:val="24"/>
              </w:rPr>
            </w:pPr>
            <w:r>
              <w:rPr>
                <w:rFonts w:hint="eastAsia" w:ascii="宋体" w:hAnsi="宋体" w:cs="宋体"/>
                <w:sz w:val="24"/>
              </w:rPr>
              <w:t>性别</w:t>
            </w:r>
          </w:p>
        </w:tc>
        <w:tc>
          <w:tcPr>
            <w:tcW w:w="99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sz w:val="24"/>
              </w:rPr>
            </w:pPr>
            <w:r>
              <w:rPr>
                <w:rFonts w:hint="eastAsia" w:ascii="宋体" w:hAnsi="宋体" w:cs="宋体"/>
                <w:sz w:val="24"/>
              </w:rPr>
              <w:t>年龄</w:t>
            </w:r>
          </w:p>
        </w:tc>
        <w:tc>
          <w:tcPr>
            <w:tcW w:w="17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sz w:val="24"/>
              </w:rPr>
            </w:pPr>
            <w:r>
              <w:rPr>
                <w:rFonts w:hint="eastAsia" w:ascii="宋体" w:hAnsi="宋体" w:cs="宋体"/>
                <w:sz w:val="24"/>
              </w:rPr>
              <w:t>学历</w:t>
            </w:r>
          </w:p>
          <w:p>
            <w:pPr>
              <w:autoSpaceDE w:val="0"/>
              <w:autoSpaceDN w:val="0"/>
              <w:adjustRightInd w:val="0"/>
              <w:spacing w:line="440" w:lineRule="exact"/>
              <w:jc w:val="center"/>
              <w:rPr>
                <w:rFonts w:ascii="宋体" w:hAnsi="宋体" w:cs="宋体"/>
                <w:sz w:val="24"/>
              </w:rPr>
            </w:pPr>
            <w:r>
              <w:rPr>
                <w:rFonts w:hint="eastAsia" w:ascii="宋体" w:hAnsi="宋体" w:cs="宋体"/>
                <w:sz w:val="24"/>
              </w:rPr>
              <w:t>(页码)</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sz w:val="24"/>
              </w:rPr>
            </w:pPr>
            <w:r>
              <w:rPr>
                <w:rFonts w:hint="eastAsia" w:ascii="宋体" w:hAnsi="宋体" w:cs="宋体"/>
                <w:sz w:val="24"/>
              </w:rPr>
              <w:t>专业</w:t>
            </w:r>
          </w:p>
          <w:p>
            <w:pPr>
              <w:autoSpaceDE w:val="0"/>
              <w:autoSpaceDN w:val="0"/>
              <w:adjustRightInd w:val="0"/>
              <w:spacing w:line="440" w:lineRule="exact"/>
              <w:jc w:val="center"/>
              <w:rPr>
                <w:rFonts w:ascii="宋体" w:hAnsi="宋体" w:cs="宋体"/>
                <w:sz w:val="24"/>
              </w:rPr>
            </w:pPr>
            <w:r>
              <w:rPr>
                <w:rFonts w:hint="eastAsia" w:ascii="宋体" w:hAnsi="宋体" w:cs="宋体"/>
                <w:sz w:val="24"/>
              </w:rPr>
              <w:t>(页码)</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sz w:val="24"/>
              </w:rPr>
            </w:pPr>
            <w:r>
              <w:rPr>
                <w:rFonts w:hint="eastAsia" w:ascii="宋体" w:hAnsi="宋体" w:cs="宋体"/>
                <w:sz w:val="24"/>
              </w:rPr>
              <w:t>职称</w:t>
            </w:r>
          </w:p>
          <w:p>
            <w:pPr>
              <w:autoSpaceDE w:val="0"/>
              <w:autoSpaceDN w:val="0"/>
              <w:adjustRightInd w:val="0"/>
              <w:spacing w:line="440" w:lineRule="exact"/>
              <w:jc w:val="center"/>
              <w:rPr>
                <w:rFonts w:ascii="宋体" w:hAnsi="宋体" w:cs="宋体"/>
                <w:sz w:val="24"/>
              </w:rPr>
            </w:pPr>
            <w:r>
              <w:rPr>
                <w:rFonts w:hint="eastAsia" w:ascii="宋体" w:hAnsi="宋体" w:cs="宋体"/>
                <w:sz w:val="24"/>
              </w:rPr>
              <w:t>(页码)</w:t>
            </w:r>
          </w:p>
        </w:tc>
      </w:tr>
      <w:tr>
        <w:tblPrEx>
          <w:tblCellMar>
            <w:top w:w="0" w:type="dxa"/>
            <w:left w:w="108" w:type="dxa"/>
            <w:bottom w:w="0" w:type="dxa"/>
            <w:right w:w="108" w:type="dxa"/>
          </w:tblCellMar>
        </w:tblPrEx>
        <w:trPr>
          <w:trHeight w:val="508" w:hRule="atLeast"/>
        </w:trPr>
        <w:tc>
          <w:tcPr>
            <w:tcW w:w="7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jc w:val="center"/>
              <w:rPr>
                <w:rFonts w:ascii="宋体" w:hAnsi="宋体" w:cs="宋体"/>
                <w:sz w:val="24"/>
              </w:rPr>
            </w:pPr>
          </w:p>
        </w:tc>
        <w:tc>
          <w:tcPr>
            <w:tcW w:w="13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69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99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175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182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182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r>
      <w:tr>
        <w:tblPrEx>
          <w:tblCellMar>
            <w:top w:w="0" w:type="dxa"/>
            <w:left w:w="108" w:type="dxa"/>
            <w:bottom w:w="0" w:type="dxa"/>
            <w:right w:w="108" w:type="dxa"/>
          </w:tblCellMar>
        </w:tblPrEx>
        <w:trPr>
          <w:trHeight w:val="498" w:hRule="atLeast"/>
        </w:trPr>
        <w:tc>
          <w:tcPr>
            <w:tcW w:w="7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jc w:val="center"/>
              <w:rPr>
                <w:rFonts w:ascii="宋体" w:hAnsi="宋体" w:cs="宋体"/>
                <w:sz w:val="24"/>
              </w:rPr>
            </w:pPr>
          </w:p>
        </w:tc>
        <w:tc>
          <w:tcPr>
            <w:tcW w:w="13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69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99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175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182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182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r>
      <w:tr>
        <w:tblPrEx>
          <w:tblCellMar>
            <w:top w:w="0" w:type="dxa"/>
            <w:left w:w="108" w:type="dxa"/>
            <w:bottom w:w="0" w:type="dxa"/>
            <w:right w:w="108" w:type="dxa"/>
          </w:tblCellMar>
        </w:tblPrEx>
        <w:trPr>
          <w:trHeight w:val="498" w:hRule="atLeast"/>
        </w:trPr>
        <w:tc>
          <w:tcPr>
            <w:tcW w:w="7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jc w:val="center"/>
              <w:rPr>
                <w:rFonts w:ascii="宋体" w:hAnsi="宋体" w:cs="宋体"/>
                <w:sz w:val="24"/>
              </w:rPr>
            </w:pPr>
          </w:p>
        </w:tc>
        <w:tc>
          <w:tcPr>
            <w:tcW w:w="13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69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99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175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182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c>
          <w:tcPr>
            <w:tcW w:w="182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sz w:val="24"/>
              </w:rPr>
            </w:pPr>
          </w:p>
        </w:tc>
      </w:tr>
    </w:tbl>
    <w:p>
      <w:pPr>
        <w:autoSpaceDE w:val="0"/>
        <w:autoSpaceDN w:val="0"/>
        <w:adjustRightInd w:val="0"/>
        <w:spacing w:line="420" w:lineRule="exact"/>
        <w:ind w:firstLine="4440" w:firstLineChars="1850"/>
        <w:rPr>
          <w:rFonts w:ascii="宋体" w:hAnsi="宋体" w:cs="宋体"/>
          <w:kern w:val="0"/>
          <w:sz w:val="24"/>
        </w:rPr>
      </w:pPr>
      <w:r>
        <w:rPr>
          <w:rFonts w:hint="eastAsia" w:ascii="宋体" w:hAnsi="宋体" w:cs="宋体"/>
          <w:kern w:val="0"/>
          <w:sz w:val="24"/>
        </w:rPr>
        <w:t>投标人名称（公章）：</w:t>
      </w:r>
    </w:p>
    <w:p>
      <w:pPr>
        <w:autoSpaceDE w:val="0"/>
        <w:autoSpaceDN w:val="0"/>
        <w:adjustRightInd w:val="0"/>
        <w:spacing w:line="420" w:lineRule="exact"/>
        <w:rPr>
          <w:rFonts w:ascii="宋体" w:hAnsi="宋体" w:cs="宋体"/>
          <w:kern w:val="0"/>
          <w:sz w:val="24"/>
        </w:rPr>
      </w:pPr>
      <w:r>
        <w:rPr>
          <w:rFonts w:hint="eastAsia" w:ascii="宋体" w:hAnsi="宋体" w:cs="宋体"/>
          <w:kern w:val="0"/>
          <w:sz w:val="24"/>
        </w:rPr>
        <w:t xml:space="preserve">                                     法定代表人或授权委托人（签字）：</w:t>
      </w:r>
    </w:p>
    <w:p>
      <w:pPr>
        <w:rPr>
          <w:rFonts w:ascii="宋体" w:hAnsi="宋体" w:cs="宋体"/>
        </w:rPr>
      </w:pPr>
      <w:r>
        <w:rPr>
          <w:rFonts w:hint="eastAsia" w:ascii="宋体" w:hAnsi="宋体" w:cs="宋体"/>
          <w:kern w:val="0"/>
          <w:sz w:val="24"/>
        </w:rPr>
        <w:t xml:space="preserve">                                     日期：2019年  月   日</w:t>
      </w:r>
    </w:p>
    <w:p>
      <w:pPr>
        <w:pStyle w:val="5"/>
        <w:snapToGrid w:val="0"/>
        <w:ind w:firstLine="422"/>
        <w:rPr>
          <w:rFonts w:ascii="宋体" w:hAnsi="宋体" w:cs="宋体"/>
        </w:rPr>
      </w:pPr>
      <w:r>
        <w:rPr>
          <w:rFonts w:hint="eastAsia" w:ascii="宋体" w:hAnsi="宋体" w:cs="宋体"/>
        </w:rPr>
        <w:t>十、供货及质量承诺（格式自拟）</w:t>
      </w:r>
    </w:p>
    <w:p>
      <w:pPr>
        <w:pStyle w:val="5"/>
        <w:snapToGrid w:val="0"/>
        <w:ind w:firstLine="422"/>
        <w:rPr>
          <w:rFonts w:ascii="宋体" w:hAnsi="宋体" w:cs="宋体"/>
        </w:rPr>
        <w:sectPr>
          <w:pgSz w:w="11906" w:h="16838"/>
          <w:pgMar w:top="1247" w:right="1247" w:bottom="1247" w:left="1474" w:header="851" w:footer="850" w:gutter="0"/>
          <w:cols w:space="720" w:num="1"/>
          <w:titlePg/>
          <w:docGrid w:linePitch="312" w:charSpace="0"/>
        </w:sectPr>
      </w:pPr>
      <w:r>
        <w:rPr>
          <w:rFonts w:hint="eastAsia" w:ascii="宋体" w:hAnsi="宋体" w:cs="宋体"/>
        </w:rPr>
        <w:t>十一、</w:t>
      </w:r>
      <w:r>
        <w:rPr>
          <w:rFonts w:hint="eastAsia" w:ascii="宋体" w:hAnsi="宋体" w:cs="宋体"/>
        </w:rPr>
        <w:tab/>
      </w:r>
      <w:r>
        <w:rPr>
          <w:rFonts w:hint="eastAsia" w:ascii="宋体" w:hAnsi="宋体" w:cs="宋体"/>
        </w:rPr>
        <w:t>投标人认为需要的其他技术文件或说明</w:t>
      </w:r>
    </w:p>
    <w:p>
      <w:pPr>
        <w:spacing w:line="360" w:lineRule="auto"/>
        <w:jc w:val="center"/>
        <w:rPr>
          <w:rFonts w:ascii="宋体" w:hAnsi="宋体" w:cs="宋体"/>
          <w:b/>
          <w:sz w:val="28"/>
          <w:szCs w:val="28"/>
        </w:rPr>
      </w:pPr>
      <w:r>
        <w:rPr>
          <w:rFonts w:hint="eastAsia" w:ascii="宋体" w:hAnsi="宋体" w:cs="宋体"/>
          <w:b/>
          <w:sz w:val="28"/>
          <w:szCs w:val="28"/>
        </w:rPr>
        <w:t>政府采购支持中小企业信用融资相关事项通知</w:t>
      </w:r>
    </w:p>
    <w:p>
      <w:pPr>
        <w:spacing w:line="360" w:lineRule="auto"/>
        <w:ind w:firstLine="480" w:firstLineChars="200"/>
        <w:rPr>
          <w:rFonts w:ascii="宋体" w:hAnsi="宋体" w:cs="宋体"/>
          <w:sz w:val="24"/>
        </w:rPr>
      </w:pPr>
      <w:r>
        <w:rPr>
          <w:rFonts w:hint="eastAsia" w:ascii="宋体" w:hAnsi="宋体" w:cs="宋体"/>
          <w:sz w:val="24"/>
        </w:rPr>
        <w:t>为支持和促进中小企业发展，进一步发挥政府采购政策功能，杭州市财政局与省银保监局、市金融办、市经信局共同出台了《杭州市政府采购支持中小企业信用融资管理办法》，现将相关事项通知如下：</w:t>
      </w:r>
    </w:p>
    <w:p>
      <w:pPr>
        <w:spacing w:line="360" w:lineRule="auto"/>
        <w:ind w:firstLine="482" w:firstLineChars="200"/>
        <w:rPr>
          <w:rFonts w:ascii="宋体" w:hAnsi="宋体" w:cs="宋体"/>
          <w:b/>
          <w:sz w:val="24"/>
        </w:rPr>
      </w:pPr>
      <w:r>
        <w:rPr>
          <w:rFonts w:hint="eastAsia" w:ascii="宋体" w:hAnsi="宋体" w:cs="宋体"/>
          <w:b/>
          <w:sz w:val="24"/>
        </w:rPr>
        <w:t>一、适用对象</w:t>
      </w:r>
    </w:p>
    <w:p>
      <w:pPr>
        <w:spacing w:line="360" w:lineRule="auto"/>
        <w:ind w:firstLine="480" w:firstLineChars="200"/>
        <w:rPr>
          <w:rFonts w:ascii="宋体" w:hAnsi="宋体" w:cs="宋体"/>
          <w:sz w:val="24"/>
        </w:rPr>
      </w:pPr>
      <w:r>
        <w:rPr>
          <w:rFonts w:hint="eastAsia" w:ascii="宋体" w:hAnsi="宋体" w:cs="宋体"/>
          <w:sz w:val="24"/>
        </w:rPr>
        <w:t>在浙江政府采购网注册入库，并取得杭州市政府采购合同的杭州市内中小企业供应商。</w:t>
      </w:r>
    </w:p>
    <w:p>
      <w:pPr>
        <w:spacing w:line="360" w:lineRule="auto"/>
        <w:ind w:firstLine="482" w:firstLineChars="200"/>
        <w:rPr>
          <w:rFonts w:ascii="宋体" w:hAnsi="宋体" w:cs="宋体"/>
          <w:b/>
          <w:sz w:val="24"/>
        </w:rPr>
      </w:pPr>
      <w:r>
        <w:rPr>
          <w:rFonts w:hint="eastAsia" w:ascii="宋体" w:hAnsi="宋体" w:cs="宋体"/>
          <w:b/>
          <w:sz w:val="24"/>
        </w:rPr>
        <w:t>二、相关信息获取方式</w:t>
      </w:r>
    </w:p>
    <w:p>
      <w:pPr>
        <w:spacing w:line="360" w:lineRule="auto"/>
        <w:ind w:firstLine="480" w:firstLineChars="200"/>
        <w:rPr>
          <w:rFonts w:ascii="宋体" w:hAnsi="宋体" w:cs="宋体"/>
          <w:sz w:val="24"/>
        </w:rPr>
      </w:pPr>
      <w:r>
        <w:rPr>
          <w:rFonts w:hint="eastAsia" w:ascii="宋体" w:hAnsi="宋体" w:cs="宋体"/>
          <w:sz w:val="24"/>
        </w:rPr>
        <w:t>请登陆杭州市政府采购网“中小企业信用融资”模块，查看信用融资政策文件及各相关银行服务方案。</w:t>
      </w:r>
    </w:p>
    <w:p>
      <w:pPr>
        <w:spacing w:line="360" w:lineRule="auto"/>
        <w:ind w:firstLine="482" w:firstLineChars="200"/>
        <w:rPr>
          <w:rFonts w:ascii="宋体" w:hAnsi="宋体" w:cs="宋体"/>
          <w:b/>
          <w:sz w:val="24"/>
        </w:rPr>
      </w:pPr>
      <w:r>
        <w:rPr>
          <w:rFonts w:hint="eastAsia" w:ascii="宋体" w:hAnsi="宋体" w:cs="宋体"/>
          <w:b/>
          <w:sz w:val="24"/>
        </w:rPr>
        <w:t>三、申请方式和步骤</w:t>
      </w:r>
    </w:p>
    <w:p>
      <w:pPr>
        <w:spacing w:line="360" w:lineRule="auto"/>
        <w:ind w:firstLine="482" w:firstLineChars="200"/>
        <w:rPr>
          <w:rFonts w:ascii="宋体" w:hAnsi="宋体" w:cs="宋体"/>
          <w:b/>
          <w:bCs/>
          <w:sz w:val="24"/>
        </w:rPr>
      </w:pPr>
      <w:r>
        <w:rPr>
          <w:rFonts w:hint="eastAsia" w:ascii="宋体" w:hAnsi="宋体" w:cs="宋体"/>
          <w:b/>
          <w:bCs/>
          <w:sz w:val="24"/>
        </w:rPr>
        <w:t>（一）“云采贷”融资</w:t>
      </w:r>
    </w:p>
    <w:p>
      <w:pPr>
        <w:spacing w:line="360" w:lineRule="auto"/>
        <w:ind w:firstLine="480" w:firstLineChars="200"/>
        <w:rPr>
          <w:rFonts w:ascii="宋体" w:hAnsi="宋体" w:cs="宋体"/>
          <w:sz w:val="24"/>
        </w:rPr>
      </w:pPr>
      <w:r>
        <w:rPr>
          <w:rFonts w:hint="eastAsia" w:ascii="宋体" w:hAnsi="宋体" w:cs="宋体"/>
          <w:sz w:val="24"/>
        </w:rPr>
        <w:t>1、供应商先与银行对接，办理融资前期手续；</w:t>
      </w:r>
    </w:p>
    <w:p>
      <w:pPr>
        <w:spacing w:line="360" w:lineRule="auto"/>
        <w:ind w:firstLine="480" w:firstLineChars="200"/>
        <w:rPr>
          <w:rFonts w:ascii="宋体" w:hAnsi="宋体" w:cs="宋体"/>
          <w:sz w:val="24"/>
        </w:rPr>
      </w:pPr>
      <w:r>
        <w:rPr>
          <w:rFonts w:hint="eastAsia" w:ascii="宋体" w:hAnsi="宋体" w:cs="宋体"/>
          <w:sz w:val="24"/>
        </w:rPr>
        <w:t>2、供应商中标后，登陆“中小企业信用融资”模块测算授信额度，并向银行发出融资申请；</w:t>
      </w:r>
    </w:p>
    <w:p>
      <w:pPr>
        <w:spacing w:line="360" w:lineRule="auto"/>
        <w:ind w:firstLine="480" w:firstLineChars="200"/>
        <w:rPr>
          <w:rFonts w:ascii="宋体" w:hAnsi="宋体" w:cs="宋体"/>
          <w:sz w:val="24"/>
        </w:rPr>
      </w:pPr>
      <w:r>
        <w:rPr>
          <w:rFonts w:hint="eastAsia" w:ascii="宋体" w:hAnsi="宋体" w:cs="宋体"/>
          <w:sz w:val="24"/>
        </w:rPr>
        <w:t>3、银行线上审批通过后，办理放贷手续。</w:t>
      </w:r>
    </w:p>
    <w:p>
      <w:pPr>
        <w:spacing w:line="360" w:lineRule="auto"/>
        <w:ind w:firstLine="482" w:firstLineChars="200"/>
        <w:rPr>
          <w:rFonts w:ascii="宋体" w:hAnsi="宋体" w:cs="宋体"/>
          <w:b/>
          <w:bCs/>
          <w:sz w:val="24"/>
        </w:rPr>
      </w:pPr>
      <w:r>
        <w:rPr>
          <w:rFonts w:hint="eastAsia" w:ascii="宋体" w:hAnsi="宋体" w:cs="宋体"/>
          <w:b/>
          <w:bCs/>
          <w:sz w:val="24"/>
        </w:rPr>
        <w:t>（二）一般融资</w:t>
      </w:r>
    </w:p>
    <w:p>
      <w:pPr>
        <w:spacing w:line="360" w:lineRule="auto"/>
        <w:ind w:firstLine="480" w:firstLineChars="200"/>
        <w:rPr>
          <w:rFonts w:ascii="宋体" w:hAnsi="宋体" w:cs="宋体"/>
          <w:sz w:val="24"/>
        </w:rPr>
      </w:pPr>
      <w:r>
        <w:rPr>
          <w:rFonts w:hint="eastAsia" w:ascii="宋体" w:hAnsi="宋体" w:cs="宋体"/>
          <w:sz w:val="24"/>
        </w:rPr>
        <w:t>1、供应商先与银行对接，办理融资前期手续；</w:t>
      </w:r>
    </w:p>
    <w:p>
      <w:pPr>
        <w:spacing w:line="360" w:lineRule="auto"/>
        <w:ind w:firstLine="480" w:firstLineChars="200"/>
        <w:rPr>
          <w:rFonts w:ascii="宋体" w:hAnsi="宋体" w:cs="宋体"/>
          <w:sz w:val="24"/>
        </w:rPr>
      </w:pPr>
      <w:r>
        <w:rPr>
          <w:rFonts w:hint="eastAsia" w:ascii="宋体" w:hAnsi="宋体" w:cs="宋体"/>
          <w:sz w:val="24"/>
        </w:rPr>
        <w:t>2、供应商中标后，登陆杭州市政府采购网“中小企业信用融资”模块，向相关合作银行发出融资申请；</w:t>
      </w:r>
    </w:p>
    <w:p>
      <w:pPr>
        <w:spacing w:line="360" w:lineRule="auto"/>
        <w:ind w:firstLine="480" w:firstLineChars="200"/>
        <w:rPr>
          <w:rFonts w:ascii="宋体" w:hAnsi="宋体" w:cs="宋体"/>
          <w:sz w:val="24"/>
        </w:rPr>
      </w:pPr>
      <w:r>
        <w:rPr>
          <w:rFonts w:hint="eastAsia" w:ascii="宋体" w:hAnsi="宋体" w:cs="宋体"/>
          <w:sz w:val="24"/>
        </w:rPr>
        <w:t>3、银行在“中小企业信用融资”模块受理申请；</w:t>
      </w:r>
    </w:p>
    <w:p>
      <w:pPr>
        <w:spacing w:line="360" w:lineRule="auto"/>
        <w:ind w:firstLine="480" w:firstLineChars="200"/>
        <w:rPr>
          <w:rFonts w:ascii="宋体" w:hAnsi="宋体" w:cs="宋体"/>
          <w:sz w:val="24"/>
        </w:rPr>
      </w:pPr>
      <w:r>
        <w:rPr>
          <w:rFonts w:hint="eastAsia" w:ascii="宋体" w:hAnsi="宋体" w:cs="宋体"/>
          <w:sz w:val="24"/>
        </w:rPr>
        <w:t>4、银行、供应商线下办理审批、放贷事宜。</w:t>
      </w:r>
    </w:p>
    <w:p>
      <w:pPr>
        <w:spacing w:line="360" w:lineRule="auto"/>
        <w:ind w:firstLine="482" w:firstLineChars="200"/>
        <w:rPr>
          <w:rFonts w:ascii="宋体" w:hAnsi="宋体" w:cs="宋体"/>
          <w:b/>
          <w:sz w:val="24"/>
        </w:rPr>
      </w:pPr>
      <w:r>
        <w:rPr>
          <w:rFonts w:hint="eastAsia" w:ascii="宋体" w:hAnsi="宋体" w:cs="宋体"/>
          <w:b/>
          <w:sz w:val="24"/>
        </w:rPr>
        <w:t>四、注意事项</w:t>
      </w:r>
    </w:p>
    <w:p>
      <w:pPr>
        <w:spacing w:line="360" w:lineRule="auto"/>
        <w:ind w:firstLine="480" w:firstLineChars="200"/>
        <w:rPr>
          <w:rFonts w:ascii="宋体" w:hAnsi="宋体" w:cs="宋体"/>
          <w:sz w:val="24"/>
        </w:rPr>
      </w:pPr>
      <w:r>
        <w:rPr>
          <w:rFonts w:hint="eastAsia" w:ascii="宋体" w:hAnsi="宋体" w:cs="宋体"/>
          <w:sz w:val="24"/>
        </w:rPr>
        <w:t>1、供应商需确保政府采购合同的收款银行与融资银行一致。</w:t>
      </w:r>
    </w:p>
    <w:p>
      <w:pPr>
        <w:spacing w:line="360" w:lineRule="auto"/>
        <w:ind w:firstLine="480" w:firstLineChars="200"/>
        <w:rPr>
          <w:rFonts w:ascii="宋体" w:hAnsi="宋体" w:cs="宋体"/>
          <w:sz w:val="24"/>
        </w:rPr>
      </w:pPr>
      <w:r>
        <w:rPr>
          <w:rFonts w:hint="eastAsia" w:ascii="宋体" w:hAnsi="宋体" w:cs="宋体"/>
          <w:sz w:val="24"/>
        </w:rPr>
        <w:t>2、请各采购单位积极支持和配合政府采购信用融资工作，在合同备案环节仔细核对收款银行、账号信息等内容，一旦录入将无法修改。</w:t>
      </w:r>
    </w:p>
    <w:p>
      <w:pPr>
        <w:spacing w:line="360" w:lineRule="auto"/>
        <w:ind w:firstLine="480" w:firstLineChars="200"/>
        <w:rPr>
          <w:rFonts w:ascii="宋体" w:hAnsi="宋体" w:cs="宋体"/>
          <w:sz w:val="24"/>
        </w:rPr>
      </w:pPr>
      <w:r>
        <w:rPr>
          <w:rFonts w:hint="eastAsia" w:ascii="宋体" w:hAnsi="宋体" w:cs="宋体"/>
          <w:sz w:val="24"/>
        </w:rPr>
        <w:t>3、技术服务热线：87210880；如有业务问题可与各合作银行联系。</w:t>
      </w:r>
    </w:p>
    <w:p>
      <w:pPr>
        <w:rPr>
          <w:rFonts w:ascii="宋体" w:hAnsi="宋体" w:cs="宋体"/>
        </w:rPr>
      </w:pPr>
    </w:p>
    <w:p>
      <w:pPr>
        <w:rPr>
          <w:rFonts w:ascii="宋体" w:hAnsi="宋体" w:cs="宋体"/>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楷体_GB2312">
    <w:altName w:val="楷体"/>
    <w:panose1 w:val="020B0604020202020204"/>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B0604020202020204"/>
    <w:charset w:val="86"/>
    <w:family w:val="roman"/>
    <w:pitch w:val="default"/>
    <w:sig w:usb0="00000000" w:usb1="00000000" w:usb2="00000010" w:usb3="00000000" w:csb0="000401FF" w:csb1="00000000"/>
  </w:font>
  <w:font w:name="仿宋">
    <w:panose1 w:val="02010609060101010101"/>
    <w:charset w:val="86"/>
    <w:family w:val="auto"/>
    <w:pitch w:val="default"/>
    <w:sig w:usb0="800002BF" w:usb1="38CF7CFA" w:usb2="00000016" w:usb3="00000000" w:csb0="00040001" w:csb1="00000000"/>
  </w:font>
  <w:font w:name="ˎ̥">
    <w:altName w:val="Times New Roman"/>
    <w:panose1 w:val="020B0604020202020204"/>
    <w:charset w:val="00"/>
    <w:family w:val="roman"/>
    <w:pitch w:val="default"/>
    <w:sig w:usb0="00000000" w:usb1="00000000" w:usb2="00000000" w:usb3="00000000" w:csb0="00040001" w:csb1="00000000"/>
  </w:font>
  <w:font w:name="MS UI Gothic">
    <w:panose1 w:val="020B0600070205080204"/>
    <w:charset w:val="80"/>
    <w:family w:val="swiss"/>
    <w:pitch w:val="default"/>
    <w:sig w:usb0="E00002FF" w:usb1="6AC7FDFB" w:usb2="08000012" w:usb3="00000000" w:csb0="4002009F" w:csb1="DFD7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rFonts w:hint="eastAsia"/>
      </w:rPr>
      <w:t>第</w:t>
    </w:r>
    <w:r>
      <w:fldChar w:fldCharType="begin"/>
    </w:r>
    <w:r>
      <w:instrText xml:space="preserve"> PAGE   \* MERGEFORMAT </w:instrText>
    </w:r>
    <w:r>
      <w:fldChar w:fldCharType="separate"/>
    </w:r>
    <w:r>
      <w:rPr>
        <w:lang w:val="zh-CN"/>
      </w:rPr>
      <w:t>51</w:t>
    </w:r>
    <w:r>
      <w:rPr>
        <w:lang w:val="zh-CN"/>
      </w:rPr>
      <w:fldChar w:fldCharType="end"/>
    </w:r>
    <w:r>
      <w:rPr>
        <w:rFonts w:hint="eastAsia"/>
      </w:rPr>
      <w:t>页，共</w:t>
    </w:r>
    <w:r>
      <w:fldChar w:fldCharType="begin"/>
    </w:r>
    <w:r>
      <w:instrText xml:space="preserve"> NUMPAGES   \* MERGEFORMAT </w:instrText>
    </w:r>
    <w:r>
      <w:fldChar w:fldCharType="separate"/>
    </w:r>
    <w:r>
      <w:t>51</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rFonts w:hint="eastAsia"/>
      </w:rPr>
      <w:t>第</w:t>
    </w:r>
    <w:r>
      <w:fldChar w:fldCharType="begin"/>
    </w:r>
    <w:r>
      <w:instrText xml:space="preserve"> PAGE   \* MERGEFORMAT </w:instrText>
    </w:r>
    <w:r>
      <w:fldChar w:fldCharType="separate"/>
    </w:r>
    <w:r>
      <w:rPr>
        <w:lang w:val="zh-CN"/>
      </w:rPr>
      <w:t>1</w:t>
    </w:r>
    <w:r>
      <w:rPr>
        <w:lang w:val="zh-CN"/>
      </w:rPr>
      <w:fldChar w:fldCharType="end"/>
    </w:r>
    <w:r>
      <w:rPr>
        <w:rFonts w:hint="eastAsia"/>
      </w:rPr>
      <w:t>页，共</w:t>
    </w:r>
    <w:r>
      <w:fldChar w:fldCharType="begin"/>
    </w:r>
    <w:r>
      <w:instrText xml:space="preserve"> NUMPAGES   \* MERGEFORMAT </w:instrText>
    </w:r>
    <w:r>
      <w:fldChar w:fldCharType="separate"/>
    </w:r>
    <w:r>
      <w:t>51</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pPr>
    <w:r>
      <w:rPr>
        <w:rFonts w:hint="eastAsia"/>
      </w:rPr>
      <w:t>杭州殡仪馆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399BF"/>
    <w:multiLevelType w:val="multilevel"/>
    <w:tmpl w:val="8CF399BF"/>
    <w:lvl w:ilvl="0" w:tentative="0">
      <w:start w:val="1"/>
      <w:numFmt w:val="decimal"/>
      <w:lvlText w:val="%1） "/>
      <w:lvlJc w:val="left"/>
      <w:pPr>
        <w:tabs>
          <w:tab w:val="left" w:pos="460"/>
        </w:tabs>
        <w:ind w:left="6" w:firstLine="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
    <w:nsid w:val="0000000C"/>
    <w:multiLevelType w:val="multilevel"/>
    <w:tmpl w:val="0000000C"/>
    <w:lvl w:ilvl="0" w:tentative="0">
      <w:start w:val="1"/>
      <w:numFmt w:val="decimal"/>
      <w:lvlText w:val="%1）"/>
      <w:lvlJc w:val="left"/>
      <w:pPr>
        <w:tabs>
          <w:tab w:val="left" w:pos="454"/>
        </w:tabs>
        <w:ind w:left="0" w:firstLine="454"/>
      </w:pPr>
      <w:rPr>
        <w:rFonts w:hint="default" w:ascii="Arial" w:hAnsi="Arial"/>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1F"/>
    <w:multiLevelType w:val="multilevel"/>
    <w:tmpl w:val="0000001F"/>
    <w:lvl w:ilvl="0" w:tentative="0">
      <w:start w:val="1"/>
      <w:numFmt w:val="decimal"/>
      <w:lvlText w:val="%1） "/>
      <w:lvlJc w:val="left"/>
      <w:pPr>
        <w:tabs>
          <w:tab w:val="left" w:pos="454"/>
        </w:tabs>
        <w:ind w:left="0" w:firstLine="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
    <w:nsid w:val="261D6BEB"/>
    <w:multiLevelType w:val="multilevel"/>
    <w:tmpl w:val="261D6BEB"/>
    <w:lvl w:ilvl="0" w:tentative="0">
      <w:start w:val="1"/>
      <w:numFmt w:val="decimal"/>
      <w:lvlText w:val="%1） "/>
      <w:lvlJc w:val="left"/>
      <w:pPr>
        <w:tabs>
          <w:tab w:val="left" w:pos="460"/>
        </w:tabs>
        <w:ind w:left="6" w:firstLine="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39397097"/>
    <w:multiLevelType w:val="multilevel"/>
    <w:tmpl w:val="39397097"/>
    <w:lvl w:ilvl="0" w:tentative="0">
      <w:start w:val="1"/>
      <w:numFmt w:val="decimal"/>
      <w:lvlText w:val="%1、"/>
      <w:lvlJc w:val="left"/>
      <w:pPr>
        <w:ind w:left="720" w:hanging="720"/>
      </w:pPr>
      <w:rPr>
        <w:rFonts w:hint="default"/>
      </w:rPr>
    </w:lvl>
    <w:lvl w:ilvl="1" w:tentative="0">
      <w:start w:val="1"/>
      <w:numFmt w:val="lowerLetter"/>
      <w:lvlText w:val="%2)"/>
      <w:lvlJc w:val="left"/>
      <w:pPr>
        <w:ind w:left="267" w:hanging="420"/>
      </w:pPr>
    </w:lvl>
    <w:lvl w:ilvl="2" w:tentative="0">
      <w:start w:val="1"/>
      <w:numFmt w:val="lowerRoman"/>
      <w:lvlText w:val="%3."/>
      <w:lvlJc w:val="right"/>
      <w:pPr>
        <w:ind w:left="687" w:hanging="420"/>
      </w:pPr>
    </w:lvl>
    <w:lvl w:ilvl="3" w:tentative="0">
      <w:start w:val="1"/>
      <w:numFmt w:val="decimal"/>
      <w:lvlText w:val="%4."/>
      <w:lvlJc w:val="left"/>
      <w:pPr>
        <w:ind w:left="1107" w:hanging="420"/>
      </w:pPr>
    </w:lvl>
    <w:lvl w:ilvl="4" w:tentative="0">
      <w:start w:val="1"/>
      <w:numFmt w:val="lowerLetter"/>
      <w:lvlText w:val="%5)"/>
      <w:lvlJc w:val="left"/>
      <w:pPr>
        <w:ind w:left="1527" w:hanging="420"/>
      </w:pPr>
    </w:lvl>
    <w:lvl w:ilvl="5" w:tentative="0">
      <w:start w:val="1"/>
      <w:numFmt w:val="lowerRoman"/>
      <w:lvlText w:val="%6."/>
      <w:lvlJc w:val="right"/>
      <w:pPr>
        <w:ind w:left="1947" w:hanging="420"/>
      </w:pPr>
    </w:lvl>
    <w:lvl w:ilvl="6" w:tentative="0">
      <w:start w:val="1"/>
      <w:numFmt w:val="decimal"/>
      <w:lvlText w:val="%7."/>
      <w:lvlJc w:val="left"/>
      <w:pPr>
        <w:ind w:left="2367" w:hanging="420"/>
      </w:pPr>
    </w:lvl>
    <w:lvl w:ilvl="7" w:tentative="0">
      <w:start w:val="1"/>
      <w:numFmt w:val="lowerLetter"/>
      <w:lvlText w:val="%8)"/>
      <w:lvlJc w:val="left"/>
      <w:pPr>
        <w:ind w:left="2787" w:hanging="420"/>
      </w:pPr>
    </w:lvl>
    <w:lvl w:ilvl="8" w:tentative="0">
      <w:start w:val="1"/>
      <w:numFmt w:val="lowerRoman"/>
      <w:lvlText w:val="%9."/>
      <w:lvlJc w:val="right"/>
      <w:pPr>
        <w:ind w:left="3207" w:hanging="420"/>
      </w:pPr>
    </w:lvl>
  </w:abstractNum>
  <w:abstractNum w:abstractNumId="5">
    <w:nsid w:val="45534AD5"/>
    <w:multiLevelType w:val="multilevel"/>
    <w:tmpl w:val="45534AD5"/>
    <w:lvl w:ilvl="0" w:tentative="0">
      <w:start w:val="1"/>
      <w:numFmt w:val="decimal"/>
      <w:lvlText w:val="%1、"/>
      <w:lvlJc w:val="left"/>
      <w:pPr>
        <w:ind w:left="767" w:hanging="360"/>
      </w:pPr>
      <w:rPr>
        <w:rFonts w:hint="default"/>
        <w:b w:val="0"/>
      </w:rPr>
    </w:lvl>
    <w:lvl w:ilvl="1" w:tentative="0">
      <w:start w:val="1"/>
      <w:numFmt w:val="lowerLetter"/>
      <w:lvlText w:val="%2)"/>
      <w:lvlJc w:val="left"/>
      <w:pPr>
        <w:ind w:left="1247" w:hanging="420"/>
      </w:pPr>
    </w:lvl>
    <w:lvl w:ilvl="2" w:tentative="0">
      <w:start w:val="1"/>
      <w:numFmt w:val="lowerRoman"/>
      <w:lvlText w:val="%3."/>
      <w:lvlJc w:val="right"/>
      <w:pPr>
        <w:ind w:left="1667" w:hanging="420"/>
      </w:pPr>
    </w:lvl>
    <w:lvl w:ilvl="3" w:tentative="0">
      <w:start w:val="1"/>
      <w:numFmt w:val="decimal"/>
      <w:lvlText w:val="%4."/>
      <w:lvlJc w:val="left"/>
      <w:pPr>
        <w:ind w:left="2087" w:hanging="420"/>
      </w:pPr>
    </w:lvl>
    <w:lvl w:ilvl="4" w:tentative="0">
      <w:start w:val="1"/>
      <w:numFmt w:val="lowerLetter"/>
      <w:lvlText w:val="%5)"/>
      <w:lvlJc w:val="left"/>
      <w:pPr>
        <w:ind w:left="2507" w:hanging="420"/>
      </w:pPr>
    </w:lvl>
    <w:lvl w:ilvl="5" w:tentative="0">
      <w:start w:val="1"/>
      <w:numFmt w:val="lowerRoman"/>
      <w:lvlText w:val="%6."/>
      <w:lvlJc w:val="right"/>
      <w:pPr>
        <w:ind w:left="2927" w:hanging="420"/>
      </w:pPr>
    </w:lvl>
    <w:lvl w:ilvl="6" w:tentative="0">
      <w:start w:val="1"/>
      <w:numFmt w:val="decimal"/>
      <w:lvlText w:val="%7."/>
      <w:lvlJc w:val="left"/>
      <w:pPr>
        <w:ind w:left="3347" w:hanging="420"/>
      </w:pPr>
    </w:lvl>
    <w:lvl w:ilvl="7" w:tentative="0">
      <w:start w:val="1"/>
      <w:numFmt w:val="lowerLetter"/>
      <w:lvlText w:val="%8)"/>
      <w:lvlJc w:val="left"/>
      <w:pPr>
        <w:ind w:left="3767" w:hanging="420"/>
      </w:pPr>
    </w:lvl>
    <w:lvl w:ilvl="8" w:tentative="0">
      <w:start w:val="1"/>
      <w:numFmt w:val="lowerRoman"/>
      <w:lvlText w:val="%9."/>
      <w:lvlJc w:val="right"/>
      <w:pPr>
        <w:ind w:left="4187" w:hanging="420"/>
      </w:pPr>
    </w:lvl>
  </w:abstractNum>
  <w:abstractNum w:abstractNumId="6">
    <w:nsid w:val="6B335080"/>
    <w:multiLevelType w:val="multilevel"/>
    <w:tmpl w:val="6B335080"/>
    <w:lvl w:ilvl="0" w:tentative="0">
      <w:start w:val="1"/>
      <w:numFmt w:val="decimal"/>
      <w:lvlText w:val="%1）"/>
      <w:lvlJc w:val="left"/>
      <w:pPr>
        <w:tabs>
          <w:tab w:val="left" w:pos="454"/>
        </w:tabs>
        <w:ind w:left="0" w:firstLine="454"/>
      </w:pPr>
      <w:rPr>
        <w:rFonts w:hint="default" w:ascii="Arial" w:hAnsi="Arial"/>
        <w:b w:val="0"/>
        <w:i w:val="0"/>
        <w:sz w:val="21"/>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num w:numId="1">
    <w:abstractNumId w:val="2"/>
  </w:num>
  <w:num w:numId="2">
    <w:abstractNumId w:val="3"/>
  </w:num>
  <w:num w:numId="3">
    <w:abstractNumId w:val="0"/>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D9C"/>
    <w:rsid w:val="00004A27"/>
    <w:rsid w:val="00005314"/>
    <w:rsid w:val="0000545C"/>
    <w:rsid w:val="00011008"/>
    <w:rsid w:val="00011038"/>
    <w:rsid w:val="000125C5"/>
    <w:rsid w:val="00012919"/>
    <w:rsid w:val="00013BC2"/>
    <w:rsid w:val="00013C14"/>
    <w:rsid w:val="00014556"/>
    <w:rsid w:val="000159AB"/>
    <w:rsid w:val="00015E5D"/>
    <w:rsid w:val="00016341"/>
    <w:rsid w:val="00016A30"/>
    <w:rsid w:val="000204E7"/>
    <w:rsid w:val="00021051"/>
    <w:rsid w:val="000235D1"/>
    <w:rsid w:val="00024958"/>
    <w:rsid w:val="00024DAB"/>
    <w:rsid w:val="00027223"/>
    <w:rsid w:val="00027934"/>
    <w:rsid w:val="000314F9"/>
    <w:rsid w:val="00033AD8"/>
    <w:rsid w:val="00033CE3"/>
    <w:rsid w:val="00033D0E"/>
    <w:rsid w:val="0003418A"/>
    <w:rsid w:val="00034B8C"/>
    <w:rsid w:val="000367E9"/>
    <w:rsid w:val="00036C4A"/>
    <w:rsid w:val="000377FE"/>
    <w:rsid w:val="000378F4"/>
    <w:rsid w:val="00037B34"/>
    <w:rsid w:val="00040922"/>
    <w:rsid w:val="000436F8"/>
    <w:rsid w:val="00043755"/>
    <w:rsid w:val="000440A0"/>
    <w:rsid w:val="000441A9"/>
    <w:rsid w:val="00044C9F"/>
    <w:rsid w:val="0004710E"/>
    <w:rsid w:val="000505C6"/>
    <w:rsid w:val="00054941"/>
    <w:rsid w:val="00055003"/>
    <w:rsid w:val="00055340"/>
    <w:rsid w:val="00056929"/>
    <w:rsid w:val="00057E66"/>
    <w:rsid w:val="00057F4D"/>
    <w:rsid w:val="00060C04"/>
    <w:rsid w:val="00061F5A"/>
    <w:rsid w:val="000623AB"/>
    <w:rsid w:val="00064481"/>
    <w:rsid w:val="000648C9"/>
    <w:rsid w:val="00066672"/>
    <w:rsid w:val="00066C57"/>
    <w:rsid w:val="000673B5"/>
    <w:rsid w:val="000677F2"/>
    <w:rsid w:val="00070225"/>
    <w:rsid w:val="000715EC"/>
    <w:rsid w:val="000716A1"/>
    <w:rsid w:val="0007323F"/>
    <w:rsid w:val="00073B0F"/>
    <w:rsid w:val="00073F49"/>
    <w:rsid w:val="00076750"/>
    <w:rsid w:val="00077978"/>
    <w:rsid w:val="00077EBB"/>
    <w:rsid w:val="00080018"/>
    <w:rsid w:val="00080C20"/>
    <w:rsid w:val="000815AE"/>
    <w:rsid w:val="00081B5C"/>
    <w:rsid w:val="00083B5E"/>
    <w:rsid w:val="00084614"/>
    <w:rsid w:val="00084D90"/>
    <w:rsid w:val="00084D92"/>
    <w:rsid w:val="000858D4"/>
    <w:rsid w:val="00085D96"/>
    <w:rsid w:val="0008773E"/>
    <w:rsid w:val="00087966"/>
    <w:rsid w:val="0008797D"/>
    <w:rsid w:val="00090558"/>
    <w:rsid w:val="0009151A"/>
    <w:rsid w:val="000921E2"/>
    <w:rsid w:val="000935B3"/>
    <w:rsid w:val="00093AB1"/>
    <w:rsid w:val="00094F0A"/>
    <w:rsid w:val="00095EB2"/>
    <w:rsid w:val="000A0A92"/>
    <w:rsid w:val="000A0FE0"/>
    <w:rsid w:val="000A33C2"/>
    <w:rsid w:val="000A34BA"/>
    <w:rsid w:val="000A4102"/>
    <w:rsid w:val="000A471B"/>
    <w:rsid w:val="000A475D"/>
    <w:rsid w:val="000A4AB3"/>
    <w:rsid w:val="000A5A40"/>
    <w:rsid w:val="000A5BC1"/>
    <w:rsid w:val="000A5D4F"/>
    <w:rsid w:val="000A63ED"/>
    <w:rsid w:val="000B0F3F"/>
    <w:rsid w:val="000B20F8"/>
    <w:rsid w:val="000B2428"/>
    <w:rsid w:val="000B36CA"/>
    <w:rsid w:val="000B6A01"/>
    <w:rsid w:val="000B6A07"/>
    <w:rsid w:val="000C29FB"/>
    <w:rsid w:val="000C2A76"/>
    <w:rsid w:val="000C37C6"/>
    <w:rsid w:val="000C4058"/>
    <w:rsid w:val="000C45B7"/>
    <w:rsid w:val="000C587A"/>
    <w:rsid w:val="000D0044"/>
    <w:rsid w:val="000D0A89"/>
    <w:rsid w:val="000D0A95"/>
    <w:rsid w:val="000D22B4"/>
    <w:rsid w:val="000D49EE"/>
    <w:rsid w:val="000D545E"/>
    <w:rsid w:val="000E1DAD"/>
    <w:rsid w:val="000E3912"/>
    <w:rsid w:val="000E3A64"/>
    <w:rsid w:val="000E40A0"/>
    <w:rsid w:val="000E451A"/>
    <w:rsid w:val="000E4B38"/>
    <w:rsid w:val="000E5618"/>
    <w:rsid w:val="000E7166"/>
    <w:rsid w:val="000E7B97"/>
    <w:rsid w:val="000F3733"/>
    <w:rsid w:val="000F59C9"/>
    <w:rsid w:val="000F6D25"/>
    <w:rsid w:val="001003E1"/>
    <w:rsid w:val="00101AAC"/>
    <w:rsid w:val="001028C5"/>
    <w:rsid w:val="00102FAF"/>
    <w:rsid w:val="00103CB0"/>
    <w:rsid w:val="001042E8"/>
    <w:rsid w:val="0010462B"/>
    <w:rsid w:val="00104CFA"/>
    <w:rsid w:val="001058AF"/>
    <w:rsid w:val="00107647"/>
    <w:rsid w:val="00107E75"/>
    <w:rsid w:val="0011135B"/>
    <w:rsid w:val="0011160B"/>
    <w:rsid w:val="001124AF"/>
    <w:rsid w:val="001130C9"/>
    <w:rsid w:val="00113659"/>
    <w:rsid w:val="0011392A"/>
    <w:rsid w:val="00115255"/>
    <w:rsid w:val="00115A62"/>
    <w:rsid w:val="00116CE0"/>
    <w:rsid w:val="001174F4"/>
    <w:rsid w:val="00120ECD"/>
    <w:rsid w:val="00120EF2"/>
    <w:rsid w:val="00121528"/>
    <w:rsid w:val="001221B8"/>
    <w:rsid w:val="001225BF"/>
    <w:rsid w:val="0012343F"/>
    <w:rsid w:val="00124441"/>
    <w:rsid w:val="00126719"/>
    <w:rsid w:val="00131AA7"/>
    <w:rsid w:val="00131B43"/>
    <w:rsid w:val="0013241D"/>
    <w:rsid w:val="00134562"/>
    <w:rsid w:val="00134AE9"/>
    <w:rsid w:val="00134CA0"/>
    <w:rsid w:val="001369A9"/>
    <w:rsid w:val="00137683"/>
    <w:rsid w:val="001428E5"/>
    <w:rsid w:val="00142B97"/>
    <w:rsid w:val="00146EB9"/>
    <w:rsid w:val="00152261"/>
    <w:rsid w:val="00157678"/>
    <w:rsid w:val="001602FF"/>
    <w:rsid w:val="001608EE"/>
    <w:rsid w:val="0016131B"/>
    <w:rsid w:val="001633B3"/>
    <w:rsid w:val="00164668"/>
    <w:rsid w:val="0016498A"/>
    <w:rsid w:val="001664D1"/>
    <w:rsid w:val="00166F8B"/>
    <w:rsid w:val="00170591"/>
    <w:rsid w:val="00170623"/>
    <w:rsid w:val="00170F0B"/>
    <w:rsid w:val="00172826"/>
    <w:rsid w:val="00172A27"/>
    <w:rsid w:val="00172D6C"/>
    <w:rsid w:val="00172F14"/>
    <w:rsid w:val="00177FEE"/>
    <w:rsid w:val="00181612"/>
    <w:rsid w:val="00182C8A"/>
    <w:rsid w:val="0018347A"/>
    <w:rsid w:val="001840F9"/>
    <w:rsid w:val="00185656"/>
    <w:rsid w:val="00185CCC"/>
    <w:rsid w:val="00185FCB"/>
    <w:rsid w:val="00190E25"/>
    <w:rsid w:val="00193AC3"/>
    <w:rsid w:val="0019477C"/>
    <w:rsid w:val="00196466"/>
    <w:rsid w:val="001A0831"/>
    <w:rsid w:val="001A0C1B"/>
    <w:rsid w:val="001A0C24"/>
    <w:rsid w:val="001A0F5A"/>
    <w:rsid w:val="001A1EC9"/>
    <w:rsid w:val="001A38B3"/>
    <w:rsid w:val="001A4C27"/>
    <w:rsid w:val="001B00BE"/>
    <w:rsid w:val="001B0BB0"/>
    <w:rsid w:val="001B3ACA"/>
    <w:rsid w:val="001B3B55"/>
    <w:rsid w:val="001B4D81"/>
    <w:rsid w:val="001B603D"/>
    <w:rsid w:val="001B731C"/>
    <w:rsid w:val="001B78D8"/>
    <w:rsid w:val="001C0138"/>
    <w:rsid w:val="001C1D0B"/>
    <w:rsid w:val="001C2270"/>
    <w:rsid w:val="001C33A0"/>
    <w:rsid w:val="001C34C9"/>
    <w:rsid w:val="001C516C"/>
    <w:rsid w:val="001C67BC"/>
    <w:rsid w:val="001C6FE1"/>
    <w:rsid w:val="001D010B"/>
    <w:rsid w:val="001D04F9"/>
    <w:rsid w:val="001D136B"/>
    <w:rsid w:val="001D1F3F"/>
    <w:rsid w:val="001D257D"/>
    <w:rsid w:val="001D398E"/>
    <w:rsid w:val="001D4151"/>
    <w:rsid w:val="001D44D6"/>
    <w:rsid w:val="001D536C"/>
    <w:rsid w:val="001D60A9"/>
    <w:rsid w:val="001D69D9"/>
    <w:rsid w:val="001E0AF8"/>
    <w:rsid w:val="001E2480"/>
    <w:rsid w:val="001E24D8"/>
    <w:rsid w:val="001E2CD7"/>
    <w:rsid w:val="001E3700"/>
    <w:rsid w:val="001E5513"/>
    <w:rsid w:val="001E571B"/>
    <w:rsid w:val="001E6C48"/>
    <w:rsid w:val="001E74A6"/>
    <w:rsid w:val="001F010D"/>
    <w:rsid w:val="001F017F"/>
    <w:rsid w:val="001F0F85"/>
    <w:rsid w:val="001F2702"/>
    <w:rsid w:val="001F2C73"/>
    <w:rsid w:val="001F30C5"/>
    <w:rsid w:val="001F4EBA"/>
    <w:rsid w:val="001F55AF"/>
    <w:rsid w:val="00200D62"/>
    <w:rsid w:val="00200D85"/>
    <w:rsid w:val="00200F2D"/>
    <w:rsid w:val="00201286"/>
    <w:rsid w:val="00201713"/>
    <w:rsid w:val="00201DA0"/>
    <w:rsid w:val="002020E7"/>
    <w:rsid w:val="002029C9"/>
    <w:rsid w:val="00204611"/>
    <w:rsid w:val="00204C10"/>
    <w:rsid w:val="002065CD"/>
    <w:rsid w:val="0020683B"/>
    <w:rsid w:val="002077CB"/>
    <w:rsid w:val="0021154B"/>
    <w:rsid w:val="002124D5"/>
    <w:rsid w:val="00213A60"/>
    <w:rsid w:val="00213D80"/>
    <w:rsid w:val="002149C4"/>
    <w:rsid w:val="00215E84"/>
    <w:rsid w:val="00216617"/>
    <w:rsid w:val="00217B2A"/>
    <w:rsid w:val="00222314"/>
    <w:rsid w:val="00222BF7"/>
    <w:rsid w:val="00222DCC"/>
    <w:rsid w:val="00223850"/>
    <w:rsid w:val="00224131"/>
    <w:rsid w:val="002262DA"/>
    <w:rsid w:val="00226634"/>
    <w:rsid w:val="00226877"/>
    <w:rsid w:val="00226BCD"/>
    <w:rsid w:val="002271CF"/>
    <w:rsid w:val="00230C8B"/>
    <w:rsid w:val="0023159E"/>
    <w:rsid w:val="0023379F"/>
    <w:rsid w:val="00233CF9"/>
    <w:rsid w:val="002356DF"/>
    <w:rsid w:val="002360A9"/>
    <w:rsid w:val="002361DA"/>
    <w:rsid w:val="00236496"/>
    <w:rsid w:val="00237BAE"/>
    <w:rsid w:val="00240C69"/>
    <w:rsid w:val="002414A4"/>
    <w:rsid w:val="002420F6"/>
    <w:rsid w:val="00243508"/>
    <w:rsid w:val="002455DB"/>
    <w:rsid w:val="00247345"/>
    <w:rsid w:val="00247B02"/>
    <w:rsid w:val="00250E7D"/>
    <w:rsid w:val="002510D6"/>
    <w:rsid w:val="0025177A"/>
    <w:rsid w:val="0025233E"/>
    <w:rsid w:val="00252662"/>
    <w:rsid w:val="00253693"/>
    <w:rsid w:val="00253C2C"/>
    <w:rsid w:val="002553E8"/>
    <w:rsid w:val="0025781E"/>
    <w:rsid w:val="00260515"/>
    <w:rsid w:val="00260AA2"/>
    <w:rsid w:val="00261B9E"/>
    <w:rsid w:val="00261C00"/>
    <w:rsid w:val="002621A2"/>
    <w:rsid w:val="00262340"/>
    <w:rsid w:val="0026422E"/>
    <w:rsid w:val="0026438C"/>
    <w:rsid w:val="00264A31"/>
    <w:rsid w:val="00265346"/>
    <w:rsid w:val="00266E56"/>
    <w:rsid w:val="00270497"/>
    <w:rsid w:val="00270B85"/>
    <w:rsid w:val="00271222"/>
    <w:rsid w:val="002715DD"/>
    <w:rsid w:val="002716E2"/>
    <w:rsid w:val="002722FD"/>
    <w:rsid w:val="002723DC"/>
    <w:rsid w:val="0027454C"/>
    <w:rsid w:val="00275A77"/>
    <w:rsid w:val="00276211"/>
    <w:rsid w:val="00276A10"/>
    <w:rsid w:val="00276F91"/>
    <w:rsid w:val="002771D8"/>
    <w:rsid w:val="00277AE4"/>
    <w:rsid w:val="00277D65"/>
    <w:rsid w:val="002803AC"/>
    <w:rsid w:val="002805DD"/>
    <w:rsid w:val="002805FA"/>
    <w:rsid w:val="00282EDE"/>
    <w:rsid w:val="00282F50"/>
    <w:rsid w:val="00283E93"/>
    <w:rsid w:val="00284287"/>
    <w:rsid w:val="00285450"/>
    <w:rsid w:val="00285B4A"/>
    <w:rsid w:val="00285D70"/>
    <w:rsid w:val="0028737D"/>
    <w:rsid w:val="00287E7D"/>
    <w:rsid w:val="00291482"/>
    <w:rsid w:val="00294DDC"/>
    <w:rsid w:val="00295CF2"/>
    <w:rsid w:val="0029650C"/>
    <w:rsid w:val="002977B9"/>
    <w:rsid w:val="002A3875"/>
    <w:rsid w:val="002A47D9"/>
    <w:rsid w:val="002A4AF4"/>
    <w:rsid w:val="002A5EDD"/>
    <w:rsid w:val="002A74E7"/>
    <w:rsid w:val="002A77B6"/>
    <w:rsid w:val="002A7E9F"/>
    <w:rsid w:val="002B35D3"/>
    <w:rsid w:val="002B3D57"/>
    <w:rsid w:val="002B5AF5"/>
    <w:rsid w:val="002B5ED9"/>
    <w:rsid w:val="002B7125"/>
    <w:rsid w:val="002B7850"/>
    <w:rsid w:val="002B7E81"/>
    <w:rsid w:val="002C0F0E"/>
    <w:rsid w:val="002C27C4"/>
    <w:rsid w:val="002C323C"/>
    <w:rsid w:val="002C512D"/>
    <w:rsid w:val="002C5501"/>
    <w:rsid w:val="002C5C45"/>
    <w:rsid w:val="002D0A42"/>
    <w:rsid w:val="002D1F93"/>
    <w:rsid w:val="002D257E"/>
    <w:rsid w:val="002D2AFB"/>
    <w:rsid w:val="002D3C75"/>
    <w:rsid w:val="002D3FF1"/>
    <w:rsid w:val="002D4FB0"/>
    <w:rsid w:val="002D613D"/>
    <w:rsid w:val="002D627D"/>
    <w:rsid w:val="002D7148"/>
    <w:rsid w:val="002E085C"/>
    <w:rsid w:val="002E093D"/>
    <w:rsid w:val="002E1F5A"/>
    <w:rsid w:val="002E2AAA"/>
    <w:rsid w:val="002E5AF8"/>
    <w:rsid w:val="002E60EC"/>
    <w:rsid w:val="002E7FB5"/>
    <w:rsid w:val="002F0E4C"/>
    <w:rsid w:val="002F160B"/>
    <w:rsid w:val="002F1940"/>
    <w:rsid w:val="002F2A31"/>
    <w:rsid w:val="002F2F77"/>
    <w:rsid w:val="002F3BC5"/>
    <w:rsid w:val="002F5049"/>
    <w:rsid w:val="002F5DED"/>
    <w:rsid w:val="002F7698"/>
    <w:rsid w:val="00300B98"/>
    <w:rsid w:val="0030151F"/>
    <w:rsid w:val="00302A23"/>
    <w:rsid w:val="00302AA8"/>
    <w:rsid w:val="003067A8"/>
    <w:rsid w:val="00307454"/>
    <w:rsid w:val="003111F6"/>
    <w:rsid w:val="00312B82"/>
    <w:rsid w:val="00313BD2"/>
    <w:rsid w:val="00313C59"/>
    <w:rsid w:val="0031436F"/>
    <w:rsid w:val="00315C4A"/>
    <w:rsid w:val="00316130"/>
    <w:rsid w:val="0031652D"/>
    <w:rsid w:val="00316A17"/>
    <w:rsid w:val="00320C62"/>
    <w:rsid w:val="00323FB4"/>
    <w:rsid w:val="003242D6"/>
    <w:rsid w:val="00324444"/>
    <w:rsid w:val="00330BC3"/>
    <w:rsid w:val="00330CE0"/>
    <w:rsid w:val="00330DBB"/>
    <w:rsid w:val="0033376B"/>
    <w:rsid w:val="003353C6"/>
    <w:rsid w:val="00335AF5"/>
    <w:rsid w:val="0033758A"/>
    <w:rsid w:val="00343041"/>
    <w:rsid w:val="00343F31"/>
    <w:rsid w:val="00343FA1"/>
    <w:rsid w:val="003444B0"/>
    <w:rsid w:val="00345539"/>
    <w:rsid w:val="0034684B"/>
    <w:rsid w:val="0034704B"/>
    <w:rsid w:val="003476BC"/>
    <w:rsid w:val="003478B5"/>
    <w:rsid w:val="00347B79"/>
    <w:rsid w:val="00347EC9"/>
    <w:rsid w:val="003502F0"/>
    <w:rsid w:val="00351A42"/>
    <w:rsid w:val="00352DA0"/>
    <w:rsid w:val="003559F4"/>
    <w:rsid w:val="00355BA2"/>
    <w:rsid w:val="0035705D"/>
    <w:rsid w:val="00357481"/>
    <w:rsid w:val="00361BAB"/>
    <w:rsid w:val="00362600"/>
    <w:rsid w:val="00362FCF"/>
    <w:rsid w:val="00365334"/>
    <w:rsid w:val="003657BA"/>
    <w:rsid w:val="003675EC"/>
    <w:rsid w:val="00367BA5"/>
    <w:rsid w:val="003705C1"/>
    <w:rsid w:val="0037279E"/>
    <w:rsid w:val="00372CF7"/>
    <w:rsid w:val="003808F2"/>
    <w:rsid w:val="003816E8"/>
    <w:rsid w:val="0038187A"/>
    <w:rsid w:val="00383019"/>
    <w:rsid w:val="00391E80"/>
    <w:rsid w:val="00392260"/>
    <w:rsid w:val="00392BAE"/>
    <w:rsid w:val="00393458"/>
    <w:rsid w:val="00393C84"/>
    <w:rsid w:val="0039422A"/>
    <w:rsid w:val="0039463E"/>
    <w:rsid w:val="003947B3"/>
    <w:rsid w:val="003959BD"/>
    <w:rsid w:val="00396E3D"/>
    <w:rsid w:val="00397F79"/>
    <w:rsid w:val="003A1041"/>
    <w:rsid w:val="003A1C3C"/>
    <w:rsid w:val="003A3824"/>
    <w:rsid w:val="003A3F83"/>
    <w:rsid w:val="003A4A49"/>
    <w:rsid w:val="003A7678"/>
    <w:rsid w:val="003B1FC4"/>
    <w:rsid w:val="003B3094"/>
    <w:rsid w:val="003B3D64"/>
    <w:rsid w:val="003B4254"/>
    <w:rsid w:val="003B4FBE"/>
    <w:rsid w:val="003B5D00"/>
    <w:rsid w:val="003B6372"/>
    <w:rsid w:val="003B73F4"/>
    <w:rsid w:val="003C0058"/>
    <w:rsid w:val="003C114E"/>
    <w:rsid w:val="003C240F"/>
    <w:rsid w:val="003C26DA"/>
    <w:rsid w:val="003C4935"/>
    <w:rsid w:val="003C6978"/>
    <w:rsid w:val="003C6D34"/>
    <w:rsid w:val="003D002B"/>
    <w:rsid w:val="003D054C"/>
    <w:rsid w:val="003D064D"/>
    <w:rsid w:val="003D2627"/>
    <w:rsid w:val="003D27FC"/>
    <w:rsid w:val="003D3180"/>
    <w:rsid w:val="003D3F34"/>
    <w:rsid w:val="003D49A2"/>
    <w:rsid w:val="003D50E5"/>
    <w:rsid w:val="003D557D"/>
    <w:rsid w:val="003D5BA3"/>
    <w:rsid w:val="003E0083"/>
    <w:rsid w:val="003E0D30"/>
    <w:rsid w:val="003E0F5A"/>
    <w:rsid w:val="003E12AE"/>
    <w:rsid w:val="003E1D02"/>
    <w:rsid w:val="003E24A2"/>
    <w:rsid w:val="003E2EBA"/>
    <w:rsid w:val="003E3075"/>
    <w:rsid w:val="003E494F"/>
    <w:rsid w:val="003E5A2D"/>
    <w:rsid w:val="003E656F"/>
    <w:rsid w:val="003E6DDE"/>
    <w:rsid w:val="003E7AB2"/>
    <w:rsid w:val="003F04F4"/>
    <w:rsid w:val="003F2292"/>
    <w:rsid w:val="003F274A"/>
    <w:rsid w:val="003F31AD"/>
    <w:rsid w:val="003F413B"/>
    <w:rsid w:val="003F4494"/>
    <w:rsid w:val="003F4EB4"/>
    <w:rsid w:val="003F5F2C"/>
    <w:rsid w:val="003F7775"/>
    <w:rsid w:val="003F78B7"/>
    <w:rsid w:val="00400C53"/>
    <w:rsid w:val="00401716"/>
    <w:rsid w:val="00403760"/>
    <w:rsid w:val="004043CF"/>
    <w:rsid w:val="00404EF7"/>
    <w:rsid w:val="00406763"/>
    <w:rsid w:val="004071B5"/>
    <w:rsid w:val="004113FD"/>
    <w:rsid w:val="00411630"/>
    <w:rsid w:val="00415791"/>
    <w:rsid w:val="004157A4"/>
    <w:rsid w:val="0041626F"/>
    <w:rsid w:val="0041711E"/>
    <w:rsid w:val="004211B5"/>
    <w:rsid w:val="0042245F"/>
    <w:rsid w:val="00422520"/>
    <w:rsid w:val="00422A72"/>
    <w:rsid w:val="00422CAC"/>
    <w:rsid w:val="00423576"/>
    <w:rsid w:val="00423BBE"/>
    <w:rsid w:val="00424ECC"/>
    <w:rsid w:val="0042565C"/>
    <w:rsid w:val="00426A1F"/>
    <w:rsid w:val="00427994"/>
    <w:rsid w:val="00430BBB"/>
    <w:rsid w:val="004315C8"/>
    <w:rsid w:val="00433344"/>
    <w:rsid w:val="00434BBC"/>
    <w:rsid w:val="00435D40"/>
    <w:rsid w:val="0043616F"/>
    <w:rsid w:val="00436348"/>
    <w:rsid w:val="004371C6"/>
    <w:rsid w:val="0043736D"/>
    <w:rsid w:val="004415D7"/>
    <w:rsid w:val="00442BC0"/>
    <w:rsid w:val="004472B1"/>
    <w:rsid w:val="00447BFF"/>
    <w:rsid w:val="004500A6"/>
    <w:rsid w:val="00450B84"/>
    <w:rsid w:val="0045146B"/>
    <w:rsid w:val="00451BBB"/>
    <w:rsid w:val="004523C2"/>
    <w:rsid w:val="00452455"/>
    <w:rsid w:val="00453E8B"/>
    <w:rsid w:val="00454692"/>
    <w:rsid w:val="00454956"/>
    <w:rsid w:val="00454C8F"/>
    <w:rsid w:val="00455DEB"/>
    <w:rsid w:val="00455F19"/>
    <w:rsid w:val="00456325"/>
    <w:rsid w:val="004574F0"/>
    <w:rsid w:val="00461147"/>
    <w:rsid w:val="00463165"/>
    <w:rsid w:val="00463258"/>
    <w:rsid w:val="0046388F"/>
    <w:rsid w:val="004647A5"/>
    <w:rsid w:val="004653EA"/>
    <w:rsid w:val="004662E3"/>
    <w:rsid w:val="00466D87"/>
    <w:rsid w:val="00467554"/>
    <w:rsid w:val="00471302"/>
    <w:rsid w:val="004722F1"/>
    <w:rsid w:val="00475318"/>
    <w:rsid w:val="00476C28"/>
    <w:rsid w:val="00481639"/>
    <w:rsid w:val="00482E6B"/>
    <w:rsid w:val="00483460"/>
    <w:rsid w:val="0048473B"/>
    <w:rsid w:val="00484E76"/>
    <w:rsid w:val="00485111"/>
    <w:rsid w:val="00486E62"/>
    <w:rsid w:val="004910F1"/>
    <w:rsid w:val="004916A6"/>
    <w:rsid w:val="00491B19"/>
    <w:rsid w:val="004929AD"/>
    <w:rsid w:val="00494101"/>
    <w:rsid w:val="004965B8"/>
    <w:rsid w:val="00496788"/>
    <w:rsid w:val="00496D57"/>
    <w:rsid w:val="00497944"/>
    <w:rsid w:val="00497F0B"/>
    <w:rsid w:val="004A015A"/>
    <w:rsid w:val="004A14CC"/>
    <w:rsid w:val="004A3033"/>
    <w:rsid w:val="004A4002"/>
    <w:rsid w:val="004A45E9"/>
    <w:rsid w:val="004A5830"/>
    <w:rsid w:val="004A62D3"/>
    <w:rsid w:val="004B296B"/>
    <w:rsid w:val="004B2B83"/>
    <w:rsid w:val="004B383E"/>
    <w:rsid w:val="004B3A1E"/>
    <w:rsid w:val="004B406E"/>
    <w:rsid w:val="004B4752"/>
    <w:rsid w:val="004B5068"/>
    <w:rsid w:val="004B56D7"/>
    <w:rsid w:val="004B665F"/>
    <w:rsid w:val="004B6D3E"/>
    <w:rsid w:val="004C111D"/>
    <w:rsid w:val="004C1839"/>
    <w:rsid w:val="004C22D6"/>
    <w:rsid w:val="004C3499"/>
    <w:rsid w:val="004C3F5C"/>
    <w:rsid w:val="004C4693"/>
    <w:rsid w:val="004C509F"/>
    <w:rsid w:val="004C6C81"/>
    <w:rsid w:val="004D0A88"/>
    <w:rsid w:val="004D1C9F"/>
    <w:rsid w:val="004D20F8"/>
    <w:rsid w:val="004D2FA6"/>
    <w:rsid w:val="004D357E"/>
    <w:rsid w:val="004D4A1B"/>
    <w:rsid w:val="004D4ADD"/>
    <w:rsid w:val="004D6585"/>
    <w:rsid w:val="004D6C72"/>
    <w:rsid w:val="004D6F13"/>
    <w:rsid w:val="004D7752"/>
    <w:rsid w:val="004E0AFF"/>
    <w:rsid w:val="004E25EC"/>
    <w:rsid w:val="004E31C9"/>
    <w:rsid w:val="004E392E"/>
    <w:rsid w:val="004E3D5F"/>
    <w:rsid w:val="004E4F37"/>
    <w:rsid w:val="004E58C6"/>
    <w:rsid w:val="004E58F2"/>
    <w:rsid w:val="004E7339"/>
    <w:rsid w:val="004E7930"/>
    <w:rsid w:val="004E7F4F"/>
    <w:rsid w:val="004F027B"/>
    <w:rsid w:val="004F4E76"/>
    <w:rsid w:val="004F5376"/>
    <w:rsid w:val="004F6320"/>
    <w:rsid w:val="004F6FE8"/>
    <w:rsid w:val="004F7C5C"/>
    <w:rsid w:val="00500979"/>
    <w:rsid w:val="0050184F"/>
    <w:rsid w:val="00501854"/>
    <w:rsid w:val="00502DC7"/>
    <w:rsid w:val="005038D8"/>
    <w:rsid w:val="005041A1"/>
    <w:rsid w:val="005065A7"/>
    <w:rsid w:val="00507379"/>
    <w:rsid w:val="005073BA"/>
    <w:rsid w:val="00510059"/>
    <w:rsid w:val="00510177"/>
    <w:rsid w:val="0051028A"/>
    <w:rsid w:val="005113E9"/>
    <w:rsid w:val="00513BF6"/>
    <w:rsid w:val="00514472"/>
    <w:rsid w:val="005164BC"/>
    <w:rsid w:val="0051687E"/>
    <w:rsid w:val="00520F60"/>
    <w:rsid w:val="005211DE"/>
    <w:rsid w:val="0052255E"/>
    <w:rsid w:val="00522916"/>
    <w:rsid w:val="005234A0"/>
    <w:rsid w:val="00523D9F"/>
    <w:rsid w:val="00526D29"/>
    <w:rsid w:val="00527996"/>
    <w:rsid w:val="00527AAE"/>
    <w:rsid w:val="00527D63"/>
    <w:rsid w:val="005303E0"/>
    <w:rsid w:val="00530F2D"/>
    <w:rsid w:val="00531D51"/>
    <w:rsid w:val="005351AE"/>
    <w:rsid w:val="005364A7"/>
    <w:rsid w:val="00536CE9"/>
    <w:rsid w:val="00536D33"/>
    <w:rsid w:val="00537128"/>
    <w:rsid w:val="0053760F"/>
    <w:rsid w:val="00537624"/>
    <w:rsid w:val="00537BC9"/>
    <w:rsid w:val="005415FF"/>
    <w:rsid w:val="00542F00"/>
    <w:rsid w:val="00543015"/>
    <w:rsid w:val="00544280"/>
    <w:rsid w:val="00544E07"/>
    <w:rsid w:val="005454C4"/>
    <w:rsid w:val="00545C72"/>
    <w:rsid w:val="005464B3"/>
    <w:rsid w:val="00546733"/>
    <w:rsid w:val="00546EAD"/>
    <w:rsid w:val="00547ED3"/>
    <w:rsid w:val="005500AF"/>
    <w:rsid w:val="0055166A"/>
    <w:rsid w:val="00552E38"/>
    <w:rsid w:val="0055378A"/>
    <w:rsid w:val="00554087"/>
    <w:rsid w:val="00555549"/>
    <w:rsid w:val="00555E69"/>
    <w:rsid w:val="005605E9"/>
    <w:rsid w:val="005606FC"/>
    <w:rsid w:val="005620BD"/>
    <w:rsid w:val="005621D0"/>
    <w:rsid w:val="00562874"/>
    <w:rsid w:val="00563227"/>
    <w:rsid w:val="00563480"/>
    <w:rsid w:val="005641D1"/>
    <w:rsid w:val="00564D40"/>
    <w:rsid w:val="005656B1"/>
    <w:rsid w:val="0056578A"/>
    <w:rsid w:val="00567976"/>
    <w:rsid w:val="005705E5"/>
    <w:rsid w:val="00572018"/>
    <w:rsid w:val="005731AC"/>
    <w:rsid w:val="00573559"/>
    <w:rsid w:val="005745D9"/>
    <w:rsid w:val="00574775"/>
    <w:rsid w:val="00575FF0"/>
    <w:rsid w:val="00576756"/>
    <w:rsid w:val="00581CAC"/>
    <w:rsid w:val="00582555"/>
    <w:rsid w:val="0058288F"/>
    <w:rsid w:val="00583263"/>
    <w:rsid w:val="00583DD1"/>
    <w:rsid w:val="0058422D"/>
    <w:rsid w:val="00584EC5"/>
    <w:rsid w:val="005872FF"/>
    <w:rsid w:val="0059061B"/>
    <w:rsid w:val="00591529"/>
    <w:rsid w:val="005927D7"/>
    <w:rsid w:val="00593746"/>
    <w:rsid w:val="00594033"/>
    <w:rsid w:val="005945D3"/>
    <w:rsid w:val="0059544C"/>
    <w:rsid w:val="00596AF8"/>
    <w:rsid w:val="00597CBB"/>
    <w:rsid w:val="005A1698"/>
    <w:rsid w:val="005A180D"/>
    <w:rsid w:val="005A18C1"/>
    <w:rsid w:val="005A1C8D"/>
    <w:rsid w:val="005A2ED9"/>
    <w:rsid w:val="005A316B"/>
    <w:rsid w:val="005A4AC4"/>
    <w:rsid w:val="005A4E6A"/>
    <w:rsid w:val="005A4FA6"/>
    <w:rsid w:val="005A5012"/>
    <w:rsid w:val="005A67C4"/>
    <w:rsid w:val="005A6893"/>
    <w:rsid w:val="005A6C8C"/>
    <w:rsid w:val="005B07B0"/>
    <w:rsid w:val="005B090B"/>
    <w:rsid w:val="005B18B2"/>
    <w:rsid w:val="005B295B"/>
    <w:rsid w:val="005B43FE"/>
    <w:rsid w:val="005B583B"/>
    <w:rsid w:val="005B6202"/>
    <w:rsid w:val="005B6F8B"/>
    <w:rsid w:val="005B73AB"/>
    <w:rsid w:val="005C1AAC"/>
    <w:rsid w:val="005C3011"/>
    <w:rsid w:val="005C344C"/>
    <w:rsid w:val="005C3F95"/>
    <w:rsid w:val="005C4C36"/>
    <w:rsid w:val="005C4CBB"/>
    <w:rsid w:val="005C5674"/>
    <w:rsid w:val="005C7467"/>
    <w:rsid w:val="005C7DC9"/>
    <w:rsid w:val="005D007B"/>
    <w:rsid w:val="005D2F3F"/>
    <w:rsid w:val="005D3072"/>
    <w:rsid w:val="005D3BDF"/>
    <w:rsid w:val="005D4935"/>
    <w:rsid w:val="005D6B07"/>
    <w:rsid w:val="005D7B86"/>
    <w:rsid w:val="005E1851"/>
    <w:rsid w:val="005E28E9"/>
    <w:rsid w:val="005E3877"/>
    <w:rsid w:val="005E3DCC"/>
    <w:rsid w:val="005E73BB"/>
    <w:rsid w:val="005F0263"/>
    <w:rsid w:val="005F1C37"/>
    <w:rsid w:val="005F2E6D"/>
    <w:rsid w:val="005F3296"/>
    <w:rsid w:val="005F3354"/>
    <w:rsid w:val="005F33CD"/>
    <w:rsid w:val="006004C9"/>
    <w:rsid w:val="0060329C"/>
    <w:rsid w:val="00603C6B"/>
    <w:rsid w:val="00610529"/>
    <w:rsid w:val="0061090E"/>
    <w:rsid w:val="00611624"/>
    <w:rsid w:val="006121BD"/>
    <w:rsid w:val="006126EE"/>
    <w:rsid w:val="00612C5B"/>
    <w:rsid w:val="006140D6"/>
    <w:rsid w:val="00615588"/>
    <w:rsid w:val="00615A80"/>
    <w:rsid w:val="006200AA"/>
    <w:rsid w:val="00620EEB"/>
    <w:rsid w:val="00621899"/>
    <w:rsid w:val="00621A9A"/>
    <w:rsid w:val="00622890"/>
    <w:rsid w:val="00624874"/>
    <w:rsid w:val="00624B36"/>
    <w:rsid w:val="0063002B"/>
    <w:rsid w:val="006303AA"/>
    <w:rsid w:val="006304E2"/>
    <w:rsid w:val="006307BB"/>
    <w:rsid w:val="006316BE"/>
    <w:rsid w:val="0063264C"/>
    <w:rsid w:val="0063514F"/>
    <w:rsid w:val="00635F09"/>
    <w:rsid w:val="006363DE"/>
    <w:rsid w:val="00636C73"/>
    <w:rsid w:val="00637233"/>
    <w:rsid w:val="006402C1"/>
    <w:rsid w:val="00640D18"/>
    <w:rsid w:val="0064112B"/>
    <w:rsid w:val="006411DF"/>
    <w:rsid w:val="00641305"/>
    <w:rsid w:val="006413D4"/>
    <w:rsid w:val="006416EE"/>
    <w:rsid w:val="0064289E"/>
    <w:rsid w:val="00643F31"/>
    <w:rsid w:val="006446D4"/>
    <w:rsid w:val="00646311"/>
    <w:rsid w:val="00647CCA"/>
    <w:rsid w:val="00650401"/>
    <w:rsid w:val="00650570"/>
    <w:rsid w:val="006506E9"/>
    <w:rsid w:val="00653542"/>
    <w:rsid w:val="00654BA9"/>
    <w:rsid w:val="00654CA2"/>
    <w:rsid w:val="00656EE3"/>
    <w:rsid w:val="00657B79"/>
    <w:rsid w:val="0066071A"/>
    <w:rsid w:val="00664E64"/>
    <w:rsid w:val="0066632C"/>
    <w:rsid w:val="006707DF"/>
    <w:rsid w:val="006717F5"/>
    <w:rsid w:val="00671803"/>
    <w:rsid w:val="00672120"/>
    <w:rsid w:val="00672C9B"/>
    <w:rsid w:val="006731C8"/>
    <w:rsid w:val="0067549A"/>
    <w:rsid w:val="00675EB3"/>
    <w:rsid w:val="00676656"/>
    <w:rsid w:val="00676CE4"/>
    <w:rsid w:val="00677959"/>
    <w:rsid w:val="00677EF6"/>
    <w:rsid w:val="006804BA"/>
    <w:rsid w:val="00681A0B"/>
    <w:rsid w:val="00681DD4"/>
    <w:rsid w:val="00683AB2"/>
    <w:rsid w:val="0068442A"/>
    <w:rsid w:val="006847DE"/>
    <w:rsid w:val="0068565D"/>
    <w:rsid w:val="006860BD"/>
    <w:rsid w:val="00687A11"/>
    <w:rsid w:val="00687B79"/>
    <w:rsid w:val="00687CF0"/>
    <w:rsid w:val="00690C5E"/>
    <w:rsid w:val="00692500"/>
    <w:rsid w:val="00694488"/>
    <w:rsid w:val="006948A8"/>
    <w:rsid w:val="0069549D"/>
    <w:rsid w:val="006958E1"/>
    <w:rsid w:val="006973AA"/>
    <w:rsid w:val="006A0870"/>
    <w:rsid w:val="006A1961"/>
    <w:rsid w:val="006A1FD4"/>
    <w:rsid w:val="006A301D"/>
    <w:rsid w:val="006A5C04"/>
    <w:rsid w:val="006A6300"/>
    <w:rsid w:val="006A6BB6"/>
    <w:rsid w:val="006B0FB3"/>
    <w:rsid w:val="006B173D"/>
    <w:rsid w:val="006B309C"/>
    <w:rsid w:val="006B3839"/>
    <w:rsid w:val="006B49AC"/>
    <w:rsid w:val="006B4BB8"/>
    <w:rsid w:val="006B5165"/>
    <w:rsid w:val="006B5C57"/>
    <w:rsid w:val="006B5CA5"/>
    <w:rsid w:val="006B5CE5"/>
    <w:rsid w:val="006C0498"/>
    <w:rsid w:val="006C07B8"/>
    <w:rsid w:val="006C2A2F"/>
    <w:rsid w:val="006C345F"/>
    <w:rsid w:val="006C4596"/>
    <w:rsid w:val="006C4956"/>
    <w:rsid w:val="006C4B35"/>
    <w:rsid w:val="006C5E7A"/>
    <w:rsid w:val="006C7100"/>
    <w:rsid w:val="006D12B0"/>
    <w:rsid w:val="006D1487"/>
    <w:rsid w:val="006D2AF7"/>
    <w:rsid w:val="006D3A57"/>
    <w:rsid w:val="006D4B96"/>
    <w:rsid w:val="006D576F"/>
    <w:rsid w:val="006D5789"/>
    <w:rsid w:val="006D6B48"/>
    <w:rsid w:val="006E0B0C"/>
    <w:rsid w:val="006E0BDA"/>
    <w:rsid w:val="006E0FD8"/>
    <w:rsid w:val="006E1BC9"/>
    <w:rsid w:val="006E248F"/>
    <w:rsid w:val="006E2573"/>
    <w:rsid w:val="006E376C"/>
    <w:rsid w:val="006E51E8"/>
    <w:rsid w:val="006E59EE"/>
    <w:rsid w:val="006E7CF7"/>
    <w:rsid w:val="006F1B05"/>
    <w:rsid w:val="006F23C2"/>
    <w:rsid w:val="006F2603"/>
    <w:rsid w:val="006F2A67"/>
    <w:rsid w:val="006F32F8"/>
    <w:rsid w:val="006F35F3"/>
    <w:rsid w:val="006F38D0"/>
    <w:rsid w:val="006F3F3A"/>
    <w:rsid w:val="006F4164"/>
    <w:rsid w:val="006F730A"/>
    <w:rsid w:val="00700246"/>
    <w:rsid w:val="007004BF"/>
    <w:rsid w:val="007007D4"/>
    <w:rsid w:val="007022DB"/>
    <w:rsid w:val="00704436"/>
    <w:rsid w:val="00704626"/>
    <w:rsid w:val="00705C37"/>
    <w:rsid w:val="007063F9"/>
    <w:rsid w:val="007075FE"/>
    <w:rsid w:val="00707714"/>
    <w:rsid w:val="00707CF0"/>
    <w:rsid w:val="00710929"/>
    <w:rsid w:val="0071184B"/>
    <w:rsid w:val="00711A2B"/>
    <w:rsid w:val="007141F4"/>
    <w:rsid w:val="00715348"/>
    <w:rsid w:val="007159B8"/>
    <w:rsid w:val="00715C88"/>
    <w:rsid w:val="00716261"/>
    <w:rsid w:val="00716685"/>
    <w:rsid w:val="00716B2B"/>
    <w:rsid w:val="00716B36"/>
    <w:rsid w:val="0071709A"/>
    <w:rsid w:val="0071790F"/>
    <w:rsid w:val="00717B6A"/>
    <w:rsid w:val="00720160"/>
    <w:rsid w:val="00720C29"/>
    <w:rsid w:val="00722B02"/>
    <w:rsid w:val="0072533E"/>
    <w:rsid w:val="007258F2"/>
    <w:rsid w:val="00733675"/>
    <w:rsid w:val="00736309"/>
    <w:rsid w:val="00736906"/>
    <w:rsid w:val="007406C3"/>
    <w:rsid w:val="00740B35"/>
    <w:rsid w:val="00740DF5"/>
    <w:rsid w:val="00740FE8"/>
    <w:rsid w:val="00744241"/>
    <w:rsid w:val="00744498"/>
    <w:rsid w:val="00745685"/>
    <w:rsid w:val="00752693"/>
    <w:rsid w:val="00752810"/>
    <w:rsid w:val="007528E4"/>
    <w:rsid w:val="0075291D"/>
    <w:rsid w:val="0075307F"/>
    <w:rsid w:val="0075316A"/>
    <w:rsid w:val="007536D9"/>
    <w:rsid w:val="00753B1F"/>
    <w:rsid w:val="00754B17"/>
    <w:rsid w:val="00754D00"/>
    <w:rsid w:val="00755469"/>
    <w:rsid w:val="0075621A"/>
    <w:rsid w:val="00756A0B"/>
    <w:rsid w:val="00756A42"/>
    <w:rsid w:val="00756D89"/>
    <w:rsid w:val="00762CE4"/>
    <w:rsid w:val="0076348C"/>
    <w:rsid w:val="00765B3C"/>
    <w:rsid w:val="00765F0E"/>
    <w:rsid w:val="00767D16"/>
    <w:rsid w:val="00767E89"/>
    <w:rsid w:val="0077259E"/>
    <w:rsid w:val="00772A32"/>
    <w:rsid w:val="007751DE"/>
    <w:rsid w:val="00775303"/>
    <w:rsid w:val="00775923"/>
    <w:rsid w:val="00776B75"/>
    <w:rsid w:val="00776C35"/>
    <w:rsid w:val="00777E78"/>
    <w:rsid w:val="007813CE"/>
    <w:rsid w:val="00783423"/>
    <w:rsid w:val="0078363B"/>
    <w:rsid w:val="0078505D"/>
    <w:rsid w:val="0078584C"/>
    <w:rsid w:val="0078618E"/>
    <w:rsid w:val="0078669B"/>
    <w:rsid w:val="00791EB9"/>
    <w:rsid w:val="007924BE"/>
    <w:rsid w:val="00792DEB"/>
    <w:rsid w:val="007931E2"/>
    <w:rsid w:val="00793C91"/>
    <w:rsid w:val="007961A1"/>
    <w:rsid w:val="007965FA"/>
    <w:rsid w:val="00796CF1"/>
    <w:rsid w:val="00797D76"/>
    <w:rsid w:val="007A02C3"/>
    <w:rsid w:val="007A1303"/>
    <w:rsid w:val="007A158B"/>
    <w:rsid w:val="007A27B0"/>
    <w:rsid w:val="007A2F4E"/>
    <w:rsid w:val="007A34F3"/>
    <w:rsid w:val="007A3DF9"/>
    <w:rsid w:val="007A4E57"/>
    <w:rsid w:val="007A56D3"/>
    <w:rsid w:val="007A7FF6"/>
    <w:rsid w:val="007B089F"/>
    <w:rsid w:val="007B10ED"/>
    <w:rsid w:val="007B1C14"/>
    <w:rsid w:val="007B235B"/>
    <w:rsid w:val="007B2EA2"/>
    <w:rsid w:val="007B2FC2"/>
    <w:rsid w:val="007B32EB"/>
    <w:rsid w:val="007B458B"/>
    <w:rsid w:val="007B6EF6"/>
    <w:rsid w:val="007B78D2"/>
    <w:rsid w:val="007C01EF"/>
    <w:rsid w:val="007C21AA"/>
    <w:rsid w:val="007C2708"/>
    <w:rsid w:val="007C27B5"/>
    <w:rsid w:val="007C340D"/>
    <w:rsid w:val="007C363A"/>
    <w:rsid w:val="007C53FD"/>
    <w:rsid w:val="007C541F"/>
    <w:rsid w:val="007C5A51"/>
    <w:rsid w:val="007C70DD"/>
    <w:rsid w:val="007C739B"/>
    <w:rsid w:val="007D083B"/>
    <w:rsid w:val="007D14AD"/>
    <w:rsid w:val="007D23DC"/>
    <w:rsid w:val="007D28B3"/>
    <w:rsid w:val="007D4472"/>
    <w:rsid w:val="007D5529"/>
    <w:rsid w:val="007D5678"/>
    <w:rsid w:val="007D57EA"/>
    <w:rsid w:val="007D5EBF"/>
    <w:rsid w:val="007D6029"/>
    <w:rsid w:val="007D6675"/>
    <w:rsid w:val="007D7916"/>
    <w:rsid w:val="007D7C44"/>
    <w:rsid w:val="007E0649"/>
    <w:rsid w:val="007E072A"/>
    <w:rsid w:val="007E0798"/>
    <w:rsid w:val="007E3BB5"/>
    <w:rsid w:val="007E4065"/>
    <w:rsid w:val="007E4214"/>
    <w:rsid w:val="007E478D"/>
    <w:rsid w:val="007E4CD7"/>
    <w:rsid w:val="007E59EB"/>
    <w:rsid w:val="007E61F8"/>
    <w:rsid w:val="007E6386"/>
    <w:rsid w:val="007F02BC"/>
    <w:rsid w:val="007F0CDF"/>
    <w:rsid w:val="007F0CFA"/>
    <w:rsid w:val="007F1488"/>
    <w:rsid w:val="007F286C"/>
    <w:rsid w:val="007F38DE"/>
    <w:rsid w:val="007F39D8"/>
    <w:rsid w:val="007F513C"/>
    <w:rsid w:val="007F7495"/>
    <w:rsid w:val="007F767A"/>
    <w:rsid w:val="007F7FCE"/>
    <w:rsid w:val="008002F2"/>
    <w:rsid w:val="00801576"/>
    <w:rsid w:val="008036B1"/>
    <w:rsid w:val="00805B59"/>
    <w:rsid w:val="00807B8B"/>
    <w:rsid w:val="00810FD5"/>
    <w:rsid w:val="00811CF6"/>
    <w:rsid w:val="008145B4"/>
    <w:rsid w:val="00815754"/>
    <w:rsid w:val="00815DAA"/>
    <w:rsid w:val="00816550"/>
    <w:rsid w:val="00816A9E"/>
    <w:rsid w:val="00816F0B"/>
    <w:rsid w:val="00817750"/>
    <w:rsid w:val="00820640"/>
    <w:rsid w:val="0082100A"/>
    <w:rsid w:val="008212DD"/>
    <w:rsid w:val="00821633"/>
    <w:rsid w:val="00821AF7"/>
    <w:rsid w:val="00821D1B"/>
    <w:rsid w:val="008222C1"/>
    <w:rsid w:val="008222FD"/>
    <w:rsid w:val="00822AE7"/>
    <w:rsid w:val="00824427"/>
    <w:rsid w:val="00825404"/>
    <w:rsid w:val="0082662F"/>
    <w:rsid w:val="008271D6"/>
    <w:rsid w:val="008272EB"/>
    <w:rsid w:val="0082743D"/>
    <w:rsid w:val="00830DA5"/>
    <w:rsid w:val="00833100"/>
    <w:rsid w:val="0083487E"/>
    <w:rsid w:val="008369CE"/>
    <w:rsid w:val="00836A81"/>
    <w:rsid w:val="00836EE5"/>
    <w:rsid w:val="008402F0"/>
    <w:rsid w:val="0084087C"/>
    <w:rsid w:val="00842B80"/>
    <w:rsid w:val="00842ED3"/>
    <w:rsid w:val="0084331F"/>
    <w:rsid w:val="00843E2D"/>
    <w:rsid w:val="00844071"/>
    <w:rsid w:val="00844460"/>
    <w:rsid w:val="0084636E"/>
    <w:rsid w:val="00846BB2"/>
    <w:rsid w:val="00846DE7"/>
    <w:rsid w:val="008479C9"/>
    <w:rsid w:val="00851B45"/>
    <w:rsid w:val="00852208"/>
    <w:rsid w:val="00852971"/>
    <w:rsid w:val="00852D87"/>
    <w:rsid w:val="008563F3"/>
    <w:rsid w:val="00856CD5"/>
    <w:rsid w:val="00861297"/>
    <w:rsid w:val="00861998"/>
    <w:rsid w:val="008622CF"/>
    <w:rsid w:val="00862A30"/>
    <w:rsid w:val="00865A4A"/>
    <w:rsid w:val="0087061A"/>
    <w:rsid w:val="00871625"/>
    <w:rsid w:val="00871AD6"/>
    <w:rsid w:val="008725CD"/>
    <w:rsid w:val="008745A1"/>
    <w:rsid w:val="0087508D"/>
    <w:rsid w:val="00875A65"/>
    <w:rsid w:val="00875F07"/>
    <w:rsid w:val="0087654E"/>
    <w:rsid w:val="00881318"/>
    <w:rsid w:val="008814EF"/>
    <w:rsid w:val="008818D7"/>
    <w:rsid w:val="00883633"/>
    <w:rsid w:val="00884BA1"/>
    <w:rsid w:val="00886AF6"/>
    <w:rsid w:val="008877A3"/>
    <w:rsid w:val="008901C0"/>
    <w:rsid w:val="0089048A"/>
    <w:rsid w:val="0089281C"/>
    <w:rsid w:val="00893E24"/>
    <w:rsid w:val="00893F54"/>
    <w:rsid w:val="00895868"/>
    <w:rsid w:val="00896610"/>
    <w:rsid w:val="00896C93"/>
    <w:rsid w:val="008A0A67"/>
    <w:rsid w:val="008A1385"/>
    <w:rsid w:val="008A1724"/>
    <w:rsid w:val="008A1AE3"/>
    <w:rsid w:val="008A22A1"/>
    <w:rsid w:val="008A2DDD"/>
    <w:rsid w:val="008A3BD8"/>
    <w:rsid w:val="008A3D2F"/>
    <w:rsid w:val="008A5146"/>
    <w:rsid w:val="008A56D1"/>
    <w:rsid w:val="008A609A"/>
    <w:rsid w:val="008B00DA"/>
    <w:rsid w:val="008B10A9"/>
    <w:rsid w:val="008B1951"/>
    <w:rsid w:val="008B19F9"/>
    <w:rsid w:val="008B1CFC"/>
    <w:rsid w:val="008B2127"/>
    <w:rsid w:val="008B21E0"/>
    <w:rsid w:val="008B30AA"/>
    <w:rsid w:val="008B3709"/>
    <w:rsid w:val="008B4A04"/>
    <w:rsid w:val="008B4D91"/>
    <w:rsid w:val="008B5D63"/>
    <w:rsid w:val="008C04F9"/>
    <w:rsid w:val="008C12AD"/>
    <w:rsid w:val="008C14CF"/>
    <w:rsid w:val="008C1F9C"/>
    <w:rsid w:val="008C2E1C"/>
    <w:rsid w:val="008C2EB3"/>
    <w:rsid w:val="008C4161"/>
    <w:rsid w:val="008C41FB"/>
    <w:rsid w:val="008C58D8"/>
    <w:rsid w:val="008C6941"/>
    <w:rsid w:val="008C6CBB"/>
    <w:rsid w:val="008C6E32"/>
    <w:rsid w:val="008D09CE"/>
    <w:rsid w:val="008D1BA2"/>
    <w:rsid w:val="008D3210"/>
    <w:rsid w:val="008D3228"/>
    <w:rsid w:val="008D40CC"/>
    <w:rsid w:val="008D48A9"/>
    <w:rsid w:val="008D4C89"/>
    <w:rsid w:val="008D5241"/>
    <w:rsid w:val="008D728F"/>
    <w:rsid w:val="008D73DA"/>
    <w:rsid w:val="008E084C"/>
    <w:rsid w:val="008E59AB"/>
    <w:rsid w:val="008E5EA0"/>
    <w:rsid w:val="008E7572"/>
    <w:rsid w:val="008E7B5F"/>
    <w:rsid w:val="008F02F3"/>
    <w:rsid w:val="008F4781"/>
    <w:rsid w:val="008F59BF"/>
    <w:rsid w:val="008F5E13"/>
    <w:rsid w:val="008F6616"/>
    <w:rsid w:val="00900277"/>
    <w:rsid w:val="009009A6"/>
    <w:rsid w:val="00902985"/>
    <w:rsid w:val="00902D37"/>
    <w:rsid w:val="009030F8"/>
    <w:rsid w:val="00903ACB"/>
    <w:rsid w:val="00903D06"/>
    <w:rsid w:val="00904DBC"/>
    <w:rsid w:val="00904E1A"/>
    <w:rsid w:val="009073AC"/>
    <w:rsid w:val="00907E98"/>
    <w:rsid w:val="00912F6B"/>
    <w:rsid w:val="0091317D"/>
    <w:rsid w:val="0091351D"/>
    <w:rsid w:val="00914A27"/>
    <w:rsid w:val="009163E1"/>
    <w:rsid w:val="00916471"/>
    <w:rsid w:val="009169BE"/>
    <w:rsid w:val="009202D6"/>
    <w:rsid w:val="009221DE"/>
    <w:rsid w:val="00922A8E"/>
    <w:rsid w:val="00922ADF"/>
    <w:rsid w:val="0092511F"/>
    <w:rsid w:val="00925EB9"/>
    <w:rsid w:val="009272DC"/>
    <w:rsid w:val="00927539"/>
    <w:rsid w:val="009301E5"/>
    <w:rsid w:val="00930717"/>
    <w:rsid w:val="00931B3B"/>
    <w:rsid w:val="00931CEE"/>
    <w:rsid w:val="00932731"/>
    <w:rsid w:val="00932D41"/>
    <w:rsid w:val="00932D92"/>
    <w:rsid w:val="00933DA0"/>
    <w:rsid w:val="009342AD"/>
    <w:rsid w:val="0093625F"/>
    <w:rsid w:val="00936375"/>
    <w:rsid w:val="00936CD5"/>
    <w:rsid w:val="00936F11"/>
    <w:rsid w:val="00936F7A"/>
    <w:rsid w:val="00937555"/>
    <w:rsid w:val="009375B5"/>
    <w:rsid w:val="00937760"/>
    <w:rsid w:val="0094050C"/>
    <w:rsid w:val="00940B0D"/>
    <w:rsid w:val="00941051"/>
    <w:rsid w:val="00942247"/>
    <w:rsid w:val="009429ED"/>
    <w:rsid w:val="00943246"/>
    <w:rsid w:val="00943B31"/>
    <w:rsid w:val="009448C5"/>
    <w:rsid w:val="00944AC2"/>
    <w:rsid w:val="00944ED7"/>
    <w:rsid w:val="009463C9"/>
    <w:rsid w:val="009473A5"/>
    <w:rsid w:val="00950DEE"/>
    <w:rsid w:val="0095105B"/>
    <w:rsid w:val="00951364"/>
    <w:rsid w:val="00951C17"/>
    <w:rsid w:val="00952332"/>
    <w:rsid w:val="009526DC"/>
    <w:rsid w:val="009527AB"/>
    <w:rsid w:val="00953458"/>
    <w:rsid w:val="009559E0"/>
    <w:rsid w:val="009560B6"/>
    <w:rsid w:val="009573FE"/>
    <w:rsid w:val="009575BD"/>
    <w:rsid w:val="00962950"/>
    <w:rsid w:val="00962CC2"/>
    <w:rsid w:val="00963628"/>
    <w:rsid w:val="009636CF"/>
    <w:rsid w:val="00963A51"/>
    <w:rsid w:val="00964103"/>
    <w:rsid w:val="00964D83"/>
    <w:rsid w:val="00964FC7"/>
    <w:rsid w:val="00965B3C"/>
    <w:rsid w:val="0096636D"/>
    <w:rsid w:val="0096784E"/>
    <w:rsid w:val="00967BA1"/>
    <w:rsid w:val="00970397"/>
    <w:rsid w:val="00971A71"/>
    <w:rsid w:val="00971FFF"/>
    <w:rsid w:val="0097524F"/>
    <w:rsid w:val="00975CBA"/>
    <w:rsid w:val="00976F85"/>
    <w:rsid w:val="009779B6"/>
    <w:rsid w:val="0098032C"/>
    <w:rsid w:val="00981A85"/>
    <w:rsid w:val="00982969"/>
    <w:rsid w:val="00982A81"/>
    <w:rsid w:val="00983D96"/>
    <w:rsid w:val="00984194"/>
    <w:rsid w:val="00984598"/>
    <w:rsid w:val="00984694"/>
    <w:rsid w:val="00984C7A"/>
    <w:rsid w:val="00986402"/>
    <w:rsid w:val="00987234"/>
    <w:rsid w:val="00987BA0"/>
    <w:rsid w:val="0099001D"/>
    <w:rsid w:val="009904AD"/>
    <w:rsid w:val="00992D8C"/>
    <w:rsid w:val="00993ACB"/>
    <w:rsid w:val="00993CD6"/>
    <w:rsid w:val="009943F8"/>
    <w:rsid w:val="00994687"/>
    <w:rsid w:val="00995926"/>
    <w:rsid w:val="00995B17"/>
    <w:rsid w:val="00996050"/>
    <w:rsid w:val="009973EA"/>
    <w:rsid w:val="0099789A"/>
    <w:rsid w:val="0099789B"/>
    <w:rsid w:val="009A08C9"/>
    <w:rsid w:val="009A0A49"/>
    <w:rsid w:val="009A1D2D"/>
    <w:rsid w:val="009A2878"/>
    <w:rsid w:val="009A2A8E"/>
    <w:rsid w:val="009A2D1E"/>
    <w:rsid w:val="009A2DC3"/>
    <w:rsid w:val="009A3340"/>
    <w:rsid w:val="009A38AA"/>
    <w:rsid w:val="009A4A7E"/>
    <w:rsid w:val="009A574E"/>
    <w:rsid w:val="009A73D6"/>
    <w:rsid w:val="009A7A73"/>
    <w:rsid w:val="009B02B2"/>
    <w:rsid w:val="009B1BFE"/>
    <w:rsid w:val="009B57C8"/>
    <w:rsid w:val="009B57EF"/>
    <w:rsid w:val="009B6895"/>
    <w:rsid w:val="009B7639"/>
    <w:rsid w:val="009C0053"/>
    <w:rsid w:val="009C020F"/>
    <w:rsid w:val="009C056B"/>
    <w:rsid w:val="009C0FA2"/>
    <w:rsid w:val="009C1887"/>
    <w:rsid w:val="009C2300"/>
    <w:rsid w:val="009C3C57"/>
    <w:rsid w:val="009C48B2"/>
    <w:rsid w:val="009C6196"/>
    <w:rsid w:val="009C7DF6"/>
    <w:rsid w:val="009C7F0E"/>
    <w:rsid w:val="009D028A"/>
    <w:rsid w:val="009D08FF"/>
    <w:rsid w:val="009D0F40"/>
    <w:rsid w:val="009D10E5"/>
    <w:rsid w:val="009D1406"/>
    <w:rsid w:val="009D1561"/>
    <w:rsid w:val="009D1E7A"/>
    <w:rsid w:val="009D29EE"/>
    <w:rsid w:val="009D5022"/>
    <w:rsid w:val="009D531C"/>
    <w:rsid w:val="009D5995"/>
    <w:rsid w:val="009D65B3"/>
    <w:rsid w:val="009D6CEB"/>
    <w:rsid w:val="009D6DBD"/>
    <w:rsid w:val="009E0EE4"/>
    <w:rsid w:val="009E20F2"/>
    <w:rsid w:val="009E248C"/>
    <w:rsid w:val="009E3018"/>
    <w:rsid w:val="009E33E4"/>
    <w:rsid w:val="009E358A"/>
    <w:rsid w:val="009E3FB7"/>
    <w:rsid w:val="009E5299"/>
    <w:rsid w:val="009E5DC9"/>
    <w:rsid w:val="009E5FB8"/>
    <w:rsid w:val="009E6106"/>
    <w:rsid w:val="009E7122"/>
    <w:rsid w:val="009E7291"/>
    <w:rsid w:val="009E7B45"/>
    <w:rsid w:val="009E7E14"/>
    <w:rsid w:val="009F03EC"/>
    <w:rsid w:val="009F1BBA"/>
    <w:rsid w:val="009F1DCE"/>
    <w:rsid w:val="009F2472"/>
    <w:rsid w:val="009F2E71"/>
    <w:rsid w:val="009F4789"/>
    <w:rsid w:val="009F5051"/>
    <w:rsid w:val="009F596B"/>
    <w:rsid w:val="009F597A"/>
    <w:rsid w:val="009F7412"/>
    <w:rsid w:val="009F748C"/>
    <w:rsid w:val="009F7E2B"/>
    <w:rsid w:val="00A00140"/>
    <w:rsid w:val="00A008B6"/>
    <w:rsid w:val="00A02ADA"/>
    <w:rsid w:val="00A02C27"/>
    <w:rsid w:val="00A04097"/>
    <w:rsid w:val="00A040E2"/>
    <w:rsid w:val="00A04514"/>
    <w:rsid w:val="00A0462E"/>
    <w:rsid w:val="00A04ADD"/>
    <w:rsid w:val="00A04D5E"/>
    <w:rsid w:val="00A066C1"/>
    <w:rsid w:val="00A06E6E"/>
    <w:rsid w:val="00A07053"/>
    <w:rsid w:val="00A10CCB"/>
    <w:rsid w:val="00A114DA"/>
    <w:rsid w:val="00A11D26"/>
    <w:rsid w:val="00A12EDF"/>
    <w:rsid w:val="00A134D4"/>
    <w:rsid w:val="00A14117"/>
    <w:rsid w:val="00A15CA2"/>
    <w:rsid w:val="00A15E53"/>
    <w:rsid w:val="00A160E5"/>
    <w:rsid w:val="00A20FBB"/>
    <w:rsid w:val="00A2107F"/>
    <w:rsid w:val="00A22686"/>
    <w:rsid w:val="00A229C6"/>
    <w:rsid w:val="00A23443"/>
    <w:rsid w:val="00A23703"/>
    <w:rsid w:val="00A23DCD"/>
    <w:rsid w:val="00A24C0E"/>
    <w:rsid w:val="00A256A0"/>
    <w:rsid w:val="00A256E1"/>
    <w:rsid w:val="00A25ECA"/>
    <w:rsid w:val="00A26A91"/>
    <w:rsid w:val="00A270E9"/>
    <w:rsid w:val="00A27A61"/>
    <w:rsid w:val="00A300B8"/>
    <w:rsid w:val="00A30155"/>
    <w:rsid w:val="00A31B45"/>
    <w:rsid w:val="00A33454"/>
    <w:rsid w:val="00A34146"/>
    <w:rsid w:val="00A4023F"/>
    <w:rsid w:val="00A423BE"/>
    <w:rsid w:val="00A42767"/>
    <w:rsid w:val="00A4333D"/>
    <w:rsid w:val="00A43611"/>
    <w:rsid w:val="00A43E0F"/>
    <w:rsid w:val="00A44AB2"/>
    <w:rsid w:val="00A4542F"/>
    <w:rsid w:val="00A454CC"/>
    <w:rsid w:val="00A457B5"/>
    <w:rsid w:val="00A45BC8"/>
    <w:rsid w:val="00A4656F"/>
    <w:rsid w:val="00A46AD6"/>
    <w:rsid w:val="00A46E25"/>
    <w:rsid w:val="00A47766"/>
    <w:rsid w:val="00A477A6"/>
    <w:rsid w:val="00A50C85"/>
    <w:rsid w:val="00A51074"/>
    <w:rsid w:val="00A520DD"/>
    <w:rsid w:val="00A557DB"/>
    <w:rsid w:val="00A55B9F"/>
    <w:rsid w:val="00A56EF8"/>
    <w:rsid w:val="00A574C6"/>
    <w:rsid w:val="00A60B47"/>
    <w:rsid w:val="00A61487"/>
    <w:rsid w:val="00A620AA"/>
    <w:rsid w:val="00A62AAB"/>
    <w:rsid w:val="00A63168"/>
    <w:rsid w:val="00A63B21"/>
    <w:rsid w:val="00A65194"/>
    <w:rsid w:val="00A65A27"/>
    <w:rsid w:val="00A67DE2"/>
    <w:rsid w:val="00A703EE"/>
    <w:rsid w:val="00A71A06"/>
    <w:rsid w:val="00A8166E"/>
    <w:rsid w:val="00A82A30"/>
    <w:rsid w:val="00A8414A"/>
    <w:rsid w:val="00A84AE9"/>
    <w:rsid w:val="00A86381"/>
    <w:rsid w:val="00A86B2B"/>
    <w:rsid w:val="00A87529"/>
    <w:rsid w:val="00A91A5B"/>
    <w:rsid w:val="00A91FC9"/>
    <w:rsid w:val="00A9314D"/>
    <w:rsid w:val="00A94867"/>
    <w:rsid w:val="00A95015"/>
    <w:rsid w:val="00A960A8"/>
    <w:rsid w:val="00A963BD"/>
    <w:rsid w:val="00A966A8"/>
    <w:rsid w:val="00A96BD5"/>
    <w:rsid w:val="00A97105"/>
    <w:rsid w:val="00AA01DE"/>
    <w:rsid w:val="00AA08D9"/>
    <w:rsid w:val="00AA1302"/>
    <w:rsid w:val="00AA1781"/>
    <w:rsid w:val="00AA17C5"/>
    <w:rsid w:val="00AA462C"/>
    <w:rsid w:val="00AA47AB"/>
    <w:rsid w:val="00AA47F3"/>
    <w:rsid w:val="00AA53AE"/>
    <w:rsid w:val="00AA5D32"/>
    <w:rsid w:val="00AA5FDB"/>
    <w:rsid w:val="00AB01CD"/>
    <w:rsid w:val="00AB24EC"/>
    <w:rsid w:val="00AB2E75"/>
    <w:rsid w:val="00AB374E"/>
    <w:rsid w:val="00AB3D8F"/>
    <w:rsid w:val="00AB61D1"/>
    <w:rsid w:val="00AB6933"/>
    <w:rsid w:val="00AC0024"/>
    <w:rsid w:val="00AC1E50"/>
    <w:rsid w:val="00AC2BEE"/>
    <w:rsid w:val="00AC2DEB"/>
    <w:rsid w:val="00AC325A"/>
    <w:rsid w:val="00AC3862"/>
    <w:rsid w:val="00AC3B04"/>
    <w:rsid w:val="00AC3D2E"/>
    <w:rsid w:val="00AC479A"/>
    <w:rsid w:val="00AC4F92"/>
    <w:rsid w:val="00AC546C"/>
    <w:rsid w:val="00AC6BE9"/>
    <w:rsid w:val="00AD25B1"/>
    <w:rsid w:val="00AD31FA"/>
    <w:rsid w:val="00AD51AB"/>
    <w:rsid w:val="00AD5D4C"/>
    <w:rsid w:val="00AD6005"/>
    <w:rsid w:val="00AD6802"/>
    <w:rsid w:val="00AD740D"/>
    <w:rsid w:val="00AE0966"/>
    <w:rsid w:val="00AE1D48"/>
    <w:rsid w:val="00AE2054"/>
    <w:rsid w:val="00AE2E11"/>
    <w:rsid w:val="00AE2F13"/>
    <w:rsid w:val="00AE4877"/>
    <w:rsid w:val="00AE6C02"/>
    <w:rsid w:val="00AE75D2"/>
    <w:rsid w:val="00AF0BE5"/>
    <w:rsid w:val="00AF1FF1"/>
    <w:rsid w:val="00AF2B41"/>
    <w:rsid w:val="00AF318C"/>
    <w:rsid w:val="00AF4A83"/>
    <w:rsid w:val="00AF56B6"/>
    <w:rsid w:val="00B0000A"/>
    <w:rsid w:val="00B009F6"/>
    <w:rsid w:val="00B01176"/>
    <w:rsid w:val="00B0157B"/>
    <w:rsid w:val="00B01A75"/>
    <w:rsid w:val="00B021B4"/>
    <w:rsid w:val="00B032E7"/>
    <w:rsid w:val="00B035AC"/>
    <w:rsid w:val="00B04168"/>
    <w:rsid w:val="00B051AE"/>
    <w:rsid w:val="00B05970"/>
    <w:rsid w:val="00B075C4"/>
    <w:rsid w:val="00B11988"/>
    <w:rsid w:val="00B13E43"/>
    <w:rsid w:val="00B140E4"/>
    <w:rsid w:val="00B14BD0"/>
    <w:rsid w:val="00B158ED"/>
    <w:rsid w:val="00B15FFB"/>
    <w:rsid w:val="00B167D5"/>
    <w:rsid w:val="00B17B5E"/>
    <w:rsid w:val="00B200F1"/>
    <w:rsid w:val="00B20213"/>
    <w:rsid w:val="00B21B9B"/>
    <w:rsid w:val="00B23EA8"/>
    <w:rsid w:val="00B245D4"/>
    <w:rsid w:val="00B2493E"/>
    <w:rsid w:val="00B24C9E"/>
    <w:rsid w:val="00B2539A"/>
    <w:rsid w:val="00B26134"/>
    <w:rsid w:val="00B26FB1"/>
    <w:rsid w:val="00B27074"/>
    <w:rsid w:val="00B271B5"/>
    <w:rsid w:val="00B275F0"/>
    <w:rsid w:val="00B306CA"/>
    <w:rsid w:val="00B31035"/>
    <w:rsid w:val="00B33BC9"/>
    <w:rsid w:val="00B34221"/>
    <w:rsid w:val="00B34BE8"/>
    <w:rsid w:val="00B35C83"/>
    <w:rsid w:val="00B35D5C"/>
    <w:rsid w:val="00B36D98"/>
    <w:rsid w:val="00B372B9"/>
    <w:rsid w:val="00B40879"/>
    <w:rsid w:val="00B409CB"/>
    <w:rsid w:val="00B417EF"/>
    <w:rsid w:val="00B428F8"/>
    <w:rsid w:val="00B43015"/>
    <w:rsid w:val="00B43320"/>
    <w:rsid w:val="00B444BC"/>
    <w:rsid w:val="00B44758"/>
    <w:rsid w:val="00B44AF8"/>
    <w:rsid w:val="00B4542F"/>
    <w:rsid w:val="00B46646"/>
    <w:rsid w:val="00B46826"/>
    <w:rsid w:val="00B46F0E"/>
    <w:rsid w:val="00B47410"/>
    <w:rsid w:val="00B5013D"/>
    <w:rsid w:val="00B52D26"/>
    <w:rsid w:val="00B54381"/>
    <w:rsid w:val="00B57B19"/>
    <w:rsid w:val="00B601DC"/>
    <w:rsid w:val="00B62CCC"/>
    <w:rsid w:val="00B62DAE"/>
    <w:rsid w:val="00B62F48"/>
    <w:rsid w:val="00B63A73"/>
    <w:rsid w:val="00B647A0"/>
    <w:rsid w:val="00B6567E"/>
    <w:rsid w:val="00B66A2A"/>
    <w:rsid w:val="00B67582"/>
    <w:rsid w:val="00B678EB"/>
    <w:rsid w:val="00B7081E"/>
    <w:rsid w:val="00B70ACD"/>
    <w:rsid w:val="00B70AE2"/>
    <w:rsid w:val="00B71A17"/>
    <w:rsid w:val="00B71A22"/>
    <w:rsid w:val="00B73BE8"/>
    <w:rsid w:val="00B74027"/>
    <w:rsid w:val="00B74082"/>
    <w:rsid w:val="00B745D3"/>
    <w:rsid w:val="00B74728"/>
    <w:rsid w:val="00B765E8"/>
    <w:rsid w:val="00B810A3"/>
    <w:rsid w:val="00B8216A"/>
    <w:rsid w:val="00B832FA"/>
    <w:rsid w:val="00B8399C"/>
    <w:rsid w:val="00B8489F"/>
    <w:rsid w:val="00B849A9"/>
    <w:rsid w:val="00B8517A"/>
    <w:rsid w:val="00B8576A"/>
    <w:rsid w:val="00B86F73"/>
    <w:rsid w:val="00B86FB8"/>
    <w:rsid w:val="00B8728A"/>
    <w:rsid w:val="00B87576"/>
    <w:rsid w:val="00B904E4"/>
    <w:rsid w:val="00B92196"/>
    <w:rsid w:val="00B92311"/>
    <w:rsid w:val="00B92E98"/>
    <w:rsid w:val="00B93A46"/>
    <w:rsid w:val="00B93F10"/>
    <w:rsid w:val="00B9628E"/>
    <w:rsid w:val="00BA00E1"/>
    <w:rsid w:val="00BA0683"/>
    <w:rsid w:val="00BA0D60"/>
    <w:rsid w:val="00BA2376"/>
    <w:rsid w:val="00BA24E9"/>
    <w:rsid w:val="00BA25BA"/>
    <w:rsid w:val="00BA28DC"/>
    <w:rsid w:val="00BA2EC9"/>
    <w:rsid w:val="00BA3B30"/>
    <w:rsid w:val="00BA4007"/>
    <w:rsid w:val="00BA43DE"/>
    <w:rsid w:val="00BA47F6"/>
    <w:rsid w:val="00BA4BA5"/>
    <w:rsid w:val="00BA63F9"/>
    <w:rsid w:val="00BA6D02"/>
    <w:rsid w:val="00BA6F2B"/>
    <w:rsid w:val="00BA7A84"/>
    <w:rsid w:val="00BB2AE8"/>
    <w:rsid w:val="00BB2BC8"/>
    <w:rsid w:val="00BB50E5"/>
    <w:rsid w:val="00BB5865"/>
    <w:rsid w:val="00BB5CF3"/>
    <w:rsid w:val="00BC04A0"/>
    <w:rsid w:val="00BC0692"/>
    <w:rsid w:val="00BC0BEC"/>
    <w:rsid w:val="00BC1127"/>
    <w:rsid w:val="00BC176D"/>
    <w:rsid w:val="00BC1BCC"/>
    <w:rsid w:val="00BC1D43"/>
    <w:rsid w:val="00BC21A7"/>
    <w:rsid w:val="00BC298A"/>
    <w:rsid w:val="00BC2ED5"/>
    <w:rsid w:val="00BC3EB7"/>
    <w:rsid w:val="00BC3F93"/>
    <w:rsid w:val="00BC49FC"/>
    <w:rsid w:val="00BC4E80"/>
    <w:rsid w:val="00BC546E"/>
    <w:rsid w:val="00BC5521"/>
    <w:rsid w:val="00BC5DB1"/>
    <w:rsid w:val="00BC7E8C"/>
    <w:rsid w:val="00BD01AD"/>
    <w:rsid w:val="00BD0C2D"/>
    <w:rsid w:val="00BD2156"/>
    <w:rsid w:val="00BD4FBF"/>
    <w:rsid w:val="00BD5965"/>
    <w:rsid w:val="00BD5CF2"/>
    <w:rsid w:val="00BE0814"/>
    <w:rsid w:val="00BE15FA"/>
    <w:rsid w:val="00BE167F"/>
    <w:rsid w:val="00BE328B"/>
    <w:rsid w:val="00BE352F"/>
    <w:rsid w:val="00BE40DE"/>
    <w:rsid w:val="00BE789C"/>
    <w:rsid w:val="00BF0E6C"/>
    <w:rsid w:val="00BF16F6"/>
    <w:rsid w:val="00BF26E7"/>
    <w:rsid w:val="00BF2B31"/>
    <w:rsid w:val="00BF31C5"/>
    <w:rsid w:val="00BF38B0"/>
    <w:rsid w:val="00BF3D7D"/>
    <w:rsid w:val="00BF50EA"/>
    <w:rsid w:val="00BF5717"/>
    <w:rsid w:val="00BF73A2"/>
    <w:rsid w:val="00BF7ECB"/>
    <w:rsid w:val="00C0017B"/>
    <w:rsid w:val="00C03C4B"/>
    <w:rsid w:val="00C0452F"/>
    <w:rsid w:val="00C046DB"/>
    <w:rsid w:val="00C05247"/>
    <w:rsid w:val="00C05CAA"/>
    <w:rsid w:val="00C05D1A"/>
    <w:rsid w:val="00C061E5"/>
    <w:rsid w:val="00C062EF"/>
    <w:rsid w:val="00C068E4"/>
    <w:rsid w:val="00C0692B"/>
    <w:rsid w:val="00C073CB"/>
    <w:rsid w:val="00C104EA"/>
    <w:rsid w:val="00C13428"/>
    <w:rsid w:val="00C135F1"/>
    <w:rsid w:val="00C1394E"/>
    <w:rsid w:val="00C150A9"/>
    <w:rsid w:val="00C150DE"/>
    <w:rsid w:val="00C1778A"/>
    <w:rsid w:val="00C20E18"/>
    <w:rsid w:val="00C21742"/>
    <w:rsid w:val="00C23115"/>
    <w:rsid w:val="00C23151"/>
    <w:rsid w:val="00C23207"/>
    <w:rsid w:val="00C2355B"/>
    <w:rsid w:val="00C23667"/>
    <w:rsid w:val="00C23A04"/>
    <w:rsid w:val="00C25C3A"/>
    <w:rsid w:val="00C26514"/>
    <w:rsid w:val="00C26B98"/>
    <w:rsid w:val="00C2753D"/>
    <w:rsid w:val="00C279F8"/>
    <w:rsid w:val="00C307AB"/>
    <w:rsid w:val="00C30996"/>
    <w:rsid w:val="00C30BDF"/>
    <w:rsid w:val="00C31E60"/>
    <w:rsid w:val="00C32C4E"/>
    <w:rsid w:val="00C330B4"/>
    <w:rsid w:val="00C3359E"/>
    <w:rsid w:val="00C35876"/>
    <w:rsid w:val="00C361C8"/>
    <w:rsid w:val="00C3620A"/>
    <w:rsid w:val="00C3621D"/>
    <w:rsid w:val="00C36C94"/>
    <w:rsid w:val="00C3701E"/>
    <w:rsid w:val="00C413FB"/>
    <w:rsid w:val="00C41A11"/>
    <w:rsid w:val="00C42481"/>
    <w:rsid w:val="00C429C8"/>
    <w:rsid w:val="00C43CED"/>
    <w:rsid w:val="00C44B2B"/>
    <w:rsid w:val="00C44CAB"/>
    <w:rsid w:val="00C45641"/>
    <w:rsid w:val="00C45942"/>
    <w:rsid w:val="00C46976"/>
    <w:rsid w:val="00C46E0A"/>
    <w:rsid w:val="00C478E2"/>
    <w:rsid w:val="00C51D4E"/>
    <w:rsid w:val="00C51F2F"/>
    <w:rsid w:val="00C5206A"/>
    <w:rsid w:val="00C5380A"/>
    <w:rsid w:val="00C53D72"/>
    <w:rsid w:val="00C544D4"/>
    <w:rsid w:val="00C552A0"/>
    <w:rsid w:val="00C559FF"/>
    <w:rsid w:val="00C562AB"/>
    <w:rsid w:val="00C5686C"/>
    <w:rsid w:val="00C57BB0"/>
    <w:rsid w:val="00C60009"/>
    <w:rsid w:val="00C60424"/>
    <w:rsid w:val="00C616F5"/>
    <w:rsid w:val="00C64D47"/>
    <w:rsid w:val="00C659BB"/>
    <w:rsid w:val="00C65DF2"/>
    <w:rsid w:val="00C67599"/>
    <w:rsid w:val="00C67EA6"/>
    <w:rsid w:val="00C70550"/>
    <w:rsid w:val="00C70FA5"/>
    <w:rsid w:val="00C71949"/>
    <w:rsid w:val="00C736C7"/>
    <w:rsid w:val="00C74597"/>
    <w:rsid w:val="00C75236"/>
    <w:rsid w:val="00C76AFE"/>
    <w:rsid w:val="00C76C05"/>
    <w:rsid w:val="00C803EB"/>
    <w:rsid w:val="00C80CAC"/>
    <w:rsid w:val="00C80E63"/>
    <w:rsid w:val="00C81A52"/>
    <w:rsid w:val="00C82199"/>
    <w:rsid w:val="00C82932"/>
    <w:rsid w:val="00C83806"/>
    <w:rsid w:val="00C84213"/>
    <w:rsid w:val="00C846D4"/>
    <w:rsid w:val="00C850F0"/>
    <w:rsid w:val="00C85915"/>
    <w:rsid w:val="00C86F5C"/>
    <w:rsid w:val="00C87471"/>
    <w:rsid w:val="00C90293"/>
    <w:rsid w:val="00C91930"/>
    <w:rsid w:val="00C9217B"/>
    <w:rsid w:val="00C9459B"/>
    <w:rsid w:val="00C94D92"/>
    <w:rsid w:val="00C95293"/>
    <w:rsid w:val="00C95DBE"/>
    <w:rsid w:val="00C96A34"/>
    <w:rsid w:val="00CA0DBD"/>
    <w:rsid w:val="00CA2994"/>
    <w:rsid w:val="00CA4A1B"/>
    <w:rsid w:val="00CB10FC"/>
    <w:rsid w:val="00CB11CC"/>
    <w:rsid w:val="00CB1BC4"/>
    <w:rsid w:val="00CB2071"/>
    <w:rsid w:val="00CB2DA1"/>
    <w:rsid w:val="00CB2E1D"/>
    <w:rsid w:val="00CB72A4"/>
    <w:rsid w:val="00CC0EBF"/>
    <w:rsid w:val="00CC103A"/>
    <w:rsid w:val="00CC11F3"/>
    <w:rsid w:val="00CC123F"/>
    <w:rsid w:val="00CC14B1"/>
    <w:rsid w:val="00CC1580"/>
    <w:rsid w:val="00CC25EB"/>
    <w:rsid w:val="00CC2884"/>
    <w:rsid w:val="00CC404C"/>
    <w:rsid w:val="00CC4349"/>
    <w:rsid w:val="00CC46A5"/>
    <w:rsid w:val="00CC662A"/>
    <w:rsid w:val="00CD031E"/>
    <w:rsid w:val="00CD4AC4"/>
    <w:rsid w:val="00CD4B33"/>
    <w:rsid w:val="00CD52C7"/>
    <w:rsid w:val="00CE0D56"/>
    <w:rsid w:val="00CE0F50"/>
    <w:rsid w:val="00CE1C8C"/>
    <w:rsid w:val="00CE22F4"/>
    <w:rsid w:val="00CE31C2"/>
    <w:rsid w:val="00CE7D55"/>
    <w:rsid w:val="00CF07F2"/>
    <w:rsid w:val="00CF08B1"/>
    <w:rsid w:val="00CF0FFC"/>
    <w:rsid w:val="00CF1121"/>
    <w:rsid w:val="00CF11E1"/>
    <w:rsid w:val="00CF15DF"/>
    <w:rsid w:val="00CF1B59"/>
    <w:rsid w:val="00CF23DA"/>
    <w:rsid w:val="00CF2E54"/>
    <w:rsid w:val="00CF39D9"/>
    <w:rsid w:val="00CF3BBB"/>
    <w:rsid w:val="00CF62E0"/>
    <w:rsid w:val="00CF75DC"/>
    <w:rsid w:val="00CF7969"/>
    <w:rsid w:val="00CF7F2A"/>
    <w:rsid w:val="00D0217D"/>
    <w:rsid w:val="00D0219B"/>
    <w:rsid w:val="00D03741"/>
    <w:rsid w:val="00D046EC"/>
    <w:rsid w:val="00D049E2"/>
    <w:rsid w:val="00D0540A"/>
    <w:rsid w:val="00D05939"/>
    <w:rsid w:val="00D05AD0"/>
    <w:rsid w:val="00D06009"/>
    <w:rsid w:val="00D06099"/>
    <w:rsid w:val="00D06A14"/>
    <w:rsid w:val="00D07193"/>
    <w:rsid w:val="00D07E76"/>
    <w:rsid w:val="00D105E0"/>
    <w:rsid w:val="00D10869"/>
    <w:rsid w:val="00D12893"/>
    <w:rsid w:val="00D140DB"/>
    <w:rsid w:val="00D159DC"/>
    <w:rsid w:val="00D15E42"/>
    <w:rsid w:val="00D16038"/>
    <w:rsid w:val="00D16520"/>
    <w:rsid w:val="00D16556"/>
    <w:rsid w:val="00D16AE6"/>
    <w:rsid w:val="00D16CA1"/>
    <w:rsid w:val="00D17EE6"/>
    <w:rsid w:val="00D2004F"/>
    <w:rsid w:val="00D205EF"/>
    <w:rsid w:val="00D22111"/>
    <w:rsid w:val="00D23401"/>
    <w:rsid w:val="00D23616"/>
    <w:rsid w:val="00D242C5"/>
    <w:rsid w:val="00D24410"/>
    <w:rsid w:val="00D245CD"/>
    <w:rsid w:val="00D26688"/>
    <w:rsid w:val="00D26E3B"/>
    <w:rsid w:val="00D27F36"/>
    <w:rsid w:val="00D306AE"/>
    <w:rsid w:val="00D30816"/>
    <w:rsid w:val="00D3092F"/>
    <w:rsid w:val="00D3100E"/>
    <w:rsid w:val="00D31EFD"/>
    <w:rsid w:val="00D3359D"/>
    <w:rsid w:val="00D34B5E"/>
    <w:rsid w:val="00D34D8C"/>
    <w:rsid w:val="00D412C3"/>
    <w:rsid w:val="00D4210E"/>
    <w:rsid w:val="00D45599"/>
    <w:rsid w:val="00D46083"/>
    <w:rsid w:val="00D46A3B"/>
    <w:rsid w:val="00D46BB4"/>
    <w:rsid w:val="00D47B54"/>
    <w:rsid w:val="00D50633"/>
    <w:rsid w:val="00D50B59"/>
    <w:rsid w:val="00D50CDC"/>
    <w:rsid w:val="00D530A9"/>
    <w:rsid w:val="00D552B2"/>
    <w:rsid w:val="00D55982"/>
    <w:rsid w:val="00D56188"/>
    <w:rsid w:val="00D566DE"/>
    <w:rsid w:val="00D573E8"/>
    <w:rsid w:val="00D60E84"/>
    <w:rsid w:val="00D611D6"/>
    <w:rsid w:val="00D614AD"/>
    <w:rsid w:val="00D61FB4"/>
    <w:rsid w:val="00D62B93"/>
    <w:rsid w:val="00D66503"/>
    <w:rsid w:val="00D6735C"/>
    <w:rsid w:val="00D67933"/>
    <w:rsid w:val="00D70265"/>
    <w:rsid w:val="00D72E36"/>
    <w:rsid w:val="00D776E9"/>
    <w:rsid w:val="00D77F1E"/>
    <w:rsid w:val="00D80A63"/>
    <w:rsid w:val="00D819F0"/>
    <w:rsid w:val="00D81B7C"/>
    <w:rsid w:val="00D828E6"/>
    <w:rsid w:val="00D835B2"/>
    <w:rsid w:val="00D83903"/>
    <w:rsid w:val="00D84C29"/>
    <w:rsid w:val="00D86834"/>
    <w:rsid w:val="00D86A7C"/>
    <w:rsid w:val="00D87BB5"/>
    <w:rsid w:val="00D91465"/>
    <w:rsid w:val="00D914BC"/>
    <w:rsid w:val="00D91943"/>
    <w:rsid w:val="00D91CB1"/>
    <w:rsid w:val="00D923E1"/>
    <w:rsid w:val="00D931BE"/>
    <w:rsid w:val="00D9354D"/>
    <w:rsid w:val="00D9368A"/>
    <w:rsid w:val="00D9451C"/>
    <w:rsid w:val="00D94992"/>
    <w:rsid w:val="00D94A56"/>
    <w:rsid w:val="00D9599E"/>
    <w:rsid w:val="00DA0EA3"/>
    <w:rsid w:val="00DA2254"/>
    <w:rsid w:val="00DA3956"/>
    <w:rsid w:val="00DA5BDB"/>
    <w:rsid w:val="00DA69D5"/>
    <w:rsid w:val="00DA6CEF"/>
    <w:rsid w:val="00DB0551"/>
    <w:rsid w:val="00DB0AE4"/>
    <w:rsid w:val="00DB251F"/>
    <w:rsid w:val="00DB3174"/>
    <w:rsid w:val="00DB46C2"/>
    <w:rsid w:val="00DB498F"/>
    <w:rsid w:val="00DB5168"/>
    <w:rsid w:val="00DB5FE9"/>
    <w:rsid w:val="00DB726C"/>
    <w:rsid w:val="00DB7DA4"/>
    <w:rsid w:val="00DC0078"/>
    <w:rsid w:val="00DC0385"/>
    <w:rsid w:val="00DC045D"/>
    <w:rsid w:val="00DC0F64"/>
    <w:rsid w:val="00DC1D44"/>
    <w:rsid w:val="00DC1EC9"/>
    <w:rsid w:val="00DC32A5"/>
    <w:rsid w:val="00DC349F"/>
    <w:rsid w:val="00DC4DB0"/>
    <w:rsid w:val="00DC5099"/>
    <w:rsid w:val="00DC5876"/>
    <w:rsid w:val="00DC5A4E"/>
    <w:rsid w:val="00DC6EB2"/>
    <w:rsid w:val="00DC7105"/>
    <w:rsid w:val="00DC74D9"/>
    <w:rsid w:val="00DD3A46"/>
    <w:rsid w:val="00DD485C"/>
    <w:rsid w:val="00DD505D"/>
    <w:rsid w:val="00DD556B"/>
    <w:rsid w:val="00DD58CE"/>
    <w:rsid w:val="00DD5A50"/>
    <w:rsid w:val="00DD68D2"/>
    <w:rsid w:val="00DD6A28"/>
    <w:rsid w:val="00DE0587"/>
    <w:rsid w:val="00DE1003"/>
    <w:rsid w:val="00DE1BA0"/>
    <w:rsid w:val="00DE3168"/>
    <w:rsid w:val="00DE3241"/>
    <w:rsid w:val="00DE64C5"/>
    <w:rsid w:val="00DE6727"/>
    <w:rsid w:val="00DE77F2"/>
    <w:rsid w:val="00DE7EF0"/>
    <w:rsid w:val="00DE7F16"/>
    <w:rsid w:val="00DF00C9"/>
    <w:rsid w:val="00DF01D6"/>
    <w:rsid w:val="00DF0637"/>
    <w:rsid w:val="00DF1431"/>
    <w:rsid w:val="00DF2A12"/>
    <w:rsid w:val="00DF2B0F"/>
    <w:rsid w:val="00DF4C19"/>
    <w:rsid w:val="00DF4CBE"/>
    <w:rsid w:val="00DF652F"/>
    <w:rsid w:val="00DF65E7"/>
    <w:rsid w:val="00E01A04"/>
    <w:rsid w:val="00E02139"/>
    <w:rsid w:val="00E0291A"/>
    <w:rsid w:val="00E043E9"/>
    <w:rsid w:val="00E04C46"/>
    <w:rsid w:val="00E0608B"/>
    <w:rsid w:val="00E06E46"/>
    <w:rsid w:val="00E10CC9"/>
    <w:rsid w:val="00E1150F"/>
    <w:rsid w:val="00E127FD"/>
    <w:rsid w:val="00E137E1"/>
    <w:rsid w:val="00E1462F"/>
    <w:rsid w:val="00E164D1"/>
    <w:rsid w:val="00E16704"/>
    <w:rsid w:val="00E1699D"/>
    <w:rsid w:val="00E17670"/>
    <w:rsid w:val="00E17A9B"/>
    <w:rsid w:val="00E2082A"/>
    <w:rsid w:val="00E20A0A"/>
    <w:rsid w:val="00E214E6"/>
    <w:rsid w:val="00E21F95"/>
    <w:rsid w:val="00E220A1"/>
    <w:rsid w:val="00E22516"/>
    <w:rsid w:val="00E23577"/>
    <w:rsid w:val="00E238CE"/>
    <w:rsid w:val="00E25AAD"/>
    <w:rsid w:val="00E25D6A"/>
    <w:rsid w:val="00E3007C"/>
    <w:rsid w:val="00E306B6"/>
    <w:rsid w:val="00E31707"/>
    <w:rsid w:val="00E322B3"/>
    <w:rsid w:val="00E34E59"/>
    <w:rsid w:val="00E35B46"/>
    <w:rsid w:val="00E36F7B"/>
    <w:rsid w:val="00E372B8"/>
    <w:rsid w:val="00E407C7"/>
    <w:rsid w:val="00E40DC0"/>
    <w:rsid w:val="00E4144B"/>
    <w:rsid w:val="00E418C5"/>
    <w:rsid w:val="00E41D5C"/>
    <w:rsid w:val="00E41FA1"/>
    <w:rsid w:val="00E425A8"/>
    <w:rsid w:val="00E4358C"/>
    <w:rsid w:val="00E4366D"/>
    <w:rsid w:val="00E44022"/>
    <w:rsid w:val="00E46075"/>
    <w:rsid w:val="00E47668"/>
    <w:rsid w:val="00E50FB9"/>
    <w:rsid w:val="00E5222C"/>
    <w:rsid w:val="00E52597"/>
    <w:rsid w:val="00E53701"/>
    <w:rsid w:val="00E5598A"/>
    <w:rsid w:val="00E600D8"/>
    <w:rsid w:val="00E6031F"/>
    <w:rsid w:val="00E6060A"/>
    <w:rsid w:val="00E61369"/>
    <w:rsid w:val="00E615F2"/>
    <w:rsid w:val="00E62668"/>
    <w:rsid w:val="00E6368D"/>
    <w:rsid w:val="00E650B2"/>
    <w:rsid w:val="00E65D5F"/>
    <w:rsid w:val="00E6609A"/>
    <w:rsid w:val="00E669D5"/>
    <w:rsid w:val="00E67209"/>
    <w:rsid w:val="00E673DD"/>
    <w:rsid w:val="00E67D18"/>
    <w:rsid w:val="00E70621"/>
    <w:rsid w:val="00E70AA5"/>
    <w:rsid w:val="00E72BE7"/>
    <w:rsid w:val="00E732E6"/>
    <w:rsid w:val="00E73512"/>
    <w:rsid w:val="00E75E29"/>
    <w:rsid w:val="00E8011B"/>
    <w:rsid w:val="00E80B38"/>
    <w:rsid w:val="00E8290F"/>
    <w:rsid w:val="00E82F28"/>
    <w:rsid w:val="00E8606D"/>
    <w:rsid w:val="00E865ED"/>
    <w:rsid w:val="00E86699"/>
    <w:rsid w:val="00E8786B"/>
    <w:rsid w:val="00E91DAF"/>
    <w:rsid w:val="00E92079"/>
    <w:rsid w:val="00E9221C"/>
    <w:rsid w:val="00E92564"/>
    <w:rsid w:val="00E92795"/>
    <w:rsid w:val="00E9333F"/>
    <w:rsid w:val="00E93900"/>
    <w:rsid w:val="00E93AA5"/>
    <w:rsid w:val="00E9562B"/>
    <w:rsid w:val="00E96232"/>
    <w:rsid w:val="00EA0E92"/>
    <w:rsid w:val="00EA1768"/>
    <w:rsid w:val="00EA178C"/>
    <w:rsid w:val="00EA21A1"/>
    <w:rsid w:val="00EA3FDE"/>
    <w:rsid w:val="00EB0137"/>
    <w:rsid w:val="00EB1FB9"/>
    <w:rsid w:val="00EB3324"/>
    <w:rsid w:val="00EB4110"/>
    <w:rsid w:val="00EB418F"/>
    <w:rsid w:val="00EB4740"/>
    <w:rsid w:val="00EB47DD"/>
    <w:rsid w:val="00EB6D4D"/>
    <w:rsid w:val="00EB76C3"/>
    <w:rsid w:val="00EB7FF5"/>
    <w:rsid w:val="00EC008C"/>
    <w:rsid w:val="00EC18A6"/>
    <w:rsid w:val="00EC2C82"/>
    <w:rsid w:val="00EC3715"/>
    <w:rsid w:val="00EC40F3"/>
    <w:rsid w:val="00EC44AF"/>
    <w:rsid w:val="00EC5D27"/>
    <w:rsid w:val="00EC7058"/>
    <w:rsid w:val="00EC79C9"/>
    <w:rsid w:val="00ED0B52"/>
    <w:rsid w:val="00ED0C3E"/>
    <w:rsid w:val="00ED2673"/>
    <w:rsid w:val="00ED3A17"/>
    <w:rsid w:val="00ED3CE9"/>
    <w:rsid w:val="00ED52C9"/>
    <w:rsid w:val="00ED56DF"/>
    <w:rsid w:val="00ED571A"/>
    <w:rsid w:val="00ED5A46"/>
    <w:rsid w:val="00ED5E4C"/>
    <w:rsid w:val="00ED650B"/>
    <w:rsid w:val="00ED6C13"/>
    <w:rsid w:val="00ED6E02"/>
    <w:rsid w:val="00ED73BE"/>
    <w:rsid w:val="00ED7537"/>
    <w:rsid w:val="00ED7F5A"/>
    <w:rsid w:val="00EE0C68"/>
    <w:rsid w:val="00EE38B9"/>
    <w:rsid w:val="00EE3CCC"/>
    <w:rsid w:val="00EE43A9"/>
    <w:rsid w:val="00EE4F50"/>
    <w:rsid w:val="00EE5A55"/>
    <w:rsid w:val="00EE6701"/>
    <w:rsid w:val="00EE7039"/>
    <w:rsid w:val="00EF04F6"/>
    <w:rsid w:val="00EF0EF5"/>
    <w:rsid w:val="00EF1D43"/>
    <w:rsid w:val="00EF26B3"/>
    <w:rsid w:val="00EF2A69"/>
    <w:rsid w:val="00EF3321"/>
    <w:rsid w:val="00EF3AD4"/>
    <w:rsid w:val="00EF43D6"/>
    <w:rsid w:val="00EF4B7F"/>
    <w:rsid w:val="00EF51FB"/>
    <w:rsid w:val="00EF534E"/>
    <w:rsid w:val="00EF749D"/>
    <w:rsid w:val="00F0163D"/>
    <w:rsid w:val="00F02172"/>
    <w:rsid w:val="00F0420B"/>
    <w:rsid w:val="00F048C3"/>
    <w:rsid w:val="00F0508B"/>
    <w:rsid w:val="00F051CB"/>
    <w:rsid w:val="00F102D1"/>
    <w:rsid w:val="00F1065E"/>
    <w:rsid w:val="00F10B22"/>
    <w:rsid w:val="00F10D3E"/>
    <w:rsid w:val="00F12ADD"/>
    <w:rsid w:val="00F13855"/>
    <w:rsid w:val="00F162FE"/>
    <w:rsid w:val="00F164BE"/>
    <w:rsid w:val="00F1722D"/>
    <w:rsid w:val="00F1726A"/>
    <w:rsid w:val="00F2040E"/>
    <w:rsid w:val="00F20571"/>
    <w:rsid w:val="00F22580"/>
    <w:rsid w:val="00F22787"/>
    <w:rsid w:val="00F23BCD"/>
    <w:rsid w:val="00F24042"/>
    <w:rsid w:val="00F2436E"/>
    <w:rsid w:val="00F25009"/>
    <w:rsid w:val="00F25C7D"/>
    <w:rsid w:val="00F274DE"/>
    <w:rsid w:val="00F27BE2"/>
    <w:rsid w:val="00F31918"/>
    <w:rsid w:val="00F33A6F"/>
    <w:rsid w:val="00F34692"/>
    <w:rsid w:val="00F366FC"/>
    <w:rsid w:val="00F4003D"/>
    <w:rsid w:val="00F40AB0"/>
    <w:rsid w:val="00F41457"/>
    <w:rsid w:val="00F423C8"/>
    <w:rsid w:val="00F432C3"/>
    <w:rsid w:val="00F4368D"/>
    <w:rsid w:val="00F443ED"/>
    <w:rsid w:val="00F45094"/>
    <w:rsid w:val="00F45859"/>
    <w:rsid w:val="00F472A5"/>
    <w:rsid w:val="00F508F5"/>
    <w:rsid w:val="00F50B28"/>
    <w:rsid w:val="00F50D7F"/>
    <w:rsid w:val="00F51984"/>
    <w:rsid w:val="00F53236"/>
    <w:rsid w:val="00F533B0"/>
    <w:rsid w:val="00F54196"/>
    <w:rsid w:val="00F548D5"/>
    <w:rsid w:val="00F549AA"/>
    <w:rsid w:val="00F55489"/>
    <w:rsid w:val="00F55600"/>
    <w:rsid w:val="00F56130"/>
    <w:rsid w:val="00F56196"/>
    <w:rsid w:val="00F578C7"/>
    <w:rsid w:val="00F57F6D"/>
    <w:rsid w:val="00F600DB"/>
    <w:rsid w:val="00F604FE"/>
    <w:rsid w:val="00F60647"/>
    <w:rsid w:val="00F60F82"/>
    <w:rsid w:val="00F612D4"/>
    <w:rsid w:val="00F62613"/>
    <w:rsid w:val="00F634E4"/>
    <w:rsid w:val="00F64463"/>
    <w:rsid w:val="00F6450D"/>
    <w:rsid w:val="00F64C2D"/>
    <w:rsid w:val="00F65236"/>
    <w:rsid w:val="00F67E11"/>
    <w:rsid w:val="00F70F72"/>
    <w:rsid w:val="00F7231E"/>
    <w:rsid w:val="00F73CD1"/>
    <w:rsid w:val="00F73D0E"/>
    <w:rsid w:val="00F73D78"/>
    <w:rsid w:val="00F74125"/>
    <w:rsid w:val="00F74DF4"/>
    <w:rsid w:val="00F74F1E"/>
    <w:rsid w:val="00F74F9C"/>
    <w:rsid w:val="00F75D35"/>
    <w:rsid w:val="00F76604"/>
    <w:rsid w:val="00F7665C"/>
    <w:rsid w:val="00F76A32"/>
    <w:rsid w:val="00F80F25"/>
    <w:rsid w:val="00F81195"/>
    <w:rsid w:val="00F82351"/>
    <w:rsid w:val="00F82C49"/>
    <w:rsid w:val="00F84051"/>
    <w:rsid w:val="00F8529B"/>
    <w:rsid w:val="00F8583B"/>
    <w:rsid w:val="00F85D91"/>
    <w:rsid w:val="00F8666B"/>
    <w:rsid w:val="00F869D0"/>
    <w:rsid w:val="00F87093"/>
    <w:rsid w:val="00F87946"/>
    <w:rsid w:val="00F90053"/>
    <w:rsid w:val="00F902A3"/>
    <w:rsid w:val="00F91DFD"/>
    <w:rsid w:val="00F9263B"/>
    <w:rsid w:val="00F927E3"/>
    <w:rsid w:val="00F9361B"/>
    <w:rsid w:val="00F9418D"/>
    <w:rsid w:val="00F9422A"/>
    <w:rsid w:val="00F94EBB"/>
    <w:rsid w:val="00F9546F"/>
    <w:rsid w:val="00F95AD8"/>
    <w:rsid w:val="00F96CD0"/>
    <w:rsid w:val="00F9764F"/>
    <w:rsid w:val="00FA1E5D"/>
    <w:rsid w:val="00FA4DC7"/>
    <w:rsid w:val="00FA5168"/>
    <w:rsid w:val="00FA6D20"/>
    <w:rsid w:val="00FB0801"/>
    <w:rsid w:val="00FB0C2C"/>
    <w:rsid w:val="00FB12D0"/>
    <w:rsid w:val="00FB205F"/>
    <w:rsid w:val="00FB2225"/>
    <w:rsid w:val="00FB2746"/>
    <w:rsid w:val="00FB3BF6"/>
    <w:rsid w:val="00FB3F4D"/>
    <w:rsid w:val="00FB3FBE"/>
    <w:rsid w:val="00FB46CB"/>
    <w:rsid w:val="00FB498C"/>
    <w:rsid w:val="00FB6C89"/>
    <w:rsid w:val="00FB7A6A"/>
    <w:rsid w:val="00FC009C"/>
    <w:rsid w:val="00FC3AEC"/>
    <w:rsid w:val="00FC4127"/>
    <w:rsid w:val="00FC5EFB"/>
    <w:rsid w:val="00FC684B"/>
    <w:rsid w:val="00FC6887"/>
    <w:rsid w:val="00FC7C96"/>
    <w:rsid w:val="00FD016C"/>
    <w:rsid w:val="00FD3863"/>
    <w:rsid w:val="00FD428A"/>
    <w:rsid w:val="00FD5944"/>
    <w:rsid w:val="00FD7285"/>
    <w:rsid w:val="00FE0B85"/>
    <w:rsid w:val="00FE0FED"/>
    <w:rsid w:val="00FE26D5"/>
    <w:rsid w:val="00FF24A7"/>
    <w:rsid w:val="00FF315E"/>
    <w:rsid w:val="00FF5E11"/>
    <w:rsid w:val="00FF618E"/>
    <w:rsid w:val="00FF6550"/>
    <w:rsid w:val="034A3C43"/>
    <w:rsid w:val="035D43B2"/>
    <w:rsid w:val="061D70C9"/>
    <w:rsid w:val="06526722"/>
    <w:rsid w:val="06B669FD"/>
    <w:rsid w:val="07067A85"/>
    <w:rsid w:val="07D12C81"/>
    <w:rsid w:val="08F466C3"/>
    <w:rsid w:val="0A2B3788"/>
    <w:rsid w:val="0A735520"/>
    <w:rsid w:val="0B7935DA"/>
    <w:rsid w:val="0CCA1364"/>
    <w:rsid w:val="10B677F5"/>
    <w:rsid w:val="1196070D"/>
    <w:rsid w:val="121B147B"/>
    <w:rsid w:val="14180324"/>
    <w:rsid w:val="164914DD"/>
    <w:rsid w:val="16BC0394"/>
    <w:rsid w:val="18085249"/>
    <w:rsid w:val="19742560"/>
    <w:rsid w:val="1BD97C17"/>
    <w:rsid w:val="1DE814EA"/>
    <w:rsid w:val="1DFD32B9"/>
    <w:rsid w:val="22F04605"/>
    <w:rsid w:val="2701012D"/>
    <w:rsid w:val="27837C16"/>
    <w:rsid w:val="2A745C5B"/>
    <w:rsid w:val="2AA72E29"/>
    <w:rsid w:val="2AD773B3"/>
    <w:rsid w:val="2BDE66F4"/>
    <w:rsid w:val="2DCA6A67"/>
    <w:rsid w:val="35A74B19"/>
    <w:rsid w:val="37694ECB"/>
    <w:rsid w:val="38157B62"/>
    <w:rsid w:val="3A704132"/>
    <w:rsid w:val="3CA40ED6"/>
    <w:rsid w:val="3CD0507B"/>
    <w:rsid w:val="3D673E66"/>
    <w:rsid w:val="3E24485E"/>
    <w:rsid w:val="3ED00B1C"/>
    <w:rsid w:val="4020339F"/>
    <w:rsid w:val="44841968"/>
    <w:rsid w:val="472925B3"/>
    <w:rsid w:val="47FB4C64"/>
    <w:rsid w:val="4A9300AD"/>
    <w:rsid w:val="4B144D4D"/>
    <w:rsid w:val="4B3A6471"/>
    <w:rsid w:val="4B484E88"/>
    <w:rsid w:val="4C9371AA"/>
    <w:rsid w:val="4CF5450B"/>
    <w:rsid w:val="4D8045F3"/>
    <w:rsid w:val="50B65DF7"/>
    <w:rsid w:val="51583BD4"/>
    <w:rsid w:val="528B6876"/>
    <w:rsid w:val="58A73807"/>
    <w:rsid w:val="58CE4B84"/>
    <w:rsid w:val="59DD6840"/>
    <w:rsid w:val="5A7567DD"/>
    <w:rsid w:val="5C423563"/>
    <w:rsid w:val="5E5D6AE3"/>
    <w:rsid w:val="5F546F21"/>
    <w:rsid w:val="60836FA1"/>
    <w:rsid w:val="60E17BEA"/>
    <w:rsid w:val="62445C0F"/>
    <w:rsid w:val="6293074C"/>
    <w:rsid w:val="646247BA"/>
    <w:rsid w:val="64722685"/>
    <w:rsid w:val="65BD2C66"/>
    <w:rsid w:val="6705794B"/>
    <w:rsid w:val="67BD0BE0"/>
    <w:rsid w:val="6BD8276F"/>
    <w:rsid w:val="6C2174E2"/>
    <w:rsid w:val="6D43056B"/>
    <w:rsid w:val="6E0E6C6E"/>
    <w:rsid w:val="701E73A2"/>
    <w:rsid w:val="70414AAF"/>
    <w:rsid w:val="70B42644"/>
    <w:rsid w:val="72FB436F"/>
    <w:rsid w:val="757205A3"/>
    <w:rsid w:val="77363549"/>
    <w:rsid w:val="795A121E"/>
    <w:rsid w:val="796B1F8B"/>
    <w:rsid w:val="7B876395"/>
    <w:rsid w:val="7C6334CF"/>
    <w:rsid w:val="7E8D5E81"/>
    <w:rsid w:val="7F7E0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4"/>
    <w:qFormat/>
    <w:uiPriority w:val="0"/>
    <w:pPr>
      <w:keepNext/>
      <w:spacing w:line="300" w:lineRule="auto"/>
      <w:jc w:val="center"/>
      <w:outlineLvl w:val="0"/>
    </w:pPr>
    <w:rPr>
      <w:rFonts w:eastAsia="华文中宋"/>
      <w:b/>
      <w:color w:val="000000"/>
      <w:sz w:val="32"/>
    </w:rPr>
  </w:style>
  <w:style w:type="paragraph" w:styleId="5">
    <w:name w:val="heading 2"/>
    <w:basedOn w:val="1"/>
    <w:next w:val="6"/>
    <w:link w:val="55"/>
    <w:qFormat/>
    <w:uiPriority w:val="0"/>
    <w:pPr>
      <w:keepNext/>
      <w:keepLines/>
      <w:spacing w:line="300" w:lineRule="auto"/>
      <w:ind w:firstLine="200" w:firstLineChars="200"/>
      <w:outlineLvl w:val="1"/>
    </w:pPr>
    <w:rPr>
      <w:rFonts w:ascii="Arial" w:hAnsi="Arial"/>
      <w:b/>
      <w:bCs/>
      <w:szCs w:val="32"/>
    </w:rPr>
  </w:style>
  <w:style w:type="paragraph" w:styleId="7">
    <w:name w:val="heading 3"/>
    <w:basedOn w:val="1"/>
    <w:next w:val="1"/>
    <w:link w:val="56"/>
    <w:qFormat/>
    <w:uiPriority w:val="0"/>
    <w:pPr>
      <w:widowControl/>
      <w:autoSpaceDE w:val="0"/>
      <w:autoSpaceDN w:val="0"/>
      <w:snapToGrid w:val="0"/>
      <w:spacing w:line="300" w:lineRule="auto"/>
      <w:ind w:firstLine="200" w:firstLineChars="200"/>
      <w:outlineLvl w:val="2"/>
    </w:pPr>
    <w:rPr>
      <w:rFonts w:ascii="Arial" w:hAnsi="Arial"/>
      <w:b/>
      <w:szCs w:val="20"/>
    </w:rPr>
  </w:style>
  <w:style w:type="paragraph" w:styleId="8">
    <w:name w:val="heading 4"/>
    <w:basedOn w:val="1"/>
    <w:next w:val="1"/>
    <w:link w:val="57"/>
    <w:qFormat/>
    <w:uiPriority w:val="9"/>
    <w:pPr>
      <w:widowControl/>
      <w:spacing w:before="100" w:beforeAutospacing="1" w:after="100" w:afterAutospacing="1"/>
      <w:jc w:val="left"/>
      <w:outlineLvl w:val="3"/>
    </w:pPr>
    <w:rPr>
      <w:rFonts w:ascii="宋体" w:hAnsi="宋体"/>
      <w:kern w:val="0"/>
      <w:sz w:val="24"/>
    </w:rPr>
  </w:style>
  <w:style w:type="character" w:default="1" w:styleId="46">
    <w:name w:val="Default Paragraph Font"/>
    <w:semiHidden/>
    <w:unhideWhenUsed/>
    <w:uiPriority w:val="1"/>
  </w:style>
  <w:style w:type="table" w:default="1" w:styleId="44">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pPr>
    <w:rPr>
      <w:rFonts w:cs="宋体"/>
      <w:sz w:val="21"/>
      <w:szCs w:val="21"/>
    </w:rPr>
  </w:style>
  <w:style w:type="paragraph" w:styleId="3">
    <w:name w:val="Body Text Indent"/>
    <w:basedOn w:val="1"/>
    <w:next w:val="1"/>
    <w:link w:val="53"/>
    <w:qFormat/>
    <w:uiPriority w:val="0"/>
    <w:pPr>
      <w:widowControl/>
      <w:autoSpaceDE w:val="0"/>
      <w:autoSpaceDN w:val="0"/>
      <w:snapToGrid w:val="0"/>
      <w:spacing w:before="120" w:line="400" w:lineRule="atLeast"/>
      <w:ind w:firstLine="570"/>
      <w:textAlignment w:val="bottom"/>
    </w:pPr>
    <w:rPr>
      <w:rFonts w:ascii="宋体"/>
      <w:kern w:val="0"/>
      <w:sz w:val="24"/>
      <w:szCs w:val="20"/>
    </w:rPr>
  </w:style>
  <w:style w:type="paragraph" w:styleId="6">
    <w:name w:val="Normal Indent"/>
    <w:basedOn w:val="1"/>
    <w:link w:val="58"/>
    <w:qFormat/>
    <w:uiPriority w:val="0"/>
    <w:pPr>
      <w:ind w:firstLine="420" w:firstLineChars="200"/>
    </w:pPr>
  </w:style>
  <w:style w:type="paragraph" w:styleId="9">
    <w:name w:val="List 3"/>
    <w:basedOn w:val="1"/>
    <w:qFormat/>
    <w:uiPriority w:val="0"/>
    <w:pPr>
      <w:ind w:left="100" w:leftChars="400" w:hanging="200" w:hangingChars="200"/>
    </w:pPr>
    <w:rPr>
      <w:szCs w:val="20"/>
    </w:rPr>
  </w:style>
  <w:style w:type="paragraph" w:styleId="10">
    <w:name w:val="toc 7"/>
    <w:basedOn w:val="1"/>
    <w:next w:val="1"/>
    <w:qFormat/>
    <w:uiPriority w:val="0"/>
    <w:pPr>
      <w:ind w:left="1260"/>
      <w:jc w:val="left"/>
    </w:pPr>
    <w:rPr>
      <w:sz w:val="18"/>
      <w:szCs w:val="18"/>
    </w:rPr>
  </w:style>
  <w:style w:type="paragraph" w:styleId="11">
    <w:name w:val="index 8"/>
    <w:basedOn w:val="1"/>
    <w:next w:val="1"/>
    <w:qFormat/>
    <w:uiPriority w:val="0"/>
    <w:pPr>
      <w:ind w:left="1400" w:leftChars="1400"/>
    </w:pPr>
  </w:style>
  <w:style w:type="paragraph" w:styleId="12">
    <w:name w:val="caption"/>
    <w:basedOn w:val="1"/>
    <w:next w:val="1"/>
    <w:qFormat/>
    <w:uiPriority w:val="0"/>
    <w:pPr>
      <w:keepNext/>
      <w:keepLines/>
      <w:widowControl/>
      <w:spacing w:before="240" w:line="319" w:lineRule="auto"/>
      <w:ind w:left="480"/>
      <w:jc w:val="center"/>
    </w:pPr>
    <w:rPr>
      <w:rFonts w:ascii="Cambria" w:hAnsi="Cambria" w:eastAsia="黑体"/>
      <w:sz w:val="20"/>
      <w:szCs w:val="20"/>
    </w:rPr>
  </w:style>
  <w:style w:type="paragraph" w:styleId="13">
    <w:name w:val="Document Map"/>
    <w:basedOn w:val="1"/>
    <w:link w:val="59"/>
    <w:qFormat/>
    <w:uiPriority w:val="0"/>
    <w:pPr>
      <w:shd w:val="clear" w:color="auto" w:fill="000080"/>
    </w:pPr>
  </w:style>
  <w:style w:type="paragraph" w:styleId="14">
    <w:name w:val="annotation text"/>
    <w:basedOn w:val="1"/>
    <w:link w:val="60"/>
    <w:qFormat/>
    <w:uiPriority w:val="0"/>
    <w:pPr>
      <w:jc w:val="left"/>
    </w:pPr>
    <w:rPr>
      <w:szCs w:val="20"/>
    </w:rPr>
  </w:style>
  <w:style w:type="paragraph" w:styleId="15">
    <w:name w:val="Body Text 3"/>
    <w:basedOn w:val="1"/>
    <w:qFormat/>
    <w:uiPriority w:val="0"/>
    <w:pPr>
      <w:spacing w:line="440" w:lineRule="atLeast"/>
      <w:jc w:val="center"/>
    </w:pPr>
    <w:rPr>
      <w:rFonts w:ascii="楷体_GB2312" w:eastAsia="楷体_GB2312"/>
      <w:b/>
      <w:color w:val="000000"/>
      <w:sz w:val="30"/>
    </w:rPr>
  </w:style>
  <w:style w:type="paragraph" w:styleId="16">
    <w:name w:val="Body Text"/>
    <w:basedOn w:val="1"/>
    <w:next w:val="17"/>
    <w:qFormat/>
    <w:uiPriority w:val="0"/>
    <w:pPr>
      <w:adjustRightInd w:val="0"/>
      <w:spacing w:line="315" w:lineRule="atLeast"/>
      <w:jc w:val="left"/>
      <w:textAlignment w:val="baseline"/>
    </w:pPr>
    <w:rPr>
      <w:rFonts w:ascii="仿宋_GB2312" w:eastAsia="仿宋_GB2312"/>
      <w:kern w:val="0"/>
      <w:sz w:val="28"/>
      <w:szCs w:val="20"/>
    </w:rPr>
  </w:style>
  <w:style w:type="paragraph" w:styleId="17">
    <w:name w:val="toc 2"/>
    <w:basedOn w:val="1"/>
    <w:next w:val="1"/>
    <w:qFormat/>
    <w:uiPriority w:val="39"/>
    <w:pPr>
      <w:tabs>
        <w:tab w:val="right" w:leader="dot" w:pos="9403"/>
      </w:tabs>
      <w:snapToGrid w:val="0"/>
      <w:spacing w:line="300" w:lineRule="auto"/>
      <w:ind w:firstLine="200" w:firstLineChars="200"/>
    </w:pPr>
    <w:rPr>
      <w:rFonts w:ascii="Arial" w:hAnsi="Arial"/>
      <w:smallCaps/>
    </w:rPr>
  </w:style>
  <w:style w:type="paragraph" w:styleId="18">
    <w:name w:val="List 2"/>
    <w:basedOn w:val="1"/>
    <w:qFormat/>
    <w:uiPriority w:val="0"/>
    <w:pPr>
      <w:ind w:left="100" w:leftChars="200" w:hanging="200" w:hangingChars="200"/>
    </w:pPr>
  </w:style>
  <w:style w:type="paragraph" w:styleId="19">
    <w:name w:val="toc 5"/>
    <w:basedOn w:val="1"/>
    <w:next w:val="1"/>
    <w:qFormat/>
    <w:uiPriority w:val="0"/>
    <w:pPr>
      <w:ind w:left="840"/>
      <w:jc w:val="left"/>
    </w:pPr>
    <w:rPr>
      <w:sz w:val="18"/>
      <w:szCs w:val="18"/>
    </w:rPr>
  </w:style>
  <w:style w:type="paragraph" w:styleId="20">
    <w:name w:val="toc 3"/>
    <w:basedOn w:val="1"/>
    <w:next w:val="1"/>
    <w:qFormat/>
    <w:uiPriority w:val="0"/>
    <w:pPr>
      <w:ind w:left="420"/>
      <w:jc w:val="left"/>
    </w:pPr>
    <w:rPr>
      <w:i/>
      <w:iCs/>
      <w:sz w:val="20"/>
      <w:szCs w:val="20"/>
    </w:rPr>
  </w:style>
  <w:style w:type="paragraph" w:styleId="21">
    <w:name w:val="Plain Text"/>
    <w:basedOn w:val="1"/>
    <w:link w:val="61"/>
    <w:qFormat/>
    <w:uiPriority w:val="0"/>
    <w:rPr>
      <w:rFonts w:ascii="宋体" w:hAnsi="Courier New"/>
      <w:szCs w:val="20"/>
    </w:rPr>
  </w:style>
  <w:style w:type="paragraph" w:styleId="22">
    <w:name w:val="toc 8"/>
    <w:basedOn w:val="1"/>
    <w:next w:val="1"/>
    <w:qFormat/>
    <w:uiPriority w:val="0"/>
    <w:pPr>
      <w:ind w:left="1470"/>
      <w:jc w:val="left"/>
    </w:pPr>
    <w:rPr>
      <w:sz w:val="18"/>
      <w:szCs w:val="18"/>
    </w:rPr>
  </w:style>
  <w:style w:type="paragraph" w:styleId="23">
    <w:name w:val="Date"/>
    <w:basedOn w:val="1"/>
    <w:next w:val="1"/>
    <w:link w:val="62"/>
    <w:qFormat/>
    <w:uiPriority w:val="99"/>
    <w:pPr>
      <w:ind w:left="100" w:leftChars="2500"/>
    </w:pPr>
    <w:rPr>
      <w:color w:val="000000"/>
      <w:sz w:val="24"/>
    </w:rPr>
  </w:style>
  <w:style w:type="paragraph" w:styleId="24">
    <w:name w:val="Body Text Indent 2"/>
    <w:basedOn w:val="1"/>
    <w:link w:val="63"/>
    <w:qFormat/>
    <w:uiPriority w:val="99"/>
    <w:pPr>
      <w:widowControl/>
      <w:spacing w:line="480" w:lineRule="atLeast"/>
      <w:ind w:firstLine="480"/>
    </w:pPr>
    <w:rPr>
      <w:rFonts w:ascii="宋体"/>
      <w:kern w:val="0"/>
      <w:sz w:val="24"/>
      <w:szCs w:val="20"/>
    </w:rPr>
  </w:style>
  <w:style w:type="paragraph" w:styleId="25">
    <w:name w:val="Balloon Text"/>
    <w:basedOn w:val="1"/>
    <w:link w:val="64"/>
    <w:qFormat/>
    <w:uiPriority w:val="0"/>
    <w:rPr>
      <w:sz w:val="18"/>
      <w:szCs w:val="18"/>
    </w:rPr>
  </w:style>
  <w:style w:type="paragraph" w:styleId="26">
    <w:name w:val="footer"/>
    <w:basedOn w:val="1"/>
    <w:link w:val="65"/>
    <w:qFormat/>
    <w:uiPriority w:val="99"/>
    <w:pPr>
      <w:pBdr>
        <w:top w:val="single" w:color="auto" w:sz="4" w:space="1"/>
      </w:pBdr>
      <w:tabs>
        <w:tab w:val="center" w:pos="4153"/>
        <w:tab w:val="right" w:pos="8306"/>
      </w:tabs>
      <w:snapToGrid w:val="0"/>
      <w:jc w:val="left"/>
    </w:pPr>
    <w:rPr>
      <w:sz w:val="18"/>
      <w:szCs w:val="18"/>
    </w:rPr>
  </w:style>
  <w:style w:type="paragraph" w:styleId="27">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right" w:leader="dot" w:pos="9403"/>
      </w:tabs>
      <w:snapToGrid w:val="0"/>
      <w:spacing w:line="300" w:lineRule="auto"/>
    </w:pPr>
    <w:rPr>
      <w:rFonts w:ascii="Arial" w:hAnsi="Arial"/>
      <w:b/>
      <w:bCs/>
      <w:caps/>
    </w:rPr>
  </w:style>
  <w:style w:type="paragraph" w:styleId="29">
    <w:name w:val="toc 4"/>
    <w:basedOn w:val="1"/>
    <w:next w:val="1"/>
    <w:qFormat/>
    <w:uiPriority w:val="0"/>
    <w:pPr>
      <w:ind w:left="630"/>
      <w:jc w:val="left"/>
    </w:pPr>
    <w:rPr>
      <w:sz w:val="18"/>
      <w:szCs w:val="18"/>
    </w:rPr>
  </w:style>
  <w:style w:type="paragraph" w:styleId="30">
    <w:name w:val="Subtitle"/>
    <w:basedOn w:val="1"/>
    <w:next w:val="1"/>
    <w:link w:val="67"/>
    <w:qFormat/>
    <w:uiPriority w:val="0"/>
    <w:pPr>
      <w:spacing w:before="240" w:after="60" w:line="312" w:lineRule="auto"/>
      <w:jc w:val="center"/>
      <w:outlineLvl w:val="1"/>
    </w:pPr>
    <w:rPr>
      <w:rFonts w:ascii="Cambria" w:hAnsi="Cambria"/>
      <w:b/>
      <w:bCs/>
      <w:kern w:val="28"/>
      <w:sz w:val="32"/>
      <w:szCs w:val="32"/>
    </w:rPr>
  </w:style>
  <w:style w:type="paragraph" w:styleId="31">
    <w:name w:val="List"/>
    <w:basedOn w:val="1"/>
    <w:qFormat/>
    <w:uiPriority w:val="0"/>
    <w:pPr>
      <w:ind w:left="200" w:hanging="200" w:hangingChars="200"/>
    </w:pPr>
  </w:style>
  <w:style w:type="paragraph" w:styleId="32">
    <w:name w:val="toc 6"/>
    <w:basedOn w:val="1"/>
    <w:next w:val="1"/>
    <w:qFormat/>
    <w:uiPriority w:val="0"/>
    <w:pPr>
      <w:ind w:left="1050"/>
      <w:jc w:val="left"/>
    </w:pPr>
    <w:rPr>
      <w:sz w:val="18"/>
      <w:szCs w:val="18"/>
    </w:rPr>
  </w:style>
  <w:style w:type="paragraph" w:styleId="33">
    <w:name w:val="List 5"/>
    <w:basedOn w:val="1"/>
    <w:qFormat/>
    <w:uiPriority w:val="0"/>
    <w:pPr>
      <w:ind w:left="100" w:leftChars="800" w:hanging="200" w:hangingChars="200"/>
    </w:pPr>
    <w:rPr>
      <w:szCs w:val="20"/>
    </w:rPr>
  </w:style>
  <w:style w:type="paragraph" w:styleId="34">
    <w:name w:val="Body Text Indent 3"/>
    <w:basedOn w:val="1"/>
    <w:link w:val="68"/>
    <w:qFormat/>
    <w:uiPriority w:val="99"/>
    <w:pPr>
      <w:autoSpaceDE w:val="0"/>
      <w:autoSpaceDN w:val="0"/>
      <w:spacing w:line="400" w:lineRule="atLeast"/>
      <w:ind w:firstLine="443" w:firstLineChars="200"/>
      <w:textAlignment w:val="bottom"/>
    </w:pPr>
    <w:rPr>
      <w:rFonts w:eastAsia="黑体"/>
      <w:color w:val="000000"/>
      <w:sz w:val="24"/>
    </w:rPr>
  </w:style>
  <w:style w:type="paragraph" w:styleId="35">
    <w:name w:val="toc 9"/>
    <w:basedOn w:val="1"/>
    <w:next w:val="1"/>
    <w:qFormat/>
    <w:uiPriority w:val="0"/>
    <w:pPr>
      <w:ind w:left="1680"/>
      <w:jc w:val="left"/>
    </w:pPr>
    <w:rPr>
      <w:sz w:val="18"/>
      <w:szCs w:val="18"/>
    </w:rPr>
  </w:style>
  <w:style w:type="paragraph" w:styleId="36">
    <w:name w:val="Body Text 2"/>
    <w:basedOn w:val="1"/>
    <w:qFormat/>
    <w:uiPriority w:val="0"/>
    <w:rPr>
      <w:b/>
      <w:bCs/>
      <w:color w:val="000000"/>
      <w:sz w:val="28"/>
    </w:rPr>
  </w:style>
  <w:style w:type="paragraph" w:styleId="37">
    <w:name w:val="List 4"/>
    <w:basedOn w:val="1"/>
    <w:qFormat/>
    <w:uiPriority w:val="0"/>
    <w:pPr>
      <w:ind w:left="100" w:leftChars="600" w:hanging="200" w:hangingChars="200"/>
    </w:pPr>
    <w:rPr>
      <w:szCs w:val="20"/>
    </w:rPr>
  </w:style>
  <w:style w:type="paragraph" w:styleId="3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9">
    <w:name w:val="Normal (Web)"/>
    <w:basedOn w:val="1"/>
    <w:qFormat/>
    <w:uiPriority w:val="0"/>
    <w:pPr>
      <w:widowControl/>
      <w:spacing w:before="100" w:beforeAutospacing="1" w:after="100" w:afterAutospacing="1"/>
      <w:jc w:val="left"/>
    </w:pPr>
    <w:rPr>
      <w:rFonts w:ascii="宋体" w:hAnsi="宋体"/>
      <w:kern w:val="0"/>
      <w:sz w:val="24"/>
    </w:rPr>
  </w:style>
  <w:style w:type="paragraph" w:styleId="40">
    <w:name w:val="index 1"/>
    <w:basedOn w:val="1"/>
    <w:next w:val="1"/>
    <w:qFormat/>
    <w:uiPriority w:val="0"/>
    <w:pPr>
      <w:widowControl/>
      <w:spacing w:line="360" w:lineRule="auto"/>
      <w:jc w:val="center"/>
    </w:pPr>
    <w:rPr>
      <w:rFonts w:ascii="Arial" w:hAnsi="Arial" w:cs="Arial"/>
      <w:kern w:val="0"/>
      <w:sz w:val="24"/>
    </w:rPr>
  </w:style>
  <w:style w:type="paragraph" w:styleId="41">
    <w:name w:val="Title"/>
    <w:basedOn w:val="1"/>
    <w:link w:val="69"/>
    <w:qFormat/>
    <w:uiPriority w:val="0"/>
    <w:pPr>
      <w:jc w:val="center"/>
    </w:pPr>
    <w:rPr>
      <w:sz w:val="30"/>
    </w:rPr>
  </w:style>
  <w:style w:type="paragraph" w:styleId="42">
    <w:name w:val="annotation subject"/>
    <w:basedOn w:val="14"/>
    <w:next w:val="14"/>
    <w:link w:val="70"/>
    <w:qFormat/>
    <w:uiPriority w:val="0"/>
    <w:rPr>
      <w:b/>
      <w:bCs/>
    </w:rPr>
  </w:style>
  <w:style w:type="paragraph" w:styleId="43">
    <w:name w:val="Body Text First Indent"/>
    <w:basedOn w:val="16"/>
    <w:qFormat/>
    <w:uiPriority w:val="0"/>
    <w:pPr>
      <w:adjustRightInd/>
      <w:spacing w:after="120" w:line="240" w:lineRule="auto"/>
      <w:ind w:firstLine="420" w:firstLineChars="100"/>
      <w:jc w:val="both"/>
      <w:textAlignment w:val="auto"/>
    </w:pPr>
    <w:rPr>
      <w:rFonts w:ascii="Times New Roman" w:eastAsia="宋体"/>
      <w:kern w:val="2"/>
      <w:sz w:val="21"/>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rPr>
  </w:style>
  <w:style w:type="character" w:styleId="48">
    <w:name w:val="page number"/>
    <w:qFormat/>
    <w:uiPriority w:val="0"/>
    <w:rPr>
      <w:rFonts w:eastAsia="Arial"/>
    </w:rPr>
  </w:style>
  <w:style w:type="character" w:styleId="49">
    <w:name w:val="FollowedHyperlink"/>
    <w:qFormat/>
    <w:uiPriority w:val="0"/>
    <w:rPr>
      <w:color w:val="800080"/>
      <w:u w:val="single"/>
    </w:rPr>
  </w:style>
  <w:style w:type="character" w:styleId="50">
    <w:name w:val="Emphasis"/>
    <w:qFormat/>
    <w:uiPriority w:val="0"/>
    <w:rPr>
      <w:color w:val="CC0033"/>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character" w:customStyle="1" w:styleId="53">
    <w:name w:val="正文文本缩进 字符"/>
    <w:link w:val="3"/>
    <w:qFormat/>
    <w:uiPriority w:val="0"/>
    <w:rPr>
      <w:rFonts w:ascii="宋体"/>
      <w:sz w:val="24"/>
    </w:rPr>
  </w:style>
  <w:style w:type="character" w:customStyle="1" w:styleId="54">
    <w:name w:val="标题 1 字符"/>
    <w:link w:val="4"/>
    <w:qFormat/>
    <w:uiPriority w:val="0"/>
    <w:rPr>
      <w:rFonts w:eastAsia="华文中宋"/>
      <w:b/>
      <w:color w:val="000000"/>
      <w:kern w:val="2"/>
      <w:sz w:val="32"/>
      <w:szCs w:val="24"/>
    </w:rPr>
  </w:style>
  <w:style w:type="character" w:customStyle="1" w:styleId="55">
    <w:name w:val="标题 2 字符"/>
    <w:link w:val="5"/>
    <w:qFormat/>
    <w:uiPriority w:val="0"/>
    <w:rPr>
      <w:rFonts w:ascii="Arial" w:hAnsi="Arial"/>
      <w:b/>
      <w:bCs/>
      <w:kern w:val="2"/>
      <w:sz w:val="21"/>
      <w:szCs w:val="32"/>
    </w:rPr>
  </w:style>
  <w:style w:type="character" w:customStyle="1" w:styleId="56">
    <w:name w:val="标题 3 字符"/>
    <w:link w:val="7"/>
    <w:qFormat/>
    <w:uiPriority w:val="0"/>
    <w:rPr>
      <w:rFonts w:ascii="Arial" w:hAnsi="Arial"/>
      <w:b/>
      <w:kern w:val="2"/>
      <w:sz w:val="21"/>
    </w:rPr>
  </w:style>
  <w:style w:type="character" w:customStyle="1" w:styleId="57">
    <w:name w:val="标题 4 字符"/>
    <w:link w:val="8"/>
    <w:qFormat/>
    <w:uiPriority w:val="9"/>
    <w:rPr>
      <w:rFonts w:ascii="宋体" w:hAnsi="宋体" w:cs="宋体"/>
      <w:sz w:val="24"/>
      <w:szCs w:val="24"/>
    </w:rPr>
  </w:style>
  <w:style w:type="character" w:customStyle="1" w:styleId="58">
    <w:name w:val="正文缩进 字符"/>
    <w:link w:val="6"/>
    <w:qFormat/>
    <w:uiPriority w:val="0"/>
    <w:rPr>
      <w:rFonts w:eastAsia="宋体"/>
      <w:kern w:val="2"/>
      <w:sz w:val="21"/>
      <w:szCs w:val="24"/>
      <w:lang w:val="en-US" w:eastAsia="zh-CN" w:bidi="ar-SA"/>
    </w:rPr>
  </w:style>
  <w:style w:type="character" w:customStyle="1" w:styleId="59">
    <w:name w:val="文档结构图 字符"/>
    <w:link w:val="13"/>
    <w:qFormat/>
    <w:uiPriority w:val="0"/>
    <w:rPr>
      <w:kern w:val="2"/>
      <w:sz w:val="21"/>
      <w:szCs w:val="24"/>
      <w:shd w:val="clear" w:color="auto" w:fill="000080"/>
    </w:rPr>
  </w:style>
  <w:style w:type="character" w:customStyle="1" w:styleId="60">
    <w:name w:val="批注文字 字符"/>
    <w:link w:val="14"/>
    <w:qFormat/>
    <w:uiPriority w:val="0"/>
    <w:rPr>
      <w:kern w:val="2"/>
      <w:sz w:val="21"/>
    </w:rPr>
  </w:style>
  <w:style w:type="character" w:customStyle="1" w:styleId="61">
    <w:name w:val="纯文本 字符"/>
    <w:link w:val="21"/>
    <w:qFormat/>
    <w:uiPriority w:val="0"/>
    <w:rPr>
      <w:rFonts w:ascii="宋体" w:hAnsi="Courier New" w:eastAsia="宋体"/>
      <w:kern w:val="2"/>
      <w:sz w:val="21"/>
      <w:lang w:val="en-US" w:eastAsia="zh-CN" w:bidi="ar-SA"/>
    </w:rPr>
  </w:style>
  <w:style w:type="character" w:customStyle="1" w:styleId="62">
    <w:name w:val="日期 字符"/>
    <w:link w:val="23"/>
    <w:qFormat/>
    <w:uiPriority w:val="99"/>
    <w:rPr>
      <w:color w:val="000000"/>
      <w:kern w:val="2"/>
      <w:sz w:val="24"/>
      <w:szCs w:val="24"/>
    </w:rPr>
  </w:style>
  <w:style w:type="character" w:customStyle="1" w:styleId="63">
    <w:name w:val="正文文本缩进 2 字符"/>
    <w:link w:val="24"/>
    <w:qFormat/>
    <w:uiPriority w:val="99"/>
    <w:rPr>
      <w:rFonts w:ascii="宋体"/>
      <w:sz w:val="24"/>
    </w:rPr>
  </w:style>
  <w:style w:type="character" w:customStyle="1" w:styleId="64">
    <w:name w:val="批注框文本 字符"/>
    <w:link w:val="25"/>
    <w:qFormat/>
    <w:uiPriority w:val="0"/>
    <w:rPr>
      <w:kern w:val="2"/>
      <w:sz w:val="18"/>
      <w:szCs w:val="18"/>
    </w:rPr>
  </w:style>
  <w:style w:type="character" w:customStyle="1" w:styleId="65">
    <w:name w:val="页脚 字符"/>
    <w:link w:val="26"/>
    <w:qFormat/>
    <w:uiPriority w:val="99"/>
    <w:rPr>
      <w:rFonts w:eastAsia="宋体"/>
      <w:kern w:val="2"/>
      <w:sz w:val="18"/>
      <w:szCs w:val="18"/>
      <w:lang w:val="en-US" w:eastAsia="zh-CN" w:bidi="ar-SA"/>
    </w:rPr>
  </w:style>
  <w:style w:type="character" w:customStyle="1" w:styleId="66">
    <w:name w:val="页眉 字符"/>
    <w:link w:val="27"/>
    <w:qFormat/>
    <w:uiPriority w:val="99"/>
    <w:rPr>
      <w:rFonts w:eastAsia="宋体"/>
      <w:kern w:val="2"/>
      <w:sz w:val="18"/>
      <w:szCs w:val="18"/>
      <w:lang w:val="en-US" w:eastAsia="zh-CN" w:bidi="ar-SA"/>
    </w:rPr>
  </w:style>
  <w:style w:type="character" w:customStyle="1" w:styleId="67">
    <w:name w:val="副标题 字符"/>
    <w:link w:val="30"/>
    <w:qFormat/>
    <w:uiPriority w:val="0"/>
    <w:rPr>
      <w:rFonts w:ascii="Cambria" w:hAnsi="Cambria" w:eastAsia="宋体"/>
      <w:b/>
      <w:bCs/>
      <w:kern w:val="28"/>
      <w:sz w:val="32"/>
      <w:szCs w:val="32"/>
      <w:lang w:val="en-US" w:eastAsia="zh-CN" w:bidi="ar-SA"/>
    </w:rPr>
  </w:style>
  <w:style w:type="character" w:customStyle="1" w:styleId="68">
    <w:name w:val="正文文本缩进 3 字符"/>
    <w:link w:val="34"/>
    <w:qFormat/>
    <w:locked/>
    <w:uiPriority w:val="99"/>
    <w:rPr>
      <w:rFonts w:eastAsia="黑体"/>
      <w:color w:val="000000"/>
      <w:kern w:val="2"/>
      <w:sz w:val="24"/>
      <w:szCs w:val="24"/>
    </w:rPr>
  </w:style>
  <w:style w:type="character" w:customStyle="1" w:styleId="69">
    <w:name w:val="标题 字符"/>
    <w:link w:val="41"/>
    <w:qFormat/>
    <w:uiPriority w:val="0"/>
    <w:rPr>
      <w:kern w:val="2"/>
      <w:sz w:val="30"/>
      <w:szCs w:val="24"/>
    </w:rPr>
  </w:style>
  <w:style w:type="character" w:customStyle="1" w:styleId="70">
    <w:name w:val="批注主题 字符"/>
    <w:link w:val="42"/>
    <w:qFormat/>
    <w:uiPriority w:val="0"/>
    <w:rPr>
      <w:b/>
      <w:bCs/>
      <w:kern w:val="2"/>
      <w:sz w:val="21"/>
    </w:rPr>
  </w:style>
  <w:style w:type="character" w:customStyle="1" w:styleId="71">
    <w:name w:val="style8"/>
    <w:qFormat/>
    <w:uiPriority w:val="0"/>
  </w:style>
  <w:style w:type="character" w:customStyle="1" w:styleId="72">
    <w:name w:val="样式1 Char"/>
    <w:qFormat/>
    <w:uiPriority w:val="0"/>
    <w:rPr>
      <w:rFonts w:ascii="Arial" w:hAnsi="Arial" w:eastAsia="宋体"/>
      <w:kern w:val="2"/>
      <w:sz w:val="21"/>
      <w:szCs w:val="24"/>
      <w:lang w:val="en-US" w:eastAsia="zh-CN" w:bidi="ar-SA"/>
    </w:rPr>
  </w:style>
  <w:style w:type="character" w:customStyle="1" w:styleId="73">
    <w:name w:val="zbggmain style9"/>
    <w:qFormat/>
    <w:uiPriority w:val="0"/>
  </w:style>
  <w:style w:type="character" w:customStyle="1" w:styleId="74">
    <w:name w:val="Char Char3"/>
    <w:qFormat/>
    <w:uiPriority w:val="0"/>
    <w:rPr>
      <w:rFonts w:ascii="Arial" w:hAnsi="Arial" w:eastAsia="宋体"/>
      <w:b/>
      <w:bCs/>
      <w:kern w:val="2"/>
      <w:sz w:val="21"/>
      <w:szCs w:val="32"/>
      <w:lang w:val="en-US" w:eastAsia="zh-CN" w:bidi="ar-SA"/>
    </w:rPr>
  </w:style>
  <w:style w:type="character" w:customStyle="1" w:styleId="75">
    <w:name w:val="样式1 Char Char Char"/>
    <w:qFormat/>
    <w:uiPriority w:val="0"/>
    <w:rPr>
      <w:rFonts w:ascii="Arial" w:hAnsi="Arial" w:eastAsia="宋体"/>
      <w:kern w:val="2"/>
      <w:sz w:val="21"/>
      <w:szCs w:val="24"/>
      <w:lang w:val="en-US" w:eastAsia="zh-CN" w:bidi="ar-SA"/>
    </w:rPr>
  </w:style>
  <w:style w:type="character" w:customStyle="1" w:styleId="76">
    <w:name w:val="apple-style-span"/>
    <w:qFormat/>
    <w:uiPriority w:val="0"/>
  </w:style>
  <w:style w:type="character" w:customStyle="1" w:styleId="77">
    <w:name w:val="普通文字 Char Char2"/>
    <w:qFormat/>
    <w:uiPriority w:val="0"/>
    <w:rPr>
      <w:rFonts w:ascii="宋体" w:hAnsi="Courier New" w:eastAsia="宋体"/>
      <w:kern w:val="2"/>
      <w:sz w:val="21"/>
      <w:lang w:val="en-US" w:eastAsia="zh-CN" w:bidi="ar-SA"/>
    </w:rPr>
  </w:style>
  <w:style w:type="character" w:customStyle="1" w:styleId="78">
    <w:name w:val="fontstyle01"/>
    <w:qFormat/>
    <w:uiPriority w:val="0"/>
    <w:rPr>
      <w:rFonts w:hint="eastAsia" w:ascii="宋体" w:hAnsi="宋体" w:eastAsia="宋体"/>
      <w:color w:val="000000"/>
      <w:sz w:val="22"/>
      <w:szCs w:val="22"/>
    </w:rPr>
  </w:style>
  <w:style w:type="character" w:customStyle="1" w:styleId="79">
    <w:name w:val="bookmark-item"/>
    <w:qFormat/>
    <w:uiPriority w:val="0"/>
  </w:style>
  <w:style w:type="character" w:customStyle="1" w:styleId="80">
    <w:name w:val="style10"/>
    <w:qFormat/>
    <w:uiPriority w:val="0"/>
  </w:style>
  <w:style w:type="character" w:customStyle="1" w:styleId="81">
    <w:name w:val="apple-converted-space"/>
    <w:qFormat/>
    <w:uiPriority w:val="0"/>
  </w:style>
  <w:style w:type="character" w:customStyle="1" w:styleId="82">
    <w:name w:val="列表段落 字符"/>
    <w:link w:val="83"/>
    <w:qFormat/>
    <w:uiPriority w:val="34"/>
    <w:rPr>
      <w:rFonts w:eastAsia="宋体"/>
      <w:kern w:val="2"/>
      <w:sz w:val="21"/>
      <w:szCs w:val="24"/>
      <w:lang w:val="en-US" w:eastAsia="zh-CN" w:bidi="ar-SA"/>
    </w:rPr>
  </w:style>
  <w:style w:type="paragraph" w:styleId="83">
    <w:name w:val="List Paragraph"/>
    <w:basedOn w:val="1"/>
    <w:link w:val="82"/>
    <w:qFormat/>
    <w:uiPriority w:val="34"/>
    <w:pPr>
      <w:ind w:firstLine="420" w:firstLineChars="200"/>
    </w:pPr>
  </w:style>
  <w:style w:type="character" w:customStyle="1" w:styleId="84">
    <w:name w:val="unnamed51"/>
    <w:qFormat/>
    <w:uiPriority w:val="0"/>
    <w:rPr>
      <w:sz w:val="22"/>
      <w:szCs w:val="22"/>
    </w:rPr>
  </w:style>
  <w:style w:type="character" w:customStyle="1" w:styleId="85">
    <w:name w:val="WW8Num11z0"/>
    <w:qFormat/>
    <w:uiPriority w:val="0"/>
    <w:rPr>
      <w:rFonts w:ascii="Symbol" w:hAnsi="Symbol"/>
      <w:lang w:val="en-GB"/>
    </w:rPr>
  </w:style>
  <w:style w:type="character" w:customStyle="1" w:styleId="86">
    <w:name w:val="普通文字 Char1"/>
    <w:qFormat/>
    <w:uiPriority w:val="0"/>
    <w:rPr>
      <w:rFonts w:ascii="宋体" w:hAnsi="Courier New" w:eastAsia="宋体"/>
      <w:kern w:val="2"/>
      <w:sz w:val="21"/>
      <w:lang w:val="en-US" w:eastAsia="zh-CN"/>
    </w:rPr>
  </w:style>
  <w:style w:type="character" w:customStyle="1" w:styleId="87">
    <w:name w:val="样式1 Char Char"/>
    <w:link w:val="88"/>
    <w:qFormat/>
    <w:uiPriority w:val="0"/>
    <w:rPr>
      <w:rFonts w:ascii="Arial" w:hAnsi="Arial" w:eastAsia="宋体"/>
      <w:kern w:val="2"/>
      <w:sz w:val="21"/>
      <w:szCs w:val="24"/>
      <w:lang w:val="en-US" w:eastAsia="zh-CN" w:bidi="ar-SA"/>
    </w:rPr>
  </w:style>
  <w:style w:type="paragraph" w:customStyle="1" w:styleId="88">
    <w:name w:val="样式1"/>
    <w:basedOn w:val="1"/>
    <w:link w:val="87"/>
    <w:qFormat/>
    <w:uiPriority w:val="0"/>
    <w:pPr>
      <w:spacing w:line="360" w:lineRule="exact"/>
      <w:ind w:firstLine="200" w:firstLineChars="200"/>
    </w:pPr>
    <w:rPr>
      <w:rFonts w:ascii="Arial" w:hAnsi="Arial"/>
    </w:rPr>
  </w:style>
  <w:style w:type="character" w:customStyle="1" w:styleId="89">
    <w:name w:val="正文2 Char Char"/>
    <w:link w:val="90"/>
    <w:qFormat/>
    <w:uiPriority w:val="0"/>
    <w:rPr>
      <w:kern w:val="2"/>
      <w:sz w:val="24"/>
    </w:rPr>
  </w:style>
  <w:style w:type="paragraph" w:customStyle="1" w:styleId="90">
    <w:name w:val="正文2"/>
    <w:basedOn w:val="1"/>
    <w:link w:val="89"/>
    <w:qFormat/>
    <w:uiPriority w:val="0"/>
    <w:pPr>
      <w:spacing w:before="156" w:line="360" w:lineRule="auto"/>
      <w:ind w:firstLine="510" w:firstLineChars="200"/>
    </w:pPr>
    <w:rPr>
      <w:sz w:val="24"/>
      <w:szCs w:val="20"/>
    </w:rPr>
  </w:style>
  <w:style w:type="character" w:customStyle="1" w:styleId="91">
    <w:name w:val="纯文本 Char2"/>
    <w:qFormat/>
    <w:uiPriority w:val="0"/>
    <w:rPr>
      <w:rFonts w:ascii="宋体" w:hAnsi="Courier New" w:eastAsia="宋体"/>
      <w:kern w:val="2"/>
      <w:sz w:val="21"/>
    </w:rPr>
  </w:style>
  <w:style w:type="character" w:customStyle="1" w:styleId="92">
    <w:name w:val="Char Char Char"/>
    <w:link w:val="93"/>
    <w:qFormat/>
    <w:uiPriority w:val="0"/>
    <w:rPr>
      <w:rFonts w:ascii="宋体" w:hAnsi="宋体" w:eastAsia="宋体"/>
      <w:b/>
      <w:kern w:val="2"/>
      <w:sz w:val="21"/>
      <w:szCs w:val="21"/>
      <w:lang w:val="en-US" w:eastAsia="zh-CN" w:bidi="ar-SA"/>
    </w:rPr>
  </w:style>
  <w:style w:type="paragraph" w:customStyle="1" w:styleId="93">
    <w:name w:val="Char3"/>
    <w:basedOn w:val="27"/>
    <w:next w:val="27"/>
    <w:link w:val="92"/>
    <w:qFormat/>
    <w:uiPriority w:val="0"/>
    <w:pPr>
      <w:snapToGrid/>
      <w:jc w:val="right"/>
    </w:pPr>
    <w:rPr>
      <w:rFonts w:ascii="宋体" w:hAnsi="宋体"/>
      <w:b/>
      <w:sz w:val="21"/>
      <w:szCs w:val="21"/>
    </w:rPr>
  </w:style>
  <w:style w:type="paragraph" w:customStyle="1" w:styleId="9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95">
    <w:name w:val="正文文字缩进 3"/>
    <w:basedOn w:val="1"/>
    <w:qFormat/>
    <w:uiPriority w:val="0"/>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96">
    <w:name w:val="普通(网站)1"/>
    <w:basedOn w:val="1"/>
    <w:qFormat/>
    <w:uiPriority w:val="0"/>
    <w:pPr>
      <w:widowControl/>
      <w:jc w:val="left"/>
    </w:pPr>
    <w:rPr>
      <w:rFonts w:ascii="ˎ̥" w:hAnsi="ˎ̥" w:cs="宋体"/>
      <w:color w:val="000000"/>
      <w:kern w:val="0"/>
      <w:sz w:val="13"/>
      <w:szCs w:val="13"/>
    </w:rPr>
  </w:style>
  <w:style w:type="paragraph" w:customStyle="1" w:styleId="97">
    <w:name w:val="表格"/>
    <w:basedOn w:val="1"/>
    <w:qFormat/>
    <w:uiPriority w:val="0"/>
    <w:pPr>
      <w:keepNext/>
      <w:wordWrap w:val="0"/>
      <w:autoSpaceDE w:val="0"/>
      <w:autoSpaceDN w:val="0"/>
      <w:adjustRightInd w:val="0"/>
      <w:snapToGrid w:val="0"/>
      <w:spacing w:line="400" w:lineRule="exact"/>
      <w:jc w:val="center"/>
      <w:textAlignment w:val="center"/>
    </w:pPr>
    <w:rPr>
      <w:rFonts w:eastAsia="仿宋_GB2312"/>
      <w:spacing w:val="-20"/>
      <w:kern w:val="0"/>
      <w:sz w:val="24"/>
      <w:szCs w:val="20"/>
    </w:rPr>
  </w:style>
  <w:style w:type="paragraph" w:customStyle="1" w:styleId="98">
    <w:name w:val="列出段落2"/>
    <w:basedOn w:val="1"/>
    <w:qFormat/>
    <w:uiPriority w:val="99"/>
    <w:pPr>
      <w:adjustRightInd w:val="0"/>
      <w:spacing w:line="300" w:lineRule="auto"/>
      <w:ind w:firstLine="420" w:firstLineChars="200"/>
      <w:textAlignment w:val="baseline"/>
    </w:pPr>
    <w:rPr>
      <w:rFonts w:ascii="宋体"/>
      <w:kern w:val="0"/>
      <w:sz w:val="24"/>
    </w:rPr>
  </w:style>
  <w:style w:type="paragraph" w:customStyle="1" w:styleId="99">
    <w:name w:val="纯文本1"/>
    <w:basedOn w:val="1"/>
    <w:qFormat/>
    <w:uiPriority w:val="0"/>
    <w:pPr>
      <w:widowControl/>
      <w:jc w:val="left"/>
    </w:pPr>
    <w:rPr>
      <w:rFonts w:hint="eastAsia" w:ascii="宋体" w:hAnsi="Courier New"/>
      <w:szCs w:val="20"/>
    </w:rPr>
  </w:style>
  <w:style w:type="paragraph" w:customStyle="1" w:styleId="100">
    <w:name w:val="_Style 99"/>
    <w:basedOn w:val="4"/>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01">
    <w:name w:val="内文正文"/>
    <w:basedOn w:val="21"/>
    <w:qFormat/>
    <w:uiPriority w:val="0"/>
    <w:pPr>
      <w:adjustRightInd w:val="0"/>
      <w:snapToGrid w:val="0"/>
      <w:spacing w:line="400" w:lineRule="exact"/>
      <w:ind w:firstLine="200" w:firstLineChars="200"/>
    </w:pPr>
    <w:rPr>
      <w:rFonts w:ascii="Arial" w:hAnsi="Arial" w:cs="Courier New"/>
      <w:color w:val="000000"/>
      <w:szCs w:val="21"/>
    </w:rPr>
  </w:style>
  <w:style w:type="paragraph" w:customStyle="1" w:styleId="102">
    <w:name w:val="Char2"/>
    <w:basedOn w:val="1"/>
    <w:qFormat/>
    <w:uiPriority w:val="0"/>
    <w:rPr>
      <w:rFonts w:ascii="仿宋_GB2312" w:eastAsia="仿宋_GB2312"/>
      <w:b/>
      <w:sz w:val="32"/>
      <w:szCs w:val="32"/>
    </w:rPr>
  </w:style>
  <w:style w:type="paragraph" w:customStyle="1" w:styleId="103">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104">
    <w:name w:val="1"/>
    <w:basedOn w:val="1"/>
    <w:next w:val="34"/>
    <w:qFormat/>
    <w:uiPriority w:val="0"/>
    <w:pPr>
      <w:widowControl/>
      <w:snapToGrid w:val="0"/>
      <w:spacing w:line="440" w:lineRule="atLeast"/>
      <w:ind w:firstLine="480"/>
    </w:pPr>
    <w:rPr>
      <w:kern w:val="0"/>
      <w:sz w:val="24"/>
      <w:szCs w:val="20"/>
    </w:rPr>
  </w:style>
  <w:style w:type="paragraph" w:customStyle="1" w:styleId="105">
    <w:name w:val="_Style 104"/>
    <w:unhideWhenUsed/>
    <w:qFormat/>
    <w:uiPriority w:val="99"/>
    <w:rPr>
      <w:rFonts w:ascii="Times New Roman" w:hAnsi="Times New Roman" w:eastAsia="宋体" w:cs="Times New Roman"/>
      <w:kern w:val="2"/>
      <w:sz w:val="21"/>
      <w:szCs w:val="24"/>
      <w:lang w:val="en-US" w:eastAsia="zh-CN" w:bidi="ar-SA"/>
    </w:rPr>
  </w:style>
  <w:style w:type="paragraph" w:customStyle="1" w:styleId="106">
    <w:name w:val="Char4"/>
    <w:basedOn w:val="6"/>
    <w:qFormat/>
    <w:uiPriority w:val="0"/>
    <w:pPr>
      <w:widowControl/>
      <w:spacing w:afterLines="50" w:line="360" w:lineRule="auto"/>
      <w:ind w:firstLine="480"/>
      <w:jc w:val="left"/>
    </w:pPr>
  </w:style>
  <w:style w:type="paragraph" w:customStyle="1" w:styleId="107">
    <w:name w:val="样式 样式 标题 3 + (符号) 宋体 四号 加粗 黑色 段前: 0 磅 段后: 0 磅 行距: 固定值 22 磅 + 段前:..."/>
    <w:basedOn w:val="1"/>
    <w:qFormat/>
    <w:uiPriority w:val="0"/>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108">
    <w:name w:val="样式4"/>
    <w:basedOn w:val="26"/>
    <w:qFormat/>
    <w:uiPriority w:val="0"/>
    <w:pPr>
      <w:pBdr>
        <w:bottom w:val="single" w:color="auto" w:sz="4" w:space="1"/>
      </w:pBdr>
      <w:tabs>
        <w:tab w:val="right" w:pos="9901"/>
        <w:tab w:val="clear" w:pos="4153"/>
        <w:tab w:val="clear" w:pos="8306"/>
      </w:tabs>
    </w:pPr>
    <w:rPr>
      <w:sz w:val="21"/>
    </w:rPr>
  </w:style>
  <w:style w:type="paragraph" w:customStyle="1" w:styleId="109">
    <w:name w:val="g11"/>
    <w:basedOn w:val="1"/>
    <w:qFormat/>
    <w:uiPriority w:val="0"/>
    <w:pPr>
      <w:widowControl/>
      <w:spacing w:before="100" w:beforeAutospacing="1" w:after="100" w:afterAutospacing="1" w:line="900" w:lineRule="atLeast"/>
      <w:jc w:val="left"/>
    </w:pPr>
    <w:rPr>
      <w:rFonts w:hint="eastAsia" w:ascii="华文中宋" w:hAnsi="华文中宋" w:eastAsia="华文中宋"/>
      <w:b/>
      <w:bCs/>
      <w:color w:val="FF0000"/>
      <w:kern w:val="0"/>
      <w:sz w:val="60"/>
      <w:szCs w:val="60"/>
    </w:rPr>
  </w:style>
  <w:style w:type="paragraph" w:customStyle="1" w:styleId="110">
    <w:name w:val="Char1 Char Char Char"/>
    <w:basedOn w:val="1"/>
    <w:qFormat/>
    <w:uiPriority w:val="0"/>
    <w:rPr>
      <w:szCs w:val="20"/>
    </w:rPr>
  </w:style>
  <w:style w:type="paragraph" w:customStyle="1" w:styleId="111">
    <w:name w:val="普通文字"/>
    <w:basedOn w:val="1"/>
    <w:qFormat/>
    <w:uiPriority w:val="0"/>
    <w:pPr>
      <w:widowControl/>
      <w:spacing w:line="351" w:lineRule="atLeast"/>
      <w:ind w:firstLine="419"/>
      <w:textAlignment w:val="baseline"/>
    </w:pPr>
    <w:rPr>
      <w:rFonts w:ascii="宋体"/>
      <w:color w:val="000000"/>
      <w:kern w:val="0"/>
      <w:szCs w:val="20"/>
      <w:u w:color="000000"/>
    </w:rPr>
  </w:style>
  <w:style w:type="paragraph" w:customStyle="1" w:styleId="112">
    <w:name w:val="Char Char Char Char"/>
    <w:basedOn w:val="1"/>
    <w:qFormat/>
    <w:uiPriority w:val="0"/>
  </w:style>
  <w:style w:type="paragraph" w:customStyle="1" w:styleId="113">
    <w:name w:val="Char1 Char Char Char Char Char Char"/>
    <w:basedOn w:val="1"/>
    <w:qFormat/>
    <w:uiPriority w:val="0"/>
    <w:rPr>
      <w:rFonts w:ascii="仿宋_GB2312" w:eastAsia="仿宋_GB2312"/>
      <w:b/>
      <w:sz w:val="32"/>
      <w:szCs w:val="32"/>
    </w:rPr>
  </w:style>
  <w:style w:type="paragraph" w:customStyle="1" w:styleId="114">
    <w:name w:val="正文首行缩进两字符"/>
    <w:basedOn w:val="1"/>
    <w:qFormat/>
    <w:uiPriority w:val="0"/>
    <w:pPr>
      <w:spacing w:line="360" w:lineRule="auto"/>
      <w:ind w:firstLine="200" w:firstLineChars="200"/>
    </w:pPr>
    <w:rPr>
      <w:sz w:val="24"/>
    </w:rPr>
  </w:style>
  <w:style w:type="paragraph" w:customStyle="1" w:styleId="115">
    <w:name w:val="条文1"/>
    <w:basedOn w:val="1"/>
    <w:qFormat/>
    <w:uiPriority w:val="0"/>
    <w:pPr>
      <w:tabs>
        <w:tab w:val="left" w:pos="720"/>
      </w:tabs>
      <w:spacing w:line="360" w:lineRule="auto"/>
    </w:pPr>
    <w:rPr>
      <w:rFonts w:ascii="MS UI Gothic" w:hAnsi="MS UI Gothic"/>
      <w:kern w:val="44"/>
      <w:sz w:val="24"/>
      <w:szCs w:val="20"/>
    </w:rPr>
  </w:style>
  <w:style w:type="paragraph" w:customStyle="1" w:styleId="116">
    <w:name w:val="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17">
    <w:name w:val="Char"/>
    <w:basedOn w:val="1"/>
    <w:qFormat/>
    <w:uiPriority w:val="0"/>
    <w:rPr>
      <w:rFonts w:ascii="仿宋_GB2312" w:eastAsia="仿宋_GB2312"/>
      <w:b/>
      <w:sz w:val="32"/>
      <w:szCs w:val="32"/>
    </w:rPr>
  </w:style>
  <w:style w:type="paragraph" w:customStyle="1" w:styleId="118">
    <w:name w:val="纯文本11"/>
    <w:basedOn w:val="1"/>
    <w:qFormat/>
    <w:uiPriority w:val="0"/>
    <w:pPr>
      <w:widowControl/>
      <w:jc w:val="left"/>
    </w:pPr>
    <w:rPr>
      <w:rFonts w:hint="eastAsia" w:ascii="宋体" w:hAnsi="Courier New"/>
      <w:szCs w:val="20"/>
    </w:rPr>
  </w:style>
  <w:style w:type="paragraph" w:customStyle="1" w:styleId="119">
    <w:name w:val="5"/>
    <w:basedOn w:val="1"/>
    <w:qFormat/>
    <w:uiPriority w:val="0"/>
  </w:style>
  <w:style w:type="paragraph" w:customStyle="1" w:styleId="120">
    <w:name w:val="正文－恩普"/>
    <w:basedOn w:val="6"/>
    <w:qFormat/>
    <w:uiPriority w:val="0"/>
    <w:pPr>
      <w:widowControl/>
      <w:spacing w:afterLines="50" w:line="360" w:lineRule="auto"/>
      <w:ind w:firstLine="480"/>
      <w:jc w:val="left"/>
    </w:pPr>
    <w:rPr>
      <w:kern w:val="0"/>
      <w:sz w:val="24"/>
      <w:szCs w:val="20"/>
    </w:rPr>
  </w:style>
  <w:style w:type="paragraph" w:customStyle="1" w:styleId="121">
    <w:name w:val="默认段落字体 Para Char"/>
    <w:basedOn w:val="1"/>
    <w:qFormat/>
    <w:uiPriority w:val="0"/>
    <w:pPr>
      <w:tabs>
        <w:tab w:val="left" w:pos="454"/>
      </w:tabs>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5604</Words>
  <Characters>31949</Characters>
  <Lines>266</Lines>
  <Paragraphs>74</Paragraphs>
  <TotalTime>15</TotalTime>
  <ScaleCrop>false</ScaleCrop>
  <LinksUpToDate>false</LinksUpToDate>
  <CharactersWithSpaces>37479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2019-12-04T06:02:00Z</dcterms:created>
  <dc:creator>USER</dc:creator>
  <cp:lastModifiedBy>Kizuna</cp:lastModifiedBy>
  <cp:lastPrinted>2021-12-13T02:02:00Z</cp:lastPrinted>
  <dcterms:modified xsi:type="dcterms:W3CDTF">2022-01-21T03:37:32Z</dcterms:modified>
  <dc:title>浙江省畜牧兽医局</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4A5B0CD4CD5C4ECDA13FD2378F7581BE</vt:lpwstr>
  </property>
</Properties>
</file>