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napToGrid w:val="0"/>
        <w:spacing w:line="360" w:lineRule="auto"/>
        <w:ind w:right="1983" w:rightChars="855"/>
        <w:rPr>
          <w:rFonts w:ascii="宋体" w:hAnsi="宋体" w:cs="宋体"/>
        </w:rPr>
      </w:pPr>
      <w:bookmarkStart w:id="0" w:name="_Toc91899912"/>
      <w:bookmarkStart w:id="1" w:name="_Toc36110187"/>
      <w:bookmarkStart w:id="2" w:name="_Toc164085800"/>
      <w:bookmarkStart w:id="3" w:name="_Toc131845147"/>
    </w:p>
    <w:p>
      <w:pPr>
        <w:pStyle w:val="42"/>
        <w:snapToGrid w:val="0"/>
        <w:spacing w:line="360" w:lineRule="auto"/>
        <w:ind w:right="1983" w:rightChars="855"/>
        <w:rPr>
          <w:rFonts w:ascii="宋体" w:hAnsi="宋体" w:cs="宋体"/>
        </w:rPr>
      </w:pPr>
    </w:p>
    <w:p>
      <w:pPr>
        <w:snapToGrid w:val="0"/>
        <w:spacing w:line="360" w:lineRule="auto"/>
        <w:ind w:right="1983" w:rightChars="855"/>
        <w:rPr>
          <w:rFonts w:ascii="宋体" w:hAnsi="宋体" w:cs="宋体"/>
          <w:b/>
          <w:sz w:val="44"/>
          <w:szCs w:val="44"/>
        </w:rPr>
      </w:pPr>
    </w:p>
    <w:p>
      <w:pPr>
        <w:snapToGrid w:val="0"/>
        <w:spacing w:line="360" w:lineRule="auto"/>
        <w:jc w:val="center"/>
        <w:rPr>
          <w:rFonts w:ascii="宋体" w:hAnsi="宋体" w:cs="宋体"/>
          <w:b/>
          <w:sz w:val="44"/>
          <w:szCs w:val="44"/>
        </w:rPr>
      </w:pPr>
      <w:r>
        <w:rPr>
          <w:rFonts w:hint="eastAsia" w:ascii="宋体" w:hAnsi="宋体" w:cs="宋体"/>
          <w:b/>
          <w:sz w:val="44"/>
          <w:szCs w:val="44"/>
        </w:rPr>
        <w:t>杭州技师学院</w:t>
      </w:r>
    </w:p>
    <w:p>
      <w:pPr>
        <w:tabs>
          <w:tab w:val="left" w:pos="5568"/>
        </w:tabs>
        <w:snapToGrid w:val="0"/>
        <w:spacing w:line="360" w:lineRule="auto"/>
        <w:jc w:val="center"/>
        <w:rPr>
          <w:rFonts w:ascii="宋体" w:hAnsi="宋体" w:cs="宋体"/>
          <w:b/>
          <w:sz w:val="40"/>
          <w:szCs w:val="44"/>
        </w:rPr>
      </w:pPr>
      <w:r>
        <w:rPr>
          <w:rFonts w:hint="eastAsia" w:ascii="宋体" w:hAnsi="宋体" w:cs="宋体"/>
          <w:b/>
          <w:sz w:val="40"/>
          <w:szCs w:val="44"/>
        </w:rPr>
        <w:t>2019年度整涂系教学实训耗材采购项目</w:t>
      </w:r>
    </w:p>
    <w:p>
      <w:pPr>
        <w:snapToGrid w:val="0"/>
        <w:spacing w:line="360" w:lineRule="auto"/>
        <w:jc w:val="center"/>
        <w:rPr>
          <w:rFonts w:ascii="宋体" w:hAnsi="宋体" w:cs="宋体"/>
          <w:b/>
          <w:sz w:val="72"/>
        </w:rPr>
      </w:pPr>
    </w:p>
    <w:p>
      <w:pPr>
        <w:snapToGrid w:val="0"/>
        <w:spacing w:line="360" w:lineRule="auto"/>
        <w:jc w:val="center"/>
        <w:rPr>
          <w:rFonts w:ascii="宋体" w:hAnsi="宋体" w:cs="宋体"/>
          <w:b/>
          <w:sz w:val="72"/>
        </w:rPr>
      </w:pPr>
      <w:r>
        <w:rPr>
          <w:rFonts w:hint="eastAsia" w:ascii="宋体" w:hAnsi="宋体" w:cs="宋体"/>
          <w:b/>
          <w:sz w:val="72"/>
        </w:rPr>
        <w:t>招标文件</w:t>
      </w:r>
    </w:p>
    <w:p>
      <w:pPr>
        <w:snapToGrid w:val="0"/>
        <w:spacing w:line="360" w:lineRule="auto"/>
        <w:ind w:right="1983" w:rightChars="855"/>
        <w:jc w:val="center"/>
        <w:rPr>
          <w:rFonts w:ascii="宋体" w:hAnsi="宋体" w:cs="宋体"/>
          <w:sz w:val="44"/>
        </w:rPr>
      </w:pPr>
    </w:p>
    <w:p>
      <w:pPr>
        <w:snapToGrid w:val="0"/>
        <w:spacing w:line="360" w:lineRule="auto"/>
        <w:ind w:firstLine="2125" w:firstLineChars="660"/>
        <w:jc w:val="left"/>
        <w:rPr>
          <w:rFonts w:ascii="宋体" w:hAnsi="宋体" w:cs="宋体"/>
          <w:sz w:val="30"/>
          <w:szCs w:val="30"/>
        </w:rPr>
      </w:pPr>
      <w:r>
        <w:rPr>
          <w:rFonts w:hint="eastAsia" w:ascii="宋体" w:hAnsi="宋体" w:cs="宋体"/>
          <w:sz w:val="30"/>
          <w:szCs w:val="30"/>
        </w:rPr>
        <w:t>招标编号：ZJZN-19832-JY05</w:t>
      </w:r>
    </w:p>
    <w:p>
      <w:pPr>
        <w:snapToGrid w:val="0"/>
        <w:spacing w:line="360" w:lineRule="auto"/>
        <w:ind w:firstLine="2125" w:firstLineChars="660"/>
        <w:jc w:val="left"/>
        <w:rPr>
          <w:rFonts w:ascii="宋体" w:hAnsi="宋体" w:cs="宋体"/>
          <w:sz w:val="30"/>
          <w:szCs w:val="30"/>
        </w:rPr>
      </w:pPr>
      <w:r>
        <w:rPr>
          <w:rFonts w:hint="eastAsia" w:ascii="宋体" w:hAnsi="宋体" w:cs="宋体"/>
          <w:sz w:val="30"/>
          <w:szCs w:val="30"/>
        </w:rPr>
        <w:t>采购方式：公开招标</w:t>
      </w:r>
    </w:p>
    <w:p>
      <w:pPr>
        <w:snapToGrid w:val="0"/>
        <w:spacing w:line="360" w:lineRule="auto"/>
        <w:ind w:firstLine="2125" w:firstLineChars="660"/>
        <w:jc w:val="left"/>
        <w:rPr>
          <w:rFonts w:ascii="宋体" w:hAnsi="宋体" w:cs="宋体"/>
          <w:sz w:val="30"/>
          <w:szCs w:val="30"/>
        </w:rPr>
      </w:pPr>
      <w:r>
        <w:rPr>
          <w:rFonts w:hint="eastAsia" w:ascii="宋体" w:hAnsi="宋体" w:cs="宋体"/>
          <w:sz w:val="30"/>
          <w:szCs w:val="30"/>
        </w:rPr>
        <w:t>执行书号：杭政采分-2019-00893</w:t>
      </w:r>
    </w:p>
    <w:p>
      <w:pPr>
        <w:snapToGrid w:val="0"/>
        <w:spacing w:line="360" w:lineRule="auto"/>
        <w:ind w:right="1983" w:rightChars="855"/>
        <w:rPr>
          <w:rFonts w:ascii="宋体" w:hAnsi="宋体" w:cs="宋体"/>
          <w:sz w:val="32"/>
        </w:rPr>
      </w:pPr>
    </w:p>
    <w:p>
      <w:pPr>
        <w:snapToGrid w:val="0"/>
        <w:spacing w:line="360" w:lineRule="auto"/>
        <w:ind w:right="1983" w:rightChars="855"/>
        <w:rPr>
          <w:rFonts w:ascii="宋体" w:hAnsi="宋体" w:cs="宋体"/>
          <w:sz w:val="32"/>
        </w:rPr>
      </w:pPr>
    </w:p>
    <w:p>
      <w:pPr>
        <w:snapToGrid w:val="0"/>
        <w:spacing w:line="360" w:lineRule="auto"/>
        <w:ind w:right="1983" w:rightChars="855"/>
        <w:rPr>
          <w:rFonts w:ascii="宋体" w:hAnsi="宋体" w:cs="宋体"/>
          <w:sz w:val="32"/>
        </w:rPr>
      </w:pPr>
    </w:p>
    <w:p>
      <w:pPr>
        <w:snapToGrid w:val="0"/>
        <w:spacing w:line="360" w:lineRule="auto"/>
        <w:ind w:firstLine="1415" w:firstLineChars="414"/>
        <w:jc w:val="left"/>
        <w:rPr>
          <w:rFonts w:ascii="宋体" w:hAnsi="宋体" w:cs="宋体"/>
          <w:sz w:val="32"/>
        </w:rPr>
      </w:pPr>
      <w:r>
        <w:rPr>
          <w:rFonts w:hint="eastAsia" w:ascii="宋体" w:hAnsi="宋体" w:cs="宋体"/>
          <w:sz w:val="32"/>
        </w:rPr>
        <w:t>采   购   人：杭州技师学院</w:t>
      </w:r>
    </w:p>
    <w:p>
      <w:pPr>
        <w:snapToGrid w:val="0"/>
        <w:spacing w:line="360" w:lineRule="auto"/>
        <w:ind w:firstLine="1415" w:firstLineChars="414"/>
        <w:jc w:val="left"/>
        <w:rPr>
          <w:rFonts w:ascii="宋体" w:hAnsi="宋体" w:cs="宋体"/>
          <w:sz w:val="32"/>
        </w:rPr>
      </w:pPr>
      <w:r>
        <w:rPr>
          <w:rFonts w:hint="eastAsia" w:ascii="宋体" w:hAnsi="宋体" w:cs="宋体"/>
          <w:sz w:val="32"/>
        </w:rPr>
        <w:t>采购代理机构：浙江中诺招标代理有限公司</w:t>
      </w:r>
    </w:p>
    <w:p>
      <w:pPr>
        <w:snapToGrid w:val="0"/>
        <w:spacing w:line="360" w:lineRule="auto"/>
        <w:ind w:firstLine="1415" w:firstLineChars="414"/>
        <w:jc w:val="left"/>
        <w:rPr>
          <w:rFonts w:ascii="宋体" w:hAnsi="宋体" w:cs="宋体"/>
          <w:sz w:val="32"/>
        </w:rPr>
      </w:pPr>
      <w:r>
        <w:rPr>
          <w:rFonts w:hint="eastAsia" w:ascii="宋体" w:hAnsi="宋体" w:cs="宋体"/>
          <w:sz w:val="32"/>
        </w:rPr>
        <w:t>日        期：二〇一九年四月</w:t>
      </w:r>
    </w:p>
    <w:p>
      <w:pPr>
        <w:snapToGrid w:val="0"/>
        <w:spacing w:line="360" w:lineRule="auto"/>
        <w:jc w:val="center"/>
        <w:rPr>
          <w:rFonts w:ascii="宋体" w:hAnsi="宋体" w:cs="宋体"/>
          <w:b/>
          <w:sz w:val="24"/>
        </w:rPr>
      </w:pPr>
      <w:r>
        <w:rPr>
          <w:rFonts w:hint="eastAsia" w:ascii="宋体" w:hAnsi="宋体" w:cs="宋体"/>
          <w:sz w:val="24"/>
        </w:rPr>
        <w:br w:type="page"/>
      </w:r>
      <w:bookmarkStart w:id="4" w:name="_Hlt67893495"/>
      <w:bookmarkEnd w:id="4"/>
    </w:p>
    <w:p>
      <w:pPr>
        <w:pStyle w:val="5"/>
        <w:rPr>
          <w:rFonts w:ascii="宋体" w:hAnsi="宋体" w:eastAsia="宋体" w:cs="宋体"/>
          <w:lang w:val="en-US"/>
        </w:rPr>
      </w:pPr>
    </w:p>
    <w:p>
      <w:pPr>
        <w:snapToGrid w:val="0"/>
        <w:spacing w:line="360" w:lineRule="auto"/>
        <w:jc w:val="center"/>
        <w:rPr>
          <w:rFonts w:ascii="宋体" w:hAnsi="宋体" w:cs="宋体"/>
          <w:b/>
          <w:sz w:val="36"/>
        </w:rPr>
      </w:pPr>
    </w:p>
    <w:p>
      <w:pPr>
        <w:snapToGrid w:val="0"/>
        <w:spacing w:line="360" w:lineRule="auto"/>
        <w:jc w:val="center"/>
        <w:rPr>
          <w:rFonts w:ascii="宋体" w:hAnsi="宋体" w:cs="宋体"/>
          <w:b/>
          <w:sz w:val="36"/>
        </w:rPr>
      </w:pPr>
      <w:r>
        <w:rPr>
          <w:rFonts w:hint="eastAsia" w:ascii="宋体" w:hAnsi="宋体" w:cs="宋体"/>
          <w:b/>
          <w:sz w:val="36"/>
        </w:rPr>
        <w:t>目  录</w:t>
      </w:r>
    </w:p>
    <w:p>
      <w:pPr>
        <w:snapToGrid w:val="0"/>
        <w:spacing w:line="360" w:lineRule="auto"/>
        <w:rPr>
          <w:rFonts w:ascii="宋体" w:hAnsi="宋体" w:cs="宋体"/>
          <w:sz w:val="32"/>
        </w:rPr>
      </w:pPr>
    </w:p>
    <w:p>
      <w:pPr>
        <w:snapToGrid w:val="0"/>
        <w:spacing w:line="360" w:lineRule="auto"/>
        <w:rPr>
          <w:rFonts w:ascii="宋体" w:hAnsi="宋体" w:cs="宋体"/>
          <w:sz w:val="32"/>
        </w:rPr>
      </w:pPr>
    </w:p>
    <w:p>
      <w:pPr>
        <w:snapToGrid w:val="0"/>
        <w:spacing w:line="360" w:lineRule="auto"/>
        <w:ind w:firstLine="1368" w:firstLineChars="400"/>
        <w:rPr>
          <w:rFonts w:ascii="宋体" w:hAnsi="宋体" w:cs="宋体"/>
          <w:sz w:val="32"/>
        </w:rPr>
      </w:pPr>
      <w:r>
        <w:rPr>
          <w:rFonts w:hint="eastAsia" w:ascii="宋体" w:hAnsi="宋体" w:cs="宋体"/>
          <w:sz w:val="32"/>
        </w:rPr>
        <w:t>第一部分      招标公告</w:t>
      </w:r>
    </w:p>
    <w:p>
      <w:pPr>
        <w:snapToGrid w:val="0"/>
        <w:spacing w:line="360" w:lineRule="auto"/>
        <w:ind w:firstLine="1368" w:firstLineChars="400"/>
        <w:rPr>
          <w:rFonts w:ascii="宋体" w:hAnsi="宋体" w:cs="宋体"/>
          <w:sz w:val="32"/>
        </w:rPr>
      </w:pPr>
      <w:r>
        <w:rPr>
          <w:rFonts w:hint="eastAsia" w:ascii="宋体" w:hAnsi="宋体" w:cs="宋体"/>
          <w:sz w:val="32"/>
        </w:rPr>
        <w:t>第二部分      编制和提交采购响应文件须知</w:t>
      </w:r>
    </w:p>
    <w:p>
      <w:pPr>
        <w:snapToGrid w:val="0"/>
        <w:spacing w:line="360" w:lineRule="auto"/>
        <w:ind w:firstLine="1368" w:firstLineChars="400"/>
        <w:rPr>
          <w:rFonts w:ascii="宋体" w:hAnsi="宋体" w:cs="宋体"/>
          <w:sz w:val="32"/>
        </w:rPr>
      </w:pPr>
      <w:r>
        <w:rPr>
          <w:rFonts w:hint="eastAsia" w:ascii="宋体" w:hAnsi="宋体" w:cs="宋体"/>
          <w:sz w:val="32"/>
        </w:rPr>
        <w:t>第三部分      项目技术规范和服务要求</w:t>
      </w:r>
    </w:p>
    <w:p>
      <w:pPr>
        <w:snapToGrid w:val="0"/>
        <w:spacing w:line="360" w:lineRule="auto"/>
        <w:ind w:firstLine="1368" w:firstLineChars="400"/>
        <w:rPr>
          <w:rFonts w:ascii="宋体" w:hAnsi="宋体" w:cs="宋体"/>
          <w:sz w:val="32"/>
        </w:rPr>
      </w:pPr>
      <w:r>
        <w:rPr>
          <w:rFonts w:hint="eastAsia" w:ascii="宋体" w:hAnsi="宋体" w:cs="宋体"/>
          <w:sz w:val="32"/>
        </w:rPr>
        <w:t>第四部分      采购合同参照样本</w:t>
      </w:r>
    </w:p>
    <w:p>
      <w:pPr>
        <w:snapToGrid w:val="0"/>
        <w:spacing w:line="360" w:lineRule="auto"/>
        <w:ind w:firstLine="1368" w:firstLineChars="400"/>
        <w:rPr>
          <w:rFonts w:ascii="宋体" w:hAnsi="宋体" w:cs="宋体"/>
          <w:sz w:val="32"/>
        </w:rPr>
      </w:pPr>
      <w:r>
        <w:rPr>
          <w:rFonts w:hint="eastAsia" w:ascii="宋体" w:hAnsi="宋体" w:cs="宋体"/>
          <w:sz w:val="32"/>
        </w:rPr>
        <w:t xml:space="preserve">第五部分      </w:t>
      </w:r>
      <w:bookmarkStart w:id="5" w:name="_Hlt91233176"/>
      <w:bookmarkEnd w:id="5"/>
      <w:bookmarkStart w:id="6" w:name="_Toc91899869"/>
      <w:r>
        <w:rPr>
          <w:rFonts w:hint="eastAsia" w:ascii="宋体" w:hAnsi="宋体" w:cs="宋体"/>
          <w:sz w:val="32"/>
        </w:rPr>
        <w:t>应提交的有关格式范例</w:t>
      </w:r>
    </w:p>
    <w:p>
      <w:pPr>
        <w:snapToGrid w:val="0"/>
        <w:spacing w:line="360" w:lineRule="auto"/>
        <w:rPr>
          <w:rFonts w:ascii="宋体" w:hAnsi="宋体" w:cs="宋体"/>
          <w:sz w:val="32"/>
        </w:rPr>
        <w:sectPr>
          <w:headerReference r:id="rId3" w:type="default"/>
          <w:footerReference r:id="rId4" w:type="default"/>
          <w:footerReference r:id="rId5" w:type="even"/>
          <w:pgSz w:w="11906" w:h="16838"/>
          <w:pgMar w:top="1418" w:right="1558" w:bottom="426" w:left="1418" w:header="851" w:footer="851" w:gutter="0"/>
          <w:pgNumType w:start="1"/>
          <w:cols w:space="720" w:num="1"/>
          <w:titlePg/>
          <w:docGrid w:type="linesAndChars" w:linePitch="466" w:charSpace="4568"/>
        </w:sectPr>
      </w:pPr>
    </w:p>
    <w:p>
      <w:pPr>
        <w:adjustRightInd w:val="0"/>
        <w:snapToGrid w:val="0"/>
        <w:spacing w:line="360" w:lineRule="auto"/>
        <w:jc w:val="center"/>
        <w:rPr>
          <w:rFonts w:ascii="宋体" w:hAnsi="宋体" w:cs="宋体"/>
          <w:b/>
          <w:kern w:val="44"/>
          <w:sz w:val="24"/>
        </w:rPr>
      </w:pPr>
      <w:r>
        <w:rPr>
          <w:rFonts w:hint="eastAsia" w:ascii="宋体" w:hAnsi="宋体" w:cs="宋体"/>
          <w:b/>
          <w:kern w:val="44"/>
          <w:sz w:val="24"/>
        </w:rPr>
        <w:t xml:space="preserve">第一部分 </w:t>
      </w:r>
      <w:r>
        <w:rPr>
          <w:rFonts w:hint="eastAsia" w:ascii="宋体" w:hAnsi="宋体" w:cs="宋体"/>
          <w:b/>
          <w:sz w:val="24"/>
        </w:rPr>
        <w:t>杭州技师学院2019年度整涂系教学实训耗材采购项目公开招标</w:t>
      </w:r>
      <w:r>
        <w:rPr>
          <w:rFonts w:hint="eastAsia" w:ascii="宋体" w:hAnsi="宋体" w:cs="宋体"/>
          <w:b/>
          <w:kern w:val="44"/>
          <w:sz w:val="24"/>
        </w:rPr>
        <w:t>公告</w:t>
      </w:r>
      <w:bookmarkEnd w:id="6"/>
    </w:p>
    <w:p>
      <w:pPr>
        <w:adjustRightInd w:val="0"/>
        <w:snapToGrid w:val="0"/>
        <w:spacing w:line="360" w:lineRule="auto"/>
        <w:ind w:firstLine="524" w:firstLineChars="200"/>
        <w:rPr>
          <w:rFonts w:ascii="宋体" w:hAnsi="宋体" w:cs="宋体"/>
          <w:kern w:val="0"/>
          <w:sz w:val="24"/>
        </w:rPr>
      </w:pPr>
    </w:p>
    <w:p>
      <w:pPr>
        <w:adjustRightInd w:val="0"/>
        <w:snapToGrid w:val="0"/>
        <w:spacing w:line="360" w:lineRule="auto"/>
        <w:ind w:firstLine="524" w:firstLineChars="200"/>
        <w:rPr>
          <w:rFonts w:ascii="宋体" w:hAnsi="宋体" w:cs="宋体"/>
          <w:sz w:val="24"/>
        </w:rPr>
      </w:pPr>
      <w:r>
        <w:rPr>
          <w:rFonts w:hint="eastAsia" w:ascii="宋体" w:hAnsi="宋体" w:cs="宋体"/>
          <w:sz w:val="24"/>
        </w:rPr>
        <w:t>根据《中华人民共和国政府采购法》等相关规定，</w:t>
      </w:r>
      <w:r>
        <w:rPr>
          <w:rFonts w:hint="eastAsia" w:ascii="宋体" w:hAnsi="宋体" w:cs="宋体"/>
          <w:bCs/>
          <w:sz w:val="24"/>
        </w:rPr>
        <w:t>浙江中诺招标代理有限公司</w:t>
      </w:r>
      <w:r>
        <w:rPr>
          <w:rFonts w:hint="eastAsia" w:ascii="宋体" w:hAnsi="宋体" w:cs="宋体"/>
          <w:sz w:val="24"/>
        </w:rPr>
        <w:t>受杭州技师学院委托，就其“2019年度整涂系教学实训耗材采购项目”进行公开招标，欢迎国内合格的供应商前来投标。</w:t>
      </w:r>
    </w:p>
    <w:p>
      <w:pPr>
        <w:adjustRightInd w:val="0"/>
        <w:snapToGrid w:val="0"/>
        <w:spacing w:line="360" w:lineRule="auto"/>
        <w:ind w:firstLine="524" w:firstLineChars="200"/>
        <w:rPr>
          <w:rFonts w:ascii="宋体" w:hAnsi="宋体" w:cs="宋体"/>
          <w:b/>
          <w:sz w:val="24"/>
        </w:rPr>
      </w:pPr>
      <w:r>
        <w:rPr>
          <w:rFonts w:hint="eastAsia" w:ascii="宋体" w:hAnsi="宋体" w:cs="宋体"/>
          <w:b/>
          <w:sz w:val="24"/>
        </w:rPr>
        <w:t>一、采购项目编号：ZJZN-19832-JY05</w:t>
      </w:r>
    </w:p>
    <w:p>
      <w:pPr>
        <w:adjustRightInd w:val="0"/>
        <w:snapToGrid w:val="0"/>
        <w:spacing w:line="360" w:lineRule="auto"/>
        <w:ind w:firstLine="524" w:firstLineChars="200"/>
        <w:rPr>
          <w:rFonts w:ascii="宋体" w:hAnsi="宋体" w:cs="宋体"/>
          <w:sz w:val="24"/>
        </w:rPr>
      </w:pPr>
      <w:r>
        <w:rPr>
          <w:rFonts w:hint="eastAsia" w:ascii="宋体" w:hAnsi="宋体" w:cs="宋体"/>
          <w:b/>
          <w:sz w:val="24"/>
        </w:rPr>
        <w:t>二、采购项目概况（内容、用途、数量、简要技术要求等）:</w:t>
      </w:r>
      <w:r>
        <w:rPr>
          <w:rFonts w:hint="eastAsia" w:ascii="宋体" w:hAnsi="宋体" w:cs="宋体"/>
          <w:sz w:val="24"/>
        </w:rPr>
        <w:t xml:space="preserve"> </w:t>
      </w:r>
    </w:p>
    <w:tbl>
      <w:tblPr>
        <w:tblStyle w:val="45"/>
        <w:tblW w:w="90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64"/>
        <w:gridCol w:w="218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6" w:hRule="atLeast"/>
        </w:trPr>
        <w:tc>
          <w:tcPr>
            <w:tcW w:w="851"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序号</w:t>
            </w:r>
          </w:p>
        </w:tc>
        <w:tc>
          <w:tcPr>
            <w:tcW w:w="4364"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设备名称</w:t>
            </w:r>
          </w:p>
        </w:tc>
        <w:tc>
          <w:tcPr>
            <w:tcW w:w="2181"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数量</w:t>
            </w:r>
          </w:p>
        </w:tc>
        <w:tc>
          <w:tcPr>
            <w:tcW w:w="1639" w:type="dxa"/>
          </w:tcPr>
          <w:p>
            <w:pPr>
              <w:widowControl/>
              <w:adjustRightInd w:val="0"/>
              <w:snapToGrid w:val="0"/>
              <w:jc w:val="center"/>
              <w:rPr>
                <w:rFonts w:ascii="宋体" w:hAnsi="宋体" w:cs="宋体"/>
                <w:b/>
                <w:bCs/>
                <w:kern w:val="0"/>
                <w:sz w:val="24"/>
              </w:rPr>
            </w:pPr>
            <w:r>
              <w:rPr>
                <w:rFonts w:hint="eastAsia" w:ascii="宋体" w:hAnsi="宋体" w:cs="宋体"/>
                <w:b/>
                <w:bCs/>
                <w:kern w:val="0"/>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51"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1</w:t>
            </w:r>
          </w:p>
        </w:tc>
        <w:tc>
          <w:tcPr>
            <w:tcW w:w="4364" w:type="dxa"/>
            <w:vAlign w:val="center"/>
          </w:tcPr>
          <w:p>
            <w:pPr>
              <w:pStyle w:val="20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40" w:lineRule="auto"/>
              <w:ind w:left="0" w:firstLine="0"/>
              <w:jc w:val="center"/>
              <w:rPr>
                <w:rFonts w:hAnsi="宋体"/>
                <w:sz w:val="24"/>
                <w:szCs w:val="24"/>
              </w:rPr>
            </w:pPr>
            <w:r>
              <w:rPr>
                <w:rFonts w:hint="eastAsia" w:hAnsi="宋体"/>
                <w:sz w:val="24"/>
              </w:rPr>
              <w:t>2019年度整涂系教学实训耗材</w:t>
            </w:r>
          </w:p>
        </w:tc>
        <w:tc>
          <w:tcPr>
            <w:tcW w:w="2181" w:type="dxa"/>
            <w:vAlign w:val="center"/>
          </w:tcPr>
          <w:p>
            <w:pPr>
              <w:pStyle w:val="20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40" w:lineRule="auto"/>
              <w:ind w:left="0" w:firstLine="0"/>
              <w:jc w:val="center"/>
              <w:rPr>
                <w:rFonts w:hAnsi="宋体"/>
                <w:sz w:val="24"/>
                <w:szCs w:val="24"/>
              </w:rPr>
            </w:pPr>
            <w:r>
              <w:rPr>
                <w:rFonts w:hint="eastAsia" w:hAnsi="宋体"/>
                <w:sz w:val="24"/>
                <w:szCs w:val="24"/>
              </w:rPr>
              <w:t>1批</w:t>
            </w:r>
          </w:p>
        </w:tc>
        <w:tc>
          <w:tcPr>
            <w:tcW w:w="1639" w:type="dxa"/>
            <w:vAlign w:val="center"/>
          </w:tcPr>
          <w:p>
            <w:pPr>
              <w:pStyle w:val="203"/>
              <w:adjustRightInd w:val="0"/>
              <w:snapToGrid w:val="0"/>
              <w:spacing w:line="240" w:lineRule="auto"/>
              <w:ind w:left="0" w:firstLine="0"/>
              <w:jc w:val="center"/>
              <w:rPr>
                <w:rFonts w:hAnsi="宋体"/>
                <w:sz w:val="24"/>
                <w:szCs w:val="24"/>
              </w:rPr>
            </w:pPr>
            <w:r>
              <w:rPr>
                <w:rFonts w:hint="eastAsia" w:hAnsi="宋体"/>
                <w:sz w:val="24"/>
                <w:szCs w:val="24"/>
              </w:rPr>
              <w:t>60万</w:t>
            </w:r>
          </w:p>
        </w:tc>
      </w:tr>
    </w:tbl>
    <w:p>
      <w:pPr>
        <w:adjustRightInd w:val="0"/>
        <w:snapToGrid w:val="0"/>
        <w:spacing w:line="360" w:lineRule="auto"/>
        <w:ind w:firstLine="524" w:firstLineChars="200"/>
        <w:rPr>
          <w:rFonts w:ascii="宋体" w:hAnsi="宋体" w:cs="宋体"/>
          <w:b/>
          <w:sz w:val="24"/>
        </w:rPr>
      </w:pPr>
      <w:r>
        <w:rPr>
          <w:rFonts w:hint="eastAsia" w:ascii="宋体" w:hAnsi="宋体" w:cs="宋体"/>
          <w:sz w:val="24"/>
          <w:lang w:val="zh-CN"/>
        </w:rPr>
        <w:t>具体包括：材料供货、配送、运输、售后服务等。详见招标文件第三部分“项目技术规范和服务要求”。</w:t>
      </w:r>
    </w:p>
    <w:p>
      <w:pPr>
        <w:adjustRightInd w:val="0"/>
        <w:snapToGrid w:val="0"/>
        <w:spacing w:line="360" w:lineRule="auto"/>
        <w:ind w:firstLine="524" w:firstLineChars="200"/>
        <w:rPr>
          <w:rFonts w:ascii="宋体" w:hAnsi="宋体" w:cs="宋体"/>
          <w:b/>
          <w:sz w:val="24"/>
        </w:rPr>
      </w:pPr>
      <w:r>
        <w:rPr>
          <w:rFonts w:hint="eastAsia" w:ascii="宋体" w:hAnsi="宋体" w:cs="宋体"/>
          <w:b/>
          <w:sz w:val="24"/>
        </w:rPr>
        <w:t>三、投标供应商资格要求:</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在中华人民共和国境内注册，具有独立法人资格，且符合《中华人民共和国政府采购法》第二十二条规定：</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（1）具有独立承担民事责任的能力；</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（2）具有良好的商业信誉和健全的财务会计制度；</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（3）具有履行合同所必需的设备和专业技术能力；</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（4）有依法缴纳税收和社会保障资金的良好记录；</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（6）法律、行政法规规定的其他条件。</w:t>
      </w:r>
    </w:p>
    <w:p>
      <w:pPr>
        <w:adjustRightInd w:val="0"/>
        <w:snapToGrid w:val="0"/>
        <w:spacing w:line="360" w:lineRule="auto"/>
        <w:ind w:firstLine="524" w:firstLineChars="200"/>
        <w:rPr>
          <w:rFonts w:ascii="宋体" w:hAnsi="宋体" w:cs="宋体"/>
          <w:b/>
          <w:sz w:val="24"/>
        </w:rPr>
      </w:pPr>
      <w:r>
        <w:rPr>
          <w:rFonts w:hint="eastAsia" w:ascii="宋体" w:hAnsi="宋体" w:cs="宋体"/>
          <w:b/>
          <w:snapToGrid w:val="0"/>
          <w:kern w:val="0"/>
          <w:sz w:val="24"/>
        </w:rPr>
        <w:t>四、</w:t>
      </w:r>
      <w:r>
        <w:rPr>
          <w:rFonts w:hint="eastAsia" w:ascii="宋体" w:hAnsi="宋体" w:cs="宋体"/>
          <w:b/>
          <w:sz w:val="24"/>
        </w:rPr>
        <w:t>供应商报名时间及地点等:</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时间：2019-</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26</w:t>
      </w:r>
      <w:r>
        <w:rPr>
          <w:rFonts w:hint="eastAsia" w:ascii="宋体" w:hAnsi="宋体" w:cs="宋体"/>
          <w:sz w:val="24"/>
        </w:rPr>
        <w:t xml:space="preserve"> 至2019-</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（双休日及法定节假日除外）</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上午：9:00-11:30</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下午：13:30-17:00</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地点：浙江中诺招标代理有限公司（杭州市下城区环城北路141号永通信息广场西写字楼10楼）</w:t>
      </w:r>
    </w:p>
    <w:p>
      <w:pPr>
        <w:pStyle w:val="20"/>
        <w:snapToGrid w:val="0"/>
        <w:spacing w:line="360" w:lineRule="auto"/>
        <w:ind w:firstLine="525"/>
        <w:rPr>
          <w:rFonts w:hAnsi="宋体" w:cs="宋体"/>
          <w:snapToGrid w:val="0"/>
          <w:kern w:val="28"/>
        </w:rPr>
      </w:pPr>
      <w:r>
        <w:rPr>
          <w:rFonts w:hint="eastAsia" w:hAnsi="宋体" w:cs="宋体"/>
        </w:rPr>
        <w:t>标书售价：每本500.00元（售后不退）</w:t>
      </w:r>
    </w:p>
    <w:p>
      <w:pPr>
        <w:widowControl/>
        <w:adjustRightInd w:val="0"/>
        <w:snapToGrid w:val="0"/>
        <w:spacing w:line="360" w:lineRule="auto"/>
        <w:ind w:firstLine="524" w:firstLineChars="200"/>
        <w:jc w:val="left"/>
        <w:rPr>
          <w:rFonts w:ascii="宋体" w:hAnsi="宋体" w:cs="宋体"/>
          <w:sz w:val="24"/>
        </w:rPr>
      </w:pPr>
      <w:bookmarkStart w:id="7" w:name="_Toc251221434"/>
      <w:bookmarkStart w:id="8" w:name="_Toc185012669"/>
      <w:bookmarkStart w:id="9" w:name="_Toc251189089"/>
      <w:bookmarkStart w:id="10" w:name="_Toc251566643"/>
      <w:r>
        <w:rPr>
          <w:rFonts w:hint="eastAsia" w:ascii="宋体" w:hAnsi="宋体" w:cs="宋体"/>
          <w:b/>
          <w:snapToGrid w:val="0"/>
          <w:kern w:val="0"/>
          <w:sz w:val="24"/>
        </w:rPr>
        <w:t>五、</w:t>
      </w:r>
      <w:r>
        <w:rPr>
          <w:rFonts w:hint="eastAsia" w:ascii="宋体" w:hAnsi="宋体" w:cs="宋体"/>
          <w:b/>
          <w:sz w:val="24"/>
        </w:rPr>
        <w:t>投标截止时间：</w:t>
      </w:r>
      <w:r>
        <w:rPr>
          <w:rFonts w:hint="eastAsia" w:ascii="宋体" w:hAnsi="宋体" w:cs="宋体"/>
          <w:sz w:val="24"/>
        </w:rPr>
        <w:t>2019-</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17</w:t>
      </w:r>
      <w:r>
        <w:rPr>
          <w:rFonts w:hint="eastAsia" w:ascii="宋体" w:hAnsi="宋体" w:cs="宋体"/>
          <w:sz w:val="24"/>
        </w:rPr>
        <w:t xml:space="preserve">   10:00</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b/>
          <w:sz w:val="24"/>
        </w:rPr>
        <w:t>六、投标地点：</w:t>
      </w:r>
      <w:r>
        <w:rPr>
          <w:rFonts w:hint="eastAsia" w:ascii="宋体" w:hAnsi="宋体" w:cs="宋体"/>
          <w:snapToGrid w:val="0"/>
          <w:kern w:val="0"/>
          <w:sz w:val="24"/>
        </w:rPr>
        <w:t>浙江中诺招标代理有限公司（杭州市下城区环城北路141号永通信息广场西写字楼10楼）开标大厅。</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b/>
          <w:sz w:val="24"/>
        </w:rPr>
        <w:t>七、开标时间：</w:t>
      </w:r>
      <w:r>
        <w:rPr>
          <w:rFonts w:hint="eastAsia" w:ascii="宋体" w:hAnsi="宋体" w:cs="宋体"/>
          <w:sz w:val="24"/>
        </w:rPr>
        <w:t>2019-</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17</w:t>
      </w:r>
      <w:r>
        <w:rPr>
          <w:rFonts w:hint="eastAsia" w:ascii="宋体" w:hAnsi="宋体" w:cs="宋体"/>
          <w:sz w:val="24"/>
        </w:rPr>
        <w:t xml:space="preserve">  10:00</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b/>
          <w:sz w:val="24"/>
        </w:rPr>
        <w:t>八、开标地点：</w:t>
      </w:r>
      <w:r>
        <w:rPr>
          <w:rFonts w:hint="eastAsia" w:ascii="宋体" w:hAnsi="宋体" w:cs="宋体"/>
          <w:snapToGrid w:val="0"/>
          <w:kern w:val="0"/>
          <w:sz w:val="24"/>
        </w:rPr>
        <w:t>浙江中诺招标代理有限公司（杭州市下城区环城北路141号永通信息广场西写字楼10楼）开标大厅。</w:t>
      </w:r>
    </w:p>
    <w:p>
      <w:pPr>
        <w:widowControl/>
        <w:adjustRightInd w:val="0"/>
        <w:snapToGrid w:val="0"/>
        <w:spacing w:line="360" w:lineRule="auto"/>
        <w:ind w:firstLine="524" w:firstLineChars="200"/>
        <w:jc w:val="left"/>
        <w:rPr>
          <w:rFonts w:ascii="宋体" w:hAnsi="宋体" w:cs="宋体"/>
          <w:b/>
          <w:snapToGrid w:val="0"/>
          <w:kern w:val="0"/>
          <w:sz w:val="24"/>
        </w:rPr>
      </w:pPr>
      <w:r>
        <w:rPr>
          <w:rFonts w:hint="eastAsia" w:ascii="宋体" w:hAnsi="宋体" w:cs="宋体"/>
          <w:b/>
          <w:sz w:val="24"/>
        </w:rPr>
        <w:t>九、投标保证金：</w:t>
      </w:r>
    </w:p>
    <w:bookmarkEnd w:id="7"/>
    <w:bookmarkEnd w:id="8"/>
    <w:bookmarkEnd w:id="9"/>
    <w:bookmarkEnd w:id="10"/>
    <w:p>
      <w:pPr>
        <w:widowControl/>
        <w:adjustRightInd w:val="0"/>
        <w:snapToGrid w:val="0"/>
        <w:spacing w:line="360" w:lineRule="auto"/>
        <w:ind w:left="464" w:leftChars="200"/>
        <w:jc w:val="left"/>
        <w:rPr>
          <w:rFonts w:ascii="宋体" w:hAnsi="宋体" w:cs="宋体"/>
          <w:sz w:val="24"/>
        </w:rPr>
      </w:pPr>
      <w:bookmarkStart w:id="11" w:name="_Toc185012671"/>
      <w:bookmarkStart w:id="12" w:name="_Toc251189093"/>
      <w:bookmarkStart w:id="13" w:name="_Toc251221438"/>
      <w:bookmarkStart w:id="14" w:name="_Toc251566647"/>
      <w:r>
        <w:rPr>
          <w:rFonts w:hint="eastAsia" w:ascii="宋体" w:hAnsi="宋体" w:cs="宋体"/>
          <w:sz w:val="24"/>
        </w:rPr>
        <w:t>本项目不设投标保证金</w:t>
      </w:r>
    </w:p>
    <w:p>
      <w:pPr>
        <w:widowControl/>
        <w:adjustRightInd w:val="0"/>
        <w:snapToGrid w:val="0"/>
        <w:spacing w:line="360" w:lineRule="auto"/>
        <w:ind w:left="464" w:leftChars="200"/>
        <w:jc w:val="left"/>
        <w:rPr>
          <w:rFonts w:ascii="宋体" w:hAnsi="宋体" w:cs="宋体"/>
          <w:b/>
          <w:sz w:val="24"/>
        </w:rPr>
      </w:pPr>
      <w:r>
        <w:rPr>
          <w:rFonts w:hint="eastAsia" w:ascii="宋体" w:hAnsi="宋体" w:cs="宋体"/>
          <w:b/>
          <w:sz w:val="24"/>
        </w:rPr>
        <w:t>十、其他事项：</w:t>
      </w:r>
    </w:p>
    <w:p>
      <w:pPr>
        <w:widowControl/>
        <w:adjustRightInd w:val="0"/>
        <w:snapToGrid w:val="0"/>
        <w:spacing w:line="360" w:lineRule="auto"/>
        <w:ind w:left="464" w:leftChars="200"/>
        <w:jc w:val="left"/>
        <w:rPr>
          <w:rFonts w:ascii="宋体" w:hAnsi="宋体" w:cs="宋体"/>
          <w:sz w:val="24"/>
        </w:rPr>
      </w:pPr>
      <w:r>
        <w:rPr>
          <w:rFonts w:hint="eastAsia" w:ascii="宋体" w:hAnsi="宋体" w:cs="宋体"/>
          <w:sz w:val="24"/>
        </w:rPr>
        <w:t>1、购买标书时须提交的文件资料：</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营业执照复印件、法定代表人委托书或介绍信（均需加盖公章）。</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2、招标文件发售截止时间之后潜在供应商仍然可以购买招标文件，但该供应商如对招标文件有疑问应按招标文件规定的时间前提出，逾期提出的，采购组织机构可以不予受理、答复。</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提示：</w:t>
      </w:r>
      <w:r>
        <w:rPr>
          <w:rFonts w:hint="eastAsia" w:ascii="宋体" w:hAnsi="宋体" w:cs="宋体"/>
          <w:sz w:val="24"/>
        </w:rPr>
        <w:t>采购代理机构将拒绝接受非按照上述方式获取招标文件的投标文件。</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4、潜在供应商可在浙江政府采购网http://www.zjzfcg.gov.cn进行免费注册，具体详见浙江政府采购网供应商注册要求。</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投诉与质疑：</w:t>
      </w:r>
      <w:r>
        <w:rPr>
          <w:rFonts w:hint="eastAsia" w:ascii="宋体" w:hAnsi="宋体" w:cs="宋体"/>
          <w:sz w:val="24"/>
        </w:rPr>
        <w:t>供应商认为采购文件、采购过程和中标、成交结果使自己的权益受到损害的，可以在知道或者应知其权益受到损害之日起七个工作日内以书面形式向采购人、采购代理机构提出质疑。</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（1）对可以质疑的采购文件提出质疑的，为收到采购文件之日或者采购文件公告期限届满之日；</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（2）对采购过程提出质疑的，为各采购程序环节结束之日；</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（3）对中标或者成交结果提出质疑的，为中标或者成交结果公告期限届满之日。</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采购人、采购代理机构应当在3个工作日内对供应商依法提出询问作出答复。</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供应商提出的询问或者质疑超出采购人对采购代理机构委托代理范围的，采购代理机构应当告知供应商向采购人提出。</w:t>
      </w:r>
    </w:p>
    <w:p>
      <w:pPr>
        <w:widowControl/>
        <w:adjustRightInd w:val="0"/>
        <w:snapToGrid w:val="0"/>
        <w:spacing w:line="360" w:lineRule="auto"/>
        <w:ind w:firstLine="524" w:firstLineChars="200"/>
        <w:jc w:val="left"/>
        <w:rPr>
          <w:rFonts w:ascii="宋体" w:hAnsi="宋体" w:cs="宋体"/>
          <w:sz w:val="24"/>
        </w:rPr>
      </w:pPr>
      <w:r>
        <w:rPr>
          <w:rFonts w:hint="eastAsia" w:ascii="宋体" w:hAnsi="宋体" w:cs="宋体"/>
          <w:sz w:val="24"/>
        </w:rPr>
        <w:t>政府采购评审专家应当配合采购人或采购代理机构答复供应商询问和质疑。</w:t>
      </w:r>
    </w:p>
    <w:p>
      <w:pPr>
        <w:autoSpaceDE w:val="0"/>
        <w:autoSpaceDN w:val="0"/>
        <w:adjustRightInd w:val="0"/>
        <w:snapToGrid w:val="0"/>
        <w:spacing w:line="360" w:lineRule="auto"/>
        <w:ind w:firstLine="524" w:firstLineChars="200"/>
        <w:rPr>
          <w:rFonts w:ascii="宋体" w:hAnsi="宋体" w:cs="宋体"/>
          <w:sz w:val="24"/>
        </w:rPr>
      </w:pPr>
      <w:r>
        <w:rPr>
          <w:rFonts w:hint="eastAsia" w:ascii="宋体" w:hAnsi="宋体" w:cs="宋体"/>
          <w:sz w:val="24"/>
        </w:rPr>
        <w:t>供应商对采购机构的质疑答复不满意或者采购机构未在规定时间内作出答复的，可以在答复期满后十五个工作日内向同级政府采购监督管理部门投诉。投诉受理地点：杭州市财政局政府采购监管处；联系电话：0571-87715261</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采购人：</w:t>
      </w:r>
      <w:r>
        <w:rPr>
          <w:rFonts w:hint="eastAsia" w:ascii="宋体" w:hAnsi="宋体" w:cs="宋体"/>
          <w:b/>
          <w:sz w:val="24"/>
        </w:rPr>
        <w:t xml:space="preserve">杭州技师学院 </w:t>
      </w:r>
      <w:r>
        <w:rPr>
          <w:rFonts w:hint="eastAsia" w:ascii="宋体" w:hAnsi="宋体" w:cs="宋体"/>
          <w:snapToGrid w:val="0"/>
          <w:kern w:val="0"/>
          <w:sz w:val="24"/>
        </w:rPr>
        <w:t xml:space="preserve">联系人：王老师 </w:t>
      </w:r>
      <w:r>
        <w:rPr>
          <w:rFonts w:hint="eastAsia" w:ascii="宋体" w:hAnsi="宋体" w:cs="宋体"/>
          <w:sz w:val="24"/>
        </w:rPr>
        <w:t>电话：0571-64619051    地址：</w:t>
      </w:r>
      <w:r>
        <w:rPr>
          <w:rFonts w:hint="eastAsia" w:ascii="宋体" w:hAnsi="宋体" w:cs="宋体"/>
          <w:kern w:val="0"/>
          <w:sz w:val="24"/>
        </w:rPr>
        <w:t xml:space="preserve">杭州市桐庐县桐君街道 </w:t>
      </w:r>
    </w:p>
    <w:p>
      <w:pPr>
        <w:adjustRightInd w:val="0"/>
        <w:snapToGrid w:val="0"/>
        <w:spacing w:line="360" w:lineRule="auto"/>
        <w:ind w:firstLine="524" w:firstLineChars="200"/>
        <w:rPr>
          <w:rFonts w:hint="eastAsia" w:ascii="宋体" w:hAnsi="宋体" w:cs="宋体"/>
          <w:b/>
          <w:snapToGrid w:val="0"/>
          <w:kern w:val="0"/>
          <w:sz w:val="24"/>
        </w:rPr>
      </w:pPr>
      <w:r>
        <w:rPr>
          <w:rFonts w:hint="eastAsia" w:ascii="宋体" w:hAnsi="宋体" w:cs="宋体"/>
          <w:b/>
          <w:snapToGrid w:val="0"/>
          <w:kern w:val="0"/>
          <w:sz w:val="24"/>
        </w:rPr>
        <w:t>十一、采购项目需要落实的政府采购政策</w:t>
      </w:r>
    </w:p>
    <w:p>
      <w:pPr>
        <w:widowControl/>
        <w:adjustRightInd w:val="0"/>
        <w:snapToGrid w:val="0"/>
        <w:spacing w:line="360" w:lineRule="auto"/>
        <w:ind w:firstLine="524" w:firstLineChars="200"/>
        <w:jc w:val="left"/>
        <w:rPr>
          <w:rFonts w:hint="eastAsia" w:ascii="宋体" w:hAnsi="宋体" w:cs="宋体"/>
          <w:snapToGrid w:val="0"/>
          <w:kern w:val="0"/>
          <w:sz w:val="24"/>
        </w:rPr>
      </w:pPr>
      <w:r>
        <w:rPr>
          <w:rFonts w:hint="eastAsia" w:ascii="宋体" w:hAnsi="宋体" w:cs="宋体"/>
          <w:snapToGrid w:val="0"/>
          <w:kern w:val="0"/>
          <w:sz w:val="24"/>
        </w:rPr>
        <w:t>（1）政府采购促进中小企业发展；（2）政府采购支持监狱企业发展；（3）促进残疾人就业政府采购政策；（4）政府采购鼓励节能、环保产品</w:t>
      </w:r>
    </w:p>
    <w:p>
      <w:pPr>
        <w:adjustRightInd w:val="0"/>
        <w:snapToGrid w:val="0"/>
        <w:spacing w:line="360" w:lineRule="auto"/>
        <w:ind w:firstLine="524" w:firstLineChars="200"/>
        <w:rPr>
          <w:rFonts w:ascii="宋体" w:hAnsi="宋体" w:cs="宋体"/>
          <w:b/>
          <w:snapToGrid w:val="0"/>
          <w:kern w:val="0"/>
          <w:sz w:val="24"/>
        </w:rPr>
      </w:pPr>
      <w:r>
        <w:rPr>
          <w:rFonts w:hint="eastAsia" w:ascii="宋体" w:hAnsi="宋体" w:cs="宋体"/>
          <w:b/>
          <w:snapToGrid w:val="0"/>
          <w:kern w:val="0"/>
          <w:sz w:val="24"/>
        </w:rPr>
        <w:t>十</w:t>
      </w:r>
      <w:r>
        <w:rPr>
          <w:rFonts w:hint="eastAsia" w:ascii="宋体" w:hAnsi="宋体" w:cs="宋体"/>
          <w:b/>
          <w:snapToGrid w:val="0"/>
          <w:kern w:val="0"/>
          <w:sz w:val="24"/>
          <w:lang w:val="en-US" w:eastAsia="zh-CN"/>
        </w:rPr>
        <w:t>二</w:t>
      </w:r>
      <w:r>
        <w:rPr>
          <w:rFonts w:hint="eastAsia" w:ascii="宋体" w:hAnsi="宋体" w:cs="宋体"/>
          <w:b/>
          <w:snapToGrid w:val="0"/>
          <w:kern w:val="0"/>
          <w:sz w:val="24"/>
        </w:rPr>
        <w:t>、联系方式</w:t>
      </w:r>
      <w:bookmarkEnd w:id="11"/>
      <w:bookmarkEnd w:id="12"/>
      <w:bookmarkEnd w:id="13"/>
      <w:bookmarkEnd w:id="14"/>
    </w:p>
    <w:p>
      <w:pPr>
        <w:widowControl/>
        <w:adjustRightInd w:val="0"/>
        <w:snapToGrid w:val="0"/>
        <w:spacing w:line="360" w:lineRule="auto"/>
        <w:ind w:firstLine="524" w:firstLineChars="200"/>
        <w:jc w:val="left"/>
        <w:rPr>
          <w:rFonts w:ascii="宋体" w:hAnsi="宋体" w:cs="宋体"/>
          <w:b/>
          <w:snapToGrid w:val="0"/>
          <w:kern w:val="0"/>
          <w:sz w:val="24"/>
        </w:rPr>
      </w:pPr>
      <w:r>
        <w:rPr>
          <w:rFonts w:hint="eastAsia" w:ascii="宋体" w:hAnsi="宋体" w:cs="宋体"/>
          <w:b/>
          <w:snapToGrid w:val="0"/>
          <w:kern w:val="0"/>
          <w:sz w:val="24"/>
        </w:rPr>
        <w:t>采购代理机构：浙江中诺招标代理有限公司</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地址：杭州市下城区环城北路141号永通信息广场西写字楼10楼</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联系人：刘宋斌</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联系电话：</w:t>
      </w:r>
      <w:bookmarkStart w:id="15" w:name="B41_联系电话"/>
      <w:r>
        <w:rPr>
          <w:rFonts w:hint="eastAsia" w:ascii="宋体" w:hAnsi="宋体" w:cs="宋体"/>
          <w:snapToGrid w:val="0"/>
          <w:kern w:val="0"/>
          <w:sz w:val="24"/>
        </w:rPr>
        <w:t>0571-</w:t>
      </w:r>
      <w:bookmarkEnd w:id="15"/>
      <w:r>
        <w:rPr>
          <w:rFonts w:hint="eastAsia" w:ascii="宋体" w:hAnsi="宋体" w:cs="宋体"/>
          <w:snapToGrid w:val="0"/>
          <w:kern w:val="0"/>
          <w:sz w:val="24"/>
        </w:rPr>
        <w:t>88821402</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传真：</w:t>
      </w:r>
      <w:bookmarkStart w:id="16" w:name="B42_传真"/>
      <w:r>
        <w:rPr>
          <w:rFonts w:hint="eastAsia" w:ascii="宋体" w:hAnsi="宋体" w:cs="宋体"/>
          <w:snapToGrid w:val="0"/>
          <w:kern w:val="0"/>
          <w:sz w:val="24"/>
        </w:rPr>
        <w:t>0571-</w:t>
      </w:r>
      <w:bookmarkEnd w:id="16"/>
      <w:r>
        <w:rPr>
          <w:rFonts w:hint="eastAsia" w:ascii="宋体" w:hAnsi="宋体" w:cs="宋体"/>
          <w:snapToGrid w:val="0"/>
          <w:kern w:val="0"/>
          <w:sz w:val="24"/>
        </w:rPr>
        <w:t>88821402-823</w:t>
      </w:r>
    </w:p>
    <w:p>
      <w:pPr>
        <w:widowControl/>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snapToGrid w:val="0"/>
          <w:kern w:val="0"/>
          <w:sz w:val="24"/>
        </w:rPr>
        <w:t>Email：info@zngpa.cn</w:t>
      </w:r>
    </w:p>
    <w:p>
      <w:pPr>
        <w:adjustRightInd w:val="0"/>
        <w:snapToGrid w:val="0"/>
        <w:spacing w:line="360" w:lineRule="auto"/>
        <w:ind w:firstLine="524" w:firstLineChars="200"/>
        <w:rPr>
          <w:rFonts w:ascii="宋体" w:hAnsi="宋体" w:cs="宋体"/>
          <w:sz w:val="24"/>
        </w:rPr>
      </w:pPr>
    </w:p>
    <w:p>
      <w:pPr>
        <w:adjustRightInd w:val="0"/>
        <w:snapToGrid w:val="0"/>
        <w:spacing w:line="360" w:lineRule="auto"/>
        <w:ind w:firstLine="524" w:firstLineChars="200"/>
        <w:rPr>
          <w:rFonts w:ascii="宋体" w:hAnsi="宋体" w:cs="宋体"/>
          <w:sz w:val="24"/>
        </w:rPr>
        <w:sectPr>
          <w:footerReference r:id="rId6" w:type="default"/>
          <w:pgSz w:w="11906" w:h="16838"/>
          <w:pgMar w:top="1418" w:right="1418" w:bottom="425" w:left="1418" w:header="851" w:footer="851" w:gutter="0"/>
          <w:cols w:space="720" w:num="1"/>
          <w:docGrid w:type="linesAndChars" w:linePitch="466" w:charSpace="4568"/>
        </w:sectPr>
      </w:pPr>
    </w:p>
    <w:p>
      <w:pPr>
        <w:adjustRightInd w:val="0"/>
        <w:snapToGrid w:val="0"/>
        <w:spacing w:line="360" w:lineRule="auto"/>
        <w:jc w:val="center"/>
        <w:rPr>
          <w:rFonts w:ascii="宋体" w:hAnsi="宋体" w:cs="宋体"/>
          <w:b/>
          <w:kern w:val="44"/>
          <w:sz w:val="24"/>
        </w:rPr>
      </w:pPr>
      <w:r>
        <w:rPr>
          <w:rFonts w:hint="eastAsia" w:ascii="宋体" w:hAnsi="宋体" w:cs="宋体"/>
          <w:b/>
          <w:kern w:val="44"/>
          <w:sz w:val="24"/>
        </w:rPr>
        <w:t>第二部分 编制和提交采购响应文件须知</w:t>
      </w:r>
    </w:p>
    <w:p>
      <w:pPr>
        <w:adjustRightInd w:val="0"/>
        <w:snapToGrid w:val="0"/>
        <w:spacing w:line="360" w:lineRule="auto"/>
        <w:jc w:val="center"/>
        <w:rPr>
          <w:rFonts w:ascii="宋体" w:hAnsi="宋体" w:cs="宋体"/>
          <w:b/>
          <w:sz w:val="24"/>
        </w:rPr>
      </w:pPr>
      <w:r>
        <w:rPr>
          <w:rFonts w:hint="eastAsia" w:ascii="宋体" w:hAnsi="宋体" w:cs="宋体"/>
          <w:b/>
          <w:sz w:val="24"/>
        </w:rPr>
        <w:t>前附表</w:t>
      </w:r>
    </w:p>
    <w:tbl>
      <w:tblPr>
        <w:tblStyle w:val="45"/>
        <w:tblW w:w="90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1748"/>
        <w:gridCol w:w="6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right w:val="single" w:color="auto" w:sz="4" w:space="0"/>
            </w:tcBorders>
            <w:vAlign w:val="center"/>
          </w:tcPr>
          <w:p>
            <w:pPr>
              <w:tabs>
                <w:tab w:val="left" w:pos="3780"/>
              </w:tabs>
              <w:adjustRightInd w:val="0"/>
              <w:snapToGrid w:val="0"/>
              <w:spacing w:line="360" w:lineRule="auto"/>
              <w:jc w:val="center"/>
              <w:rPr>
                <w:rFonts w:ascii="宋体" w:hAnsi="宋体" w:cs="宋体"/>
                <w:b/>
                <w:sz w:val="24"/>
              </w:rPr>
            </w:pPr>
            <w:bookmarkStart w:id="17" w:name="_Hlt74729822"/>
            <w:bookmarkEnd w:id="17"/>
            <w:bookmarkStart w:id="18" w:name="_Hlt74707423"/>
            <w:bookmarkEnd w:id="18"/>
            <w:bookmarkStart w:id="19" w:name="_Toc91899870"/>
            <w:bookmarkEnd w:id="19"/>
            <w:bookmarkStart w:id="20" w:name="_Hlt74728647"/>
            <w:bookmarkEnd w:id="20"/>
            <w:bookmarkStart w:id="21" w:name="_Hlt74649545"/>
            <w:bookmarkEnd w:id="21"/>
            <w:bookmarkStart w:id="22" w:name="_Toc91899871"/>
            <w:r>
              <w:rPr>
                <w:rFonts w:hint="eastAsia" w:ascii="宋体" w:hAnsi="宋体" w:cs="宋体"/>
                <w:b/>
                <w:sz w:val="24"/>
              </w:rPr>
              <w:t>条款</w:t>
            </w:r>
          </w:p>
        </w:tc>
        <w:tc>
          <w:tcPr>
            <w:tcW w:w="8190" w:type="dxa"/>
            <w:gridSpan w:val="2"/>
            <w:tcBorders>
              <w:top w:val="single" w:color="000000" w:sz="4" w:space="0"/>
              <w:left w:val="single" w:color="auto" w:sz="4" w:space="0"/>
            </w:tcBorders>
            <w:vAlign w:val="center"/>
          </w:tcPr>
          <w:p>
            <w:pPr>
              <w:tabs>
                <w:tab w:val="left" w:pos="3780"/>
              </w:tabs>
              <w:adjustRightInd w:val="0"/>
              <w:snapToGrid w:val="0"/>
              <w:spacing w:line="360" w:lineRule="auto"/>
              <w:jc w:val="center"/>
              <w:rPr>
                <w:rFonts w:ascii="宋体" w:hAnsi="宋体" w:cs="宋体"/>
                <w:b/>
                <w:sz w:val="24"/>
              </w:rPr>
            </w:pPr>
            <w:r>
              <w:rPr>
                <w:rFonts w:hint="eastAsia" w:ascii="宋体" w:hAnsi="宋体" w:cs="宋体"/>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auto" w:sz="4" w:space="0"/>
              <w:bottom w:val="single" w:color="auto" w:sz="4" w:space="0"/>
              <w:right w:val="single" w:color="auto"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1</w:t>
            </w:r>
          </w:p>
        </w:tc>
        <w:tc>
          <w:tcPr>
            <w:tcW w:w="8190" w:type="dxa"/>
            <w:gridSpan w:val="2"/>
            <w:tcBorders>
              <w:top w:val="single" w:color="auto" w:sz="4" w:space="0"/>
              <w:left w:val="single" w:color="auto" w:sz="4" w:space="0"/>
              <w:bottom w:val="single" w:color="auto" w:sz="4" w:space="0"/>
            </w:tcBorders>
          </w:tcPr>
          <w:p>
            <w:pPr>
              <w:tabs>
                <w:tab w:val="left" w:pos="3780"/>
              </w:tabs>
              <w:adjustRightInd w:val="0"/>
              <w:snapToGrid w:val="0"/>
              <w:spacing w:line="360" w:lineRule="auto"/>
              <w:jc w:val="center"/>
              <w:rPr>
                <w:rFonts w:ascii="宋体" w:hAnsi="宋体" w:cs="宋体"/>
                <w:b/>
                <w:sz w:val="24"/>
              </w:rPr>
            </w:pPr>
            <w:r>
              <w:rPr>
                <w:rFonts w:hint="eastAsia" w:ascii="宋体" w:hAnsi="宋体" w:cs="宋体"/>
                <w:b/>
                <w:sz w:val="24"/>
              </w:rPr>
              <w:t>项目说明</w:t>
            </w:r>
          </w:p>
          <w:p>
            <w:pPr>
              <w:adjustRightInd w:val="0"/>
              <w:snapToGrid w:val="0"/>
              <w:spacing w:line="360" w:lineRule="auto"/>
              <w:rPr>
                <w:rFonts w:ascii="宋体" w:hAnsi="宋体" w:cs="宋体"/>
                <w:b/>
                <w:sz w:val="24"/>
              </w:rPr>
            </w:pPr>
            <w:r>
              <w:rPr>
                <w:rFonts w:hint="eastAsia" w:ascii="宋体" w:hAnsi="宋体" w:cs="宋体"/>
                <w:b/>
                <w:bCs/>
                <w:sz w:val="24"/>
                <w:lang w:val="zh-CN"/>
              </w:rPr>
              <w:t>一、项目名称：</w:t>
            </w:r>
            <w:r>
              <w:rPr>
                <w:rFonts w:hint="eastAsia" w:ascii="宋体" w:hAnsi="宋体" w:cs="宋体"/>
                <w:sz w:val="24"/>
                <w:lang w:val="zh-CN"/>
              </w:rPr>
              <w:t>杭州技师学院</w:t>
            </w:r>
            <w:r>
              <w:rPr>
                <w:rFonts w:hint="eastAsia" w:ascii="宋体" w:hAnsi="宋体" w:cs="宋体"/>
                <w:sz w:val="24"/>
              </w:rPr>
              <w:t>2019年度整涂系教学实训耗材采购项目</w:t>
            </w:r>
          </w:p>
          <w:p>
            <w:pPr>
              <w:autoSpaceDE w:val="0"/>
              <w:autoSpaceDN w:val="0"/>
              <w:adjustRightInd w:val="0"/>
              <w:snapToGrid w:val="0"/>
              <w:spacing w:line="360" w:lineRule="auto"/>
              <w:rPr>
                <w:rFonts w:ascii="宋体" w:hAnsi="宋体" w:cs="宋体"/>
                <w:sz w:val="24"/>
              </w:rPr>
            </w:pPr>
            <w:r>
              <w:rPr>
                <w:rFonts w:hint="eastAsia" w:ascii="宋体" w:hAnsi="宋体" w:cs="宋体"/>
                <w:b/>
                <w:bCs/>
                <w:sz w:val="24"/>
                <w:lang w:val="zh-CN"/>
              </w:rPr>
              <w:t>二、项目的实施范围：</w:t>
            </w:r>
          </w:p>
          <w:tbl>
            <w:tblPr>
              <w:tblStyle w:val="45"/>
              <w:tblW w:w="754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65"/>
              <w:gridCol w:w="119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序号</w:t>
                  </w:r>
                </w:p>
              </w:tc>
              <w:tc>
                <w:tcPr>
                  <w:tcW w:w="4365"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设备名称</w:t>
                  </w:r>
                </w:p>
              </w:tc>
              <w:tc>
                <w:tcPr>
                  <w:tcW w:w="1195"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数量</w:t>
                  </w:r>
                </w:p>
              </w:tc>
              <w:tc>
                <w:tcPr>
                  <w:tcW w:w="1135" w:type="dxa"/>
                </w:tcPr>
                <w:p>
                  <w:pPr>
                    <w:widowControl/>
                    <w:adjustRightInd w:val="0"/>
                    <w:snapToGrid w:val="0"/>
                    <w:jc w:val="center"/>
                    <w:rPr>
                      <w:rFonts w:ascii="宋体" w:hAnsi="宋体" w:cs="宋体"/>
                      <w:b/>
                      <w:bCs/>
                      <w:kern w:val="0"/>
                      <w:sz w:val="24"/>
                    </w:rPr>
                  </w:pPr>
                  <w:r>
                    <w:rPr>
                      <w:rFonts w:hint="eastAsia" w:ascii="宋体" w:hAnsi="宋体" w:cs="宋体"/>
                      <w:b/>
                      <w:bCs/>
                      <w:kern w:val="0"/>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1</w:t>
                  </w:r>
                </w:p>
              </w:tc>
              <w:tc>
                <w:tcPr>
                  <w:tcW w:w="4365" w:type="dxa"/>
                  <w:vAlign w:val="center"/>
                </w:tcPr>
                <w:p>
                  <w:pPr>
                    <w:pStyle w:val="20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40" w:lineRule="auto"/>
                    <w:ind w:left="0" w:firstLine="0"/>
                    <w:jc w:val="center"/>
                    <w:rPr>
                      <w:rFonts w:hAnsi="宋体"/>
                      <w:sz w:val="24"/>
                      <w:szCs w:val="24"/>
                    </w:rPr>
                  </w:pPr>
                  <w:r>
                    <w:rPr>
                      <w:rFonts w:hint="eastAsia" w:hAnsi="宋体"/>
                      <w:sz w:val="24"/>
                    </w:rPr>
                    <w:t>2019年度整涂系教学实训耗材</w:t>
                  </w:r>
                </w:p>
              </w:tc>
              <w:tc>
                <w:tcPr>
                  <w:tcW w:w="1195" w:type="dxa"/>
                  <w:vAlign w:val="center"/>
                </w:tcPr>
                <w:p>
                  <w:pPr>
                    <w:pStyle w:val="20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40" w:lineRule="auto"/>
                    <w:ind w:left="0" w:firstLine="0"/>
                    <w:jc w:val="center"/>
                    <w:rPr>
                      <w:rFonts w:hAnsi="宋体"/>
                      <w:sz w:val="24"/>
                      <w:szCs w:val="24"/>
                    </w:rPr>
                  </w:pPr>
                  <w:r>
                    <w:rPr>
                      <w:rFonts w:hint="eastAsia" w:hAnsi="宋体"/>
                      <w:sz w:val="24"/>
                      <w:szCs w:val="24"/>
                    </w:rPr>
                    <w:t>1批</w:t>
                  </w:r>
                </w:p>
              </w:tc>
              <w:tc>
                <w:tcPr>
                  <w:tcW w:w="1135" w:type="dxa"/>
                  <w:vAlign w:val="center"/>
                </w:tcPr>
                <w:p>
                  <w:pPr>
                    <w:pStyle w:val="203"/>
                    <w:adjustRightInd w:val="0"/>
                    <w:snapToGrid w:val="0"/>
                    <w:spacing w:line="240" w:lineRule="auto"/>
                    <w:ind w:left="0" w:firstLine="0"/>
                    <w:jc w:val="center"/>
                    <w:rPr>
                      <w:rFonts w:hAnsi="宋体"/>
                      <w:sz w:val="24"/>
                      <w:szCs w:val="24"/>
                    </w:rPr>
                  </w:pPr>
                  <w:r>
                    <w:rPr>
                      <w:rFonts w:hint="eastAsia" w:hAnsi="宋体"/>
                      <w:sz w:val="24"/>
                      <w:szCs w:val="24"/>
                    </w:rPr>
                    <w:t>60万</w:t>
                  </w:r>
                </w:p>
              </w:tc>
            </w:tr>
          </w:tbl>
          <w:p>
            <w:pPr>
              <w:adjustRightInd w:val="0"/>
              <w:snapToGrid w:val="0"/>
              <w:spacing w:line="360" w:lineRule="auto"/>
              <w:ind w:firstLine="524" w:firstLineChars="200"/>
              <w:rPr>
                <w:rFonts w:ascii="宋体" w:hAnsi="宋体" w:cs="宋体"/>
                <w:b/>
                <w:sz w:val="24"/>
              </w:rPr>
            </w:pPr>
            <w:r>
              <w:rPr>
                <w:rFonts w:hint="eastAsia" w:ascii="宋体" w:hAnsi="宋体" w:cs="宋体"/>
                <w:sz w:val="24"/>
                <w:lang w:val="zh-CN"/>
              </w:rPr>
              <w:t>具体包括：材料供货、配送、运输、售后服务等。详见招标文件第三部分“项目技术规范和服务要求”。</w:t>
            </w:r>
          </w:p>
          <w:p>
            <w:pPr>
              <w:adjustRightInd w:val="0"/>
              <w:snapToGrid w:val="0"/>
              <w:spacing w:line="360" w:lineRule="auto"/>
              <w:rPr>
                <w:rFonts w:ascii="宋体" w:hAnsi="宋体" w:cs="宋体"/>
                <w:b/>
                <w:sz w:val="24"/>
              </w:rPr>
            </w:pPr>
            <w:r>
              <w:rPr>
                <w:rFonts w:hint="eastAsia" w:ascii="宋体" w:hAnsi="宋体" w:cs="宋体"/>
                <w:b/>
                <w:bCs/>
                <w:sz w:val="24"/>
                <w:lang w:val="zh-CN"/>
              </w:rPr>
              <w:t>三、项目实施地点：</w:t>
            </w:r>
            <w:r>
              <w:rPr>
                <w:rFonts w:hint="eastAsia" w:ascii="宋体" w:hAnsi="宋体" w:cs="宋体"/>
                <w:sz w:val="24"/>
                <w:lang w:val="zh-CN"/>
              </w:rPr>
              <w:t>杭州技师学院指定地点。</w:t>
            </w:r>
          </w:p>
          <w:p>
            <w:pPr>
              <w:snapToGrid w:val="0"/>
              <w:spacing w:line="360" w:lineRule="auto"/>
              <w:rPr>
                <w:rFonts w:ascii="宋体" w:hAnsi="宋体" w:cs="宋体"/>
                <w:sz w:val="24"/>
              </w:rPr>
            </w:pPr>
            <w:r>
              <w:rPr>
                <w:rFonts w:hint="eastAsia" w:ascii="宋体" w:hAnsi="宋体" w:cs="宋体"/>
                <w:b/>
                <w:bCs/>
                <w:sz w:val="24"/>
                <w:lang w:val="zh-CN"/>
              </w:rPr>
              <w:t>四、要求质量标准：</w:t>
            </w:r>
            <w:r>
              <w:rPr>
                <w:rFonts w:hint="eastAsia" w:ascii="宋体" w:hAnsi="宋体" w:cs="宋体"/>
                <w:sz w:val="24"/>
                <w:lang w:val="zh-CN"/>
              </w:rPr>
              <w:t>先进、主流、可靠、安全、开放、实用、性价比高。所供产品是符合国家技术规范和质量标准，未曾开箱使用，</w:t>
            </w:r>
            <w:r>
              <w:rPr>
                <w:rFonts w:hint="eastAsia" w:ascii="宋体" w:hAnsi="宋体" w:cs="宋体"/>
                <w:sz w:val="24"/>
              </w:rPr>
              <w:t>制造标准、安装标准及技术规范要求必须符合我国相关标准和设备使用方认可的有关国际标准</w:t>
            </w:r>
            <w:r>
              <w:rPr>
                <w:rFonts w:hint="eastAsia" w:ascii="宋体" w:hAnsi="宋体" w:cs="宋体"/>
                <w:sz w:val="24"/>
                <w:lang w:val="zh-CN"/>
              </w:rPr>
              <w:t>。</w:t>
            </w:r>
          </w:p>
          <w:p>
            <w:pPr>
              <w:autoSpaceDE w:val="0"/>
              <w:autoSpaceDN w:val="0"/>
              <w:adjustRightInd w:val="0"/>
              <w:snapToGrid w:val="0"/>
              <w:spacing w:line="360" w:lineRule="auto"/>
              <w:rPr>
                <w:rFonts w:ascii="宋体" w:hAnsi="宋体" w:cs="宋体"/>
                <w:sz w:val="24"/>
              </w:rPr>
            </w:pPr>
            <w:r>
              <w:rPr>
                <w:rFonts w:hint="eastAsia" w:ascii="宋体" w:hAnsi="宋体" w:cs="宋体"/>
                <w:b/>
                <w:bCs/>
                <w:sz w:val="24"/>
                <w:lang w:val="zh-CN"/>
              </w:rPr>
              <w:t>五、主要技术参数和性能要求：</w:t>
            </w:r>
            <w:r>
              <w:rPr>
                <w:rFonts w:hint="eastAsia" w:ascii="宋体" w:hAnsi="宋体" w:cs="宋体"/>
                <w:sz w:val="24"/>
                <w:lang w:val="zh-CN"/>
              </w:rPr>
              <w:t>详见第三部分——项目技术规范和服务要求。</w:t>
            </w:r>
          </w:p>
          <w:p>
            <w:pPr>
              <w:snapToGrid w:val="0"/>
              <w:spacing w:line="360" w:lineRule="auto"/>
              <w:rPr>
                <w:rFonts w:ascii="宋体" w:hAnsi="宋体" w:cs="宋体"/>
                <w:b/>
                <w:bCs/>
                <w:sz w:val="24"/>
              </w:rPr>
            </w:pPr>
            <w:r>
              <w:rPr>
                <w:rFonts w:hint="eastAsia" w:ascii="宋体" w:hAnsi="宋体" w:cs="宋体"/>
                <w:b/>
                <w:bCs/>
                <w:sz w:val="24"/>
                <w:lang w:val="zh-CN"/>
              </w:rPr>
              <w:t>六、</w:t>
            </w:r>
            <w:r>
              <w:rPr>
                <w:rFonts w:hint="eastAsia" w:ascii="宋体" w:hAnsi="宋体" w:cs="宋体"/>
                <w:b/>
                <w:bCs/>
                <w:sz w:val="24"/>
              </w:rPr>
              <w:t>交货时间：合同签订后按采购人要求时间配送。</w:t>
            </w:r>
          </w:p>
          <w:p>
            <w:pPr>
              <w:snapToGrid w:val="0"/>
              <w:spacing w:line="360" w:lineRule="auto"/>
              <w:rPr>
                <w:rFonts w:ascii="宋体" w:hAnsi="宋体" w:cs="宋体"/>
                <w:sz w:val="24"/>
              </w:rPr>
            </w:pPr>
            <w:r>
              <w:rPr>
                <w:rFonts w:hint="eastAsia" w:ascii="宋体" w:hAnsi="宋体" w:cs="宋体"/>
                <w:b/>
                <w:bCs/>
                <w:sz w:val="24"/>
                <w:lang w:val="zh-CN"/>
              </w:rPr>
              <w:t>七、</w:t>
            </w:r>
            <w:r>
              <w:rPr>
                <w:rFonts w:hint="eastAsia" w:ascii="宋体" w:hAnsi="宋体" w:cs="宋体"/>
                <w:b/>
                <w:sz w:val="24"/>
              </w:rPr>
              <w:t>耗材配件质保期</w:t>
            </w:r>
            <w:r>
              <w:rPr>
                <w:rFonts w:hint="eastAsia" w:ascii="宋体" w:hAnsi="宋体" w:cs="宋体"/>
                <w:b/>
                <w:bCs/>
                <w:sz w:val="24"/>
                <w:lang w:val="zh-CN"/>
              </w:rPr>
              <w:t>：</w:t>
            </w:r>
            <w:r>
              <w:rPr>
                <w:rFonts w:hint="eastAsia" w:ascii="宋体" w:hAnsi="宋体" w:cs="宋体"/>
                <w:sz w:val="24"/>
              </w:rPr>
              <w:t>原厂商所规定的质保时间。</w:t>
            </w:r>
          </w:p>
          <w:p>
            <w:pPr>
              <w:autoSpaceDE w:val="0"/>
              <w:autoSpaceDN w:val="0"/>
              <w:adjustRightInd w:val="0"/>
              <w:snapToGrid w:val="0"/>
              <w:spacing w:line="360" w:lineRule="auto"/>
              <w:rPr>
                <w:rFonts w:ascii="宋体" w:hAnsi="宋体" w:cs="宋体"/>
                <w:sz w:val="24"/>
              </w:rPr>
            </w:pPr>
            <w:r>
              <w:rPr>
                <w:rFonts w:hint="eastAsia" w:ascii="宋体" w:hAnsi="宋体" w:cs="宋体"/>
                <w:b/>
                <w:sz w:val="24"/>
                <w:lang w:val="zh-CN"/>
              </w:rPr>
              <w:t>八、重要提示：</w:t>
            </w:r>
            <w:r>
              <w:rPr>
                <w:rFonts w:hint="eastAsia" w:ascii="宋体" w:hAnsi="宋体" w:cs="宋体"/>
                <w:sz w:val="24"/>
                <w:lang w:val="zh-CN"/>
              </w:rPr>
              <w:t>中标人应保证所要求提供的配件均为原厂正品。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2</w:t>
            </w:r>
          </w:p>
        </w:tc>
        <w:tc>
          <w:tcPr>
            <w:tcW w:w="1748" w:type="dxa"/>
            <w:tcBorders>
              <w:top w:val="single" w:color="auto" w:sz="4" w:space="0"/>
              <w:left w:val="single" w:color="000000" w:sz="4" w:space="0"/>
              <w:bottom w:val="single" w:color="000000" w:sz="4" w:space="0"/>
              <w:right w:val="single" w:color="000000" w:sz="4" w:space="0"/>
            </w:tcBorders>
            <w:vAlign w:val="center"/>
          </w:tcPr>
          <w:p>
            <w:pPr>
              <w:tabs>
                <w:tab w:val="left" w:pos="3780"/>
              </w:tabs>
              <w:adjustRightInd w:val="0"/>
              <w:snapToGrid w:val="0"/>
              <w:spacing w:line="360" w:lineRule="auto"/>
              <w:rPr>
                <w:rFonts w:ascii="宋体" w:hAnsi="宋体" w:cs="宋体"/>
                <w:b/>
                <w:sz w:val="24"/>
              </w:rPr>
            </w:pPr>
            <w:r>
              <w:rPr>
                <w:rFonts w:hint="eastAsia" w:ascii="宋体" w:hAnsi="宋体" w:cs="宋体"/>
                <w:b/>
                <w:sz w:val="24"/>
              </w:rPr>
              <w:t>合同名称</w:t>
            </w:r>
          </w:p>
        </w:tc>
        <w:tc>
          <w:tcPr>
            <w:tcW w:w="6442" w:type="dxa"/>
            <w:tcBorders>
              <w:top w:val="single" w:color="auto" w:sz="4" w:space="0"/>
              <w:left w:val="single" w:color="000000" w:sz="4" w:space="0"/>
              <w:bottom w:val="single" w:color="000000" w:sz="4" w:space="0"/>
              <w:right w:val="single" w:color="000000" w:sz="4" w:space="0"/>
            </w:tcBorders>
            <w:vAlign w:val="center"/>
          </w:tcPr>
          <w:p>
            <w:pPr>
              <w:tabs>
                <w:tab w:val="left" w:pos="3780"/>
              </w:tabs>
              <w:adjustRightInd w:val="0"/>
              <w:snapToGrid w:val="0"/>
              <w:spacing w:line="360" w:lineRule="auto"/>
              <w:rPr>
                <w:rFonts w:ascii="宋体" w:hAnsi="宋体" w:cs="宋体"/>
                <w:sz w:val="24"/>
              </w:rPr>
            </w:pPr>
            <w:r>
              <w:rPr>
                <w:rFonts w:hint="eastAsia" w:ascii="宋体" w:hAnsi="宋体" w:cs="宋体"/>
                <w:sz w:val="24"/>
              </w:rPr>
              <w:t>《杭州技师学院采购合同》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3</w:t>
            </w:r>
          </w:p>
        </w:tc>
        <w:tc>
          <w:tcPr>
            <w:tcW w:w="819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780"/>
              </w:tabs>
              <w:adjustRightInd w:val="0"/>
              <w:snapToGrid w:val="0"/>
              <w:spacing w:line="360" w:lineRule="auto"/>
              <w:rPr>
                <w:rFonts w:ascii="宋体" w:hAnsi="宋体" w:cs="宋体"/>
                <w:sz w:val="24"/>
              </w:rPr>
            </w:pPr>
            <w:r>
              <w:rPr>
                <w:rFonts w:hint="eastAsia" w:ascii="宋体" w:hAnsi="宋体" w:cs="宋体"/>
                <w:b/>
                <w:sz w:val="24"/>
                <w:lang w:val="zh-CN"/>
              </w:rPr>
              <w:t>投标</w:t>
            </w:r>
            <w:r>
              <w:rPr>
                <w:rFonts w:hint="eastAsia" w:ascii="宋体" w:hAnsi="宋体" w:cs="宋体"/>
                <w:b/>
                <w:sz w:val="24"/>
              </w:rPr>
              <w:t>有效期：</w:t>
            </w:r>
            <w:r>
              <w:rPr>
                <w:rFonts w:hint="eastAsia" w:ascii="宋体" w:hAnsi="宋体" w:cs="宋体"/>
                <w:sz w:val="24"/>
              </w:rPr>
              <w:t>自投标截止日起60天。如招标代理机构认为必要，可延长至总计最长不超过90天。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4</w:t>
            </w:r>
          </w:p>
        </w:tc>
        <w:tc>
          <w:tcPr>
            <w:tcW w:w="8190" w:type="dxa"/>
            <w:gridSpan w:val="2"/>
            <w:tcBorders>
              <w:top w:val="single" w:color="000000" w:sz="4" w:space="0"/>
              <w:left w:val="single" w:color="000000" w:sz="4" w:space="0"/>
              <w:bottom w:val="single" w:color="000000" w:sz="4"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b/>
                <w:sz w:val="24"/>
              </w:rPr>
              <w:t>投标保证金数额：</w:t>
            </w:r>
            <w:r>
              <w:rPr>
                <w:rFonts w:hint="eastAsia" w:ascii="宋体" w:hAnsi="宋体" w:cs="宋体"/>
                <w:snapToGrid w:val="0"/>
                <w:kern w:val="0"/>
                <w:sz w:val="24"/>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5</w:t>
            </w:r>
          </w:p>
        </w:tc>
        <w:tc>
          <w:tcPr>
            <w:tcW w:w="8190" w:type="dxa"/>
            <w:gridSpan w:val="2"/>
            <w:tcBorders>
              <w:top w:val="single" w:color="000000" w:sz="4" w:space="0"/>
              <w:left w:val="single" w:color="000000" w:sz="4" w:space="0"/>
              <w:bottom w:val="single" w:color="000000" w:sz="4" w:space="0"/>
            </w:tcBorders>
            <w:vAlign w:val="center"/>
          </w:tcPr>
          <w:p>
            <w:pPr>
              <w:tabs>
                <w:tab w:val="left" w:pos="3780"/>
              </w:tabs>
              <w:adjustRightInd w:val="0"/>
              <w:snapToGrid w:val="0"/>
              <w:spacing w:line="360" w:lineRule="auto"/>
              <w:rPr>
                <w:rFonts w:ascii="宋体" w:hAnsi="宋体" w:cs="宋体"/>
                <w:sz w:val="24"/>
              </w:rPr>
            </w:pPr>
            <w:r>
              <w:rPr>
                <w:rFonts w:hint="eastAsia" w:ascii="宋体" w:hAnsi="宋体" w:cs="宋体"/>
                <w:b/>
                <w:sz w:val="24"/>
              </w:rPr>
              <w:t>投标文件份数：</w:t>
            </w:r>
            <w:r>
              <w:rPr>
                <w:rFonts w:hint="eastAsia" w:ascii="宋体" w:hAnsi="宋体" w:cs="宋体"/>
                <w:sz w:val="24"/>
              </w:rPr>
              <w:t>正本壹份、副本伍份。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6</w:t>
            </w:r>
          </w:p>
        </w:tc>
        <w:tc>
          <w:tcPr>
            <w:tcW w:w="8190" w:type="dxa"/>
            <w:gridSpan w:val="2"/>
            <w:tcBorders>
              <w:top w:val="single" w:color="000000" w:sz="4" w:space="0"/>
              <w:left w:val="single" w:color="000000" w:sz="4" w:space="0"/>
              <w:bottom w:val="single" w:color="000000" w:sz="4" w:space="0"/>
            </w:tcBorders>
            <w:vAlign w:val="center"/>
          </w:tcPr>
          <w:p>
            <w:pPr>
              <w:tabs>
                <w:tab w:val="left" w:pos="3780"/>
              </w:tabs>
              <w:adjustRightInd w:val="0"/>
              <w:snapToGrid w:val="0"/>
              <w:spacing w:line="360" w:lineRule="auto"/>
              <w:rPr>
                <w:rFonts w:ascii="宋体" w:hAnsi="宋体" w:cs="宋体"/>
                <w:sz w:val="24"/>
              </w:rPr>
            </w:pPr>
            <w:r>
              <w:rPr>
                <w:rFonts w:hint="eastAsia" w:ascii="宋体" w:hAnsi="宋体" w:cs="宋体"/>
                <w:b/>
                <w:sz w:val="24"/>
              </w:rPr>
              <w:t>投标截止时间：</w:t>
            </w:r>
            <w:r>
              <w:rPr>
                <w:rFonts w:hint="eastAsia" w:ascii="宋体" w:hAnsi="宋体" w:cs="宋体"/>
                <w:sz w:val="24"/>
              </w:rPr>
              <w:t>2019年5月</w:t>
            </w:r>
            <w:r>
              <w:rPr>
                <w:rFonts w:hint="eastAsia" w:ascii="宋体" w:hAnsi="宋体" w:cs="宋体"/>
                <w:sz w:val="24"/>
                <w:lang w:val="en-US" w:eastAsia="zh-CN"/>
              </w:rPr>
              <w:t>17</w:t>
            </w:r>
            <w:r>
              <w:rPr>
                <w:rFonts w:hint="eastAsia" w:ascii="宋体" w:hAnsi="宋体" w:cs="宋体"/>
                <w:sz w:val="24"/>
              </w:rPr>
              <w:t>日</w:t>
            </w:r>
            <w:r>
              <w:rPr>
                <w:rFonts w:hint="eastAsia" w:ascii="宋体" w:hAnsi="宋体" w:cs="宋体"/>
                <w:sz w:val="24"/>
                <w:lang w:val="zh-CN"/>
              </w:rPr>
              <w:t>上午10:00分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7</w:t>
            </w:r>
          </w:p>
        </w:tc>
        <w:tc>
          <w:tcPr>
            <w:tcW w:w="8190" w:type="dxa"/>
            <w:gridSpan w:val="2"/>
            <w:tcBorders>
              <w:top w:val="single" w:color="000000" w:sz="4" w:space="0"/>
              <w:left w:val="single" w:color="000000" w:sz="4" w:space="0"/>
              <w:bottom w:val="single" w:color="000000" w:sz="4" w:space="0"/>
            </w:tcBorders>
            <w:vAlign w:val="center"/>
          </w:tcPr>
          <w:p>
            <w:pPr>
              <w:pStyle w:val="24"/>
              <w:adjustRightInd w:val="0"/>
              <w:snapToGrid w:val="0"/>
              <w:spacing w:line="360" w:lineRule="auto"/>
              <w:rPr>
                <w:rFonts w:hAnsi="宋体" w:cs="宋体"/>
                <w:sz w:val="24"/>
                <w:szCs w:val="24"/>
              </w:rPr>
            </w:pPr>
            <w:r>
              <w:rPr>
                <w:rFonts w:hint="eastAsia" w:hAnsi="宋体" w:cs="宋体"/>
                <w:b/>
                <w:sz w:val="24"/>
                <w:szCs w:val="24"/>
              </w:rPr>
              <w:t>投标文件递交至单位：</w:t>
            </w:r>
            <w:r>
              <w:rPr>
                <w:rFonts w:hint="eastAsia" w:hAnsi="宋体" w:cs="宋体"/>
                <w:sz w:val="24"/>
                <w:szCs w:val="24"/>
              </w:rPr>
              <w:t>浙江中诺招标代理有限公司；</w:t>
            </w:r>
          </w:p>
          <w:p>
            <w:pPr>
              <w:tabs>
                <w:tab w:val="left" w:pos="3780"/>
              </w:tabs>
              <w:adjustRightInd w:val="0"/>
              <w:snapToGrid w:val="0"/>
              <w:spacing w:line="360" w:lineRule="auto"/>
              <w:rPr>
                <w:rFonts w:ascii="宋体" w:hAnsi="宋体" w:cs="宋体"/>
                <w:sz w:val="24"/>
              </w:rPr>
            </w:pPr>
            <w:r>
              <w:rPr>
                <w:rFonts w:hint="eastAsia" w:ascii="宋体" w:hAnsi="宋体" w:cs="宋体"/>
                <w:b/>
                <w:sz w:val="24"/>
              </w:rPr>
              <w:t>投标文件递交至地点：</w:t>
            </w:r>
            <w:r>
              <w:rPr>
                <w:rFonts w:hint="eastAsia" w:ascii="宋体" w:hAnsi="宋体" w:cs="宋体"/>
                <w:sz w:val="24"/>
              </w:rPr>
              <w:t>杭州市下城区环城北路141号永通信息广场西写字楼10楼会议室。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8</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b/>
                <w:color w:val="auto"/>
                <w:kern w:val="10"/>
                <w:sz w:val="24"/>
                <w:szCs w:val="24"/>
              </w:rPr>
            </w:pPr>
            <w:r>
              <w:rPr>
                <w:rFonts w:hint="eastAsia" w:hAnsi="宋体" w:cs="宋体"/>
                <w:b/>
                <w:color w:val="auto"/>
                <w:kern w:val="10"/>
                <w:sz w:val="24"/>
                <w:szCs w:val="24"/>
              </w:rPr>
              <w:t>资格审查方式：资格后审。</w:t>
            </w:r>
            <w:r>
              <w:rPr>
                <w:rFonts w:hint="eastAsia" w:hAnsi="宋体" w:cs="宋体"/>
                <w:color w:val="auto"/>
                <w:kern w:val="10"/>
                <w:sz w:val="24"/>
                <w:szCs w:val="24"/>
              </w:rPr>
              <w:t>资格后审是指在开标后根据招标文件的规定对投标人进行的资格审查。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9</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color w:val="auto"/>
                <w:sz w:val="24"/>
                <w:szCs w:val="24"/>
              </w:rPr>
            </w:pPr>
            <w:r>
              <w:rPr>
                <w:rFonts w:hint="eastAsia" w:hAnsi="宋体" w:cs="宋体"/>
                <w:b/>
                <w:color w:val="auto"/>
                <w:kern w:val="10"/>
                <w:sz w:val="24"/>
                <w:szCs w:val="24"/>
              </w:rPr>
              <w:t>开标时间</w:t>
            </w:r>
            <w:r>
              <w:rPr>
                <w:rFonts w:hint="eastAsia" w:hAnsi="宋体" w:cs="宋体"/>
                <w:b/>
                <w:color w:val="auto"/>
                <w:sz w:val="24"/>
                <w:szCs w:val="24"/>
              </w:rPr>
              <w:t>：</w:t>
            </w:r>
            <w:r>
              <w:rPr>
                <w:rFonts w:hint="eastAsia" w:hAnsi="宋体" w:cs="宋体"/>
                <w:color w:val="auto"/>
                <w:sz w:val="24"/>
              </w:rPr>
              <w:t>2019年</w:t>
            </w:r>
            <w:r>
              <w:rPr>
                <w:rFonts w:hint="eastAsia" w:hAnsi="宋体" w:cs="宋体"/>
                <w:color w:val="auto"/>
                <w:sz w:val="24"/>
                <w:lang w:val="en-US" w:eastAsia="zh-CN"/>
              </w:rPr>
              <w:t>5</w:t>
            </w:r>
            <w:r>
              <w:rPr>
                <w:rFonts w:hint="eastAsia" w:hAnsi="宋体" w:cs="宋体"/>
                <w:color w:val="auto"/>
                <w:sz w:val="24"/>
              </w:rPr>
              <w:t>月</w:t>
            </w:r>
            <w:r>
              <w:rPr>
                <w:rFonts w:hint="eastAsia" w:hAnsi="宋体" w:cs="宋体"/>
                <w:color w:val="auto"/>
                <w:sz w:val="24"/>
                <w:lang w:val="en-US" w:eastAsia="zh-CN"/>
              </w:rPr>
              <w:t>17</w:t>
            </w:r>
            <w:r>
              <w:rPr>
                <w:rFonts w:hint="eastAsia" w:hAnsi="宋体" w:cs="宋体"/>
                <w:color w:val="auto"/>
                <w:sz w:val="24"/>
              </w:rPr>
              <w:t>日</w:t>
            </w:r>
            <w:r>
              <w:rPr>
                <w:rFonts w:hint="eastAsia" w:hAnsi="宋体" w:cs="宋体"/>
                <w:color w:val="auto"/>
                <w:sz w:val="24"/>
                <w:lang w:val="zh-CN"/>
              </w:rPr>
              <w:t>上午10:00分</w:t>
            </w:r>
            <w:r>
              <w:rPr>
                <w:rFonts w:hint="eastAsia" w:hAnsi="宋体" w:cs="宋体"/>
                <w:color w:val="auto"/>
                <w:sz w:val="24"/>
              </w:rPr>
              <w:t>。</w:t>
            </w:r>
          </w:p>
          <w:p>
            <w:pPr>
              <w:pStyle w:val="13"/>
              <w:spacing w:line="360" w:lineRule="auto"/>
              <w:ind w:firstLine="0"/>
              <w:rPr>
                <w:rFonts w:hAnsi="宋体" w:cs="宋体"/>
                <w:b/>
                <w:color w:val="auto"/>
                <w:kern w:val="10"/>
                <w:sz w:val="24"/>
                <w:szCs w:val="24"/>
              </w:rPr>
            </w:pPr>
            <w:r>
              <w:rPr>
                <w:rFonts w:hint="eastAsia" w:hAnsi="宋体" w:cs="宋体"/>
                <w:b/>
                <w:color w:val="auto"/>
                <w:sz w:val="24"/>
                <w:szCs w:val="24"/>
              </w:rPr>
              <w:t>开标地点：</w:t>
            </w:r>
            <w:r>
              <w:rPr>
                <w:rFonts w:hint="eastAsia" w:hAnsi="宋体" w:cs="宋体"/>
                <w:color w:val="auto"/>
                <w:sz w:val="24"/>
                <w:szCs w:val="24"/>
              </w:rPr>
              <w:t>杭州市下城区环城北路141号永通信息广场西写字楼10楼会议室。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10</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b/>
                <w:color w:val="auto"/>
                <w:kern w:val="10"/>
                <w:sz w:val="24"/>
                <w:szCs w:val="24"/>
              </w:rPr>
            </w:pPr>
            <w:r>
              <w:rPr>
                <w:rFonts w:hint="eastAsia" w:hAnsi="宋体" w:cs="宋体"/>
                <w:b/>
                <w:color w:val="auto"/>
                <w:sz w:val="24"/>
                <w:szCs w:val="24"/>
                <w:lang w:val="zh-CN"/>
              </w:rPr>
              <w:t>预算金额：人民币</w:t>
            </w:r>
            <w:r>
              <w:rPr>
                <w:rFonts w:hint="eastAsia" w:hAnsi="宋体" w:cs="宋体"/>
                <w:b/>
                <w:color w:val="auto"/>
                <w:sz w:val="24"/>
                <w:szCs w:val="24"/>
              </w:rPr>
              <w:t>6</w:t>
            </w:r>
            <w:r>
              <w:rPr>
                <w:rFonts w:hint="eastAsia" w:hAnsi="宋体" w:cs="宋体"/>
                <w:b/>
                <w:color w:val="auto"/>
                <w:sz w:val="24"/>
                <w:szCs w:val="24"/>
                <w:lang w:val="zh-CN"/>
              </w:rPr>
              <w:t>0万元，超过预算的投标无效。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11</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b/>
                <w:color w:val="auto"/>
                <w:sz w:val="24"/>
                <w:szCs w:val="24"/>
              </w:rPr>
            </w:pPr>
            <w:r>
              <w:rPr>
                <w:rFonts w:hint="eastAsia" w:hAnsi="宋体" w:cs="宋体"/>
                <w:b/>
                <w:color w:val="auto"/>
                <w:kern w:val="10"/>
                <w:sz w:val="24"/>
                <w:szCs w:val="24"/>
              </w:rPr>
              <w:t>质疑：</w:t>
            </w:r>
            <w:r>
              <w:rPr>
                <w:rFonts w:hint="eastAsia" w:hAnsi="宋体" w:cs="宋体"/>
                <w:color w:val="auto"/>
                <w:kern w:val="0"/>
                <w:sz w:val="24"/>
                <w:szCs w:val="24"/>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12</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b/>
                <w:color w:val="auto"/>
                <w:sz w:val="24"/>
                <w:szCs w:val="24"/>
              </w:rPr>
            </w:pPr>
            <w:r>
              <w:rPr>
                <w:rFonts w:hint="eastAsia" w:hAnsi="宋体" w:cs="宋体"/>
                <w:b/>
                <w:color w:val="auto"/>
                <w:sz w:val="24"/>
                <w:szCs w:val="24"/>
              </w:rPr>
              <w:t>投诉：</w:t>
            </w:r>
            <w:r>
              <w:rPr>
                <w:rFonts w:hint="eastAsia" w:hAnsi="宋体" w:cs="宋体"/>
                <w:color w:val="auto"/>
                <w:kern w:val="0"/>
                <w:sz w:val="24"/>
                <w:szCs w:val="24"/>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tabs>
                <w:tab w:val="left" w:pos="3780"/>
              </w:tabs>
              <w:adjustRightInd w:val="0"/>
              <w:snapToGrid w:val="0"/>
              <w:spacing w:line="360" w:lineRule="auto"/>
              <w:jc w:val="center"/>
              <w:rPr>
                <w:rFonts w:ascii="宋体" w:hAnsi="宋体" w:cs="宋体"/>
                <w:sz w:val="24"/>
              </w:rPr>
            </w:pPr>
            <w:r>
              <w:rPr>
                <w:rFonts w:hint="eastAsia" w:ascii="宋体" w:hAnsi="宋体" w:cs="宋体"/>
                <w:sz w:val="24"/>
              </w:rPr>
              <w:t>13</w:t>
            </w:r>
          </w:p>
        </w:tc>
        <w:tc>
          <w:tcPr>
            <w:tcW w:w="8190" w:type="dxa"/>
            <w:gridSpan w:val="2"/>
            <w:tcBorders>
              <w:top w:val="single" w:color="000000" w:sz="4" w:space="0"/>
              <w:left w:val="single" w:color="000000" w:sz="4" w:space="0"/>
              <w:bottom w:val="single" w:color="000000" w:sz="4" w:space="0"/>
            </w:tcBorders>
            <w:vAlign w:val="center"/>
          </w:tcPr>
          <w:p>
            <w:pPr>
              <w:pStyle w:val="13"/>
              <w:spacing w:line="360" w:lineRule="auto"/>
              <w:ind w:firstLine="0"/>
              <w:rPr>
                <w:rFonts w:hAnsi="宋体" w:cs="宋体"/>
                <w:b/>
                <w:color w:val="auto"/>
                <w:sz w:val="24"/>
                <w:szCs w:val="24"/>
              </w:rPr>
            </w:pPr>
            <w:r>
              <w:rPr>
                <w:rFonts w:hint="eastAsia" w:hAnsi="宋体" w:cs="宋体"/>
                <w:b/>
                <w:color w:val="auto"/>
                <w:sz w:val="24"/>
                <w:szCs w:val="24"/>
              </w:rPr>
              <w:t>特别说明：</w:t>
            </w:r>
          </w:p>
          <w:p>
            <w:pPr>
              <w:pStyle w:val="13"/>
              <w:spacing w:line="360" w:lineRule="auto"/>
              <w:ind w:firstLine="0"/>
              <w:rPr>
                <w:rFonts w:hAnsi="宋体" w:cs="宋体"/>
                <w:color w:val="auto"/>
                <w:sz w:val="24"/>
                <w:szCs w:val="24"/>
              </w:rPr>
            </w:pPr>
            <w:r>
              <w:rPr>
                <w:rFonts w:hint="eastAsia" w:hAnsi="宋体" w:cs="宋体"/>
                <w:color w:val="auto"/>
                <w:sz w:val="24"/>
                <w:szCs w:val="24"/>
              </w:rPr>
              <w:t>（1）投标人应无条件的、认真仔细的、不厌其烦的阅读本招标文件及其澄清答疑、修改答复的补充文件，严格按照招标文件及补充文件的规定和要求编制投标文件。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采购人还保留以下权利：①要求中标人按投标文件提供货物的权利；②终止合同的权利；③追究中标人该行为导致交货期延误的直接或间接损失的权利；④向招标监管机构报告不诚信投标的权利；⑤前述①+④同时并行的权利。</w:t>
            </w:r>
          </w:p>
          <w:p>
            <w:pPr>
              <w:pStyle w:val="13"/>
              <w:spacing w:line="360" w:lineRule="auto"/>
              <w:ind w:firstLine="0"/>
              <w:rPr>
                <w:rFonts w:hAnsi="宋体" w:cs="宋体"/>
                <w:color w:val="auto"/>
                <w:sz w:val="24"/>
                <w:szCs w:val="24"/>
              </w:rPr>
            </w:pPr>
            <w:r>
              <w:rPr>
                <w:rFonts w:hint="eastAsia" w:hAnsi="宋体" w:cs="宋体"/>
                <w:color w:val="auto"/>
                <w:sz w:val="24"/>
                <w:szCs w:val="24"/>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pPr>
              <w:pStyle w:val="13"/>
              <w:spacing w:line="360" w:lineRule="auto"/>
              <w:ind w:firstLine="0"/>
              <w:rPr>
                <w:rFonts w:hAnsi="宋体" w:cs="宋体"/>
                <w:color w:val="auto"/>
                <w:sz w:val="24"/>
                <w:szCs w:val="24"/>
              </w:rPr>
            </w:pPr>
            <w:r>
              <w:rPr>
                <w:rFonts w:hint="eastAsia" w:hAnsi="宋体" w:cs="宋体"/>
                <w:color w:val="auto"/>
                <w:sz w:val="24"/>
                <w:szCs w:val="24"/>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3"/>
              <w:spacing w:line="360" w:lineRule="auto"/>
              <w:ind w:firstLine="0"/>
              <w:rPr>
                <w:rFonts w:hAnsi="宋体" w:cs="宋体"/>
                <w:b/>
                <w:color w:val="auto"/>
                <w:sz w:val="24"/>
                <w:szCs w:val="24"/>
              </w:rPr>
            </w:pPr>
            <w:r>
              <w:rPr>
                <w:rFonts w:hint="eastAsia" w:hAnsi="宋体" w:cs="宋体"/>
                <w:color w:val="auto"/>
                <w:sz w:val="24"/>
                <w:szCs w:val="24"/>
              </w:rPr>
              <w:t>（4）质疑、投诉人未按前列序号第11、12条规定进行质疑、投诉（申诉）、举报等，均属于扰乱政府采购市场不良行为，直至公示。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14</w:t>
            </w:r>
          </w:p>
        </w:tc>
        <w:tc>
          <w:tcPr>
            <w:tcW w:w="8190" w:type="dxa"/>
            <w:gridSpan w:val="2"/>
            <w:tcBorders>
              <w:top w:val="single" w:color="000000" w:sz="4" w:space="0"/>
              <w:left w:val="single" w:color="000000" w:sz="4" w:space="0"/>
              <w:bottom w:val="single" w:color="000000" w:sz="4" w:space="0"/>
            </w:tcBorders>
            <w:vAlign w:val="center"/>
          </w:tcPr>
          <w:p>
            <w:pPr>
              <w:snapToGrid w:val="0"/>
              <w:spacing w:line="360" w:lineRule="auto"/>
              <w:rPr>
                <w:rFonts w:ascii="宋体" w:hAnsi="宋体" w:cs="宋体"/>
                <w:sz w:val="24"/>
              </w:rPr>
            </w:pPr>
            <w:r>
              <w:rPr>
                <w:rFonts w:hint="eastAsia" w:ascii="宋体" w:hAnsi="宋体" w:cs="宋体"/>
                <w:b/>
                <w:sz w:val="24"/>
              </w:rPr>
              <w:t>企业信用融资：</w:t>
            </w:r>
            <w:r>
              <w:rPr>
                <w:rFonts w:hint="eastAsia" w:ascii="宋体" w:hAnsi="宋体" w:cs="宋体"/>
                <w:sz w:val="24"/>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3" w:type="dxa"/>
            <w:tcBorders>
              <w:top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15</w:t>
            </w:r>
          </w:p>
        </w:tc>
        <w:tc>
          <w:tcPr>
            <w:tcW w:w="8190" w:type="dxa"/>
            <w:gridSpan w:val="2"/>
            <w:tcBorders>
              <w:top w:val="single" w:color="000000" w:sz="4" w:space="0"/>
              <w:left w:val="single" w:color="000000" w:sz="4" w:space="0"/>
              <w:bottom w:val="single" w:color="000000" w:sz="4" w:space="0"/>
            </w:tcBorders>
            <w:vAlign w:val="center"/>
          </w:tcPr>
          <w:p>
            <w:pPr>
              <w:snapToGrid w:val="0"/>
              <w:spacing w:line="360" w:lineRule="auto"/>
              <w:rPr>
                <w:rFonts w:ascii="宋体" w:hAnsi="宋体" w:cs="宋体"/>
                <w:b/>
                <w:sz w:val="24"/>
              </w:rPr>
            </w:pPr>
            <w:r>
              <w:rPr>
                <w:rFonts w:hint="eastAsia" w:ascii="宋体" w:hAnsi="宋体" w:cs="宋体"/>
                <w:b/>
                <w:sz w:val="24"/>
              </w:rPr>
              <w:t>企业信用查询：</w:t>
            </w:r>
            <w:r>
              <w:rPr>
                <w:rFonts w:hint="eastAsia" w:ascii="宋体" w:hAnsi="宋体" w:cs="宋体"/>
                <w:sz w:val="24"/>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pPr>
        <w:adjustRightInd w:val="0"/>
        <w:snapToGrid w:val="0"/>
        <w:spacing w:line="360" w:lineRule="auto"/>
        <w:jc w:val="center"/>
        <w:outlineLvl w:val="0"/>
        <w:rPr>
          <w:rFonts w:ascii="宋体" w:hAnsi="宋体" w:cs="宋体"/>
          <w:b/>
          <w:sz w:val="24"/>
        </w:rPr>
      </w:pPr>
      <w:r>
        <w:rPr>
          <w:rFonts w:hint="eastAsia" w:ascii="宋体" w:hAnsi="宋体" w:cs="宋体"/>
          <w:b/>
          <w:sz w:val="24"/>
        </w:rPr>
        <w:br w:type="column"/>
      </w:r>
      <w:r>
        <w:rPr>
          <w:rFonts w:hint="eastAsia" w:ascii="宋体" w:hAnsi="宋体" w:cs="宋体"/>
          <w:b/>
          <w:sz w:val="24"/>
        </w:rPr>
        <w:t>一、总  则</w:t>
      </w:r>
      <w:bookmarkEnd w:id="22"/>
    </w:p>
    <w:p>
      <w:pPr>
        <w:autoSpaceDE w:val="0"/>
        <w:autoSpaceDN w:val="0"/>
        <w:adjustRightInd w:val="0"/>
        <w:snapToGrid w:val="0"/>
        <w:spacing w:line="360" w:lineRule="auto"/>
        <w:ind w:firstLine="604"/>
        <w:rPr>
          <w:rFonts w:ascii="宋体" w:hAnsi="宋体" w:cs="宋体"/>
          <w:sz w:val="24"/>
          <w:lang w:val="zh-CN"/>
        </w:rPr>
      </w:pPr>
      <w:bookmarkStart w:id="23" w:name="_Hlt74730295"/>
      <w:bookmarkEnd w:id="23"/>
      <w:bookmarkStart w:id="24" w:name="_Hlt74714665"/>
      <w:bookmarkEnd w:id="24"/>
      <w:bookmarkStart w:id="25" w:name="_Toc91899879"/>
      <w:r>
        <w:rPr>
          <w:rFonts w:hint="eastAsia" w:ascii="宋体" w:hAnsi="宋体" w:cs="宋体"/>
          <w:sz w:val="24"/>
          <w:lang w:val="zh-CN"/>
        </w:rPr>
        <w:t>1.1项目说明见投标须知前附表（以下称“前附表”）第1项所述。</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rPr>
        <w:t>1.2</w:t>
      </w:r>
      <w:r>
        <w:rPr>
          <w:rFonts w:hint="eastAsia" w:ascii="宋体" w:hAnsi="宋体" w:cs="宋体"/>
          <w:sz w:val="24"/>
          <w:lang w:val="zh-CN"/>
        </w:rPr>
        <w:t>采购单位杭州技师学院为本项目的采购人（合同中的甲方），浙江中诺招标代理有限公司为采购代理机构（合同中的鉴证方），</w:t>
      </w:r>
      <w:r>
        <w:rPr>
          <w:rFonts w:hint="eastAsia" w:ascii="宋体" w:hAnsi="宋体" w:cs="宋体"/>
          <w:sz w:val="24"/>
        </w:rPr>
        <w:t>杭州市财政局为政府采购监督管理部门，</w:t>
      </w:r>
      <w:r>
        <w:rPr>
          <w:rFonts w:hint="eastAsia" w:ascii="宋体" w:hAnsi="宋体" w:cs="宋体"/>
          <w:sz w:val="24"/>
          <w:lang w:val="zh-CN"/>
        </w:rPr>
        <w:t>自愿参加本次项目投标的公司为投标人，经评审产生并经批准的投标人为中标人，签订合同后的中标人为供应商（合同中的乙方）。</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1.3</w:t>
      </w:r>
      <w:r>
        <w:rPr>
          <w:rFonts w:hint="eastAsia" w:ascii="宋体" w:hAnsi="宋体" w:cs="宋体"/>
          <w:sz w:val="24"/>
          <w:lang w:val="zh-CN"/>
        </w:rPr>
        <w:t>潜在投标人领取招标文件后，必须按照国家《保密法》以及保密工作的相关规定，对招标文件内容应承担保密义务，维护采购人的权益，发生窃、泄密事件潜在投标人应承担相应的法律责任。</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1.4</w:t>
      </w:r>
      <w:r>
        <w:rPr>
          <w:rFonts w:hint="eastAsia" w:ascii="宋体" w:hAnsi="宋体" w:cs="宋体"/>
          <w:sz w:val="24"/>
          <w:lang w:val="zh-CN"/>
        </w:rPr>
        <w:t>投标人一旦参与本次采购活动，即被视为接受了本招标文件的所有内容，如有任何异议，均应在答疑截止时间前提出。</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1.5</w:t>
      </w:r>
      <w:r>
        <w:rPr>
          <w:rFonts w:hint="eastAsia" w:ascii="宋体" w:hAnsi="宋体" w:cs="宋体"/>
          <w:sz w:val="24"/>
          <w:lang w:val="zh-CN"/>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utoSpaceDE w:val="0"/>
        <w:autoSpaceDN w:val="0"/>
        <w:adjustRightInd w:val="0"/>
        <w:snapToGrid w:val="0"/>
        <w:spacing w:line="360" w:lineRule="auto"/>
        <w:rPr>
          <w:rFonts w:ascii="宋体" w:hAnsi="宋体" w:cs="宋体"/>
          <w:b/>
          <w:bCs/>
          <w:sz w:val="24"/>
        </w:rPr>
      </w:pPr>
      <w:r>
        <w:rPr>
          <w:rFonts w:hint="eastAsia" w:ascii="宋体" w:hAnsi="宋体" w:cs="宋体"/>
          <w:b/>
          <w:bCs/>
          <w:sz w:val="24"/>
        </w:rPr>
        <w:t xml:space="preserve">2. </w:t>
      </w:r>
      <w:r>
        <w:rPr>
          <w:rFonts w:hint="eastAsia" w:ascii="宋体" w:hAnsi="宋体" w:cs="宋体"/>
          <w:b/>
          <w:bCs/>
          <w:sz w:val="24"/>
          <w:lang w:val="zh-CN"/>
        </w:rPr>
        <w:t>采购方式</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公开招标。</w:t>
      </w:r>
    </w:p>
    <w:p>
      <w:pPr>
        <w:autoSpaceDE w:val="0"/>
        <w:autoSpaceDN w:val="0"/>
        <w:adjustRightInd w:val="0"/>
        <w:snapToGrid w:val="0"/>
        <w:spacing w:line="360" w:lineRule="auto"/>
        <w:rPr>
          <w:rFonts w:ascii="宋体" w:hAnsi="宋体" w:cs="宋体"/>
          <w:b/>
          <w:bCs/>
          <w:sz w:val="24"/>
        </w:rPr>
      </w:pPr>
      <w:r>
        <w:rPr>
          <w:rFonts w:hint="eastAsia" w:ascii="宋体" w:hAnsi="宋体" w:cs="宋体"/>
          <w:b/>
          <w:bCs/>
          <w:sz w:val="24"/>
        </w:rPr>
        <w:t xml:space="preserve">3. </w:t>
      </w:r>
      <w:r>
        <w:rPr>
          <w:rFonts w:hint="eastAsia" w:ascii="宋体" w:hAnsi="宋体" w:cs="宋体"/>
          <w:b/>
          <w:bCs/>
          <w:sz w:val="24"/>
          <w:lang w:val="zh-CN"/>
        </w:rPr>
        <w:t>定义</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3.1  </w:t>
      </w:r>
      <w:r>
        <w:rPr>
          <w:rFonts w:hint="eastAsia" w:ascii="宋体" w:hAnsi="宋体" w:cs="宋体"/>
          <w:sz w:val="24"/>
          <w:lang w:val="zh-CN"/>
        </w:rPr>
        <w:t>合格的投标人应具备的资格要求，见招标文件第一部分“招标公告”第</w:t>
      </w:r>
      <w:r>
        <w:rPr>
          <w:rFonts w:hint="eastAsia" w:ascii="宋体" w:hAnsi="宋体" w:cs="宋体"/>
          <w:sz w:val="24"/>
        </w:rPr>
        <w:t>3</w:t>
      </w:r>
      <w:r>
        <w:rPr>
          <w:rFonts w:hint="eastAsia" w:ascii="宋体" w:hAnsi="宋体" w:cs="宋体"/>
          <w:sz w:val="24"/>
          <w:lang w:val="zh-CN"/>
        </w:rPr>
        <w:t>条。</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3.2  </w:t>
      </w:r>
      <w:r>
        <w:rPr>
          <w:rFonts w:hint="eastAsia" w:ascii="宋体" w:hAnsi="宋体" w:cs="宋体"/>
          <w:sz w:val="24"/>
          <w:lang w:val="zh-CN"/>
        </w:rPr>
        <w:t>耗材</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系指中标人按合同要求，向采购人提供的耗材、配件、备品、手册、安装光盘及其它技术资料和材料。</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3.3  </w:t>
      </w:r>
      <w:r>
        <w:rPr>
          <w:rFonts w:hint="eastAsia" w:ascii="宋体" w:hAnsi="宋体" w:cs="宋体"/>
          <w:sz w:val="24"/>
          <w:lang w:val="zh-CN"/>
        </w:rPr>
        <w:t>培训</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系指中标人按合同要求，向采购人提供操作使用培训、系统管理培训和其他相关培训等。</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3.4 </w:t>
      </w:r>
      <w:r>
        <w:rPr>
          <w:rFonts w:hint="eastAsia" w:ascii="宋体" w:hAnsi="宋体" w:cs="宋体"/>
          <w:sz w:val="24"/>
          <w:lang w:val="zh-CN"/>
        </w:rPr>
        <w:t>服务</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系指合同规定中标人须承担的运输、装卸、仓储、安装、调试、验收、技术支持和交付使用后质保期内应履行的售后服务等义务。</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4</w:t>
      </w:r>
      <w:r>
        <w:rPr>
          <w:rFonts w:hint="eastAsia" w:ascii="宋体" w:hAnsi="宋体" w:cs="宋体"/>
          <w:sz w:val="24"/>
          <w:lang w:val="zh-CN"/>
        </w:rPr>
        <w:t>．代理费用</w:t>
      </w:r>
    </w:p>
    <w:p>
      <w:pPr>
        <w:snapToGrid w:val="0"/>
        <w:spacing w:line="360" w:lineRule="auto"/>
        <w:ind w:firstLine="513" w:firstLineChars="196"/>
        <w:rPr>
          <w:rFonts w:ascii="宋体" w:hAnsi="宋体" w:cs="宋体"/>
          <w:sz w:val="24"/>
        </w:rPr>
      </w:pPr>
      <w:r>
        <w:rPr>
          <w:rFonts w:hint="eastAsia" w:ascii="宋体" w:hAnsi="宋体" w:cs="宋体"/>
          <w:sz w:val="24"/>
        </w:rPr>
        <w:t>中标单位需向浙江中诺招标代理有限公司支付中标额1.1%的招标服务费，中标额超出100万以上按0.9%差额定率累进法计算。结算时间为合同签订后5个工作日之内。无论投标结果如何，投标人自行承担涉及本次投标的一切费用。</w:t>
      </w:r>
    </w:p>
    <w:p>
      <w:pPr>
        <w:adjustRightInd w:val="0"/>
        <w:snapToGrid w:val="0"/>
        <w:spacing w:line="360" w:lineRule="auto"/>
        <w:ind w:firstLine="200"/>
        <w:jc w:val="center"/>
        <w:outlineLvl w:val="0"/>
        <w:rPr>
          <w:rFonts w:ascii="宋体" w:hAnsi="宋体" w:cs="宋体"/>
          <w:b/>
          <w:sz w:val="32"/>
          <w:szCs w:val="32"/>
        </w:rPr>
      </w:pPr>
    </w:p>
    <w:p>
      <w:pPr>
        <w:adjustRightInd w:val="0"/>
        <w:snapToGrid w:val="0"/>
        <w:spacing w:line="360" w:lineRule="auto"/>
        <w:jc w:val="center"/>
        <w:outlineLvl w:val="0"/>
        <w:rPr>
          <w:rFonts w:ascii="宋体" w:hAnsi="宋体" w:cs="宋体"/>
          <w:b/>
          <w:sz w:val="24"/>
        </w:rPr>
      </w:pPr>
      <w:r>
        <w:rPr>
          <w:rFonts w:hint="eastAsia" w:ascii="宋体" w:hAnsi="宋体" w:cs="宋体"/>
          <w:b/>
          <w:sz w:val="24"/>
        </w:rPr>
        <w:t>二、招标文件</w:t>
      </w:r>
      <w:bookmarkEnd w:id="25"/>
    </w:p>
    <w:p>
      <w:pPr>
        <w:pStyle w:val="24"/>
        <w:adjustRightInd w:val="0"/>
        <w:snapToGrid w:val="0"/>
        <w:spacing w:line="360" w:lineRule="auto"/>
        <w:rPr>
          <w:rFonts w:hAnsi="宋体" w:cs="宋体"/>
          <w:b/>
          <w:sz w:val="24"/>
          <w:szCs w:val="24"/>
        </w:rPr>
      </w:pPr>
      <w:bookmarkStart w:id="26" w:name="_Toc91899880"/>
      <w:bookmarkStart w:id="27" w:name="_Hlt74730307"/>
      <w:r>
        <w:rPr>
          <w:rFonts w:hint="eastAsia" w:hAnsi="宋体" w:cs="宋体"/>
          <w:b/>
          <w:sz w:val="24"/>
          <w:szCs w:val="24"/>
        </w:rPr>
        <w:t>5．招标文件的构成</w:t>
      </w:r>
      <w:bookmarkEnd w:id="26"/>
    </w:p>
    <w:bookmarkEnd w:id="27"/>
    <w:p>
      <w:pPr>
        <w:pStyle w:val="24"/>
        <w:adjustRightInd w:val="0"/>
        <w:snapToGrid w:val="0"/>
        <w:spacing w:line="360" w:lineRule="auto"/>
        <w:ind w:firstLine="524" w:firstLineChars="200"/>
        <w:rPr>
          <w:rFonts w:hAnsi="宋体" w:cs="宋体"/>
          <w:sz w:val="24"/>
          <w:szCs w:val="24"/>
        </w:rPr>
      </w:pPr>
      <w:r>
        <w:rPr>
          <w:rFonts w:hint="eastAsia" w:hAnsi="宋体" w:cs="宋体"/>
          <w:sz w:val="24"/>
          <w:szCs w:val="24"/>
        </w:rPr>
        <w:t>5.1 招标文件包括下列文件及附件</w:t>
      </w:r>
    </w:p>
    <w:p>
      <w:pPr>
        <w:pStyle w:val="24"/>
        <w:numPr>
          <w:ilvl w:val="0"/>
          <w:numId w:val="2"/>
        </w:numPr>
        <w:adjustRightInd w:val="0"/>
        <w:snapToGrid w:val="0"/>
        <w:spacing w:line="360" w:lineRule="auto"/>
        <w:ind w:left="839" w:firstLine="524" w:firstLineChars="200"/>
        <w:rPr>
          <w:rFonts w:hAnsi="宋体" w:cs="宋体"/>
          <w:sz w:val="24"/>
          <w:szCs w:val="24"/>
        </w:rPr>
      </w:pPr>
      <w:r>
        <w:rPr>
          <w:rFonts w:hint="eastAsia" w:hAnsi="宋体" w:cs="宋体"/>
          <w:sz w:val="24"/>
          <w:szCs w:val="24"/>
        </w:rPr>
        <w:t>第一部分 招标公告</w:t>
      </w:r>
    </w:p>
    <w:p>
      <w:pPr>
        <w:pStyle w:val="24"/>
        <w:numPr>
          <w:ilvl w:val="0"/>
          <w:numId w:val="2"/>
        </w:numPr>
        <w:adjustRightInd w:val="0"/>
        <w:snapToGrid w:val="0"/>
        <w:spacing w:line="360" w:lineRule="auto"/>
        <w:ind w:left="839" w:firstLine="524" w:firstLineChars="200"/>
        <w:rPr>
          <w:rFonts w:hAnsi="宋体" w:cs="宋体"/>
          <w:sz w:val="24"/>
          <w:szCs w:val="24"/>
        </w:rPr>
      </w:pPr>
      <w:r>
        <w:rPr>
          <w:rFonts w:hint="eastAsia" w:hAnsi="宋体" w:cs="宋体"/>
          <w:sz w:val="24"/>
          <w:szCs w:val="24"/>
        </w:rPr>
        <w:t>第二部分 编制和提交采购响应文件须知</w:t>
      </w:r>
    </w:p>
    <w:p>
      <w:pPr>
        <w:pStyle w:val="24"/>
        <w:numPr>
          <w:ilvl w:val="0"/>
          <w:numId w:val="2"/>
        </w:numPr>
        <w:adjustRightInd w:val="0"/>
        <w:snapToGrid w:val="0"/>
        <w:spacing w:line="360" w:lineRule="auto"/>
        <w:ind w:left="839" w:firstLine="524" w:firstLineChars="200"/>
        <w:rPr>
          <w:rFonts w:hAnsi="宋体" w:cs="宋体"/>
          <w:sz w:val="24"/>
          <w:szCs w:val="24"/>
        </w:rPr>
      </w:pPr>
      <w:r>
        <w:rPr>
          <w:rFonts w:hint="eastAsia" w:hAnsi="宋体" w:cs="宋体"/>
          <w:sz w:val="24"/>
          <w:szCs w:val="24"/>
        </w:rPr>
        <w:t>第三部分 项目技术规范和服务要求</w:t>
      </w:r>
    </w:p>
    <w:p>
      <w:pPr>
        <w:pStyle w:val="24"/>
        <w:numPr>
          <w:ilvl w:val="0"/>
          <w:numId w:val="2"/>
        </w:numPr>
        <w:adjustRightInd w:val="0"/>
        <w:snapToGrid w:val="0"/>
        <w:spacing w:line="360" w:lineRule="auto"/>
        <w:ind w:left="839" w:firstLine="524" w:firstLineChars="200"/>
        <w:rPr>
          <w:rFonts w:hAnsi="宋体" w:cs="宋体"/>
          <w:sz w:val="24"/>
          <w:szCs w:val="24"/>
        </w:rPr>
      </w:pPr>
      <w:r>
        <w:rPr>
          <w:rFonts w:hint="eastAsia" w:hAnsi="宋体" w:cs="宋体"/>
          <w:sz w:val="24"/>
          <w:szCs w:val="24"/>
        </w:rPr>
        <w:t>第四部分 采购合同参照样本</w:t>
      </w:r>
    </w:p>
    <w:p>
      <w:pPr>
        <w:pStyle w:val="24"/>
        <w:numPr>
          <w:ilvl w:val="0"/>
          <w:numId w:val="2"/>
        </w:numPr>
        <w:adjustRightInd w:val="0"/>
        <w:snapToGrid w:val="0"/>
        <w:spacing w:line="360" w:lineRule="auto"/>
        <w:ind w:left="839" w:firstLine="524" w:firstLineChars="200"/>
        <w:rPr>
          <w:rFonts w:hAnsi="宋体" w:cs="宋体"/>
          <w:sz w:val="24"/>
          <w:szCs w:val="24"/>
        </w:rPr>
      </w:pPr>
      <w:r>
        <w:rPr>
          <w:rFonts w:hint="eastAsia" w:hAnsi="宋体" w:cs="宋体"/>
          <w:sz w:val="24"/>
          <w:szCs w:val="24"/>
        </w:rPr>
        <w:t>第五部分 应提交的有关格式范例</w:t>
      </w:r>
    </w:p>
    <w:p>
      <w:pPr>
        <w:pStyle w:val="24"/>
        <w:adjustRightInd w:val="0"/>
        <w:snapToGrid w:val="0"/>
        <w:spacing w:line="360" w:lineRule="auto"/>
        <w:ind w:firstLine="524" w:firstLineChars="200"/>
        <w:rPr>
          <w:rFonts w:hAnsi="宋体" w:cs="宋体"/>
          <w:sz w:val="24"/>
          <w:szCs w:val="24"/>
        </w:rPr>
      </w:pPr>
      <w:r>
        <w:rPr>
          <w:rFonts w:hint="eastAsia" w:hAnsi="宋体" w:cs="宋体"/>
          <w:sz w:val="24"/>
          <w:szCs w:val="24"/>
        </w:rPr>
        <w:t>5.2  投标人应认真审阅招标文件中所有的内容，包括编制和提交采购响应文件须知、项目技术规范和服务要求、采购合同参照样本、应提交的有关格式范例等。如果投标人编制的投标文件没有从实质上响应招标文件的要求，其投标文件将被招标代理机构拒绝。</w:t>
      </w:r>
    </w:p>
    <w:p>
      <w:pPr>
        <w:pStyle w:val="24"/>
        <w:adjustRightInd w:val="0"/>
        <w:snapToGrid w:val="0"/>
        <w:spacing w:line="360" w:lineRule="auto"/>
        <w:rPr>
          <w:rFonts w:hAnsi="宋体" w:cs="宋体"/>
          <w:b/>
          <w:sz w:val="24"/>
          <w:szCs w:val="24"/>
        </w:rPr>
      </w:pPr>
      <w:r>
        <w:rPr>
          <w:rFonts w:hint="eastAsia" w:hAnsi="宋体" w:cs="宋体"/>
          <w:b/>
          <w:sz w:val="24"/>
          <w:szCs w:val="24"/>
        </w:rPr>
        <w:t>6. 招标文件的解释</w:t>
      </w:r>
    </w:p>
    <w:p>
      <w:pPr>
        <w:pStyle w:val="110"/>
        <w:adjustRightInd w:val="0"/>
        <w:snapToGrid w:val="0"/>
        <w:spacing w:before="0"/>
        <w:ind w:firstLine="525"/>
        <w:rPr>
          <w:rFonts w:ascii="宋体" w:hAnsi="宋体" w:cs="宋体"/>
          <w:szCs w:val="24"/>
        </w:rPr>
      </w:pPr>
      <w:r>
        <w:rPr>
          <w:rFonts w:hint="eastAsia" w:ascii="宋体" w:hAnsi="宋体" w:cs="宋体"/>
          <w:szCs w:val="24"/>
        </w:rPr>
        <w:t>6.1已获取招标文件的潜在应标人，如认为招标文件表述不清晰、存在歧视性或者倾向性或者其他违法内容的应于2019年</w:t>
      </w:r>
      <w:r>
        <w:rPr>
          <w:rFonts w:hint="eastAsia" w:ascii="宋体" w:hAnsi="宋体" w:cs="宋体"/>
          <w:szCs w:val="24"/>
          <w:lang w:val="en-US" w:eastAsia="zh-CN"/>
        </w:rPr>
        <w:t>5</w:t>
      </w:r>
      <w:r>
        <w:rPr>
          <w:rFonts w:hint="eastAsia" w:ascii="宋体" w:hAnsi="宋体" w:cs="宋体"/>
          <w:szCs w:val="24"/>
        </w:rPr>
        <w:t>月</w:t>
      </w:r>
      <w:r>
        <w:rPr>
          <w:rFonts w:hint="eastAsia" w:ascii="宋体" w:hAnsi="宋体" w:cs="宋体"/>
          <w:szCs w:val="24"/>
          <w:lang w:val="en-US" w:eastAsia="zh-CN"/>
        </w:rPr>
        <w:t>9</w:t>
      </w:r>
      <w:r>
        <w:rPr>
          <w:rFonts w:hint="eastAsia" w:ascii="宋体" w:hAnsi="宋体" w:cs="宋体"/>
          <w:szCs w:val="24"/>
        </w:rPr>
        <w:t>日下午17时前以书面形式送达招标代理单位（浙江中诺招标代理有限公司），</w:t>
      </w:r>
      <w:r>
        <w:rPr>
          <w:rFonts w:hint="eastAsia" w:ascii="宋体" w:hAnsi="宋体" w:cs="宋体"/>
          <w:szCs w:val="24"/>
          <w:lang w:val="zh-CN"/>
        </w:rPr>
        <w:t>截止期后的疑问将不予受理、答复。</w:t>
      </w:r>
      <w:r>
        <w:rPr>
          <w:rFonts w:hint="eastAsia" w:ascii="宋体" w:hAnsi="宋体" w:cs="宋体"/>
          <w:szCs w:val="24"/>
        </w:rPr>
        <w:t>答疑回复内容是招标文件的组成部份，并将以书面形式通知所有已购买招标文件的投标人。</w:t>
      </w:r>
    </w:p>
    <w:p>
      <w:pPr>
        <w:pStyle w:val="110"/>
        <w:adjustRightInd w:val="0"/>
        <w:snapToGrid w:val="0"/>
        <w:spacing w:before="0"/>
        <w:ind w:firstLine="525"/>
        <w:rPr>
          <w:rFonts w:ascii="宋体" w:hAnsi="宋体" w:cs="宋体"/>
          <w:szCs w:val="24"/>
        </w:rPr>
      </w:pPr>
      <w:r>
        <w:rPr>
          <w:rFonts w:hint="eastAsia" w:ascii="宋体" w:hAnsi="宋体" w:cs="宋体"/>
          <w:szCs w:val="24"/>
        </w:rPr>
        <w:t>6.2</w:t>
      </w:r>
      <w:r>
        <w:rPr>
          <w:rFonts w:hint="eastAsia" w:ascii="宋体" w:hAnsi="宋体" w:cs="宋体"/>
          <w:kern w:val="0"/>
          <w:szCs w:val="24"/>
        </w:rPr>
        <w:t>招标文件</w:t>
      </w:r>
      <w:r>
        <w:rPr>
          <w:rFonts w:hint="eastAsia" w:ascii="宋体" w:hAnsi="宋体" w:cs="宋体"/>
          <w:szCs w:val="24"/>
        </w:rPr>
        <w:t>领取</w:t>
      </w:r>
      <w:r>
        <w:rPr>
          <w:rFonts w:hint="eastAsia" w:ascii="宋体" w:hAnsi="宋体" w:cs="宋体"/>
          <w:kern w:val="0"/>
          <w:szCs w:val="24"/>
        </w:rPr>
        <w:t>截止时间之后获取招标文件的潜在供应商，如对招标文件有异议，</w:t>
      </w:r>
      <w:r>
        <w:rPr>
          <w:rFonts w:hint="eastAsia" w:ascii="宋体" w:hAnsi="宋体" w:cs="宋体"/>
          <w:szCs w:val="24"/>
        </w:rPr>
        <w:t>采购单位和</w:t>
      </w:r>
      <w:r>
        <w:rPr>
          <w:rFonts w:hint="eastAsia" w:ascii="宋体" w:hAnsi="宋体" w:cs="宋体"/>
          <w:kern w:val="0"/>
          <w:szCs w:val="24"/>
        </w:rPr>
        <w:t>招标代理机构将不予受理和答复。</w:t>
      </w:r>
    </w:p>
    <w:p>
      <w:pPr>
        <w:pStyle w:val="110"/>
        <w:adjustRightInd w:val="0"/>
        <w:snapToGrid w:val="0"/>
        <w:spacing w:before="0"/>
        <w:ind w:firstLine="525"/>
        <w:rPr>
          <w:rFonts w:ascii="宋体" w:hAnsi="宋体" w:cs="宋体"/>
          <w:szCs w:val="24"/>
        </w:rPr>
      </w:pPr>
      <w:r>
        <w:rPr>
          <w:rFonts w:hint="eastAsia" w:ascii="宋体" w:hAnsi="宋体" w:cs="宋体"/>
          <w:szCs w:val="24"/>
        </w:rPr>
        <w:t>6.3不论招标代理机构向投标人发送的资料文件，还是投标人提出的问题，均采用书面形式，任何口头提问及答复一律无效。</w:t>
      </w:r>
    </w:p>
    <w:p>
      <w:pPr>
        <w:pStyle w:val="24"/>
        <w:adjustRightInd w:val="0"/>
        <w:snapToGrid w:val="0"/>
        <w:spacing w:line="360" w:lineRule="auto"/>
        <w:rPr>
          <w:rFonts w:hAnsi="宋体" w:cs="宋体"/>
          <w:b/>
          <w:sz w:val="24"/>
          <w:szCs w:val="24"/>
        </w:rPr>
      </w:pPr>
      <w:r>
        <w:rPr>
          <w:rFonts w:hint="eastAsia" w:hAnsi="宋体" w:cs="宋体"/>
          <w:b/>
          <w:sz w:val="24"/>
          <w:szCs w:val="24"/>
        </w:rPr>
        <w:t>7. 招标文件的修改</w:t>
      </w:r>
    </w:p>
    <w:p>
      <w:pPr>
        <w:pStyle w:val="110"/>
        <w:adjustRightInd w:val="0"/>
        <w:snapToGrid w:val="0"/>
        <w:spacing w:before="0"/>
        <w:ind w:firstLine="525"/>
        <w:rPr>
          <w:rFonts w:ascii="宋体" w:hAnsi="宋体" w:cs="宋体"/>
          <w:szCs w:val="24"/>
        </w:rPr>
      </w:pPr>
      <w:r>
        <w:rPr>
          <w:rFonts w:hint="eastAsia" w:ascii="宋体" w:hAnsi="宋体" w:cs="宋体"/>
          <w:szCs w:val="24"/>
        </w:rPr>
        <w:t>7.1 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p>
      <w:pPr>
        <w:pStyle w:val="110"/>
        <w:adjustRightInd w:val="0"/>
        <w:snapToGrid w:val="0"/>
        <w:spacing w:before="0"/>
        <w:ind w:firstLine="525"/>
        <w:rPr>
          <w:rFonts w:ascii="宋体" w:hAnsi="宋体" w:cs="宋体"/>
          <w:szCs w:val="24"/>
        </w:rPr>
      </w:pPr>
      <w:r>
        <w:rPr>
          <w:rFonts w:hint="eastAsia" w:ascii="宋体" w:hAnsi="宋体" w:cs="宋体"/>
          <w:szCs w:val="24"/>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pPr>
        <w:pStyle w:val="110"/>
        <w:adjustRightInd w:val="0"/>
        <w:snapToGrid w:val="0"/>
        <w:spacing w:before="0"/>
        <w:ind w:firstLine="525"/>
        <w:rPr>
          <w:rFonts w:ascii="宋体" w:hAnsi="宋体" w:cs="宋体"/>
          <w:szCs w:val="24"/>
        </w:rPr>
      </w:pPr>
      <w:r>
        <w:rPr>
          <w:rFonts w:hint="eastAsia" w:ascii="宋体" w:hAnsi="宋体" w:cs="宋体"/>
          <w:szCs w:val="24"/>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110"/>
        <w:adjustRightInd w:val="0"/>
        <w:snapToGrid w:val="0"/>
        <w:spacing w:before="0"/>
        <w:ind w:firstLine="525"/>
        <w:rPr>
          <w:rFonts w:ascii="宋体" w:hAnsi="宋体" w:cs="宋体"/>
          <w:szCs w:val="24"/>
        </w:rPr>
      </w:pPr>
      <w:r>
        <w:rPr>
          <w:rFonts w:hint="eastAsia" w:ascii="宋体" w:hAnsi="宋体" w:cs="宋体"/>
          <w:szCs w:val="24"/>
        </w:rPr>
        <w:t>7.4招标文件澄清、答复、修改、补充的内容为招标文件的组成部分。当招标文件与招标文件的答复、澄清、修改、补充通知就同一内容的表述不一致时，以最后发出的书面文件为准。</w:t>
      </w:r>
    </w:p>
    <w:p>
      <w:pPr>
        <w:pStyle w:val="110"/>
        <w:adjustRightInd w:val="0"/>
        <w:snapToGrid w:val="0"/>
        <w:spacing w:before="0"/>
        <w:ind w:firstLine="525"/>
        <w:rPr>
          <w:rFonts w:ascii="宋体" w:hAnsi="宋体" w:cs="宋体"/>
          <w:b/>
          <w:szCs w:val="24"/>
        </w:rPr>
      </w:pPr>
      <w:r>
        <w:rPr>
          <w:rFonts w:hint="eastAsia" w:ascii="宋体" w:hAnsi="宋体" w:cs="宋体"/>
          <w:szCs w:val="24"/>
        </w:rPr>
        <w:t>7.5招标文件的澄清、答复、修改或补充都应该通过本代理机构以法定形式发布，除此以外的发布不属于招标文件的组成部分。</w:t>
      </w:r>
    </w:p>
    <w:p>
      <w:pPr>
        <w:pStyle w:val="24"/>
        <w:adjustRightInd w:val="0"/>
        <w:snapToGrid w:val="0"/>
        <w:spacing w:line="360" w:lineRule="auto"/>
        <w:rPr>
          <w:rFonts w:hAnsi="宋体" w:cs="宋体"/>
          <w:b/>
          <w:sz w:val="24"/>
          <w:szCs w:val="24"/>
        </w:rPr>
      </w:pPr>
      <w:r>
        <w:rPr>
          <w:rFonts w:hint="eastAsia" w:hAnsi="宋体" w:cs="宋体"/>
          <w:b/>
          <w:sz w:val="24"/>
          <w:szCs w:val="24"/>
        </w:rPr>
        <w:t>8. 投标报价</w:t>
      </w:r>
    </w:p>
    <w:p>
      <w:pPr>
        <w:pStyle w:val="110"/>
        <w:adjustRightInd w:val="0"/>
        <w:snapToGrid w:val="0"/>
        <w:spacing w:before="0"/>
        <w:ind w:firstLine="525"/>
        <w:rPr>
          <w:rFonts w:ascii="宋体" w:hAnsi="宋体" w:cs="宋体"/>
          <w:szCs w:val="24"/>
        </w:rPr>
      </w:pPr>
      <w:r>
        <w:rPr>
          <w:rFonts w:hint="eastAsia" w:ascii="宋体" w:hAnsi="宋体" w:cs="宋体"/>
          <w:szCs w:val="24"/>
        </w:rPr>
        <w:t>8.1  标的物</w:t>
      </w:r>
    </w:p>
    <w:p>
      <w:pPr>
        <w:adjustRightInd w:val="0"/>
        <w:snapToGrid w:val="0"/>
        <w:spacing w:line="360" w:lineRule="auto"/>
        <w:ind w:firstLine="524" w:firstLineChars="200"/>
        <w:rPr>
          <w:rFonts w:ascii="宋体" w:hAnsi="宋体" w:cs="宋体"/>
          <w:b/>
          <w:sz w:val="24"/>
        </w:rPr>
      </w:pPr>
      <w:r>
        <w:rPr>
          <w:rFonts w:hint="eastAsia" w:ascii="宋体" w:hAnsi="宋体" w:cs="宋体"/>
          <w:sz w:val="24"/>
        </w:rPr>
        <w:t>杭州技师学院2019年度整涂系教学实训耗材采购项目，具体包括耗材配件的供货、配送、运输费、项目验收以及货物原厂免费售后服务等。</w:t>
      </w:r>
    </w:p>
    <w:p>
      <w:pPr>
        <w:pStyle w:val="110"/>
        <w:adjustRightInd w:val="0"/>
        <w:snapToGrid w:val="0"/>
        <w:spacing w:before="0"/>
        <w:ind w:firstLine="525"/>
        <w:rPr>
          <w:rFonts w:ascii="宋体" w:hAnsi="宋体" w:cs="宋体"/>
          <w:szCs w:val="24"/>
        </w:rPr>
      </w:pPr>
      <w:r>
        <w:rPr>
          <w:rFonts w:hint="eastAsia" w:ascii="宋体" w:hAnsi="宋体" w:cs="宋体"/>
          <w:szCs w:val="24"/>
        </w:rPr>
        <w:t>8.2  报价</w:t>
      </w:r>
    </w:p>
    <w:p>
      <w:pPr>
        <w:snapToGrid w:val="0"/>
        <w:spacing w:line="360" w:lineRule="auto"/>
        <w:ind w:firstLine="524" w:firstLineChars="200"/>
        <w:rPr>
          <w:rFonts w:ascii="宋体" w:hAnsi="宋体" w:cs="宋体"/>
          <w:sz w:val="24"/>
        </w:rPr>
      </w:pPr>
      <w:r>
        <w:rPr>
          <w:rFonts w:hint="eastAsia" w:ascii="宋体" w:hAnsi="宋体" w:cs="宋体"/>
          <w:sz w:val="24"/>
        </w:rPr>
        <w:t>投标人的报价应含拟投标产品的备品、备件和专用工具费用、税金、包装及运输、保险、验收及交付使用后售后服务等工作所发生的费用及投标人认为完成本招标文件规定内容所需发生的其它费用，凡未列入的，将被视为均已包含在投标总报价中。只允许有一个报价，任何有选择的报价将不予接受。</w:t>
      </w:r>
      <w:r>
        <w:rPr>
          <w:rFonts w:hint="eastAsia" w:ascii="宋体" w:hAnsi="宋体" w:cs="宋体"/>
          <w:b/>
          <w:sz w:val="24"/>
          <w:szCs w:val="24"/>
        </w:rPr>
        <w:t>本项目投标总报价仅用于评审，最终根据中标单位实际配送品种及数量以投标单价结算。《投标(开标)一览表》是报价的唯一载体。</w:t>
      </w:r>
    </w:p>
    <w:p>
      <w:pPr>
        <w:pStyle w:val="110"/>
        <w:adjustRightInd w:val="0"/>
        <w:snapToGrid w:val="0"/>
        <w:spacing w:before="0"/>
        <w:ind w:firstLine="525"/>
        <w:rPr>
          <w:rFonts w:ascii="宋体" w:hAnsi="宋体" w:cs="宋体"/>
          <w:szCs w:val="24"/>
        </w:rPr>
      </w:pPr>
      <w:r>
        <w:rPr>
          <w:rFonts w:hint="eastAsia" w:ascii="宋体" w:hAnsi="宋体" w:cs="宋体"/>
          <w:szCs w:val="24"/>
        </w:rPr>
        <w:t>8.3  其它费用处理</w:t>
      </w:r>
    </w:p>
    <w:p>
      <w:pPr>
        <w:pStyle w:val="110"/>
        <w:adjustRightInd w:val="0"/>
        <w:snapToGrid w:val="0"/>
        <w:spacing w:before="0"/>
        <w:ind w:firstLine="525"/>
        <w:rPr>
          <w:rFonts w:ascii="宋体" w:hAnsi="宋体" w:cs="宋体"/>
          <w:szCs w:val="24"/>
        </w:rPr>
      </w:pPr>
      <w:r>
        <w:rPr>
          <w:rFonts w:hint="eastAsia" w:ascii="宋体" w:hAnsi="宋体" w:cs="宋体"/>
          <w:szCs w:val="24"/>
        </w:rPr>
        <w:t>招标文件未列明，而投标人认为必需的费用也需列入报价。</w:t>
      </w:r>
    </w:p>
    <w:p>
      <w:pPr>
        <w:pStyle w:val="110"/>
        <w:adjustRightInd w:val="0"/>
        <w:snapToGrid w:val="0"/>
        <w:spacing w:before="0"/>
        <w:ind w:firstLine="525"/>
        <w:rPr>
          <w:rFonts w:ascii="宋体" w:hAnsi="宋体" w:cs="宋体"/>
          <w:szCs w:val="24"/>
        </w:rPr>
      </w:pPr>
      <w:r>
        <w:rPr>
          <w:rFonts w:hint="eastAsia" w:ascii="宋体" w:hAnsi="宋体" w:cs="宋体"/>
          <w:szCs w:val="24"/>
        </w:rPr>
        <w:t>8.4  投标货币</w:t>
      </w:r>
    </w:p>
    <w:p>
      <w:pPr>
        <w:pStyle w:val="19"/>
        <w:snapToGrid w:val="0"/>
        <w:ind w:firstLine="524" w:firstLineChars="200"/>
        <w:rPr>
          <w:rFonts w:hAnsi="宋体" w:cs="宋体"/>
          <w:szCs w:val="24"/>
        </w:rPr>
      </w:pPr>
      <w:r>
        <w:rPr>
          <w:rFonts w:hint="eastAsia" w:hAnsi="宋体" w:cs="宋体"/>
          <w:szCs w:val="24"/>
        </w:rPr>
        <w:t>应标文件中，设备的价格采用人民币报价，报价应是唯一的, 采购代理机构将不接受有选择的报价。</w:t>
      </w:r>
    </w:p>
    <w:p>
      <w:pPr>
        <w:pStyle w:val="19"/>
        <w:snapToGrid w:val="0"/>
        <w:ind w:firstLine="786" w:firstLineChars="300"/>
        <w:rPr>
          <w:rFonts w:hAnsi="宋体" w:cs="宋体"/>
          <w:szCs w:val="24"/>
          <w:lang w:val="en-US"/>
        </w:rPr>
      </w:pPr>
    </w:p>
    <w:p>
      <w:pPr>
        <w:adjustRightInd w:val="0"/>
        <w:snapToGrid w:val="0"/>
        <w:spacing w:line="360" w:lineRule="auto"/>
        <w:jc w:val="center"/>
        <w:outlineLvl w:val="0"/>
        <w:rPr>
          <w:rFonts w:ascii="宋体" w:hAnsi="宋体" w:cs="宋体"/>
          <w:b/>
          <w:sz w:val="24"/>
        </w:rPr>
      </w:pPr>
      <w:bookmarkStart w:id="28" w:name="_Hlt75236011"/>
      <w:bookmarkEnd w:id="28"/>
      <w:bookmarkStart w:id="29" w:name="_Toc91899884"/>
      <w:r>
        <w:rPr>
          <w:rFonts w:hint="eastAsia" w:ascii="宋体" w:hAnsi="宋体" w:cs="宋体"/>
          <w:b/>
          <w:sz w:val="24"/>
        </w:rPr>
        <w:t>三、投标文件的编制</w:t>
      </w:r>
      <w:bookmarkEnd w:id="29"/>
    </w:p>
    <w:p>
      <w:pPr>
        <w:pStyle w:val="24"/>
        <w:adjustRightInd w:val="0"/>
        <w:snapToGrid w:val="0"/>
        <w:spacing w:line="360" w:lineRule="auto"/>
        <w:rPr>
          <w:rFonts w:hAnsi="宋体" w:cs="宋体"/>
          <w:b/>
          <w:sz w:val="24"/>
          <w:szCs w:val="24"/>
        </w:rPr>
      </w:pPr>
      <w:r>
        <w:rPr>
          <w:rFonts w:hint="eastAsia" w:hAnsi="宋体" w:cs="宋体"/>
          <w:b/>
          <w:sz w:val="24"/>
          <w:szCs w:val="24"/>
        </w:rPr>
        <w:t>9. 投标文件的语言</w:t>
      </w:r>
    </w:p>
    <w:p>
      <w:pPr>
        <w:autoSpaceDE w:val="0"/>
        <w:autoSpaceDN w:val="0"/>
        <w:adjustRightInd w:val="0"/>
        <w:snapToGrid w:val="0"/>
        <w:spacing w:line="360" w:lineRule="auto"/>
        <w:ind w:firstLine="524"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autoSpaceDE w:val="0"/>
        <w:autoSpaceDN w:val="0"/>
        <w:adjustRightInd w:val="0"/>
        <w:snapToGrid w:val="0"/>
        <w:spacing w:line="360" w:lineRule="auto"/>
        <w:rPr>
          <w:rFonts w:ascii="宋体" w:hAnsi="宋体" w:cs="宋体"/>
          <w:b/>
          <w:bCs/>
          <w:sz w:val="24"/>
        </w:rPr>
      </w:pPr>
      <w:r>
        <w:rPr>
          <w:rFonts w:hint="eastAsia" w:ascii="宋体" w:hAnsi="宋体" w:cs="宋体"/>
          <w:b/>
          <w:bCs/>
          <w:sz w:val="24"/>
        </w:rPr>
        <w:t xml:space="preserve">10. </w:t>
      </w:r>
      <w:r>
        <w:rPr>
          <w:rFonts w:hint="eastAsia" w:ascii="宋体" w:hAnsi="宋体" w:cs="宋体"/>
          <w:b/>
          <w:bCs/>
          <w:sz w:val="24"/>
          <w:lang w:val="zh-CN"/>
        </w:rPr>
        <w:t>投标文件的组成</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投标文件应由：</w:t>
      </w:r>
      <w:r>
        <w:rPr>
          <w:rFonts w:hint="eastAsia" w:ascii="宋体" w:hAnsi="宋体" w:cs="宋体"/>
          <w:b/>
          <w:sz w:val="24"/>
          <w:lang w:val="zh-CN"/>
        </w:rPr>
        <w:t>商务报价文件</w:t>
      </w:r>
      <w:r>
        <w:rPr>
          <w:rFonts w:hint="eastAsia" w:ascii="宋体" w:hAnsi="宋体" w:cs="宋体"/>
          <w:sz w:val="24"/>
          <w:lang w:val="zh-CN"/>
        </w:rPr>
        <w:t>、</w:t>
      </w:r>
      <w:r>
        <w:rPr>
          <w:rFonts w:hint="eastAsia" w:ascii="宋体" w:hAnsi="宋体" w:cs="宋体"/>
          <w:b/>
          <w:sz w:val="24"/>
          <w:lang w:val="zh-CN"/>
        </w:rPr>
        <w:t>技术文件</w:t>
      </w:r>
      <w:r>
        <w:rPr>
          <w:rFonts w:hint="eastAsia" w:ascii="宋体" w:hAnsi="宋体" w:cs="宋体"/>
          <w:sz w:val="24"/>
          <w:lang w:val="zh-CN"/>
        </w:rPr>
        <w:t>、</w:t>
      </w:r>
      <w:r>
        <w:rPr>
          <w:rFonts w:hint="eastAsia" w:ascii="宋体" w:hAnsi="宋体" w:cs="宋体"/>
          <w:b/>
          <w:sz w:val="24"/>
          <w:lang w:val="zh-CN"/>
        </w:rPr>
        <w:t>商务文件</w:t>
      </w:r>
      <w:r>
        <w:rPr>
          <w:rFonts w:hint="eastAsia" w:ascii="宋体" w:hAnsi="宋体" w:cs="宋体"/>
          <w:sz w:val="24"/>
          <w:lang w:val="zh-CN"/>
        </w:rPr>
        <w:t>组成。</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10.1 </w:t>
      </w:r>
      <w:r>
        <w:rPr>
          <w:rFonts w:hint="eastAsia" w:ascii="宋体" w:hAnsi="宋体" w:cs="宋体"/>
          <w:sz w:val="24"/>
          <w:lang w:val="zh-CN"/>
        </w:rPr>
        <w:t>投标人的</w:t>
      </w:r>
      <w:r>
        <w:rPr>
          <w:rFonts w:hint="eastAsia" w:ascii="宋体" w:hAnsi="宋体" w:cs="宋体"/>
          <w:b/>
          <w:sz w:val="24"/>
          <w:lang w:val="zh-CN"/>
        </w:rPr>
        <w:t>商务报价文件</w:t>
      </w:r>
      <w:r>
        <w:rPr>
          <w:rFonts w:hint="eastAsia" w:ascii="宋体" w:hAnsi="宋体" w:cs="宋体"/>
          <w:sz w:val="24"/>
          <w:lang w:val="zh-CN"/>
        </w:rPr>
        <w:t>至少应包括以下内容（均需加盖公章）：</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）投标响应函；</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）投标（开标）一览表；</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）投标报价明细清单。</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10.2  </w:t>
      </w:r>
      <w:r>
        <w:rPr>
          <w:rFonts w:hint="eastAsia" w:ascii="宋体" w:hAnsi="宋体" w:cs="宋体"/>
          <w:sz w:val="24"/>
          <w:lang w:val="zh-CN"/>
        </w:rPr>
        <w:t>投标人的</w:t>
      </w:r>
      <w:r>
        <w:rPr>
          <w:rFonts w:hint="eastAsia" w:ascii="宋体" w:hAnsi="宋体" w:cs="宋体"/>
          <w:b/>
          <w:sz w:val="24"/>
          <w:lang w:val="zh-CN"/>
        </w:rPr>
        <w:t>技术文件</w:t>
      </w:r>
      <w:r>
        <w:rPr>
          <w:rFonts w:hint="eastAsia" w:ascii="宋体" w:hAnsi="宋体" w:cs="宋体"/>
          <w:sz w:val="24"/>
          <w:lang w:val="zh-CN"/>
        </w:rPr>
        <w:t>应至少包括：针对本项目的产品技术和服务响应方案，技术偏离说明表，招标文件要求提供的其他资料等（均需加盖公章）。</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）投标人应提供针对项目的完整技术解决方案：</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w:t>
      </w:r>
      <w:r>
        <w:rPr>
          <w:rFonts w:hint="eastAsia" w:ascii="宋体" w:hAnsi="宋体" w:cs="宋体"/>
          <w:sz w:val="24"/>
          <w:lang w:val="zh-CN"/>
        </w:rPr>
        <w:t>）针对项目的完整技术解决方案和实施方案；符合采购项目建设对当前和未来发展的要求；以及对功能设计和实施计划的建议；</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rPr>
        <w:t>2</w:t>
      </w:r>
      <w:r>
        <w:rPr>
          <w:rFonts w:hint="eastAsia" w:ascii="宋体" w:hAnsi="宋体" w:cs="宋体"/>
          <w:sz w:val="24"/>
          <w:lang w:val="zh-CN"/>
        </w:rPr>
        <w:t>）杭州技师学院</w:t>
      </w:r>
      <w:r>
        <w:rPr>
          <w:rFonts w:hint="eastAsia" w:ascii="宋体" w:hAnsi="宋体" w:cs="宋体"/>
          <w:sz w:val="24"/>
        </w:rPr>
        <w:t>2019年度整涂系教学实训耗材采购项目</w:t>
      </w:r>
      <w:r>
        <w:rPr>
          <w:rFonts w:hint="eastAsia" w:ascii="宋体" w:hAnsi="宋体" w:cs="宋体"/>
          <w:sz w:val="24"/>
          <w:lang w:val="zh-CN"/>
        </w:rPr>
        <w:t>详细列明配件的所有技术指标；</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投标人在投标文件中，应对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）针对本项目的详细实施计划，包括设备采购、安装调试、培训等内容。</w:t>
      </w:r>
    </w:p>
    <w:p>
      <w:pPr>
        <w:pStyle w:val="19"/>
        <w:tabs>
          <w:tab w:val="left" w:pos="-258"/>
        </w:tabs>
        <w:snapToGrid w:val="0"/>
        <w:ind w:left="113" w:leftChars="49" w:firstLine="449" w:firstLineChars="172"/>
        <w:rPr>
          <w:rFonts w:hAnsi="宋体" w:cs="宋体"/>
          <w:b/>
          <w:szCs w:val="24"/>
        </w:rPr>
      </w:pPr>
      <w:r>
        <w:rPr>
          <w:rFonts w:hint="eastAsia" w:hAnsi="宋体" w:cs="宋体"/>
          <w:szCs w:val="24"/>
        </w:rPr>
        <w:t>（4）设备验收之前、验收之后的维护方案；针对本项目的设备运行维护方案，包括本地（杭州）售后服务机构及人员情况等。投标人应以书面形式完整准确地表述售后服务承诺（范围、标准及期限等）、投标人可能增加的服务承诺等。并明示服务承诺可能涉及的前提设定和费用，否则将被认为是无条件和免费的。承诺货物升级、故障排除、性能调优、技术咨询等售后技术支持服务情况。质保期内，除人为因素损坏外，全部免费退还。</w:t>
      </w:r>
    </w:p>
    <w:p>
      <w:pPr>
        <w:pStyle w:val="19"/>
        <w:tabs>
          <w:tab w:val="left" w:pos="-258"/>
        </w:tabs>
        <w:snapToGrid w:val="0"/>
        <w:ind w:left="113" w:leftChars="49" w:firstLine="524" w:firstLineChars="200"/>
        <w:rPr>
          <w:rFonts w:hAnsi="宋体" w:cs="宋体"/>
          <w:szCs w:val="24"/>
        </w:rPr>
      </w:pPr>
      <w:r>
        <w:rPr>
          <w:rFonts w:hint="eastAsia" w:hAnsi="宋体" w:cs="宋体"/>
          <w:szCs w:val="24"/>
        </w:rPr>
        <w:t>（5）优惠条件及特殊承诺；</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）验收方案（须提请采购人确认）；</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）技术偏离说明表；</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）关于对招标文件中有关条款的拒绝声明（如果有）；</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）投标人认为需要的其他技术文件或说明。</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 xml:space="preserve">10.3  </w:t>
      </w:r>
      <w:r>
        <w:rPr>
          <w:rFonts w:hint="eastAsia" w:ascii="宋体" w:hAnsi="宋体" w:cs="宋体"/>
          <w:sz w:val="24"/>
          <w:lang w:val="zh-CN"/>
        </w:rPr>
        <w:t>投标人的</w:t>
      </w:r>
      <w:r>
        <w:rPr>
          <w:rFonts w:hint="eastAsia" w:ascii="宋体" w:hAnsi="宋体" w:cs="宋体"/>
          <w:b/>
          <w:sz w:val="24"/>
          <w:lang w:val="zh-CN"/>
        </w:rPr>
        <w:t>商务文件</w:t>
      </w:r>
      <w:r>
        <w:rPr>
          <w:rFonts w:hint="eastAsia" w:ascii="宋体" w:hAnsi="宋体" w:cs="宋体"/>
          <w:sz w:val="24"/>
          <w:lang w:val="zh-CN"/>
        </w:rPr>
        <w:t>应包括：证明其为合格供应商和所提供的为合格产品的有关资格证明文件，商务偏离说明表，招标文件要求提供的其他资料等（均需加盖公章）。</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）法人授权委托书，法定代表人或授权委托人的身份证（复印件）；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）声明书；</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）有效的企业法人营业执照、税务登记证、社保登记证（副本复印件）；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w:t>
      </w:r>
      <w:r>
        <w:rPr>
          <w:rFonts w:hint="eastAsia" w:ascii="宋体" w:hAnsi="宋体" w:cs="宋体"/>
          <w:sz w:val="24"/>
        </w:rPr>
        <w:t>提供上一年度的资产负债表和损益表（复印件）</w:t>
      </w:r>
      <w:r>
        <w:rPr>
          <w:rFonts w:hint="eastAsia" w:ascii="宋体" w:hAnsi="宋体" w:cs="宋体"/>
          <w:sz w:val="24"/>
          <w:lang w:val="zh-CN"/>
        </w:rPr>
        <w:t>；</w:t>
      </w:r>
    </w:p>
    <w:p>
      <w:pPr>
        <w:snapToGrid w:val="0"/>
        <w:spacing w:line="360" w:lineRule="auto"/>
        <w:ind w:firstLine="524" w:firstLineChars="200"/>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w:t>
      </w:r>
      <w:r>
        <w:rPr>
          <w:rFonts w:hint="eastAsia" w:ascii="宋体" w:hAnsi="宋体" w:cs="宋体"/>
          <w:sz w:val="24"/>
        </w:rPr>
        <w:t>相关的资质文件，</w:t>
      </w:r>
      <w:r>
        <w:rPr>
          <w:rFonts w:hint="eastAsia" w:ascii="宋体" w:hAnsi="宋体" w:cs="宋体"/>
          <w:sz w:val="24"/>
          <w:lang w:val="zh-CN"/>
        </w:rPr>
        <w:t>投标人已取得银行资信、政府部门（企业）或第三方权威鉴定机构出具的信用等级证书或证明复印件（如果有）；</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）耗材配件的厂家授权或原厂证明；</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）公司介绍及相关的主要业绩证明。</w:t>
      </w:r>
      <w:r>
        <w:rPr>
          <w:rFonts w:hint="eastAsia" w:ascii="宋体" w:hAnsi="宋体" w:cs="宋体"/>
          <w:sz w:val="24"/>
        </w:rPr>
        <w:t>近三</w:t>
      </w:r>
      <w:r>
        <w:rPr>
          <w:rFonts w:hint="eastAsia" w:ascii="宋体" w:hAnsi="宋体" w:cs="宋体"/>
          <w:sz w:val="24"/>
          <w:lang w:val="zh-CN"/>
        </w:rPr>
        <w:t>年以来投标人承担项目情况（成功案例需提供合同复印件或采购单位出具的验收报告并加盖公章，原件备查），是否有良好的工作业绩和履约记录等情况；如投标人提供的合同复印件等实施项目证明材料与事实不符或与其无关，评标委员会将进行技术扣分直至认定投标无效；</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lang w:val="zh-CN"/>
        </w:rPr>
        <w:t>（8）商务偏离说明表；</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lang w:val="zh-CN"/>
        </w:rPr>
        <w:t>（9）关于对招标文件中有关条款的拒绝声明（如果有）；</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lang w:val="zh-CN"/>
        </w:rPr>
        <w:t>（10）投标人认为需要的其他商务文件或说明。</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lang w:val="zh-CN"/>
        </w:rPr>
        <w:t>10.4投标人的投标文件必须按照招标文件要求制作。</w:t>
      </w:r>
    </w:p>
    <w:p>
      <w:pPr>
        <w:pStyle w:val="24"/>
        <w:adjustRightInd w:val="0"/>
        <w:snapToGrid w:val="0"/>
        <w:spacing w:line="360" w:lineRule="auto"/>
        <w:rPr>
          <w:rFonts w:hAnsi="宋体" w:cs="宋体"/>
          <w:b/>
          <w:sz w:val="24"/>
          <w:szCs w:val="24"/>
        </w:rPr>
      </w:pPr>
      <w:bookmarkStart w:id="30" w:name="_Toc91899887"/>
      <w:r>
        <w:rPr>
          <w:rFonts w:hint="eastAsia" w:hAnsi="宋体" w:cs="宋体"/>
          <w:b/>
          <w:sz w:val="24"/>
          <w:szCs w:val="24"/>
        </w:rPr>
        <w:t>11. 投标有效期</w:t>
      </w:r>
    </w:p>
    <w:p>
      <w:pPr>
        <w:pStyle w:val="110"/>
        <w:adjustRightInd w:val="0"/>
        <w:snapToGrid w:val="0"/>
        <w:spacing w:before="0"/>
        <w:ind w:firstLine="525"/>
        <w:rPr>
          <w:rFonts w:ascii="宋体" w:hAnsi="宋体" w:cs="宋体"/>
          <w:szCs w:val="24"/>
        </w:rPr>
      </w:pPr>
      <w:r>
        <w:rPr>
          <w:rFonts w:hint="eastAsia" w:ascii="宋体" w:hAnsi="宋体" w:cs="宋体"/>
          <w:szCs w:val="24"/>
        </w:rPr>
        <w:t>11.1投标文件合格投递后，自投标截止日期起，至前附表第3项所列的日期内有效。</w:t>
      </w:r>
    </w:p>
    <w:p>
      <w:pPr>
        <w:pStyle w:val="110"/>
        <w:adjustRightInd w:val="0"/>
        <w:snapToGrid w:val="0"/>
        <w:spacing w:before="0"/>
        <w:ind w:firstLine="525"/>
        <w:rPr>
          <w:rFonts w:ascii="宋体" w:hAnsi="宋体" w:cs="宋体"/>
          <w:szCs w:val="24"/>
        </w:rPr>
      </w:pPr>
      <w:r>
        <w:rPr>
          <w:rFonts w:hint="eastAsia" w:ascii="宋体" w:hAnsi="宋体" w:cs="宋体"/>
          <w:szCs w:val="24"/>
        </w:rPr>
        <w:t>11.2在原定投标有效期之前，如果出现特殊情况，招标代理机构可以以书面形式通知投标人延长投标有效期。</w:t>
      </w:r>
    </w:p>
    <w:p>
      <w:pPr>
        <w:pStyle w:val="24"/>
        <w:adjustRightInd w:val="0"/>
        <w:snapToGrid w:val="0"/>
        <w:spacing w:line="360" w:lineRule="auto"/>
        <w:rPr>
          <w:rFonts w:hAnsi="宋体" w:cs="宋体"/>
          <w:b/>
          <w:sz w:val="24"/>
          <w:szCs w:val="24"/>
        </w:rPr>
      </w:pPr>
      <w:r>
        <w:rPr>
          <w:rFonts w:hint="eastAsia" w:hAnsi="宋体" w:cs="宋体"/>
          <w:b/>
          <w:sz w:val="24"/>
          <w:szCs w:val="24"/>
        </w:rPr>
        <w:t>12. 投标保证金</w:t>
      </w:r>
    </w:p>
    <w:p>
      <w:pPr>
        <w:pStyle w:val="110"/>
        <w:adjustRightInd w:val="0"/>
        <w:snapToGrid w:val="0"/>
        <w:spacing w:before="0"/>
        <w:ind w:firstLine="525"/>
        <w:rPr>
          <w:rFonts w:ascii="宋体" w:hAnsi="宋体" w:cs="宋体"/>
          <w:szCs w:val="24"/>
        </w:rPr>
      </w:pPr>
      <w:r>
        <w:rPr>
          <w:rFonts w:hint="eastAsia" w:ascii="宋体" w:hAnsi="宋体" w:cs="宋体"/>
          <w:szCs w:val="24"/>
        </w:rPr>
        <w:t>12.1 投标人应提供前附表中的投标保证金，作为投标文件的一个组成部分。</w:t>
      </w:r>
    </w:p>
    <w:p>
      <w:pPr>
        <w:pStyle w:val="110"/>
        <w:adjustRightInd w:val="0"/>
        <w:snapToGrid w:val="0"/>
        <w:spacing w:before="0"/>
        <w:ind w:firstLine="525"/>
        <w:rPr>
          <w:rFonts w:ascii="宋体" w:hAnsi="宋体" w:cs="宋体"/>
          <w:szCs w:val="24"/>
        </w:rPr>
      </w:pPr>
      <w:r>
        <w:rPr>
          <w:rFonts w:hint="eastAsia" w:ascii="宋体" w:hAnsi="宋体" w:cs="宋体"/>
          <w:szCs w:val="24"/>
        </w:rPr>
        <w:t>12.2 投标保证金可以用电汇的形式缴纳。</w:t>
      </w:r>
    </w:p>
    <w:p>
      <w:pPr>
        <w:pStyle w:val="110"/>
        <w:adjustRightInd w:val="0"/>
        <w:snapToGrid w:val="0"/>
        <w:spacing w:before="0"/>
        <w:ind w:firstLine="525"/>
        <w:rPr>
          <w:rFonts w:ascii="宋体" w:hAnsi="宋体" w:cs="宋体"/>
          <w:szCs w:val="24"/>
        </w:rPr>
      </w:pPr>
      <w:r>
        <w:rPr>
          <w:rFonts w:hint="eastAsia" w:ascii="宋体" w:hAnsi="宋体" w:cs="宋体"/>
          <w:szCs w:val="24"/>
        </w:rPr>
        <w:t>12.3 招标代理机构将拒绝未能按规定时间和数额提交投标保证金的投标人。</w:t>
      </w:r>
    </w:p>
    <w:p>
      <w:pPr>
        <w:pStyle w:val="110"/>
        <w:adjustRightInd w:val="0"/>
        <w:snapToGrid w:val="0"/>
        <w:spacing w:before="0"/>
        <w:ind w:firstLine="525"/>
        <w:rPr>
          <w:rFonts w:ascii="宋体" w:hAnsi="宋体" w:cs="宋体"/>
          <w:szCs w:val="24"/>
        </w:rPr>
      </w:pPr>
      <w:r>
        <w:rPr>
          <w:rFonts w:hint="eastAsia" w:ascii="宋体" w:hAnsi="宋体" w:cs="宋体"/>
          <w:szCs w:val="24"/>
        </w:rPr>
        <w:t>12.4中标人按要求与采购人签订合同，经招标代理机构鉴证，全额无息退还其投标保证金。</w:t>
      </w:r>
    </w:p>
    <w:p>
      <w:pPr>
        <w:pStyle w:val="110"/>
        <w:adjustRightInd w:val="0"/>
        <w:snapToGrid w:val="0"/>
        <w:spacing w:before="0"/>
        <w:ind w:firstLine="525"/>
        <w:rPr>
          <w:rFonts w:ascii="宋体" w:hAnsi="宋体" w:cs="宋体"/>
          <w:kern w:val="0"/>
          <w:szCs w:val="24"/>
          <w:lang w:val="zh-CN"/>
        </w:rPr>
      </w:pPr>
      <w:r>
        <w:rPr>
          <w:rFonts w:hint="eastAsia" w:ascii="宋体" w:hAnsi="宋体" w:cs="宋体"/>
          <w:szCs w:val="24"/>
        </w:rPr>
        <w:t>12.5</w:t>
      </w:r>
      <w:r>
        <w:rPr>
          <w:rFonts w:hint="eastAsia" w:ascii="宋体" w:hAnsi="宋体" w:cs="宋体"/>
          <w:kern w:val="0"/>
          <w:szCs w:val="24"/>
          <w:lang w:val="zh-CN"/>
        </w:rPr>
        <w:t>未中标人的投标保证金将在发布中标公告之日起七个工作日后无异议，全额无息退还。</w:t>
      </w:r>
    </w:p>
    <w:p>
      <w:pPr>
        <w:pStyle w:val="110"/>
        <w:adjustRightInd w:val="0"/>
        <w:snapToGrid w:val="0"/>
        <w:spacing w:before="0"/>
        <w:ind w:firstLine="525"/>
        <w:rPr>
          <w:rFonts w:ascii="宋体" w:hAnsi="宋体" w:cs="宋体"/>
          <w:szCs w:val="24"/>
        </w:rPr>
      </w:pPr>
      <w:r>
        <w:rPr>
          <w:rFonts w:hint="eastAsia" w:ascii="宋体" w:hAnsi="宋体" w:cs="宋体"/>
          <w:szCs w:val="24"/>
        </w:rPr>
        <w:t>12.6 如投标人有下列情况，将被没收投标保证金：</w:t>
      </w:r>
    </w:p>
    <w:p>
      <w:pPr>
        <w:pStyle w:val="110"/>
        <w:adjustRightInd w:val="0"/>
        <w:snapToGrid w:val="0"/>
        <w:spacing w:before="0"/>
        <w:ind w:firstLine="525"/>
        <w:rPr>
          <w:rFonts w:ascii="宋体" w:hAnsi="宋体" w:cs="宋体"/>
          <w:szCs w:val="24"/>
        </w:rPr>
      </w:pPr>
      <w:r>
        <w:rPr>
          <w:rFonts w:hint="eastAsia" w:ascii="宋体" w:hAnsi="宋体" w:cs="宋体"/>
          <w:szCs w:val="24"/>
        </w:rPr>
        <w:t>12.6.1投标人在投标截止时间后撤销投标文件的；</w:t>
      </w:r>
    </w:p>
    <w:p>
      <w:pPr>
        <w:pStyle w:val="110"/>
        <w:adjustRightInd w:val="0"/>
        <w:snapToGrid w:val="0"/>
        <w:spacing w:before="0"/>
        <w:ind w:firstLine="525"/>
        <w:rPr>
          <w:rFonts w:ascii="宋体" w:hAnsi="宋体" w:cs="宋体"/>
          <w:szCs w:val="24"/>
        </w:rPr>
      </w:pPr>
      <w:r>
        <w:rPr>
          <w:rFonts w:hint="eastAsia" w:ascii="宋体" w:hAnsi="宋体" w:cs="宋体"/>
          <w:szCs w:val="24"/>
        </w:rPr>
        <w:t>12.6.2投标人未按规定签订合同或转让中标的。</w:t>
      </w:r>
    </w:p>
    <w:p>
      <w:pPr>
        <w:pStyle w:val="24"/>
        <w:adjustRightInd w:val="0"/>
        <w:snapToGrid w:val="0"/>
        <w:spacing w:line="360" w:lineRule="auto"/>
        <w:rPr>
          <w:rFonts w:hAnsi="宋体" w:cs="宋体"/>
          <w:b/>
          <w:sz w:val="24"/>
          <w:szCs w:val="24"/>
        </w:rPr>
      </w:pPr>
      <w:r>
        <w:rPr>
          <w:rFonts w:hint="eastAsia" w:hAnsi="宋体" w:cs="宋体"/>
          <w:b/>
          <w:sz w:val="24"/>
          <w:szCs w:val="24"/>
        </w:rPr>
        <w:t>13. 投标文件的编制和签署</w:t>
      </w:r>
    </w:p>
    <w:p>
      <w:pPr>
        <w:adjustRightInd w:val="0"/>
        <w:snapToGrid w:val="0"/>
        <w:spacing w:line="360" w:lineRule="auto"/>
        <w:ind w:firstLine="524" w:firstLineChars="200"/>
        <w:rPr>
          <w:rFonts w:ascii="宋体" w:hAnsi="宋体" w:cs="宋体"/>
          <w:b/>
          <w:snapToGrid w:val="0"/>
          <w:kern w:val="0"/>
          <w:sz w:val="24"/>
        </w:rPr>
      </w:pPr>
      <w:r>
        <w:rPr>
          <w:rFonts w:hint="eastAsia" w:ascii="宋体" w:hAnsi="宋体" w:cs="宋体"/>
          <w:sz w:val="24"/>
        </w:rPr>
        <w:t>13.1</w:t>
      </w:r>
      <w:r>
        <w:rPr>
          <w:rFonts w:hint="eastAsia" w:ascii="宋体" w:hAnsi="宋体" w:cs="宋体"/>
          <w:b/>
          <w:snapToGrid w:val="0"/>
          <w:kern w:val="0"/>
          <w:sz w:val="24"/>
        </w:rPr>
        <w:t>投标人应认真阅读招标文件中所有的事项、格式、条款和技术要求等。如果投标人没有按照招标文件要求和规定编制投标文件及提交全部资料，或者投标没有对招标文件中各方面作出实质性响应，其风险应由投标人承担。</w:t>
      </w:r>
    </w:p>
    <w:p>
      <w:pPr>
        <w:pStyle w:val="110"/>
        <w:adjustRightInd w:val="0"/>
        <w:snapToGrid w:val="0"/>
        <w:spacing w:before="0"/>
        <w:ind w:firstLine="525"/>
        <w:rPr>
          <w:rFonts w:ascii="宋体" w:hAnsi="宋体" w:cs="宋体"/>
          <w:szCs w:val="24"/>
        </w:rPr>
      </w:pPr>
      <w:r>
        <w:rPr>
          <w:rFonts w:hint="eastAsia" w:ascii="宋体" w:hAnsi="宋体" w:cs="宋体"/>
          <w:szCs w:val="24"/>
        </w:rPr>
        <w:t>13.2投标人按本须知第9条规定的语言和前附表第5项规定的份数编制投标文件，并在封面上标明“正本”和“副本”。投标文件正本和副本如有不一致之处，以正本为准。</w:t>
      </w:r>
    </w:p>
    <w:p>
      <w:pPr>
        <w:pStyle w:val="110"/>
        <w:adjustRightInd w:val="0"/>
        <w:snapToGrid w:val="0"/>
        <w:spacing w:before="0"/>
        <w:ind w:firstLine="525"/>
        <w:rPr>
          <w:rFonts w:ascii="宋体" w:hAnsi="宋体" w:cs="宋体"/>
          <w:szCs w:val="24"/>
        </w:rPr>
      </w:pPr>
      <w:r>
        <w:rPr>
          <w:rFonts w:hint="eastAsia" w:ascii="宋体" w:hAnsi="宋体" w:cs="宋体"/>
          <w:szCs w:val="24"/>
        </w:rPr>
        <w:t>13.3投标文件正本和副本均应使用不能擦去的墨水打印或书写，投标（开标）一览表及反映企业资质和经营情况的资料必须加盖法人单位公章，并由法定代表人或授权委托人签字盖章。</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13.4全套投标文件应无涂改和行间插字，除非这些删改是根据招标代理机构要求进行，或者是投标人造成的必须修改的错误。所修改处应由法定代表人或授权委托人签字盖章予以确认。</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13.5投标文件采用A4幅面，必须按顺序统一编目编码以胶装方式装订成册。</w:t>
      </w:r>
      <w:r>
        <w:rPr>
          <w:rFonts w:hint="eastAsia" w:ascii="宋体" w:hAnsi="宋体" w:cs="宋体"/>
          <w:b/>
          <w:sz w:val="24"/>
        </w:rPr>
        <w:t>提倡双面打印</w:t>
      </w:r>
      <w:bookmarkEnd w:id="30"/>
      <w:r>
        <w:rPr>
          <w:rFonts w:hint="eastAsia" w:ascii="宋体" w:hAnsi="宋体" w:cs="宋体"/>
          <w:sz w:val="24"/>
        </w:rPr>
        <w:t>。</w:t>
      </w:r>
      <w:r>
        <w:rPr>
          <w:rFonts w:hint="eastAsia" w:ascii="宋体" w:hAnsi="宋体" w:cs="宋体"/>
          <w:b/>
          <w:sz w:val="24"/>
        </w:rPr>
        <w:t>不允许活页装订</w:t>
      </w:r>
      <w:r>
        <w:rPr>
          <w:rFonts w:hint="eastAsia" w:ascii="宋体" w:hAnsi="宋体" w:cs="宋体"/>
          <w:sz w:val="24"/>
        </w:rPr>
        <w:t>。</w:t>
      </w:r>
    </w:p>
    <w:p>
      <w:pPr>
        <w:adjustRightInd w:val="0"/>
        <w:snapToGrid w:val="0"/>
        <w:spacing w:line="360" w:lineRule="auto"/>
        <w:ind w:firstLine="524" w:firstLineChars="200"/>
        <w:rPr>
          <w:rFonts w:ascii="宋体" w:hAnsi="宋体" w:cs="宋体"/>
          <w:sz w:val="24"/>
        </w:rPr>
      </w:pPr>
    </w:p>
    <w:p>
      <w:pPr>
        <w:adjustRightInd w:val="0"/>
        <w:snapToGrid w:val="0"/>
        <w:spacing w:line="360" w:lineRule="auto"/>
        <w:jc w:val="center"/>
        <w:outlineLvl w:val="0"/>
        <w:rPr>
          <w:rFonts w:ascii="宋体" w:hAnsi="宋体" w:cs="宋体"/>
          <w:b/>
          <w:sz w:val="24"/>
        </w:rPr>
      </w:pPr>
      <w:bookmarkStart w:id="31" w:name="_Hlt68072998"/>
      <w:bookmarkEnd w:id="31"/>
      <w:bookmarkStart w:id="32" w:name="_Hlt68073093"/>
      <w:bookmarkEnd w:id="32"/>
      <w:bookmarkStart w:id="33" w:name="_Hlt68403820"/>
      <w:bookmarkEnd w:id="33"/>
      <w:bookmarkStart w:id="34" w:name="_Toc86216991"/>
      <w:bookmarkStart w:id="35" w:name="_Toc91899892"/>
      <w:r>
        <w:rPr>
          <w:rFonts w:hint="eastAsia" w:ascii="宋体" w:hAnsi="宋体" w:cs="宋体"/>
          <w:b/>
          <w:sz w:val="24"/>
        </w:rPr>
        <w:t>四、投标文件的递交</w:t>
      </w:r>
      <w:bookmarkEnd w:id="34"/>
    </w:p>
    <w:p>
      <w:pPr>
        <w:pStyle w:val="24"/>
        <w:adjustRightInd w:val="0"/>
        <w:snapToGrid w:val="0"/>
        <w:spacing w:line="360" w:lineRule="auto"/>
        <w:rPr>
          <w:rFonts w:hAnsi="宋体" w:cs="宋体"/>
          <w:b/>
          <w:sz w:val="24"/>
          <w:szCs w:val="24"/>
        </w:rPr>
      </w:pPr>
      <w:r>
        <w:rPr>
          <w:rFonts w:hint="eastAsia" w:hAnsi="宋体" w:cs="宋体"/>
          <w:b/>
          <w:sz w:val="24"/>
          <w:szCs w:val="24"/>
        </w:rPr>
        <w:t>14. 投标文件的密封与标志</w:t>
      </w:r>
    </w:p>
    <w:p>
      <w:pPr>
        <w:adjustRightInd w:val="0"/>
        <w:snapToGrid w:val="0"/>
        <w:spacing w:line="360" w:lineRule="auto"/>
        <w:ind w:firstLine="524" w:firstLineChars="200"/>
        <w:outlineLvl w:val="0"/>
        <w:rPr>
          <w:rFonts w:ascii="宋体" w:hAnsi="宋体" w:cs="宋体"/>
          <w:sz w:val="24"/>
        </w:rPr>
      </w:pPr>
      <w:r>
        <w:rPr>
          <w:rFonts w:hint="eastAsia" w:ascii="宋体" w:hAnsi="宋体" w:cs="宋体"/>
          <w:sz w:val="24"/>
        </w:rPr>
        <w:t>14.1投标文件须</w:t>
      </w:r>
      <w:r>
        <w:rPr>
          <w:rFonts w:hint="eastAsia" w:ascii="宋体" w:hAnsi="宋体" w:cs="宋体"/>
          <w:b/>
          <w:sz w:val="24"/>
        </w:rPr>
        <w:t>整体密封包装，整体密封包装指：所有投标文件应密封在一起，内含报价文件、技术文件、商务文件三部分。其中，报价文件须单独密封，未单独密封的，在开标时发生报价泄露的，由投标人自行承担相关责任。</w:t>
      </w:r>
      <w:r>
        <w:rPr>
          <w:rFonts w:hint="eastAsia" w:ascii="宋体" w:hAnsi="宋体" w:cs="宋体"/>
          <w:sz w:val="24"/>
        </w:rPr>
        <w:t>没有整体密封包装的投标文件，将被当场拒绝。</w:t>
      </w:r>
    </w:p>
    <w:p>
      <w:pPr>
        <w:pStyle w:val="110"/>
        <w:adjustRightInd w:val="0"/>
        <w:snapToGrid w:val="0"/>
        <w:spacing w:before="0"/>
        <w:ind w:firstLine="525"/>
        <w:rPr>
          <w:rFonts w:ascii="宋体" w:hAnsi="宋体" w:cs="宋体"/>
          <w:szCs w:val="24"/>
        </w:rPr>
      </w:pPr>
      <w:r>
        <w:rPr>
          <w:rFonts w:hint="eastAsia" w:ascii="宋体" w:hAnsi="宋体" w:cs="宋体"/>
          <w:szCs w:val="24"/>
        </w:rPr>
        <w:t>14.2包装封面物的正面应写明项目名称、投标人全称与地址、邮政编码，封口处要密封并加盖投标人公章（或授权委托人签章）。不论投标人中标与否，投标文件均不退回。</w:t>
      </w:r>
    </w:p>
    <w:p>
      <w:pPr>
        <w:pStyle w:val="110"/>
        <w:adjustRightInd w:val="0"/>
        <w:snapToGrid w:val="0"/>
        <w:spacing w:before="0"/>
        <w:ind w:firstLine="525"/>
        <w:rPr>
          <w:rFonts w:ascii="宋体" w:hAnsi="宋体" w:cs="宋体"/>
          <w:szCs w:val="24"/>
        </w:rPr>
      </w:pPr>
      <w:r>
        <w:rPr>
          <w:rFonts w:hint="eastAsia" w:ascii="宋体" w:hAnsi="宋体" w:cs="宋体"/>
          <w:szCs w:val="24"/>
        </w:rPr>
        <w:t>14.3 投标文件递交至前附表第7项所述的单位和地址。</w:t>
      </w:r>
    </w:p>
    <w:p>
      <w:pPr>
        <w:pStyle w:val="24"/>
        <w:adjustRightInd w:val="0"/>
        <w:snapToGrid w:val="0"/>
        <w:spacing w:line="360" w:lineRule="auto"/>
        <w:rPr>
          <w:rFonts w:hAnsi="宋体" w:cs="宋体"/>
          <w:b/>
          <w:sz w:val="24"/>
          <w:szCs w:val="24"/>
        </w:rPr>
      </w:pPr>
      <w:r>
        <w:rPr>
          <w:rFonts w:hint="eastAsia" w:hAnsi="宋体" w:cs="宋体"/>
          <w:b/>
          <w:sz w:val="24"/>
          <w:szCs w:val="24"/>
        </w:rPr>
        <w:t>15. 投标截止期</w:t>
      </w:r>
    </w:p>
    <w:p>
      <w:pPr>
        <w:pStyle w:val="110"/>
        <w:adjustRightInd w:val="0"/>
        <w:snapToGrid w:val="0"/>
        <w:spacing w:before="0"/>
        <w:ind w:firstLine="525"/>
        <w:rPr>
          <w:rFonts w:ascii="宋体" w:hAnsi="宋体" w:cs="宋体"/>
          <w:szCs w:val="24"/>
        </w:rPr>
      </w:pPr>
      <w:r>
        <w:rPr>
          <w:rFonts w:hint="eastAsia" w:ascii="宋体" w:hAnsi="宋体" w:cs="宋体"/>
          <w:szCs w:val="24"/>
        </w:rPr>
        <w:t>15.1投标人应按前附表第6、7两项规定的时间、地点将投标文件递交给招标代理机构，招标代理机构将拒绝接受逾期送达的投标文件。</w:t>
      </w:r>
    </w:p>
    <w:p>
      <w:pPr>
        <w:pStyle w:val="110"/>
        <w:adjustRightInd w:val="0"/>
        <w:snapToGrid w:val="0"/>
        <w:spacing w:before="0"/>
        <w:ind w:firstLine="525"/>
        <w:rPr>
          <w:rFonts w:ascii="宋体" w:hAnsi="宋体" w:cs="宋体"/>
          <w:szCs w:val="24"/>
        </w:rPr>
      </w:pPr>
      <w:r>
        <w:rPr>
          <w:rFonts w:hint="eastAsia" w:ascii="宋体" w:hAnsi="宋体" w:cs="宋体"/>
          <w:szCs w:val="24"/>
        </w:rPr>
        <w:t>15.2招标代理机构可以按本须知第7条规定以补充通知的方式，酌情延长递交投标文件的截止日期。在上述情况下，招标代理机构与投标人以前在投标截止期方面的全部权利、责任和义务，将适用于延长至新的投标截止期。</w:t>
      </w:r>
    </w:p>
    <w:p>
      <w:pPr>
        <w:pStyle w:val="24"/>
        <w:adjustRightInd w:val="0"/>
        <w:snapToGrid w:val="0"/>
        <w:spacing w:line="360" w:lineRule="auto"/>
        <w:rPr>
          <w:rFonts w:hAnsi="宋体" w:cs="宋体"/>
          <w:b/>
          <w:sz w:val="24"/>
          <w:szCs w:val="24"/>
        </w:rPr>
      </w:pPr>
      <w:r>
        <w:rPr>
          <w:rFonts w:hint="eastAsia" w:hAnsi="宋体" w:cs="宋体"/>
          <w:b/>
          <w:sz w:val="24"/>
          <w:szCs w:val="24"/>
        </w:rPr>
        <w:t>16. 投标文件的修改</w:t>
      </w:r>
    </w:p>
    <w:p>
      <w:pPr>
        <w:pStyle w:val="110"/>
        <w:adjustRightInd w:val="0"/>
        <w:snapToGrid w:val="0"/>
        <w:spacing w:before="0"/>
        <w:ind w:firstLine="525"/>
        <w:rPr>
          <w:rFonts w:ascii="宋体" w:hAnsi="宋体" w:cs="宋体"/>
          <w:szCs w:val="24"/>
        </w:rPr>
      </w:pPr>
      <w:r>
        <w:rPr>
          <w:rFonts w:hint="eastAsia" w:ascii="宋体" w:hAnsi="宋体" w:cs="宋体"/>
          <w:szCs w:val="24"/>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110"/>
        <w:adjustRightInd w:val="0"/>
        <w:snapToGrid w:val="0"/>
        <w:spacing w:before="0"/>
        <w:ind w:firstLine="525"/>
        <w:rPr>
          <w:rFonts w:ascii="宋体" w:hAnsi="宋体" w:cs="宋体"/>
          <w:szCs w:val="24"/>
        </w:rPr>
      </w:pPr>
      <w:r>
        <w:rPr>
          <w:rFonts w:hint="eastAsia" w:ascii="宋体" w:hAnsi="宋体" w:cs="宋体"/>
          <w:szCs w:val="24"/>
        </w:rPr>
        <w:t>16.2 投标人的修改文件，应按本须知规定编制、密封、标志和递交，如果一份投标文件有几份函件时，应注明哪一份有效，否则所作修改视为无效。</w:t>
      </w:r>
    </w:p>
    <w:p>
      <w:pPr>
        <w:pStyle w:val="110"/>
        <w:adjustRightInd w:val="0"/>
        <w:snapToGrid w:val="0"/>
        <w:spacing w:before="0"/>
        <w:ind w:firstLine="525"/>
        <w:rPr>
          <w:rFonts w:ascii="宋体" w:hAnsi="宋体" w:cs="宋体"/>
          <w:szCs w:val="24"/>
        </w:rPr>
      </w:pPr>
      <w:r>
        <w:rPr>
          <w:rFonts w:hint="eastAsia" w:ascii="宋体" w:hAnsi="宋体" w:cs="宋体"/>
          <w:szCs w:val="24"/>
        </w:rPr>
        <w:t>16.3投标人对投标文件的修改均要加以说明，否则其修改将被视为无效。</w:t>
      </w:r>
    </w:p>
    <w:p>
      <w:pPr>
        <w:pStyle w:val="110"/>
        <w:adjustRightInd w:val="0"/>
        <w:snapToGrid w:val="0"/>
        <w:spacing w:before="0"/>
        <w:ind w:firstLine="525"/>
        <w:rPr>
          <w:rFonts w:ascii="宋体" w:hAnsi="宋体" w:cs="宋体"/>
          <w:szCs w:val="24"/>
        </w:rPr>
      </w:pPr>
      <w:r>
        <w:rPr>
          <w:rFonts w:hint="eastAsia" w:ascii="宋体" w:hAnsi="宋体" w:cs="宋体"/>
          <w:szCs w:val="24"/>
        </w:rPr>
        <w:t>16.4</w:t>
      </w:r>
      <w:bookmarkEnd w:id="35"/>
      <w:r>
        <w:rPr>
          <w:rFonts w:hint="eastAsia" w:ascii="宋体" w:hAnsi="宋体" w:cs="宋体"/>
          <w:szCs w:val="24"/>
        </w:rPr>
        <w:t>在投标截止日期与招标文件中规定的有效期终止日之间的这段时间内，投标人不能撤回投标文件，否则其投标保证金将不予退还。</w:t>
      </w:r>
    </w:p>
    <w:p>
      <w:pPr>
        <w:pStyle w:val="110"/>
        <w:adjustRightInd w:val="0"/>
        <w:snapToGrid w:val="0"/>
        <w:spacing w:before="0"/>
        <w:ind w:firstLine="525"/>
        <w:rPr>
          <w:rFonts w:ascii="宋体" w:hAnsi="宋体" w:cs="宋体"/>
          <w:szCs w:val="24"/>
        </w:rPr>
      </w:pPr>
    </w:p>
    <w:p>
      <w:pPr>
        <w:adjustRightInd w:val="0"/>
        <w:snapToGrid w:val="0"/>
        <w:spacing w:line="360" w:lineRule="auto"/>
        <w:jc w:val="center"/>
        <w:outlineLvl w:val="0"/>
        <w:rPr>
          <w:rFonts w:ascii="宋体" w:hAnsi="宋体" w:cs="宋体"/>
          <w:b/>
          <w:sz w:val="24"/>
        </w:rPr>
      </w:pPr>
      <w:bookmarkStart w:id="36" w:name="_Toc91899897"/>
      <w:r>
        <w:rPr>
          <w:rFonts w:hint="eastAsia" w:ascii="宋体" w:hAnsi="宋体" w:cs="宋体"/>
          <w:b/>
          <w:sz w:val="24"/>
        </w:rPr>
        <w:t>五、开标</w:t>
      </w:r>
      <w:bookmarkEnd w:id="36"/>
    </w:p>
    <w:p>
      <w:pPr>
        <w:pStyle w:val="24"/>
        <w:adjustRightInd w:val="0"/>
        <w:snapToGrid w:val="0"/>
        <w:spacing w:line="360" w:lineRule="auto"/>
        <w:rPr>
          <w:rFonts w:hAnsi="宋体" w:cs="宋体"/>
          <w:b/>
          <w:sz w:val="24"/>
          <w:szCs w:val="24"/>
        </w:rPr>
      </w:pPr>
      <w:r>
        <w:rPr>
          <w:rFonts w:hint="eastAsia" w:hAnsi="宋体" w:cs="宋体"/>
          <w:b/>
          <w:sz w:val="24"/>
          <w:szCs w:val="24"/>
        </w:rPr>
        <w:t>17. 开标</w:t>
      </w:r>
    </w:p>
    <w:p>
      <w:pPr>
        <w:pStyle w:val="110"/>
        <w:adjustRightInd w:val="0"/>
        <w:snapToGrid w:val="0"/>
        <w:ind w:firstLine="525"/>
        <w:rPr>
          <w:rFonts w:ascii="宋体" w:hAnsi="宋体" w:cs="宋体"/>
        </w:rPr>
      </w:pPr>
      <w:r>
        <w:rPr>
          <w:rFonts w:hint="eastAsia" w:ascii="宋体" w:hAnsi="宋体" w:cs="宋体"/>
        </w:rPr>
        <w:t>17.1 采购代理机构将按照采购公告规定的时间、地点组织开标，开标采取先拆封商务和技术文件、商务技术评审后拆封报价文件的顺序进行。具体按以下程序进行。</w:t>
      </w:r>
    </w:p>
    <w:p>
      <w:pPr>
        <w:pStyle w:val="110"/>
        <w:adjustRightInd w:val="0"/>
        <w:snapToGrid w:val="0"/>
        <w:ind w:firstLine="525"/>
        <w:rPr>
          <w:rFonts w:ascii="宋体" w:hAnsi="宋体" w:cs="宋体"/>
        </w:rPr>
      </w:pPr>
      <w:r>
        <w:rPr>
          <w:rFonts w:hint="eastAsia" w:ascii="宋体" w:hAnsi="宋体" w:cs="宋体"/>
        </w:rPr>
        <w:t>17.1.1 采购代理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pPr>
        <w:pStyle w:val="110"/>
        <w:adjustRightInd w:val="0"/>
        <w:snapToGrid w:val="0"/>
        <w:ind w:firstLine="525"/>
        <w:rPr>
          <w:rFonts w:ascii="宋体" w:hAnsi="宋体" w:cs="宋体"/>
        </w:rPr>
      </w:pPr>
      <w:r>
        <w:rPr>
          <w:rFonts w:hint="eastAsia" w:ascii="宋体" w:hAnsi="宋体" w:cs="宋体"/>
        </w:rPr>
        <w:t>17.1.2采购代理机构接收投标文件并登记，各投标人法定代表人或其授权代表对投标文件的递交记录情况进行签字确认。没有整体密封包装的投标文件，将被当场拒绝。</w:t>
      </w:r>
    </w:p>
    <w:p>
      <w:pPr>
        <w:pStyle w:val="110"/>
        <w:adjustRightInd w:val="0"/>
        <w:snapToGrid w:val="0"/>
        <w:ind w:firstLine="525"/>
        <w:rPr>
          <w:rFonts w:ascii="宋体" w:hAnsi="宋体" w:cs="宋体"/>
        </w:rPr>
      </w:pPr>
      <w:r>
        <w:rPr>
          <w:rFonts w:hint="eastAsia" w:ascii="宋体" w:hAnsi="宋体" w:cs="宋体"/>
        </w:rPr>
        <w:t>17.1.3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pStyle w:val="110"/>
        <w:adjustRightInd w:val="0"/>
        <w:snapToGrid w:val="0"/>
        <w:ind w:firstLine="525"/>
        <w:rPr>
          <w:rFonts w:ascii="宋体" w:hAnsi="宋体" w:cs="宋体"/>
        </w:rPr>
      </w:pPr>
      <w:r>
        <w:rPr>
          <w:rFonts w:hint="eastAsia" w:ascii="宋体" w:hAnsi="宋体" w:cs="宋体"/>
        </w:rPr>
        <w:t>17.1.4对投标人投标保证金缴纳情况进行查验、核实（投标保证金缴款凭证复印件是投标文件的组成部分时，可在投标文件拆封后查验、核实），提请投标人或者其推选的代表查验投标文件密封情况。</w:t>
      </w:r>
    </w:p>
    <w:p>
      <w:pPr>
        <w:pStyle w:val="110"/>
        <w:adjustRightInd w:val="0"/>
        <w:snapToGrid w:val="0"/>
        <w:ind w:firstLine="525"/>
        <w:rPr>
          <w:rFonts w:ascii="宋体" w:hAnsi="宋体" w:cs="宋体"/>
        </w:rPr>
      </w:pPr>
      <w:r>
        <w:rPr>
          <w:rFonts w:hint="eastAsia" w:ascii="宋体" w:hAnsi="宋体" w:cs="宋体"/>
        </w:rPr>
        <w:t>17.1.5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w:t>
      </w:r>
    </w:p>
    <w:p>
      <w:pPr>
        <w:pStyle w:val="110"/>
        <w:adjustRightInd w:val="0"/>
        <w:snapToGrid w:val="0"/>
        <w:ind w:firstLine="525"/>
        <w:rPr>
          <w:rFonts w:ascii="宋体" w:hAnsi="宋体" w:cs="宋体"/>
        </w:rPr>
      </w:pPr>
      <w:r>
        <w:rPr>
          <w:rFonts w:hint="eastAsia" w:ascii="宋体" w:hAnsi="宋体" w:cs="宋体"/>
        </w:rPr>
        <w:t>对不符合装订要求的投标文件，由采购代理机构当场退还投标人法定代表人或其授权代表。投标人提交的报价文件未单独密封的，如开标时发生报价泄露，由投标人自行承担相关责任。</w:t>
      </w:r>
    </w:p>
    <w:p>
      <w:pPr>
        <w:pStyle w:val="110"/>
        <w:adjustRightInd w:val="0"/>
        <w:snapToGrid w:val="0"/>
        <w:ind w:firstLine="525"/>
        <w:rPr>
          <w:rFonts w:ascii="宋体" w:hAnsi="宋体" w:cs="宋体"/>
        </w:rPr>
      </w:pPr>
      <w:r>
        <w:rPr>
          <w:rFonts w:hint="eastAsia" w:ascii="宋体" w:hAnsi="宋体" w:cs="宋体"/>
        </w:rPr>
        <w:t>17.1.6商务和技术评审结束后，采购代理机构宣布商务和技术评审无效投标人名单及理由，无效投标人可收回未拆封的报价文件并签字确认；公布经商务和技术评审符合采购需求的投标人名单及其商务和技术得分之和。</w:t>
      </w:r>
    </w:p>
    <w:p>
      <w:pPr>
        <w:pStyle w:val="110"/>
        <w:adjustRightInd w:val="0"/>
        <w:snapToGrid w:val="0"/>
        <w:ind w:firstLine="525"/>
        <w:rPr>
          <w:rFonts w:ascii="宋体" w:hAnsi="宋体" w:cs="宋体"/>
        </w:rPr>
      </w:pPr>
      <w:r>
        <w:rPr>
          <w:rFonts w:hint="eastAsia" w:ascii="宋体" w:hAnsi="宋体" w:cs="宋体"/>
        </w:rPr>
        <w:t>17.1.7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pStyle w:val="110"/>
        <w:adjustRightInd w:val="0"/>
        <w:snapToGrid w:val="0"/>
        <w:ind w:firstLine="525"/>
        <w:rPr>
          <w:rFonts w:ascii="宋体" w:hAnsi="宋体" w:cs="宋体"/>
        </w:rPr>
      </w:pPr>
      <w:r>
        <w:rPr>
          <w:rFonts w:hint="eastAsia" w:ascii="宋体" w:hAnsi="宋体" w:cs="宋体"/>
        </w:rPr>
        <w:t>17.1.8评审结束后，采购代理机构公布中标候选人名单，及采购人最终确定中标人名单的时间和公告方式等。</w:t>
      </w:r>
    </w:p>
    <w:p>
      <w:pPr>
        <w:pStyle w:val="110"/>
        <w:adjustRightInd w:val="0"/>
        <w:snapToGrid w:val="0"/>
        <w:spacing w:before="0"/>
        <w:ind w:firstLine="0" w:firstLineChars="0"/>
        <w:rPr>
          <w:rFonts w:ascii="宋体" w:hAnsi="宋体" w:cs="宋体"/>
          <w:b/>
          <w:szCs w:val="24"/>
        </w:rPr>
      </w:pPr>
      <w:r>
        <w:rPr>
          <w:rFonts w:hint="eastAsia" w:ascii="宋体" w:hAnsi="宋体" w:cs="宋体"/>
          <w:b/>
          <w:szCs w:val="24"/>
        </w:rPr>
        <w:t>18.  投标文件鉴定</w:t>
      </w:r>
    </w:p>
    <w:p>
      <w:pPr>
        <w:pStyle w:val="110"/>
        <w:adjustRightInd w:val="0"/>
        <w:snapToGrid w:val="0"/>
        <w:spacing w:before="0"/>
        <w:ind w:firstLine="525"/>
        <w:rPr>
          <w:rFonts w:ascii="宋体" w:hAnsi="宋体" w:cs="宋体"/>
          <w:szCs w:val="24"/>
        </w:rPr>
      </w:pPr>
      <w:r>
        <w:rPr>
          <w:rFonts w:hint="eastAsia" w:ascii="宋体" w:hAnsi="宋体" w:cs="宋体"/>
          <w:szCs w:val="24"/>
        </w:rPr>
        <w:t>18.1开标时，招标代理机构将对投标文件进行初步审查，检查投标书内容是否完整、编排是否有序、是否提交了投标保证金、文件签署是否规范以及投标人资格是否符合要求等。如投标文件被确认为无效，招标代理机构将及时通知该投标人。</w:t>
      </w:r>
    </w:p>
    <w:p>
      <w:pPr>
        <w:pStyle w:val="110"/>
        <w:adjustRightInd w:val="0"/>
        <w:snapToGrid w:val="0"/>
        <w:spacing w:before="0"/>
        <w:ind w:firstLine="525"/>
        <w:rPr>
          <w:rFonts w:ascii="宋体" w:hAnsi="宋体" w:cs="宋体"/>
          <w:szCs w:val="24"/>
        </w:rPr>
      </w:pPr>
      <w:r>
        <w:rPr>
          <w:rFonts w:hint="eastAsia" w:ascii="宋体" w:hAnsi="宋体" w:cs="宋体"/>
          <w:szCs w:val="24"/>
        </w:rPr>
        <w:t>18.2在评标前，招标代理机构可组织审标小组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pPr>
        <w:pStyle w:val="110"/>
        <w:adjustRightInd w:val="0"/>
        <w:snapToGrid w:val="0"/>
        <w:spacing w:before="0"/>
        <w:ind w:firstLine="525"/>
        <w:rPr>
          <w:rFonts w:ascii="宋体" w:hAnsi="宋体" w:cs="宋体"/>
          <w:szCs w:val="24"/>
        </w:rPr>
      </w:pPr>
      <w:r>
        <w:rPr>
          <w:rFonts w:hint="eastAsia" w:ascii="宋体" w:hAnsi="宋体" w:cs="宋体"/>
          <w:szCs w:val="24"/>
        </w:rPr>
        <w:t>18.3对于投标文件中不构成实质性偏差的、细微的不正规、不一致或不规范，招标代理机构及评标委员会可以接受，但这种接受不能影响评标时投标人之间的相对排序。</w:t>
      </w:r>
    </w:p>
    <w:p>
      <w:pPr>
        <w:pStyle w:val="110"/>
        <w:adjustRightInd w:val="0"/>
        <w:snapToGrid w:val="0"/>
        <w:spacing w:before="0"/>
        <w:ind w:firstLine="525"/>
        <w:rPr>
          <w:rFonts w:ascii="宋体" w:hAnsi="宋体" w:cs="宋体"/>
          <w:szCs w:val="24"/>
        </w:rPr>
      </w:pPr>
      <w:r>
        <w:rPr>
          <w:rFonts w:hint="eastAsia" w:ascii="宋体" w:hAnsi="宋体" w:cs="宋体"/>
          <w:szCs w:val="24"/>
        </w:rPr>
        <w:t>18.4如果投标文件实质上不响应招标文件的要求，招标代理机构及评标委员会将予以拒绝，并且不允许通过修正或撤消不符合要求的差异或保留，使之成为具有响应性的投标。</w:t>
      </w:r>
    </w:p>
    <w:p>
      <w:pPr>
        <w:autoSpaceDE w:val="0"/>
        <w:autoSpaceDN w:val="0"/>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18.5 经开标后递交至评标委员会的投标文件，仍需接受相关符合性的检查，并有可能在评标过程中被判断为无效。</w:t>
      </w:r>
    </w:p>
    <w:p>
      <w:pPr>
        <w:autoSpaceDE w:val="0"/>
        <w:autoSpaceDN w:val="0"/>
        <w:adjustRightInd w:val="0"/>
        <w:snapToGrid w:val="0"/>
        <w:spacing w:line="360" w:lineRule="auto"/>
        <w:ind w:firstLine="524" w:firstLineChars="200"/>
        <w:rPr>
          <w:rFonts w:ascii="宋体" w:hAnsi="宋体" w:cs="宋体"/>
          <w:sz w:val="24"/>
        </w:rPr>
      </w:pPr>
    </w:p>
    <w:p>
      <w:pPr>
        <w:adjustRightInd w:val="0"/>
        <w:snapToGrid w:val="0"/>
        <w:spacing w:line="360" w:lineRule="auto"/>
        <w:jc w:val="center"/>
        <w:outlineLvl w:val="0"/>
        <w:rPr>
          <w:rFonts w:ascii="宋体" w:hAnsi="宋体" w:cs="宋体"/>
          <w:b/>
          <w:sz w:val="24"/>
        </w:rPr>
      </w:pPr>
      <w:bookmarkStart w:id="37" w:name="_Hlt75236101"/>
      <w:bookmarkEnd w:id="37"/>
      <w:bookmarkStart w:id="38" w:name="_Toc91899902"/>
      <w:r>
        <w:rPr>
          <w:rFonts w:hint="eastAsia" w:ascii="宋体" w:hAnsi="宋体" w:cs="宋体"/>
          <w:b/>
          <w:sz w:val="24"/>
        </w:rPr>
        <w:t>六、评标</w:t>
      </w:r>
      <w:bookmarkEnd w:id="38"/>
    </w:p>
    <w:p>
      <w:pPr>
        <w:pStyle w:val="110"/>
        <w:adjustRightInd w:val="0"/>
        <w:snapToGrid w:val="0"/>
        <w:spacing w:before="0"/>
        <w:ind w:firstLine="0" w:firstLineChars="0"/>
        <w:rPr>
          <w:rFonts w:ascii="宋体" w:hAnsi="宋体" w:cs="宋体"/>
          <w:b/>
          <w:szCs w:val="24"/>
        </w:rPr>
      </w:pPr>
      <w:bookmarkStart w:id="39" w:name="_Toc91899903"/>
      <w:r>
        <w:rPr>
          <w:rFonts w:hint="eastAsia" w:ascii="宋体" w:hAnsi="宋体" w:cs="宋体"/>
          <w:b/>
          <w:szCs w:val="24"/>
        </w:rPr>
        <w:t>19. 评标组织</w:t>
      </w:r>
    </w:p>
    <w:p>
      <w:pPr>
        <w:pStyle w:val="24"/>
        <w:adjustRightInd w:val="0"/>
        <w:snapToGrid w:val="0"/>
        <w:spacing w:line="360" w:lineRule="auto"/>
        <w:ind w:firstLine="513" w:firstLineChars="196"/>
        <w:rPr>
          <w:rFonts w:hAnsi="宋体" w:cs="宋体"/>
          <w:sz w:val="24"/>
          <w:szCs w:val="24"/>
        </w:rPr>
      </w:pPr>
      <w:r>
        <w:rPr>
          <w:rFonts w:hint="eastAsia" w:hAnsi="宋体" w:cs="宋体"/>
          <w:sz w:val="24"/>
          <w:szCs w:val="24"/>
        </w:rPr>
        <w:t>招标代理机构依法组建由5人（含）及以上奇数的人员组成的评标委员会，负责对投标文件进行审查、质询、评审和比较等。评标委员会</w:t>
      </w:r>
      <w:r>
        <w:rPr>
          <w:rFonts w:hint="eastAsia" w:hAnsi="宋体" w:cs="宋体"/>
          <w:sz w:val="24"/>
          <w:szCs w:val="24"/>
          <w:lang w:val="zh-CN"/>
        </w:rPr>
        <w:t>由采购单位代表和政府采购咨询专家组成，其中政府采购咨询专家人数不少于成员总数的三分之二。</w:t>
      </w:r>
    </w:p>
    <w:p>
      <w:pPr>
        <w:pStyle w:val="24"/>
        <w:adjustRightInd w:val="0"/>
        <w:snapToGrid w:val="0"/>
        <w:spacing w:line="360" w:lineRule="auto"/>
        <w:rPr>
          <w:rFonts w:hAnsi="宋体" w:cs="宋体"/>
          <w:b/>
          <w:sz w:val="24"/>
          <w:szCs w:val="24"/>
        </w:rPr>
      </w:pPr>
      <w:r>
        <w:rPr>
          <w:rFonts w:hint="eastAsia" w:hAnsi="宋体" w:cs="宋体"/>
          <w:b/>
          <w:sz w:val="24"/>
          <w:szCs w:val="24"/>
        </w:rPr>
        <w:t>20. 评标原则</w:t>
      </w:r>
    </w:p>
    <w:p>
      <w:pPr>
        <w:pStyle w:val="24"/>
        <w:adjustRightInd w:val="0"/>
        <w:snapToGrid w:val="0"/>
        <w:spacing w:line="360" w:lineRule="auto"/>
        <w:ind w:firstLine="513" w:firstLineChars="196"/>
        <w:rPr>
          <w:rFonts w:hAnsi="宋体" w:cs="宋体"/>
          <w:b/>
          <w:sz w:val="24"/>
          <w:szCs w:val="24"/>
        </w:rPr>
      </w:pPr>
      <w:r>
        <w:rPr>
          <w:rFonts w:hint="eastAsia" w:hAnsi="宋体" w:cs="宋体"/>
          <w:sz w:val="24"/>
          <w:szCs w:val="24"/>
        </w:rPr>
        <w:t>20.1 竞争优选；</w:t>
      </w:r>
    </w:p>
    <w:p>
      <w:pPr>
        <w:autoSpaceDE w:val="0"/>
        <w:autoSpaceDN w:val="0"/>
        <w:adjustRightInd w:val="0"/>
        <w:snapToGrid w:val="0"/>
        <w:spacing w:line="360" w:lineRule="auto"/>
        <w:ind w:firstLine="524" w:firstLineChars="200"/>
        <w:rPr>
          <w:rFonts w:ascii="宋体" w:hAnsi="宋体" w:cs="宋体"/>
          <w:sz w:val="24"/>
        </w:rPr>
      </w:pPr>
      <w:r>
        <w:rPr>
          <w:rFonts w:hint="eastAsia" w:ascii="宋体" w:hAnsi="宋体" w:cs="宋体"/>
          <w:sz w:val="24"/>
        </w:rPr>
        <w:t xml:space="preserve">20.2 </w:t>
      </w:r>
      <w:r>
        <w:rPr>
          <w:rFonts w:hint="eastAsia" w:ascii="宋体" w:hAnsi="宋体" w:cs="宋体"/>
          <w:sz w:val="24"/>
          <w:lang w:val="zh-CN"/>
        </w:rPr>
        <w:t>坚持公开</w:t>
      </w:r>
      <w:r>
        <w:rPr>
          <w:rFonts w:hint="eastAsia" w:ascii="宋体" w:hAnsi="宋体" w:cs="宋体"/>
          <w:sz w:val="24"/>
        </w:rPr>
        <w:t>、公平、公正、科学合理</w:t>
      </w:r>
      <w:r>
        <w:rPr>
          <w:rFonts w:hint="eastAsia" w:ascii="宋体" w:hAnsi="宋体" w:cs="宋体"/>
          <w:sz w:val="24"/>
          <w:lang w:val="zh-CN"/>
        </w:rPr>
        <w:t>的原则；</w:t>
      </w:r>
    </w:p>
    <w:p>
      <w:pPr>
        <w:autoSpaceDE w:val="0"/>
        <w:autoSpaceDN w:val="0"/>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xml:space="preserve">20.3 </w:t>
      </w:r>
      <w:r>
        <w:rPr>
          <w:rFonts w:hint="eastAsia" w:ascii="宋体" w:hAnsi="宋体" w:cs="宋体"/>
          <w:sz w:val="24"/>
        </w:rPr>
        <w:t>价格合理，方案、产品先进可行；</w:t>
      </w:r>
    </w:p>
    <w:p>
      <w:pPr>
        <w:autoSpaceDE w:val="0"/>
        <w:autoSpaceDN w:val="0"/>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20.4 反对不正当竞争。</w:t>
      </w:r>
    </w:p>
    <w:p>
      <w:pPr>
        <w:adjustRightInd w:val="0"/>
        <w:snapToGrid w:val="0"/>
        <w:spacing w:line="360" w:lineRule="auto"/>
        <w:rPr>
          <w:rFonts w:ascii="宋体" w:hAnsi="宋体" w:cs="宋体"/>
          <w:b/>
          <w:sz w:val="24"/>
        </w:rPr>
      </w:pPr>
      <w:r>
        <w:rPr>
          <w:rFonts w:hint="eastAsia" w:ascii="宋体" w:hAnsi="宋体" w:cs="宋体"/>
          <w:b/>
          <w:sz w:val="24"/>
        </w:rPr>
        <w:t>21</w:t>
      </w:r>
      <w:r>
        <w:rPr>
          <w:rFonts w:hint="eastAsia" w:ascii="宋体" w:hAnsi="宋体" w:cs="宋体"/>
          <w:b/>
          <w:kern w:val="0"/>
          <w:sz w:val="24"/>
          <w:lang w:val="zh-CN"/>
        </w:rPr>
        <w:t>.</w:t>
      </w:r>
      <w:r>
        <w:rPr>
          <w:rFonts w:hint="eastAsia" w:ascii="宋体" w:hAnsi="宋体" w:cs="宋体"/>
          <w:b/>
          <w:sz w:val="24"/>
        </w:rPr>
        <w:t xml:space="preserve"> 投标文件审查</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21.1投标文件资格性审查：依据法律法规和招标文件的规定，对投标文件中的资格条件、投标保证金等进行审查，以确定投标人是否具备投标资格。</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21.2投标文件符合性审查：评标委员会依据招标文件的规定，从投标文件的有效性、完整性和对招标文件的响应程度进行审查，以确定是否对招标文件的实质性要求作出响应。</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21.3</w:t>
      </w:r>
      <w:r>
        <w:rPr>
          <w:rFonts w:hint="eastAsia" w:ascii="宋体" w:hAnsi="宋体" w:cs="宋体"/>
          <w:b/>
          <w:sz w:val="24"/>
        </w:rPr>
        <w:t>修正原则</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评标委员会对投标文件的商务报价文件进行审核，对发现计算、书写等错误的，按以下原则进行修正：</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21.3.1大写金额与小写金额不一致的，以大写金额为准；</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21.3.2总价金额与按单价汇总金额不一致的，以总价金额计算结果为准，并按比例修改单价；</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21.3.3单价金额小数点有明显错位的，应以总价为准，并按比例修改单价；</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rPr>
        <w:t>21.3.4以修正后的总价作为投标报价。</w:t>
      </w:r>
    </w:p>
    <w:p>
      <w:pPr>
        <w:pStyle w:val="110"/>
        <w:adjustRightInd w:val="0"/>
        <w:snapToGrid w:val="0"/>
        <w:spacing w:before="0"/>
        <w:ind w:firstLine="0" w:firstLineChars="0"/>
        <w:rPr>
          <w:rFonts w:ascii="宋体" w:hAnsi="宋体" w:cs="宋体"/>
          <w:b/>
          <w:szCs w:val="24"/>
        </w:rPr>
      </w:pPr>
      <w:r>
        <w:rPr>
          <w:rFonts w:hint="eastAsia" w:ascii="宋体" w:hAnsi="宋体" w:cs="宋体"/>
          <w:b/>
          <w:szCs w:val="24"/>
        </w:rPr>
        <w:t>22. 评标办法</w:t>
      </w:r>
    </w:p>
    <w:p>
      <w:pPr>
        <w:pStyle w:val="121"/>
        <w:adjustRightInd w:val="0"/>
        <w:spacing w:afterLines="0" w:line="400" w:lineRule="exact"/>
        <w:ind w:firstLine="526"/>
        <w:rPr>
          <w:rFonts w:ascii="宋体" w:hAnsi="宋体" w:cs="宋体"/>
          <w:szCs w:val="24"/>
        </w:rPr>
      </w:pPr>
      <w:r>
        <w:rPr>
          <w:rFonts w:hint="eastAsia" w:ascii="宋体" w:hAnsi="宋体" w:cs="宋体"/>
          <w:b/>
          <w:szCs w:val="24"/>
        </w:rPr>
        <w:t>本项目采用综合评分法</w:t>
      </w:r>
      <w:r>
        <w:rPr>
          <w:rFonts w:hint="eastAsia" w:ascii="宋体" w:hAnsi="宋体" w:cs="宋体"/>
          <w:szCs w:val="24"/>
        </w:rPr>
        <w:t>，评标委员会将对各投标人的投标报价、</w:t>
      </w:r>
      <w:r>
        <w:rPr>
          <w:rFonts w:hint="eastAsia" w:ascii="宋体" w:hAnsi="宋体" w:cs="宋体"/>
          <w:bCs/>
          <w:szCs w:val="24"/>
        </w:rPr>
        <w:t>技术和服务方案</w:t>
      </w:r>
      <w:r>
        <w:rPr>
          <w:rFonts w:hint="eastAsia" w:ascii="宋体" w:hAnsi="宋体" w:cs="宋体"/>
          <w:szCs w:val="24"/>
        </w:rPr>
        <w:t>、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spacing w:line="400" w:lineRule="exact"/>
        <w:ind w:left="116" w:leftChars="50" w:firstLine="466" w:firstLineChars="178"/>
        <w:rPr>
          <w:rFonts w:ascii="宋体" w:hAnsi="宋体" w:cs="宋体"/>
          <w:b/>
          <w:sz w:val="24"/>
        </w:rPr>
      </w:pPr>
      <w:r>
        <w:rPr>
          <w:rFonts w:hint="eastAsia" w:ascii="宋体" w:hAnsi="宋体" w:cs="宋体"/>
          <w:sz w:val="24"/>
        </w:rPr>
        <w:t>各投标人的综合得分为：投标价格得分+技术和服务方案得分+投标人的资质和业绩得分之和，</w:t>
      </w:r>
      <w:r>
        <w:rPr>
          <w:rFonts w:hint="eastAsia" w:ascii="宋体" w:hAnsi="宋体" w:cs="宋体"/>
          <w:b/>
          <w:sz w:val="24"/>
        </w:rPr>
        <w:t>总分为</w:t>
      </w:r>
      <w:r>
        <w:rPr>
          <w:rFonts w:hint="eastAsia" w:ascii="宋体" w:hAnsi="宋体" w:cs="宋体"/>
          <w:b/>
          <w:sz w:val="24"/>
          <w:u w:val="single"/>
        </w:rPr>
        <w:t>100</w:t>
      </w:r>
      <w:r>
        <w:rPr>
          <w:rFonts w:hint="eastAsia" w:ascii="宋体" w:hAnsi="宋体" w:cs="宋体"/>
          <w:b/>
          <w:sz w:val="24"/>
        </w:rPr>
        <w:t>分</w:t>
      </w:r>
      <w:r>
        <w:rPr>
          <w:rFonts w:hint="eastAsia" w:ascii="宋体" w:hAnsi="宋体" w:cs="宋体"/>
          <w:sz w:val="24"/>
        </w:rPr>
        <w:t>，其中：</w:t>
      </w:r>
      <w:r>
        <w:rPr>
          <w:rFonts w:hint="eastAsia" w:ascii="宋体" w:hAnsi="宋体" w:cs="宋体"/>
          <w:b/>
          <w:sz w:val="24"/>
        </w:rPr>
        <w:t>投标价格得分</w:t>
      </w:r>
      <w:r>
        <w:rPr>
          <w:rFonts w:hint="eastAsia" w:ascii="宋体" w:hAnsi="宋体" w:cs="宋体"/>
          <w:b/>
          <w:sz w:val="24"/>
          <w:u w:val="single"/>
        </w:rPr>
        <w:t>30分</w:t>
      </w:r>
      <w:r>
        <w:rPr>
          <w:rFonts w:hint="eastAsia" w:ascii="宋体" w:hAnsi="宋体" w:cs="宋体"/>
          <w:b/>
          <w:sz w:val="24"/>
        </w:rPr>
        <w:t>，技术和服务方案</w:t>
      </w:r>
      <w:r>
        <w:rPr>
          <w:rFonts w:hint="eastAsia" w:ascii="宋体" w:hAnsi="宋体" w:cs="宋体"/>
          <w:b/>
          <w:sz w:val="24"/>
          <w:u w:val="single"/>
        </w:rPr>
        <w:t>64分</w:t>
      </w:r>
      <w:r>
        <w:rPr>
          <w:rFonts w:hint="eastAsia" w:ascii="宋体" w:hAnsi="宋体" w:cs="宋体"/>
          <w:b/>
          <w:sz w:val="24"/>
        </w:rPr>
        <w:t>，投标人的资质和业绩情况</w:t>
      </w:r>
      <w:r>
        <w:rPr>
          <w:rFonts w:hint="eastAsia" w:ascii="宋体" w:hAnsi="宋体" w:cs="宋体"/>
          <w:b/>
          <w:sz w:val="24"/>
          <w:u w:val="single"/>
        </w:rPr>
        <w:t>6</w:t>
      </w:r>
      <w:r>
        <w:rPr>
          <w:rFonts w:hint="eastAsia" w:ascii="宋体" w:hAnsi="宋体" w:cs="宋体"/>
          <w:b/>
          <w:sz w:val="24"/>
        </w:rPr>
        <w:t>分。各投标人总分为：综合得分</w:t>
      </w:r>
      <w:r>
        <w:rPr>
          <w:rFonts w:hint="eastAsia" w:ascii="宋体" w:hAnsi="宋体" w:cs="宋体"/>
          <w:sz w:val="24"/>
        </w:rPr>
        <w:t>-</w:t>
      </w:r>
      <w:r>
        <w:rPr>
          <w:rFonts w:hint="eastAsia" w:ascii="宋体" w:hAnsi="宋体" w:cs="宋体"/>
          <w:b/>
          <w:sz w:val="24"/>
        </w:rPr>
        <w:t>投标人的信誉情况扣分。</w:t>
      </w:r>
    </w:p>
    <w:p>
      <w:pPr>
        <w:autoSpaceDE w:val="0"/>
        <w:autoSpaceDN w:val="0"/>
        <w:adjustRightInd w:val="0"/>
        <w:spacing w:line="400" w:lineRule="exact"/>
        <w:ind w:firstLine="480"/>
        <w:rPr>
          <w:rFonts w:ascii="宋体" w:hAnsi="宋体" w:cs="宋体"/>
          <w:b/>
          <w:sz w:val="24"/>
        </w:rPr>
      </w:pPr>
      <w:r>
        <w:rPr>
          <w:rFonts w:hint="eastAsia" w:ascii="宋体" w:hAnsi="宋体" w:cs="宋体"/>
          <w:b/>
          <w:sz w:val="24"/>
        </w:rPr>
        <w:t>各投标人的技术和服务方案、投标人的资质和业绩情况（评标委员会独立打分）得分为：各成员评分的算术平均值。各投标人的投标价格得分按投标价格评分</w:t>
      </w:r>
      <w:r>
        <w:rPr>
          <w:rFonts w:hint="eastAsia" w:ascii="宋体" w:hAnsi="宋体" w:cs="宋体"/>
          <w:b/>
          <w:kern w:val="0"/>
          <w:sz w:val="24"/>
        </w:rPr>
        <w:t>公式由招标代理机构计算，</w:t>
      </w:r>
      <w:r>
        <w:rPr>
          <w:rFonts w:hint="eastAsia" w:ascii="宋体" w:hAnsi="宋体" w:cs="宋体"/>
          <w:b/>
          <w:sz w:val="24"/>
        </w:rPr>
        <w:t>评标委员会审核。</w:t>
      </w:r>
      <w:r>
        <w:rPr>
          <w:rFonts w:hint="eastAsia" w:ascii="宋体" w:hAnsi="宋体" w:cs="宋体"/>
          <w:sz w:val="24"/>
        </w:rPr>
        <w:t>根据上述评标原则，分值安排如下：</w:t>
      </w:r>
    </w:p>
    <w:p>
      <w:pPr>
        <w:adjustRightInd w:val="0"/>
        <w:snapToGrid w:val="0"/>
        <w:spacing w:line="360" w:lineRule="auto"/>
        <w:ind w:firstLine="589" w:firstLineChars="225"/>
        <w:jc w:val="left"/>
        <w:rPr>
          <w:rFonts w:ascii="宋体" w:hAnsi="宋体" w:cs="宋体"/>
          <w:b/>
          <w:snapToGrid w:val="0"/>
          <w:kern w:val="0"/>
          <w:sz w:val="24"/>
        </w:rPr>
      </w:pPr>
      <w:r>
        <w:rPr>
          <w:rFonts w:hint="eastAsia" w:ascii="宋体" w:hAnsi="宋体" w:cs="宋体"/>
          <w:b/>
          <w:snapToGrid w:val="0"/>
          <w:kern w:val="0"/>
          <w:sz w:val="24"/>
        </w:rPr>
        <w:t>(一)技术部分 （满分64分）</w:t>
      </w:r>
    </w:p>
    <w:p>
      <w:pPr>
        <w:adjustRightInd w:val="0"/>
        <w:snapToGrid w:val="0"/>
        <w:spacing w:line="360" w:lineRule="auto"/>
        <w:ind w:firstLine="589" w:firstLineChars="225"/>
        <w:jc w:val="left"/>
        <w:rPr>
          <w:rFonts w:ascii="宋体" w:hAnsi="宋体" w:cs="宋体"/>
          <w:b/>
          <w:snapToGrid w:val="0"/>
          <w:kern w:val="0"/>
          <w:sz w:val="24"/>
        </w:rPr>
      </w:pPr>
      <w:r>
        <w:rPr>
          <w:rFonts w:hint="eastAsia" w:ascii="宋体" w:hAnsi="宋体" w:cs="宋体"/>
          <w:b/>
          <w:snapToGrid w:val="0"/>
          <w:kern w:val="0"/>
          <w:sz w:val="24"/>
        </w:rPr>
        <w:t>评标委员会对各投标人的</w:t>
      </w:r>
      <w:r>
        <w:rPr>
          <w:rFonts w:hint="eastAsia" w:ascii="宋体" w:hAnsi="宋体" w:cs="宋体"/>
          <w:b/>
          <w:bCs/>
          <w:snapToGrid w:val="0"/>
          <w:kern w:val="0"/>
          <w:sz w:val="24"/>
        </w:rPr>
        <w:t>技术</w:t>
      </w:r>
      <w:r>
        <w:rPr>
          <w:rFonts w:hint="eastAsia" w:ascii="宋体" w:hAnsi="宋体" w:cs="宋体"/>
          <w:b/>
          <w:snapToGrid w:val="0"/>
          <w:kern w:val="0"/>
          <w:sz w:val="24"/>
        </w:rPr>
        <w:t>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（1）投标方案的科学性和完整性（4分）：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投标方案与需求的吻合程度，包括方案的科学性、先进性、可靠性、成熟性、合理性和扩展性；方案设计的功能实现以及方案配置的合理性等方面与项目对应需求的满足程度等（2分）；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投标方案点对点应答是否详尽、明晰，是否满足招标文件要求；投标文件编制是否完整、格式规范、内容齐全、表述准确、条理清晰，内容无前后矛盾，符合招标文件要求（2分）。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（2）投标耗材的性能与需求的吻合程度（38分）：</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 投标耗材配件的基本功能、技术指标与需求的吻合程度和偏差情况（包括所投标耗材的规格型号、详细配置、主要技术参数等），是否能够满足标书要求，技术指标负偏离每一项扣减2分，扣完为止。（34分）；</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 投标耗材的选型上是否能够满足标书的基本要求，是否能满足本项目技术需求且性能与所明确车型使用中范围相当的耗材配件，</w:t>
      </w:r>
      <w:r>
        <w:rPr>
          <w:rFonts w:hint="eastAsia" w:ascii="宋体" w:hAnsi="宋体" w:cs="宋体"/>
          <w:sz w:val="24"/>
          <w:lang w:val="zh-CN"/>
        </w:rPr>
        <w:t>其配置和性能是否能满足需求，</w:t>
      </w:r>
      <w:r>
        <w:rPr>
          <w:rFonts w:hint="eastAsia" w:ascii="宋体" w:hAnsi="宋体" w:cs="宋体"/>
          <w:sz w:val="24"/>
        </w:rPr>
        <w:t>在同类产品中是否具有优势（2分）；</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 投标耗材配件的兼容性、可靠性，结合投标产品的</w:t>
      </w:r>
      <w:r>
        <w:rPr>
          <w:rFonts w:hint="eastAsia" w:ascii="宋体" w:hAnsi="宋体" w:cs="宋体"/>
          <w:bCs/>
          <w:sz w:val="24"/>
        </w:rPr>
        <w:t>知名度、销售量、</w:t>
      </w:r>
      <w:r>
        <w:rPr>
          <w:rFonts w:hint="eastAsia" w:ascii="宋体" w:hAnsi="宋体" w:cs="宋体"/>
          <w:sz w:val="24"/>
        </w:rPr>
        <w:t>市场占有率、</w:t>
      </w:r>
      <w:r>
        <w:rPr>
          <w:rFonts w:hint="eastAsia" w:ascii="宋体" w:hAnsi="宋体" w:cs="宋体"/>
          <w:bCs/>
          <w:sz w:val="24"/>
        </w:rPr>
        <w:t>使用现况和用户反馈情况</w:t>
      </w:r>
      <w:r>
        <w:rPr>
          <w:rFonts w:hint="eastAsia" w:ascii="宋体" w:hAnsi="宋体" w:cs="宋体"/>
          <w:sz w:val="24"/>
        </w:rPr>
        <w:t>，功能</w:t>
      </w:r>
      <w:r>
        <w:rPr>
          <w:rFonts w:hint="eastAsia" w:ascii="宋体" w:hAnsi="宋体" w:cs="宋体"/>
          <w:sz w:val="24"/>
          <w:lang w:val="zh-CN"/>
        </w:rPr>
        <w:t>是否达到采购人的实际需求。</w:t>
      </w:r>
      <w:r>
        <w:rPr>
          <w:rFonts w:hint="eastAsia" w:ascii="宋体" w:hAnsi="宋体" w:cs="宋体"/>
          <w:sz w:val="24"/>
        </w:rPr>
        <w:t>（2分）；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（3）资源整合和利用的能力（2分）：投标配件与采购单位原有设备的有机结合、无缝连接和互联互通等方面考虑情况，是否有安全、稳定、成熟可行的方案和成功实施的经验。</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4）组织实施方案（2分）：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（5）售后服务方案情况（6分）：</w:t>
      </w:r>
    </w:p>
    <w:p>
      <w:pPr>
        <w:tabs>
          <w:tab w:val="left" w:pos="900"/>
        </w:tabs>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投标人提供的售后维护机构和人员等情况，售后服务承诺的可行性、完整性以及服务承诺落实的保障措施等情况；是否具有较强的本地化服务能力，在本地是否拥有常驻服务和技术支持机构（非本地投标人在杭州是否有分公司或办事处或第三方协作单位作为常驻服务和技术支持机构）以及较强的专业技术队伍，能提供快速的售后服务响应（2分）；</w:t>
      </w:r>
    </w:p>
    <w:p>
      <w:pPr>
        <w:tabs>
          <w:tab w:val="left" w:pos="900"/>
        </w:tabs>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投标人提供的售后服务方案、配送人员和机构等情况，是否满足采购人的要求（2分）；</w:t>
      </w:r>
    </w:p>
    <w:p>
      <w:pPr>
        <w:tabs>
          <w:tab w:val="left" w:pos="900"/>
        </w:tabs>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质保期限的长短，质保期为1年的得1分（1分）</w:t>
      </w:r>
    </w:p>
    <w:p>
      <w:pPr>
        <w:tabs>
          <w:tab w:val="left" w:pos="900"/>
        </w:tabs>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服务承诺的可行性、完整性以及服务承诺落实的保障措施，质保期内外的后续技术支持和维护能力情况等（1分）；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（6）项目组人员素质情况（3分）：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是否具有完备的管理组织、项目实施规范和管理制度，是否有完善的质量管理体系，并能有效实施；拟投入本项目的管理与作业人员总数、作业设备、软件的综合水平情况（2分）；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拟担任本项目经理和配送负责人的专业素质、技术能力、经验等情况，项目组实施人员专业人员素质（包括专业认证工程师人员）、技术能力、专业分布、经验等情况，数量是否充足，配置是否合理，是否具有类似项目建设经验，项目组人员资质、工作履历、工程实践证明资料、劳动合同和参保证明等情况（参考履历表和相关资料、相关证书等）（1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（7）验收（2分）：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投标人提出的功能测试、试运转及验收方案的合理性、可行性情况等（2分）；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（8）质量保证措施和交货情况（5分）：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投标人按采购人要求有明确的建设质量目标，质量保证措施，并具有详细可行的实施内容等（2分）；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 投标方案是否提出符合招标文件和采购单位要求，按期完成配送、试运行、验收等措施（3分）。</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（9）优惠和承诺（2分）：投标人提出的优惠条件和承诺情况，包括与其他软件、硬件产品供应商的合作和可实现程度等，对专家提出问题的回答情况是否全面、科学、合理。</w:t>
      </w:r>
    </w:p>
    <w:p>
      <w:pPr>
        <w:adjustRightInd w:val="0"/>
        <w:snapToGrid w:val="0"/>
        <w:spacing w:line="360" w:lineRule="auto"/>
        <w:ind w:firstLine="524" w:firstLineChars="200"/>
        <w:rPr>
          <w:rFonts w:ascii="宋体" w:hAnsi="宋体" w:cs="宋体"/>
          <w:b/>
          <w:bCs/>
          <w:sz w:val="24"/>
        </w:rPr>
      </w:pPr>
      <w:r>
        <w:rPr>
          <w:rFonts w:hint="eastAsia" w:ascii="宋体" w:hAnsi="宋体" w:cs="宋体"/>
          <w:b/>
          <w:sz w:val="24"/>
          <w:lang w:val="zh-CN"/>
        </w:rPr>
        <w:t>(二)</w:t>
      </w:r>
      <w:r>
        <w:rPr>
          <w:rFonts w:hint="eastAsia" w:ascii="宋体" w:hAnsi="宋体" w:cs="宋体"/>
          <w:b/>
          <w:bCs/>
          <w:sz w:val="24"/>
        </w:rPr>
        <w:t>投标人的</w:t>
      </w:r>
      <w:r>
        <w:rPr>
          <w:rFonts w:hint="eastAsia" w:ascii="宋体" w:hAnsi="宋体" w:cs="宋体"/>
          <w:b/>
          <w:sz w:val="24"/>
        </w:rPr>
        <w:t>资质和业绩情况</w:t>
      </w:r>
      <w:r>
        <w:rPr>
          <w:rFonts w:hint="eastAsia" w:ascii="宋体" w:hAnsi="宋体" w:cs="宋体"/>
          <w:b/>
          <w:bCs/>
          <w:sz w:val="24"/>
        </w:rPr>
        <w:t>（6分）：</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（1）投标人基本情况（2分）：根据各投标人所提供企业综合情况、资质范围等。</w:t>
      </w:r>
    </w:p>
    <w:p>
      <w:pPr>
        <w:adjustRightInd w:val="0"/>
        <w:snapToGrid w:val="0"/>
        <w:spacing w:line="360" w:lineRule="auto"/>
        <w:ind w:firstLine="524" w:firstLineChars="200"/>
        <w:rPr>
          <w:rFonts w:ascii="宋体" w:hAnsi="宋体" w:cs="宋体"/>
          <w:sz w:val="24"/>
          <w:lang w:val="zh-CN"/>
        </w:rPr>
      </w:pPr>
      <w:r>
        <w:rPr>
          <w:rFonts w:hint="eastAsia" w:ascii="宋体" w:hAnsi="宋体" w:cs="宋体"/>
          <w:sz w:val="24"/>
          <w:lang w:val="zh-CN"/>
        </w:rPr>
        <w:t>（2）投标人类似项目的成功经验（4分）：201</w:t>
      </w:r>
      <w:r>
        <w:rPr>
          <w:rFonts w:hint="eastAsia" w:ascii="宋体" w:hAnsi="宋体" w:cs="宋体"/>
          <w:sz w:val="24"/>
        </w:rPr>
        <w:t>6</w:t>
      </w:r>
      <w:r>
        <w:rPr>
          <w:rFonts w:hint="eastAsia" w:ascii="宋体" w:hAnsi="宋体" w:cs="宋体"/>
          <w:sz w:val="24"/>
          <w:lang w:val="zh-CN"/>
        </w:rPr>
        <w:t>年1月1日（以合同签订日期为准）以来投标人需出示相关产品国内近三年销售合同复印件。（无合同不能算做有业绩处理，原件备查，招标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adjustRightInd w:val="0"/>
        <w:snapToGrid w:val="0"/>
        <w:spacing w:line="360" w:lineRule="auto"/>
        <w:ind w:firstLine="524" w:firstLineChars="200"/>
        <w:jc w:val="left"/>
        <w:rPr>
          <w:rFonts w:ascii="宋体" w:hAnsi="宋体" w:cs="宋体"/>
          <w:snapToGrid w:val="0"/>
          <w:kern w:val="0"/>
          <w:sz w:val="24"/>
        </w:rPr>
      </w:pPr>
      <w:r>
        <w:rPr>
          <w:rFonts w:hint="eastAsia" w:ascii="宋体" w:hAnsi="宋体" w:cs="宋体"/>
          <w:b/>
          <w:snapToGrid w:val="0"/>
          <w:kern w:val="0"/>
          <w:sz w:val="24"/>
        </w:rPr>
        <w:t>(三)商务报价部分  （满分30分）</w:t>
      </w:r>
    </w:p>
    <w:p>
      <w:pPr>
        <w:adjustRightInd w:val="0"/>
        <w:snapToGrid w:val="0"/>
        <w:spacing w:line="360" w:lineRule="auto"/>
        <w:ind w:firstLine="435"/>
        <w:rPr>
          <w:rFonts w:ascii="宋体" w:hAnsi="宋体" w:cs="宋体"/>
          <w:snapToGrid w:val="0"/>
          <w:kern w:val="0"/>
          <w:sz w:val="24"/>
        </w:rPr>
      </w:pPr>
      <w:r>
        <w:rPr>
          <w:rFonts w:hint="eastAsia" w:ascii="宋体" w:hAnsi="宋体" w:cs="宋体"/>
          <w:snapToGrid w:val="0"/>
          <w:kern w:val="0"/>
          <w:sz w:val="24"/>
        </w:rPr>
        <w:t>商务评标按综合评分细则对投标人的有效投标报价进行统一计算评分，由评标委员会按综合评分因素及标准要求集体判定评分。</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1. 满足招标文件要求且有效投标价格中的最低的投标报价为评标基准价，其价格分为满分30分。</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2. 其他投标人的价格分统一按照下列公式计算：</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投标报价得分=（评标基准价/投标报价）×价格权值（即30%）×100</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pPr>
        <w:adjustRightInd w:val="0"/>
        <w:snapToGrid w:val="0"/>
        <w:spacing w:line="360" w:lineRule="auto"/>
        <w:ind w:firstLine="524" w:firstLineChars="200"/>
        <w:rPr>
          <w:rFonts w:hint="eastAsia" w:ascii="宋体" w:hAnsi="宋体" w:cs="宋体"/>
          <w:snapToGrid w:val="0"/>
          <w:kern w:val="0"/>
          <w:sz w:val="24"/>
        </w:rPr>
      </w:pPr>
      <w:r>
        <w:rPr>
          <w:rFonts w:hint="eastAsia" w:ascii="宋体" w:hAnsi="宋体" w:cs="宋体"/>
          <w:snapToGrid w:val="0"/>
          <w:kern w:val="0"/>
          <w:sz w:val="24"/>
        </w:rPr>
        <w:t>b.监狱企业参加政府采购活动时，应当提供由省级以上监狱管理局、戒毒管理局（含新疆生产建设兵团）出具的属于监狱企业的证明文件供评标委员会认定。</w:t>
      </w:r>
    </w:p>
    <w:p>
      <w:pPr>
        <w:adjustRightInd w:val="0"/>
        <w:snapToGrid w:val="0"/>
        <w:spacing w:line="360" w:lineRule="auto"/>
        <w:ind w:firstLine="524" w:firstLineChars="200"/>
        <w:rPr>
          <w:rFonts w:hint="eastAsia" w:ascii="宋体" w:hAnsi="宋体" w:cs="宋体"/>
          <w:snapToGrid w:val="0"/>
          <w:kern w:val="0"/>
          <w:sz w:val="24"/>
        </w:rPr>
      </w:pPr>
      <w:r>
        <w:rPr>
          <w:rFonts w:hint="eastAsia" w:ascii="宋体" w:hAnsi="宋体" w:cs="宋体"/>
          <w:snapToGrid w:val="0"/>
          <w:kern w:val="0"/>
          <w:sz w:val="24"/>
          <w:lang w:val="en-US" w:eastAsia="zh-CN"/>
        </w:rPr>
        <w:t>c.</w:t>
      </w:r>
      <w:r>
        <w:rPr>
          <w:rFonts w:hint="eastAsia" w:ascii="宋体" w:hAnsi="宋体" w:cs="宋体"/>
          <w:snapToGrid w:val="0"/>
          <w:kern w:val="0"/>
          <w:sz w:val="24"/>
        </w:rPr>
        <w:t>符合条件的残疾人福利性单位在参加政府采购活动时，应当提供财库[2017]141号文件附件格式的《残疾人福利性单位声明函》供评标委员会认定，并对声明的真实性负责。</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3.其他</w:t>
      </w:r>
    </w:p>
    <w:p>
      <w:pPr>
        <w:adjustRightInd w:val="0"/>
        <w:snapToGrid w:val="0"/>
        <w:spacing w:line="360" w:lineRule="auto"/>
        <w:ind w:firstLine="524" w:firstLineChars="200"/>
        <w:rPr>
          <w:rFonts w:ascii="宋体" w:hAnsi="宋体" w:cs="宋体"/>
          <w:snapToGrid w:val="0"/>
          <w:kern w:val="0"/>
          <w:sz w:val="24"/>
        </w:rPr>
      </w:pPr>
      <w:r>
        <w:rPr>
          <w:rFonts w:hint="eastAsia" w:ascii="宋体" w:hAnsi="宋体" w:cs="宋体"/>
          <w:snapToGrid w:val="0"/>
          <w:kern w:val="0"/>
          <w:sz w:val="24"/>
        </w:rPr>
        <w:t>评分时保留小数点后1位小数，计算评分值时保留小数点后2位小数，由评标委员会当场统一计算。</w:t>
      </w:r>
    </w:p>
    <w:p>
      <w:pPr>
        <w:adjustRightInd w:val="0"/>
        <w:snapToGrid w:val="0"/>
        <w:spacing w:line="360" w:lineRule="auto"/>
        <w:ind w:firstLine="524" w:firstLineChars="200"/>
        <w:rPr>
          <w:rFonts w:ascii="宋体" w:hAnsi="宋体" w:cs="宋体"/>
          <w:b/>
          <w:snapToGrid w:val="0"/>
          <w:color w:val="auto"/>
          <w:kern w:val="0"/>
          <w:sz w:val="24"/>
        </w:rPr>
      </w:pPr>
      <w:r>
        <w:rPr>
          <w:rFonts w:hint="eastAsia" w:ascii="宋体" w:hAnsi="宋体" w:cs="宋体"/>
          <w:b/>
          <w:snapToGrid w:val="0"/>
          <w:color w:val="auto"/>
          <w:kern w:val="0"/>
          <w:sz w:val="24"/>
        </w:rPr>
        <w:t>(四)政策加分部分</w:t>
      </w:r>
    </w:p>
    <w:p>
      <w:pPr>
        <w:adjustRightInd w:val="0"/>
        <w:snapToGrid w:val="0"/>
        <w:spacing w:line="360" w:lineRule="auto"/>
        <w:ind w:firstLine="524" w:firstLineChars="200"/>
        <w:rPr>
          <w:rFonts w:ascii="宋体" w:hAnsi="宋体" w:cs="宋体"/>
          <w:snapToGrid w:val="0"/>
          <w:color w:val="auto"/>
          <w:kern w:val="0"/>
          <w:sz w:val="24"/>
        </w:rPr>
      </w:pPr>
      <w:r>
        <w:rPr>
          <w:rFonts w:hint="eastAsia" w:ascii="宋体" w:hAnsi="宋体" w:cs="宋体"/>
          <w:snapToGrid w:val="0"/>
          <w:color w:val="auto"/>
          <w:kern w:val="0"/>
          <w:sz w:val="24"/>
        </w:rPr>
        <w:t>属于《节能产品品目清单》中的投标产品且提供节能产品认证证书加0.5分；</w:t>
      </w:r>
    </w:p>
    <w:p>
      <w:pPr>
        <w:adjustRightInd w:val="0"/>
        <w:snapToGrid w:val="0"/>
        <w:spacing w:line="360" w:lineRule="auto"/>
        <w:ind w:firstLine="524" w:firstLineChars="200"/>
        <w:rPr>
          <w:rFonts w:ascii="宋体" w:hAnsi="宋体" w:cs="宋体"/>
          <w:snapToGrid w:val="0"/>
          <w:color w:val="auto"/>
          <w:kern w:val="0"/>
          <w:sz w:val="24"/>
          <w:lang w:val="zh-CN"/>
        </w:rPr>
      </w:pPr>
      <w:r>
        <w:rPr>
          <w:rFonts w:hint="eastAsia" w:ascii="宋体" w:hAnsi="宋体" w:cs="宋体"/>
          <w:snapToGrid w:val="0"/>
          <w:color w:val="auto"/>
          <w:kern w:val="0"/>
          <w:sz w:val="24"/>
        </w:rPr>
        <w:t>属于《环保标志产品品目清单》中的投标产品且提供环保产品认证证书加0.5分。</w:t>
      </w:r>
    </w:p>
    <w:p>
      <w:pPr>
        <w:adjustRightInd w:val="0"/>
        <w:snapToGrid w:val="0"/>
        <w:spacing w:line="360" w:lineRule="auto"/>
        <w:ind w:firstLine="524" w:firstLineChars="200"/>
        <w:rPr>
          <w:rFonts w:ascii="宋体" w:hAnsi="宋体" w:cs="宋体"/>
          <w:snapToGrid w:val="0"/>
          <w:color w:val="auto"/>
          <w:kern w:val="0"/>
          <w:sz w:val="24"/>
        </w:rPr>
      </w:pPr>
      <w:r>
        <w:rPr>
          <w:rFonts w:hint="eastAsia" w:ascii="宋体" w:hAnsi="宋体" w:cs="宋体"/>
          <w:snapToGrid w:val="0"/>
          <w:color w:val="auto"/>
          <w:kern w:val="0"/>
          <w:sz w:val="24"/>
        </w:rPr>
        <w:t>投标人的最终总得分为技术、</w:t>
      </w:r>
      <w:r>
        <w:rPr>
          <w:rFonts w:hint="eastAsia" w:ascii="宋体" w:hAnsi="宋体" w:cs="宋体"/>
          <w:bCs/>
          <w:color w:val="auto"/>
          <w:sz w:val="24"/>
        </w:rPr>
        <w:t>投标人的</w:t>
      </w:r>
      <w:r>
        <w:rPr>
          <w:rFonts w:hint="eastAsia" w:ascii="宋体" w:hAnsi="宋体" w:cs="宋体"/>
          <w:color w:val="auto"/>
          <w:sz w:val="24"/>
        </w:rPr>
        <w:t>资质和业绩情况</w:t>
      </w:r>
      <w:r>
        <w:rPr>
          <w:rFonts w:hint="eastAsia" w:ascii="宋体" w:hAnsi="宋体" w:cs="宋体"/>
          <w:bCs/>
          <w:color w:val="auto"/>
          <w:sz w:val="24"/>
        </w:rPr>
        <w:t>、</w:t>
      </w:r>
      <w:r>
        <w:rPr>
          <w:rFonts w:hint="eastAsia" w:ascii="宋体" w:hAnsi="宋体" w:cs="宋体"/>
          <w:snapToGrid w:val="0"/>
          <w:color w:val="auto"/>
          <w:kern w:val="0"/>
          <w:sz w:val="24"/>
        </w:rPr>
        <w:t>商务报价部分、政策加分部分四部分得分的总和。</w:t>
      </w:r>
    </w:p>
    <w:p>
      <w:pPr>
        <w:tabs>
          <w:tab w:val="left" w:pos="735"/>
        </w:tabs>
        <w:adjustRightInd w:val="0"/>
        <w:snapToGrid w:val="0"/>
        <w:spacing w:line="360" w:lineRule="auto"/>
        <w:ind w:firstLine="524" w:firstLineChars="200"/>
        <w:rPr>
          <w:rFonts w:ascii="宋体" w:hAnsi="宋体" w:cs="宋体"/>
          <w:b/>
          <w:snapToGrid w:val="0"/>
          <w:kern w:val="0"/>
          <w:sz w:val="24"/>
        </w:rPr>
      </w:pPr>
      <w:bookmarkStart w:id="41" w:name="_GoBack"/>
      <w:bookmarkEnd w:id="41"/>
      <w:r>
        <w:rPr>
          <w:rFonts w:hint="eastAsia" w:ascii="宋体" w:hAnsi="宋体" w:cs="宋体"/>
          <w:b/>
          <w:snapToGrid w:val="0"/>
          <w:kern w:val="0"/>
          <w:sz w:val="24"/>
        </w:rPr>
        <w:t>投标报价高于本项目采购预算的，其投标将作为无效标处理。</w:t>
      </w:r>
    </w:p>
    <w:p>
      <w:pPr>
        <w:autoSpaceDE w:val="0"/>
        <w:autoSpaceDN w:val="0"/>
        <w:adjustRightInd w:val="0"/>
        <w:snapToGrid w:val="0"/>
        <w:spacing w:line="360" w:lineRule="auto"/>
        <w:ind w:firstLine="524" w:firstLineChars="200"/>
        <w:rPr>
          <w:rFonts w:ascii="宋体" w:hAnsi="宋体" w:cs="宋体"/>
          <w:b/>
          <w:bCs/>
          <w:sz w:val="24"/>
        </w:rPr>
      </w:pPr>
      <w:r>
        <w:rPr>
          <w:rFonts w:hint="eastAsia" w:ascii="宋体" w:hAnsi="宋体" w:cs="宋体"/>
          <w:b/>
          <w:snapToGrid w:val="0"/>
          <w:kern w:val="0"/>
          <w:sz w:val="24"/>
        </w:rPr>
        <w:t>报价是中标的一个重要因素，但最低报价不是中标的唯一依据。</w:t>
      </w:r>
    </w:p>
    <w:p>
      <w:pPr>
        <w:pStyle w:val="110"/>
        <w:adjustRightInd w:val="0"/>
        <w:snapToGrid w:val="0"/>
        <w:spacing w:before="0"/>
        <w:ind w:firstLine="0" w:firstLineChars="0"/>
        <w:rPr>
          <w:rFonts w:ascii="宋体" w:hAnsi="宋体" w:cs="宋体"/>
          <w:b/>
          <w:szCs w:val="24"/>
        </w:rPr>
      </w:pPr>
      <w:r>
        <w:rPr>
          <w:rFonts w:hint="eastAsia" w:ascii="宋体" w:hAnsi="宋体" w:cs="宋体"/>
          <w:b/>
          <w:szCs w:val="24"/>
        </w:rPr>
        <w:t>23. 评标内容的保密</w:t>
      </w:r>
    </w:p>
    <w:p>
      <w:pPr>
        <w:pStyle w:val="110"/>
        <w:adjustRightInd w:val="0"/>
        <w:snapToGrid w:val="0"/>
        <w:spacing w:before="0"/>
        <w:ind w:firstLine="525"/>
        <w:rPr>
          <w:rFonts w:ascii="宋体" w:hAnsi="宋体" w:cs="宋体"/>
          <w:szCs w:val="24"/>
        </w:rPr>
      </w:pPr>
      <w:r>
        <w:rPr>
          <w:rFonts w:hint="eastAsia" w:ascii="宋体" w:hAnsi="宋体" w:cs="宋体"/>
          <w:szCs w:val="24"/>
        </w:rPr>
        <w:t>23.1  公开开标后，直到宣布中标单位止，凡属于审查、澄清、评价和比较投标的所有资料，都不应向投标人或与评标无关的其他人泄露。</w:t>
      </w:r>
    </w:p>
    <w:p>
      <w:pPr>
        <w:pStyle w:val="110"/>
        <w:adjustRightInd w:val="0"/>
        <w:snapToGrid w:val="0"/>
        <w:spacing w:before="0"/>
        <w:ind w:firstLine="525"/>
        <w:rPr>
          <w:rFonts w:ascii="宋体" w:hAnsi="宋体" w:cs="宋体"/>
          <w:szCs w:val="24"/>
        </w:rPr>
      </w:pPr>
      <w:r>
        <w:rPr>
          <w:rFonts w:hint="eastAsia" w:ascii="宋体" w:hAnsi="宋体" w:cs="宋体"/>
          <w:szCs w:val="24"/>
        </w:rPr>
        <w:t>23.2  在投标文件的审查、澄清、评价和比较以及确定中标人过程中，投标人对招标代理机构和评标小组施加影响的任何行为，都将导致取消资格。</w:t>
      </w:r>
    </w:p>
    <w:p>
      <w:pPr>
        <w:pStyle w:val="110"/>
        <w:adjustRightInd w:val="0"/>
        <w:snapToGrid w:val="0"/>
        <w:spacing w:before="0"/>
        <w:ind w:firstLine="0" w:firstLineChars="0"/>
        <w:rPr>
          <w:rFonts w:ascii="宋体" w:hAnsi="宋体" w:cs="宋体"/>
          <w:b/>
          <w:szCs w:val="24"/>
        </w:rPr>
      </w:pPr>
      <w:r>
        <w:rPr>
          <w:rFonts w:hint="eastAsia" w:ascii="宋体" w:hAnsi="宋体" w:cs="宋体"/>
          <w:b/>
          <w:szCs w:val="24"/>
        </w:rPr>
        <w:t>24. 投标文件的澄清</w:t>
      </w:r>
    </w:p>
    <w:p>
      <w:pPr>
        <w:pStyle w:val="110"/>
        <w:adjustRightInd w:val="0"/>
        <w:snapToGrid w:val="0"/>
        <w:spacing w:before="0"/>
        <w:ind w:firstLine="525"/>
        <w:rPr>
          <w:rFonts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10"/>
        <w:adjustRightInd w:val="0"/>
        <w:snapToGrid w:val="0"/>
        <w:spacing w:before="0"/>
        <w:ind w:firstLine="0" w:firstLineChars="0"/>
        <w:rPr>
          <w:rFonts w:ascii="宋体" w:hAnsi="宋体" w:cs="宋体"/>
          <w:b/>
          <w:szCs w:val="24"/>
        </w:rPr>
      </w:pPr>
      <w:r>
        <w:rPr>
          <w:rFonts w:hint="eastAsia" w:ascii="宋体" w:hAnsi="宋体" w:cs="宋体"/>
          <w:b/>
          <w:szCs w:val="24"/>
        </w:rPr>
        <w:t>25. 废标</w:t>
      </w:r>
    </w:p>
    <w:p>
      <w:pPr>
        <w:pStyle w:val="20"/>
        <w:adjustRightInd w:val="0"/>
        <w:snapToGrid w:val="0"/>
        <w:spacing w:line="360" w:lineRule="auto"/>
        <w:ind w:firstLine="525"/>
        <w:rPr>
          <w:rFonts w:hAnsi="宋体" w:cs="宋体"/>
        </w:rPr>
      </w:pPr>
      <w:r>
        <w:rPr>
          <w:rFonts w:hint="eastAsia" w:hAnsi="宋体" w:cs="宋体"/>
        </w:rPr>
        <w:t>在采购中，出现下列情形之一的，应予废标：</w:t>
      </w:r>
    </w:p>
    <w:p>
      <w:pPr>
        <w:pStyle w:val="20"/>
        <w:adjustRightInd w:val="0"/>
        <w:snapToGrid w:val="0"/>
        <w:spacing w:line="360" w:lineRule="auto"/>
        <w:ind w:firstLine="525"/>
        <w:rPr>
          <w:rFonts w:hAnsi="宋体" w:cs="宋体"/>
        </w:rPr>
      </w:pPr>
      <w:r>
        <w:rPr>
          <w:rFonts w:hint="eastAsia" w:hAnsi="宋体" w:cs="宋体"/>
        </w:rPr>
        <w:t>(1) 出现影响采购公正的违法、违规行为的；</w:t>
      </w:r>
    </w:p>
    <w:p>
      <w:pPr>
        <w:pStyle w:val="20"/>
        <w:adjustRightInd w:val="0"/>
        <w:snapToGrid w:val="0"/>
        <w:spacing w:line="360" w:lineRule="auto"/>
        <w:ind w:firstLine="525"/>
        <w:rPr>
          <w:rFonts w:hAnsi="宋体" w:cs="宋体"/>
        </w:rPr>
      </w:pPr>
      <w:r>
        <w:rPr>
          <w:rFonts w:hint="eastAsia" w:hAnsi="宋体" w:cs="宋体"/>
        </w:rPr>
        <w:t>(2) 投标人的报价均超过了采购预算，采购单位不能支付的；</w:t>
      </w:r>
    </w:p>
    <w:p>
      <w:pPr>
        <w:pStyle w:val="20"/>
        <w:adjustRightInd w:val="0"/>
        <w:snapToGrid w:val="0"/>
        <w:spacing w:line="360" w:lineRule="auto"/>
        <w:ind w:firstLine="525"/>
        <w:rPr>
          <w:rFonts w:hAnsi="宋体" w:cs="宋体"/>
        </w:rPr>
      </w:pPr>
      <w:r>
        <w:rPr>
          <w:rFonts w:hint="eastAsia" w:hAnsi="宋体" w:cs="宋体"/>
        </w:rPr>
        <w:t>(3) 因重大变故，采购任务取消的。</w:t>
      </w:r>
    </w:p>
    <w:p>
      <w:pPr>
        <w:pStyle w:val="20"/>
        <w:adjustRightInd w:val="0"/>
        <w:snapToGrid w:val="0"/>
        <w:spacing w:line="360" w:lineRule="auto"/>
        <w:ind w:firstLine="525"/>
        <w:rPr>
          <w:rFonts w:hAnsi="宋体" w:cs="宋体"/>
        </w:rPr>
      </w:pPr>
      <w:r>
        <w:rPr>
          <w:rFonts w:hint="eastAsia" w:hAnsi="宋体" w:cs="宋体"/>
        </w:rPr>
        <w:t>废标后，招标代理机构应当将废标理由通知所有投标人。</w:t>
      </w:r>
    </w:p>
    <w:p>
      <w:pPr>
        <w:pStyle w:val="20"/>
        <w:adjustRightInd w:val="0"/>
        <w:snapToGrid w:val="0"/>
        <w:spacing w:line="360" w:lineRule="auto"/>
        <w:ind w:firstLine="0" w:firstLineChars="0"/>
        <w:rPr>
          <w:rFonts w:hAnsi="宋体" w:cs="宋体"/>
          <w:b/>
          <w:spacing w:val="20"/>
        </w:rPr>
      </w:pPr>
      <w:r>
        <w:rPr>
          <w:rFonts w:hint="eastAsia" w:hAnsi="宋体" w:cs="宋体"/>
          <w:b/>
        </w:rPr>
        <w:t>26.</w:t>
      </w:r>
      <w:r>
        <w:rPr>
          <w:rFonts w:hint="eastAsia" w:hAnsi="宋体" w:cs="宋体"/>
          <w:b/>
          <w:spacing w:val="20"/>
        </w:rPr>
        <w:t xml:space="preserve"> 无效标</w:t>
      </w:r>
    </w:p>
    <w:p>
      <w:pPr>
        <w:pStyle w:val="20"/>
        <w:adjustRightInd w:val="0"/>
        <w:snapToGrid w:val="0"/>
        <w:spacing w:line="360" w:lineRule="auto"/>
        <w:ind w:firstLine="525"/>
        <w:rPr>
          <w:rFonts w:hAnsi="宋体" w:cs="宋体"/>
        </w:rPr>
      </w:pPr>
      <w:r>
        <w:rPr>
          <w:rFonts w:hint="eastAsia" w:hAnsi="宋体" w:cs="宋体"/>
        </w:rPr>
        <w:t>投标文件有下列情况之一的，其投标文件作无效处理：</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投标文件没有密封包装或者由于包装不妥，在送交途中严重破损或失散的投标文件；</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投标文件是活页装订的；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开标时授权委托人与投标文件中授权委托书所载内容有异的；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投标文件组成漏项或未按规定的格式编制或投标文件正、副本份数不足，内容不全或内容字迹模糊辨认不清的。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投标人不具备投标资格的，超出经营范围投标的，或者未按规定交纳投标保证金的；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投标报价明显高于市场价或低于成本价，且不能提供书面证明材料说明原因的；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投标报价高于本项目总投资的；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投标人未按招标文件变更通知更改投标文件的；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《投标（开标）一览表》和《投标报价明细清单》填写不完整或字迹不能辨认的；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经评标委员会审核，投标人所投内容不符合实质性采购要求的；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投标人拒绝按招标文件第21.3条修正原则对投标文件进行修改的。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投标人提供虚假材料投标的；</w:t>
      </w:r>
    </w:p>
    <w:p>
      <w:pPr>
        <w:numPr>
          <w:ilvl w:val="0"/>
          <w:numId w:val="3"/>
        </w:numPr>
        <w:adjustRightInd w:val="0"/>
        <w:snapToGrid w:val="0"/>
        <w:spacing w:line="360" w:lineRule="auto"/>
        <w:ind w:left="0" w:firstLine="524" w:firstLineChars="200"/>
        <w:rPr>
          <w:rFonts w:ascii="宋体" w:hAnsi="宋体" w:cs="宋体"/>
          <w:sz w:val="24"/>
        </w:rPr>
      </w:pPr>
      <w:r>
        <w:rPr>
          <w:rFonts w:hint="eastAsia" w:ascii="宋体" w:hAnsi="宋体" w:cs="宋体"/>
          <w:sz w:val="24"/>
        </w:rPr>
        <w:t>经评标委员会审核，投标人的投标文件有类同或有串标嫌疑的；</w:t>
      </w:r>
    </w:p>
    <w:p>
      <w:pPr>
        <w:pStyle w:val="20"/>
        <w:numPr>
          <w:ilvl w:val="0"/>
          <w:numId w:val="3"/>
        </w:numPr>
        <w:adjustRightInd w:val="0"/>
        <w:snapToGrid w:val="0"/>
        <w:spacing w:line="360" w:lineRule="auto"/>
        <w:ind w:left="0" w:firstLine="525"/>
        <w:rPr>
          <w:rFonts w:hAnsi="宋体" w:cs="宋体"/>
        </w:rPr>
      </w:pPr>
      <w:r>
        <w:rPr>
          <w:rFonts w:hint="eastAsia" w:hAnsi="宋体" w:cs="宋体"/>
        </w:rPr>
        <w:t>投标人有违法、违规行为影响本次采购公平、公正的。</w:t>
      </w:r>
    </w:p>
    <w:p>
      <w:pPr>
        <w:pStyle w:val="20"/>
        <w:adjustRightInd w:val="0"/>
        <w:snapToGrid w:val="0"/>
        <w:spacing w:line="360" w:lineRule="auto"/>
        <w:ind w:firstLine="525"/>
        <w:rPr>
          <w:rFonts w:hAnsi="宋体" w:cs="宋体"/>
        </w:rPr>
      </w:pPr>
    </w:p>
    <w:p>
      <w:pPr>
        <w:adjustRightInd w:val="0"/>
        <w:snapToGrid w:val="0"/>
        <w:spacing w:line="360" w:lineRule="auto"/>
        <w:jc w:val="center"/>
        <w:outlineLvl w:val="0"/>
        <w:rPr>
          <w:rFonts w:ascii="宋体" w:hAnsi="宋体" w:cs="宋体"/>
          <w:b/>
          <w:sz w:val="24"/>
        </w:rPr>
      </w:pPr>
      <w:r>
        <w:rPr>
          <w:rFonts w:hint="eastAsia" w:ascii="宋体" w:hAnsi="宋体" w:cs="宋体"/>
          <w:b/>
          <w:sz w:val="24"/>
        </w:rPr>
        <w:t>七、定 标</w:t>
      </w:r>
    </w:p>
    <w:p>
      <w:pPr>
        <w:pStyle w:val="20"/>
        <w:adjustRightInd w:val="0"/>
        <w:snapToGrid w:val="0"/>
        <w:spacing w:line="360" w:lineRule="auto"/>
        <w:ind w:firstLine="0" w:firstLineChars="0"/>
        <w:rPr>
          <w:rFonts w:hAnsi="宋体" w:cs="宋体"/>
          <w:b/>
        </w:rPr>
      </w:pPr>
      <w:r>
        <w:rPr>
          <w:rFonts w:hint="eastAsia" w:hAnsi="宋体" w:cs="宋体"/>
          <w:b/>
        </w:rPr>
        <w:t>27. 定标</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评标委员会将根据招标文件和有关规定，履行评标工作职责，以评标原则和评标办法为标准，全面衡量各投标人对招标文件的响应情况。对实质上响应招标文件的投标人，</w:t>
      </w:r>
      <w:r>
        <w:rPr>
          <w:rFonts w:hint="eastAsia" w:ascii="宋体" w:hAnsi="宋体" w:cs="宋体"/>
          <w:kern w:val="28"/>
          <w:sz w:val="24"/>
          <w:lang w:val="zh-CN"/>
        </w:rPr>
        <w:t>以打分的方法</w:t>
      </w:r>
      <w:r>
        <w:rPr>
          <w:rFonts w:hint="eastAsia" w:ascii="宋体" w:hAnsi="宋体" w:cs="宋体"/>
          <w:sz w:val="24"/>
        </w:rPr>
        <w:t>，排出推荐中标的投标人的先后顺序</w:t>
      </w:r>
      <w:r>
        <w:rPr>
          <w:rFonts w:hint="eastAsia" w:ascii="宋体" w:hAnsi="宋体" w:cs="宋体"/>
          <w:sz w:val="24"/>
          <w:lang w:val="zh-CN"/>
        </w:rPr>
        <w:t>，并按</w:t>
      </w:r>
      <w:r>
        <w:rPr>
          <w:rFonts w:hint="eastAsia" w:ascii="宋体" w:hAnsi="宋体" w:cs="宋体"/>
          <w:sz w:val="24"/>
        </w:rPr>
        <w:t>顺序</w:t>
      </w:r>
      <w:r>
        <w:rPr>
          <w:rFonts w:hint="eastAsia" w:ascii="宋体" w:hAnsi="宋体" w:cs="宋体"/>
          <w:sz w:val="24"/>
          <w:lang w:val="zh-CN"/>
        </w:rPr>
        <w:t>提出授标建议</w:t>
      </w:r>
      <w:r>
        <w:rPr>
          <w:rFonts w:hint="eastAsia" w:ascii="宋体" w:hAnsi="宋体" w:cs="宋体"/>
          <w:sz w:val="24"/>
        </w:rPr>
        <w:t>。评标结果报经批准，最终确定中标人。</w:t>
      </w:r>
    </w:p>
    <w:p>
      <w:pPr>
        <w:adjustRightInd w:val="0"/>
        <w:snapToGrid w:val="0"/>
        <w:spacing w:line="360" w:lineRule="auto"/>
        <w:ind w:firstLine="200"/>
        <w:rPr>
          <w:rFonts w:ascii="宋体" w:hAnsi="宋体" w:cs="宋体"/>
          <w:sz w:val="24"/>
          <w:lang w:val="zh-CN"/>
        </w:rPr>
      </w:pPr>
    </w:p>
    <w:p>
      <w:pPr>
        <w:adjustRightInd w:val="0"/>
        <w:snapToGrid w:val="0"/>
        <w:spacing w:line="360" w:lineRule="auto"/>
        <w:jc w:val="center"/>
        <w:outlineLvl w:val="0"/>
        <w:rPr>
          <w:rFonts w:ascii="宋体" w:hAnsi="宋体" w:cs="宋体"/>
          <w:b/>
          <w:sz w:val="24"/>
        </w:rPr>
      </w:pPr>
      <w:r>
        <w:rPr>
          <w:rFonts w:hint="eastAsia" w:ascii="宋体" w:hAnsi="宋体" w:cs="宋体"/>
          <w:b/>
          <w:sz w:val="24"/>
        </w:rPr>
        <w:t>八、合同签订及其他</w:t>
      </w:r>
    </w:p>
    <w:p>
      <w:pPr>
        <w:pStyle w:val="20"/>
        <w:adjustRightInd w:val="0"/>
        <w:snapToGrid w:val="0"/>
        <w:spacing w:line="360" w:lineRule="auto"/>
        <w:ind w:firstLine="0" w:firstLineChars="0"/>
        <w:rPr>
          <w:rFonts w:hAnsi="宋体" w:cs="宋体"/>
          <w:b/>
        </w:rPr>
      </w:pPr>
      <w:r>
        <w:rPr>
          <w:rFonts w:hint="eastAsia" w:hAnsi="宋体" w:cs="宋体"/>
          <w:b/>
        </w:rPr>
        <w:t>28. 中标书</w:t>
      </w:r>
    </w:p>
    <w:p>
      <w:pPr>
        <w:tabs>
          <w:tab w:val="left" w:pos="0"/>
        </w:tabs>
        <w:adjustRightInd w:val="0"/>
        <w:snapToGrid w:val="0"/>
        <w:spacing w:line="360" w:lineRule="auto"/>
        <w:ind w:firstLine="524" w:firstLineChars="200"/>
        <w:rPr>
          <w:rFonts w:ascii="宋体" w:hAnsi="宋体" w:cs="宋体"/>
          <w:sz w:val="24"/>
        </w:rPr>
      </w:pPr>
      <w:r>
        <w:rPr>
          <w:rFonts w:hint="eastAsia" w:ascii="宋体" w:hAnsi="宋体" w:cs="宋体"/>
          <w:sz w:val="24"/>
        </w:rPr>
        <w:t>28.1确定中标人后，招标代理机构将在发布招标公告的网站上公布评标结果，并将预中标结果在指定媒体上公示7个工作日，同时向中标供应商签发中标通知书。在招标代理机构发出中标通知书前，预中标供应商有违反有关法律法规和本项目要求行为的，则取消该投标人的预中标资格。</w:t>
      </w:r>
    </w:p>
    <w:p>
      <w:pPr>
        <w:tabs>
          <w:tab w:val="left" w:pos="0"/>
        </w:tabs>
        <w:adjustRightInd w:val="0"/>
        <w:snapToGrid w:val="0"/>
        <w:spacing w:line="360" w:lineRule="auto"/>
        <w:ind w:firstLine="524" w:firstLineChars="200"/>
        <w:rPr>
          <w:rFonts w:ascii="宋体" w:hAnsi="宋体" w:cs="宋体"/>
          <w:sz w:val="24"/>
        </w:rPr>
      </w:pPr>
      <w:r>
        <w:rPr>
          <w:rFonts w:hint="eastAsia" w:ascii="宋体" w:hAnsi="宋体" w:cs="宋体"/>
          <w:sz w:val="24"/>
        </w:rPr>
        <w:t>28.2投标人全部接受合同条件并签订合同后，中标通知书亦成为合同的组成部分。</w:t>
      </w:r>
    </w:p>
    <w:p>
      <w:pPr>
        <w:tabs>
          <w:tab w:val="left" w:pos="0"/>
        </w:tabs>
        <w:adjustRightInd w:val="0"/>
        <w:snapToGrid w:val="0"/>
        <w:spacing w:line="360" w:lineRule="auto"/>
        <w:ind w:firstLine="524" w:firstLineChars="200"/>
        <w:rPr>
          <w:rFonts w:ascii="宋体" w:hAnsi="宋体" w:cs="宋体"/>
          <w:sz w:val="24"/>
        </w:rPr>
      </w:pPr>
      <w:r>
        <w:rPr>
          <w:rFonts w:hint="eastAsia" w:ascii="宋体" w:hAnsi="宋体" w:cs="宋体"/>
          <w:sz w:val="24"/>
        </w:rPr>
        <w:t>28.3如中标人拒绝承担中标的项目，或提出招标代理机构不能接受的条件，致使合同无法签订，招标代理机构将取消其中标资格，并不再退还其投标保证金，考虑与下一次序中标候选人进行谈判或另行组织采购。</w:t>
      </w:r>
    </w:p>
    <w:p>
      <w:pPr>
        <w:pStyle w:val="27"/>
        <w:adjustRightInd w:val="0"/>
        <w:snapToGrid w:val="0"/>
        <w:spacing w:line="360" w:lineRule="auto"/>
        <w:ind w:left="0" w:leftChars="0" w:firstLine="524" w:firstLineChars="200"/>
        <w:rPr>
          <w:rFonts w:hAnsi="宋体" w:cs="宋体"/>
          <w:szCs w:val="24"/>
          <w:lang w:val="en-US"/>
        </w:rPr>
      </w:pPr>
      <w:r>
        <w:rPr>
          <w:rFonts w:hint="eastAsia" w:hAnsi="宋体" w:cs="宋体"/>
          <w:szCs w:val="24"/>
          <w:lang w:val="en-US"/>
        </w:rPr>
        <w:t>28.4在中标人签订合同并生效后，中标人即为供应商，招标代理机构及时将未中标的结果通知其他投标人。</w:t>
      </w:r>
    </w:p>
    <w:p>
      <w:pPr>
        <w:pStyle w:val="24"/>
        <w:adjustRightInd w:val="0"/>
        <w:snapToGrid w:val="0"/>
        <w:spacing w:line="360" w:lineRule="auto"/>
        <w:ind w:firstLine="524" w:firstLineChars="200"/>
        <w:rPr>
          <w:rFonts w:hAnsi="宋体" w:cs="宋体"/>
          <w:sz w:val="24"/>
          <w:szCs w:val="24"/>
        </w:rPr>
      </w:pPr>
      <w:r>
        <w:rPr>
          <w:rFonts w:hint="eastAsia" w:hAnsi="宋体" w:cs="宋体"/>
          <w:sz w:val="24"/>
          <w:szCs w:val="24"/>
        </w:rPr>
        <w:t>28.5 如签订合同并生效后，供应商无故拒绝或延期，除按照合同条款处罚外，列入不良行为记录一次，并给予通报。</w:t>
      </w:r>
    </w:p>
    <w:p>
      <w:pPr>
        <w:pStyle w:val="20"/>
        <w:adjustRightInd w:val="0"/>
        <w:snapToGrid w:val="0"/>
        <w:spacing w:line="360" w:lineRule="auto"/>
        <w:ind w:firstLine="0" w:firstLineChars="0"/>
        <w:rPr>
          <w:rFonts w:hAnsi="宋体" w:cs="宋体"/>
          <w:b/>
        </w:rPr>
      </w:pPr>
      <w:r>
        <w:rPr>
          <w:rFonts w:hint="eastAsia" w:hAnsi="宋体" w:cs="宋体"/>
          <w:b/>
        </w:rPr>
        <w:t>29. 合同的签订</w:t>
      </w:r>
    </w:p>
    <w:p>
      <w:pPr>
        <w:pStyle w:val="110"/>
        <w:adjustRightInd w:val="0"/>
        <w:snapToGrid w:val="0"/>
        <w:spacing w:before="0"/>
        <w:ind w:firstLine="525"/>
        <w:rPr>
          <w:rFonts w:ascii="宋体" w:hAnsi="宋体" w:cs="宋体"/>
          <w:kern w:val="0"/>
          <w:szCs w:val="24"/>
          <w:lang w:val="zh-CN"/>
        </w:rPr>
      </w:pPr>
      <w:r>
        <w:rPr>
          <w:rFonts w:hint="eastAsia" w:ascii="宋体" w:hAnsi="宋体" w:cs="宋体"/>
          <w:kern w:val="0"/>
          <w:szCs w:val="24"/>
          <w:lang w:val="zh-CN"/>
        </w:rPr>
        <w:t>中标人按规定的日期、时间、地点，由法定代表人或授权委托人与采购人代表签订合同，并缴纳5％履约保证金，经招标代理机构鉴证后生效。</w:t>
      </w:r>
    </w:p>
    <w:p>
      <w:pPr>
        <w:snapToGrid w:val="0"/>
        <w:spacing w:line="360" w:lineRule="auto"/>
        <w:ind w:firstLine="524" w:firstLineChars="200"/>
        <w:rPr>
          <w:rFonts w:ascii="宋体" w:hAnsi="宋体" w:cs="宋体"/>
          <w:sz w:val="24"/>
        </w:rPr>
      </w:pPr>
      <w:r>
        <w:rPr>
          <w:rFonts w:hint="eastAsia" w:ascii="宋体" w:hAnsi="宋体" w:cs="宋体"/>
          <w:sz w:val="24"/>
        </w:rPr>
        <w:t>中标人应为杭州市政府采购注册供应商，如尚未注册，应在签订合同前，登陆杭州市政府采购网（http://cg.hzft.gov.cn）进行注册并将书面资料提交公共资源交易中心复核备案。</w:t>
      </w:r>
    </w:p>
    <w:p>
      <w:pPr>
        <w:pStyle w:val="110"/>
        <w:adjustRightInd w:val="0"/>
        <w:snapToGrid w:val="0"/>
        <w:spacing w:before="0"/>
        <w:ind w:firstLine="525"/>
        <w:rPr>
          <w:rFonts w:ascii="宋体" w:hAnsi="宋体" w:cs="宋体"/>
          <w:szCs w:val="24"/>
        </w:rPr>
      </w:pPr>
    </w:p>
    <w:p>
      <w:pPr>
        <w:pStyle w:val="20"/>
        <w:adjustRightInd w:val="0"/>
        <w:snapToGrid w:val="0"/>
        <w:spacing w:line="360" w:lineRule="auto"/>
        <w:ind w:firstLine="0" w:firstLineChars="0"/>
        <w:rPr>
          <w:rFonts w:hAnsi="宋体" w:cs="宋体"/>
          <w:b/>
        </w:rPr>
      </w:pPr>
      <w:r>
        <w:rPr>
          <w:rFonts w:hint="eastAsia" w:hAnsi="宋体" w:cs="宋体"/>
          <w:b/>
        </w:rPr>
        <w:t>30. 履约保证金</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kern w:val="0"/>
          <w:sz w:val="24"/>
          <w:lang w:val="zh-CN"/>
        </w:rPr>
        <w:t>30.1</w:t>
      </w:r>
      <w:r>
        <w:rPr>
          <w:rFonts w:hint="eastAsia" w:ascii="宋体" w:hAnsi="宋体" w:cs="宋体"/>
          <w:sz w:val="24"/>
          <w:lang w:val="zh-CN"/>
        </w:rPr>
        <w:t>签订合同后</w:t>
      </w:r>
      <w:r>
        <w:rPr>
          <w:rFonts w:hint="eastAsia" w:ascii="宋体" w:hAnsi="宋体" w:cs="宋体"/>
          <w:sz w:val="24"/>
        </w:rPr>
        <w:t>3</w:t>
      </w:r>
      <w:r>
        <w:rPr>
          <w:rFonts w:hint="eastAsia" w:ascii="宋体" w:hAnsi="宋体" w:cs="宋体"/>
          <w:sz w:val="24"/>
          <w:lang w:val="zh-CN"/>
        </w:rPr>
        <w:t>个工作日内，中标人须向采购单位交纳相当于合同总额</w:t>
      </w:r>
      <w:r>
        <w:rPr>
          <w:rFonts w:hint="eastAsia" w:ascii="宋体" w:hAnsi="宋体" w:cs="宋体"/>
          <w:sz w:val="24"/>
        </w:rPr>
        <w:t>5%</w:t>
      </w:r>
      <w:r>
        <w:rPr>
          <w:rFonts w:hint="eastAsia" w:ascii="宋体" w:hAnsi="宋体" w:cs="宋体"/>
          <w:sz w:val="24"/>
          <w:lang w:val="zh-CN"/>
        </w:rPr>
        <w:t>的履约保证金。项目验收合格后履约保证金转为质保金，至质保期满后，售后服务良好，无质量和服务问题，原额（无息）归还。</w:t>
      </w:r>
    </w:p>
    <w:p>
      <w:pPr>
        <w:adjustRightInd w:val="0"/>
        <w:snapToGrid w:val="0"/>
        <w:spacing w:line="360" w:lineRule="auto"/>
        <w:ind w:firstLine="524" w:firstLineChars="200"/>
        <w:rPr>
          <w:rFonts w:ascii="宋体" w:hAnsi="宋体" w:cs="宋体"/>
          <w:sz w:val="24"/>
        </w:rPr>
      </w:pPr>
      <w:r>
        <w:rPr>
          <w:rFonts w:hint="eastAsia" w:ascii="宋体" w:hAnsi="宋体" w:cs="宋体"/>
          <w:sz w:val="24"/>
        </w:rPr>
        <w:t>30.2 中标人如未按时交纳履约保证金，招标代理机构有权撤销其中标资格，并根据评标委员会确定的中标候选人名单与下一顺序单位商谈合同，或报请批准后另行采购。</w:t>
      </w:r>
    </w:p>
    <w:p>
      <w:pPr>
        <w:pStyle w:val="20"/>
        <w:adjustRightInd w:val="0"/>
        <w:snapToGrid w:val="0"/>
        <w:spacing w:line="360" w:lineRule="auto"/>
        <w:ind w:firstLine="525"/>
        <w:rPr>
          <w:rFonts w:hAnsi="宋体" w:cs="宋体"/>
        </w:rPr>
      </w:pPr>
      <w:r>
        <w:rPr>
          <w:rFonts w:hint="eastAsia" w:hAnsi="宋体" w:cs="宋体"/>
        </w:rPr>
        <w:t>30.3 履约保证金可以用支票、银行汇票的形式交纳。</w:t>
      </w:r>
    </w:p>
    <w:p>
      <w:pPr>
        <w:autoSpaceDE w:val="0"/>
        <w:autoSpaceDN w:val="0"/>
        <w:adjustRightInd w:val="0"/>
        <w:snapToGrid w:val="0"/>
        <w:spacing w:line="360" w:lineRule="auto"/>
        <w:rPr>
          <w:rFonts w:ascii="宋体" w:hAnsi="宋体" w:cs="宋体"/>
          <w:b/>
          <w:bCs/>
          <w:sz w:val="24"/>
        </w:rPr>
      </w:pPr>
      <w:r>
        <w:rPr>
          <w:rFonts w:hint="eastAsia" w:ascii="宋体" w:hAnsi="宋体" w:cs="宋体"/>
          <w:b/>
          <w:bCs/>
          <w:sz w:val="24"/>
        </w:rPr>
        <w:t xml:space="preserve">31. </w:t>
      </w:r>
      <w:r>
        <w:rPr>
          <w:rFonts w:hint="eastAsia" w:ascii="宋体" w:hAnsi="宋体" w:cs="宋体"/>
          <w:b/>
          <w:bCs/>
          <w:sz w:val="24"/>
          <w:lang w:val="zh-CN"/>
        </w:rPr>
        <w:t>供货方式、交货时间及验收方式</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31.1</w:t>
      </w:r>
      <w:r>
        <w:rPr>
          <w:rFonts w:hint="eastAsia" w:ascii="宋体" w:hAnsi="宋体" w:cs="宋体"/>
          <w:sz w:val="24"/>
          <w:lang w:val="zh-CN"/>
        </w:rPr>
        <w:t>供应商在合同规定期限内，将所供货物（出厂原包装）按合同清单所列的采购单位名称、地址，运至指定地点拆箱，并负责安装调试和使用培训，经采购单位验收合格后交付使用。</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31.2</w:t>
      </w:r>
      <w:r>
        <w:rPr>
          <w:rFonts w:hint="eastAsia" w:ascii="宋体" w:hAnsi="宋体" w:cs="宋体"/>
          <w:sz w:val="24"/>
          <w:lang w:val="zh-CN"/>
        </w:rPr>
        <w:t>供应商必须向采购单位提供货物发票、货物说明书、质量保证书、</w:t>
      </w:r>
      <w:r>
        <w:rPr>
          <w:rFonts w:hint="eastAsia" w:ascii="宋体" w:hAnsi="宋体" w:cs="宋体"/>
          <w:sz w:val="24"/>
        </w:rPr>
        <w:t>“</w:t>
      </w:r>
      <w:r>
        <w:rPr>
          <w:rFonts w:hint="eastAsia" w:ascii="宋体" w:hAnsi="宋体" w:cs="宋体"/>
          <w:sz w:val="24"/>
          <w:lang w:val="zh-CN"/>
        </w:rPr>
        <w:t>三包凭证</w:t>
      </w:r>
      <w:r>
        <w:rPr>
          <w:rFonts w:hint="eastAsia" w:ascii="宋体" w:hAnsi="宋体" w:cs="宋体"/>
          <w:sz w:val="24"/>
        </w:rPr>
        <w:t>”</w:t>
      </w:r>
      <w:r>
        <w:rPr>
          <w:rFonts w:hint="eastAsia" w:ascii="宋体" w:hAnsi="宋体" w:cs="宋体"/>
          <w:sz w:val="24"/>
          <w:lang w:val="zh-CN"/>
        </w:rPr>
        <w:t>等相关资料和原配的附件，并对采购单位作使用和维护培训。</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31.3</w:t>
      </w:r>
      <w:r>
        <w:rPr>
          <w:rFonts w:hint="eastAsia" w:ascii="宋体" w:hAnsi="宋体" w:cs="宋体"/>
          <w:sz w:val="24"/>
          <w:lang w:val="zh-CN"/>
        </w:rPr>
        <w:t>采购单位对所供货物进行最终验收，验收不合格采购单位有权无条件调换或退货。如果发现与合同中要求不符，供应商须承担由此发生的一切损失和费用，并接受相应的处罚。验收合格后，采购单位、供应商共同签署验收报告。</w:t>
      </w:r>
    </w:p>
    <w:p>
      <w:pPr>
        <w:autoSpaceDE w:val="0"/>
        <w:autoSpaceDN w:val="0"/>
        <w:adjustRightInd w:val="0"/>
        <w:snapToGrid w:val="0"/>
        <w:spacing w:line="360" w:lineRule="auto"/>
        <w:rPr>
          <w:rFonts w:ascii="宋体" w:hAnsi="宋体" w:cs="宋体"/>
          <w:b/>
          <w:bCs/>
          <w:sz w:val="24"/>
          <w:lang w:val="zh-CN"/>
        </w:rPr>
      </w:pPr>
      <w:r>
        <w:rPr>
          <w:rFonts w:hint="eastAsia" w:ascii="宋体" w:hAnsi="宋体" w:cs="宋体"/>
          <w:b/>
          <w:bCs/>
          <w:sz w:val="24"/>
        </w:rPr>
        <w:t xml:space="preserve">32. </w:t>
      </w:r>
      <w:r>
        <w:rPr>
          <w:rFonts w:hint="eastAsia" w:ascii="宋体" w:hAnsi="宋体" w:cs="宋体"/>
          <w:b/>
          <w:bCs/>
          <w:sz w:val="24"/>
          <w:lang w:val="zh-CN"/>
        </w:rPr>
        <w:t>货款结算方式</w:t>
      </w:r>
    </w:p>
    <w:p>
      <w:pPr>
        <w:snapToGrid w:val="0"/>
        <w:spacing w:line="360" w:lineRule="auto"/>
        <w:ind w:firstLine="524" w:firstLineChars="200"/>
        <w:rPr>
          <w:rFonts w:ascii="宋体" w:hAnsi="宋体" w:cs="宋体"/>
          <w:sz w:val="24"/>
        </w:rPr>
      </w:pPr>
      <w:r>
        <w:rPr>
          <w:rFonts w:hint="eastAsia" w:ascii="宋体" w:hAnsi="宋体" w:cs="宋体"/>
          <w:sz w:val="24"/>
        </w:rPr>
        <w:t>合同生效后5个工作日内，供应商向采购人交纳合同总价5%的履约保证金后，耗材到采购人指定地点，安装调试运行正常，验收合格后5个工作日内，采购人向供应商支付耗材货款。</w:t>
      </w:r>
    </w:p>
    <w:p>
      <w:pPr>
        <w:pStyle w:val="20"/>
        <w:adjustRightInd w:val="0"/>
        <w:snapToGrid w:val="0"/>
        <w:spacing w:line="360" w:lineRule="auto"/>
        <w:ind w:firstLine="0" w:firstLineChars="0"/>
        <w:rPr>
          <w:rFonts w:hAnsi="宋体" w:cs="宋体"/>
          <w:b/>
        </w:rPr>
      </w:pPr>
      <w:r>
        <w:rPr>
          <w:rFonts w:hint="eastAsia" w:hAnsi="宋体" w:cs="宋体"/>
          <w:b/>
        </w:rPr>
        <w:t>33. 质疑与投诉</w:t>
      </w:r>
    </w:p>
    <w:p>
      <w:pPr>
        <w:pStyle w:val="110"/>
        <w:adjustRightInd w:val="0"/>
        <w:snapToGrid w:val="0"/>
        <w:spacing w:before="0"/>
        <w:ind w:firstLine="525"/>
        <w:rPr>
          <w:rFonts w:ascii="宋体" w:hAnsi="宋体" w:cs="宋体"/>
          <w:szCs w:val="24"/>
        </w:rPr>
      </w:pPr>
      <w:r>
        <w:rPr>
          <w:rFonts w:hint="eastAsia" w:ascii="宋体" w:hAnsi="宋体" w:cs="宋体"/>
          <w:szCs w:val="24"/>
        </w:rPr>
        <w:t>根据《中华人民共和国政府采购法》和《财政部关于加强政府采购供应商投诉受理审查工作的通知》(财库〔2007〕1号)的规定，投标人对政府采购活动事项有疑问的，可以向采购单位和招标代理机构提出询问，采购单位和招标代理机构应当及时作出答复，但答复的内容不得涉及商业秘密。</w:t>
      </w:r>
    </w:p>
    <w:p>
      <w:pPr>
        <w:pStyle w:val="110"/>
        <w:adjustRightInd w:val="0"/>
        <w:snapToGrid w:val="0"/>
        <w:spacing w:before="0"/>
        <w:ind w:firstLine="525"/>
        <w:rPr>
          <w:rFonts w:ascii="宋体" w:hAnsi="宋体" w:cs="宋体"/>
          <w:szCs w:val="24"/>
        </w:rPr>
      </w:pPr>
      <w:r>
        <w:rPr>
          <w:rFonts w:hint="eastAsia" w:ascii="宋体" w:hAnsi="宋体" w:cs="宋体"/>
          <w:szCs w:val="24"/>
        </w:rPr>
        <w:t>33.1  投标人认为招标文件、采购过程和中标、成交结果使自己的权益受到损害的，可以在知道或者应知其权益受到损害之日起七个工作日内，以书面形式向采购单位和招标代理机构提出质疑。</w:t>
      </w:r>
    </w:p>
    <w:p>
      <w:pPr>
        <w:pStyle w:val="110"/>
        <w:adjustRightInd w:val="0"/>
        <w:snapToGrid w:val="0"/>
        <w:spacing w:before="0"/>
        <w:ind w:firstLine="525"/>
        <w:rPr>
          <w:rFonts w:ascii="宋体" w:hAnsi="宋体" w:cs="宋体"/>
          <w:szCs w:val="24"/>
        </w:rPr>
      </w:pPr>
      <w:r>
        <w:rPr>
          <w:rFonts w:hint="eastAsia" w:ascii="宋体" w:hAnsi="宋体" w:cs="宋体"/>
          <w:szCs w:val="24"/>
        </w:rPr>
        <w:t>33.2  采购单位和招标代理机构应当在收到投标人的书面质疑后七个工作日内作出答复，并以书面形式通知质疑投标人，但答复的内容不得涉及商业秘密。</w:t>
      </w:r>
    </w:p>
    <w:p>
      <w:pPr>
        <w:pStyle w:val="110"/>
        <w:adjustRightInd w:val="0"/>
        <w:snapToGrid w:val="0"/>
        <w:spacing w:before="0"/>
        <w:ind w:firstLine="525"/>
        <w:rPr>
          <w:rFonts w:ascii="宋体" w:hAnsi="宋体" w:cs="宋体"/>
          <w:szCs w:val="24"/>
        </w:rPr>
      </w:pPr>
      <w:r>
        <w:rPr>
          <w:rFonts w:hint="eastAsia" w:ascii="宋体" w:hAnsi="宋体" w:cs="宋体"/>
          <w:szCs w:val="24"/>
        </w:rPr>
        <w:t>33.3  质疑投标人对采购单位和招标代理机构的答复不满意或者采购单位和招标代理机构未在规定的时间内作出答复的，可以在答复期满后十五个工作日内向同级政府采购监督管理部门提出投诉。</w:t>
      </w:r>
    </w:p>
    <w:p>
      <w:pPr>
        <w:adjustRightInd w:val="0"/>
        <w:snapToGrid w:val="0"/>
        <w:spacing w:line="360" w:lineRule="auto"/>
        <w:rPr>
          <w:rFonts w:ascii="宋体" w:hAnsi="宋体" w:cs="宋体"/>
          <w:b/>
          <w:sz w:val="24"/>
        </w:rPr>
      </w:pPr>
      <w:r>
        <w:rPr>
          <w:rFonts w:hint="eastAsia" w:ascii="宋体" w:hAnsi="宋体" w:cs="宋体"/>
          <w:b/>
          <w:sz w:val="24"/>
        </w:rPr>
        <w:t>34</w:t>
      </w:r>
      <w:r>
        <w:rPr>
          <w:rFonts w:hint="eastAsia" w:ascii="宋体" w:hAnsi="宋体" w:cs="宋体"/>
          <w:b/>
          <w:kern w:val="0"/>
          <w:sz w:val="24"/>
          <w:lang w:val="zh-CN"/>
        </w:rPr>
        <w:t xml:space="preserve">. </w:t>
      </w:r>
      <w:r>
        <w:rPr>
          <w:rFonts w:hint="eastAsia" w:ascii="宋体" w:hAnsi="宋体" w:cs="宋体"/>
          <w:b/>
          <w:sz w:val="24"/>
        </w:rPr>
        <w:t>解释权</w:t>
      </w:r>
    </w:p>
    <w:p>
      <w:pPr>
        <w:adjustRightInd w:val="0"/>
        <w:snapToGrid w:val="0"/>
        <w:spacing w:line="360" w:lineRule="auto"/>
        <w:ind w:firstLine="524" w:firstLineChars="200"/>
        <w:outlineLvl w:val="0"/>
        <w:rPr>
          <w:rFonts w:ascii="宋体" w:hAnsi="宋体" w:cs="宋体"/>
          <w:b/>
          <w:sz w:val="24"/>
        </w:rPr>
      </w:pPr>
      <w:r>
        <w:rPr>
          <w:rFonts w:hint="eastAsia" w:ascii="宋体" w:hAnsi="宋体" w:cs="宋体"/>
          <w:sz w:val="24"/>
        </w:rPr>
        <w:t>凡涉及本次招标文件的解释权均属于浙江中诺招标代理有限公司。</w:t>
      </w:r>
    </w:p>
    <w:p>
      <w:pPr>
        <w:adjustRightInd w:val="0"/>
        <w:snapToGrid w:val="0"/>
        <w:spacing w:line="360" w:lineRule="auto"/>
        <w:ind w:firstLine="200"/>
        <w:outlineLvl w:val="0"/>
        <w:rPr>
          <w:rFonts w:ascii="宋体" w:hAnsi="宋体" w:cs="宋体"/>
          <w:b/>
          <w:sz w:val="24"/>
        </w:rPr>
        <w:sectPr>
          <w:pgSz w:w="11906" w:h="16838"/>
          <w:pgMar w:top="1418" w:right="1418" w:bottom="425" w:left="1418" w:header="851" w:footer="851" w:gutter="0"/>
          <w:cols w:space="720" w:num="1"/>
          <w:docGrid w:type="linesAndChars" w:linePitch="466" w:charSpace="4568"/>
        </w:sectPr>
      </w:pPr>
    </w:p>
    <w:bookmarkEnd w:id="39"/>
    <w:p>
      <w:pPr>
        <w:tabs>
          <w:tab w:val="left" w:pos="1425"/>
        </w:tabs>
        <w:adjustRightInd w:val="0"/>
        <w:snapToGrid w:val="0"/>
        <w:spacing w:line="360" w:lineRule="auto"/>
        <w:jc w:val="center"/>
        <w:outlineLvl w:val="0"/>
        <w:rPr>
          <w:rFonts w:ascii="宋体" w:hAnsi="宋体" w:cs="宋体"/>
          <w:b/>
          <w:sz w:val="32"/>
          <w:szCs w:val="32"/>
        </w:rPr>
      </w:pPr>
      <w:bookmarkStart w:id="40" w:name="_Toc164416483"/>
      <w:r>
        <w:rPr>
          <w:rFonts w:hint="eastAsia" w:ascii="宋体" w:hAnsi="宋体" w:cs="宋体"/>
          <w:b/>
          <w:sz w:val="32"/>
          <w:szCs w:val="32"/>
        </w:rPr>
        <w:t>第三部分   项目技术规范和服务要求</w:t>
      </w:r>
      <w:bookmarkEnd w:id="0"/>
      <w:bookmarkEnd w:id="1"/>
      <w:bookmarkEnd w:id="2"/>
      <w:bookmarkEnd w:id="3"/>
      <w:bookmarkEnd w:id="40"/>
    </w:p>
    <w:p>
      <w:pPr>
        <w:tabs>
          <w:tab w:val="left" w:pos="1425"/>
        </w:tabs>
        <w:adjustRightInd w:val="0"/>
        <w:snapToGrid w:val="0"/>
        <w:spacing w:line="360" w:lineRule="auto"/>
        <w:outlineLvl w:val="0"/>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1、项目总体要求</w:t>
      </w:r>
    </w:p>
    <w:p>
      <w:pPr>
        <w:snapToGrid w:val="0"/>
        <w:spacing w:line="360" w:lineRule="auto"/>
        <w:ind w:firstLine="480" w:firstLineChars="200"/>
        <w:rPr>
          <w:rFonts w:ascii="宋体" w:hAnsi="宋体" w:cs="宋体"/>
          <w:sz w:val="24"/>
        </w:rPr>
      </w:pPr>
      <w:r>
        <w:rPr>
          <w:rFonts w:hint="eastAsia" w:ascii="宋体" w:hAnsi="宋体" w:cs="宋体"/>
          <w:sz w:val="24"/>
        </w:rPr>
        <w:t>1．1、以下所列仅为主要配件耗材的基本要求，投标人须按有关标准及规范完成本次招标配件耗材的供货、运输（含保险、装卸车）、安装、调试与检验、通过有关质量部门检测合格、质保期服务等各项工作，并保证设备使用的安全性与可靠性。</w:t>
      </w:r>
    </w:p>
    <w:p>
      <w:pPr>
        <w:snapToGrid w:val="0"/>
        <w:spacing w:line="360" w:lineRule="auto"/>
        <w:ind w:firstLine="480" w:firstLineChars="200"/>
        <w:rPr>
          <w:rFonts w:ascii="宋体" w:hAnsi="宋体" w:cs="宋体"/>
          <w:b/>
          <w:sz w:val="24"/>
        </w:rPr>
      </w:pPr>
      <w:r>
        <w:rPr>
          <w:rFonts w:hint="eastAsia" w:ascii="宋体" w:hAnsi="宋体" w:cs="宋体"/>
          <w:sz w:val="24"/>
        </w:rPr>
        <w:t>1.2、</w:t>
      </w:r>
      <w:r>
        <w:rPr>
          <w:rFonts w:hint="eastAsia" w:ascii="宋体" w:hAnsi="宋体" w:cs="宋体"/>
          <w:b/>
          <w:sz w:val="24"/>
        </w:rPr>
        <w:t>投标人的最终报价由投标人自担全部风险责任，中标后不得以任何理由调整报价或追加任何费用。如实际施工安装中发生数量的调整需经采购单位同意，增减数量的结算按相应投标价格计算。各竞标人应认真核算安全措施费及其他所需费用，凡未列入的，将被视为均已包含在投标总报价中。采购人不再增加任何涉及到本项目所需的费用。各投标人拟采取的竞争措施和提供给招标采购单位的优惠条件应在投标文件中列明；</w:t>
      </w:r>
    </w:p>
    <w:p>
      <w:pPr>
        <w:snapToGrid w:val="0"/>
        <w:spacing w:line="360" w:lineRule="auto"/>
        <w:ind w:firstLine="482" w:firstLineChars="200"/>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2、工作范围及要求：根据招标文件，各投标人须按国家有关标准及规范完成下列工作：</w:t>
      </w:r>
    </w:p>
    <w:p>
      <w:pPr>
        <w:snapToGrid w:val="0"/>
        <w:spacing w:line="360" w:lineRule="auto"/>
        <w:ind w:firstLine="480" w:firstLineChars="200"/>
        <w:rPr>
          <w:rFonts w:ascii="宋体" w:hAnsi="宋体" w:cs="宋体"/>
          <w:sz w:val="24"/>
        </w:rPr>
      </w:pPr>
      <w:r>
        <w:rPr>
          <w:rFonts w:hint="eastAsia" w:ascii="宋体" w:hAnsi="宋体" w:cs="宋体"/>
          <w:sz w:val="24"/>
        </w:rPr>
        <w:t>2.1、设备（材料）要求</w:t>
      </w:r>
    </w:p>
    <w:p>
      <w:pPr>
        <w:snapToGrid w:val="0"/>
        <w:spacing w:line="360" w:lineRule="auto"/>
        <w:ind w:firstLine="480" w:firstLineChars="200"/>
        <w:rPr>
          <w:rFonts w:ascii="宋体" w:hAnsi="宋体" w:cs="宋体"/>
          <w:sz w:val="24"/>
        </w:rPr>
      </w:pPr>
      <w:r>
        <w:rPr>
          <w:rFonts w:hint="eastAsia" w:ascii="宋体" w:hAnsi="宋体" w:cs="宋体"/>
          <w:sz w:val="24"/>
        </w:rPr>
        <w:t>2.1.1、投标人投标提供的耗材必须是厂商原装的、全新的，型号、性能及指标符合国家及招标文件提出的有关技术、质量、安全标准。</w:t>
      </w:r>
    </w:p>
    <w:p>
      <w:pPr>
        <w:snapToGrid w:val="0"/>
        <w:spacing w:line="360" w:lineRule="auto"/>
        <w:ind w:firstLine="480" w:firstLineChars="200"/>
        <w:rPr>
          <w:rFonts w:ascii="宋体" w:hAnsi="宋体" w:cs="宋体"/>
          <w:sz w:val="24"/>
        </w:rPr>
      </w:pPr>
      <w:r>
        <w:rPr>
          <w:rFonts w:hint="eastAsia" w:ascii="宋体" w:hAnsi="宋体" w:cs="宋体"/>
          <w:sz w:val="24"/>
        </w:rPr>
        <w:t>2.1.2、所有设备在开箱检验时必须完好，无破损，配置与装箱单相符。数量、质量及性能不低于本招标文件提出的要求。</w:t>
      </w:r>
    </w:p>
    <w:p>
      <w:pPr>
        <w:snapToGrid w:val="0"/>
        <w:spacing w:line="360" w:lineRule="auto"/>
        <w:ind w:firstLine="480" w:firstLineChars="200"/>
        <w:rPr>
          <w:rFonts w:ascii="宋体" w:hAnsi="宋体" w:cs="宋体"/>
          <w:sz w:val="24"/>
        </w:rPr>
      </w:pPr>
      <w:r>
        <w:rPr>
          <w:rFonts w:hint="eastAsia" w:ascii="宋体" w:hAnsi="宋体" w:cs="宋体"/>
          <w:sz w:val="24"/>
        </w:rPr>
        <w:t>2.1.3、设备外观清洁，标记编号以及盘面显示等字体清晰，明确。铭牌、使用指示、警告指示应以中文或英文及易懂的通用符号来表示；应准确无误地表明设备之型号、规格、制造厂及生产或出厂日期。</w:t>
      </w:r>
    </w:p>
    <w:p>
      <w:pPr>
        <w:snapToGrid w:val="0"/>
        <w:spacing w:line="360" w:lineRule="auto"/>
        <w:ind w:firstLine="480" w:firstLineChars="200"/>
        <w:rPr>
          <w:rFonts w:ascii="宋体" w:hAnsi="宋体" w:cs="宋体"/>
          <w:sz w:val="24"/>
        </w:rPr>
      </w:pPr>
      <w:r>
        <w:rPr>
          <w:rFonts w:hint="eastAsia" w:ascii="宋体" w:hAnsi="宋体" w:cs="宋体"/>
          <w:sz w:val="24"/>
        </w:rPr>
        <w:t>2.1.4、对于影响设备正常工作的必要组成部分，无论在技术规范中指出与否，投标人都应提供并在投标文件中明确列出。</w:t>
      </w:r>
    </w:p>
    <w:p>
      <w:pPr>
        <w:snapToGrid w:val="0"/>
        <w:spacing w:line="360" w:lineRule="auto"/>
        <w:ind w:firstLine="480" w:firstLineChars="200"/>
        <w:rPr>
          <w:rFonts w:ascii="宋体" w:hAnsi="宋体" w:cs="宋体"/>
          <w:sz w:val="24"/>
        </w:rPr>
      </w:pPr>
      <w:r>
        <w:rPr>
          <w:rFonts w:hint="eastAsia" w:ascii="宋体" w:hAnsi="宋体" w:cs="宋体"/>
          <w:sz w:val="24"/>
        </w:rPr>
        <w:t>2.1.5、所有货物提供出厂合格证等质量证明文件，如海关报关单、原产地证明、商检证明等。</w:t>
      </w:r>
    </w:p>
    <w:p>
      <w:pPr>
        <w:snapToGrid w:val="0"/>
        <w:spacing w:line="360" w:lineRule="auto"/>
        <w:rPr>
          <w:rFonts w:ascii="宋体" w:hAnsi="宋体" w:cs="宋体"/>
          <w:sz w:val="24"/>
        </w:rPr>
      </w:pPr>
      <w:r>
        <w:rPr>
          <w:rFonts w:hint="eastAsia" w:ascii="宋体" w:hAnsi="宋体" w:cs="宋体"/>
          <w:sz w:val="24"/>
        </w:rPr>
        <w:t>2.2、数量调整</w:t>
      </w:r>
    </w:p>
    <w:p>
      <w:pPr>
        <w:snapToGrid w:val="0"/>
        <w:spacing w:line="360" w:lineRule="auto"/>
        <w:ind w:firstLine="480" w:firstLineChars="200"/>
        <w:rPr>
          <w:rFonts w:ascii="宋体" w:hAnsi="宋体" w:cs="宋体"/>
          <w:sz w:val="24"/>
        </w:rPr>
      </w:pPr>
      <w:r>
        <w:rPr>
          <w:rFonts w:hint="eastAsia" w:ascii="宋体" w:hAnsi="宋体" w:cs="宋体"/>
          <w:sz w:val="24"/>
        </w:rPr>
        <w:t>采购人保留在签约时调整部分方案及定购设备数量和服务的权力，投标人应对系统方案中设备和服务明细报价，按投标单价不变的前提下进行调整，双方不得拒绝。</w:t>
      </w:r>
    </w:p>
    <w:p>
      <w:pPr>
        <w:snapToGrid w:val="0"/>
        <w:spacing w:line="360" w:lineRule="auto"/>
        <w:rPr>
          <w:rFonts w:ascii="宋体" w:hAnsi="宋体" w:cs="宋体"/>
          <w:sz w:val="24"/>
        </w:rPr>
      </w:pPr>
      <w:r>
        <w:rPr>
          <w:rFonts w:hint="eastAsia" w:ascii="宋体" w:hAnsi="宋体" w:cs="宋体"/>
          <w:sz w:val="24"/>
        </w:rPr>
        <w:t>2.3、安装及调试、验收</w:t>
      </w:r>
    </w:p>
    <w:p>
      <w:pPr>
        <w:snapToGrid w:val="0"/>
        <w:spacing w:line="360" w:lineRule="auto"/>
        <w:ind w:firstLine="480" w:firstLineChars="200"/>
        <w:rPr>
          <w:rFonts w:ascii="宋体" w:hAnsi="宋体" w:cs="宋体"/>
          <w:sz w:val="24"/>
        </w:rPr>
      </w:pPr>
      <w:r>
        <w:rPr>
          <w:rFonts w:hint="eastAsia" w:ascii="宋体" w:hAnsi="宋体" w:cs="宋体"/>
          <w:sz w:val="24"/>
        </w:rPr>
        <w:t>2.3.1、投标人应派采购人认可的有经验和能力、具有相应资质的技术人员，负责在设备安装期间应充分了解设备安装进度要求，解决安装中出现的技术问题。</w:t>
      </w:r>
    </w:p>
    <w:p>
      <w:pPr>
        <w:snapToGrid w:val="0"/>
        <w:spacing w:line="360" w:lineRule="auto"/>
        <w:ind w:firstLine="480" w:firstLineChars="200"/>
        <w:rPr>
          <w:rFonts w:ascii="宋体" w:hAnsi="宋体" w:cs="宋体"/>
          <w:sz w:val="24"/>
        </w:rPr>
      </w:pPr>
      <w:r>
        <w:rPr>
          <w:rFonts w:hint="eastAsia" w:ascii="宋体" w:hAnsi="宋体" w:cs="宋体"/>
          <w:sz w:val="24"/>
        </w:rPr>
        <w:t>2.3.2、耗材配件到货后，进行调试、验收按国家有关规范标准（国家无验收规范标准的按双方合同规定的要求）进行。</w:t>
      </w:r>
    </w:p>
    <w:p>
      <w:pPr>
        <w:snapToGrid w:val="0"/>
        <w:spacing w:line="360" w:lineRule="auto"/>
        <w:rPr>
          <w:rFonts w:ascii="宋体" w:hAnsi="宋体" w:cs="宋体"/>
          <w:sz w:val="24"/>
        </w:rPr>
      </w:pPr>
      <w:r>
        <w:rPr>
          <w:rFonts w:hint="eastAsia" w:ascii="宋体" w:hAnsi="宋体" w:cs="宋体"/>
          <w:sz w:val="24"/>
        </w:rPr>
        <w:t>2.4、售后服务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2.4.1、合同商品从验收合格之日起，乙方提供的设备实行免费保修不少于壹年（具体按耗材原厂规定）。</w:t>
      </w:r>
    </w:p>
    <w:p>
      <w:pPr>
        <w:pStyle w:val="13"/>
        <w:spacing w:line="360" w:lineRule="auto"/>
        <w:ind w:firstLine="480"/>
        <w:rPr>
          <w:rFonts w:hAnsi="宋体" w:cs="宋体"/>
          <w:color w:val="auto"/>
          <w:sz w:val="24"/>
          <w:szCs w:val="24"/>
        </w:rPr>
      </w:pPr>
      <w:r>
        <w:rPr>
          <w:rFonts w:hint="eastAsia" w:hAnsi="宋体" w:cs="宋体"/>
          <w:color w:val="auto"/>
          <w:sz w:val="24"/>
          <w:szCs w:val="24"/>
        </w:rPr>
        <w:t>2.4.2、投标人须提供经验收合格后质保期按招标文件标内说明执行。(投标人可根据自身实力作出更长时间的质保承诺)。在此期间，投标人应免费处理因质量发生的故障。</w:t>
      </w:r>
    </w:p>
    <w:p>
      <w:pPr>
        <w:tabs>
          <w:tab w:val="left" w:pos="3870"/>
          <w:tab w:val="left" w:pos="4085"/>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2.4.3、投标人必须有可靠的售后服务保障，有固定的维修服务点，能提供正常的技术、备品备件服务。投标人在接到采购人通知后，浙江及附近地区1个工作日内，外地2个工作日内派人赴现场处理设备质量问题。2个工作日内不能修复的，则无偿提供备机或备用零件供采购人使用。</w:t>
      </w:r>
    </w:p>
    <w:p>
      <w:pPr>
        <w:tabs>
          <w:tab w:val="left" w:pos="3870"/>
          <w:tab w:val="left" w:pos="4085"/>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2.4.4、 投标人提供的设备，必须符合招标文件及其投标文件规定的要求，如有不符，采购人可以无条件退货，造成的损失由中标人承担。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2.4.5 、投标人、供货人名称必须一致，否则作违约处理，其履约保证金不予退还。</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sectPr>
          <w:pgSz w:w="11906" w:h="16838"/>
          <w:pgMar w:top="1440" w:right="1797" w:bottom="1440" w:left="1797" w:header="851" w:footer="992" w:gutter="0"/>
          <w:cols w:space="720" w:num="1"/>
          <w:docGrid w:type="lines" w:linePitch="312" w:charSpace="0"/>
        </w:sectPr>
      </w:pPr>
    </w:p>
    <w:p>
      <w:pPr>
        <w:snapToGrid w:val="0"/>
        <w:spacing w:line="360" w:lineRule="auto"/>
        <w:rPr>
          <w:rFonts w:ascii="宋体" w:hAnsi="宋体" w:cs="宋体"/>
          <w:b/>
          <w:sz w:val="24"/>
        </w:rPr>
      </w:pPr>
      <w:r>
        <w:rPr>
          <w:rFonts w:hint="eastAsia" w:ascii="宋体" w:hAnsi="宋体" w:cs="宋体"/>
          <w:b/>
          <w:sz w:val="24"/>
        </w:rPr>
        <w:t>3、配送耗材配件需求清单：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2019年整涂系第45届世界技能大赛全国选拔赛实训耗材采购项目主要包含了汽车钣金与涂装、汽车装饰与美容等专业的年度实训教学所需耗材、工具，供学生进行钣金、油漆、装饰与美容等方面的技能操作训练。根据年度教学计划安排，本年度实训耗材的具体需求如下（附清单）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1、汽车钣金与涂装、汽车装饰与美容等几大专业相关的专用耗材的采购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2、汽车钣金与涂装、汽车装饰与美容等几大专业相关的专用工具的采购</w:t>
      </w:r>
    </w:p>
    <w:p>
      <w:pPr>
        <w:adjustRightInd w:val="0"/>
        <w:snapToGrid w:val="0"/>
        <w:spacing w:line="360" w:lineRule="auto"/>
        <w:ind w:firstLine="480" w:firstLineChars="200"/>
        <w:rPr>
          <w:rFonts w:ascii="宋体" w:hAnsi="宋体" w:cs="宋体"/>
          <w:color w:val="FF0000"/>
          <w:sz w:val="24"/>
        </w:rPr>
      </w:pPr>
      <w:r>
        <w:rPr>
          <w:rFonts w:hint="eastAsia" w:ascii="宋体" w:hAnsi="宋体" w:cs="宋体"/>
          <w:sz w:val="24"/>
        </w:rPr>
        <w:t>3、为确保质量，保障实训教学，所有的耗材和工具必须严格按照校方所提供的参数提供，实训喷漆耗材需要</w:t>
      </w:r>
      <w:r>
        <w:rPr>
          <w:rFonts w:hint="eastAsia" w:ascii="宋体" w:hAnsi="宋体" w:cs="宋体"/>
          <w:color w:val="FF0000"/>
          <w:sz w:val="24"/>
        </w:rPr>
        <w:t>2018年11月1日后生产的。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4、若供应商未按参数供货或所供的货不符合标准,将进行无条件退换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5、供应商需将耗材送达指定的存放地点，并承担相应的运输和装卸费用   </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6、所有耗材不得高于市场价格，供货过程中发现有高于市场价的耗材，采购人有权按市场价格支付耗材货款，供应商自己承担多出的货款。</w:t>
      </w:r>
    </w:p>
    <w:p>
      <w:pPr>
        <w:tabs>
          <w:tab w:val="left" w:pos="0"/>
        </w:tabs>
        <w:adjustRightInd w:val="0"/>
        <w:snapToGrid w:val="0"/>
        <w:spacing w:line="360" w:lineRule="auto"/>
        <w:ind w:firstLine="482" w:firstLineChars="200"/>
        <w:rPr>
          <w:rFonts w:ascii="宋体" w:hAnsi="宋体" w:cs="宋体"/>
          <w:b/>
          <w:sz w:val="24"/>
        </w:rPr>
      </w:pPr>
      <w:r>
        <w:rPr>
          <w:rFonts w:hint="eastAsia" w:ascii="宋体" w:hAnsi="宋体" w:cs="宋体"/>
          <w:b/>
          <w:sz w:val="24"/>
        </w:rPr>
        <w:t>7、投标人需承诺提供耗材应能满足与现有设备配套使用需求，同时承诺满足采购人有关技能竞赛、校企合作相关要求。</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8、欢迎能满足本项目技术需求且性能相当于或高于所明确品牌的产品参加投标报价。同时在技术偏离表中作出详细对比说明。</w:t>
      </w:r>
    </w:p>
    <w:p>
      <w:pPr>
        <w:tabs>
          <w:tab w:val="left" w:pos="0"/>
        </w:tabs>
        <w:adjustRightInd w:val="0"/>
        <w:snapToGrid w:val="0"/>
        <w:spacing w:line="360" w:lineRule="auto"/>
        <w:jc w:val="center"/>
        <w:rPr>
          <w:rFonts w:ascii="宋体" w:hAnsi="宋体" w:cs="宋体"/>
          <w:sz w:val="24"/>
        </w:rPr>
      </w:pPr>
      <w:r>
        <w:rPr>
          <w:rFonts w:hint="eastAsia" w:ascii="宋体" w:hAnsi="宋体" w:cs="宋体"/>
          <w:sz w:val="24"/>
        </w:rPr>
        <w:t>钣金耗材</w:t>
      </w:r>
    </w:p>
    <w:tbl>
      <w:tblPr>
        <w:tblStyle w:val="45"/>
        <w:tblW w:w="8336" w:type="dxa"/>
        <w:tblInd w:w="0" w:type="dxa"/>
        <w:tblLayout w:type="fixed"/>
        <w:tblCellMar>
          <w:top w:w="0" w:type="dxa"/>
          <w:left w:w="0" w:type="dxa"/>
          <w:bottom w:w="0" w:type="dxa"/>
          <w:right w:w="0" w:type="dxa"/>
        </w:tblCellMar>
      </w:tblPr>
      <w:tblGrid>
        <w:gridCol w:w="3203"/>
        <w:gridCol w:w="3269"/>
        <w:gridCol w:w="696"/>
        <w:gridCol w:w="1168"/>
      </w:tblGrid>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品名</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型号、规格</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预计数量</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组合件</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第45届世界技能大赛车身修理项目 B模块专用板件</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80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专用焊点去除钻</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瓦尔特0.8mm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4.2#麻花钻</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4.5#麻花钻</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6.0#麻花钻</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6.5#麻花钻</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6.7#麻花钻</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8mm麻花钻</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10mm麻花钻</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合金钻</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直柄焊点去除钻头</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0.6mm合金钻W+s</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直柄焊点去除钻头</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0.8mm合金钻W+S</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支</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左前翼子板</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原厂上汽荣威350（原厂车型待定）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右前门皮</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原厂上汽荣威350（原厂车型待定）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手套</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FS0109</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双</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铲刀</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型号：95201</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把</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自喷锌粉漆</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伍尔特0893113 113</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罐</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冲压铆钉</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BMW  （83 19 2 158 079）</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中职组合件</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奔腾国赛专用 新款ABCDE</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进口海绵块双面砂纸</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W+S BTR/BOR 0.8mm</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三刀头</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W+S BTR/BOR 0.6mm</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三刀头</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铝植钉</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奔驰专用小号</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双组分铝腻子</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奔驰专用</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锯条</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强斯威24T</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锯条</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强斯威32T</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砂带</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龙神</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显影剂</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9VF2</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玻璃镜片</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3M焊接面罩镜片</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导电嘴</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福尼斯0.6</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砂纸</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优耐 P60 P80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焊丝</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0.6mm   </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油性笔</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黑白各2盒</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焊点分离钻头</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0.8mm</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3M双组份结构胶</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3M07333</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定位中心冲</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大、中、小</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钣金工作手套</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掌浸类</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双</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介子片</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长型的长：40mm  后圆孔大：15mm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81</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耳塞</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圣诞树型耳塞　</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线手套</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打</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2寸无纺布打磨砂纸</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优耐 P60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2寸无纺布打磨砂纸</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优耐 P80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2寸无纺布打磨砂纸</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优耐 P120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百叶打磨片</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手提电动砂轮机90mm</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抽芯铆钉</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3*12</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透明塑料软垫</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0.3mm  1m×20m</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圆钢</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直径28mm长40米，一米一段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圆钢筋</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宽：8mm  长1000mm一米一段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圆钢筋</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宽：10mm  长1000mm一米一段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弹簧钢板</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长：1000mm 宽：30mm  高5mm一米一段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U型钢</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长：80mm 宽：40mm  高5mm</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线凿</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大直口长：80mm  线凿部宽：50mm</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线凿</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小直口长：80mm  线凿部宽：30mm</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线凿</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半圆弧长：80mm  线凿部弧宽：30mm</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铲刀</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世达</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把</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焊接枪头</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丙酮清洁剂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升</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中职试焊板</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0.6mm/0.8mm/连续焊/连续点焊板</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铁丝</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直径3mm</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钢板</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钢板</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钢板</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铝板</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1m*2m（0.8mm、2.5mm、6mm）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3M防护眼睛</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3M口罩</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线手套</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棉纱手套</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打</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导电嘴</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0.6mm、1.0mm、1.2mm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太阳膜</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尺寸：宽2米，长20米</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麻花钻</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直径3mm—8mm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柏油清洗剂</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轮胎釉</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龟牌</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去污蜡</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香波清洗剂</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龟牌</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捷豹路虎专用组合件</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Style w:val="103"/>
                <w:rFonts w:hint="eastAsia" w:ascii="宋体" w:hAnsi="宋体" w:eastAsia="宋体" w:cs="宋体"/>
                <w:sz w:val="18"/>
                <w:szCs w:val="18"/>
                <w:lang w:bidi="ar"/>
              </w:rPr>
              <w:t>　 捷豹路虎专用</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    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乐风门皮</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奔腾国赛专用乐风右前门皮</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    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80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1.0黄铜</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1m*2m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1.0不锈钢</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1m*2m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3M泡沫胶</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8308</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无妨沙带</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棕色型号</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287</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汉高的金属胶</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EP5055</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不锈钢直钢筋</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0.5mm*1000mm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显影剂</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铝焊专用</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镀锌板</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厚度不限</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锯条</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龙神</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条</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焊接手套</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3M无妨砂带</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33588</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条</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3M打磨砂带</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33588</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条</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2寸打磨砂片</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P30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4寸打磨砂片</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P60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bl>
    <w:p>
      <w:pPr>
        <w:tabs>
          <w:tab w:val="left" w:pos="0"/>
        </w:tabs>
        <w:adjustRightInd w:val="0"/>
        <w:snapToGrid w:val="0"/>
        <w:spacing w:line="360" w:lineRule="auto"/>
        <w:jc w:val="center"/>
        <w:rPr>
          <w:rFonts w:ascii="宋体" w:hAnsi="宋体" w:cs="宋体"/>
          <w:sz w:val="24"/>
        </w:rPr>
      </w:pPr>
    </w:p>
    <w:p>
      <w:pPr>
        <w:tabs>
          <w:tab w:val="left" w:pos="0"/>
        </w:tabs>
        <w:adjustRightInd w:val="0"/>
        <w:snapToGrid w:val="0"/>
        <w:spacing w:line="360" w:lineRule="auto"/>
        <w:jc w:val="center"/>
        <w:rPr>
          <w:rFonts w:ascii="宋体" w:hAnsi="宋体" w:cs="宋体"/>
          <w:sz w:val="24"/>
        </w:rPr>
      </w:pPr>
      <w:r>
        <w:rPr>
          <w:rFonts w:hint="eastAsia" w:ascii="宋体" w:hAnsi="宋体" w:cs="宋体"/>
          <w:sz w:val="24"/>
        </w:rPr>
        <w:t>油漆耗材</w:t>
      </w:r>
    </w:p>
    <w:tbl>
      <w:tblPr>
        <w:tblStyle w:val="45"/>
        <w:tblW w:w="8336" w:type="dxa"/>
        <w:tblInd w:w="0" w:type="dxa"/>
        <w:tblLayout w:type="fixed"/>
        <w:tblCellMar>
          <w:top w:w="0" w:type="dxa"/>
          <w:left w:w="0" w:type="dxa"/>
          <w:bottom w:w="0" w:type="dxa"/>
          <w:right w:w="0" w:type="dxa"/>
        </w:tblCellMar>
      </w:tblPr>
      <w:tblGrid>
        <w:gridCol w:w="3203"/>
        <w:gridCol w:w="3269"/>
        <w:gridCol w:w="696"/>
        <w:gridCol w:w="1168"/>
      </w:tblGrid>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品名</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型号、规格</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预计数量</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原子灰</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国产</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原子灰</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PPG-ACS皓彩汽车漆系列</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80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中涂漆</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PPG-ACS皓彩汽车漆系列(3.5L)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90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中涂漆固化剂</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PPG-ACS皓彩汽车漆系列(2.5L)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中涂、清漆稀释剂</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PPG-ACS皓彩汽车漆系列(5L)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除油剂</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PPG-ACS皓彩汽车漆系列(5L)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清漆</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P196-518（PPG-ACS皓彩汽车漆系列）(5L)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清漆固化剂</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P211-9016（PPG-ACS皓彩汽车漆系列）(2.5L)</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棉纱手套</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MSST</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对</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龙神无硅乳胶用套</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LS-ST</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Plus皇牌干磨砂纸P80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plus皇牌干磨砂纸P120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3310-695012-P120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plus皇牌干磨砂纸P180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3310-695018-P180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plus皇牌干磨砂纸P240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3310-695025-P240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plus皇牌干磨砂纸P320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3310-695032-P320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plus皇牌干磨砂纸P400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3310-695041-P400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plus皇牌干磨砂纸P500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3310-695051-P500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plus皇牌干磨砂纸P80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3310-C05080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plus皇牌干磨砂纸P120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3310-C05012-P120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plus皇牌干磨砂纸P180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3310-C05018-P180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 plus皇牌干磨砂纸P240</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3310-C05025-P240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PPG双组份中涂底漆</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P565-510(3.5L)</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听</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PPG防尘口罩</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6060-1302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磨卡精磨砂棉</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1000号</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磨卡精磨砂棉</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Style w:val="244"/>
                <w:sz w:val="18"/>
                <w:szCs w:val="18"/>
                <w:lang w:bidi="ar"/>
              </w:rPr>
              <w:t xml:space="preserve">000号 </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调漆罐</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1L</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调漆罐</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0.5L</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金属刮灰刀（小钢片刮刀）</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金属铲刀（带木柄，刀口宽10cm左右）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把</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毛刷（木柄）</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1寸</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把</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毛刷（木柄）</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1.5寸</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把</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香蕉水</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桶</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161</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3M口罩过滤棉</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5N11CN</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3M遮蔽纸</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宽60cm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3M遮蔽纸</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宽80cm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3M遮蔽纸</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宽100cm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3M喷涂专用遮蔽膜</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宽4.0米</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3M喷涂专用遮蔽膜</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宽2.0米</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猛龙菜瓜布</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3340-F02037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菜瓜布</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3340-F02095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片</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皓彩抹尘布</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块</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皓彩纸漏斗</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1200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皇牌大卷式除油布</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3510-0779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3M口罩滤毒盒</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napToGrid w:val="0"/>
              <w:jc w:val="center"/>
              <w:rPr>
                <w:rFonts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对</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皱纹胶带</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左前翼子板</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世赛专用(型号待定）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件</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右前翼子板</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世赛专用(型号待定）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件</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左前门</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世赛专用(型号待定）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件</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右前门</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世赛专用(型号待定）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件</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保险杠</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世赛专用(型号待定）</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件</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三工序添加剂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90-M5-1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银粉控制剂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90-M1-1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水性调整树脂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90-M4-5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水性调整剂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90-E3-5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标准稀释剂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352-91-5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慢干稀释剂</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352-216-5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HS 快速修补清漆 VOC</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923-135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HS多功能抗划伤清漆 VOC</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923-335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MS哑光清漆</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923-55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0.75L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MS哑光清漆</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923-58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0.75L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快干固化剂 VOC</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929-31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0.5L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标准固化剂 VOC</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929-33 </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抗石击及地盘防护漆</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1109-1240/4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0.8L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点修补驳口溶剂（自喷罐）</w:t>
            </w:r>
          </w:p>
        </w:tc>
        <w:tc>
          <w:tcPr>
            <w:tcW w:w="32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352-500AE</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0.5L</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点修补塑料底漆（自喷罐）</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934-10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0.4L</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通用原子灰</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839-20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1.5L</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塑料原子灰</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839-90</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1.5L</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原子灰固化剂</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948-36</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0.5L</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巴斯夫调色试板 白</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白色带黑线</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巴斯夫调色试板 灰</w:t>
            </w:r>
          </w:p>
        </w:tc>
        <w:tc>
          <w:tcPr>
            <w:tcW w:w="32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灰色带黑线</w:t>
            </w:r>
          </w:p>
        </w:tc>
        <w:tc>
          <w:tcPr>
            <w:tcW w:w="6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张</w:t>
            </w:r>
          </w:p>
        </w:tc>
        <w:tc>
          <w:tcPr>
            <w:tcW w:w="11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磨卡精磨砂棉</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1000号</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磨卡精磨砂棉</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Style w:val="244"/>
                <w:sz w:val="18"/>
                <w:szCs w:val="18"/>
                <w:lang w:bidi="ar"/>
              </w:rPr>
              <w:t xml:space="preserve">000号 </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盒</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233+ 旗舰遮蔽胶带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36毫米X55米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3M233+ 36mm*55m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48</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233+ 旗舰遮蔽胶带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18毫米X55米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3M233+ 18mm*55m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96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PN06545 汽车遮蔽胶带18毫米X55米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3MPM06545 18mm*56m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96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2298 汽车专用遮蔽胶带18毫米X50米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3M2298 18mm*57m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96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PN6349 装饰条遮蔽胶带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10MM  50.8MMX10M BXD</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3M PN6349 </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PN06373 预制胶带式遮蔽膜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18MMX1000MMX20M,30卷/箱</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PN06373</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3M PN06372 预制胶带式遮蔽膜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18MMX800MMX20M,30卷/箱</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PN06372</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3M PN06371 预制胶带式遮蔽膜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18MMX550MMX20M,50卷/箱</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 PN06371</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3M分色胶带471（蓝色）  3毫米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3M471+ 3mm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3M分色胶带471（蓝色）  6毫米</w:t>
            </w:r>
          </w:p>
        </w:tc>
        <w:tc>
          <w:tcPr>
            <w:tcW w:w="32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3M471+ 6mm</w:t>
            </w:r>
          </w:p>
        </w:tc>
        <w:tc>
          <w:tcPr>
            <w:tcW w:w="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卷</w:t>
            </w:r>
          </w:p>
        </w:tc>
        <w:tc>
          <w:tcPr>
            <w:tcW w:w="1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RPS水性多功能免洗壶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 125 0.6L</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RPS通用型多功能免洗壶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 200 0.6L</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RPS水性漆多功能免洗壶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 125 0.3L</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Layout w:type="fixed"/>
          <w:tblCellMar>
            <w:top w:w="0" w:type="dxa"/>
            <w:left w:w="0" w:type="dxa"/>
            <w:bottom w:w="0" w:type="dxa"/>
            <w:right w:w="0" w:type="dxa"/>
          </w:tblCellMar>
        </w:tblPrEx>
        <w:tc>
          <w:tcPr>
            <w:tcW w:w="3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RPS通用型多功能免洗壶</w:t>
            </w:r>
          </w:p>
        </w:tc>
        <w:tc>
          <w:tcPr>
            <w:tcW w:w="32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SATA RPS 200 0.3L</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r>
    </w:tbl>
    <w:p>
      <w:pPr>
        <w:ind w:firstLine="560" w:firstLineChars="200"/>
        <w:rPr>
          <w:rFonts w:ascii="宋体" w:hAnsi="宋体" w:cs="宋体"/>
          <w:sz w:val="28"/>
        </w:rPr>
      </w:pPr>
    </w:p>
    <w:p>
      <w:pPr>
        <w:tabs>
          <w:tab w:val="left" w:pos="0"/>
        </w:tabs>
        <w:adjustRightInd w:val="0"/>
        <w:snapToGrid w:val="0"/>
        <w:spacing w:line="360" w:lineRule="auto"/>
        <w:ind w:firstLine="480" w:firstLineChars="200"/>
        <w:rPr>
          <w:rFonts w:ascii="宋体" w:hAnsi="宋体" w:cs="宋体"/>
          <w:sz w:val="24"/>
        </w:rPr>
      </w:pPr>
    </w:p>
    <w:p>
      <w:pPr>
        <w:tabs>
          <w:tab w:val="left" w:pos="0"/>
        </w:tabs>
        <w:adjustRightInd w:val="0"/>
        <w:snapToGrid w:val="0"/>
        <w:spacing w:line="360" w:lineRule="auto"/>
        <w:ind w:firstLine="480" w:firstLineChars="200"/>
        <w:rPr>
          <w:rFonts w:ascii="宋体" w:hAnsi="宋体" w:cs="宋体"/>
          <w:sz w:val="24"/>
        </w:rPr>
        <w:sectPr>
          <w:pgSz w:w="11906" w:h="16838"/>
          <w:pgMar w:top="1440" w:right="1797" w:bottom="1440" w:left="1797" w:header="851" w:footer="851" w:gutter="0"/>
          <w:cols w:space="720" w:num="1"/>
          <w:titlePg/>
          <w:docGrid w:linePitch="466" w:charSpace="4568"/>
        </w:sectPr>
      </w:pPr>
    </w:p>
    <w:p>
      <w:pPr>
        <w:autoSpaceDE w:val="0"/>
        <w:autoSpaceDN w:val="0"/>
        <w:adjustRightInd w:val="0"/>
        <w:snapToGrid w:val="0"/>
        <w:spacing w:line="360" w:lineRule="auto"/>
        <w:ind w:firstLine="1928" w:firstLineChars="600"/>
        <w:rPr>
          <w:rFonts w:ascii="宋体" w:hAnsi="宋体" w:cs="宋体"/>
          <w:b/>
          <w:bCs/>
          <w:sz w:val="32"/>
          <w:szCs w:val="32"/>
          <w:lang w:val="zh-CN"/>
        </w:rPr>
      </w:pPr>
      <w:r>
        <w:rPr>
          <w:rFonts w:hint="eastAsia" w:ascii="宋体" w:hAnsi="宋体" w:cs="宋体"/>
          <w:b/>
          <w:bCs/>
          <w:sz w:val="32"/>
          <w:szCs w:val="32"/>
          <w:lang w:val="zh-CN"/>
        </w:rPr>
        <w:t>第四部分　采购合同参照样本</w:t>
      </w:r>
    </w:p>
    <w:p>
      <w:pPr>
        <w:autoSpaceDE w:val="0"/>
        <w:autoSpaceDN w:val="0"/>
        <w:adjustRightInd w:val="0"/>
        <w:snapToGrid w:val="0"/>
        <w:spacing w:line="360" w:lineRule="auto"/>
        <w:ind w:firstLine="1928" w:firstLineChars="600"/>
        <w:rPr>
          <w:rFonts w:ascii="宋体" w:hAnsi="宋体" w:cs="宋体"/>
          <w:b/>
          <w:bCs/>
          <w:sz w:val="32"/>
          <w:szCs w:val="32"/>
        </w:rPr>
      </w:pPr>
    </w:p>
    <w:p>
      <w:pPr>
        <w:autoSpaceDE w:val="0"/>
        <w:autoSpaceDN w:val="0"/>
        <w:adjustRightInd w:val="0"/>
        <w:snapToGrid w:val="0"/>
        <w:spacing w:line="360" w:lineRule="auto"/>
        <w:ind w:firstLine="646"/>
        <w:rPr>
          <w:rFonts w:ascii="宋体" w:hAnsi="宋体" w:cs="宋体"/>
          <w:b/>
          <w:bCs/>
          <w:sz w:val="24"/>
        </w:rPr>
      </w:pPr>
      <w:r>
        <w:rPr>
          <w:rFonts w:hint="eastAsia" w:ascii="宋体" w:hAnsi="宋体" w:cs="宋体"/>
          <w:b/>
          <w:bCs/>
          <w:sz w:val="24"/>
          <w:lang w:val="zh-CN"/>
        </w:rPr>
        <w:t>特别提示：以下为杭州技师学院的合同范本，仅供参考，不可照搬。合同条款的具体内容应严格按照招标文件、投标文件、招标结果及中标的承诺来拟订。</w:t>
      </w: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采 购 合 同</w:t>
      </w:r>
    </w:p>
    <w:p>
      <w:pPr>
        <w:snapToGrid w:val="0"/>
        <w:spacing w:line="360" w:lineRule="auto"/>
        <w:rPr>
          <w:rFonts w:ascii="宋体" w:hAnsi="宋体" w:cs="宋体"/>
          <w:sz w:val="24"/>
        </w:rPr>
      </w:pPr>
      <w:r>
        <w:rPr>
          <w:rFonts w:hint="eastAsia" w:ascii="宋体" w:hAnsi="宋体" w:cs="宋体"/>
          <w:sz w:val="24"/>
        </w:rPr>
        <w:t>供方(乙方)：合同编号：</w:t>
      </w:r>
    </w:p>
    <w:p>
      <w:pPr>
        <w:snapToGrid w:val="0"/>
        <w:spacing w:line="360" w:lineRule="auto"/>
        <w:rPr>
          <w:rFonts w:ascii="宋体" w:hAnsi="宋体" w:cs="宋体"/>
          <w:sz w:val="24"/>
        </w:rPr>
      </w:pPr>
      <w:r>
        <w:rPr>
          <w:rFonts w:hint="eastAsia" w:ascii="宋体" w:hAnsi="宋体" w:cs="宋体"/>
          <w:sz w:val="24"/>
        </w:rPr>
        <w:t xml:space="preserve">                                     标书编号： </w:t>
      </w:r>
    </w:p>
    <w:p>
      <w:pPr>
        <w:snapToGrid w:val="0"/>
        <w:spacing w:line="360" w:lineRule="auto"/>
        <w:rPr>
          <w:rFonts w:ascii="宋体" w:hAnsi="宋体" w:cs="宋体"/>
          <w:sz w:val="24"/>
        </w:rPr>
      </w:pPr>
      <w:r>
        <w:rPr>
          <w:rFonts w:hint="eastAsia" w:ascii="宋体" w:hAnsi="宋体" w:cs="宋体"/>
          <w:sz w:val="24"/>
        </w:rPr>
        <w:t>需方(甲方)：</w:t>
      </w:r>
      <w:r>
        <w:rPr>
          <w:rFonts w:hint="eastAsia" w:ascii="宋体" w:hAnsi="宋体" w:cs="宋体"/>
          <w:b/>
          <w:sz w:val="24"/>
        </w:rPr>
        <w:t xml:space="preserve">杭州技师学院             </w:t>
      </w:r>
      <w:r>
        <w:rPr>
          <w:rFonts w:hint="eastAsia" w:ascii="宋体" w:hAnsi="宋体" w:cs="宋体"/>
          <w:sz w:val="24"/>
        </w:rPr>
        <w:t>经费来源：</w:t>
      </w:r>
    </w:p>
    <w:p>
      <w:pPr>
        <w:snapToGrid w:val="0"/>
        <w:spacing w:line="360" w:lineRule="auto"/>
        <w:rPr>
          <w:rFonts w:ascii="宋体" w:hAnsi="宋体" w:cs="宋体"/>
          <w:sz w:val="24"/>
        </w:rPr>
      </w:pPr>
      <w:r>
        <w:rPr>
          <w:rFonts w:hint="eastAsia" w:ascii="宋体" w:hAnsi="宋体" w:cs="宋体"/>
          <w:sz w:val="24"/>
        </w:rPr>
        <w:t xml:space="preserve">                                     签约地点、时间：</w:t>
      </w:r>
    </w:p>
    <w:p>
      <w:pPr>
        <w:snapToGrid w:val="0"/>
        <w:spacing w:line="360" w:lineRule="auto"/>
        <w:ind w:firstLine="480" w:firstLineChars="200"/>
        <w:rPr>
          <w:rFonts w:ascii="宋体" w:hAnsi="宋体" w:cs="宋体"/>
          <w:sz w:val="24"/>
        </w:rPr>
      </w:pPr>
      <w:r>
        <w:rPr>
          <w:rFonts w:hint="eastAsia" w:ascii="宋体" w:hAnsi="宋体" w:cs="宋体"/>
          <w:sz w:val="24"/>
        </w:rPr>
        <w:t>杭州技师学院(甲方)经过公开招标 ，确定贵公司为供货(乙方)单位，双方经协商达成以下条款：</w:t>
      </w:r>
    </w:p>
    <w:p>
      <w:pPr>
        <w:snapToGrid w:val="0"/>
        <w:spacing w:line="360" w:lineRule="auto"/>
        <w:rPr>
          <w:rFonts w:ascii="宋体" w:hAnsi="宋体" w:cs="宋体"/>
          <w:b/>
          <w:sz w:val="24"/>
        </w:rPr>
      </w:pPr>
      <w:r>
        <w:rPr>
          <w:rFonts w:hint="eastAsia" w:ascii="宋体" w:hAnsi="宋体" w:cs="宋体"/>
          <w:b/>
          <w:sz w:val="24"/>
        </w:rPr>
        <w:t xml:space="preserve">第一条：采购商品清单及合同价：               </w:t>
      </w:r>
      <w:r>
        <w:rPr>
          <w:rFonts w:hint="eastAsia" w:ascii="宋体" w:hAnsi="宋体" w:cs="宋体"/>
          <w:sz w:val="24"/>
        </w:rPr>
        <w:t>单位：人民币元</w:t>
      </w:r>
    </w:p>
    <w:tbl>
      <w:tblPr>
        <w:tblStyle w:val="45"/>
        <w:tblpPr w:leftFromText="180" w:rightFromText="180" w:vertAnchor="text" w:horzAnchor="margin" w:tblpY="17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844"/>
        <w:gridCol w:w="1685"/>
        <w:gridCol w:w="1037"/>
        <w:gridCol w:w="1011"/>
        <w:gridCol w:w="90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07" w:type="dxa"/>
            <w:vAlign w:val="center"/>
          </w:tcPr>
          <w:p>
            <w:pPr>
              <w:snapToGrid w:val="0"/>
              <w:spacing w:line="360" w:lineRule="auto"/>
              <w:ind w:left="-360"/>
              <w:jc w:val="center"/>
              <w:rPr>
                <w:rFonts w:ascii="宋体" w:hAnsi="宋体" w:cs="宋体"/>
                <w:sz w:val="24"/>
              </w:rPr>
            </w:pPr>
            <w:r>
              <w:rPr>
                <w:rFonts w:hint="eastAsia" w:ascii="宋体" w:hAnsi="宋体" w:cs="宋体"/>
                <w:sz w:val="24"/>
              </w:rPr>
              <w:t xml:space="preserve">  编号</w:t>
            </w:r>
          </w:p>
        </w:tc>
        <w:tc>
          <w:tcPr>
            <w:tcW w:w="1844" w:type="dxa"/>
            <w:vAlign w:val="center"/>
          </w:tcPr>
          <w:p>
            <w:pPr>
              <w:snapToGrid w:val="0"/>
              <w:spacing w:line="360" w:lineRule="auto"/>
              <w:ind w:left="-360"/>
              <w:jc w:val="center"/>
              <w:rPr>
                <w:rFonts w:ascii="宋体" w:hAnsi="宋体" w:cs="宋体"/>
                <w:sz w:val="24"/>
              </w:rPr>
            </w:pPr>
            <w:r>
              <w:rPr>
                <w:rFonts w:hint="eastAsia" w:ascii="宋体" w:hAnsi="宋体" w:cs="宋体"/>
                <w:sz w:val="24"/>
              </w:rPr>
              <w:t>产品名称</w:t>
            </w:r>
          </w:p>
        </w:tc>
        <w:tc>
          <w:tcPr>
            <w:tcW w:w="1685" w:type="dxa"/>
            <w:vAlign w:val="center"/>
          </w:tcPr>
          <w:p>
            <w:pPr>
              <w:snapToGrid w:val="0"/>
              <w:spacing w:line="360" w:lineRule="auto"/>
              <w:ind w:left="-360"/>
              <w:jc w:val="center"/>
              <w:rPr>
                <w:rFonts w:ascii="宋体" w:hAnsi="宋体" w:cs="宋体"/>
                <w:sz w:val="24"/>
              </w:rPr>
            </w:pPr>
            <w:r>
              <w:rPr>
                <w:rFonts w:hint="eastAsia" w:ascii="宋体" w:hAnsi="宋体" w:cs="宋体"/>
                <w:sz w:val="24"/>
              </w:rPr>
              <w:t>型号</w:t>
            </w:r>
          </w:p>
        </w:tc>
        <w:tc>
          <w:tcPr>
            <w:tcW w:w="1037" w:type="dxa"/>
            <w:vAlign w:val="center"/>
          </w:tcPr>
          <w:p>
            <w:pPr>
              <w:snapToGrid w:val="0"/>
              <w:spacing w:line="360" w:lineRule="auto"/>
              <w:ind w:left="-360"/>
              <w:jc w:val="center"/>
              <w:rPr>
                <w:rFonts w:ascii="宋体" w:hAnsi="宋体" w:cs="宋体"/>
                <w:sz w:val="24"/>
              </w:rPr>
            </w:pPr>
            <w:r>
              <w:rPr>
                <w:rFonts w:hint="eastAsia" w:ascii="宋体" w:hAnsi="宋体" w:cs="宋体"/>
                <w:sz w:val="24"/>
              </w:rPr>
              <w:t>数量</w:t>
            </w:r>
          </w:p>
        </w:tc>
        <w:tc>
          <w:tcPr>
            <w:tcW w:w="1011" w:type="dxa"/>
            <w:vAlign w:val="center"/>
          </w:tcPr>
          <w:p>
            <w:pPr>
              <w:snapToGrid w:val="0"/>
              <w:spacing w:line="360" w:lineRule="auto"/>
              <w:ind w:left="-360"/>
              <w:jc w:val="center"/>
              <w:rPr>
                <w:rFonts w:ascii="宋体" w:hAnsi="宋体" w:cs="宋体"/>
                <w:sz w:val="24"/>
              </w:rPr>
            </w:pPr>
            <w:r>
              <w:rPr>
                <w:rFonts w:hint="eastAsia" w:ascii="宋体" w:hAnsi="宋体" w:cs="宋体"/>
                <w:sz w:val="24"/>
              </w:rPr>
              <w:t>单价</w:t>
            </w:r>
          </w:p>
        </w:tc>
        <w:tc>
          <w:tcPr>
            <w:tcW w:w="907" w:type="dxa"/>
            <w:vAlign w:val="center"/>
          </w:tcPr>
          <w:p>
            <w:pPr>
              <w:snapToGrid w:val="0"/>
              <w:spacing w:line="360" w:lineRule="auto"/>
              <w:ind w:left="-360"/>
              <w:jc w:val="center"/>
              <w:rPr>
                <w:rFonts w:ascii="宋体" w:hAnsi="宋体" w:cs="宋体"/>
                <w:sz w:val="24"/>
              </w:rPr>
            </w:pPr>
            <w:r>
              <w:rPr>
                <w:rFonts w:hint="eastAsia" w:ascii="宋体" w:hAnsi="宋体" w:cs="宋体"/>
                <w:sz w:val="24"/>
              </w:rPr>
              <w:t>总价</w:t>
            </w:r>
          </w:p>
        </w:tc>
        <w:tc>
          <w:tcPr>
            <w:tcW w:w="1037" w:type="dxa"/>
            <w:vAlign w:val="center"/>
          </w:tcPr>
          <w:p>
            <w:pPr>
              <w:snapToGrid w:val="0"/>
              <w:spacing w:line="360" w:lineRule="auto"/>
              <w:ind w:left="-36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rPr>
                <w:rFonts w:ascii="宋体" w:hAnsi="宋体" w:cs="宋体"/>
                <w:sz w:val="24"/>
              </w:rPr>
            </w:pPr>
          </w:p>
        </w:tc>
        <w:tc>
          <w:tcPr>
            <w:tcW w:w="907"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rPr>
                <w:rFonts w:ascii="宋体" w:hAnsi="宋体" w:cs="宋体"/>
                <w:sz w:val="24"/>
              </w:rPr>
            </w:pPr>
          </w:p>
        </w:tc>
        <w:tc>
          <w:tcPr>
            <w:tcW w:w="907"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rPr>
                <w:rFonts w:ascii="宋体" w:hAnsi="宋体" w:cs="宋体"/>
                <w:sz w:val="24"/>
              </w:rPr>
            </w:pPr>
          </w:p>
        </w:tc>
        <w:tc>
          <w:tcPr>
            <w:tcW w:w="907"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rPr>
                <w:rFonts w:ascii="宋体" w:hAnsi="宋体" w:cs="宋体"/>
                <w:sz w:val="24"/>
              </w:rPr>
            </w:pPr>
          </w:p>
        </w:tc>
        <w:tc>
          <w:tcPr>
            <w:tcW w:w="907"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rPr>
                <w:rFonts w:ascii="宋体" w:hAnsi="宋体" w:cs="宋体"/>
                <w:sz w:val="24"/>
              </w:rPr>
            </w:pPr>
          </w:p>
        </w:tc>
        <w:tc>
          <w:tcPr>
            <w:tcW w:w="907"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jc w:val="left"/>
              <w:rPr>
                <w:rFonts w:ascii="宋体" w:hAnsi="宋体" w:cs="宋体"/>
                <w:sz w:val="24"/>
              </w:rPr>
            </w:pPr>
          </w:p>
        </w:tc>
        <w:tc>
          <w:tcPr>
            <w:tcW w:w="907" w:type="dxa"/>
            <w:vAlign w:val="center"/>
          </w:tcPr>
          <w:p>
            <w:pPr>
              <w:snapToGrid w:val="0"/>
              <w:spacing w:line="360" w:lineRule="auto"/>
              <w:jc w:val="left"/>
              <w:rPr>
                <w:rFonts w:ascii="宋体" w:hAnsi="宋体" w:cs="宋体"/>
                <w:sz w:val="24"/>
              </w:rPr>
            </w:pPr>
          </w:p>
        </w:tc>
        <w:tc>
          <w:tcPr>
            <w:tcW w:w="1037" w:type="dxa"/>
            <w:vAlign w:val="center"/>
          </w:tcPr>
          <w:p>
            <w:pPr>
              <w:snapToGrid w:val="0"/>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sz w:val="24"/>
              </w:rPr>
            </w:pPr>
          </w:p>
        </w:tc>
        <w:tc>
          <w:tcPr>
            <w:tcW w:w="1844" w:type="dxa"/>
            <w:vAlign w:val="center"/>
          </w:tcPr>
          <w:p>
            <w:pPr>
              <w:snapToGrid w:val="0"/>
              <w:spacing w:line="360" w:lineRule="auto"/>
              <w:rPr>
                <w:rFonts w:ascii="宋体" w:hAnsi="宋体" w:cs="宋体"/>
                <w:sz w:val="24"/>
              </w:rPr>
            </w:pPr>
          </w:p>
        </w:tc>
        <w:tc>
          <w:tcPr>
            <w:tcW w:w="1685" w:type="dxa"/>
            <w:vAlign w:val="center"/>
          </w:tcPr>
          <w:p>
            <w:pPr>
              <w:snapToGrid w:val="0"/>
              <w:spacing w:line="360" w:lineRule="auto"/>
              <w:rPr>
                <w:rFonts w:ascii="宋体" w:hAnsi="宋体" w:cs="宋体"/>
                <w:sz w:val="24"/>
              </w:rPr>
            </w:pPr>
          </w:p>
        </w:tc>
        <w:tc>
          <w:tcPr>
            <w:tcW w:w="1037" w:type="dxa"/>
            <w:vAlign w:val="center"/>
          </w:tcPr>
          <w:p>
            <w:pPr>
              <w:snapToGrid w:val="0"/>
              <w:spacing w:line="360" w:lineRule="auto"/>
              <w:rPr>
                <w:rFonts w:ascii="宋体" w:hAnsi="宋体" w:cs="宋体"/>
                <w:sz w:val="24"/>
              </w:rPr>
            </w:pPr>
          </w:p>
        </w:tc>
        <w:tc>
          <w:tcPr>
            <w:tcW w:w="1011" w:type="dxa"/>
            <w:vAlign w:val="center"/>
          </w:tcPr>
          <w:p>
            <w:pPr>
              <w:snapToGrid w:val="0"/>
              <w:spacing w:line="360" w:lineRule="auto"/>
              <w:jc w:val="left"/>
              <w:rPr>
                <w:rFonts w:ascii="宋体" w:hAnsi="宋体" w:cs="宋体"/>
                <w:sz w:val="24"/>
              </w:rPr>
            </w:pPr>
          </w:p>
        </w:tc>
        <w:tc>
          <w:tcPr>
            <w:tcW w:w="907" w:type="dxa"/>
            <w:vAlign w:val="center"/>
          </w:tcPr>
          <w:p>
            <w:pPr>
              <w:snapToGrid w:val="0"/>
              <w:spacing w:line="360" w:lineRule="auto"/>
              <w:jc w:val="left"/>
              <w:rPr>
                <w:rFonts w:ascii="宋体" w:hAnsi="宋体" w:cs="宋体"/>
                <w:sz w:val="24"/>
              </w:rPr>
            </w:pPr>
          </w:p>
        </w:tc>
        <w:tc>
          <w:tcPr>
            <w:tcW w:w="1037" w:type="dxa"/>
            <w:vAlign w:val="center"/>
          </w:tcPr>
          <w:p>
            <w:pPr>
              <w:snapToGrid w:val="0"/>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6584" w:type="dxa"/>
            <w:gridSpan w:val="5"/>
            <w:vAlign w:val="center"/>
          </w:tcPr>
          <w:p>
            <w:pPr>
              <w:snapToGrid w:val="0"/>
              <w:spacing w:line="360" w:lineRule="auto"/>
              <w:rPr>
                <w:rFonts w:ascii="宋体" w:hAnsi="宋体" w:cs="宋体"/>
                <w:sz w:val="24"/>
              </w:rPr>
            </w:pPr>
            <w:r>
              <w:rPr>
                <w:rFonts w:hint="eastAsia" w:ascii="宋体" w:hAnsi="宋体" w:cs="宋体"/>
                <w:sz w:val="24"/>
              </w:rPr>
              <w:t xml:space="preserve">合计（大写人民币）： </w:t>
            </w:r>
          </w:p>
        </w:tc>
        <w:tc>
          <w:tcPr>
            <w:tcW w:w="1944" w:type="dxa"/>
            <w:gridSpan w:val="2"/>
            <w:vAlign w:val="center"/>
          </w:tcPr>
          <w:p>
            <w:pPr>
              <w:snapToGrid w:val="0"/>
              <w:spacing w:line="360" w:lineRule="auto"/>
              <w:rPr>
                <w:rFonts w:ascii="宋体" w:hAnsi="宋体" w:cs="宋体"/>
                <w:sz w:val="24"/>
              </w:rPr>
            </w:pPr>
            <w:r>
              <w:rPr>
                <w:rFonts w:hint="eastAsia" w:ascii="宋体" w:hAnsi="宋体" w:cs="宋体"/>
                <w:sz w:val="24"/>
              </w:rPr>
              <w:t>小写：</w:t>
            </w:r>
          </w:p>
        </w:tc>
      </w:tr>
    </w:tbl>
    <w:p>
      <w:pPr>
        <w:tabs>
          <w:tab w:val="left" w:pos="0"/>
        </w:tabs>
        <w:snapToGrid w:val="0"/>
        <w:spacing w:line="360" w:lineRule="auto"/>
        <w:rPr>
          <w:rFonts w:ascii="宋体" w:hAnsi="宋体" w:cs="宋体"/>
          <w:sz w:val="24"/>
        </w:rPr>
      </w:pPr>
      <w:r>
        <w:rPr>
          <w:rFonts w:hint="eastAsia" w:ascii="宋体" w:hAnsi="宋体" w:cs="宋体"/>
          <w:sz w:val="24"/>
        </w:rPr>
        <w:t>以上合同总价包括运抵各使用单位的运费及安装费等。所有耗材不得高于市场价格，供货过程中发现有高于市场价的耗材，采购人有权按市场价格支付耗材货款，供货人自己承担多出的货款。</w:t>
      </w:r>
    </w:p>
    <w:p>
      <w:pPr>
        <w:snapToGrid w:val="0"/>
        <w:spacing w:line="360" w:lineRule="auto"/>
        <w:rPr>
          <w:rFonts w:ascii="宋体" w:hAnsi="宋体" w:cs="宋体"/>
          <w:b/>
          <w:sz w:val="24"/>
        </w:rPr>
      </w:pPr>
      <w:r>
        <w:rPr>
          <w:rFonts w:hint="eastAsia" w:ascii="宋体" w:hAnsi="宋体" w:cs="宋体"/>
          <w:b/>
          <w:sz w:val="24"/>
        </w:rPr>
        <w:t>第二条：质量保证</w:t>
      </w:r>
    </w:p>
    <w:p>
      <w:pPr>
        <w:snapToGrid w:val="0"/>
        <w:spacing w:line="360" w:lineRule="auto"/>
        <w:ind w:firstLine="480" w:firstLineChars="200"/>
        <w:rPr>
          <w:rFonts w:ascii="宋体" w:hAnsi="宋体" w:cs="宋体"/>
          <w:sz w:val="24"/>
        </w:rPr>
      </w:pPr>
      <w:r>
        <w:rPr>
          <w:rFonts w:hint="eastAsia" w:ascii="宋体" w:hAnsi="宋体" w:cs="宋体"/>
          <w:sz w:val="24"/>
        </w:rPr>
        <w:t>乙方保证本合同中所供应的国产商品是2019年生产的，符合国家技术规格和质量标准的出厂原装合格产品；进口产品是荣获国家商检局颁布安全许可证的出厂原装合格产品。如发生所供商品与合同不符，甲方有权拒收或退货，由此产生的一切责任和后果由乙方承担。</w:t>
      </w:r>
    </w:p>
    <w:p>
      <w:pPr>
        <w:snapToGrid w:val="0"/>
        <w:spacing w:line="360" w:lineRule="auto"/>
        <w:rPr>
          <w:rFonts w:ascii="宋体" w:hAnsi="宋体" w:cs="宋体"/>
          <w:sz w:val="24"/>
        </w:rPr>
      </w:pPr>
      <w:r>
        <w:rPr>
          <w:rFonts w:hint="eastAsia" w:ascii="宋体" w:hAnsi="宋体" w:cs="宋体"/>
          <w:b/>
          <w:sz w:val="24"/>
        </w:rPr>
        <w:t>第三条：交货时间、地点</w:t>
      </w:r>
    </w:p>
    <w:p>
      <w:pPr>
        <w:snapToGrid w:val="0"/>
        <w:spacing w:line="360" w:lineRule="auto"/>
        <w:ind w:firstLine="480" w:firstLineChars="200"/>
        <w:rPr>
          <w:rFonts w:ascii="宋体" w:hAnsi="宋体" w:cs="宋体"/>
          <w:sz w:val="24"/>
        </w:rPr>
      </w:pPr>
      <w:r>
        <w:rPr>
          <w:rFonts w:hint="eastAsia" w:ascii="宋体" w:hAnsi="宋体" w:cs="宋体"/>
          <w:sz w:val="24"/>
        </w:rPr>
        <w:t xml:space="preserve">1．双方在合同签订后，乙方应将商品安全运至甲方事先指定的地点，并负责安装、调试，然后交使用方验收，验收期为日。 </w:t>
      </w:r>
    </w:p>
    <w:p>
      <w:pPr>
        <w:snapToGrid w:val="0"/>
        <w:spacing w:line="360" w:lineRule="auto"/>
        <w:ind w:firstLine="480" w:firstLineChars="200"/>
        <w:rPr>
          <w:rFonts w:ascii="宋体" w:hAnsi="宋体" w:cs="宋体"/>
          <w:sz w:val="24"/>
        </w:rPr>
      </w:pPr>
      <w:r>
        <w:rPr>
          <w:rFonts w:hint="eastAsia" w:ascii="宋体" w:hAnsi="宋体" w:cs="宋体"/>
          <w:sz w:val="24"/>
        </w:rPr>
        <w:t>2．在所供商品交付使用时，乙方必须向甲方提供产品说明书、质量保证书、保修卡等必须具备的相关资料和必备的附件。并免费提供现场技术培训。</w:t>
      </w:r>
    </w:p>
    <w:p>
      <w:pPr>
        <w:snapToGrid w:val="0"/>
        <w:spacing w:line="360" w:lineRule="auto"/>
        <w:ind w:firstLine="480" w:firstLineChars="200"/>
        <w:rPr>
          <w:rFonts w:ascii="宋体" w:hAnsi="宋体" w:cs="宋体"/>
          <w:sz w:val="24"/>
        </w:rPr>
      </w:pPr>
      <w:r>
        <w:rPr>
          <w:rFonts w:hint="eastAsia" w:ascii="宋体" w:hAnsi="宋体" w:cs="宋体"/>
          <w:sz w:val="24"/>
        </w:rPr>
        <w:t>3．到货时间：                  到货。</w:t>
      </w:r>
    </w:p>
    <w:p>
      <w:pPr>
        <w:snapToGrid w:val="0"/>
        <w:spacing w:line="360" w:lineRule="auto"/>
        <w:ind w:firstLine="480" w:firstLineChars="200"/>
        <w:rPr>
          <w:rFonts w:ascii="宋体" w:hAnsi="宋体" w:cs="宋体"/>
          <w:sz w:val="24"/>
        </w:rPr>
      </w:pPr>
      <w:r>
        <w:rPr>
          <w:rFonts w:hint="eastAsia" w:ascii="宋体" w:hAnsi="宋体" w:cs="宋体"/>
          <w:sz w:val="24"/>
        </w:rPr>
        <w:t xml:space="preserve">   交货地点：</w:t>
      </w:r>
      <w:r>
        <w:rPr>
          <w:rFonts w:hint="eastAsia" w:ascii="宋体" w:hAnsi="宋体" w:cs="宋体"/>
          <w:sz w:val="24"/>
          <w:u w:val="single"/>
        </w:rPr>
        <w:t xml:space="preserve">甲方指定详细地点          </w:t>
      </w:r>
      <w:r>
        <w:rPr>
          <w:rFonts w:hint="eastAsia" w:ascii="宋体" w:hAnsi="宋体" w:cs="宋体"/>
          <w:sz w:val="24"/>
        </w:rPr>
        <w:t>。</w:t>
      </w:r>
    </w:p>
    <w:p>
      <w:pPr>
        <w:snapToGrid w:val="0"/>
        <w:spacing w:line="360" w:lineRule="auto"/>
        <w:rPr>
          <w:rFonts w:ascii="宋体" w:hAnsi="宋体" w:cs="宋体"/>
          <w:b/>
          <w:sz w:val="24"/>
        </w:rPr>
      </w:pPr>
      <w:r>
        <w:rPr>
          <w:rFonts w:hint="eastAsia" w:ascii="宋体" w:hAnsi="宋体" w:cs="宋体"/>
          <w:b/>
          <w:sz w:val="24"/>
        </w:rPr>
        <w:t>第四条：售后服务</w:t>
      </w:r>
    </w:p>
    <w:p>
      <w:pPr>
        <w:snapToGrid w:val="0"/>
        <w:spacing w:line="360" w:lineRule="auto"/>
        <w:ind w:firstLine="480" w:firstLineChars="200"/>
        <w:rPr>
          <w:rFonts w:ascii="宋体" w:hAnsi="宋体" w:cs="宋体"/>
          <w:sz w:val="24"/>
        </w:rPr>
      </w:pPr>
      <w:r>
        <w:rPr>
          <w:rFonts w:hint="eastAsia" w:ascii="宋体" w:hAnsi="宋体" w:cs="宋体"/>
          <w:sz w:val="24"/>
        </w:rPr>
        <w:t>1、合同商品从验收合格之日起，乙方提供的设备实行免费保修1 年。保修期满后，乙方仍提供维修服务，收取配件成本费。</w:t>
      </w:r>
    </w:p>
    <w:p>
      <w:pPr>
        <w:snapToGrid w:val="0"/>
        <w:spacing w:line="360" w:lineRule="auto"/>
        <w:ind w:firstLine="480" w:firstLineChars="200"/>
        <w:rPr>
          <w:rFonts w:ascii="宋体" w:hAnsi="宋体" w:cs="宋体"/>
          <w:sz w:val="24"/>
        </w:rPr>
      </w:pPr>
      <w:r>
        <w:rPr>
          <w:rFonts w:hint="eastAsia" w:ascii="宋体" w:hAnsi="宋体" w:cs="宋体"/>
          <w:sz w:val="24"/>
        </w:rPr>
        <w:t>2、其它优惠条件：。</w:t>
      </w:r>
    </w:p>
    <w:p>
      <w:pPr>
        <w:snapToGrid w:val="0"/>
        <w:spacing w:line="360" w:lineRule="auto"/>
        <w:rPr>
          <w:rFonts w:ascii="宋体" w:hAnsi="宋体" w:cs="宋体"/>
          <w:b/>
          <w:sz w:val="24"/>
        </w:rPr>
      </w:pPr>
      <w:r>
        <w:rPr>
          <w:rFonts w:hint="eastAsia" w:ascii="宋体" w:hAnsi="宋体" w:cs="宋体"/>
          <w:b/>
          <w:sz w:val="24"/>
        </w:rPr>
        <w:t>第五条：验收</w:t>
      </w:r>
    </w:p>
    <w:p>
      <w:pPr>
        <w:snapToGrid w:val="0"/>
        <w:spacing w:line="360" w:lineRule="auto"/>
        <w:ind w:firstLine="480" w:firstLineChars="200"/>
        <w:rPr>
          <w:rFonts w:ascii="宋体" w:hAnsi="宋体" w:cs="宋体"/>
          <w:b/>
          <w:sz w:val="24"/>
        </w:rPr>
      </w:pPr>
      <w:r>
        <w:rPr>
          <w:rFonts w:hint="eastAsia" w:ascii="宋体" w:hAnsi="宋体" w:cs="宋体"/>
          <w:sz w:val="24"/>
        </w:rPr>
        <w:t>乙方将所供商品运至交货地点拆箱并安装调试完毕后，由各使用单位当场负责验收。</w:t>
      </w:r>
    </w:p>
    <w:p>
      <w:pPr>
        <w:snapToGrid w:val="0"/>
        <w:spacing w:line="360" w:lineRule="auto"/>
        <w:ind w:firstLine="480" w:firstLineChars="200"/>
        <w:rPr>
          <w:rFonts w:ascii="宋体" w:hAnsi="宋体" w:cs="宋体"/>
          <w:sz w:val="24"/>
        </w:rPr>
      </w:pPr>
      <w:r>
        <w:rPr>
          <w:rFonts w:hint="eastAsia" w:ascii="宋体" w:hAnsi="宋体" w:cs="宋体"/>
          <w:sz w:val="24"/>
        </w:rPr>
        <w:t>合同商品从验收合格之日起15日内，出现非使用方人为因素造成的无法排除的故障由乙方予以整机调换。</w:t>
      </w:r>
    </w:p>
    <w:p>
      <w:pPr>
        <w:snapToGrid w:val="0"/>
        <w:spacing w:line="360" w:lineRule="auto"/>
        <w:rPr>
          <w:rFonts w:ascii="宋体" w:hAnsi="宋体" w:cs="宋体"/>
          <w:b/>
          <w:sz w:val="24"/>
        </w:rPr>
      </w:pPr>
      <w:r>
        <w:rPr>
          <w:rFonts w:hint="eastAsia" w:ascii="宋体" w:hAnsi="宋体" w:cs="宋体"/>
          <w:b/>
          <w:sz w:val="24"/>
        </w:rPr>
        <w:t>第六条：质量保证金</w:t>
      </w:r>
    </w:p>
    <w:p>
      <w:pPr>
        <w:snapToGrid w:val="0"/>
        <w:spacing w:line="360" w:lineRule="auto"/>
        <w:ind w:firstLine="600" w:firstLineChars="250"/>
        <w:rPr>
          <w:rFonts w:ascii="宋体" w:hAnsi="宋体" w:cs="宋体"/>
          <w:sz w:val="24"/>
          <w:lang w:val="zh-CN"/>
        </w:rPr>
      </w:pPr>
      <w:r>
        <w:rPr>
          <w:rFonts w:hint="eastAsia" w:ascii="宋体" w:hAnsi="宋体" w:cs="宋体"/>
          <w:sz w:val="24"/>
          <w:lang w:val="zh-CN"/>
        </w:rPr>
        <w:t>签订合同后</w:t>
      </w:r>
      <w:r>
        <w:rPr>
          <w:rFonts w:hint="eastAsia" w:ascii="宋体" w:hAnsi="宋体" w:cs="宋体"/>
          <w:sz w:val="24"/>
        </w:rPr>
        <w:t>3</w:t>
      </w:r>
      <w:r>
        <w:rPr>
          <w:rFonts w:hint="eastAsia" w:ascii="宋体" w:hAnsi="宋体" w:cs="宋体"/>
          <w:sz w:val="24"/>
          <w:lang w:val="zh-CN"/>
        </w:rPr>
        <w:t>个工作日内，中标人须向采购单位交纳相当于合同总额</w:t>
      </w:r>
      <w:r>
        <w:rPr>
          <w:rFonts w:hint="eastAsia" w:ascii="宋体" w:hAnsi="宋体" w:cs="宋体"/>
          <w:sz w:val="24"/>
        </w:rPr>
        <w:t>5%</w:t>
      </w:r>
      <w:r>
        <w:rPr>
          <w:rFonts w:hint="eastAsia" w:ascii="宋体" w:hAnsi="宋体" w:cs="宋体"/>
          <w:sz w:val="24"/>
          <w:lang w:val="zh-CN"/>
        </w:rPr>
        <w:t>的履约保证金。项目验收合格后履约保证金转为质保金，至质保期满后，售后服务良好，无质量和服务问题，原额（无息）归还。</w:t>
      </w:r>
    </w:p>
    <w:p>
      <w:pPr>
        <w:snapToGrid w:val="0"/>
        <w:spacing w:line="360" w:lineRule="auto"/>
        <w:rPr>
          <w:rFonts w:ascii="宋体" w:hAnsi="宋体" w:cs="宋体"/>
          <w:b/>
          <w:sz w:val="24"/>
        </w:rPr>
      </w:pPr>
      <w:r>
        <w:rPr>
          <w:rFonts w:hint="eastAsia" w:ascii="宋体" w:hAnsi="宋体" w:cs="宋体"/>
          <w:b/>
          <w:sz w:val="24"/>
        </w:rPr>
        <w:t>第七条：货款的支付</w:t>
      </w:r>
    </w:p>
    <w:p>
      <w:pPr>
        <w:snapToGrid w:val="0"/>
        <w:spacing w:line="360" w:lineRule="auto"/>
        <w:ind w:firstLine="480" w:firstLineChars="200"/>
        <w:rPr>
          <w:rFonts w:ascii="宋体" w:hAnsi="宋体" w:cs="宋体"/>
          <w:sz w:val="24"/>
        </w:rPr>
      </w:pPr>
      <w:r>
        <w:rPr>
          <w:rFonts w:hint="eastAsia" w:ascii="宋体" w:hAnsi="宋体" w:cs="宋体"/>
          <w:sz w:val="24"/>
        </w:rPr>
        <w:t>合同生效后5个工作日内，供应商向采购人交纳合同总价5%的履约保证金后，耗材配件到采购人指定地点，安装调试运行正常，验收合格后5个工作日内，采购人向供应商支付耗材货款。</w:t>
      </w:r>
    </w:p>
    <w:p>
      <w:pPr>
        <w:snapToGrid w:val="0"/>
        <w:spacing w:line="360" w:lineRule="auto"/>
        <w:rPr>
          <w:rFonts w:ascii="宋体" w:hAnsi="宋体" w:cs="宋体"/>
          <w:b/>
          <w:sz w:val="24"/>
        </w:rPr>
      </w:pPr>
      <w:r>
        <w:rPr>
          <w:rFonts w:hint="eastAsia" w:ascii="宋体" w:hAnsi="宋体" w:cs="宋体"/>
          <w:b/>
          <w:sz w:val="24"/>
        </w:rPr>
        <w:t>第八条：违约责任</w:t>
      </w:r>
    </w:p>
    <w:p>
      <w:pPr>
        <w:snapToGrid w:val="0"/>
        <w:spacing w:line="360" w:lineRule="auto"/>
        <w:ind w:firstLine="480" w:firstLineChars="200"/>
        <w:rPr>
          <w:rFonts w:ascii="宋体" w:hAnsi="宋体" w:cs="宋体"/>
          <w:sz w:val="24"/>
        </w:rPr>
      </w:pPr>
      <w:r>
        <w:rPr>
          <w:rFonts w:hint="eastAsia" w:ascii="宋体" w:hAnsi="宋体" w:cs="宋体"/>
          <w:sz w:val="24"/>
        </w:rPr>
        <w:t>1．乙方逾期履行合同的，自逾期之日起，向甲方每日偿付合同总价款0.05 %（计 元）的违约金。</w:t>
      </w:r>
    </w:p>
    <w:p>
      <w:pPr>
        <w:snapToGrid w:val="0"/>
        <w:spacing w:line="360" w:lineRule="auto"/>
        <w:ind w:firstLine="480" w:firstLineChars="200"/>
        <w:rPr>
          <w:rFonts w:ascii="宋体" w:hAnsi="宋体" w:cs="宋体"/>
          <w:sz w:val="24"/>
        </w:rPr>
      </w:pPr>
      <w:r>
        <w:rPr>
          <w:rFonts w:hint="eastAsia" w:ascii="宋体" w:hAnsi="宋体" w:cs="宋体"/>
          <w:sz w:val="24"/>
        </w:rPr>
        <w:t>2．甲方无正当理由逾期支付货款的，自逾期之日起，向乙方每日偿付合同总价款0.05%（计元）的违约金。</w:t>
      </w:r>
    </w:p>
    <w:p>
      <w:pPr>
        <w:snapToGrid w:val="0"/>
        <w:spacing w:line="360" w:lineRule="auto"/>
        <w:ind w:firstLine="480" w:firstLineChars="200"/>
        <w:rPr>
          <w:rFonts w:ascii="宋体" w:hAnsi="宋体" w:cs="宋体"/>
          <w:sz w:val="24"/>
        </w:rPr>
      </w:pPr>
      <w:r>
        <w:rPr>
          <w:rFonts w:hint="eastAsia" w:ascii="宋体" w:hAnsi="宋体" w:cs="宋体"/>
          <w:sz w:val="24"/>
        </w:rPr>
        <w:t>3．如乙方在合同生效后30天内未履行合同规定内容，甲方有权没收乙方缴纳的5％的履约保证金。</w:t>
      </w:r>
    </w:p>
    <w:p>
      <w:pPr>
        <w:snapToGrid w:val="0"/>
        <w:spacing w:line="360" w:lineRule="auto"/>
        <w:ind w:firstLine="480" w:firstLineChars="200"/>
        <w:rPr>
          <w:rFonts w:ascii="宋体" w:hAnsi="宋体" w:cs="宋体"/>
          <w:sz w:val="24"/>
        </w:rPr>
      </w:pPr>
      <w:r>
        <w:rPr>
          <w:rFonts w:hint="eastAsia" w:ascii="宋体" w:hAnsi="宋体" w:cs="宋体"/>
          <w:sz w:val="24"/>
        </w:rPr>
        <w:t>4．乙方在商品交付验收合格之日起半年内违反本合同有关质量保证及售后服务的，予以没收质量保证金，损失赔偿不足部分，按本合同第九条处理；在商品交付验收合格之日起半年后发生质量问题的，按本合同第九条处理。</w:t>
      </w:r>
    </w:p>
    <w:p>
      <w:pPr>
        <w:snapToGrid w:val="0"/>
        <w:spacing w:line="360" w:lineRule="auto"/>
        <w:rPr>
          <w:rFonts w:ascii="宋体" w:hAnsi="宋体" w:cs="宋体"/>
          <w:sz w:val="24"/>
        </w:rPr>
      </w:pPr>
      <w:r>
        <w:rPr>
          <w:rFonts w:hint="eastAsia" w:ascii="宋体" w:hAnsi="宋体" w:cs="宋体"/>
          <w:b/>
          <w:sz w:val="24"/>
        </w:rPr>
        <w:t>第九条：争议解决</w:t>
      </w:r>
    </w:p>
    <w:p>
      <w:pPr>
        <w:snapToGrid w:val="0"/>
        <w:spacing w:line="360" w:lineRule="auto"/>
        <w:ind w:firstLine="480" w:firstLineChars="200"/>
        <w:rPr>
          <w:rFonts w:ascii="宋体" w:hAnsi="宋体" w:cs="宋体"/>
          <w:sz w:val="24"/>
        </w:rPr>
      </w:pPr>
      <w:r>
        <w:rPr>
          <w:rFonts w:hint="eastAsia" w:ascii="宋体" w:hAnsi="宋体" w:cs="宋体"/>
          <w:sz w:val="24"/>
        </w:rPr>
        <w:t>本合同为本部校区采购合同，在发生所供商品的质量、售后服务等问题时，各使用方有权直接向乙方索赔，签订必要的书面处理协议。如协商不成，可在合同签约地选择仲裁或诉讼途径解决。</w:t>
      </w:r>
    </w:p>
    <w:p>
      <w:pPr>
        <w:snapToGrid w:val="0"/>
        <w:spacing w:line="360" w:lineRule="auto"/>
        <w:rPr>
          <w:rFonts w:ascii="宋体" w:hAnsi="宋体" w:cs="宋体"/>
          <w:sz w:val="24"/>
        </w:rPr>
      </w:pPr>
      <w:r>
        <w:rPr>
          <w:rFonts w:hint="eastAsia" w:ascii="宋体" w:hAnsi="宋体" w:cs="宋体"/>
          <w:b/>
          <w:sz w:val="24"/>
        </w:rPr>
        <w:t>第十条：合同生效</w:t>
      </w:r>
    </w:p>
    <w:p>
      <w:pPr>
        <w:snapToGrid w:val="0"/>
        <w:spacing w:line="360" w:lineRule="auto"/>
        <w:ind w:left="-2" w:firstLine="360" w:firstLineChars="150"/>
        <w:rPr>
          <w:rFonts w:ascii="宋体" w:hAnsi="宋体" w:cs="宋体"/>
          <w:sz w:val="24"/>
        </w:rPr>
      </w:pPr>
      <w:r>
        <w:rPr>
          <w:rFonts w:hint="eastAsia" w:ascii="宋体" w:hAnsi="宋体" w:cs="宋体"/>
          <w:sz w:val="24"/>
        </w:rPr>
        <w:t>1．本合同经乙方和甲方法定代表人或其委托人签字并加盖双方公章后，乙方提交5％的质量保证金之日起生效。</w:t>
      </w:r>
    </w:p>
    <w:p>
      <w:pPr>
        <w:snapToGrid w:val="0"/>
        <w:spacing w:line="360" w:lineRule="auto"/>
        <w:ind w:firstLine="360" w:firstLineChars="150"/>
        <w:rPr>
          <w:rFonts w:ascii="宋体" w:hAnsi="宋体" w:cs="宋体"/>
          <w:sz w:val="24"/>
        </w:rPr>
      </w:pPr>
      <w:r>
        <w:rPr>
          <w:rFonts w:hint="eastAsia" w:ascii="宋体" w:hAnsi="宋体" w:cs="宋体"/>
          <w:sz w:val="24"/>
        </w:rPr>
        <w:t>2．本合同一式陆份，乙方执壹份，甲方执肆份，代理机构壹份。</w:t>
      </w:r>
    </w:p>
    <w:p>
      <w:pPr>
        <w:snapToGrid w:val="0"/>
        <w:spacing w:line="360" w:lineRule="auto"/>
        <w:ind w:firstLine="355" w:firstLineChars="148"/>
        <w:rPr>
          <w:rFonts w:ascii="宋体" w:hAnsi="宋体" w:cs="宋体"/>
          <w:sz w:val="24"/>
        </w:rPr>
      </w:pPr>
      <w:r>
        <w:rPr>
          <w:rFonts w:hint="eastAsia" w:ascii="宋体" w:hAnsi="宋体" w:cs="宋体"/>
          <w:sz w:val="24"/>
        </w:rPr>
        <w:t>3．与本合同有关的招标书、投标书与本合同同样具有法律效力。</w:t>
      </w:r>
    </w:p>
    <w:p>
      <w:pPr>
        <w:snapToGrid w:val="0"/>
        <w:spacing w:line="360" w:lineRule="auto"/>
        <w:ind w:firstLine="355" w:firstLineChars="148"/>
        <w:rPr>
          <w:rFonts w:ascii="宋体" w:hAnsi="宋体" w:cs="宋体"/>
          <w:sz w:val="24"/>
        </w:rPr>
      </w:pPr>
    </w:p>
    <w:p>
      <w:pPr>
        <w:snapToGrid w:val="0"/>
        <w:spacing w:line="360" w:lineRule="auto"/>
        <w:rPr>
          <w:rFonts w:ascii="宋体" w:hAnsi="宋体" w:cs="宋体"/>
          <w:b/>
          <w:sz w:val="24"/>
        </w:rPr>
      </w:pPr>
      <w:r>
        <w:rPr>
          <w:rFonts w:hint="eastAsia" w:ascii="宋体" w:hAnsi="宋体" w:cs="宋体"/>
          <w:sz w:val="24"/>
        </w:rPr>
        <w:t>供方(乙方)（公章）：     需方(甲方)（公章）：</w:t>
      </w:r>
      <w:r>
        <w:rPr>
          <w:rFonts w:hint="eastAsia" w:ascii="宋体" w:hAnsi="宋体" w:cs="宋体"/>
          <w:b/>
          <w:sz w:val="24"/>
        </w:rPr>
        <w:t>杭州技师学院</w:t>
      </w:r>
    </w:p>
    <w:p>
      <w:pPr>
        <w:snapToGrid w:val="0"/>
        <w:spacing w:line="360" w:lineRule="auto"/>
        <w:rPr>
          <w:rFonts w:ascii="宋体" w:hAnsi="宋体" w:cs="宋体"/>
          <w:sz w:val="24"/>
        </w:rPr>
      </w:pPr>
      <w:r>
        <w:rPr>
          <w:rFonts w:hint="eastAsia" w:ascii="宋体" w:hAnsi="宋体" w:cs="宋体"/>
          <w:sz w:val="24"/>
        </w:rPr>
        <w:t>法定代表人或授权委托人：     法定代表人或授权委托人：</w:t>
      </w:r>
    </w:p>
    <w:p>
      <w:pPr>
        <w:snapToGrid w:val="0"/>
        <w:spacing w:line="360" w:lineRule="auto"/>
        <w:rPr>
          <w:rFonts w:ascii="宋体" w:hAnsi="宋体" w:cs="宋体"/>
          <w:sz w:val="24"/>
        </w:rPr>
      </w:pPr>
      <w:r>
        <w:rPr>
          <w:rFonts w:hint="eastAsia" w:ascii="宋体" w:hAnsi="宋体" w:cs="宋体"/>
          <w:sz w:val="24"/>
        </w:rPr>
        <w:t>地址：                       地址：</w:t>
      </w:r>
    </w:p>
    <w:p>
      <w:pPr>
        <w:snapToGrid w:val="0"/>
        <w:spacing w:line="360" w:lineRule="auto"/>
        <w:rPr>
          <w:rFonts w:ascii="宋体" w:hAnsi="宋体" w:cs="宋体"/>
          <w:sz w:val="24"/>
        </w:rPr>
      </w:pPr>
      <w:r>
        <w:rPr>
          <w:rFonts w:hint="eastAsia" w:ascii="宋体" w:hAnsi="宋体" w:cs="宋体"/>
          <w:sz w:val="24"/>
        </w:rPr>
        <w:t>邮编：310012                 邮编：</w:t>
      </w:r>
    </w:p>
    <w:p>
      <w:pPr>
        <w:snapToGrid w:val="0"/>
        <w:spacing w:line="360" w:lineRule="auto"/>
        <w:rPr>
          <w:rFonts w:ascii="宋体" w:hAnsi="宋体" w:cs="宋体"/>
          <w:sz w:val="24"/>
        </w:rPr>
      </w:pPr>
      <w:r>
        <w:rPr>
          <w:rFonts w:hint="eastAsia" w:ascii="宋体" w:hAnsi="宋体" w:cs="宋体"/>
          <w:sz w:val="24"/>
        </w:rPr>
        <w:t>电话：0571-电话和手机        电话：0571-</w:t>
      </w:r>
    </w:p>
    <w:p>
      <w:pPr>
        <w:snapToGrid w:val="0"/>
        <w:spacing w:line="360" w:lineRule="auto"/>
        <w:rPr>
          <w:rFonts w:ascii="宋体" w:hAnsi="宋体" w:cs="宋体"/>
          <w:sz w:val="24"/>
        </w:rPr>
      </w:pPr>
      <w:r>
        <w:rPr>
          <w:rFonts w:hint="eastAsia" w:ascii="宋体" w:hAnsi="宋体" w:cs="宋体"/>
          <w:sz w:val="24"/>
        </w:rPr>
        <w:t>传真：0571-                  传真：0571-</w:t>
      </w:r>
    </w:p>
    <w:p>
      <w:pPr>
        <w:snapToGrid w:val="0"/>
        <w:spacing w:line="360" w:lineRule="auto"/>
        <w:rPr>
          <w:rFonts w:ascii="宋体" w:hAnsi="宋体" w:cs="宋体"/>
          <w:sz w:val="24"/>
        </w:rPr>
      </w:pPr>
      <w:r>
        <w:rPr>
          <w:rFonts w:hint="eastAsia" w:ascii="宋体" w:hAnsi="宋体" w:cs="宋体"/>
          <w:sz w:val="24"/>
        </w:rPr>
        <w:t>开户银行：                   开户银行：</w:t>
      </w:r>
    </w:p>
    <w:p>
      <w:pPr>
        <w:snapToGrid w:val="0"/>
        <w:spacing w:line="360" w:lineRule="auto"/>
        <w:rPr>
          <w:rFonts w:ascii="宋体" w:hAnsi="宋体" w:cs="宋体"/>
          <w:sz w:val="24"/>
        </w:rPr>
      </w:pPr>
      <w:r>
        <w:rPr>
          <w:rFonts w:hint="eastAsia" w:ascii="宋体" w:hAnsi="宋体" w:cs="宋体"/>
          <w:sz w:val="24"/>
        </w:rPr>
        <w:t>帐号：                       帐号：</w:t>
      </w:r>
    </w:p>
    <w:p>
      <w:pPr>
        <w:autoSpaceDE w:val="0"/>
        <w:autoSpaceDN w:val="0"/>
        <w:adjustRightInd w:val="0"/>
        <w:snapToGrid w:val="0"/>
        <w:spacing w:line="360" w:lineRule="auto"/>
        <w:rPr>
          <w:rFonts w:ascii="宋体" w:hAnsi="宋体" w:cs="宋体"/>
          <w:b/>
          <w:bCs/>
          <w:sz w:val="24"/>
        </w:rPr>
      </w:pPr>
    </w:p>
    <w:p>
      <w:pPr>
        <w:snapToGrid w:val="0"/>
        <w:spacing w:line="360" w:lineRule="auto"/>
        <w:rPr>
          <w:rFonts w:ascii="宋体" w:hAnsi="宋体" w:cs="宋体"/>
          <w:sz w:val="24"/>
        </w:rPr>
      </w:pPr>
      <w:r>
        <w:rPr>
          <w:rFonts w:hint="eastAsia" w:ascii="宋体" w:hAnsi="宋体" w:cs="宋体"/>
          <w:sz w:val="24"/>
        </w:rPr>
        <w:t>鉴证方（盖章）：浙江中诺招标代理有限公司</w:t>
      </w:r>
    </w:p>
    <w:p>
      <w:pPr>
        <w:snapToGrid w:val="0"/>
        <w:spacing w:line="360" w:lineRule="auto"/>
        <w:rPr>
          <w:rFonts w:ascii="宋体" w:hAnsi="宋体" w:cs="宋体"/>
          <w:sz w:val="24"/>
        </w:rPr>
      </w:pPr>
      <w:r>
        <w:rPr>
          <w:rFonts w:hint="eastAsia" w:ascii="宋体" w:hAnsi="宋体" w:cs="宋体"/>
          <w:sz w:val="24"/>
        </w:rPr>
        <w:t>法定代表人：</w:t>
      </w:r>
    </w:p>
    <w:p>
      <w:pPr>
        <w:snapToGrid w:val="0"/>
        <w:spacing w:line="360" w:lineRule="auto"/>
        <w:rPr>
          <w:rFonts w:ascii="宋体" w:hAnsi="宋体" w:cs="宋体"/>
          <w:sz w:val="24"/>
        </w:rPr>
      </w:pPr>
      <w:r>
        <w:rPr>
          <w:rFonts w:hint="eastAsia" w:ascii="宋体" w:hAnsi="宋体" w:cs="宋体"/>
          <w:sz w:val="24"/>
        </w:rPr>
        <w:t>或受委托人（签字）：</w:t>
      </w:r>
    </w:p>
    <w:p>
      <w:pPr>
        <w:snapToGrid w:val="0"/>
        <w:spacing w:line="360" w:lineRule="auto"/>
        <w:rPr>
          <w:rFonts w:ascii="宋体" w:hAnsi="宋体" w:cs="宋体"/>
          <w:sz w:val="24"/>
        </w:rPr>
      </w:pPr>
      <w:r>
        <w:rPr>
          <w:rFonts w:hint="eastAsia" w:ascii="宋体" w:hAnsi="宋体" w:cs="宋体"/>
          <w:sz w:val="24"/>
        </w:rPr>
        <w:t>联系人：刘宋斌</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lang w:val="zh-CN"/>
        </w:rPr>
        <w:t>杭州市下城区环城北路141号永通信息广场西写字楼10楼会议室。</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电话：（0571）88821402</w:t>
      </w:r>
    </w:p>
    <w:p>
      <w:pPr>
        <w:snapToGrid w:val="0"/>
        <w:spacing w:line="360" w:lineRule="auto"/>
        <w:rPr>
          <w:rFonts w:ascii="宋体" w:hAnsi="宋体" w:cs="宋体"/>
          <w:sz w:val="24"/>
        </w:rPr>
      </w:pPr>
      <w:r>
        <w:rPr>
          <w:rFonts w:hint="eastAsia" w:ascii="宋体" w:hAnsi="宋体" w:cs="宋体"/>
          <w:sz w:val="24"/>
        </w:rPr>
        <w:t>传真：（0571）88821134</w:t>
      </w:r>
    </w:p>
    <w:p>
      <w:pPr>
        <w:snapToGrid w:val="0"/>
        <w:spacing w:line="360" w:lineRule="auto"/>
        <w:ind w:firstLine="470" w:firstLineChars="196"/>
        <w:rPr>
          <w:rFonts w:ascii="宋体" w:hAnsi="宋体" w:cs="宋体"/>
          <w:sz w:val="24"/>
        </w:rPr>
      </w:pPr>
    </w:p>
    <w:p>
      <w:pPr>
        <w:snapToGrid w:val="0"/>
        <w:spacing w:line="360" w:lineRule="auto"/>
        <w:ind w:firstLine="470" w:firstLineChars="196"/>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签 约 地：</w:t>
      </w:r>
    </w:p>
    <w:p>
      <w:pPr>
        <w:snapToGrid w:val="0"/>
        <w:spacing w:line="360" w:lineRule="auto"/>
        <w:rPr>
          <w:rFonts w:ascii="宋体" w:hAnsi="宋体" w:cs="宋体"/>
          <w:sz w:val="24"/>
        </w:rPr>
      </w:pPr>
      <w:r>
        <w:rPr>
          <w:rFonts w:hint="eastAsia" w:ascii="宋体" w:hAnsi="宋体" w:cs="宋体"/>
          <w:sz w:val="24"/>
        </w:rPr>
        <w:t>签约日期：2019年   月    日</w:t>
      </w:r>
    </w:p>
    <w:p>
      <w:pPr>
        <w:snapToGrid w:val="0"/>
        <w:spacing w:line="360" w:lineRule="auto"/>
        <w:ind w:firstLine="470" w:firstLineChars="196"/>
        <w:rPr>
          <w:rFonts w:ascii="宋体" w:hAnsi="宋体" w:cs="宋体"/>
          <w:sz w:val="24"/>
        </w:rPr>
        <w:sectPr>
          <w:pgSz w:w="11906" w:h="16838"/>
          <w:pgMar w:top="1440" w:right="1797" w:bottom="1440" w:left="1797" w:header="851" w:footer="851" w:gutter="0"/>
          <w:cols w:space="720" w:num="1"/>
          <w:titlePg/>
          <w:docGrid w:linePitch="466" w:charSpace="4568"/>
        </w:sectPr>
      </w:pPr>
    </w:p>
    <w:p>
      <w:pPr>
        <w:autoSpaceDE w:val="0"/>
        <w:autoSpaceDN w:val="0"/>
        <w:adjustRightInd w:val="0"/>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第五部分   应提交的有关格式范例</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一、投标人提交投标文件须知：</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w:t>
      </w:r>
      <w:r>
        <w:rPr>
          <w:rFonts w:hint="eastAsia" w:ascii="宋体" w:hAnsi="宋体" w:cs="宋体"/>
          <w:sz w:val="24"/>
          <w:lang w:val="zh-CN"/>
        </w:rPr>
        <w:t>、投标人应严格按照以下顺序填写和提交下述规定的全部格式文件以及其他有关资料，混乱的编排导致投标文件被误读或评标委员会查找不到有效文件是投标人的风险。</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2</w:t>
      </w:r>
      <w:r>
        <w:rPr>
          <w:rFonts w:hint="eastAsia" w:ascii="宋体" w:hAnsi="宋体" w:cs="宋体"/>
          <w:sz w:val="24"/>
          <w:lang w:val="zh-CN"/>
        </w:rPr>
        <w:t>、所附表格中要求回答的全部问题和</w:t>
      </w:r>
      <w:r>
        <w:rPr>
          <w:rFonts w:hint="eastAsia" w:ascii="宋体" w:hAnsi="宋体" w:cs="宋体"/>
          <w:sz w:val="24"/>
        </w:rPr>
        <w:t>/</w:t>
      </w:r>
      <w:r>
        <w:rPr>
          <w:rFonts w:hint="eastAsia" w:ascii="宋体" w:hAnsi="宋体" w:cs="宋体"/>
          <w:sz w:val="24"/>
          <w:lang w:val="zh-CN"/>
        </w:rPr>
        <w:t>或信息都必须正面回答。</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w:t>
      </w:r>
      <w:r>
        <w:rPr>
          <w:rFonts w:hint="eastAsia" w:ascii="宋体" w:hAnsi="宋体" w:cs="宋体"/>
          <w:sz w:val="24"/>
          <w:lang w:val="zh-CN"/>
        </w:rPr>
        <w:t>、本声明书的签字人应保证全部声明和问题的回答是真实的和准确的。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4</w:t>
      </w:r>
      <w:r>
        <w:rPr>
          <w:rFonts w:hint="eastAsia" w:ascii="宋体" w:hAnsi="宋体" w:cs="宋体"/>
          <w:sz w:val="24"/>
          <w:lang w:val="zh-CN"/>
        </w:rPr>
        <w:t>、评标委员会将应用投标人提交的资料根据自己的判断和考虑决定投标人履行合同的合格性及能力。</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5</w:t>
      </w:r>
      <w:r>
        <w:rPr>
          <w:rFonts w:hint="eastAsia" w:ascii="宋体" w:hAnsi="宋体" w:cs="宋体"/>
          <w:sz w:val="24"/>
          <w:lang w:val="zh-CN"/>
        </w:rPr>
        <w:t>、投标人提交的材料将在一定期限内被保密保存，但不退还。</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6</w:t>
      </w:r>
      <w:r>
        <w:rPr>
          <w:rFonts w:hint="eastAsia" w:ascii="宋体" w:hAnsi="宋体" w:cs="宋体"/>
          <w:sz w:val="24"/>
          <w:lang w:val="zh-CN"/>
        </w:rPr>
        <w:t>、全部文件应按投标人须知中规定的语言和份数提交。投标文件组成漏项或未按规定的格式编制或投标文件正、副本份数不足，内容不全或内容字迹模糊辨认不清的情况，将有可能被评标委员会认定为投标无效。</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二、投标文件编制格式及规范要求：</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商务报价文件、技术文件、商务文件三部分，各投标人在编制投标文件时请按照以下格式进行，并分别装订成册。</w:t>
      </w:r>
      <w:r>
        <w:rPr>
          <w:rFonts w:hint="eastAsia" w:ascii="宋体" w:hAnsi="宋体" w:cs="宋体"/>
          <w:b/>
          <w:sz w:val="24"/>
        </w:rPr>
        <w:t>其中报价文件部分与技术文件、商务文件分开密封。</w:t>
      </w: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sz w:val="24"/>
        </w:rPr>
        <w:br w:type="page"/>
      </w:r>
      <w:r>
        <w:rPr>
          <w:rFonts w:hint="eastAsia" w:ascii="宋体" w:hAnsi="宋体" w:cs="宋体"/>
          <w:b/>
          <w:bCs/>
          <w:sz w:val="24"/>
          <w:lang w:val="zh-CN"/>
        </w:rPr>
        <w:t>▲商务报价部分</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目录</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）投标响应函……………………………………………………（页码）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）投标（开标）一览表…………………………………………（页码）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）报价明细清单…………………………………………………（页码）</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一、投标响应函</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杭州技师学院、浙江中诺招标代理有限公司：</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（投标人全称）授权（全权代表姓名）（职务、职称）为全权代表，参加贵方组织的杭州技师学院</w:t>
      </w:r>
      <w:r>
        <w:rPr>
          <w:rFonts w:hint="eastAsia" w:ascii="宋体" w:hAnsi="宋体" w:cs="宋体"/>
          <w:bCs/>
          <w:sz w:val="24"/>
          <w:lang w:val="zh-CN"/>
        </w:rPr>
        <w:t>2019年度整涂系教学实训耗材采购项目</w:t>
      </w:r>
      <w:r>
        <w:rPr>
          <w:rFonts w:hint="eastAsia" w:ascii="宋体" w:hAnsi="宋体" w:cs="宋体"/>
          <w:sz w:val="24"/>
          <w:lang w:val="zh-CN"/>
        </w:rPr>
        <w:t>（招标编号：）招标的有关活动，并对此项目进行投标。为此：</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w:t>
      </w:r>
      <w:r>
        <w:rPr>
          <w:rFonts w:hint="eastAsia" w:ascii="宋体" w:hAnsi="宋体" w:cs="宋体"/>
          <w:sz w:val="24"/>
          <w:lang w:val="zh-CN"/>
        </w:rPr>
        <w:t>、我方同意在投标人编制和提交采购响应文件须知规定的开标日期起遵守本投标书中的承诺且在投标有效期满之前均具有约束力。</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2</w:t>
      </w:r>
      <w:r>
        <w:rPr>
          <w:rFonts w:hint="eastAsia" w:ascii="宋体" w:hAnsi="宋体" w:cs="宋体"/>
          <w:sz w:val="24"/>
          <w:lang w:val="zh-CN"/>
        </w:rPr>
        <w:t>、我方承诺已经具备《中华人民共和国政府采购法》中规定的参加政府采购活动的供应商应当具备的条件：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）具有独立承担民事责任的能力；</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）遵守国家法律、行政法规，具有良好的信誉和商业道德；</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）具有履行合同的能力和良好的履行合同记录；</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）良好的资金、财务状况；</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）产品及生产所需装备符合中国政府规定的相应技术标准和环保标准；</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）没有违反政府采购法规、政策的记录；</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）没有发生重大经济纠纷和走私犯罪记录。</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w:t>
      </w:r>
      <w:r>
        <w:rPr>
          <w:rFonts w:hint="eastAsia" w:ascii="宋体" w:hAnsi="宋体" w:cs="宋体"/>
          <w:sz w:val="24"/>
          <w:lang w:val="zh-CN"/>
        </w:rPr>
        <w:t>、提供编制和提交采购响应文件须知规定的全部投标文件，包括投标文件正本</w:t>
      </w:r>
      <w:r>
        <w:rPr>
          <w:rFonts w:hint="eastAsia" w:ascii="宋体" w:hAnsi="宋体" w:cs="宋体"/>
          <w:sz w:val="24"/>
        </w:rPr>
        <w:t>1</w:t>
      </w:r>
      <w:r>
        <w:rPr>
          <w:rFonts w:hint="eastAsia" w:ascii="宋体" w:hAnsi="宋体" w:cs="宋体"/>
          <w:sz w:val="24"/>
          <w:lang w:val="zh-CN"/>
        </w:rPr>
        <w:t>份，副本</w:t>
      </w:r>
      <w:r>
        <w:rPr>
          <w:rFonts w:hint="eastAsia" w:ascii="宋体" w:hAnsi="宋体" w:cs="宋体"/>
          <w:sz w:val="24"/>
        </w:rPr>
        <w:t>5</w:t>
      </w:r>
      <w:r>
        <w:rPr>
          <w:rFonts w:hint="eastAsia" w:ascii="宋体" w:hAnsi="宋体" w:cs="宋体"/>
          <w:sz w:val="24"/>
          <w:lang w:val="zh-CN"/>
        </w:rPr>
        <w:t>份。具体内容为：</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）投标（开标）一览表及投标报价明细清单；</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）投标技术文件和商务文件；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）编制和提交采购响应文件须知要求投标人提交的全部文件；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）由银行出具的金额为</w:t>
      </w:r>
      <w:r>
        <w:rPr>
          <w:rFonts w:hint="eastAsia" w:ascii="宋体" w:hAnsi="宋体" w:cs="宋体"/>
          <w:sz w:val="24"/>
        </w:rPr>
        <w:t xml:space="preserve">    </w:t>
      </w:r>
      <w:r>
        <w:rPr>
          <w:rFonts w:hint="eastAsia" w:ascii="宋体" w:hAnsi="宋体" w:cs="宋体"/>
          <w:sz w:val="24"/>
          <w:lang w:val="zh-CN"/>
        </w:rPr>
        <w:t>的投标保证金；</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）按招标文件要求提供和交付的货物和服务的投标报价详见投标（开标）一览表；</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）保证忠实地执行双方所签订的合同，并承担合同规定的责任和义务；</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）保证遵守招标文件中的其他有关规定。</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4</w:t>
      </w:r>
      <w:r>
        <w:rPr>
          <w:rFonts w:hint="eastAsia" w:ascii="宋体" w:hAnsi="宋体" w:cs="宋体"/>
          <w:sz w:val="24"/>
          <w:lang w:val="zh-CN"/>
        </w:rPr>
        <w:t>、如果在开标后规定的投标有效期内撤回投标，我方的投标保证金可被贵方没收。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5</w:t>
      </w:r>
      <w:r>
        <w:rPr>
          <w:rFonts w:hint="eastAsia" w:ascii="宋体" w:hAnsi="宋体" w:cs="宋体"/>
          <w:sz w:val="24"/>
          <w:lang w:val="zh-CN"/>
        </w:rPr>
        <w:t>、我方完全理解贵方不一定要接受最低价的投标。</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6</w:t>
      </w:r>
      <w:r>
        <w:rPr>
          <w:rFonts w:hint="eastAsia" w:ascii="宋体" w:hAnsi="宋体" w:cs="宋体"/>
          <w:sz w:val="24"/>
          <w:lang w:val="zh-CN"/>
        </w:rPr>
        <w:t>、我方愿意向贵方提供任何与该项投标有关的数据、情况和技术资料。若贵方需要，我方愿意提供我方作出的一切承诺的证明材料。</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7</w:t>
      </w:r>
      <w:r>
        <w:rPr>
          <w:rFonts w:hint="eastAsia" w:ascii="宋体" w:hAnsi="宋体" w:cs="宋体"/>
          <w:sz w:val="24"/>
          <w:lang w:val="zh-CN"/>
        </w:rPr>
        <w:t>、我方已详细审核全部招标文件，包括招标文件修改书（如果有）、参考资料及有关附件，确认无误。</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8</w:t>
      </w:r>
      <w:r>
        <w:rPr>
          <w:rFonts w:hint="eastAsia" w:ascii="宋体" w:hAnsi="宋体" w:cs="宋体"/>
          <w:sz w:val="24"/>
          <w:lang w:val="zh-CN"/>
        </w:rPr>
        <w:t>、我方将严格遵守《中华人民共和国政府采购法》第七十七条规定，供应商有下列情形之一的，处以采购金额</w:t>
      </w:r>
      <w:r>
        <w:rPr>
          <w:rFonts w:hint="eastAsia" w:ascii="宋体" w:hAnsi="宋体" w:cs="宋体"/>
          <w:sz w:val="24"/>
        </w:rPr>
        <w:t>5</w:t>
      </w:r>
      <w:r>
        <w:rPr>
          <w:rFonts w:hint="eastAsia" w:ascii="宋体" w:hAnsi="宋体" w:cs="宋体"/>
          <w:sz w:val="24"/>
          <w:lang w:val="zh-CN"/>
        </w:rPr>
        <w:t>‰以上</w:t>
      </w:r>
      <w:r>
        <w:rPr>
          <w:rFonts w:hint="eastAsia" w:ascii="宋体" w:hAnsi="宋体" w:cs="宋体"/>
          <w:sz w:val="24"/>
        </w:rPr>
        <w:t>10</w:t>
      </w:r>
      <w:r>
        <w:rPr>
          <w:rFonts w:hint="eastAsia" w:ascii="宋体" w:hAnsi="宋体" w:cs="宋体"/>
          <w:sz w:val="24"/>
          <w:lang w:val="zh-CN"/>
        </w:rPr>
        <w:t>‰以下的罚款，列入不良行为记录名单，在一至三年内禁止参加政府采购活动；有违法所得的，并处没收违法所得；情节严重的，由工商行政管理机关吊销营业执照；构成犯罪的，依法追究刑事责任：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a</w:t>
      </w:r>
      <w:r>
        <w:rPr>
          <w:rFonts w:hint="eastAsia" w:ascii="宋体" w:hAnsi="宋体" w:cs="宋体"/>
          <w:sz w:val="24"/>
          <w:lang w:val="zh-CN"/>
        </w:rPr>
        <w:t>）提供虚假材料谋取中标、成交的；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b</w:t>
      </w:r>
      <w:r>
        <w:rPr>
          <w:rFonts w:hint="eastAsia" w:ascii="宋体" w:hAnsi="宋体" w:cs="宋体"/>
          <w:sz w:val="24"/>
          <w:lang w:val="zh-CN"/>
        </w:rPr>
        <w:t>）采取不正当手段诋毁、排挤其他供应商的；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c</w:t>
      </w:r>
      <w:r>
        <w:rPr>
          <w:rFonts w:hint="eastAsia" w:ascii="宋体" w:hAnsi="宋体" w:cs="宋体"/>
          <w:sz w:val="24"/>
          <w:lang w:val="zh-CN"/>
        </w:rPr>
        <w:t>）与采购人、其它供应商或者采购代理机构恶意串通的；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d</w:t>
      </w:r>
      <w:r>
        <w:rPr>
          <w:rFonts w:hint="eastAsia" w:ascii="宋体" w:hAnsi="宋体" w:cs="宋体"/>
          <w:sz w:val="24"/>
          <w:lang w:val="zh-CN"/>
        </w:rPr>
        <w:t>）向采购人、采购代理机构行贿或者提供其他不正当利益的；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e</w:t>
      </w:r>
      <w:r>
        <w:rPr>
          <w:rFonts w:hint="eastAsia" w:ascii="宋体" w:hAnsi="宋体" w:cs="宋体"/>
          <w:sz w:val="24"/>
          <w:lang w:val="zh-CN"/>
        </w:rPr>
        <w:t>）在招标采购过程中与采购人进行协商谈判的；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f</w:t>
      </w:r>
      <w:r>
        <w:rPr>
          <w:rFonts w:hint="eastAsia" w:ascii="宋体" w:hAnsi="宋体" w:cs="宋体"/>
          <w:sz w:val="24"/>
          <w:lang w:val="zh-CN"/>
        </w:rPr>
        <w:t>）拒绝有关部门监督检查或提供虚假情况的。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供应商有前款第</w:t>
      </w:r>
      <w:r>
        <w:rPr>
          <w:rFonts w:hint="eastAsia" w:ascii="宋体" w:hAnsi="宋体" w:cs="宋体"/>
          <w:sz w:val="24"/>
        </w:rPr>
        <w:t>a</w:t>
      </w:r>
      <w:r>
        <w:rPr>
          <w:rFonts w:hint="eastAsia" w:ascii="宋体" w:hAnsi="宋体" w:cs="宋体"/>
          <w:sz w:val="24"/>
          <w:lang w:val="zh-CN"/>
        </w:rPr>
        <w:t>）至</w:t>
      </w:r>
      <w:r>
        <w:rPr>
          <w:rFonts w:hint="eastAsia" w:ascii="宋体" w:hAnsi="宋体" w:cs="宋体"/>
          <w:sz w:val="24"/>
        </w:rPr>
        <w:t>e</w:t>
      </w:r>
      <w:r>
        <w:rPr>
          <w:rFonts w:hint="eastAsia" w:ascii="宋体" w:hAnsi="宋体" w:cs="宋体"/>
          <w:sz w:val="24"/>
          <w:lang w:val="zh-CN"/>
        </w:rPr>
        <w:t>）项情形之一的，中标、成交无效。</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法定代表人签章：</w:t>
      </w:r>
      <w:r>
        <w:rPr>
          <w:rFonts w:hint="eastAsia" w:ascii="宋体" w:hAnsi="宋体" w:cs="宋体"/>
          <w:sz w:val="24"/>
        </w:rPr>
        <w:tab/>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公司盖章：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联系人：联系电话：</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联系地址：</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邮政编码：传真号码：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w:t>
      </w:r>
      <w:r>
        <w:rPr>
          <w:rFonts w:hint="eastAsia" w:ascii="宋体" w:hAnsi="宋体" w:cs="宋体"/>
          <w:sz w:val="24"/>
          <w:lang w:val="zh-CN"/>
        </w:rPr>
        <w:t>年月日</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注：未按照本投标响应函要求填报的将被视为非实质性响应投标，从而可能导致该投标被拒绝。</w:t>
      </w: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sz w:val="24"/>
        </w:rPr>
        <w:br w:type="page"/>
      </w:r>
      <w:r>
        <w:rPr>
          <w:rFonts w:hint="eastAsia" w:ascii="宋体" w:hAnsi="宋体" w:cs="宋体"/>
          <w:b/>
          <w:bCs/>
          <w:sz w:val="24"/>
          <w:lang w:val="zh-CN"/>
        </w:rPr>
        <w:t>二、投标（开标）一览表</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杭州技师学院、浙江中诺招标代理有限公司：</w:t>
      </w:r>
    </w:p>
    <w:p>
      <w:pPr>
        <w:autoSpaceDE w:val="0"/>
        <w:autoSpaceDN w:val="0"/>
        <w:adjustRightInd w:val="0"/>
        <w:snapToGrid w:val="0"/>
        <w:spacing w:line="360" w:lineRule="auto"/>
        <w:ind w:firstLine="604"/>
        <w:rPr>
          <w:rFonts w:ascii="宋体" w:hAnsi="宋体" w:cs="宋体"/>
          <w:sz w:val="24"/>
          <w:lang w:val="zh-CN"/>
        </w:rPr>
      </w:pPr>
      <w:r>
        <w:rPr>
          <w:rFonts w:hint="eastAsia" w:ascii="宋体" w:hAnsi="宋体" w:cs="宋体"/>
          <w:sz w:val="24"/>
          <w:lang w:val="zh-CN"/>
        </w:rPr>
        <w:t>按你方招标文件要求，我们，本标书签字方，谨此向你方发出要约如下：如你方接受本投标，我方承诺按照如下投标（开标）一览表的价格完成编号为的招标文件</w:t>
      </w:r>
      <w:r>
        <w:rPr>
          <w:rFonts w:hint="eastAsia" w:ascii="宋体" w:hAnsi="宋体" w:cs="宋体"/>
          <w:sz w:val="24"/>
        </w:rPr>
        <w:t>[</w:t>
      </w:r>
      <w:r>
        <w:rPr>
          <w:rFonts w:hint="eastAsia" w:ascii="宋体" w:hAnsi="宋体" w:cs="宋体"/>
          <w:sz w:val="24"/>
          <w:lang w:val="zh-CN"/>
        </w:rPr>
        <w:t>项目名称：杭州技师学院</w:t>
      </w:r>
      <w:r>
        <w:rPr>
          <w:rFonts w:hint="eastAsia" w:ascii="宋体" w:hAnsi="宋体" w:cs="宋体"/>
          <w:bCs/>
          <w:sz w:val="24"/>
          <w:lang w:val="zh-CN"/>
        </w:rPr>
        <w:t>2019年度整涂系教学实训耗材采购项目</w:t>
      </w:r>
      <w:r>
        <w:rPr>
          <w:rFonts w:hint="eastAsia" w:ascii="宋体" w:hAnsi="宋体" w:cs="宋体"/>
          <w:sz w:val="24"/>
        </w:rPr>
        <w:t>]</w:t>
      </w:r>
      <w:r>
        <w:rPr>
          <w:rFonts w:hint="eastAsia" w:ascii="宋体" w:hAnsi="宋体" w:cs="宋体"/>
          <w:sz w:val="24"/>
          <w:lang w:val="zh-CN"/>
        </w:rPr>
        <w:t>之项目的实施。</w:t>
      </w:r>
    </w:p>
    <w:p>
      <w:pPr>
        <w:adjustRightInd w:val="0"/>
        <w:snapToGrid w:val="0"/>
        <w:spacing w:line="360" w:lineRule="auto"/>
        <w:ind w:left="480"/>
        <w:jc w:val="center"/>
        <w:rPr>
          <w:rFonts w:ascii="宋体" w:hAnsi="宋体" w:cs="宋体"/>
          <w:b/>
          <w:kern w:val="0"/>
          <w:sz w:val="24"/>
          <w:lang w:val="zh-CN"/>
        </w:rPr>
      </w:pPr>
      <w:r>
        <w:rPr>
          <w:rFonts w:hint="eastAsia" w:ascii="宋体" w:hAnsi="宋体" w:cs="宋体"/>
          <w:b/>
          <w:kern w:val="0"/>
          <w:sz w:val="24"/>
          <w:lang w:val="zh-CN"/>
        </w:rPr>
        <w:t xml:space="preserve">投标(开标)一览表(单位均为人民币元)      </w:t>
      </w:r>
    </w:p>
    <w:p>
      <w:pPr>
        <w:adjustRightInd w:val="0"/>
        <w:snapToGrid w:val="0"/>
        <w:spacing w:line="360" w:lineRule="auto"/>
        <w:rPr>
          <w:rFonts w:ascii="宋体" w:hAnsi="宋体" w:cs="宋体"/>
          <w:b/>
          <w:kern w:val="0"/>
          <w:sz w:val="24"/>
          <w:lang w:val="zh-CN"/>
        </w:rPr>
      </w:pPr>
    </w:p>
    <w:tbl>
      <w:tblPr>
        <w:tblStyle w:val="45"/>
        <w:tblW w:w="85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8"/>
        <w:gridCol w:w="1215"/>
        <w:gridCol w:w="973"/>
        <w:gridCol w:w="1095"/>
        <w:gridCol w:w="1337"/>
        <w:gridCol w:w="1216"/>
        <w:gridCol w:w="1020"/>
        <w:gridCol w:w="12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序号</w:t>
            </w: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产品型号及名称</w:t>
            </w: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数量</w:t>
            </w:r>
          </w:p>
        </w:tc>
        <w:tc>
          <w:tcPr>
            <w:tcW w:w="1095" w:type="dxa"/>
            <w:tcBorders>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单价</w:t>
            </w:r>
          </w:p>
        </w:tc>
        <w:tc>
          <w:tcPr>
            <w:tcW w:w="1337" w:type="dxa"/>
            <w:tcBorders>
              <w:lef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投标总价</w:t>
            </w:r>
          </w:p>
        </w:tc>
        <w:tc>
          <w:tcPr>
            <w:tcW w:w="1216" w:type="dxa"/>
            <w:vAlign w:val="center"/>
          </w:tcPr>
          <w:p>
            <w:pPr>
              <w:snapToGrid w:val="0"/>
              <w:spacing w:line="360" w:lineRule="auto"/>
              <w:jc w:val="center"/>
              <w:rPr>
                <w:rFonts w:ascii="宋体" w:hAnsi="宋体" w:cs="宋体"/>
                <w:sz w:val="24"/>
              </w:rPr>
            </w:pPr>
            <w:r>
              <w:rPr>
                <w:rFonts w:hint="eastAsia" w:ascii="宋体" w:hAnsi="宋体" w:cs="宋体"/>
                <w:sz w:val="24"/>
              </w:rPr>
              <w:t>交货期</w:t>
            </w:r>
          </w:p>
        </w:tc>
        <w:tc>
          <w:tcPr>
            <w:tcW w:w="1020" w:type="dxa"/>
            <w:vAlign w:val="center"/>
          </w:tcPr>
          <w:p>
            <w:pPr>
              <w:snapToGrid w:val="0"/>
              <w:spacing w:line="360" w:lineRule="auto"/>
              <w:jc w:val="center"/>
              <w:rPr>
                <w:rFonts w:ascii="宋体" w:hAnsi="宋体" w:cs="宋体"/>
                <w:sz w:val="24"/>
              </w:rPr>
            </w:pPr>
            <w:r>
              <w:rPr>
                <w:rFonts w:hint="eastAsia" w:ascii="宋体" w:hAnsi="宋体" w:cs="宋体"/>
                <w:sz w:val="24"/>
              </w:rPr>
              <w:t>投标声明</w:t>
            </w:r>
          </w:p>
        </w:tc>
        <w:tc>
          <w:tcPr>
            <w:tcW w:w="1214" w:type="dxa"/>
            <w:vAlign w:val="center"/>
          </w:tcPr>
          <w:p>
            <w:pPr>
              <w:snapToGrid w:val="0"/>
              <w:spacing w:line="360" w:lineRule="auto"/>
              <w:jc w:val="center"/>
              <w:rPr>
                <w:rFonts w:ascii="宋体" w:hAnsi="宋体" w:cs="宋体"/>
                <w:sz w:val="24"/>
              </w:rPr>
            </w:pPr>
            <w:r>
              <w:rPr>
                <w:rFonts w:hint="eastAsia" w:ascii="宋体" w:hAnsi="宋体" w:cs="宋体"/>
                <w:sz w:val="24"/>
              </w:rPr>
              <w:t>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p>
        </w:tc>
        <w:tc>
          <w:tcPr>
            <w:tcW w:w="1095" w:type="dxa"/>
            <w:tcBorders>
              <w:right w:val="single" w:color="auto" w:sz="4" w:space="0"/>
            </w:tcBorders>
            <w:vAlign w:val="center"/>
          </w:tcPr>
          <w:p>
            <w:pPr>
              <w:snapToGrid w:val="0"/>
              <w:spacing w:line="360" w:lineRule="auto"/>
              <w:jc w:val="center"/>
              <w:rPr>
                <w:rFonts w:ascii="宋体" w:hAnsi="宋体" w:cs="宋体"/>
                <w:sz w:val="24"/>
              </w:rPr>
            </w:pPr>
          </w:p>
        </w:tc>
        <w:tc>
          <w:tcPr>
            <w:tcW w:w="1337" w:type="dxa"/>
            <w:tcBorders>
              <w:left w:val="single" w:color="auto" w:sz="4" w:space="0"/>
            </w:tcBorders>
            <w:vAlign w:val="center"/>
          </w:tcPr>
          <w:p>
            <w:pPr>
              <w:snapToGrid w:val="0"/>
              <w:spacing w:line="360" w:lineRule="auto"/>
              <w:jc w:val="center"/>
              <w:rPr>
                <w:rFonts w:ascii="宋体" w:hAnsi="宋体" w:cs="宋体"/>
                <w:sz w:val="24"/>
              </w:rPr>
            </w:pPr>
          </w:p>
        </w:tc>
        <w:tc>
          <w:tcPr>
            <w:tcW w:w="1216" w:type="dxa"/>
            <w:vAlign w:val="center"/>
          </w:tcPr>
          <w:p>
            <w:pPr>
              <w:snapToGrid w:val="0"/>
              <w:spacing w:line="360" w:lineRule="auto"/>
              <w:jc w:val="center"/>
              <w:rPr>
                <w:rFonts w:ascii="宋体" w:hAnsi="宋体" w:cs="宋体"/>
                <w:sz w:val="24"/>
              </w:rPr>
            </w:pPr>
          </w:p>
        </w:tc>
        <w:tc>
          <w:tcPr>
            <w:tcW w:w="1020" w:type="dxa"/>
            <w:vAlign w:val="center"/>
          </w:tcPr>
          <w:p>
            <w:pPr>
              <w:snapToGrid w:val="0"/>
              <w:spacing w:line="360" w:lineRule="auto"/>
              <w:jc w:val="center"/>
              <w:rPr>
                <w:rFonts w:ascii="宋体" w:hAnsi="宋体" w:cs="宋体"/>
                <w:sz w:val="24"/>
              </w:rPr>
            </w:pPr>
          </w:p>
        </w:tc>
        <w:tc>
          <w:tcPr>
            <w:tcW w:w="1214" w:type="dxa"/>
            <w:vAlign w:val="center"/>
          </w:tcPr>
          <w:p>
            <w:pPr>
              <w:snapToGrid w:val="0"/>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p>
        </w:tc>
        <w:tc>
          <w:tcPr>
            <w:tcW w:w="1095" w:type="dxa"/>
            <w:tcBorders>
              <w:right w:val="single" w:color="auto" w:sz="4" w:space="0"/>
            </w:tcBorders>
            <w:vAlign w:val="center"/>
          </w:tcPr>
          <w:p>
            <w:pPr>
              <w:snapToGrid w:val="0"/>
              <w:spacing w:line="360" w:lineRule="auto"/>
              <w:jc w:val="center"/>
              <w:rPr>
                <w:rFonts w:ascii="宋体" w:hAnsi="宋体" w:cs="宋体"/>
                <w:sz w:val="24"/>
              </w:rPr>
            </w:pPr>
          </w:p>
        </w:tc>
        <w:tc>
          <w:tcPr>
            <w:tcW w:w="1337" w:type="dxa"/>
            <w:tcBorders>
              <w:left w:val="single" w:color="auto" w:sz="4" w:space="0"/>
            </w:tcBorders>
            <w:vAlign w:val="center"/>
          </w:tcPr>
          <w:p>
            <w:pPr>
              <w:snapToGrid w:val="0"/>
              <w:spacing w:line="360" w:lineRule="auto"/>
              <w:jc w:val="center"/>
              <w:rPr>
                <w:rFonts w:ascii="宋体" w:hAnsi="宋体" w:cs="宋体"/>
                <w:sz w:val="24"/>
              </w:rPr>
            </w:pPr>
          </w:p>
        </w:tc>
        <w:tc>
          <w:tcPr>
            <w:tcW w:w="1216" w:type="dxa"/>
            <w:vAlign w:val="center"/>
          </w:tcPr>
          <w:p>
            <w:pPr>
              <w:snapToGrid w:val="0"/>
              <w:spacing w:line="360" w:lineRule="auto"/>
              <w:jc w:val="center"/>
              <w:rPr>
                <w:rFonts w:ascii="宋体" w:hAnsi="宋体" w:cs="宋体"/>
                <w:sz w:val="24"/>
              </w:rPr>
            </w:pPr>
          </w:p>
        </w:tc>
        <w:tc>
          <w:tcPr>
            <w:tcW w:w="1020" w:type="dxa"/>
            <w:vAlign w:val="center"/>
          </w:tcPr>
          <w:p>
            <w:pPr>
              <w:snapToGrid w:val="0"/>
              <w:spacing w:line="360" w:lineRule="auto"/>
              <w:jc w:val="center"/>
              <w:rPr>
                <w:rFonts w:ascii="宋体" w:hAnsi="宋体" w:cs="宋体"/>
                <w:sz w:val="24"/>
              </w:rPr>
            </w:pPr>
          </w:p>
        </w:tc>
        <w:tc>
          <w:tcPr>
            <w:tcW w:w="1214" w:type="dxa"/>
            <w:vAlign w:val="center"/>
          </w:tcPr>
          <w:p>
            <w:pPr>
              <w:snapToGrid w:val="0"/>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p>
        </w:tc>
        <w:tc>
          <w:tcPr>
            <w:tcW w:w="1095" w:type="dxa"/>
            <w:tcBorders>
              <w:right w:val="single" w:color="auto" w:sz="4" w:space="0"/>
            </w:tcBorders>
            <w:vAlign w:val="center"/>
          </w:tcPr>
          <w:p>
            <w:pPr>
              <w:snapToGrid w:val="0"/>
              <w:spacing w:line="360" w:lineRule="auto"/>
              <w:jc w:val="center"/>
              <w:rPr>
                <w:rFonts w:ascii="宋体" w:hAnsi="宋体" w:cs="宋体"/>
                <w:sz w:val="24"/>
              </w:rPr>
            </w:pPr>
          </w:p>
        </w:tc>
        <w:tc>
          <w:tcPr>
            <w:tcW w:w="1337" w:type="dxa"/>
            <w:tcBorders>
              <w:left w:val="single" w:color="auto" w:sz="4" w:space="0"/>
            </w:tcBorders>
            <w:vAlign w:val="center"/>
          </w:tcPr>
          <w:p>
            <w:pPr>
              <w:snapToGrid w:val="0"/>
              <w:spacing w:line="360" w:lineRule="auto"/>
              <w:jc w:val="center"/>
              <w:rPr>
                <w:rFonts w:ascii="宋体" w:hAnsi="宋体" w:cs="宋体"/>
                <w:sz w:val="24"/>
              </w:rPr>
            </w:pPr>
          </w:p>
        </w:tc>
        <w:tc>
          <w:tcPr>
            <w:tcW w:w="1216" w:type="dxa"/>
            <w:vAlign w:val="center"/>
          </w:tcPr>
          <w:p>
            <w:pPr>
              <w:snapToGrid w:val="0"/>
              <w:spacing w:line="360" w:lineRule="auto"/>
              <w:jc w:val="center"/>
              <w:rPr>
                <w:rFonts w:ascii="宋体" w:hAnsi="宋体" w:cs="宋体"/>
                <w:sz w:val="24"/>
              </w:rPr>
            </w:pPr>
          </w:p>
        </w:tc>
        <w:tc>
          <w:tcPr>
            <w:tcW w:w="1020" w:type="dxa"/>
            <w:vAlign w:val="center"/>
          </w:tcPr>
          <w:p>
            <w:pPr>
              <w:snapToGrid w:val="0"/>
              <w:spacing w:line="360" w:lineRule="auto"/>
              <w:jc w:val="center"/>
              <w:rPr>
                <w:rFonts w:ascii="宋体" w:hAnsi="宋体" w:cs="宋体"/>
                <w:sz w:val="24"/>
              </w:rPr>
            </w:pPr>
          </w:p>
        </w:tc>
        <w:tc>
          <w:tcPr>
            <w:tcW w:w="1214" w:type="dxa"/>
            <w:vAlign w:val="center"/>
          </w:tcPr>
          <w:p>
            <w:pPr>
              <w:snapToGrid w:val="0"/>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p>
        </w:tc>
        <w:tc>
          <w:tcPr>
            <w:tcW w:w="1095" w:type="dxa"/>
            <w:tcBorders>
              <w:right w:val="single" w:color="auto" w:sz="4" w:space="0"/>
            </w:tcBorders>
            <w:vAlign w:val="center"/>
          </w:tcPr>
          <w:p>
            <w:pPr>
              <w:snapToGrid w:val="0"/>
              <w:spacing w:line="360" w:lineRule="auto"/>
              <w:jc w:val="center"/>
              <w:rPr>
                <w:rFonts w:ascii="宋体" w:hAnsi="宋体" w:cs="宋体"/>
                <w:sz w:val="24"/>
              </w:rPr>
            </w:pPr>
          </w:p>
        </w:tc>
        <w:tc>
          <w:tcPr>
            <w:tcW w:w="1337" w:type="dxa"/>
            <w:tcBorders>
              <w:left w:val="single" w:color="auto" w:sz="4" w:space="0"/>
            </w:tcBorders>
            <w:vAlign w:val="center"/>
          </w:tcPr>
          <w:p>
            <w:pPr>
              <w:snapToGrid w:val="0"/>
              <w:spacing w:line="360" w:lineRule="auto"/>
              <w:jc w:val="center"/>
              <w:rPr>
                <w:rFonts w:ascii="宋体" w:hAnsi="宋体" w:cs="宋体"/>
                <w:sz w:val="24"/>
              </w:rPr>
            </w:pPr>
          </w:p>
        </w:tc>
        <w:tc>
          <w:tcPr>
            <w:tcW w:w="1216" w:type="dxa"/>
            <w:vAlign w:val="center"/>
          </w:tcPr>
          <w:p>
            <w:pPr>
              <w:snapToGrid w:val="0"/>
              <w:spacing w:line="360" w:lineRule="auto"/>
              <w:jc w:val="center"/>
              <w:rPr>
                <w:rFonts w:ascii="宋体" w:hAnsi="宋体" w:cs="宋体"/>
                <w:sz w:val="24"/>
              </w:rPr>
            </w:pPr>
          </w:p>
        </w:tc>
        <w:tc>
          <w:tcPr>
            <w:tcW w:w="1020" w:type="dxa"/>
            <w:vAlign w:val="center"/>
          </w:tcPr>
          <w:p>
            <w:pPr>
              <w:snapToGrid w:val="0"/>
              <w:spacing w:line="360" w:lineRule="auto"/>
              <w:jc w:val="center"/>
              <w:rPr>
                <w:rFonts w:ascii="宋体" w:hAnsi="宋体" w:cs="宋体"/>
                <w:sz w:val="24"/>
              </w:rPr>
            </w:pPr>
          </w:p>
        </w:tc>
        <w:tc>
          <w:tcPr>
            <w:tcW w:w="1214" w:type="dxa"/>
            <w:vAlign w:val="center"/>
          </w:tcPr>
          <w:p>
            <w:pPr>
              <w:snapToGrid w:val="0"/>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458" w:type="dxa"/>
            <w:tcBorders>
              <w:right w:val="single" w:color="auto" w:sz="4" w:space="0"/>
            </w:tcBorders>
            <w:vAlign w:val="center"/>
          </w:tcPr>
          <w:p>
            <w:pPr>
              <w:widowControl/>
              <w:snapToGrid w:val="0"/>
              <w:spacing w:line="360" w:lineRule="auto"/>
              <w:jc w:val="center"/>
              <w:rPr>
                <w:rFonts w:ascii="宋体" w:hAnsi="宋体" w:cs="宋体"/>
                <w:kern w:val="0"/>
                <w:sz w:val="24"/>
              </w:rPr>
            </w:pPr>
          </w:p>
        </w:tc>
        <w:tc>
          <w:tcPr>
            <w:tcW w:w="1215" w:type="dxa"/>
            <w:tcBorders>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p>
        </w:tc>
        <w:tc>
          <w:tcPr>
            <w:tcW w:w="973" w:type="dxa"/>
            <w:tcBorders>
              <w:left w:val="single" w:color="auto" w:sz="4" w:space="0"/>
            </w:tcBorders>
            <w:vAlign w:val="center"/>
          </w:tcPr>
          <w:p>
            <w:pPr>
              <w:widowControl/>
              <w:snapToGrid w:val="0"/>
              <w:spacing w:line="360" w:lineRule="auto"/>
              <w:jc w:val="center"/>
              <w:rPr>
                <w:rFonts w:ascii="宋体" w:hAnsi="宋体" w:cs="宋体"/>
                <w:kern w:val="0"/>
                <w:sz w:val="24"/>
              </w:rPr>
            </w:pPr>
          </w:p>
        </w:tc>
        <w:tc>
          <w:tcPr>
            <w:tcW w:w="1095" w:type="dxa"/>
            <w:tcBorders>
              <w:right w:val="single" w:color="auto" w:sz="4" w:space="0"/>
            </w:tcBorders>
            <w:vAlign w:val="center"/>
          </w:tcPr>
          <w:p>
            <w:pPr>
              <w:snapToGrid w:val="0"/>
              <w:spacing w:line="360" w:lineRule="auto"/>
              <w:jc w:val="center"/>
              <w:rPr>
                <w:rFonts w:ascii="宋体" w:hAnsi="宋体" w:cs="宋体"/>
                <w:sz w:val="24"/>
              </w:rPr>
            </w:pPr>
          </w:p>
        </w:tc>
        <w:tc>
          <w:tcPr>
            <w:tcW w:w="1337" w:type="dxa"/>
            <w:tcBorders>
              <w:left w:val="single" w:color="auto" w:sz="4" w:space="0"/>
            </w:tcBorders>
            <w:vAlign w:val="center"/>
          </w:tcPr>
          <w:p>
            <w:pPr>
              <w:snapToGrid w:val="0"/>
              <w:spacing w:line="360" w:lineRule="auto"/>
              <w:jc w:val="center"/>
              <w:rPr>
                <w:rFonts w:ascii="宋体" w:hAnsi="宋体" w:cs="宋体"/>
                <w:sz w:val="24"/>
              </w:rPr>
            </w:pPr>
          </w:p>
        </w:tc>
        <w:tc>
          <w:tcPr>
            <w:tcW w:w="1216" w:type="dxa"/>
            <w:vAlign w:val="center"/>
          </w:tcPr>
          <w:p>
            <w:pPr>
              <w:snapToGrid w:val="0"/>
              <w:spacing w:line="360" w:lineRule="auto"/>
              <w:jc w:val="center"/>
              <w:rPr>
                <w:rFonts w:ascii="宋体" w:hAnsi="宋体" w:cs="宋体"/>
                <w:sz w:val="24"/>
              </w:rPr>
            </w:pPr>
          </w:p>
        </w:tc>
        <w:tc>
          <w:tcPr>
            <w:tcW w:w="1020" w:type="dxa"/>
            <w:vAlign w:val="center"/>
          </w:tcPr>
          <w:p>
            <w:pPr>
              <w:snapToGrid w:val="0"/>
              <w:spacing w:line="360" w:lineRule="auto"/>
              <w:jc w:val="center"/>
              <w:rPr>
                <w:rFonts w:ascii="宋体" w:hAnsi="宋体" w:cs="宋体"/>
                <w:sz w:val="24"/>
              </w:rPr>
            </w:pPr>
          </w:p>
        </w:tc>
        <w:tc>
          <w:tcPr>
            <w:tcW w:w="1214" w:type="dxa"/>
            <w:vAlign w:val="center"/>
          </w:tcPr>
          <w:p>
            <w:pPr>
              <w:snapToGrid w:val="0"/>
              <w:spacing w:line="360" w:lineRule="auto"/>
              <w:jc w:val="center"/>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2646" w:type="dxa"/>
            <w:gridSpan w:val="3"/>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合计</w:t>
            </w:r>
          </w:p>
        </w:tc>
        <w:tc>
          <w:tcPr>
            <w:tcW w:w="5882" w:type="dxa"/>
            <w:gridSpan w:val="5"/>
            <w:vAlign w:val="center"/>
          </w:tcPr>
          <w:p>
            <w:pPr>
              <w:snapToGrid w:val="0"/>
              <w:spacing w:line="360" w:lineRule="auto"/>
              <w:jc w:val="left"/>
              <w:rPr>
                <w:rFonts w:ascii="宋体" w:hAnsi="宋体" w:cs="宋体"/>
                <w:sz w:val="24"/>
              </w:rPr>
            </w:pPr>
            <w:r>
              <w:rPr>
                <w:rFonts w:hint="eastAsia" w:ascii="宋体" w:hAnsi="宋体" w:cs="宋体"/>
                <w:sz w:val="24"/>
              </w:rPr>
              <w:t>大写：</w:t>
            </w:r>
          </w:p>
          <w:p>
            <w:pPr>
              <w:snapToGrid w:val="0"/>
              <w:spacing w:line="360" w:lineRule="auto"/>
              <w:jc w:val="left"/>
              <w:rPr>
                <w:rFonts w:ascii="宋体" w:hAnsi="宋体" w:cs="宋体"/>
                <w:sz w:val="24"/>
              </w:rPr>
            </w:pPr>
            <w:r>
              <w:rPr>
                <w:rFonts w:hint="eastAsia" w:ascii="宋体" w:hAnsi="宋体" w:cs="宋体"/>
                <w:sz w:val="24"/>
              </w:rPr>
              <w:t>小写：</w:t>
            </w:r>
          </w:p>
        </w:tc>
      </w:tr>
    </w:tbl>
    <w:p>
      <w:pPr>
        <w:snapToGrid w:val="0"/>
        <w:spacing w:line="360" w:lineRule="auto"/>
        <w:ind w:firstLine="480" w:firstLineChars="200"/>
        <w:rPr>
          <w:rFonts w:ascii="宋体" w:hAnsi="宋体" w:cs="宋体"/>
          <w:sz w:val="24"/>
        </w:rPr>
      </w:pPr>
      <w:r>
        <w:rPr>
          <w:rFonts w:hint="eastAsia" w:ascii="宋体" w:hAnsi="宋体" w:cs="宋体"/>
          <w:sz w:val="24"/>
          <w:lang w:val="zh-CN"/>
        </w:rPr>
        <w:t>注：</w:t>
      </w:r>
      <w:r>
        <w:rPr>
          <w:rFonts w:hint="eastAsia" w:ascii="宋体" w:hAnsi="宋体" w:cs="宋体"/>
          <w:sz w:val="24"/>
        </w:rPr>
        <w:t>投标报价应须</w:t>
      </w:r>
      <w:r>
        <w:rPr>
          <w:rFonts w:hint="eastAsia" w:ascii="宋体" w:hAnsi="宋体" w:cs="宋体"/>
          <w:sz w:val="24"/>
          <w:lang w:val="zh-CN"/>
        </w:rPr>
        <w:t>含运输，装卸费用、安装及人工安装材料费（如吊架）、</w:t>
      </w:r>
      <w:r>
        <w:rPr>
          <w:rFonts w:hint="eastAsia" w:ascii="宋体" w:hAnsi="宋体" w:cs="宋体"/>
          <w:sz w:val="24"/>
        </w:rPr>
        <w:t>税费以及与该服务有关的一切费用</w:t>
      </w:r>
      <w:r>
        <w:rPr>
          <w:rFonts w:hint="eastAsia" w:ascii="宋体" w:hAnsi="宋体" w:cs="宋体"/>
          <w:sz w:val="24"/>
          <w:lang w:val="zh-CN"/>
        </w:rPr>
        <w:t>。</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w:t>
      </w:r>
      <w:r>
        <w:rPr>
          <w:rFonts w:hint="eastAsia" w:ascii="宋体" w:hAnsi="宋体" w:cs="宋体"/>
          <w:sz w:val="24"/>
          <w:lang w:val="zh-CN"/>
        </w:rPr>
        <w:t>、本投标文件及其所附文件涵盖了我方要约的全部内容。</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）我方要约有效期为自投标截止日起</w:t>
      </w:r>
      <w:r>
        <w:rPr>
          <w:rFonts w:hint="eastAsia" w:ascii="宋体" w:hAnsi="宋体" w:cs="宋体"/>
          <w:sz w:val="24"/>
        </w:rPr>
        <w:t>30</w:t>
      </w:r>
      <w:r>
        <w:rPr>
          <w:rFonts w:hint="eastAsia" w:ascii="宋体" w:hAnsi="宋体" w:cs="宋体"/>
          <w:sz w:val="24"/>
          <w:lang w:val="zh-CN"/>
        </w:rPr>
        <w:t>天；</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）我方同意标期可作延长；</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）在标期内，我方受投标文件之价目表上我方要约金额的约束。</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2</w:t>
      </w:r>
      <w:r>
        <w:rPr>
          <w:rFonts w:hint="eastAsia" w:ascii="宋体" w:hAnsi="宋体" w:cs="宋体"/>
          <w:sz w:val="24"/>
          <w:lang w:val="zh-CN"/>
        </w:rPr>
        <w:t>、本投标文件，你方之接受函，包括条款栏，标的规格要求栏和其它有关文件在内的投标文件对我们双方均具约束力。</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3</w:t>
      </w:r>
      <w:r>
        <w:rPr>
          <w:rFonts w:hint="eastAsia" w:ascii="宋体" w:hAnsi="宋体" w:cs="宋体"/>
          <w:sz w:val="24"/>
          <w:lang w:val="zh-CN"/>
        </w:rPr>
        <w:t>、根据具体情况而拒绝任一或所有标书完全取决于你方。你方没有义务一定要接受最低报价的标书或某一特定标书，也不需为拒绝某一标书作出任何解释。</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4</w:t>
      </w:r>
      <w:r>
        <w:rPr>
          <w:rFonts w:hint="eastAsia" w:ascii="宋体" w:hAnsi="宋体" w:cs="宋体"/>
          <w:sz w:val="24"/>
          <w:lang w:val="zh-CN"/>
        </w:rPr>
        <w:t>、另外，我方承诺还将就你方所要求的进一步信息提供给你方。</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5</w:t>
      </w:r>
      <w:r>
        <w:rPr>
          <w:rFonts w:hint="eastAsia" w:ascii="宋体" w:hAnsi="宋体" w:cs="宋体"/>
          <w:sz w:val="24"/>
          <w:lang w:val="zh-CN"/>
        </w:rPr>
        <w:t>．如果我方中标，我方愿意提供如下优惠条件：</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（1）</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rPr>
        <w:t>（2）</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法定代表人签章：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公司盖章：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联系人：联系电话：</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联系地址：</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邮政编码：传真号码：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w:t>
      </w:r>
      <w:r>
        <w:rPr>
          <w:rFonts w:hint="eastAsia" w:ascii="宋体" w:hAnsi="宋体" w:cs="宋体"/>
          <w:sz w:val="24"/>
          <w:lang w:val="zh-CN"/>
        </w:rPr>
        <w:t>年月日</w:t>
      </w:r>
      <w:r>
        <w:rPr>
          <w:rFonts w:hint="eastAsia" w:ascii="宋体" w:hAnsi="宋体" w:cs="宋体"/>
          <w:sz w:val="24"/>
        </w:rPr>
        <w:tab/>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b/>
          <w:bCs/>
          <w:sz w:val="24"/>
          <w:lang w:val="zh-CN"/>
        </w:rPr>
      </w:pPr>
      <w:r>
        <w:rPr>
          <w:rFonts w:hint="eastAsia" w:ascii="宋体" w:hAnsi="宋体" w:cs="宋体"/>
          <w:sz w:val="24"/>
        </w:rPr>
        <w:br w:type="page"/>
      </w:r>
    </w:p>
    <w:p>
      <w:pPr>
        <w:adjustRightInd w:val="0"/>
        <w:snapToGrid w:val="0"/>
        <w:spacing w:line="360" w:lineRule="auto"/>
        <w:ind w:firstLine="482" w:firstLineChars="200"/>
        <w:jc w:val="center"/>
        <w:rPr>
          <w:rFonts w:ascii="宋体" w:hAnsi="宋体" w:cs="宋体"/>
          <w:b/>
          <w:sz w:val="24"/>
        </w:rPr>
      </w:pPr>
      <w:r>
        <w:rPr>
          <w:rFonts w:hint="eastAsia" w:ascii="宋体" w:hAnsi="宋体" w:cs="宋体"/>
          <w:b/>
          <w:sz w:val="24"/>
        </w:rPr>
        <w:t>三、报价明细清单</w:t>
      </w:r>
    </w:p>
    <w:p>
      <w:pPr>
        <w:adjustRightInd w:val="0"/>
        <w:snapToGrid w:val="0"/>
        <w:spacing w:line="360" w:lineRule="auto"/>
        <w:ind w:firstLine="482" w:firstLineChars="200"/>
        <w:rPr>
          <w:rFonts w:ascii="宋体" w:hAnsi="宋体" w:cs="宋体"/>
          <w:b/>
          <w:sz w:val="24"/>
        </w:rPr>
      </w:pPr>
    </w:p>
    <w:tbl>
      <w:tblPr>
        <w:tblStyle w:val="45"/>
        <w:tblW w:w="8362"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91"/>
        <w:gridCol w:w="1727"/>
        <w:gridCol w:w="669"/>
        <w:gridCol w:w="1470"/>
        <w:gridCol w:w="915"/>
        <w:gridCol w:w="825"/>
        <w:gridCol w:w="1020"/>
        <w:gridCol w:w="124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2396"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名称</w:t>
            </w:r>
          </w:p>
        </w:tc>
        <w:tc>
          <w:tcPr>
            <w:tcW w:w="1470"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规格型号</w:t>
            </w:r>
          </w:p>
        </w:tc>
        <w:tc>
          <w:tcPr>
            <w:tcW w:w="915"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数量</w:t>
            </w:r>
          </w:p>
        </w:tc>
        <w:tc>
          <w:tcPr>
            <w:tcW w:w="825"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单价</w:t>
            </w:r>
          </w:p>
        </w:tc>
        <w:tc>
          <w:tcPr>
            <w:tcW w:w="1020"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总价</w:t>
            </w:r>
          </w:p>
        </w:tc>
        <w:tc>
          <w:tcPr>
            <w:tcW w:w="1245"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491" w:type="dxa"/>
            <w:vAlign w:val="center"/>
          </w:tcPr>
          <w:p>
            <w:pPr>
              <w:adjustRightInd w:val="0"/>
              <w:snapToGrid w:val="0"/>
              <w:spacing w:line="360" w:lineRule="auto"/>
              <w:jc w:val="center"/>
              <w:rPr>
                <w:rFonts w:ascii="宋体" w:hAnsi="宋体" w:cs="宋体"/>
                <w:sz w:val="24"/>
              </w:rPr>
            </w:pPr>
          </w:p>
        </w:tc>
        <w:tc>
          <w:tcPr>
            <w:tcW w:w="2396" w:type="dxa"/>
            <w:gridSpan w:val="2"/>
            <w:vAlign w:val="center"/>
          </w:tcPr>
          <w:p>
            <w:pPr>
              <w:adjustRightInd w:val="0"/>
              <w:snapToGrid w:val="0"/>
              <w:spacing w:line="360" w:lineRule="auto"/>
              <w:jc w:val="center"/>
              <w:rPr>
                <w:rFonts w:ascii="宋体" w:hAnsi="宋体" w:cs="宋体"/>
                <w:sz w:val="24"/>
              </w:rPr>
            </w:pPr>
          </w:p>
        </w:tc>
        <w:tc>
          <w:tcPr>
            <w:tcW w:w="1470" w:type="dxa"/>
            <w:vAlign w:val="center"/>
          </w:tcPr>
          <w:p>
            <w:pPr>
              <w:adjustRightInd w:val="0"/>
              <w:snapToGrid w:val="0"/>
              <w:spacing w:line="360" w:lineRule="auto"/>
              <w:jc w:val="center"/>
              <w:rPr>
                <w:rFonts w:ascii="宋体" w:hAnsi="宋体" w:cs="宋体"/>
                <w:sz w:val="24"/>
              </w:rPr>
            </w:pPr>
          </w:p>
        </w:tc>
        <w:tc>
          <w:tcPr>
            <w:tcW w:w="915" w:type="dxa"/>
            <w:vAlign w:val="center"/>
          </w:tcPr>
          <w:p>
            <w:pPr>
              <w:adjustRightInd w:val="0"/>
              <w:snapToGrid w:val="0"/>
              <w:spacing w:line="360" w:lineRule="auto"/>
              <w:jc w:val="center"/>
              <w:rPr>
                <w:rFonts w:ascii="宋体" w:hAnsi="宋体" w:cs="宋体"/>
                <w:sz w:val="24"/>
              </w:rPr>
            </w:pPr>
          </w:p>
        </w:tc>
        <w:tc>
          <w:tcPr>
            <w:tcW w:w="825" w:type="dxa"/>
            <w:vAlign w:val="center"/>
          </w:tcPr>
          <w:p>
            <w:pPr>
              <w:adjustRightInd w:val="0"/>
              <w:snapToGrid w:val="0"/>
              <w:spacing w:line="360" w:lineRule="auto"/>
              <w:jc w:val="center"/>
              <w:rPr>
                <w:rFonts w:ascii="宋体" w:hAnsi="宋体" w:cs="宋体"/>
                <w:sz w:val="24"/>
              </w:rPr>
            </w:pPr>
          </w:p>
        </w:tc>
        <w:tc>
          <w:tcPr>
            <w:tcW w:w="1020" w:type="dxa"/>
            <w:vAlign w:val="center"/>
          </w:tcPr>
          <w:p>
            <w:pPr>
              <w:adjustRightInd w:val="0"/>
              <w:snapToGrid w:val="0"/>
              <w:spacing w:line="360" w:lineRule="auto"/>
              <w:jc w:val="center"/>
              <w:rPr>
                <w:rFonts w:ascii="宋体" w:hAnsi="宋体" w:cs="宋体"/>
                <w:sz w:val="24"/>
              </w:rPr>
            </w:pPr>
          </w:p>
        </w:tc>
        <w:tc>
          <w:tcPr>
            <w:tcW w:w="1245" w:type="dxa"/>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2218"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投标总价(小写)</w:t>
            </w:r>
          </w:p>
        </w:tc>
        <w:tc>
          <w:tcPr>
            <w:tcW w:w="6144" w:type="dxa"/>
            <w:gridSpan w:val="6"/>
            <w:vAlign w:val="center"/>
          </w:tcPr>
          <w:p>
            <w:pPr>
              <w:adjustRightInd w:val="0"/>
              <w:snapToGrid w:val="0"/>
              <w:spacing w:line="360"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Ex>
        <w:tc>
          <w:tcPr>
            <w:tcW w:w="2218"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投标总价(大写)</w:t>
            </w:r>
          </w:p>
        </w:tc>
        <w:tc>
          <w:tcPr>
            <w:tcW w:w="6144" w:type="dxa"/>
            <w:gridSpan w:val="6"/>
            <w:vAlign w:val="center"/>
          </w:tcPr>
          <w:p>
            <w:pPr>
              <w:adjustRightInd w:val="0"/>
              <w:snapToGrid w:val="0"/>
              <w:spacing w:line="360" w:lineRule="auto"/>
              <w:jc w:val="center"/>
              <w:rPr>
                <w:rFonts w:ascii="宋体" w:hAnsi="宋体" w:cs="宋体"/>
                <w:sz w:val="24"/>
              </w:rPr>
            </w:pPr>
          </w:p>
        </w:tc>
      </w:tr>
    </w:tbl>
    <w:p>
      <w:pPr>
        <w:snapToGrid w:val="0"/>
        <w:spacing w:line="360" w:lineRule="auto"/>
        <w:rPr>
          <w:rFonts w:ascii="宋体" w:hAnsi="宋体" w:cs="宋体"/>
          <w:sz w:val="24"/>
        </w:rPr>
      </w:pP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注：</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1、以上表格要求按设备细分及报价，包括有关本项目所需的技术方案编写、耗材购置、配送、调试和验收费、质保期、技术支持、测试费、售后服务和税金等费用均计入报价。</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2、特别提示：根据财政部财库[2015]135号《关于做好政府采购信息公开工作的通知》要求，采购机构将对项目名称和项目编号，中标供应商名称、地址和中标金额，主要中标标的的名称、规格型号、数量、单价、服务要求等予以公示。</w:t>
      </w:r>
    </w:p>
    <w:p>
      <w:pPr>
        <w:adjustRightInd w:val="0"/>
        <w:snapToGrid w:val="0"/>
        <w:spacing w:line="360" w:lineRule="auto"/>
        <w:rPr>
          <w:rFonts w:ascii="宋体" w:hAnsi="宋体" w:cs="宋体"/>
          <w:kern w:val="0"/>
          <w:sz w:val="24"/>
          <w:lang w:val="zh-CN"/>
        </w:rPr>
      </w:pPr>
    </w:p>
    <w:p>
      <w:pPr>
        <w:snapToGrid w:val="0"/>
        <w:spacing w:line="360" w:lineRule="auto"/>
        <w:rPr>
          <w:rFonts w:ascii="宋体" w:hAnsi="宋体" w:cs="宋体"/>
          <w:b/>
          <w:bCs/>
          <w:spacing w:val="14"/>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▲技术文件部分</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目录</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）技术解决方案…………………………………………………（页码）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）组织实施方案…………………………………………………（页码）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）售后服务方案…………………………………………………（页码）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）优惠条件及特殊承诺…………………………………………（页码）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）验收方案………………………………………………………（页码）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）技术偏离说明表………………………………………………（页码）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）关于对招标文件中有关条款的拒绝声明……………………（页码）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）认为需要的其他技术文件或说明……………………………（页码）</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注：以上目录是编制投标技术文件的基本格式要求，各投标人可根据自身情况进一步细化。</w:t>
      </w:r>
    </w:p>
    <w:p>
      <w:pPr>
        <w:autoSpaceDE w:val="0"/>
        <w:autoSpaceDN w:val="0"/>
        <w:adjustRightInd w:val="0"/>
        <w:snapToGrid w:val="0"/>
        <w:spacing w:line="360" w:lineRule="auto"/>
        <w:ind w:firstLine="604"/>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sz w:val="24"/>
        </w:rPr>
        <w:br w:type="page"/>
      </w:r>
      <w:r>
        <w:rPr>
          <w:rFonts w:hint="eastAsia" w:ascii="宋体" w:hAnsi="宋体" w:cs="宋体"/>
          <w:b/>
          <w:bCs/>
          <w:sz w:val="24"/>
          <w:lang w:val="zh-CN"/>
        </w:rPr>
        <w:t>一、技术解决方案</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（由投标人根据采购需求及招标文件要求编制）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b/>
          <w:sz w:val="24"/>
        </w:rPr>
        <w:t>（</w:t>
      </w:r>
      <w:r>
        <w:rPr>
          <w:rFonts w:hint="eastAsia" w:ascii="宋体" w:hAnsi="宋体" w:cs="宋体"/>
          <w:b/>
          <w:sz w:val="24"/>
          <w:lang w:val="zh-CN"/>
        </w:rPr>
        <w:t>提供投标货物的生产企业彩印的型号、详细配置、主要技术参数宣传册等资料）</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二、组织实施方案</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（由投标人根据采购需求及招标文件要求编制）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sz w:val="24"/>
        </w:rPr>
        <w:br w:type="page"/>
      </w:r>
      <w:r>
        <w:rPr>
          <w:rFonts w:hint="eastAsia" w:ascii="宋体" w:hAnsi="宋体" w:cs="宋体"/>
          <w:b/>
          <w:bCs/>
          <w:sz w:val="24"/>
          <w:lang w:val="zh-CN"/>
        </w:rPr>
        <w:t>三、售后服务方案</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（由投标人根据采购需求及招标文件要求编制）</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附表</w:t>
      </w:r>
      <w:r>
        <w:rPr>
          <w:rFonts w:hint="eastAsia" w:ascii="宋体" w:hAnsi="宋体" w:cs="宋体"/>
          <w:sz w:val="24"/>
        </w:rPr>
        <w:t>A</w:t>
      </w:r>
      <w:r>
        <w:rPr>
          <w:rFonts w:hint="eastAsia" w:ascii="宋体" w:hAnsi="宋体" w:cs="宋体"/>
          <w:sz w:val="24"/>
          <w:lang w:val="zh-CN"/>
        </w:rPr>
        <w:t>：售后服务机构情况表（按此格式自制）</w:t>
      </w:r>
    </w:p>
    <w:tbl>
      <w:tblPr>
        <w:tblStyle w:val="45"/>
        <w:tblW w:w="8748" w:type="dxa"/>
        <w:jc w:val="center"/>
        <w:tblInd w:w="0" w:type="dxa"/>
        <w:tblLayout w:type="fixed"/>
        <w:tblCellMar>
          <w:top w:w="0" w:type="dxa"/>
          <w:left w:w="10" w:type="dxa"/>
          <w:bottom w:w="0" w:type="dxa"/>
          <w:right w:w="10" w:type="dxa"/>
        </w:tblCellMar>
      </w:tblPr>
      <w:tblGrid>
        <w:gridCol w:w="828"/>
        <w:gridCol w:w="2340"/>
        <w:gridCol w:w="1095"/>
        <w:gridCol w:w="1245"/>
        <w:gridCol w:w="1980"/>
        <w:gridCol w:w="1260"/>
      </w:tblGrid>
      <w:tr>
        <w:tblPrEx>
          <w:tblLayout w:type="fixed"/>
          <w:tblCellMar>
            <w:top w:w="0" w:type="dxa"/>
            <w:left w:w="10" w:type="dxa"/>
            <w:bottom w:w="0" w:type="dxa"/>
            <w:right w:w="10" w:type="dxa"/>
          </w:tblCellMar>
        </w:tblPrEx>
        <w:trPr>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序号</w:t>
            </w:r>
          </w:p>
        </w:tc>
        <w:tc>
          <w:tcPr>
            <w:tcW w:w="2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机构名称</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机构性质</w:t>
            </w: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注册地址</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服务技术人员数量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联系电话</w:t>
            </w:r>
          </w:p>
        </w:tc>
      </w:tr>
      <w:tr>
        <w:tblPrEx>
          <w:tblLayout w:type="fixed"/>
          <w:tblCellMar>
            <w:top w:w="0" w:type="dxa"/>
            <w:left w:w="10" w:type="dxa"/>
            <w:bottom w:w="0" w:type="dxa"/>
            <w:right w:w="10" w:type="dxa"/>
          </w:tblCellMar>
        </w:tblPrEx>
        <w:trPr>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r>
        <w:tblPrEx>
          <w:tblLayout w:type="fixed"/>
          <w:tblCellMar>
            <w:top w:w="0" w:type="dxa"/>
            <w:left w:w="10" w:type="dxa"/>
            <w:bottom w:w="0" w:type="dxa"/>
            <w:right w:w="10" w:type="dxa"/>
          </w:tblCellMar>
        </w:tblPrEx>
        <w:trPr>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r>
        <w:tblPrEx>
          <w:tblLayout w:type="fixed"/>
          <w:tblCellMar>
            <w:top w:w="0" w:type="dxa"/>
            <w:left w:w="10" w:type="dxa"/>
            <w:bottom w:w="0" w:type="dxa"/>
            <w:right w:w="10" w:type="dxa"/>
          </w:tblCellMar>
        </w:tblPrEx>
        <w:trPr>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bl>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注：关于项目涉及的所有售后服务机构均在本表注明，包括投标人本单位和符合条件的第三方服务机构；</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附表</w:t>
      </w:r>
      <w:r>
        <w:rPr>
          <w:rFonts w:hint="eastAsia" w:ascii="宋体" w:hAnsi="宋体" w:cs="宋体"/>
          <w:sz w:val="24"/>
        </w:rPr>
        <w:t>B</w:t>
      </w:r>
      <w:r>
        <w:rPr>
          <w:rFonts w:hint="eastAsia" w:ascii="宋体" w:hAnsi="宋体" w:cs="宋体"/>
          <w:sz w:val="24"/>
          <w:lang w:val="zh-CN"/>
        </w:rPr>
        <w:t>：售后服务人员情况表（按此格式自制）</w:t>
      </w:r>
    </w:p>
    <w:tbl>
      <w:tblPr>
        <w:tblStyle w:val="45"/>
        <w:tblW w:w="10002" w:type="dxa"/>
        <w:jc w:val="center"/>
        <w:tblInd w:w="0" w:type="dxa"/>
        <w:tblLayout w:type="fixed"/>
        <w:tblCellMar>
          <w:top w:w="0" w:type="dxa"/>
          <w:left w:w="10" w:type="dxa"/>
          <w:bottom w:w="0" w:type="dxa"/>
          <w:right w:w="10" w:type="dxa"/>
        </w:tblCellMar>
      </w:tblPr>
      <w:tblGrid>
        <w:gridCol w:w="698"/>
        <w:gridCol w:w="698"/>
        <w:gridCol w:w="698"/>
        <w:gridCol w:w="698"/>
        <w:gridCol w:w="699"/>
        <w:gridCol w:w="1080"/>
        <w:gridCol w:w="1080"/>
        <w:gridCol w:w="1080"/>
        <w:gridCol w:w="1260"/>
        <w:gridCol w:w="900"/>
        <w:gridCol w:w="1111"/>
      </w:tblGrid>
      <w:tr>
        <w:tblPrEx>
          <w:tblLayout w:type="fixed"/>
          <w:tblCellMar>
            <w:top w:w="0" w:type="dxa"/>
            <w:left w:w="10" w:type="dxa"/>
            <w:bottom w:w="0" w:type="dxa"/>
            <w:right w:w="10" w:type="dxa"/>
          </w:tblCellMar>
        </w:tblPrEx>
        <w:trPr>
          <w:jc w:val="center"/>
        </w:trPr>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序号</w:t>
            </w:r>
          </w:p>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类别</w:t>
            </w: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姓名</w:t>
            </w: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性别</w:t>
            </w: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到达现场时间</w:t>
            </w:r>
          </w:p>
        </w:tc>
      </w:tr>
      <w:tr>
        <w:tblPrEx>
          <w:tblLayout w:type="fixed"/>
          <w:tblCellMar>
            <w:top w:w="0" w:type="dxa"/>
            <w:left w:w="10" w:type="dxa"/>
            <w:bottom w:w="0" w:type="dxa"/>
            <w:right w:w="10" w:type="dxa"/>
          </w:tblCellMar>
        </w:tblPrEx>
        <w:trPr>
          <w:trHeight w:val="607"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总协调人</w:t>
            </w: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r>
        <w:tblPrEx>
          <w:tblLayout w:type="fixed"/>
          <w:tblCellMar>
            <w:top w:w="0" w:type="dxa"/>
            <w:left w:w="10" w:type="dxa"/>
            <w:bottom w:w="0" w:type="dxa"/>
            <w:right w:w="10" w:type="dxa"/>
          </w:tblCellMar>
        </w:tblPrEx>
        <w:trPr>
          <w:trHeight w:val="595"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售后人员</w:t>
            </w: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r>
        <w:tblPrEx>
          <w:tblLayout w:type="fixed"/>
          <w:tblCellMar>
            <w:top w:w="0" w:type="dxa"/>
            <w:left w:w="10" w:type="dxa"/>
            <w:bottom w:w="0" w:type="dxa"/>
            <w:right w:w="10" w:type="dxa"/>
          </w:tblCellMar>
        </w:tblPrEx>
        <w:trPr>
          <w:trHeight w:val="595"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r>
        <w:tblPrEx>
          <w:tblLayout w:type="fixed"/>
          <w:tblCellMar>
            <w:top w:w="0" w:type="dxa"/>
            <w:left w:w="10" w:type="dxa"/>
            <w:bottom w:w="0" w:type="dxa"/>
            <w:right w:w="10" w:type="dxa"/>
          </w:tblCellMar>
        </w:tblPrEx>
        <w:trPr>
          <w:trHeight w:val="595"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p>
        </w:tc>
      </w:tr>
    </w:tbl>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ind w:firstLine="463" w:firstLineChars="192"/>
        <w:jc w:val="center"/>
        <w:rPr>
          <w:rFonts w:ascii="宋体" w:hAnsi="宋体" w:cs="宋体"/>
          <w:b/>
          <w:bCs/>
          <w:sz w:val="24"/>
        </w:rPr>
      </w:pPr>
      <w:r>
        <w:rPr>
          <w:rFonts w:hint="eastAsia" w:ascii="宋体" w:hAnsi="宋体" w:cs="宋体"/>
          <w:b/>
          <w:bCs/>
          <w:sz w:val="24"/>
          <w:lang w:val="zh-CN"/>
        </w:rPr>
        <w:t>四、优惠条件及特殊承诺</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sz w:val="24"/>
          <w:lang w:val="zh-CN"/>
        </w:rPr>
      </w:pPr>
      <w:r>
        <w:rPr>
          <w:rFonts w:hint="eastAsia" w:ascii="宋体" w:hAnsi="宋体" w:cs="宋体"/>
          <w:b/>
          <w:bCs/>
          <w:sz w:val="24"/>
          <w:lang w:val="zh-CN"/>
        </w:rPr>
        <w:t>五、验收方案</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六、技术偏离说明表</w:t>
      </w:r>
    </w:p>
    <w:p>
      <w:pPr>
        <w:snapToGrid w:val="0"/>
        <w:spacing w:line="360" w:lineRule="auto"/>
        <w:rPr>
          <w:rFonts w:ascii="宋体" w:hAnsi="宋体" w:cs="宋体"/>
          <w:sz w:val="24"/>
        </w:rPr>
      </w:pPr>
      <w:r>
        <w:rPr>
          <w:rFonts w:hint="eastAsia" w:ascii="宋体" w:hAnsi="宋体" w:cs="宋体"/>
          <w:sz w:val="24"/>
        </w:rPr>
        <w:t>投标方名称（公章）：             招标编号：</w:t>
      </w:r>
    </w:p>
    <w:tbl>
      <w:tblPr>
        <w:tblStyle w:val="45"/>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440"/>
        <w:gridCol w:w="2441"/>
        <w:gridCol w:w="178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7"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序号</w:t>
            </w:r>
          </w:p>
        </w:tc>
        <w:tc>
          <w:tcPr>
            <w:tcW w:w="2440"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招标规格</w:t>
            </w:r>
          </w:p>
        </w:tc>
        <w:tc>
          <w:tcPr>
            <w:tcW w:w="244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投标规格</w:t>
            </w:r>
          </w:p>
        </w:tc>
        <w:tc>
          <w:tcPr>
            <w:tcW w:w="178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偏离</w:t>
            </w:r>
          </w:p>
        </w:tc>
        <w:tc>
          <w:tcPr>
            <w:tcW w:w="1621"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7"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1</w:t>
            </w:r>
          </w:p>
        </w:tc>
        <w:tc>
          <w:tcPr>
            <w:tcW w:w="2440" w:type="dxa"/>
            <w:vAlign w:val="center"/>
          </w:tcPr>
          <w:p>
            <w:pPr>
              <w:snapToGrid w:val="0"/>
              <w:spacing w:line="360" w:lineRule="auto"/>
              <w:jc w:val="center"/>
              <w:rPr>
                <w:rFonts w:ascii="宋体" w:hAnsi="宋体" w:cs="宋体"/>
                <w:kern w:val="0"/>
                <w:sz w:val="24"/>
              </w:rPr>
            </w:pPr>
          </w:p>
        </w:tc>
        <w:tc>
          <w:tcPr>
            <w:tcW w:w="2441" w:type="dxa"/>
            <w:vAlign w:val="center"/>
          </w:tcPr>
          <w:p>
            <w:pPr>
              <w:snapToGrid w:val="0"/>
              <w:spacing w:line="360" w:lineRule="auto"/>
              <w:jc w:val="center"/>
              <w:rPr>
                <w:rFonts w:ascii="宋体" w:hAnsi="宋体" w:cs="宋体"/>
                <w:kern w:val="0"/>
                <w:sz w:val="24"/>
              </w:rPr>
            </w:pPr>
          </w:p>
        </w:tc>
        <w:tc>
          <w:tcPr>
            <w:tcW w:w="1781" w:type="dxa"/>
            <w:vAlign w:val="center"/>
          </w:tcPr>
          <w:p>
            <w:pPr>
              <w:snapToGrid w:val="0"/>
              <w:spacing w:line="360" w:lineRule="auto"/>
              <w:jc w:val="center"/>
              <w:rPr>
                <w:rFonts w:ascii="宋体" w:hAnsi="宋体" w:cs="宋体"/>
                <w:kern w:val="0"/>
                <w:sz w:val="24"/>
              </w:rPr>
            </w:pPr>
          </w:p>
        </w:tc>
        <w:tc>
          <w:tcPr>
            <w:tcW w:w="1621" w:type="dxa"/>
            <w:vAlign w:val="center"/>
          </w:tcPr>
          <w:p>
            <w:pPr>
              <w:snapToGrid w:val="0"/>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7"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2</w:t>
            </w:r>
          </w:p>
        </w:tc>
        <w:tc>
          <w:tcPr>
            <w:tcW w:w="2440" w:type="dxa"/>
            <w:vAlign w:val="center"/>
          </w:tcPr>
          <w:p>
            <w:pPr>
              <w:snapToGrid w:val="0"/>
              <w:spacing w:line="360" w:lineRule="auto"/>
              <w:jc w:val="center"/>
              <w:rPr>
                <w:rFonts w:ascii="宋体" w:hAnsi="宋体" w:cs="宋体"/>
                <w:kern w:val="0"/>
                <w:sz w:val="24"/>
              </w:rPr>
            </w:pPr>
          </w:p>
        </w:tc>
        <w:tc>
          <w:tcPr>
            <w:tcW w:w="2441" w:type="dxa"/>
            <w:vAlign w:val="center"/>
          </w:tcPr>
          <w:p>
            <w:pPr>
              <w:snapToGrid w:val="0"/>
              <w:spacing w:line="360" w:lineRule="auto"/>
              <w:jc w:val="center"/>
              <w:rPr>
                <w:rFonts w:ascii="宋体" w:hAnsi="宋体" w:cs="宋体"/>
                <w:kern w:val="0"/>
                <w:sz w:val="24"/>
              </w:rPr>
            </w:pPr>
          </w:p>
        </w:tc>
        <w:tc>
          <w:tcPr>
            <w:tcW w:w="1781" w:type="dxa"/>
            <w:vAlign w:val="center"/>
          </w:tcPr>
          <w:p>
            <w:pPr>
              <w:snapToGrid w:val="0"/>
              <w:spacing w:line="360" w:lineRule="auto"/>
              <w:jc w:val="center"/>
              <w:rPr>
                <w:rFonts w:ascii="宋体" w:hAnsi="宋体" w:cs="宋体"/>
                <w:kern w:val="0"/>
                <w:sz w:val="24"/>
              </w:rPr>
            </w:pPr>
          </w:p>
        </w:tc>
        <w:tc>
          <w:tcPr>
            <w:tcW w:w="1621" w:type="dxa"/>
            <w:vAlign w:val="center"/>
          </w:tcPr>
          <w:p>
            <w:pPr>
              <w:snapToGrid w:val="0"/>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7"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3</w:t>
            </w:r>
          </w:p>
        </w:tc>
        <w:tc>
          <w:tcPr>
            <w:tcW w:w="2440" w:type="dxa"/>
            <w:vAlign w:val="center"/>
          </w:tcPr>
          <w:p>
            <w:pPr>
              <w:snapToGrid w:val="0"/>
              <w:spacing w:line="360" w:lineRule="auto"/>
              <w:jc w:val="center"/>
              <w:rPr>
                <w:rFonts w:ascii="宋体" w:hAnsi="宋体" w:cs="宋体"/>
                <w:kern w:val="0"/>
                <w:sz w:val="24"/>
              </w:rPr>
            </w:pPr>
          </w:p>
        </w:tc>
        <w:tc>
          <w:tcPr>
            <w:tcW w:w="2441" w:type="dxa"/>
            <w:vAlign w:val="center"/>
          </w:tcPr>
          <w:p>
            <w:pPr>
              <w:snapToGrid w:val="0"/>
              <w:spacing w:line="360" w:lineRule="auto"/>
              <w:jc w:val="center"/>
              <w:rPr>
                <w:rFonts w:ascii="宋体" w:hAnsi="宋体" w:cs="宋体"/>
                <w:kern w:val="0"/>
                <w:sz w:val="24"/>
              </w:rPr>
            </w:pPr>
          </w:p>
        </w:tc>
        <w:tc>
          <w:tcPr>
            <w:tcW w:w="1781" w:type="dxa"/>
            <w:vAlign w:val="center"/>
          </w:tcPr>
          <w:p>
            <w:pPr>
              <w:snapToGrid w:val="0"/>
              <w:spacing w:line="360" w:lineRule="auto"/>
              <w:jc w:val="center"/>
              <w:rPr>
                <w:rFonts w:ascii="宋体" w:hAnsi="宋体" w:cs="宋体"/>
                <w:kern w:val="0"/>
                <w:sz w:val="24"/>
              </w:rPr>
            </w:pPr>
          </w:p>
        </w:tc>
        <w:tc>
          <w:tcPr>
            <w:tcW w:w="1621" w:type="dxa"/>
            <w:vAlign w:val="center"/>
          </w:tcPr>
          <w:p>
            <w:pPr>
              <w:snapToGrid w:val="0"/>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297"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4</w:t>
            </w:r>
          </w:p>
        </w:tc>
        <w:tc>
          <w:tcPr>
            <w:tcW w:w="2440" w:type="dxa"/>
            <w:vAlign w:val="center"/>
          </w:tcPr>
          <w:p>
            <w:pPr>
              <w:snapToGrid w:val="0"/>
              <w:spacing w:line="360" w:lineRule="auto"/>
              <w:jc w:val="center"/>
              <w:rPr>
                <w:rFonts w:ascii="宋体" w:hAnsi="宋体" w:cs="宋体"/>
                <w:kern w:val="0"/>
                <w:sz w:val="24"/>
              </w:rPr>
            </w:pPr>
          </w:p>
        </w:tc>
        <w:tc>
          <w:tcPr>
            <w:tcW w:w="2441" w:type="dxa"/>
            <w:vAlign w:val="center"/>
          </w:tcPr>
          <w:p>
            <w:pPr>
              <w:snapToGrid w:val="0"/>
              <w:spacing w:line="360" w:lineRule="auto"/>
              <w:jc w:val="center"/>
              <w:rPr>
                <w:rFonts w:ascii="宋体" w:hAnsi="宋体" w:cs="宋体"/>
                <w:kern w:val="0"/>
                <w:sz w:val="24"/>
              </w:rPr>
            </w:pPr>
          </w:p>
        </w:tc>
        <w:tc>
          <w:tcPr>
            <w:tcW w:w="1781" w:type="dxa"/>
            <w:vAlign w:val="center"/>
          </w:tcPr>
          <w:p>
            <w:pPr>
              <w:snapToGrid w:val="0"/>
              <w:spacing w:line="360" w:lineRule="auto"/>
              <w:jc w:val="center"/>
              <w:rPr>
                <w:rFonts w:ascii="宋体" w:hAnsi="宋体" w:cs="宋体"/>
                <w:kern w:val="0"/>
                <w:sz w:val="24"/>
              </w:rPr>
            </w:pPr>
          </w:p>
        </w:tc>
        <w:tc>
          <w:tcPr>
            <w:tcW w:w="1621" w:type="dxa"/>
            <w:vAlign w:val="center"/>
          </w:tcPr>
          <w:p>
            <w:pPr>
              <w:snapToGrid w:val="0"/>
              <w:spacing w:line="360" w:lineRule="auto"/>
              <w:jc w:val="center"/>
              <w:rPr>
                <w:rFonts w:ascii="宋体" w:hAnsi="宋体" w:cs="宋体"/>
                <w:kern w:val="0"/>
                <w:sz w:val="24"/>
              </w:rPr>
            </w:pPr>
          </w:p>
        </w:tc>
      </w:tr>
    </w:tbl>
    <w:p>
      <w:pPr>
        <w:snapToGrid w:val="0"/>
        <w:spacing w:line="360" w:lineRule="auto"/>
        <w:rPr>
          <w:rFonts w:ascii="宋体" w:hAnsi="宋体" w:cs="宋体"/>
          <w:sz w:val="24"/>
        </w:rPr>
      </w:pPr>
      <w:r>
        <w:rPr>
          <w:rFonts w:hint="eastAsia" w:ascii="宋体" w:hAnsi="宋体" w:cs="宋体"/>
          <w:sz w:val="24"/>
        </w:rPr>
        <w:t>（此表可延长）</w:t>
      </w:r>
    </w:p>
    <w:p>
      <w:pPr>
        <w:snapToGrid w:val="0"/>
        <w:spacing w:line="360" w:lineRule="auto"/>
        <w:rPr>
          <w:rFonts w:ascii="宋体" w:hAnsi="宋体" w:cs="宋体"/>
          <w:sz w:val="24"/>
        </w:rPr>
      </w:pPr>
      <w:r>
        <w:rPr>
          <w:rFonts w:hint="eastAsia" w:ascii="宋体" w:hAnsi="宋体" w:cs="宋体"/>
          <w:sz w:val="24"/>
        </w:rPr>
        <w:t>注：必须与相应标项的所有技术规格相比较填列。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七、对招标文件中有关条款的拒绝声明</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八、其他技术文件或说明</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br w:type="page"/>
      </w:r>
      <w:r>
        <w:rPr>
          <w:rFonts w:hint="eastAsia" w:ascii="宋体" w:hAnsi="宋体" w:cs="宋体"/>
          <w:b/>
          <w:bCs/>
          <w:sz w:val="24"/>
          <w:lang w:val="zh-CN"/>
        </w:rPr>
        <w:t>▲商务文件部分</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目录</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）法人授权委托书………………………………………………（页码）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）法定代表人及授权委托人的身份证（复印件）……………（页码）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）声明书…………………………………………………………（页码）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）有效的企业法人营业执照（复印件）………………………（页码）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）有效的税务登记证（复印件）………………………………（页码）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）有效的社保登记证（复印件）………………………………（页码）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提供上一年度的资产负债表和损益表（复印件）</w:t>
      </w:r>
      <w:r>
        <w:rPr>
          <w:rFonts w:hint="eastAsia" w:ascii="宋体" w:hAnsi="宋体" w:cs="宋体"/>
          <w:sz w:val="24"/>
          <w:lang w:val="zh-CN"/>
        </w:rPr>
        <w:t>…………（页码）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）所有资质文件（复印件）……………………………………（页码）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）投标产品有关证书……………………………………………（页码）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）公司介绍……………………………………………………（页码）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11</w:t>
      </w:r>
      <w:r>
        <w:rPr>
          <w:rFonts w:hint="eastAsia" w:ascii="宋体" w:hAnsi="宋体" w:cs="宋体"/>
          <w:sz w:val="24"/>
          <w:lang w:val="zh-CN"/>
        </w:rPr>
        <w:t>）主要业绩证明………………………………………………（页码）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12</w:t>
      </w:r>
      <w:r>
        <w:rPr>
          <w:rFonts w:hint="eastAsia" w:ascii="宋体" w:hAnsi="宋体" w:cs="宋体"/>
          <w:sz w:val="24"/>
          <w:lang w:val="zh-CN"/>
        </w:rPr>
        <w:t>）商务偏离说明表……………………………………………（页码）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13</w:t>
      </w:r>
      <w:r>
        <w:rPr>
          <w:rFonts w:hint="eastAsia" w:ascii="宋体" w:hAnsi="宋体" w:cs="宋体"/>
          <w:sz w:val="24"/>
          <w:lang w:val="zh-CN"/>
        </w:rPr>
        <w:t>）关于对招标文件中有关条款的拒绝声明…………………（页码）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14</w:t>
      </w:r>
      <w:r>
        <w:rPr>
          <w:rFonts w:hint="eastAsia" w:ascii="宋体" w:hAnsi="宋体" w:cs="宋体"/>
          <w:sz w:val="24"/>
          <w:lang w:val="zh-CN"/>
        </w:rPr>
        <w:t>）投标人认为需要的其他商务文件或说明…………………（页码）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注：以上目录是编制投标商务文件的基本格式要求，各投标人可根据自身情况进一步细化。</w:t>
      </w: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br w:type="page"/>
      </w:r>
      <w:r>
        <w:rPr>
          <w:rFonts w:hint="eastAsia" w:ascii="宋体" w:hAnsi="宋体" w:cs="宋体"/>
          <w:b/>
          <w:bCs/>
          <w:sz w:val="24"/>
          <w:lang w:val="zh-CN"/>
        </w:rPr>
        <w:t>一、授权委托书</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杭州技师学院、浙江中诺招标代理有限公司：</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兹委派我公司先生</w:t>
      </w:r>
      <w:r>
        <w:rPr>
          <w:rFonts w:hint="eastAsia" w:ascii="宋体" w:hAnsi="宋体" w:cs="宋体"/>
          <w:sz w:val="24"/>
        </w:rPr>
        <w:t>/</w:t>
      </w:r>
      <w:r>
        <w:rPr>
          <w:rFonts w:hint="eastAsia" w:ascii="宋体" w:hAnsi="宋体" w:cs="宋体"/>
          <w:sz w:val="24"/>
          <w:lang w:val="zh-CN"/>
        </w:rPr>
        <w:t>女士（其在本公司的职务是：，联系电话：手机：传真：），代表我公司全权处理杭州技师学院</w:t>
      </w:r>
      <w:r>
        <w:rPr>
          <w:rFonts w:hint="eastAsia" w:ascii="宋体" w:hAnsi="宋体" w:cs="宋体"/>
          <w:bCs/>
          <w:sz w:val="24"/>
          <w:lang w:val="zh-CN"/>
        </w:rPr>
        <w:t>2019年度整涂系教学实训耗材采购项目</w:t>
      </w:r>
      <w:r>
        <w:rPr>
          <w:rFonts w:hint="eastAsia" w:ascii="宋体" w:hAnsi="宋体" w:cs="宋体"/>
          <w:sz w:val="24"/>
          <w:lang w:val="zh-CN"/>
        </w:rPr>
        <w:t>（编号：）政府采购投标的一切事项，若中标则全权代表本公司签订相关合同，并负责处理合同履行等事宜。</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本委托书有效期：自</w:t>
      </w:r>
      <w:r>
        <w:rPr>
          <w:rFonts w:hint="eastAsia" w:ascii="宋体" w:hAnsi="宋体" w:cs="宋体"/>
          <w:sz w:val="24"/>
        </w:rPr>
        <w:t xml:space="preserve">2019年 </w:t>
      </w:r>
      <w:r>
        <w:rPr>
          <w:rFonts w:hint="eastAsia" w:ascii="宋体" w:hAnsi="宋体" w:cs="宋体"/>
          <w:sz w:val="24"/>
          <w:lang w:val="zh-CN"/>
        </w:rPr>
        <w:t>月日起至</w:t>
      </w:r>
      <w:r>
        <w:rPr>
          <w:rFonts w:hint="eastAsia" w:ascii="宋体" w:hAnsi="宋体" w:cs="宋体"/>
          <w:sz w:val="24"/>
        </w:rPr>
        <w:t xml:space="preserve">2019年  </w:t>
      </w:r>
      <w:r>
        <w:rPr>
          <w:rFonts w:hint="eastAsia" w:ascii="宋体" w:hAnsi="宋体" w:cs="宋体"/>
          <w:sz w:val="24"/>
          <w:lang w:val="zh-CN"/>
        </w:rPr>
        <w:t>月日止。</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特此告知。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法定代表人（签字）：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授权委托人（签字）：</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ind w:firstLine="1417" w:firstLineChars="588"/>
        <w:rPr>
          <w:rFonts w:ascii="宋体" w:hAnsi="宋体" w:cs="宋体"/>
          <w:b/>
          <w:bCs/>
          <w:sz w:val="24"/>
        </w:rPr>
      </w:pPr>
      <w:r>
        <w:rPr>
          <w:rFonts w:hint="eastAsia" w:ascii="宋体" w:hAnsi="宋体" w:cs="宋体"/>
          <w:b/>
          <w:bCs/>
          <w:sz w:val="24"/>
          <w:lang w:val="zh-CN"/>
        </w:rPr>
        <w:t>二、法定代表人及授权委托人的身份证（复印件）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ind w:firstLine="2833" w:firstLineChars="1176"/>
        <w:rPr>
          <w:rFonts w:ascii="宋体" w:hAnsi="宋体" w:cs="宋体"/>
          <w:b/>
          <w:bCs/>
          <w:sz w:val="24"/>
        </w:rPr>
      </w:pPr>
      <w:r>
        <w:rPr>
          <w:rFonts w:hint="eastAsia" w:ascii="宋体" w:hAnsi="宋体" w:cs="宋体"/>
          <w:b/>
          <w:bCs/>
          <w:sz w:val="24"/>
          <w:lang w:val="zh-CN"/>
        </w:rPr>
        <w:t>三、声明书</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杭州技师学院、浙江中诺招标代理有限公司：</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本单位自愿参加杭州技师学院</w:t>
      </w:r>
      <w:r>
        <w:rPr>
          <w:rFonts w:hint="eastAsia" w:ascii="宋体" w:hAnsi="宋体" w:cs="宋体"/>
          <w:bCs/>
          <w:sz w:val="24"/>
          <w:lang w:val="zh-CN"/>
        </w:rPr>
        <w:t>2019年度整涂系教学实训耗材采购项目</w:t>
      </w:r>
      <w:r>
        <w:rPr>
          <w:rFonts w:hint="eastAsia" w:ascii="宋体" w:hAnsi="宋体" w:cs="宋体"/>
          <w:sz w:val="24"/>
          <w:lang w:val="zh-CN"/>
        </w:rPr>
        <w:t>（编号：）政府采购项目的投标，并保证投标文件中所列举的投标报价文件及相关资料和公司基本情况资料是真实的、合法的。</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同意此次招标文件中的各项内容。</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同意提供按照贵方可能要求的与投标有关的一切数据或资料等。</w:t>
      </w:r>
    </w:p>
    <w:p>
      <w:pPr>
        <w:autoSpaceDE w:val="0"/>
        <w:autoSpaceDN w:val="0"/>
        <w:adjustRightInd w:val="0"/>
        <w:snapToGrid w:val="0"/>
        <w:spacing w:line="360" w:lineRule="auto"/>
        <w:ind w:firstLine="604"/>
        <w:rPr>
          <w:rFonts w:ascii="宋体" w:hAnsi="宋体" w:cs="宋体"/>
          <w:sz w:val="24"/>
        </w:rPr>
      </w:pPr>
      <w:r>
        <w:rPr>
          <w:rFonts w:hint="eastAsia" w:ascii="宋体" w:hAnsi="宋体" w:cs="宋体"/>
          <w:sz w:val="24"/>
          <w:lang w:val="zh-CN"/>
        </w:rPr>
        <w:t>本单位如中标，保证按照投标文件的承诺与贵方签订合同，保证履行合同条款并缴纳履约保证金。</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br w:type="page"/>
      </w:r>
      <w:r>
        <w:rPr>
          <w:rFonts w:hint="eastAsia" w:ascii="宋体" w:hAnsi="宋体" w:cs="宋体"/>
          <w:b/>
          <w:bCs/>
          <w:sz w:val="24"/>
          <w:lang w:val="zh-CN"/>
        </w:rPr>
        <w:t>四、有效的企业法人营业执照（复印件）</w:t>
      </w:r>
    </w:p>
    <w:p>
      <w:pPr>
        <w:autoSpaceDE w:val="0"/>
        <w:autoSpaceDN w:val="0"/>
        <w:adjustRightInd w:val="0"/>
        <w:snapToGrid w:val="0"/>
        <w:spacing w:line="360" w:lineRule="auto"/>
        <w:jc w:val="center"/>
        <w:rPr>
          <w:rFonts w:ascii="宋体" w:hAnsi="宋体" w:cs="宋体"/>
          <w:b/>
          <w:bCs/>
          <w:sz w:val="24"/>
        </w:rPr>
      </w:pPr>
    </w:p>
    <w:p>
      <w:pPr>
        <w:autoSpaceDE w:val="0"/>
        <w:autoSpaceDN w:val="0"/>
        <w:adjustRightInd w:val="0"/>
        <w:snapToGrid w:val="0"/>
        <w:spacing w:line="360" w:lineRule="auto"/>
        <w:jc w:val="center"/>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五、有效的税务登记证（复印件）</w:t>
      </w:r>
    </w:p>
    <w:p>
      <w:pPr>
        <w:autoSpaceDE w:val="0"/>
        <w:autoSpaceDN w:val="0"/>
        <w:adjustRightInd w:val="0"/>
        <w:snapToGrid w:val="0"/>
        <w:spacing w:line="360" w:lineRule="auto"/>
        <w:jc w:val="center"/>
        <w:rPr>
          <w:rFonts w:ascii="宋体" w:hAnsi="宋体" w:cs="宋体"/>
          <w:b/>
          <w:bCs/>
          <w:sz w:val="24"/>
        </w:rPr>
      </w:pPr>
    </w:p>
    <w:p>
      <w:pPr>
        <w:autoSpaceDE w:val="0"/>
        <w:autoSpaceDN w:val="0"/>
        <w:adjustRightInd w:val="0"/>
        <w:snapToGrid w:val="0"/>
        <w:spacing w:line="360" w:lineRule="auto"/>
        <w:jc w:val="center"/>
        <w:rPr>
          <w:rFonts w:ascii="宋体" w:hAnsi="宋体" w:cs="宋体"/>
          <w:b/>
          <w:bCs/>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六、有效的社保登记证（复印件）</w:t>
      </w:r>
    </w:p>
    <w:p>
      <w:pPr>
        <w:autoSpaceDE w:val="0"/>
        <w:autoSpaceDN w:val="0"/>
        <w:adjustRightInd w:val="0"/>
        <w:snapToGrid w:val="0"/>
        <w:spacing w:line="360" w:lineRule="auto"/>
        <w:jc w:val="center"/>
        <w:rPr>
          <w:rFonts w:ascii="宋体" w:hAnsi="宋体" w:cs="宋体"/>
          <w:b/>
          <w:bCs/>
          <w:sz w:val="24"/>
        </w:rPr>
      </w:pPr>
    </w:p>
    <w:p>
      <w:pPr>
        <w:tabs>
          <w:tab w:val="left" w:pos="3544"/>
        </w:tabs>
        <w:autoSpaceDE w:val="0"/>
        <w:autoSpaceDN w:val="0"/>
        <w:adjustRightInd w:val="0"/>
        <w:snapToGrid w:val="0"/>
        <w:spacing w:line="360" w:lineRule="auto"/>
        <w:jc w:val="center"/>
        <w:rPr>
          <w:rFonts w:ascii="宋体" w:hAnsi="宋体" w:cs="宋体"/>
          <w:b/>
          <w:bCs/>
          <w:sz w:val="24"/>
        </w:rPr>
      </w:pPr>
    </w:p>
    <w:p>
      <w:pPr>
        <w:tabs>
          <w:tab w:val="left" w:pos="3544"/>
        </w:tabs>
        <w:autoSpaceDE w:val="0"/>
        <w:autoSpaceDN w:val="0"/>
        <w:adjustRightInd w:val="0"/>
        <w:snapToGrid w:val="0"/>
        <w:spacing w:line="360" w:lineRule="auto"/>
        <w:jc w:val="center"/>
        <w:rPr>
          <w:rFonts w:ascii="宋体" w:hAnsi="宋体" w:cs="宋体"/>
          <w:b/>
          <w:bCs/>
          <w:sz w:val="24"/>
        </w:rPr>
      </w:pPr>
    </w:p>
    <w:p>
      <w:pPr>
        <w:tabs>
          <w:tab w:val="left" w:pos="3544"/>
        </w:tabs>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七、</w:t>
      </w:r>
      <w:r>
        <w:rPr>
          <w:rFonts w:hint="eastAsia" w:ascii="宋体" w:hAnsi="宋体" w:cs="宋体"/>
          <w:b/>
          <w:bCs/>
          <w:sz w:val="24"/>
        </w:rPr>
        <w:t>提供上一年度的资产负债表和损益表（复印件）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sz w:val="24"/>
        </w:rPr>
        <w:br w:type="page"/>
      </w:r>
      <w:r>
        <w:rPr>
          <w:rFonts w:hint="eastAsia" w:ascii="宋体" w:hAnsi="宋体" w:cs="宋体"/>
          <w:b/>
          <w:bCs/>
          <w:sz w:val="24"/>
          <w:lang w:val="zh-CN"/>
        </w:rPr>
        <w:t>八、所有资质文件（复印件）</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（由投标人根据采购需求及招标文件</w:t>
      </w:r>
      <w:r>
        <w:rPr>
          <w:rFonts w:hint="eastAsia" w:ascii="宋体" w:hAnsi="宋体" w:cs="宋体"/>
          <w:sz w:val="24"/>
        </w:rPr>
        <w:t>10.3</w:t>
      </w:r>
      <w:r>
        <w:rPr>
          <w:rFonts w:hint="eastAsia" w:ascii="宋体" w:hAnsi="宋体" w:cs="宋体"/>
          <w:sz w:val="24"/>
          <w:lang w:val="zh-CN"/>
        </w:rPr>
        <w:t>第五条要求编制）</w:t>
      </w:r>
    </w:p>
    <w:tbl>
      <w:tblPr>
        <w:tblStyle w:val="45"/>
        <w:tblW w:w="9278" w:type="dxa"/>
        <w:jc w:val="center"/>
        <w:tblInd w:w="0" w:type="dxa"/>
        <w:tblLayout w:type="fixed"/>
        <w:tblCellMar>
          <w:top w:w="0" w:type="dxa"/>
          <w:left w:w="108" w:type="dxa"/>
          <w:bottom w:w="0" w:type="dxa"/>
          <w:right w:w="108" w:type="dxa"/>
        </w:tblCellMar>
      </w:tblPr>
      <w:tblGrid>
        <w:gridCol w:w="2002"/>
        <w:gridCol w:w="1260"/>
        <w:gridCol w:w="720"/>
        <w:gridCol w:w="795"/>
        <w:gridCol w:w="960"/>
        <w:gridCol w:w="1455"/>
        <w:gridCol w:w="1170"/>
        <w:gridCol w:w="916"/>
      </w:tblGrid>
      <w:tr>
        <w:tblPrEx>
          <w:tblLayout w:type="fixed"/>
          <w:tblCellMar>
            <w:top w:w="0" w:type="dxa"/>
            <w:left w:w="108" w:type="dxa"/>
            <w:bottom w:w="0" w:type="dxa"/>
            <w:right w:w="108" w:type="dxa"/>
          </w:tblCellMar>
        </w:tblPrEx>
        <w:trPr>
          <w:jc w:val="center"/>
        </w:trPr>
        <w:tc>
          <w:tcPr>
            <w:tcW w:w="326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资质要求</w:t>
            </w:r>
          </w:p>
        </w:tc>
        <w:tc>
          <w:tcPr>
            <w:tcW w:w="601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投标单位具备资质</w:t>
            </w: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其他资质</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资质级别</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资质</w:t>
            </w:r>
          </w:p>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名称</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资质</w:t>
            </w:r>
          </w:p>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级别</w:t>
            </w: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颁证</w:t>
            </w:r>
          </w:p>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机构</w:t>
            </w: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lang w:val="zh-CN"/>
              </w:rPr>
              <w:t>证书有效期（起止年月）</w:t>
            </w: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证书复印件所在页码</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备注</w:t>
            </w: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银行信用等级</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政府部门（企业）或第三方权威鉴定机构出具的信用等级</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质量管理体系认证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r>
        <w:tblPrEx>
          <w:tblLayout w:type="fixed"/>
          <w:tblCellMar>
            <w:top w:w="0" w:type="dxa"/>
            <w:left w:w="108" w:type="dxa"/>
            <w:bottom w:w="0" w:type="dxa"/>
            <w:right w:w="108" w:type="dxa"/>
          </w:tblCellMar>
        </w:tblPrEx>
        <w:trPr>
          <w:jc w:val="center"/>
        </w:trPr>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Cs w:val="21"/>
              </w:rPr>
            </w:pPr>
          </w:p>
        </w:tc>
      </w:tr>
    </w:tbl>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九、投标产品有关证书</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（由投标人根据采购需求及招标文件</w:t>
      </w:r>
      <w:r>
        <w:rPr>
          <w:rFonts w:hint="eastAsia" w:ascii="宋体" w:hAnsi="宋体" w:cs="宋体"/>
          <w:sz w:val="24"/>
        </w:rPr>
        <w:t>10.3</w:t>
      </w:r>
      <w:r>
        <w:rPr>
          <w:rFonts w:hint="eastAsia" w:ascii="宋体" w:hAnsi="宋体" w:cs="宋体"/>
          <w:sz w:val="24"/>
          <w:lang w:val="zh-CN"/>
        </w:rPr>
        <w:t>第六条要求编制）</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附表：本项目投标产品有关证书情况表</w:t>
      </w:r>
    </w:p>
    <w:tbl>
      <w:tblPr>
        <w:tblStyle w:val="45"/>
        <w:tblW w:w="9185" w:type="dxa"/>
        <w:jc w:val="center"/>
        <w:tblInd w:w="0" w:type="dxa"/>
        <w:tblLayout w:type="fixed"/>
        <w:tblCellMar>
          <w:top w:w="0" w:type="dxa"/>
          <w:left w:w="108" w:type="dxa"/>
          <w:bottom w:w="0" w:type="dxa"/>
          <w:right w:w="108" w:type="dxa"/>
        </w:tblCellMar>
      </w:tblPr>
      <w:tblGrid>
        <w:gridCol w:w="2660"/>
        <w:gridCol w:w="825"/>
        <w:gridCol w:w="810"/>
        <w:gridCol w:w="795"/>
        <w:gridCol w:w="1215"/>
        <w:gridCol w:w="1485"/>
        <w:gridCol w:w="1395"/>
      </w:tblGrid>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投标产品有关证书</w:t>
            </w:r>
          </w:p>
        </w:tc>
        <w:tc>
          <w:tcPr>
            <w:tcW w:w="6525"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投标人提供的产品已具备的证书</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主要投标产品有关证书名称</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产品</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名称</w:t>
            </w: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品牌</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产地</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制造厂商</w:t>
            </w:r>
            <w:r>
              <w:rPr>
                <w:rFonts w:hint="eastAsia" w:ascii="宋体" w:hAnsi="宋体" w:cs="宋体"/>
                <w:sz w:val="24"/>
              </w:rPr>
              <w:t>/</w:t>
            </w:r>
            <w:r>
              <w:rPr>
                <w:rFonts w:hint="eastAsia" w:ascii="宋体" w:hAnsi="宋体" w:cs="宋体"/>
                <w:sz w:val="24"/>
                <w:lang w:val="zh-CN"/>
              </w:rPr>
              <w:t>颁证机构</w:t>
            </w: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证书有效期（起止年月）</w:t>
            </w: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证书复印件所在页码</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投标产品原厂商授权书</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投标产品原厂商授权代理书</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投标产品原厂商质保承诺书</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rPr>
            </w:pPr>
          </w:p>
        </w:tc>
      </w:tr>
    </w:tbl>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注：投标人可按上述的格式自行细化编制，已取得相应证书的投标产品都应当在以上表格中详细填写，未取得相应证书的投标产品可不必在上述表格中填写。</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十、公司介绍</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（由投标人自行编制）</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附表：投标人信息</w:t>
      </w:r>
    </w:p>
    <w:tbl>
      <w:tblPr>
        <w:tblStyle w:val="45"/>
        <w:tblW w:w="8689" w:type="dxa"/>
        <w:tblInd w:w="168" w:type="dxa"/>
        <w:tblLayout w:type="fixed"/>
        <w:tblCellMar>
          <w:top w:w="0" w:type="dxa"/>
          <w:left w:w="168" w:type="dxa"/>
          <w:bottom w:w="0" w:type="dxa"/>
          <w:right w:w="168" w:type="dxa"/>
        </w:tblCellMar>
      </w:tblPr>
      <w:tblGrid>
        <w:gridCol w:w="4894"/>
        <w:gridCol w:w="3795"/>
      </w:tblGrid>
      <w:tr>
        <w:tblPrEx>
          <w:tblLayout w:type="fixed"/>
          <w:tblCellMar>
            <w:top w:w="0" w:type="dxa"/>
            <w:left w:w="168" w:type="dxa"/>
            <w:bottom w:w="0" w:type="dxa"/>
            <w:right w:w="168" w:type="dxa"/>
          </w:tblCellMar>
        </w:tblPrEx>
        <w:tc>
          <w:tcPr>
            <w:tcW w:w="489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项目</w:t>
            </w:r>
          </w:p>
        </w:tc>
        <w:tc>
          <w:tcPr>
            <w:tcW w:w="3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叙述</w:t>
            </w:r>
            <w:r>
              <w:rPr>
                <w:rFonts w:hint="eastAsia" w:ascii="宋体" w:hAnsi="宋体" w:cs="宋体"/>
                <w:sz w:val="24"/>
              </w:rPr>
              <w:t>/</w:t>
            </w:r>
            <w:r>
              <w:rPr>
                <w:rFonts w:hint="eastAsia" w:ascii="宋体" w:hAnsi="宋体" w:cs="宋体"/>
                <w:sz w:val="24"/>
                <w:lang w:val="zh-CN"/>
              </w:rPr>
              <w:t>提供</w:t>
            </w:r>
          </w:p>
        </w:tc>
      </w:tr>
      <w:tr>
        <w:tblPrEx>
          <w:tblLayout w:type="fixed"/>
          <w:tblCellMar>
            <w:top w:w="0" w:type="dxa"/>
            <w:left w:w="168" w:type="dxa"/>
            <w:bottom w:w="0" w:type="dxa"/>
            <w:right w:w="168" w:type="dxa"/>
          </w:tblCellMar>
        </w:tblPrEx>
        <w:tc>
          <w:tcPr>
            <w:tcW w:w="489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lang w:val="zh-CN"/>
              </w:rPr>
              <w:t>一般情况</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lang w:val="zh-CN"/>
              </w:rPr>
              <w:t>公司名称（包括：母公司</w:t>
            </w:r>
            <w:r>
              <w:rPr>
                <w:rFonts w:hint="eastAsia" w:ascii="宋体" w:hAnsi="宋体" w:cs="宋体"/>
                <w:sz w:val="24"/>
              </w:rPr>
              <w:t>/</w:t>
            </w:r>
            <w:r>
              <w:rPr>
                <w:rFonts w:hint="eastAsia" w:ascii="宋体" w:hAnsi="宋体" w:cs="宋体"/>
                <w:sz w:val="24"/>
                <w:lang w:val="zh-CN"/>
              </w:rPr>
              <w:t>附属公司</w:t>
            </w:r>
            <w:r>
              <w:rPr>
                <w:rFonts w:hint="eastAsia" w:ascii="宋体" w:hAnsi="宋体" w:cs="宋体"/>
                <w:sz w:val="24"/>
              </w:rPr>
              <w:t>/</w:t>
            </w:r>
            <w:r>
              <w:rPr>
                <w:rFonts w:hint="eastAsia" w:ascii="宋体" w:hAnsi="宋体" w:cs="宋体"/>
                <w:sz w:val="24"/>
                <w:lang w:val="zh-CN"/>
              </w:rPr>
              <w:t>办事处）</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lang w:val="zh-CN"/>
              </w:rPr>
              <w:t>公司地址</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1.3</w:t>
            </w:r>
            <w:r>
              <w:rPr>
                <w:rFonts w:hint="eastAsia" w:ascii="宋体" w:hAnsi="宋体" w:cs="宋体"/>
                <w:sz w:val="24"/>
              </w:rPr>
              <w:tab/>
            </w:r>
            <w:r>
              <w:rPr>
                <w:rFonts w:hint="eastAsia" w:ascii="宋体" w:hAnsi="宋体" w:cs="宋体"/>
                <w:sz w:val="24"/>
                <w:lang w:val="zh-CN"/>
              </w:rPr>
              <w:t>公司成立时间</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lang w:val="zh-CN"/>
              </w:rPr>
              <w:t>公司主业</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lang w:val="zh-CN"/>
              </w:rPr>
              <w:t>业务范围</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lang w:val="zh-CN"/>
              </w:rPr>
              <w:t>从事项目实施的情况，</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lang w:val="zh-CN"/>
              </w:rPr>
              <w:t>也可列举出在其它行业从事的相应工作。</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lang w:val="zh-CN"/>
              </w:rPr>
              <w:t>典型工程实例：需提供合同</w:t>
            </w:r>
            <w:r>
              <w:rPr>
                <w:rFonts w:hint="eastAsia" w:ascii="宋体" w:hAnsi="宋体" w:cs="宋体"/>
                <w:sz w:val="24"/>
              </w:rPr>
              <w:tab/>
            </w:r>
            <w:r>
              <w:rPr>
                <w:rFonts w:hint="eastAsia" w:ascii="宋体" w:hAnsi="宋体" w:cs="宋体"/>
                <w:sz w:val="24"/>
                <w:lang w:val="zh-CN"/>
              </w:rPr>
              <w:t>复印件，成功案例单位出具的用户报告并加盖公章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lang w:val="zh-CN"/>
              </w:rPr>
              <w:t>支持与经验</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lang w:val="zh-CN"/>
              </w:rPr>
              <w:t>支持服务能力</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人员的数量、学历、资历；</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zh-CN"/>
              </w:rPr>
              <w:t>．公司的组织结构简图（以下可另附）</w:t>
            </w:r>
          </w:p>
          <w:p>
            <w:pPr>
              <w:autoSpaceDE w:val="0"/>
              <w:autoSpaceDN w:val="0"/>
              <w:adjustRightInd w:val="0"/>
              <w:snapToGrid w:val="0"/>
              <w:spacing w:line="360" w:lineRule="auto"/>
              <w:rPr>
                <w:rFonts w:ascii="宋体" w:hAnsi="宋体" w:cs="宋体"/>
                <w:sz w:val="24"/>
              </w:rPr>
            </w:pPr>
          </w:p>
        </w:tc>
        <w:tc>
          <w:tcPr>
            <w:tcW w:w="379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bl>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十一、主要业绩证明</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附表：相关项目建设业绩一览表</w:t>
      </w:r>
    </w:p>
    <w:tbl>
      <w:tblPr>
        <w:tblStyle w:val="45"/>
        <w:tblW w:w="9424" w:type="dxa"/>
        <w:jc w:val="center"/>
        <w:tblInd w:w="0" w:type="dxa"/>
        <w:tblLayout w:type="fixed"/>
        <w:tblCellMar>
          <w:top w:w="0" w:type="dxa"/>
          <w:left w:w="108" w:type="dxa"/>
          <w:bottom w:w="0" w:type="dxa"/>
          <w:right w:w="108" w:type="dxa"/>
        </w:tblCellMar>
      </w:tblPr>
      <w:tblGrid>
        <w:gridCol w:w="1429"/>
        <w:gridCol w:w="1065"/>
        <w:gridCol w:w="1035"/>
        <w:gridCol w:w="1560"/>
        <w:gridCol w:w="1440"/>
        <w:gridCol w:w="1575"/>
        <w:gridCol w:w="1320"/>
      </w:tblGrid>
      <w:tr>
        <w:tblPrEx>
          <w:tblLayout w:type="fixed"/>
          <w:tblCellMar>
            <w:top w:w="0" w:type="dxa"/>
            <w:left w:w="108" w:type="dxa"/>
            <w:bottom w:w="0" w:type="dxa"/>
            <w:right w:w="108" w:type="dxa"/>
          </w:tblCellMar>
        </w:tblPrEx>
        <w:trPr>
          <w:trHeight w:val="1177" w:hRule="atLeast"/>
          <w:jc w:val="center"/>
        </w:trPr>
        <w:tc>
          <w:tcPr>
            <w:tcW w:w="14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项目名称</w:t>
            </w: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项目</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类型</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简要</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描述</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项目投资</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（万元）</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实施时间</w:t>
            </w: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项目地址与建设单位联系电话</w:t>
            </w:r>
          </w:p>
        </w:tc>
        <w:tc>
          <w:tcPr>
            <w:tcW w:w="13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所在</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页码</w:t>
            </w:r>
          </w:p>
        </w:tc>
      </w:tr>
      <w:tr>
        <w:tblPrEx>
          <w:tblLayout w:type="fixed"/>
          <w:tblCellMar>
            <w:top w:w="0" w:type="dxa"/>
            <w:left w:w="108" w:type="dxa"/>
            <w:bottom w:w="0" w:type="dxa"/>
            <w:right w:w="108" w:type="dxa"/>
          </w:tblCellMar>
        </w:tblPrEx>
        <w:trPr>
          <w:trHeight w:val="894" w:hRule="atLeast"/>
          <w:jc w:val="center"/>
        </w:trPr>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920" w:hRule="atLeast"/>
          <w:jc w:val="center"/>
        </w:trPr>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933" w:hRule="atLeast"/>
          <w:jc w:val="center"/>
        </w:trPr>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933" w:hRule="atLeast"/>
          <w:jc w:val="center"/>
        </w:trPr>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r>
        <w:tblPrEx>
          <w:tblLayout w:type="fixed"/>
          <w:tblCellMar>
            <w:top w:w="0" w:type="dxa"/>
            <w:left w:w="108" w:type="dxa"/>
            <w:bottom w:w="0" w:type="dxa"/>
            <w:right w:w="108" w:type="dxa"/>
          </w:tblCellMar>
        </w:tblPrEx>
        <w:trPr>
          <w:trHeight w:val="927" w:hRule="atLeast"/>
          <w:jc w:val="center"/>
        </w:trPr>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宋体" w:hAnsi="宋体" w:cs="宋体"/>
                <w:sz w:val="24"/>
              </w:rPr>
            </w:pPr>
          </w:p>
        </w:tc>
      </w:tr>
    </w:tbl>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注：投标人可按上述的格式自行编制，须随表提交相应的合同复印件或用户单位验收证明并注明所在投标商务文件页码。（原件备查，如不符，即可认定提供虚假材料）</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jc w:val="center"/>
        <w:rPr>
          <w:rFonts w:ascii="宋体" w:hAnsi="宋体" w:cs="宋体"/>
          <w:b/>
          <w:bCs/>
          <w:sz w:val="24"/>
          <w:lang w:val="zh-CN"/>
        </w:rPr>
      </w:pPr>
      <w:r>
        <w:rPr>
          <w:rFonts w:hint="eastAsia" w:ascii="宋体" w:hAnsi="宋体" w:cs="宋体"/>
          <w:sz w:val="24"/>
        </w:rPr>
        <w:br w:type="page"/>
      </w:r>
      <w:r>
        <w:rPr>
          <w:rFonts w:hint="eastAsia" w:ascii="宋体" w:hAnsi="宋体" w:cs="宋体"/>
          <w:b/>
          <w:bCs/>
          <w:sz w:val="24"/>
          <w:lang w:val="zh-CN"/>
        </w:rPr>
        <w:t>十二、商务偏离说明表</w:t>
      </w:r>
    </w:p>
    <w:p>
      <w:pPr>
        <w:snapToGrid w:val="0"/>
        <w:spacing w:line="360" w:lineRule="auto"/>
        <w:ind w:firstLine="480" w:firstLineChars="20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投标方名称（公章）：                      招标编号：</w:t>
      </w:r>
    </w:p>
    <w:tbl>
      <w:tblPr>
        <w:tblStyle w:val="45"/>
        <w:tblW w:w="9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25"/>
        <w:gridCol w:w="2215"/>
        <w:gridCol w:w="198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内容</w:t>
            </w:r>
          </w:p>
        </w:tc>
        <w:tc>
          <w:tcPr>
            <w:tcW w:w="2215" w:type="dxa"/>
            <w:vAlign w:val="center"/>
          </w:tcPr>
          <w:p>
            <w:pPr>
              <w:snapToGrid w:val="0"/>
              <w:spacing w:line="360" w:lineRule="auto"/>
              <w:jc w:val="center"/>
              <w:rPr>
                <w:rFonts w:ascii="宋体" w:hAnsi="宋体" w:cs="宋体"/>
                <w:sz w:val="24"/>
              </w:rPr>
            </w:pPr>
            <w:r>
              <w:rPr>
                <w:rFonts w:hint="eastAsia" w:ascii="宋体" w:hAnsi="宋体" w:cs="宋体"/>
                <w:sz w:val="24"/>
              </w:rPr>
              <w:t>招标要求</w:t>
            </w:r>
          </w:p>
        </w:tc>
        <w:tc>
          <w:tcPr>
            <w:tcW w:w="1984" w:type="dxa"/>
            <w:vAlign w:val="center"/>
          </w:tcPr>
          <w:p>
            <w:pPr>
              <w:snapToGrid w:val="0"/>
              <w:spacing w:line="360" w:lineRule="auto"/>
              <w:jc w:val="center"/>
              <w:rPr>
                <w:rFonts w:ascii="宋体" w:hAnsi="宋体" w:cs="宋体"/>
                <w:sz w:val="24"/>
              </w:rPr>
            </w:pPr>
            <w:r>
              <w:rPr>
                <w:rFonts w:hint="eastAsia" w:ascii="宋体" w:hAnsi="宋体" w:cs="宋体"/>
                <w:sz w:val="24"/>
              </w:rPr>
              <w:t>投标响应</w:t>
            </w:r>
          </w:p>
        </w:tc>
        <w:tc>
          <w:tcPr>
            <w:tcW w:w="1722" w:type="dxa"/>
            <w:vAlign w:val="center"/>
          </w:tcPr>
          <w:p>
            <w:pPr>
              <w:snapToGrid w:val="0"/>
              <w:spacing w:line="360"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供货期限</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设备安装</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验收方式</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付款方式</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保修期限</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368"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25" w:type="dxa"/>
            <w:vAlign w:val="center"/>
          </w:tcPr>
          <w:p>
            <w:pPr>
              <w:snapToGrid w:val="0"/>
              <w:spacing w:line="360" w:lineRule="auto"/>
              <w:jc w:val="center"/>
              <w:rPr>
                <w:rFonts w:ascii="宋体" w:hAnsi="宋体" w:cs="宋体"/>
                <w:sz w:val="24"/>
              </w:rPr>
            </w:pPr>
            <w:r>
              <w:rPr>
                <w:rFonts w:hint="eastAsia" w:ascii="宋体" w:hAnsi="宋体" w:cs="宋体"/>
                <w:sz w:val="24"/>
              </w:rPr>
              <w:t>售后服务</w:t>
            </w:r>
          </w:p>
        </w:tc>
        <w:tc>
          <w:tcPr>
            <w:tcW w:w="2215"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1722" w:type="dxa"/>
            <w:vAlign w:val="center"/>
          </w:tcPr>
          <w:p>
            <w:pPr>
              <w:snapToGrid w:val="0"/>
              <w:spacing w:line="360" w:lineRule="auto"/>
              <w:jc w:val="center"/>
              <w:rPr>
                <w:rFonts w:ascii="宋体" w:hAnsi="宋体" w:cs="宋体"/>
                <w:sz w:val="24"/>
              </w:rPr>
            </w:pPr>
          </w:p>
        </w:tc>
      </w:tr>
    </w:tbl>
    <w:p>
      <w:pPr>
        <w:snapToGrid w:val="0"/>
        <w:spacing w:line="360" w:lineRule="auto"/>
        <w:rPr>
          <w:rFonts w:ascii="宋体" w:hAnsi="宋体" w:cs="宋体"/>
          <w:sz w:val="24"/>
        </w:rPr>
      </w:pPr>
      <w:r>
        <w:rPr>
          <w:rFonts w:hint="eastAsia" w:ascii="宋体" w:hAnsi="宋体" w:cs="宋体"/>
          <w:sz w:val="24"/>
        </w:rPr>
        <w:t>（此表可延长）</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jc w:val="center"/>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十三、对招标文件中有关条款的拒绝声明</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jc w:val="center"/>
        <w:rPr>
          <w:rFonts w:ascii="宋体" w:hAnsi="宋体" w:cs="宋体"/>
          <w:b/>
          <w:bCs/>
          <w:sz w:val="24"/>
          <w:lang w:val="zh-CN"/>
        </w:rPr>
      </w:pPr>
    </w:p>
    <w:p>
      <w:pPr>
        <w:autoSpaceDE w:val="0"/>
        <w:autoSpaceDN w:val="0"/>
        <w:adjustRightInd w:val="0"/>
        <w:snapToGrid w:val="0"/>
        <w:spacing w:line="360" w:lineRule="auto"/>
        <w:jc w:val="center"/>
        <w:rPr>
          <w:rFonts w:ascii="宋体" w:hAnsi="宋体" w:cs="宋体"/>
          <w:b/>
          <w:bCs/>
          <w:sz w:val="24"/>
        </w:rPr>
      </w:pPr>
      <w:r>
        <w:rPr>
          <w:rFonts w:hint="eastAsia" w:ascii="宋体" w:hAnsi="宋体" w:cs="宋体"/>
          <w:b/>
          <w:bCs/>
          <w:sz w:val="24"/>
          <w:lang w:val="zh-CN"/>
        </w:rPr>
        <w:t>十四、其他商务文件或说明</w:t>
      </w:r>
    </w:p>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lang w:val="zh-CN"/>
        </w:rPr>
        <w:t>（由投标人根据采购需求自行编制）</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投标人名称（公章）：</w:t>
      </w:r>
    </w:p>
    <w:p>
      <w:pPr>
        <w:autoSpaceDE w:val="0"/>
        <w:autoSpaceDN w:val="0"/>
        <w:adjustRightInd w:val="0"/>
        <w:snapToGrid w:val="0"/>
        <w:spacing w:line="360" w:lineRule="auto"/>
        <w:rPr>
          <w:rFonts w:ascii="宋体" w:hAnsi="宋体" w:cs="宋体"/>
          <w:sz w:val="24"/>
        </w:rPr>
      </w:pPr>
      <w:r>
        <w:rPr>
          <w:rFonts w:hint="eastAsia" w:ascii="宋体" w:hAnsi="宋体" w:cs="宋体"/>
          <w:sz w:val="24"/>
          <w:lang w:val="zh-CN"/>
        </w:rPr>
        <w:t>法定代表人或授权委托人（签字）：</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日期</w:t>
      </w:r>
      <w:r>
        <w:rPr>
          <w:rFonts w:hint="eastAsia" w:ascii="宋体" w:hAnsi="宋体" w:cs="宋体"/>
          <w:sz w:val="24"/>
        </w:rPr>
        <w:t xml:space="preserve">：2019年  </w:t>
      </w:r>
      <w:r>
        <w:rPr>
          <w:rFonts w:hint="eastAsia" w:ascii="宋体" w:hAnsi="宋体" w:cs="宋体"/>
          <w:sz w:val="24"/>
          <w:lang w:val="zh-CN"/>
        </w:rPr>
        <w:t>月日</w:t>
      </w:r>
    </w:p>
    <w:p>
      <w:pPr>
        <w:autoSpaceDE w:val="0"/>
        <w:autoSpaceDN w:val="0"/>
        <w:adjustRightInd w:val="0"/>
        <w:snapToGrid w:val="0"/>
        <w:spacing w:line="360" w:lineRule="auto"/>
        <w:rPr>
          <w:rFonts w:ascii="宋体" w:hAnsi="宋体" w:cs="宋体"/>
          <w:sz w:val="24"/>
          <w:lang w:val="zh-CN"/>
        </w:rPr>
      </w:pPr>
    </w:p>
    <w:p>
      <w:pPr>
        <w:autoSpaceDE w:val="0"/>
        <w:autoSpaceDN w:val="0"/>
        <w:adjustRightInd w:val="0"/>
        <w:snapToGrid w:val="0"/>
        <w:spacing w:line="360" w:lineRule="auto"/>
        <w:rPr>
          <w:rFonts w:ascii="宋体" w:hAnsi="宋体" w:cs="宋体"/>
          <w:sz w:val="24"/>
        </w:rPr>
      </w:pPr>
    </w:p>
    <w:p>
      <w:pPr>
        <w:snapToGrid w:val="0"/>
        <w:spacing w:line="360" w:lineRule="auto"/>
        <w:jc w:val="center"/>
        <w:rPr>
          <w:rFonts w:ascii="宋体" w:hAnsi="宋体" w:cs="宋体"/>
          <w:b/>
          <w:bCs/>
          <w:sz w:val="24"/>
        </w:rPr>
      </w:pPr>
      <w:r>
        <w:rPr>
          <w:rFonts w:hint="eastAsia" w:ascii="宋体" w:hAnsi="宋体" w:cs="宋体"/>
          <w:b/>
          <w:bCs/>
          <w:sz w:val="24"/>
        </w:rPr>
        <w:t>投标保证金缴纳凭证和退款信息</w:t>
      </w:r>
    </w:p>
    <w:p>
      <w:pPr>
        <w:snapToGrid w:val="0"/>
        <w:spacing w:line="360" w:lineRule="auto"/>
        <w:rPr>
          <w:rFonts w:ascii="宋体" w:hAnsi="宋体" w:cs="宋体"/>
          <w:sz w:val="24"/>
        </w:rPr>
      </w:pPr>
    </w:p>
    <w:p>
      <w:pPr>
        <w:snapToGrid w:val="0"/>
        <w:spacing w:line="360" w:lineRule="auto"/>
        <w:rPr>
          <w:rFonts w:ascii="宋体" w:hAnsi="宋体" w:cs="宋体"/>
          <w:b/>
          <w:bCs/>
          <w:sz w:val="24"/>
        </w:rPr>
      </w:pPr>
    </w:p>
    <w:tbl>
      <w:tblPr>
        <w:tblStyle w:val="4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单位名称</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开户银行</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银行账号</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采购编号</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缴纳金额</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联系人</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联系电话</w:t>
            </w:r>
          </w:p>
        </w:tc>
        <w:tc>
          <w:tcPr>
            <w:tcW w:w="7068" w:type="dxa"/>
          </w:tcPr>
          <w:p>
            <w:pPr>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878" w:type="dxa"/>
            <w:vAlign w:val="center"/>
          </w:tcPr>
          <w:p>
            <w:pPr>
              <w:snapToGrid w:val="0"/>
              <w:spacing w:line="360" w:lineRule="auto"/>
              <w:rPr>
                <w:rFonts w:ascii="宋体" w:hAnsi="宋体" w:cs="宋体"/>
                <w:bCs/>
                <w:sz w:val="24"/>
              </w:rPr>
            </w:pPr>
            <w:r>
              <w:rPr>
                <w:rFonts w:hint="eastAsia" w:ascii="宋体" w:hAnsi="宋体" w:cs="宋体"/>
                <w:bCs/>
                <w:sz w:val="24"/>
              </w:rPr>
              <w:t>单位地址</w:t>
            </w:r>
          </w:p>
        </w:tc>
        <w:tc>
          <w:tcPr>
            <w:tcW w:w="7068" w:type="dxa"/>
          </w:tcPr>
          <w:p>
            <w:pPr>
              <w:snapToGrid w:val="0"/>
              <w:spacing w:line="360" w:lineRule="auto"/>
              <w:rPr>
                <w:rFonts w:ascii="宋体" w:hAnsi="宋体" w:cs="宋体"/>
                <w:b/>
                <w:bCs/>
                <w:sz w:val="24"/>
              </w:rPr>
            </w:pPr>
          </w:p>
        </w:tc>
      </w:tr>
    </w:tbl>
    <w:p>
      <w:pPr>
        <w:snapToGrid w:val="0"/>
        <w:spacing w:line="360" w:lineRule="auto"/>
        <w:rPr>
          <w:rFonts w:ascii="宋体" w:hAnsi="宋体" w:cs="宋体"/>
          <w:b/>
          <w:bCs/>
          <w:sz w:val="24"/>
        </w:rPr>
      </w:pPr>
    </w:p>
    <w:p>
      <w:pPr>
        <w:snapToGrid w:val="0"/>
        <w:spacing w:line="360" w:lineRule="auto"/>
        <w:rPr>
          <w:rFonts w:ascii="宋体" w:hAnsi="宋体" w:cs="宋体"/>
          <w:sz w:val="24"/>
        </w:rPr>
      </w:pPr>
      <w:r>
        <w:rPr>
          <w:rFonts w:hint="eastAsia" w:ascii="宋体" w:hAnsi="宋体" w:cs="宋体"/>
          <w:bCs/>
          <w:sz w:val="24"/>
        </w:rPr>
        <w:t>（此表请单独提供给采购代理机构）</w:t>
      </w:r>
    </w:p>
    <w:p>
      <w:pPr>
        <w:snapToGrid w:val="0"/>
        <w:spacing w:line="360" w:lineRule="auto"/>
        <w:rPr>
          <w:rFonts w:ascii="宋体" w:hAnsi="宋体" w:cs="宋体"/>
          <w:sz w:val="24"/>
        </w:rPr>
      </w:pPr>
    </w:p>
    <w:p>
      <w:pPr>
        <w:snapToGrid w:val="0"/>
        <w:spacing w:line="360" w:lineRule="auto"/>
        <w:rPr>
          <w:rFonts w:ascii="宋体" w:hAnsi="宋体" w:cs="宋体"/>
          <w:sz w:val="24"/>
        </w:rPr>
        <w:sectPr>
          <w:footerReference r:id="rId7" w:type="even"/>
          <w:pgSz w:w="11906" w:h="16838"/>
          <w:pgMar w:top="1440" w:right="1797" w:bottom="1440" w:left="1797" w:header="851" w:footer="851" w:gutter="0"/>
          <w:cols w:space="720" w:num="1"/>
          <w:docGrid w:linePitch="466" w:charSpace="4568"/>
        </w:sectPr>
      </w:pPr>
    </w:p>
    <w:p>
      <w:pPr>
        <w:snapToGrid w:val="0"/>
        <w:spacing w:line="360" w:lineRule="auto"/>
        <w:rPr>
          <w:rFonts w:ascii="宋体" w:hAnsi="宋体" w:cs="宋体"/>
          <w:sz w:val="24"/>
        </w:rPr>
      </w:pPr>
    </w:p>
    <w:p>
      <w:pPr>
        <w:snapToGrid w:val="0"/>
        <w:spacing w:line="360" w:lineRule="auto"/>
        <w:jc w:val="center"/>
        <w:rPr>
          <w:rFonts w:ascii="宋体" w:hAnsi="宋体" w:cs="宋体"/>
          <w:b/>
          <w:sz w:val="28"/>
          <w:szCs w:val="28"/>
        </w:rPr>
      </w:pPr>
      <w:r>
        <w:rPr>
          <w:rFonts w:hint="eastAsia" w:ascii="宋体" w:hAnsi="宋体" w:cs="宋体"/>
          <w:b/>
          <w:sz w:val="28"/>
          <w:szCs w:val="28"/>
        </w:rPr>
        <w:t>政府采购支持中小企业信用融资相关事项通知</w:t>
      </w:r>
    </w:p>
    <w:p>
      <w:pPr>
        <w:snapToGrid w:val="0"/>
        <w:spacing w:line="360" w:lineRule="auto"/>
        <w:jc w:val="center"/>
        <w:rPr>
          <w:rFonts w:ascii="宋体" w:hAnsi="宋体" w:cs="宋体"/>
          <w:b/>
          <w:sz w:val="28"/>
          <w:szCs w:val="28"/>
        </w:rPr>
      </w:pPr>
    </w:p>
    <w:p>
      <w:pPr>
        <w:snapToGrid w:val="0"/>
        <w:spacing w:line="360" w:lineRule="auto"/>
        <w:ind w:firstLine="480" w:firstLineChars="200"/>
        <w:rPr>
          <w:rFonts w:ascii="宋体" w:hAnsi="宋体" w:cs="宋体"/>
          <w:sz w:val="24"/>
        </w:rPr>
      </w:pPr>
      <w:r>
        <w:rPr>
          <w:rFonts w:hint="eastAsia" w:ascii="宋体" w:hAnsi="宋体" w:cs="宋体"/>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napToGrid w:val="0"/>
        <w:spacing w:line="360" w:lineRule="auto"/>
        <w:ind w:firstLine="480" w:firstLineChars="200"/>
        <w:rPr>
          <w:rFonts w:ascii="宋体" w:hAnsi="宋体" w:cs="宋体"/>
          <w:sz w:val="24"/>
        </w:rPr>
      </w:pPr>
      <w:r>
        <w:rPr>
          <w:rFonts w:hint="eastAsia" w:ascii="宋体" w:hAnsi="宋体" w:cs="宋体"/>
          <w:sz w:val="24"/>
        </w:rPr>
        <w:t>一、适用对象</w:t>
      </w:r>
    </w:p>
    <w:p>
      <w:pPr>
        <w:snapToGrid w:val="0"/>
        <w:spacing w:line="360" w:lineRule="auto"/>
        <w:ind w:firstLine="480" w:firstLineChars="200"/>
        <w:rPr>
          <w:rFonts w:ascii="宋体" w:hAnsi="宋体" w:cs="宋体"/>
          <w:sz w:val="24"/>
        </w:rPr>
      </w:pPr>
      <w:r>
        <w:rPr>
          <w:rFonts w:hint="eastAsia" w:ascii="宋体" w:hAnsi="宋体" w:cs="宋体"/>
          <w:sz w:val="24"/>
        </w:rPr>
        <w:t>在杭州市政府采购网上注册入库，并取得杭州市政府采购合同的杭州市内中小企业供应商。</w:t>
      </w:r>
    </w:p>
    <w:p>
      <w:pPr>
        <w:snapToGrid w:val="0"/>
        <w:spacing w:line="360" w:lineRule="auto"/>
        <w:ind w:firstLine="480" w:firstLineChars="200"/>
        <w:rPr>
          <w:rFonts w:ascii="宋体" w:hAnsi="宋体" w:cs="宋体"/>
          <w:sz w:val="24"/>
        </w:rPr>
      </w:pPr>
      <w:r>
        <w:rPr>
          <w:rFonts w:hint="eastAsia" w:ascii="宋体" w:hAnsi="宋体" w:cs="宋体"/>
          <w:sz w:val="24"/>
        </w:rPr>
        <w:t>二、相关信息获取方式</w:t>
      </w:r>
    </w:p>
    <w:p>
      <w:pPr>
        <w:snapToGrid w:val="0"/>
        <w:spacing w:line="360" w:lineRule="auto"/>
        <w:ind w:firstLine="480" w:firstLineChars="200"/>
        <w:rPr>
          <w:rFonts w:ascii="宋体" w:hAnsi="宋体" w:cs="宋体"/>
          <w:sz w:val="24"/>
        </w:rPr>
      </w:pPr>
      <w:r>
        <w:rPr>
          <w:rFonts w:hint="eastAsia" w:ascii="宋体" w:hAnsi="宋体" w:cs="宋体"/>
          <w:sz w:val="24"/>
        </w:rPr>
        <w:t>请登陆杭州市政府采购网（http://cg.hzft.gov.cn）“中小企业信用融资”专栏，可查看信用融资政策文件及各相关银行服务方案。</w:t>
      </w:r>
    </w:p>
    <w:p>
      <w:pPr>
        <w:snapToGrid w:val="0"/>
        <w:spacing w:line="360" w:lineRule="auto"/>
        <w:ind w:firstLine="480" w:firstLineChars="200"/>
        <w:rPr>
          <w:rFonts w:ascii="宋体" w:hAnsi="宋体" w:cs="宋体"/>
          <w:sz w:val="24"/>
        </w:rPr>
      </w:pPr>
      <w:r>
        <w:rPr>
          <w:rFonts w:hint="eastAsia" w:ascii="宋体" w:hAnsi="宋体" w:cs="宋体"/>
          <w:sz w:val="24"/>
        </w:rPr>
        <w:t>三、申请方式和步骤</w:t>
      </w:r>
    </w:p>
    <w:p>
      <w:pPr>
        <w:snapToGrid w:val="0"/>
        <w:spacing w:line="360" w:lineRule="auto"/>
        <w:ind w:firstLine="480" w:firstLineChars="200"/>
        <w:rPr>
          <w:rFonts w:ascii="宋体" w:hAnsi="宋体" w:cs="宋体"/>
          <w:sz w:val="24"/>
        </w:rPr>
      </w:pPr>
      <w:r>
        <w:rPr>
          <w:rFonts w:hint="eastAsia" w:ascii="宋体" w:hAnsi="宋体" w:cs="宋体"/>
          <w:sz w:val="24"/>
        </w:rPr>
        <w:t>1、供应商若有融资意向，需先与六家合作银行对接，办理相关融资前期手续；</w:t>
      </w:r>
    </w:p>
    <w:p>
      <w:pPr>
        <w:snapToGrid w:val="0"/>
        <w:spacing w:line="360" w:lineRule="auto"/>
        <w:ind w:firstLine="480" w:firstLineChars="200"/>
        <w:rPr>
          <w:rFonts w:ascii="宋体" w:hAnsi="宋体" w:cs="宋体"/>
          <w:sz w:val="24"/>
        </w:rPr>
      </w:pPr>
      <w:r>
        <w:rPr>
          <w:rFonts w:hint="eastAsia" w:ascii="宋体" w:hAnsi="宋体" w:cs="宋体"/>
          <w:sz w:val="24"/>
        </w:rPr>
        <w:t>2、中标后，供应商应与采购单位或者采购代理机构及时联系，告知融资需求；</w:t>
      </w:r>
    </w:p>
    <w:p>
      <w:pPr>
        <w:snapToGrid w:val="0"/>
        <w:spacing w:line="360" w:lineRule="auto"/>
        <w:ind w:firstLine="480" w:firstLineChars="200"/>
        <w:rPr>
          <w:rFonts w:ascii="宋体" w:hAnsi="宋体" w:cs="宋体"/>
          <w:sz w:val="24"/>
        </w:rPr>
      </w:pPr>
      <w:r>
        <w:rPr>
          <w:rFonts w:hint="eastAsia" w:ascii="宋体" w:hAnsi="宋体" w:cs="宋体"/>
          <w:sz w:val="24"/>
        </w:rPr>
        <w:t>3、采购单位或者采购代理机构在政府采购信息系统录入中标合同信息时，须在合同备案页“是否为可融资合同”前打勾，并选择相应的信用融资合作银行，录入账号信息；</w:t>
      </w:r>
    </w:p>
    <w:p>
      <w:pPr>
        <w:snapToGrid w:val="0"/>
        <w:spacing w:line="360" w:lineRule="auto"/>
        <w:ind w:firstLine="480" w:firstLineChars="200"/>
        <w:rPr>
          <w:rFonts w:ascii="宋体" w:hAnsi="宋体" w:cs="宋体"/>
          <w:sz w:val="24"/>
        </w:rPr>
      </w:pPr>
      <w:r>
        <w:rPr>
          <w:rFonts w:hint="eastAsia" w:ascii="宋体" w:hAnsi="宋体" w:cs="宋体"/>
          <w:sz w:val="24"/>
        </w:rPr>
        <w:t>4、相关信息录入后，相关合作银行将在政府采购信息系统查询到合同备案信息，经审核，与供应商联系并办理相关融资事宜。</w:t>
      </w:r>
    </w:p>
    <w:p>
      <w:pPr>
        <w:snapToGrid w:val="0"/>
        <w:spacing w:line="360" w:lineRule="auto"/>
        <w:ind w:firstLine="480" w:firstLineChars="200"/>
        <w:rPr>
          <w:rFonts w:ascii="宋体" w:hAnsi="宋体" w:cs="宋体"/>
          <w:sz w:val="24"/>
        </w:rPr>
      </w:pPr>
      <w:r>
        <w:rPr>
          <w:rFonts w:hint="eastAsia" w:ascii="宋体" w:hAnsi="宋体" w:cs="宋体"/>
          <w:sz w:val="24"/>
        </w:rPr>
        <w:t>四、注意事项</w:t>
      </w:r>
    </w:p>
    <w:p>
      <w:pPr>
        <w:snapToGrid w:val="0"/>
        <w:spacing w:line="360" w:lineRule="auto"/>
        <w:ind w:firstLine="480" w:firstLineChars="200"/>
        <w:rPr>
          <w:rFonts w:ascii="宋体" w:hAnsi="宋体" w:cs="宋体"/>
          <w:sz w:val="24"/>
        </w:rPr>
      </w:pPr>
      <w:r>
        <w:rPr>
          <w:rFonts w:hint="eastAsia" w:ascii="宋体" w:hAnsi="宋体" w:cs="宋体"/>
          <w:sz w:val="24"/>
        </w:rPr>
        <w:t>请各采购单位和采购代理机构积极支持和配合政府采购信用融资工作，在合同备案环节务必请仔细核对收款银行、账号信息等内容，一旦录入将无法修改。</w:t>
      </w:r>
    </w:p>
    <w:sectPr>
      <w:pgSz w:w="11906" w:h="16838"/>
      <w:pgMar w:top="1440" w:right="1797" w:bottom="1440" w:left="1797" w:header="851" w:footer="851" w:gutter="0"/>
      <w:cols w:space="720" w:num="1"/>
      <w:docGrid w:linePitch="466" w:charSpace="45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9"/>
      </w:rPr>
    </w:pPr>
    <w:r>
      <w:fldChar w:fldCharType="begin"/>
    </w:r>
    <w:r>
      <w:rPr>
        <w:rStyle w:val="49"/>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lvl>
  </w:abstractNum>
  <w:abstractNum w:abstractNumId="1">
    <w:nsid w:val="00000014"/>
    <w:multiLevelType w:val="multilevel"/>
    <w:tmpl w:val="00000014"/>
    <w:lvl w:ilvl="0" w:tentative="0">
      <w:start w:val="1"/>
      <w:numFmt w:val="decimal"/>
      <w:lvlText w:val="(%1)"/>
      <w:lvlJc w:val="left"/>
      <w:pPr>
        <w:tabs>
          <w:tab w:val="left" w:pos="171"/>
        </w:tabs>
        <w:ind w:left="1116" w:hanging="420"/>
      </w:pPr>
      <w:rPr>
        <w:rFonts w:hint="eastAsia" w:ascii="宋体" w:hAnsi="宋体" w:eastAsia="宋体"/>
        <w:color w:val="000000"/>
        <w:sz w:val="21"/>
        <w:szCs w:val="20"/>
      </w:rPr>
    </w:lvl>
    <w:lvl w:ilvl="1" w:tentative="0">
      <w:start w:val="1"/>
      <w:numFmt w:val="lowerLetter"/>
      <w:lvlText w:val="%2)"/>
      <w:lvlJc w:val="left"/>
      <w:pPr>
        <w:tabs>
          <w:tab w:val="left" w:pos="171"/>
        </w:tabs>
        <w:ind w:left="1536" w:hanging="420"/>
      </w:pPr>
    </w:lvl>
    <w:lvl w:ilvl="2" w:tentative="0">
      <w:start w:val="1"/>
      <w:numFmt w:val="lowerRoman"/>
      <w:lvlText w:val="%3."/>
      <w:lvlJc w:val="right"/>
      <w:pPr>
        <w:tabs>
          <w:tab w:val="left" w:pos="171"/>
        </w:tabs>
        <w:ind w:left="1956" w:hanging="420"/>
      </w:pPr>
    </w:lvl>
    <w:lvl w:ilvl="3" w:tentative="0">
      <w:start w:val="1"/>
      <w:numFmt w:val="decimal"/>
      <w:lvlText w:val="%4."/>
      <w:lvlJc w:val="left"/>
      <w:pPr>
        <w:tabs>
          <w:tab w:val="left" w:pos="171"/>
        </w:tabs>
        <w:ind w:left="2376" w:hanging="420"/>
      </w:pPr>
    </w:lvl>
    <w:lvl w:ilvl="4" w:tentative="0">
      <w:start w:val="1"/>
      <w:numFmt w:val="lowerLetter"/>
      <w:lvlText w:val="%5)"/>
      <w:lvlJc w:val="left"/>
      <w:pPr>
        <w:tabs>
          <w:tab w:val="left" w:pos="171"/>
        </w:tabs>
        <w:ind w:left="2796" w:hanging="420"/>
      </w:pPr>
    </w:lvl>
    <w:lvl w:ilvl="5" w:tentative="0">
      <w:start w:val="1"/>
      <w:numFmt w:val="lowerRoman"/>
      <w:lvlText w:val="%6."/>
      <w:lvlJc w:val="right"/>
      <w:pPr>
        <w:tabs>
          <w:tab w:val="left" w:pos="171"/>
        </w:tabs>
        <w:ind w:left="3216" w:hanging="420"/>
      </w:pPr>
    </w:lvl>
    <w:lvl w:ilvl="6" w:tentative="0">
      <w:start w:val="1"/>
      <w:numFmt w:val="decimal"/>
      <w:lvlText w:val="%7."/>
      <w:lvlJc w:val="left"/>
      <w:pPr>
        <w:tabs>
          <w:tab w:val="left" w:pos="171"/>
        </w:tabs>
        <w:ind w:left="3636" w:hanging="420"/>
      </w:pPr>
    </w:lvl>
    <w:lvl w:ilvl="7" w:tentative="0">
      <w:start w:val="1"/>
      <w:numFmt w:val="lowerLetter"/>
      <w:lvlText w:val="%8)"/>
      <w:lvlJc w:val="left"/>
      <w:pPr>
        <w:tabs>
          <w:tab w:val="left" w:pos="171"/>
        </w:tabs>
        <w:ind w:left="4056" w:hanging="420"/>
      </w:pPr>
    </w:lvl>
    <w:lvl w:ilvl="8" w:tentative="0">
      <w:start w:val="1"/>
      <w:numFmt w:val="lowerRoman"/>
      <w:lvlText w:val="%9."/>
      <w:lvlJc w:val="right"/>
      <w:pPr>
        <w:tabs>
          <w:tab w:val="left" w:pos="171"/>
        </w:tabs>
        <w:ind w:left="4476" w:hanging="420"/>
      </w:pPr>
    </w:lvl>
  </w:abstractNum>
  <w:abstractNum w:abstractNumId="2">
    <w:nsid w:val="00000015"/>
    <w:multiLevelType w:val="multilevel"/>
    <w:tmpl w:val="0000001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23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65D"/>
    <w:rsid w:val="000061C6"/>
    <w:rsid w:val="00006575"/>
    <w:rsid w:val="000129AA"/>
    <w:rsid w:val="00014ECA"/>
    <w:rsid w:val="0002148A"/>
    <w:rsid w:val="000262F9"/>
    <w:rsid w:val="0003729A"/>
    <w:rsid w:val="000402F3"/>
    <w:rsid w:val="00040ACF"/>
    <w:rsid w:val="00047A7C"/>
    <w:rsid w:val="00051F91"/>
    <w:rsid w:val="00052675"/>
    <w:rsid w:val="00056680"/>
    <w:rsid w:val="0006042B"/>
    <w:rsid w:val="0006153E"/>
    <w:rsid w:val="00064DFF"/>
    <w:rsid w:val="00065B8E"/>
    <w:rsid w:val="00070265"/>
    <w:rsid w:val="000710C1"/>
    <w:rsid w:val="00072CC3"/>
    <w:rsid w:val="00086F9D"/>
    <w:rsid w:val="00087F1B"/>
    <w:rsid w:val="000A011B"/>
    <w:rsid w:val="000A0617"/>
    <w:rsid w:val="000A2949"/>
    <w:rsid w:val="000A6BFD"/>
    <w:rsid w:val="000B1C78"/>
    <w:rsid w:val="000B46B1"/>
    <w:rsid w:val="000B7487"/>
    <w:rsid w:val="000C4A58"/>
    <w:rsid w:val="000C74F6"/>
    <w:rsid w:val="000D1B36"/>
    <w:rsid w:val="000D1BC6"/>
    <w:rsid w:val="000D1F20"/>
    <w:rsid w:val="000D2D7E"/>
    <w:rsid w:val="000D3B61"/>
    <w:rsid w:val="000D3CD6"/>
    <w:rsid w:val="000D3D97"/>
    <w:rsid w:val="000D67FF"/>
    <w:rsid w:val="000E01DD"/>
    <w:rsid w:val="000E3681"/>
    <w:rsid w:val="000E6552"/>
    <w:rsid w:val="000E6C24"/>
    <w:rsid w:val="000F14AB"/>
    <w:rsid w:val="000F24DF"/>
    <w:rsid w:val="000F62C4"/>
    <w:rsid w:val="000F734C"/>
    <w:rsid w:val="00102F2F"/>
    <w:rsid w:val="001032DB"/>
    <w:rsid w:val="0011325D"/>
    <w:rsid w:val="00113905"/>
    <w:rsid w:val="00114E75"/>
    <w:rsid w:val="00116BEC"/>
    <w:rsid w:val="0013654F"/>
    <w:rsid w:val="0013749E"/>
    <w:rsid w:val="00152B48"/>
    <w:rsid w:val="00154224"/>
    <w:rsid w:val="00172A27"/>
    <w:rsid w:val="00177E76"/>
    <w:rsid w:val="0018345F"/>
    <w:rsid w:val="00185BF5"/>
    <w:rsid w:val="00193928"/>
    <w:rsid w:val="001A7CCE"/>
    <w:rsid w:val="001B1A59"/>
    <w:rsid w:val="001B4D02"/>
    <w:rsid w:val="001C1886"/>
    <w:rsid w:val="001C2BBD"/>
    <w:rsid w:val="001C7640"/>
    <w:rsid w:val="001C7AF4"/>
    <w:rsid w:val="001D1EBB"/>
    <w:rsid w:val="001D4B02"/>
    <w:rsid w:val="001E2E6F"/>
    <w:rsid w:val="001E4470"/>
    <w:rsid w:val="001F14BD"/>
    <w:rsid w:val="001F5D81"/>
    <w:rsid w:val="001F75D0"/>
    <w:rsid w:val="00200B87"/>
    <w:rsid w:val="0020532A"/>
    <w:rsid w:val="002074F4"/>
    <w:rsid w:val="00216B72"/>
    <w:rsid w:val="002354C2"/>
    <w:rsid w:val="00235F34"/>
    <w:rsid w:val="00236682"/>
    <w:rsid w:val="002366F8"/>
    <w:rsid w:val="0023696B"/>
    <w:rsid w:val="002458E4"/>
    <w:rsid w:val="00247658"/>
    <w:rsid w:val="00254286"/>
    <w:rsid w:val="002542F9"/>
    <w:rsid w:val="002549BB"/>
    <w:rsid w:val="00256CC1"/>
    <w:rsid w:val="00262667"/>
    <w:rsid w:val="00262EAE"/>
    <w:rsid w:val="00265F31"/>
    <w:rsid w:val="00266148"/>
    <w:rsid w:val="00267DBC"/>
    <w:rsid w:val="00285DE9"/>
    <w:rsid w:val="002903AD"/>
    <w:rsid w:val="002903FE"/>
    <w:rsid w:val="00291E79"/>
    <w:rsid w:val="002953FA"/>
    <w:rsid w:val="002A1F78"/>
    <w:rsid w:val="002A3A35"/>
    <w:rsid w:val="002B03E6"/>
    <w:rsid w:val="002B2A3B"/>
    <w:rsid w:val="002B5147"/>
    <w:rsid w:val="002B5FD6"/>
    <w:rsid w:val="002B7F89"/>
    <w:rsid w:val="002D1E61"/>
    <w:rsid w:val="002D4AC9"/>
    <w:rsid w:val="002D4C80"/>
    <w:rsid w:val="002E426F"/>
    <w:rsid w:val="002F1B8E"/>
    <w:rsid w:val="002F41D8"/>
    <w:rsid w:val="002F4D7D"/>
    <w:rsid w:val="002F6D30"/>
    <w:rsid w:val="002F797F"/>
    <w:rsid w:val="0030080B"/>
    <w:rsid w:val="0030080D"/>
    <w:rsid w:val="00300A26"/>
    <w:rsid w:val="00313851"/>
    <w:rsid w:val="003138F2"/>
    <w:rsid w:val="00313EE5"/>
    <w:rsid w:val="00315E19"/>
    <w:rsid w:val="00315F5B"/>
    <w:rsid w:val="0032446E"/>
    <w:rsid w:val="003329B5"/>
    <w:rsid w:val="00335501"/>
    <w:rsid w:val="00336CAD"/>
    <w:rsid w:val="00336EFA"/>
    <w:rsid w:val="003372D4"/>
    <w:rsid w:val="00340F9F"/>
    <w:rsid w:val="00345B05"/>
    <w:rsid w:val="003539FD"/>
    <w:rsid w:val="00356382"/>
    <w:rsid w:val="00357859"/>
    <w:rsid w:val="00361A56"/>
    <w:rsid w:val="003625FC"/>
    <w:rsid w:val="0036316A"/>
    <w:rsid w:val="00367CAB"/>
    <w:rsid w:val="003717D2"/>
    <w:rsid w:val="00376886"/>
    <w:rsid w:val="00377EEA"/>
    <w:rsid w:val="00381437"/>
    <w:rsid w:val="0039294C"/>
    <w:rsid w:val="00392DE7"/>
    <w:rsid w:val="003948B7"/>
    <w:rsid w:val="00395251"/>
    <w:rsid w:val="003A003B"/>
    <w:rsid w:val="003A14AA"/>
    <w:rsid w:val="003A1F94"/>
    <w:rsid w:val="003A43F5"/>
    <w:rsid w:val="003A5862"/>
    <w:rsid w:val="003A7A0D"/>
    <w:rsid w:val="003C1659"/>
    <w:rsid w:val="003C4F8D"/>
    <w:rsid w:val="003C67E9"/>
    <w:rsid w:val="003C6C64"/>
    <w:rsid w:val="003D2121"/>
    <w:rsid w:val="003D7C27"/>
    <w:rsid w:val="003E1F4A"/>
    <w:rsid w:val="003F2483"/>
    <w:rsid w:val="003F765A"/>
    <w:rsid w:val="004017AF"/>
    <w:rsid w:val="004106E3"/>
    <w:rsid w:val="0041309D"/>
    <w:rsid w:val="0041500A"/>
    <w:rsid w:val="0041538F"/>
    <w:rsid w:val="0041701E"/>
    <w:rsid w:val="004209CE"/>
    <w:rsid w:val="00423659"/>
    <w:rsid w:val="00425280"/>
    <w:rsid w:val="00435CB2"/>
    <w:rsid w:val="004434C8"/>
    <w:rsid w:val="0044644A"/>
    <w:rsid w:val="0045095F"/>
    <w:rsid w:val="00455FEA"/>
    <w:rsid w:val="00462481"/>
    <w:rsid w:val="00464D2C"/>
    <w:rsid w:val="004661B4"/>
    <w:rsid w:val="0047181A"/>
    <w:rsid w:val="00472F61"/>
    <w:rsid w:val="00473998"/>
    <w:rsid w:val="00475D2F"/>
    <w:rsid w:val="004767D1"/>
    <w:rsid w:val="004808F4"/>
    <w:rsid w:val="00480E68"/>
    <w:rsid w:val="004825C8"/>
    <w:rsid w:val="004850FA"/>
    <w:rsid w:val="004863BC"/>
    <w:rsid w:val="00486637"/>
    <w:rsid w:val="00487E63"/>
    <w:rsid w:val="0049191D"/>
    <w:rsid w:val="00494396"/>
    <w:rsid w:val="00497F0B"/>
    <w:rsid w:val="004A10E7"/>
    <w:rsid w:val="004A32A7"/>
    <w:rsid w:val="004A3AE6"/>
    <w:rsid w:val="004A70BB"/>
    <w:rsid w:val="004B4091"/>
    <w:rsid w:val="004C073A"/>
    <w:rsid w:val="004D0768"/>
    <w:rsid w:val="004D0B14"/>
    <w:rsid w:val="004D158D"/>
    <w:rsid w:val="004D4291"/>
    <w:rsid w:val="004E219C"/>
    <w:rsid w:val="004E43EE"/>
    <w:rsid w:val="004F767A"/>
    <w:rsid w:val="005027F1"/>
    <w:rsid w:val="00507BDF"/>
    <w:rsid w:val="00507BE1"/>
    <w:rsid w:val="00516AD5"/>
    <w:rsid w:val="00517B7D"/>
    <w:rsid w:val="00523EB5"/>
    <w:rsid w:val="00535FC3"/>
    <w:rsid w:val="005617B3"/>
    <w:rsid w:val="0056218C"/>
    <w:rsid w:val="0056278E"/>
    <w:rsid w:val="00563EC5"/>
    <w:rsid w:val="00567599"/>
    <w:rsid w:val="005715C8"/>
    <w:rsid w:val="005744BB"/>
    <w:rsid w:val="00574FE0"/>
    <w:rsid w:val="00581BBC"/>
    <w:rsid w:val="00582F22"/>
    <w:rsid w:val="00593C9D"/>
    <w:rsid w:val="0059670F"/>
    <w:rsid w:val="00597D3C"/>
    <w:rsid w:val="005A2E18"/>
    <w:rsid w:val="005A39E7"/>
    <w:rsid w:val="005A3F54"/>
    <w:rsid w:val="005A560B"/>
    <w:rsid w:val="005A6465"/>
    <w:rsid w:val="005B0079"/>
    <w:rsid w:val="005B062F"/>
    <w:rsid w:val="005B4ECE"/>
    <w:rsid w:val="005B682D"/>
    <w:rsid w:val="005B7B20"/>
    <w:rsid w:val="005B7CB7"/>
    <w:rsid w:val="005C4486"/>
    <w:rsid w:val="005C6260"/>
    <w:rsid w:val="005C69FE"/>
    <w:rsid w:val="005D13A5"/>
    <w:rsid w:val="005D19EE"/>
    <w:rsid w:val="005D2776"/>
    <w:rsid w:val="005D3C55"/>
    <w:rsid w:val="005D6E1A"/>
    <w:rsid w:val="005E2D87"/>
    <w:rsid w:val="005E3342"/>
    <w:rsid w:val="005E4FF6"/>
    <w:rsid w:val="005F4B58"/>
    <w:rsid w:val="005F54B8"/>
    <w:rsid w:val="005F5D9A"/>
    <w:rsid w:val="00600D07"/>
    <w:rsid w:val="00601571"/>
    <w:rsid w:val="00603E14"/>
    <w:rsid w:val="00611106"/>
    <w:rsid w:val="00615C29"/>
    <w:rsid w:val="00616EDD"/>
    <w:rsid w:val="006200AF"/>
    <w:rsid w:val="00622CF6"/>
    <w:rsid w:val="00625F15"/>
    <w:rsid w:val="0063059F"/>
    <w:rsid w:val="006331A5"/>
    <w:rsid w:val="00633CA5"/>
    <w:rsid w:val="00635A17"/>
    <w:rsid w:val="00637C31"/>
    <w:rsid w:val="00647F9B"/>
    <w:rsid w:val="00656400"/>
    <w:rsid w:val="00661F3A"/>
    <w:rsid w:val="00674BE3"/>
    <w:rsid w:val="00682E6C"/>
    <w:rsid w:val="00684272"/>
    <w:rsid w:val="006855AB"/>
    <w:rsid w:val="0068584E"/>
    <w:rsid w:val="00697A6C"/>
    <w:rsid w:val="006A0F1F"/>
    <w:rsid w:val="006A334B"/>
    <w:rsid w:val="006A650C"/>
    <w:rsid w:val="006C03D9"/>
    <w:rsid w:val="006C0BE0"/>
    <w:rsid w:val="006C4C71"/>
    <w:rsid w:val="006C5771"/>
    <w:rsid w:val="006D014B"/>
    <w:rsid w:val="006D36E0"/>
    <w:rsid w:val="006D69D2"/>
    <w:rsid w:val="006D735E"/>
    <w:rsid w:val="006D77E6"/>
    <w:rsid w:val="006E47A4"/>
    <w:rsid w:val="006E5356"/>
    <w:rsid w:val="006E5A1E"/>
    <w:rsid w:val="006F0498"/>
    <w:rsid w:val="006F1AD6"/>
    <w:rsid w:val="006F2A7C"/>
    <w:rsid w:val="006F3CB5"/>
    <w:rsid w:val="006F3F75"/>
    <w:rsid w:val="00702F0D"/>
    <w:rsid w:val="00706B60"/>
    <w:rsid w:val="0070702D"/>
    <w:rsid w:val="0071148A"/>
    <w:rsid w:val="007219B3"/>
    <w:rsid w:val="0072237F"/>
    <w:rsid w:val="00724027"/>
    <w:rsid w:val="00731066"/>
    <w:rsid w:val="00733E01"/>
    <w:rsid w:val="00735219"/>
    <w:rsid w:val="00736514"/>
    <w:rsid w:val="00742FF4"/>
    <w:rsid w:val="0074423F"/>
    <w:rsid w:val="0074501C"/>
    <w:rsid w:val="00766B15"/>
    <w:rsid w:val="00780938"/>
    <w:rsid w:val="0078163D"/>
    <w:rsid w:val="007817EF"/>
    <w:rsid w:val="007819C4"/>
    <w:rsid w:val="00785A65"/>
    <w:rsid w:val="00795A1C"/>
    <w:rsid w:val="00796525"/>
    <w:rsid w:val="007972CE"/>
    <w:rsid w:val="007A41AF"/>
    <w:rsid w:val="007A6A04"/>
    <w:rsid w:val="007A71E2"/>
    <w:rsid w:val="007C32E1"/>
    <w:rsid w:val="007D1B01"/>
    <w:rsid w:val="007E119A"/>
    <w:rsid w:val="007F6F25"/>
    <w:rsid w:val="00801378"/>
    <w:rsid w:val="00802776"/>
    <w:rsid w:val="008068FF"/>
    <w:rsid w:val="00810170"/>
    <w:rsid w:val="008103ED"/>
    <w:rsid w:val="00812F59"/>
    <w:rsid w:val="00820820"/>
    <w:rsid w:val="00826F5E"/>
    <w:rsid w:val="00830CFC"/>
    <w:rsid w:val="00832CD6"/>
    <w:rsid w:val="008344D8"/>
    <w:rsid w:val="00836C08"/>
    <w:rsid w:val="00840429"/>
    <w:rsid w:val="008448F3"/>
    <w:rsid w:val="0084537F"/>
    <w:rsid w:val="0084565F"/>
    <w:rsid w:val="008550E7"/>
    <w:rsid w:val="00856405"/>
    <w:rsid w:val="008605D3"/>
    <w:rsid w:val="00861E0F"/>
    <w:rsid w:val="0086247C"/>
    <w:rsid w:val="0086355A"/>
    <w:rsid w:val="008701F8"/>
    <w:rsid w:val="008725E6"/>
    <w:rsid w:val="00873A4B"/>
    <w:rsid w:val="00880204"/>
    <w:rsid w:val="00880C45"/>
    <w:rsid w:val="00891564"/>
    <w:rsid w:val="00892747"/>
    <w:rsid w:val="008963B9"/>
    <w:rsid w:val="008A31BE"/>
    <w:rsid w:val="008A5FB5"/>
    <w:rsid w:val="008A64DE"/>
    <w:rsid w:val="008A718E"/>
    <w:rsid w:val="008B00A3"/>
    <w:rsid w:val="008B16B7"/>
    <w:rsid w:val="008C6924"/>
    <w:rsid w:val="008D55D0"/>
    <w:rsid w:val="008E0F50"/>
    <w:rsid w:val="008E4FB0"/>
    <w:rsid w:val="008E5C45"/>
    <w:rsid w:val="008F1440"/>
    <w:rsid w:val="008F3855"/>
    <w:rsid w:val="008F4B89"/>
    <w:rsid w:val="00900A7A"/>
    <w:rsid w:val="009028D3"/>
    <w:rsid w:val="00902BA4"/>
    <w:rsid w:val="009035C0"/>
    <w:rsid w:val="00906F53"/>
    <w:rsid w:val="0091039F"/>
    <w:rsid w:val="00915FB2"/>
    <w:rsid w:val="00916642"/>
    <w:rsid w:val="00917BD0"/>
    <w:rsid w:val="00917C0F"/>
    <w:rsid w:val="00931C0F"/>
    <w:rsid w:val="00932F5E"/>
    <w:rsid w:val="0093396F"/>
    <w:rsid w:val="00941638"/>
    <w:rsid w:val="00942DD3"/>
    <w:rsid w:val="0094316C"/>
    <w:rsid w:val="009461AF"/>
    <w:rsid w:val="00946407"/>
    <w:rsid w:val="009507A1"/>
    <w:rsid w:val="0095347D"/>
    <w:rsid w:val="0095427C"/>
    <w:rsid w:val="00960686"/>
    <w:rsid w:val="0096388A"/>
    <w:rsid w:val="009641B5"/>
    <w:rsid w:val="00965995"/>
    <w:rsid w:val="00965F46"/>
    <w:rsid w:val="00973612"/>
    <w:rsid w:val="00973824"/>
    <w:rsid w:val="00980D5E"/>
    <w:rsid w:val="00982D09"/>
    <w:rsid w:val="00983C9D"/>
    <w:rsid w:val="009860A0"/>
    <w:rsid w:val="00990523"/>
    <w:rsid w:val="00991283"/>
    <w:rsid w:val="0099696F"/>
    <w:rsid w:val="009A32A0"/>
    <w:rsid w:val="009A6E6D"/>
    <w:rsid w:val="009B0DA0"/>
    <w:rsid w:val="009B31F7"/>
    <w:rsid w:val="009B50F6"/>
    <w:rsid w:val="009C3050"/>
    <w:rsid w:val="009C4191"/>
    <w:rsid w:val="009C4920"/>
    <w:rsid w:val="009D24B3"/>
    <w:rsid w:val="009D5500"/>
    <w:rsid w:val="009D5C58"/>
    <w:rsid w:val="009F1701"/>
    <w:rsid w:val="00A01EC7"/>
    <w:rsid w:val="00A02CCC"/>
    <w:rsid w:val="00A03941"/>
    <w:rsid w:val="00A06CA1"/>
    <w:rsid w:val="00A10455"/>
    <w:rsid w:val="00A11B18"/>
    <w:rsid w:val="00A162D4"/>
    <w:rsid w:val="00A1638F"/>
    <w:rsid w:val="00A17730"/>
    <w:rsid w:val="00A2402D"/>
    <w:rsid w:val="00A2422F"/>
    <w:rsid w:val="00A24DEC"/>
    <w:rsid w:val="00A27952"/>
    <w:rsid w:val="00A36F62"/>
    <w:rsid w:val="00A420AD"/>
    <w:rsid w:val="00A526B2"/>
    <w:rsid w:val="00A54B05"/>
    <w:rsid w:val="00A563E7"/>
    <w:rsid w:val="00A65D6D"/>
    <w:rsid w:val="00A67CB9"/>
    <w:rsid w:val="00A73D72"/>
    <w:rsid w:val="00A74556"/>
    <w:rsid w:val="00A75BCB"/>
    <w:rsid w:val="00A8182E"/>
    <w:rsid w:val="00A84812"/>
    <w:rsid w:val="00A9410F"/>
    <w:rsid w:val="00A94ECB"/>
    <w:rsid w:val="00AA2617"/>
    <w:rsid w:val="00AB61C1"/>
    <w:rsid w:val="00AB6B0B"/>
    <w:rsid w:val="00AD12C5"/>
    <w:rsid w:val="00AD1856"/>
    <w:rsid w:val="00AD5BCF"/>
    <w:rsid w:val="00AD6600"/>
    <w:rsid w:val="00AD71B3"/>
    <w:rsid w:val="00AE0EEF"/>
    <w:rsid w:val="00AE2B48"/>
    <w:rsid w:val="00AE33BF"/>
    <w:rsid w:val="00AE33C3"/>
    <w:rsid w:val="00AE792E"/>
    <w:rsid w:val="00B06468"/>
    <w:rsid w:val="00B07C63"/>
    <w:rsid w:val="00B07F57"/>
    <w:rsid w:val="00B10567"/>
    <w:rsid w:val="00B32046"/>
    <w:rsid w:val="00B324FB"/>
    <w:rsid w:val="00B4792A"/>
    <w:rsid w:val="00B512E7"/>
    <w:rsid w:val="00B51A93"/>
    <w:rsid w:val="00B54878"/>
    <w:rsid w:val="00B54BD1"/>
    <w:rsid w:val="00B55780"/>
    <w:rsid w:val="00B562AF"/>
    <w:rsid w:val="00B6455C"/>
    <w:rsid w:val="00B64CB0"/>
    <w:rsid w:val="00B732AF"/>
    <w:rsid w:val="00B73786"/>
    <w:rsid w:val="00B82853"/>
    <w:rsid w:val="00B842B0"/>
    <w:rsid w:val="00B85AEF"/>
    <w:rsid w:val="00B85C29"/>
    <w:rsid w:val="00B942F6"/>
    <w:rsid w:val="00B96BDF"/>
    <w:rsid w:val="00BA2618"/>
    <w:rsid w:val="00BA4416"/>
    <w:rsid w:val="00BA4AF3"/>
    <w:rsid w:val="00BA55C6"/>
    <w:rsid w:val="00BC1640"/>
    <w:rsid w:val="00BC4E7F"/>
    <w:rsid w:val="00BC724C"/>
    <w:rsid w:val="00BE5A88"/>
    <w:rsid w:val="00BF06EA"/>
    <w:rsid w:val="00BF34FE"/>
    <w:rsid w:val="00BF52AF"/>
    <w:rsid w:val="00C15DCC"/>
    <w:rsid w:val="00C207FF"/>
    <w:rsid w:val="00C20FDE"/>
    <w:rsid w:val="00C23C88"/>
    <w:rsid w:val="00C26CA0"/>
    <w:rsid w:val="00C27F1B"/>
    <w:rsid w:val="00C30B03"/>
    <w:rsid w:val="00C37237"/>
    <w:rsid w:val="00C40141"/>
    <w:rsid w:val="00C505E0"/>
    <w:rsid w:val="00C56C9E"/>
    <w:rsid w:val="00C5735C"/>
    <w:rsid w:val="00C576EF"/>
    <w:rsid w:val="00C61241"/>
    <w:rsid w:val="00C62923"/>
    <w:rsid w:val="00C646DD"/>
    <w:rsid w:val="00C66045"/>
    <w:rsid w:val="00C66192"/>
    <w:rsid w:val="00C73C6D"/>
    <w:rsid w:val="00C8270A"/>
    <w:rsid w:val="00C83915"/>
    <w:rsid w:val="00C87197"/>
    <w:rsid w:val="00C93EDC"/>
    <w:rsid w:val="00C96CEB"/>
    <w:rsid w:val="00CA4E72"/>
    <w:rsid w:val="00CA63E7"/>
    <w:rsid w:val="00CA645A"/>
    <w:rsid w:val="00CA66B4"/>
    <w:rsid w:val="00CB2E59"/>
    <w:rsid w:val="00CB35EA"/>
    <w:rsid w:val="00CC0B43"/>
    <w:rsid w:val="00CC30E4"/>
    <w:rsid w:val="00CC66C5"/>
    <w:rsid w:val="00CD1CF8"/>
    <w:rsid w:val="00CE2706"/>
    <w:rsid w:val="00CE50EC"/>
    <w:rsid w:val="00CE6948"/>
    <w:rsid w:val="00CE7E3D"/>
    <w:rsid w:val="00CF0989"/>
    <w:rsid w:val="00CF1479"/>
    <w:rsid w:val="00CF1B62"/>
    <w:rsid w:val="00D04187"/>
    <w:rsid w:val="00D105AF"/>
    <w:rsid w:val="00D14F9B"/>
    <w:rsid w:val="00D16A97"/>
    <w:rsid w:val="00D21734"/>
    <w:rsid w:val="00D26858"/>
    <w:rsid w:val="00D26CBF"/>
    <w:rsid w:val="00D32CAC"/>
    <w:rsid w:val="00D346DC"/>
    <w:rsid w:val="00D3589B"/>
    <w:rsid w:val="00D4695D"/>
    <w:rsid w:val="00D56610"/>
    <w:rsid w:val="00D56D3B"/>
    <w:rsid w:val="00D64A45"/>
    <w:rsid w:val="00D70B69"/>
    <w:rsid w:val="00D77963"/>
    <w:rsid w:val="00D86BDF"/>
    <w:rsid w:val="00D9704A"/>
    <w:rsid w:val="00DA03B9"/>
    <w:rsid w:val="00DA140C"/>
    <w:rsid w:val="00DA6B9A"/>
    <w:rsid w:val="00DC282F"/>
    <w:rsid w:val="00DC5928"/>
    <w:rsid w:val="00DC7068"/>
    <w:rsid w:val="00DD042A"/>
    <w:rsid w:val="00DD1F33"/>
    <w:rsid w:val="00DD4B4A"/>
    <w:rsid w:val="00DD75BF"/>
    <w:rsid w:val="00DE29E3"/>
    <w:rsid w:val="00DF21CE"/>
    <w:rsid w:val="00DF2953"/>
    <w:rsid w:val="00DF3495"/>
    <w:rsid w:val="00DF3E16"/>
    <w:rsid w:val="00E0061A"/>
    <w:rsid w:val="00E02387"/>
    <w:rsid w:val="00E03C5A"/>
    <w:rsid w:val="00E04155"/>
    <w:rsid w:val="00E0426A"/>
    <w:rsid w:val="00E053CE"/>
    <w:rsid w:val="00E05B9B"/>
    <w:rsid w:val="00E11F5A"/>
    <w:rsid w:val="00E16282"/>
    <w:rsid w:val="00E1702E"/>
    <w:rsid w:val="00E23E17"/>
    <w:rsid w:val="00E24ADB"/>
    <w:rsid w:val="00E324B2"/>
    <w:rsid w:val="00E33D8B"/>
    <w:rsid w:val="00E45F8E"/>
    <w:rsid w:val="00E53B91"/>
    <w:rsid w:val="00E61629"/>
    <w:rsid w:val="00E61900"/>
    <w:rsid w:val="00E61CB5"/>
    <w:rsid w:val="00E75257"/>
    <w:rsid w:val="00E81335"/>
    <w:rsid w:val="00E8348F"/>
    <w:rsid w:val="00E83D7E"/>
    <w:rsid w:val="00E87C14"/>
    <w:rsid w:val="00E90DC5"/>
    <w:rsid w:val="00E93B81"/>
    <w:rsid w:val="00E95F46"/>
    <w:rsid w:val="00E97F2C"/>
    <w:rsid w:val="00EA387C"/>
    <w:rsid w:val="00EA64BA"/>
    <w:rsid w:val="00EA70C7"/>
    <w:rsid w:val="00EB0EDA"/>
    <w:rsid w:val="00EC3164"/>
    <w:rsid w:val="00EC42E3"/>
    <w:rsid w:val="00EC657C"/>
    <w:rsid w:val="00EC771F"/>
    <w:rsid w:val="00ED114D"/>
    <w:rsid w:val="00ED144A"/>
    <w:rsid w:val="00ED253C"/>
    <w:rsid w:val="00ED4F7B"/>
    <w:rsid w:val="00ED5DB4"/>
    <w:rsid w:val="00ED7319"/>
    <w:rsid w:val="00EE20AB"/>
    <w:rsid w:val="00EE226F"/>
    <w:rsid w:val="00EE6200"/>
    <w:rsid w:val="00EE6840"/>
    <w:rsid w:val="00EF08B4"/>
    <w:rsid w:val="00EF1A51"/>
    <w:rsid w:val="00EF1DAC"/>
    <w:rsid w:val="00EF5FE4"/>
    <w:rsid w:val="00F03951"/>
    <w:rsid w:val="00F05FB0"/>
    <w:rsid w:val="00F0648B"/>
    <w:rsid w:val="00F06A42"/>
    <w:rsid w:val="00F07A47"/>
    <w:rsid w:val="00F159E5"/>
    <w:rsid w:val="00F15DF6"/>
    <w:rsid w:val="00F16981"/>
    <w:rsid w:val="00F20BAF"/>
    <w:rsid w:val="00F22E2F"/>
    <w:rsid w:val="00F23EAE"/>
    <w:rsid w:val="00F2453F"/>
    <w:rsid w:val="00F34171"/>
    <w:rsid w:val="00F41654"/>
    <w:rsid w:val="00F50A37"/>
    <w:rsid w:val="00F526B0"/>
    <w:rsid w:val="00F54C99"/>
    <w:rsid w:val="00F5586B"/>
    <w:rsid w:val="00F5652E"/>
    <w:rsid w:val="00F56FA8"/>
    <w:rsid w:val="00F62772"/>
    <w:rsid w:val="00F648BB"/>
    <w:rsid w:val="00F6499F"/>
    <w:rsid w:val="00F773E3"/>
    <w:rsid w:val="00F77D67"/>
    <w:rsid w:val="00F861D2"/>
    <w:rsid w:val="00F91B20"/>
    <w:rsid w:val="00F954A7"/>
    <w:rsid w:val="00F95BBD"/>
    <w:rsid w:val="00FA0004"/>
    <w:rsid w:val="00FA111E"/>
    <w:rsid w:val="00FA1D9E"/>
    <w:rsid w:val="00FA389F"/>
    <w:rsid w:val="00FA4103"/>
    <w:rsid w:val="00FA5664"/>
    <w:rsid w:val="00FA7BCC"/>
    <w:rsid w:val="00FB35F9"/>
    <w:rsid w:val="00FC14B5"/>
    <w:rsid w:val="00FC2182"/>
    <w:rsid w:val="00FC69EA"/>
    <w:rsid w:val="00FD456C"/>
    <w:rsid w:val="00FD4594"/>
    <w:rsid w:val="00FD72FA"/>
    <w:rsid w:val="00FE627F"/>
    <w:rsid w:val="00FF3CE7"/>
    <w:rsid w:val="04E8539D"/>
    <w:rsid w:val="069B1D4D"/>
    <w:rsid w:val="07F6721E"/>
    <w:rsid w:val="08450FB3"/>
    <w:rsid w:val="099730C7"/>
    <w:rsid w:val="0A336BB6"/>
    <w:rsid w:val="0A580F87"/>
    <w:rsid w:val="0BF132A6"/>
    <w:rsid w:val="0CC95508"/>
    <w:rsid w:val="0D173089"/>
    <w:rsid w:val="0D375B3C"/>
    <w:rsid w:val="0DBA2892"/>
    <w:rsid w:val="0E3C75E8"/>
    <w:rsid w:val="0EA97F9C"/>
    <w:rsid w:val="0F1F345E"/>
    <w:rsid w:val="0F684B57"/>
    <w:rsid w:val="107A5C99"/>
    <w:rsid w:val="10DD46B8"/>
    <w:rsid w:val="1123301C"/>
    <w:rsid w:val="113E3458"/>
    <w:rsid w:val="11C52616"/>
    <w:rsid w:val="133C549C"/>
    <w:rsid w:val="134770B1"/>
    <w:rsid w:val="13737B75"/>
    <w:rsid w:val="13CA3E07"/>
    <w:rsid w:val="158717DE"/>
    <w:rsid w:val="16F83FBE"/>
    <w:rsid w:val="178570A5"/>
    <w:rsid w:val="18484BE5"/>
    <w:rsid w:val="18EB7C71"/>
    <w:rsid w:val="1A264176"/>
    <w:rsid w:val="1AC8397F"/>
    <w:rsid w:val="1CFD391F"/>
    <w:rsid w:val="1DB530CD"/>
    <w:rsid w:val="1DCA77EF"/>
    <w:rsid w:val="1E4361B4"/>
    <w:rsid w:val="1ED55723"/>
    <w:rsid w:val="20D94EF4"/>
    <w:rsid w:val="21184E48"/>
    <w:rsid w:val="213A3C94"/>
    <w:rsid w:val="21452025"/>
    <w:rsid w:val="22F8166B"/>
    <w:rsid w:val="24294DA2"/>
    <w:rsid w:val="258E03AA"/>
    <w:rsid w:val="271F52BE"/>
    <w:rsid w:val="27447A7C"/>
    <w:rsid w:val="2A8F5EDF"/>
    <w:rsid w:val="2AFA300F"/>
    <w:rsid w:val="2B3012EB"/>
    <w:rsid w:val="2B47568D"/>
    <w:rsid w:val="2CE341B5"/>
    <w:rsid w:val="2DA61CF4"/>
    <w:rsid w:val="2F155D61"/>
    <w:rsid w:val="3088782E"/>
    <w:rsid w:val="33AB1655"/>
    <w:rsid w:val="340D03F4"/>
    <w:rsid w:val="35CA164F"/>
    <w:rsid w:val="366D46DB"/>
    <w:rsid w:val="386B671F"/>
    <w:rsid w:val="388E5088"/>
    <w:rsid w:val="397B655D"/>
    <w:rsid w:val="3A335D0B"/>
    <w:rsid w:val="3BB13F7E"/>
    <w:rsid w:val="3C985562"/>
    <w:rsid w:val="3D0D7B0D"/>
    <w:rsid w:val="3D9B1520"/>
    <w:rsid w:val="3E0F72E0"/>
    <w:rsid w:val="41A945C9"/>
    <w:rsid w:val="4278399C"/>
    <w:rsid w:val="454F3145"/>
    <w:rsid w:val="45A63B54"/>
    <w:rsid w:val="47993F84"/>
    <w:rsid w:val="48513732"/>
    <w:rsid w:val="48627FF5"/>
    <w:rsid w:val="48A679A6"/>
    <w:rsid w:val="49AD5BED"/>
    <w:rsid w:val="49D822B4"/>
    <w:rsid w:val="4AB27A19"/>
    <w:rsid w:val="4AE820F1"/>
    <w:rsid w:val="4BF722AF"/>
    <w:rsid w:val="4CAF1A5D"/>
    <w:rsid w:val="4CD17A13"/>
    <w:rsid w:val="4E614CA7"/>
    <w:rsid w:val="4FBD38DE"/>
    <w:rsid w:val="50C20F8E"/>
    <w:rsid w:val="53990737"/>
    <w:rsid w:val="54C05F9B"/>
    <w:rsid w:val="558C0B67"/>
    <w:rsid w:val="571376E9"/>
    <w:rsid w:val="57465B60"/>
    <w:rsid w:val="57B66EF2"/>
    <w:rsid w:val="58C52932"/>
    <w:rsid w:val="58DA7055"/>
    <w:rsid w:val="58E52E67"/>
    <w:rsid w:val="5B872136"/>
    <w:rsid w:val="5C94755B"/>
    <w:rsid w:val="5D433711"/>
    <w:rsid w:val="5D6416C7"/>
    <w:rsid w:val="5E7E7C15"/>
    <w:rsid w:val="5EE2793A"/>
    <w:rsid w:val="5FA479F8"/>
    <w:rsid w:val="5FB9411A"/>
    <w:rsid w:val="61D84114"/>
    <w:rsid w:val="63284D3B"/>
    <w:rsid w:val="644E4B1D"/>
    <w:rsid w:val="648E5907"/>
    <w:rsid w:val="66570776"/>
    <w:rsid w:val="66CD750A"/>
    <w:rsid w:val="67041B93"/>
    <w:rsid w:val="672D0E56"/>
    <w:rsid w:val="67D15A64"/>
    <w:rsid w:val="681364CD"/>
    <w:rsid w:val="6B3105E9"/>
    <w:rsid w:val="6C9D0B3F"/>
    <w:rsid w:val="6D9F3BE5"/>
    <w:rsid w:val="6F6822D7"/>
    <w:rsid w:val="6FEB37AA"/>
    <w:rsid w:val="704241B9"/>
    <w:rsid w:val="70427A3C"/>
    <w:rsid w:val="71267CAF"/>
    <w:rsid w:val="7172232C"/>
    <w:rsid w:val="71C92D3B"/>
    <w:rsid w:val="726141B3"/>
    <w:rsid w:val="74B62489"/>
    <w:rsid w:val="757A7C49"/>
    <w:rsid w:val="76514429"/>
    <w:rsid w:val="76A9613C"/>
    <w:rsid w:val="76D36F81"/>
    <w:rsid w:val="783458C3"/>
    <w:rsid w:val="78BD7DA6"/>
    <w:rsid w:val="79096BA0"/>
    <w:rsid w:val="796B11C3"/>
    <w:rsid w:val="798058E5"/>
    <w:rsid w:val="798A3C76"/>
    <w:rsid w:val="79E34305"/>
    <w:rsid w:val="7A5977C7"/>
    <w:rsid w:val="7B484ED1"/>
    <w:rsid w:val="7CA33E88"/>
    <w:rsid w:val="7D0F483D"/>
    <w:rsid w:val="7D1763C6"/>
    <w:rsid w:val="7EC23E83"/>
    <w:rsid w:val="7F9F1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仿宋_GB2312" w:eastAsia="仿宋_GB2312"/>
      <w:b/>
      <w:bCs/>
      <w:color w:val="000000"/>
      <w:sz w:val="24"/>
      <w:lang w:val="zh-CN"/>
    </w:rPr>
  </w:style>
  <w:style w:type="paragraph" w:styleId="4">
    <w:name w:val="heading 3"/>
    <w:basedOn w:val="1"/>
    <w:next w:val="1"/>
    <w:qFormat/>
    <w:uiPriority w:val="0"/>
    <w:pPr>
      <w:keepNext/>
      <w:keepLines/>
      <w:tabs>
        <w:tab w:val="left" w:pos="720"/>
      </w:tabs>
      <w:spacing w:before="260" w:after="260" w:line="415" w:lineRule="auto"/>
      <w:ind w:left="72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19" w:lineRule="auto"/>
      <w:ind w:left="1296" w:hanging="1296"/>
      <w:outlineLvl w:val="6"/>
    </w:pPr>
    <w:rPr>
      <w:b/>
      <w:bCs/>
      <w:sz w:val="24"/>
    </w:rPr>
  </w:style>
  <w:style w:type="paragraph" w:styleId="9">
    <w:name w:val="heading 8"/>
    <w:basedOn w:val="1"/>
    <w:next w:val="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List Number"/>
    <w:basedOn w:val="1"/>
    <w:unhideWhenUsed/>
    <w:qFormat/>
    <w:uiPriority w:val="99"/>
    <w:pPr>
      <w:numPr>
        <w:ilvl w:val="0"/>
        <w:numId w:val="1"/>
      </w:numPr>
      <w:contextualSpacing/>
    </w:pPr>
  </w:style>
  <w:style w:type="paragraph" w:styleId="13">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caption"/>
    <w:basedOn w:val="1"/>
    <w:next w:val="1"/>
    <w:qFormat/>
    <w:uiPriority w:val="0"/>
    <w:rPr>
      <w:b/>
      <w:sz w:val="28"/>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Salutation"/>
    <w:basedOn w:val="1"/>
    <w:next w:val="1"/>
    <w:qFormat/>
    <w:uiPriority w:val="0"/>
    <w:rPr>
      <w:rFonts w:ascii="仿宋_GB2312" w:eastAsia="仿宋_GB2312"/>
      <w:sz w:val="28"/>
      <w:szCs w:val="20"/>
    </w:rPr>
  </w:style>
  <w:style w:type="paragraph" w:styleId="18">
    <w:name w:val="Body Text 3"/>
    <w:basedOn w:val="1"/>
    <w:qFormat/>
    <w:uiPriority w:val="0"/>
    <w:pPr>
      <w:jc w:val="center"/>
    </w:pPr>
    <w:rPr>
      <w:szCs w:val="20"/>
    </w:rPr>
  </w:style>
  <w:style w:type="paragraph" w:styleId="19">
    <w:name w:val="Body Text"/>
    <w:basedOn w:val="1"/>
    <w:qFormat/>
    <w:uiPriority w:val="0"/>
    <w:pPr>
      <w:autoSpaceDE w:val="0"/>
      <w:autoSpaceDN w:val="0"/>
      <w:adjustRightInd w:val="0"/>
      <w:spacing w:line="360" w:lineRule="auto"/>
    </w:pPr>
    <w:rPr>
      <w:rFonts w:ascii="宋体"/>
      <w:sz w:val="24"/>
      <w:szCs w:val="21"/>
      <w:lang w:val="zh-CN"/>
    </w:rPr>
  </w:style>
  <w:style w:type="paragraph" w:styleId="20">
    <w:name w:val="Body Text Indent"/>
    <w:basedOn w:val="1"/>
    <w:qFormat/>
    <w:uiPriority w:val="0"/>
    <w:pPr>
      <w:spacing w:line="480" w:lineRule="exact"/>
      <w:ind w:firstLine="200" w:firstLineChars="200"/>
    </w:pPr>
    <w:rPr>
      <w:rFonts w:ascii="宋体"/>
      <w:sz w:val="24"/>
    </w:rPr>
  </w:style>
  <w:style w:type="paragraph" w:styleId="21">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2">
    <w:name w:val="toc 5"/>
    <w:basedOn w:val="1"/>
    <w:next w:val="1"/>
    <w:qFormat/>
    <w:uiPriority w:val="0"/>
    <w:pPr>
      <w:ind w:left="800" w:leftChars="800"/>
    </w:pPr>
  </w:style>
  <w:style w:type="paragraph" w:styleId="23">
    <w:name w:val="toc 3"/>
    <w:basedOn w:val="1"/>
    <w:next w:val="1"/>
    <w:qFormat/>
    <w:uiPriority w:val="0"/>
    <w:pPr>
      <w:tabs>
        <w:tab w:val="right" w:leader="dot" w:pos="8268"/>
      </w:tabs>
      <w:ind w:left="400" w:leftChars="400"/>
    </w:pPr>
    <w:rPr>
      <w:rFonts w:ascii="宋体"/>
    </w:rPr>
  </w:style>
  <w:style w:type="paragraph" w:styleId="24">
    <w:name w:val="Plain Text"/>
    <w:basedOn w:val="1"/>
    <w:link w:val="89"/>
    <w:qFormat/>
    <w:uiPriority w:val="0"/>
    <w:rPr>
      <w:rFonts w:ascii="宋体"/>
      <w:szCs w:val="20"/>
    </w:rPr>
  </w:style>
  <w:style w:type="paragraph" w:styleId="25">
    <w:name w:val="List Number 4"/>
    <w:basedOn w:val="1"/>
    <w:qFormat/>
    <w:uiPriority w:val="0"/>
    <w:pPr>
      <w:tabs>
        <w:tab w:val="left" w:pos="840"/>
      </w:tabs>
      <w:autoSpaceDE w:val="0"/>
      <w:autoSpaceDN w:val="0"/>
      <w:adjustRightInd w:val="0"/>
      <w:spacing w:line="360" w:lineRule="atLeast"/>
      <w:ind w:left="840" w:hanging="420"/>
    </w:pPr>
    <w:rPr>
      <w:kern w:val="0"/>
      <w:sz w:val="24"/>
    </w:rPr>
  </w:style>
  <w:style w:type="paragraph" w:styleId="26">
    <w:name w:val="toc 8"/>
    <w:basedOn w:val="1"/>
    <w:next w:val="1"/>
    <w:qFormat/>
    <w:uiPriority w:val="0"/>
    <w:pPr>
      <w:ind w:left="1400" w:leftChars="1400"/>
    </w:pPr>
  </w:style>
  <w:style w:type="paragraph" w:styleId="27">
    <w:name w:val="Date"/>
    <w:basedOn w:val="1"/>
    <w:next w:val="1"/>
    <w:qFormat/>
    <w:uiPriority w:val="0"/>
    <w:pPr>
      <w:ind w:left="2500" w:leftChars="2500"/>
    </w:pPr>
    <w:rPr>
      <w:rFonts w:ascii="宋体"/>
      <w:sz w:val="24"/>
      <w:szCs w:val="21"/>
      <w:lang w:val="zh-CN"/>
    </w:rPr>
  </w:style>
  <w:style w:type="paragraph" w:styleId="28">
    <w:name w:val="Body Text Indent 2"/>
    <w:basedOn w:val="1"/>
    <w:qFormat/>
    <w:uiPriority w:val="0"/>
    <w:pPr>
      <w:adjustRightInd w:val="0"/>
      <w:spacing w:line="360" w:lineRule="auto"/>
      <w:ind w:firstLine="601"/>
      <w:textAlignment w:val="baseline"/>
    </w:pPr>
    <w:rPr>
      <w:rFonts w:ascii="宋体"/>
      <w:kern w:val="0"/>
      <w:sz w:val="28"/>
      <w:szCs w:val="20"/>
    </w:rPr>
  </w:style>
  <w:style w:type="paragraph" w:styleId="29">
    <w:name w:val="Balloon Text"/>
    <w:basedOn w:val="1"/>
    <w:qFormat/>
    <w:uiPriority w:val="0"/>
    <w:rPr>
      <w:sz w:val="18"/>
      <w:szCs w:val="18"/>
    </w:rPr>
  </w:style>
  <w:style w:type="paragraph" w:styleId="30">
    <w:name w:val="footer"/>
    <w:basedOn w:val="1"/>
    <w:link w:val="57"/>
    <w:qFormat/>
    <w:uiPriority w:val="99"/>
    <w:pPr>
      <w:tabs>
        <w:tab w:val="center" w:pos="4153"/>
        <w:tab w:val="right" w:pos="8306"/>
      </w:tabs>
      <w:snapToGrid w:val="0"/>
      <w:jc w:val="left"/>
    </w:pPr>
    <w:rPr>
      <w:sz w:val="18"/>
      <w:szCs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uiPriority w:val="0"/>
    <w:pPr>
      <w:adjustRightInd w:val="0"/>
      <w:spacing w:after="600" w:line="312" w:lineRule="atLeast"/>
      <w:jc w:val="center"/>
      <w:textAlignment w:val="baseline"/>
    </w:pPr>
    <w:rPr>
      <w:rFonts w:eastAsia="仿宋_GB2312"/>
      <w:kern w:val="0"/>
      <w:sz w:val="24"/>
      <w:szCs w:val="20"/>
    </w:rPr>
  </w:style>
  <w:style w:type="paragraph" w:styleId="33">
    <w:name w:val="toc 1"/>
    <w:basedOn w:val="1"/>
    <w:next w:val="1"/>
    <w:qFormat/>
    <w:uiPriority w:val="0"/>
  </w:style>
  <w:style w:type="paragraph" w:styleId="34">
    <w:name w:val="toc 4"/>
    <w:basedOn w:val="1"/>
    <w:next w:val="1"/>
    <w:qFormat/>
    <w:uiPriority w:val="0"/>
    <w:pPr>
      <w:ind w:left="600" w:leftChars="600"/>
    </w:pPr>
  </w:style>
  <w:style w:type="paragraph" w:styleId="35">
    <w:name w:val="List Number 5"/>
    <w:basedOn w:val="1"/>
    <w:qFormat/>
    <w:uiPriority w:val="0"/>
    <w:pPr>
      <w:tabs>
        <w:tab w:val="left" w:pos="902"/>
      </w:tabs>
      <w:spacing w:line="400" w:lineRule="exact"/>
      <w:ind w:left="901" w:hanging="420"/>
    </w:pPr>
    <w:rPr>
      <w:sz w:val="24"/>
      <w:szCs w:val="20"/>
    </w:rPr>
  </w:style>
  <w:style w:type="paragraph" w:styleId="36">
    <w:name w:val="toc 6"/>
    <w:basedOn w:val="1"/>
    <w:next w:val="1"/>
    <w:qFormat/>
    <w:uiPriority w:val="0"/>
    <w:pPr>
      <w:ind w:left="1000" w:leftChars="1000"/>
    </w:pPr>
  </w:style>
  <w:style w:type="paragraph" w:styleId="37">
    <w:name w:val="Body Text Indent 3"/>
    <w:basedOn w:val="1"/>
    <w:qFormat/>
    <w:uiPriority w:val="0"/>
    <w:pPr>
      <w:spacing w:line="360" w:lineRule="auto"/>
      <w:ind w:firstLine="420"/>
    </w:pPr>
    <w:rPr>
      <w:sz w:val="24"/>
      <w:szCs w:val="20"/>
    </w:rPr>
  </w:style>
  <w:style w:type="paragraph" w:styleId="38">
    <w:name w:val="toc 2"/>
    <w:basedOn w:val="1"/>
    <w:next w:val="1"/>
    <w:qFormat/>
    <w:uiPriority w:val="0"/>
    <w:pPr>
      <w:ind w:left="200" w:leftChars="200"/>
    </w:pPr>
  </w:style>
  <w:style w:type="paragraph" w:styleId="39">
    <w:name w:val="toc 9"/>
    <w:basedOn w:val="1"/>
    <w:next w:val="1"/>
    <w:qFormat/>
    <w:uiPriority w:val="0"/>
    <w:pPr>
      <w:ind w:left="1600" w:leftChars="1600"/>
    </w:pPr>
  </w:style>
  <w:style w:type="paragraph" w:styleId="40">
    <w:name w:val="Body Text 2"/>
    <w:basedOn w:val="1"/>
    <w:qFormat/>
    <w:uiPriority w:val="0"/>
    <w:pPr>
      <w:spacing w:after="120" w:line="480" w:lineRule="auto"/>
    </w:pPr>
  </w:style>
  <w:style w:type="paragraph" w:styleId="41">
    <w:name w:val="Normal (Web)"/>
    <w:basedOn w:val="1"/>
    <w:qFormat/>
    <w:uiPriority w:val="99"/>
    <w:pPr>
      <w:widowControl/>
      <w:spacing w:before="100" w:beforeAutospacing="1" w:after="100" w:afterAutospacing="1"/>
      <w:jc w:val="left"/>
    </w:pPr>
    <w:rPr>
      <w:rFonts w:ascii="宋体"/>
      <w:kern w:val="0"/>
      <w:sz w:val="24"/>
    </w:rPr>
  </w:style>
  <w:style w:type="paragraph" w:styleId="42">
    <w:name w:val="Title"/>
    <w:basedOn w:val="1"/>
    <w:qFormat/>
    <w:uiPriority w:val="0"/>
    <w:pPr>
      <w:widowControl/>
      <w:overflowPunct w:val="0"/>
      <w:autoSpaceDE w:val="0"/>
      <w:autoSpaceDN w:val="0"/>
      <w:adjustRightInd w:val="0"/>
      <w:jc w:val="center"/>
      <w:textAlignment w:val="baseline"/>
    </w:pPr>
    <w:rPr>
      <w:b/>
      <w:kern w:val="0"/>
      <w:sz w:val="24"/>
      <w:szCs w:val="20"/>
    </w:rPr>
  </w:style>
  <w:style w:type="paragraph" w:styleId="43">
    <w:name w:val="annotation subject"/>
    <w:basedOn w:val="16"/>
    <w:next w:val="16"/>
    <w:qFormat/>
    <w:uiPriority w:val="0"/>
    <w:rPr>
      <w:b/>
      <w:bCs/>
    </w:rPr>
  </w:style>
  <w:style w:type="paragraph" w:styleId="44">
    <w:name w:val="Body Text First Indent"/>
    <w:basedOn w:val="19"/>
    <w:qFormat/>
    <w:uiPriority w:val="0"/>
    <w:pPr>
      <w:ind w:firstLine="420"/>
    </w:pPr>
    <w:rPr>
      <w:szCs w:val="20"/>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line number"/>
    <w:basedOn w:val="47"/>
    <w:qFormat/>
    <w:uiPriority w:val="0"/>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short_text"/>
    <w:basedOn w:val="47"/>
    <w:qFormat/>
    <w:uiPriority w:val="0"/>
  </w:style>
  <w:style w:type="character" w:customStyle="1" w:styleId="56">
    <w:name w:val="hei16b1"/>
    <w:qFormat/>
    <w:uiPriority w:val="0"/>
    <w:rPr>
      <w:rFonts w:ascii="Arial" w:hAnsi="Arial" w:cs="Arial"/>
      <w:b/>
      <w:bCs/>
      <w:color w:val="000000"/>
      <w:sz w:val="24"/>
      <w:szCs w:val="24"/>
      <w:lang w:bidi="ar-SA"/>
    </w:rPr>
  </w:style>
  <w:style w:type="character" w:customStyle="1" w:styleId="57">
    <w:name w:val="页脚 Char"/>
    <w:link w:val="30"/>
    <w:qFormat/>
    <w:uiPriority w:val="99"/>
    <w:rPr>
      <w:kern w:val="2"/>
      <w:sz w:val="18"/>
      <w:szCs w:val="18"/>
    </w:rPr>
  </w:style>
  <w:style w:type="character" w:customStyle="1" w:styleId="58">
    <w:name w:val="普通文字 Char1 Char"/>
    <w:qFormat/>
    <w:uiPriority w:val="0"/>
    <w:rPr>
      <w:rFonts w:ascii="宋体" w:eastAsia="宋体"/>
      <w:kern w:val="2"/>
      <w:sz w:val="21"/>
      <w:szCs w:val="24"/>
      <w:lang w:val="en-US" w:eastAsia="zh-CN" w:bidi="ar-SA"/>
    </w:rPr>
  </w:style>
  <w:style w:type="character" w:customStyle="1" w:styleId="59">
    <w:name w:val="正文非缩进 Char"/>
    <w:qFormat/>
    <w:uiPriority w:val="0"/>
    <w:rPr>
      <w:rFonts w:ascii="宋体" w:eastAsia="宋体"/>
      <w:snapToGrid w:val="0"/>
      <w:color w:val="000000"/>
      <w:kern w:val="28"/>
      <w:sz w:val="28"/>
      <w:lang w:val="en-US" w:eastAsia="zh-CN" w:bidi="ar-SA"/>
    </w:rPr>
  </w:style>
  <w:style w:type="character" w:customStyle="1" w:styleId="60">
    <w:name w:val="words-outer-wrap"/>
    <w:basedOn w:val="47"/>
    <w:qFormat/>
    <w:uiPriority w:val="0"/>
  </w:style>
  <w:style w:type="character" w:customStyle="1" w:styleId="61">
    <w:name w:val="ca-131"/>
    <w:qFormat/>
    <w:uiPriority w:val="0"/>
    <w:rPr>
      <w:rFonts w:ascii="仿宋_GB2312" w:eastAsia="仿宋_GB2312"/>
      <w:b/>
      <w:bCs/>
      <w:color w:val="000000"/>
      <w:spacing w:val="-20"/>
      <w:sz w:val="24"/>
      <w:szCs w:val="24"/>
    </w:rPr>
  </w:style>
  <w:style w:type="character" w:customStyle="1" w:styleId="62">
    <w:name w:val="Footer-Even Char"/>
    <w:qFormat/>
    <w:uiPriority w:val="0"/>
    <w:rPr>
      <w:rFonts w:eastAsia="宋体"/>
      <w:kern w:val="2"/>
      <w:sz w:val="18"/>
      <w:lang w:val="en-US" w:eastAsia="zh-CN" w:bidi="ar-SA"/>
    </w:rPr>
  </w:style>
  <w:style w:type="character" w:customStyle="1" w:styleId="63">
    <w:name w:val="pt141"/>
    <w:qFormat/>
    <w:uiPriority w:val="0"/>
    <w:rPr>
      <w:color w:val="330066"/>
      <w:sz w:val="22"/>
      <w:szCs w:val="22"/>
    </w:rPr>
  </w:style>
  <w:style w:type="character" w:customStyle="1" w:styleId="64">
    <w:name w:val="标题 2 Char"/>
    <w:qFormat/>
    <w:uiPriority w:val="0"/>
    <w:rPr>
      <w:rFonts w:ascii="Arial" w:hAnsi="Arial" w:eastAsia="黑体"/>
      <w:b/>
      <w:kern w:val="2"/>
      <w:sz w:val="32"/>
      <w:lang w:val="en-US" w:eastAsia="zh-CN"/>
    </w:rPr>
  </w:style>
  <w:style w:type="character" w:customStyle="1" w:styleId="65">
    <w:name w:val="普通文字 Char1"/>
    <w:qFormat/>
    <w:uiPriority w:val="0"/>
    <w:rPr>
      <w:rFonts w:ascii="宋体" w:eastAsia="宋体"/>
      <w:kern w:val="2"/>
      <w:sz w:val="21"/>
      <w:lang w:val="en-US" w:eastAsia="zh-CN"/>
    </w:rPr>
  </w:style>
  <w:style w:type="character" w:customStyle="1" w:styleId="66">
    <w:name w:val="font21"/>
    <w:qFormat/>
    <w:uiPriority w:val="0"/>
    <w:rPr>
      <w:rFonts w:ascii="宋体" w:eastAsia="宋体"/>
      <w:kern w:val="2"/>
      <w:sz w:val="28"/>
      <w:szCs w:val="28"/>
      <w:lang w:val="en-US" w:eastAsia="zh-CN" w:bidi="ar-SA"/>
    </w:rPr>
  </w:style>
  <w:style w:type="character" w:customStyle="1" w:styleId="67">
    <w:name w:val="dandyren_title1"/>
    <w:qFormat/>
    <w:uiPriority w:val="0"/>
    <w:rPr>
      <w:b/>
      <w:bCs/>
      <w:color w:val="FF6633"/>
      <w:sz w:val="18"/>
      <w:szCs w:val="18"/>
    </w:rPr>
  </w:style>
  <w:style w:type="character" w:customStyle="1" w:styleId="68">
    <w:name w:val="md"/>
    <w:basedOn w:val="47"/>
    <w:qFormat/>
    <w:uiPriority w:val="0"/>
  </w:style>
  <w:style w:type="character" w:customStyle="1" w:styleId="69">
    <w:name w:val="Char Char Char Char Char Char Char Char Char Char Char Char Char"/>
    <w:qFormat/>
    <w:uiPriority w:val="0"/>
    <w:rPr>
      <w:rFonts w:ascii="宋体" w:eastAsia="宋体"/>
      <w:kern w:val="2"/>
      <w:sz w:val="21"/>
      <w:lang w:val="en-US" w:eastAsia="zh-CN" w:bidi="ar-SA"/>
    </w:rPr>
  </w:style>
  <w:style w:type="character" w:customStyle="1" w:styleId="70">
    <w:name w:val="large1"/>
    <w:qFormat/>
    <w:uiPriority w:val="0"/>
    <w:rPr>
      <w:rFonts w:ascii="宋体" w:eastAsia="宋体"/>
      <w:sz w:val="21"/>
      <w:szCs w:val="21"/>
    </w:rPr>
  </w:style>
  <w:style w:type="character" w:customStyle="1" w:styleId="71">
    <w:name w:val="shadow11"/>
    <w:qFormat/>
    <w:uiPriority w:val="0"/>
    <w:rPr>
      <w:color w:val="000000"/>
      <w:sz w:val="21"/>
    </w:rPr>
  </w:style>
  <w:style w:type="character" w:customStyle="1" w:styleId="72">
    <w:name w:val="Normal Indent Char Char"/>
    <w:qFormat/>
    <w:uiPriority w:val="0"/>
    <w:rPr>
      <w:rFonts w:eastAsia="宋体"/>
      <w:kern w:val="2"/>
      <w:sz w:val="21"/>
      <w:lang w:val="en-US" w:eastAsia="zh-CN" w:bidi="ar-SA"/>
    </w:rPr>
  </w:style>
  <w:style w:type="character" w:customStyle="1" w:styleId="73">
    <w:name w:val="style36"/>
    <w:basedOn w:val="47"/>
    <w:qFormat/>
    <w:uiPriority w:val="0"/>
  </w:style>
  <w:style w:type="character" w:customStyle="1" w:styleId="74">
    <w:name w:val="新正文 Char"/>
    <w:link w:val="75"/>
    <w:qFormat/>
    <w:uiPriority w:val="0"/>
    <w:rPr>
      <w:rFonts w:ascii="Calibri" w:hAnsi="Calibri"/>
    </w:rPr>
  </w:style>
  <w:style w:type="paragraph" w:customStyle="1" w:styleId="75">
    <w:name w:val="新正文"/>
    <w:basedOn w:val="1"/>
    <w:link w:val="74"/>
    <w:qFormat/>
    <w:uiPriority w:val="0"/>
    <w:pPr>
      <w:autoSpaceDE w:val="0"/>
      <w:autoSpaceDN w:val="0"/>
      <w:adjustRightInd w:val="0"/>
      <w:spacing w:line="300" w:lineRule="auto"/>
      <w:ind w:firstLine="420" w:firstLineChars="200"/>
    </w:pPr>
    <w:rPr>
      <w:kern w:val="0"/>
      <w:sz w:val="20"/>
      <w:szCs w:val="20"/>
    </w:rPr>
  </w:style>
  <w:style w:type="character" w:customStyle="1" w:styleId="76">
    <w:name w:val="content5"/>
    <w:qFormat/>
    <w:uiPriority w:val="0"/>
    <w:rPr>
      <w:sz w:val="18"/>
      <w:szCs w:val="18"/>
    </w:rPr>
  </w:style>
  <w:style w:type="character" w:customStyle="1" w:styleId="77">
    <w:name w:val="style6"/>
    <w:basedOn w:val="47"/>
    <w:qFormat/>
    <w:uiPriority w:val="0"/>
  </w:style>
  <w:style w:type="character" w:customStyle="1" w:styleId="78">
    <w:name w:val="font51"/>
    <w:qFormat/>
    <w:uiPriority w:val="0"/>
    <w:rPr>
      <w:rFonts w:hint="default" w:ascii="Times New Roman" w:hAnsi="Times New Roman" w:cs="Times New Roman"/>
      <w:color w:val="auto"/>
      <w:sz w:val="21"/>
      <w:szCs w:val="21"/>
      <w:u w:val="none"/>
    </w:rPr>
  </w:style>
  <w:style w:type="character" w:customStyle="1" w:styleId="79">
    <w:name w:val="style91"/>
    <w:qFormat/>
    <w:uiPriority w:val="0"/>
    <w:rPr>
      <w:color w:val="333333"/>
    </w:rPr>
  </w:style>
  <w:style w:type="character" w:customStyle="1" w:styleId="80">
    <w:name w:val="页眉 Char"/>
    <w:link w:val="31"/>
    <w:uiPriority w:val="99"/>
    <w:rPr>
      <w:kern w:val="2"/>
      <w:sz w:val="18"/>
      <w:szCs w:val="18"/>
    </w:rPr>
  </w:style>
  <w:style w:type="character" w:customStyle="1" w:styleId="81">
    <w:name w:val="gray6"/>
    <w:basedOn w:val="47"/>
    <w:qFormat/>
    <w:uiPriority w:val="0"/>
  </w:style>
  <w:style w:type="character" w:customStyle="1" w:styleId="82">
    <w:name w:val="Char Char5"/>
    <w:qFormat/>
    <w:uiPriority w:val="0"/>
    <w:rPr>
      <w:rFonts w:ascii="宋体" w:eastAsia="宋体"/>
      <w:kern w:val="2"/>
      <w:sz w:val="21"/>
      <w:lang w:val="en-US" w:eastAsia="zh-CN"/>
    </w:rPr>
  </w:style>
  <w:style w:type="character" w:customStyle="1" w:styleId="83">
    <w:name w:val="font81"/>
    <w:qFormat/>
    <w:uiPriority w:val="0"/>
    <w:rPr>
      <w:rFonts w:hint="eastAsia" w:ascii="宋体" w:hAnsi="宋体" w:eastAsia="宋体" w:cs="宋体"/>
      <w:color w:val="333333"/>
      <w:sz w:val="21"/>
      <w:szCs w:val="21"/>
      <w:u w:val="none"/>
    </w:rPr>
  </w:style>
  <w:style w:type="character" w:customStyle="1" w:styleId="84">
    <w:name w:val="h3 Char"/>
    <w:qFormat/>
    <w:uiPriority w:val="0"/>
    <w:rPr>
      <w:rFonts w:eastAsia="宋体"/>
      <w:b/>
      <w:kern w:val="2"/>
      <w:sz w:val="32"/>
      <w:lang w:val="en-US" w:eastAsia="zh-CN" w:bidi="ar-SA"/>
    </w:rPr>
  </w:style>
  <w:style w:type="character" w:customStyle="1" w:styleId="85">
    <w:name w:val="blue1"/>
    <w:basedOn w:val="47"/>
    <w:qFormat/>
    <w:uiPriority w:val="0"/>
  </w:style>
  <w:style w:type="character" w:customStyle="1" w:styleId="86">
    <w:name w:val="普通文字 Char Char1"/>
    <w:qFormat/>
    <w:uiPriority w:val="0"/>
    <w:rPr>
      <w:rFonts w:ascii="宋体"/>
      <w:kern w:val="2"/>
      <w:sz w:val="21"/>
    </w:rPr>
  </w:style>
  <w:style w:type="character" w:customStyle="1" w:styleId="87">
    <w:name w:val="页脚 Char Char"/>
    <w:qFormat/>
    <w:uiPriority w:val="0"/>
    <w:rPr>
      <w:rFonts w:eastAsia="仿宋_GB2312"/>
      <w:kern w:val="2"/>
      <w:sz w:val="18"/>
      <w:lang w:val="en-US" w:eastAsia="zh-CN"/>
    </w:rPr>
  </w:style>
  <w:style w:type="character" w:customStyle="1" w:styleId="88">
    <w:name w:val="dectext1"/>
    <w:qFormat/>
    <w:uiPriority w:val="0"/>
    <w:rPr>
      <w:rFonts w:ascii="宋体" w:eastAsia="宋体"/>
      <w:color w:val="333333"/>
      <w:sz w:val="21"/>
      <w:szCs w:val="21"/>
      <w:u w:val="none"/>
    </w:rPr>
  </w:style>
  <w:style w:type="character" w:customStyle="1" w:styleId="89">
    <w:name w:val="纯文本 Char"/>
    <w:link w:val="24"/>
    <w:qFormat/>
    <w:uiPriority w:val="0"/>
    <w:rPr>
      <w:rFonts w:ascii="宋体"/>
      <w:kern w:val="2"/>
      <w:sz w:val="21"/>
    </w:rPr>
  </w:style>
  <w:style w:type="character" w:customStyle="1" w:styleId="90">
    <w:name w:val="纯文本 Char Char Char"/>
    <w:qFormat/>
    <w:uiPriority w:val="0"/>
    <w:rPr>
      <w:rFonts w:ascii="宋体" w:eastAsia="宋体"/>
      <w:kern w:val="2"/>
      <w:sz w:val="21"/>
      <w:lang w:val="en-US" w:eastAsia="zh-CN" w:bidi="ar-SA"/>
    </w:rPr>
  </w:style>
  <w:style w:type="character" w:customStyle="1" w:styleId="91">
    <w:name w:val="正文文本 Char Char"/>
    <w:qFormat/>
    <w:uiPriority w:val="0"/>
    <w:rPr>
      <w:rFonts w:eastAsia="宋体"/>
      <w:kern w:val="2"/>
      <w:sz w:val="24"/>
      <w:szCs w:val="24"/>
      <w:lang w:val="en-US" w:eastAsia="zh-CN" w:bidi="ar-SA"/>
    </w:rPr>
  </w:style>
  <w:style w:type="character" w:customStyle="1" w:styleId="92">
    <w:name w:val="标题 3 Char1"/>
    <w:qFormat/>
    <w:uiPriority w:val="0"/>
    <w:rPr>
      <w:rFonts w:ascii="华文中宋" w:eastAsia="华文中宋"/>
      <w:b/>
      <w:bCs/>
      <w:kern w:val="2"/>
      <w:sz w:val="32"/>
      <w:szCs w:val="32"/>
      <w:lang w:val="en-US" w:eastAsia="zh-CN" w:bidi="ar-SA"/>
    </w:rPr>
  </w:style>
  <w:style w:type="character" w:customStyle="1" w:styleId="93">
    <w:name w:val="unnamed11"/>
    <w:qFormat/>
    <w:uiPriority w:val="0"/>
    <w:rPr>
      <w:sz w:val="20"/>
      <w:szCs w:val="20"/>
    </w:rPr>
  </w:style>
  <w:style w:type="character" w:customStyle="1" w:styleId="94">
    <w:name w:val="Ò³Ã¼ Char Char"/>
    <w:qFormat/>
    <w:uiPriority w:val="0"/>
    <w:rPr>
      <w:rFonts w:eastAsia="宋体"/>
      <w:kern w:val="2"/>
      <w:sz w:val="18"/>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hui3"/>
    <w:qFormat/>
    <w:uiPriority w:val="0"/>
    <w:rPr>
      <w:color w:val="333333"/>
    </w:rPr>
  </w:style>
  <w:style w:type="character" w:customStyle="1" w:styleId="97">
    <w:name w:val="hui"/>
    <w:basedOn w:val="47"/>
    <w:qFormat/>
    <w:uiPriority w:val="0"/>
  </w:style>
  <w:style w:type="character" w:customStyle="1" w:styleId="98">
    <w:name w:val="页眉 Char Char"/>
    <w:qFormat/>
    <w:uiPriority w:val="0"/>
    <w:rPr>
      <w:rFonts w:eastAsia="仿宋_GB2312"/>
      <w:kern w:val="2"/>
      <w:sz w:val="18"/>
      <w:lang w:val="en-US" w:eastAsia="zh-CN"/>
    </w:rPr>
  </w:style>
  <w:style w:type="character" w:customStyle="1" w:styleId="99">
    <w:name w:val="style5"/>
    <w:basedOn w:val="47"/>
    <w:uiPriority w:val="0"/>
  </w:style>
  <w:style w:type="character" w:customStyle="1" w:styleId="100">
    <w:name w:val="Char Char8"/>
    <w:qFormat/>
    <w:uiPriority w:val="0"/>
    <w:rPr>
      <w:rFonts w:eastAsia="宋体"/>
      <w:b/>
      <w:sz w:val="24"/>
      <w:lang w:eastAsia="zh-CN"/>
    </w:rPr>
  </w:style>
  <w:style w:type="character" w:customStyle="1" w:styleId="101">
    <w:name w:val="apple-converted-space"/>
    <w:basedOn w:val="47"/>
    <w:qFormat/>
    <w:uiPriority w:val="0"/>
  </w:style>
  <w:style w:type="character" w:customStyle="1" w:styleId="102">
    <w:name w:val="font61"/>
    <w:qFormat/>
    <w:uiPriority w:val="0"/>
    <w:rPr>
      <w:rFonts w:hint="eastAsia" w:ascii="宋体" w:hAnsi="宋体" w:eastAsia="宋体" w:cs="宋体"/>
      <w:color w:val="auto"/>
      <w:sz w:val="21"/>
      <w:szCs w:val="21"/>
      <w:u w:val="none"/>
    </w:rPr>
  </w:style>
  <w:style w:type="character" w:customStyle="1" w:styleId="103">
    <w:name w:val="font91"/>
    <w:basedOn w:val="47"/>
    <w:qFormat/>
    <w:uiPriority w:val="0"/>
    <w:rPr>
      <w:rFonts w:hint="default" w:ascii="Helvetica" w:hAnsi="Helvetica" w:eastAsia="Helvetica" w:cs="Helvetica"/>
      <w:color w:val="333333"/>
      <w:sz w:val="21"/>
      <w:szCs w:val="21"/>
      <w:u w:val="none"/>
    </w:rPr>
  </w:style>
  <w:style w:type="character" w:customStyle="1" w:styleId="104">
    <w:name w:val="split-word"/>
    <w:basedOn w:val="47"/>
    <w:qFormat/>
    <w:uiPriority w:val="0"/>
  </w:style>
  <w:style w:type="paragraph" w:customStyle="1" w:styleId="105">
    <w:name w:val="正文 首行缩进:  2 字符 Char"/>
    <w:basedOn w:val="1"/>
    <w:qFormat/>
    <w:uiPriority w:val="0"/>
    <w:pPr>
      <w:spacing w:line="360" w:lineRule="auto"/>
      <w:ind w:firstLine="480"/>
    </w:pPr>
    <w:rPr>
      <w:rFonts w:cs="宋体"/>
      <w:sz w:val="24"/>
      <w:szCs w:val="20"/>
    </w:rPr>
  </w:style>
  <w:style w:type="paragraph" w:customStyle="1" w:styleId="106">
    <w:name w:val="二级条标题"/>
    <w:basedOn w:val="107"/>
    <w:next w:val="109"/>
    <w:qFormat/>
    <w:uiPriority w:val="0"/>
    <w:pPr>
      <w:tabs>
        <w:tab w:val="left" w:pos="0"/>
      </w:tabs>
      <w:outlineLvl w:val="3"/>
    </w:pPr>
  </w:style>
  <w:style w:type="paragraph" w:customStyle="1" w:styleId="107">
    <w:name w:val="一级条标题"/>
    <w:basedOn w:val="108"/>
    <w:next w:val="109"/>
    <w:qFormat/>
    <w:uiPriority w:val="0"/>
    <w:pPr>
      <w:tabs>
        <w:tab w:val="left" w:pos="0"/>
      </w:tabs>
      <w:spacing w:beforeLines="0" w:afterLines="0"/>
      <w:outlineLvl w:val="2"/>
    </w:pPr>
  </w:style>
  <w:style w:type="paragraph" w:customStyle="1" w:styleId="108">
    <w:name w:val="章标题"/>
    <w:next w:val="109"/>
    <w:qFormat/>
    <w:uiPriority w:val="0"/>
    <w:pPr>
      <w:tabs>
        <w:tab w:val="left" w:pos="0"/>
      </w:tabs>
      <w:spacing w:beforeLines="50" w:afterLines="50"/>
      <w:jc w:val="both"/>
      <w:outlineLvl w:val="1"/>
    </w:pPr>
    <w:rPr>
      <w:rFonts w:ascii="黑体" w:hAnsi="Times New Roman" w:eastAsia="黑体" w:cs="Times New Roman"/>
      <w:sz w:val="21"/>
      <w:lang w:val="en-US" w:eastAsia="zh-CN" w:bidi="ar-SA"/>
    </w:rPr>
  </w:style>
  <w:style w:type="paragraph" w:customStyle="1" w:styleId="1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正文2"/>
    <w:basedOn w:val="1"/>
    <w:qFormat/>
    <w:uiPriority w:val="0"/>
    <w:pPr>
      <w:spacing w:before="156" w:line="360" w:lineRule="auto"/>
      <w:ind w:firstLine="200" w:firstLineChars="200"/>
    </w:pPr>
    <w:rPr>
      <w:sz w:val="24"/>
      <w:szCs w:val="20"/>
    </w:rPr>
  </w:style>
  <w:style w:type="paragraph" w:customStyle="1" w:styleId="111">
    <w:name w:val="数字标题6"/>
    <w:basedOn w:val="7"/>
    <w:next w:val="1"/>
    <w:qFormat/>
    <w:uiPriority w:val="0"/>
    <w:pPr>
      <w:tabs>
        <w:tab w:val="left" w:pos="480"/>
        <w:tab w:val="clear" w:pos="1152"/>
      </w:tabs>
      <w:ind w:left="480" w:hanging="480"/>
    </w:pPr>
    <w:rPr>
      <w:rFonts w:ascii="Times New Roman" w:hAnsi="Times New Roman" w:eastAsia="宋体"/>
      <w:i/>
    </w:rPr>
  </w:style>
  <w:style w:type="paragraph" w:customStyle="1" w:styleId="112">
    <w:name w:val="Test2"/>
    <w:basedOn w:val="3"/>
    <w:qFormat/>
    <w:uiPriority w:val="0"/>
    <w:pPr>
      <w:widowControl/>
      <w:adjustRightInd w:val="0"/>
      <w:snapToGrid w:val="0"/>
      <w:spacing w:before="360" w:after="360" w:line="240" w:lineRule="atLeast"/>
      <w:jc w:val="left"/>
    </w:pPr>
    <w:rPr>
      <w:rFonts w:ascii="宋体" w:eastAsia="宋体"/>
      <w:snapToGrid w:val="0"/>
      <w:kern w:val="0"/>
      <w:sz w:val="28"/>
      <w:szCs w:val="32"/>
      <w:lang w:val="en-US" w:eastAsia="en-US"/>
    </w:rPr>
  </w:style>
  <w:style w:type="paragraph" w:customStyle="1" w:styleId="113">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114">
    <w:name w:val="Char Char Char Char Char Char Char Char"/>
    <w:basedOn w:val="1"/>
    <w:qFormat/>
    <w:uiPriority w:val="0"/>
    <w:pPr>
      <w:tabs>
        <w:tab w:val="left" w:pos="360"/>
      </w:tabs>
    </w:pPr>
    <w:rPr>
      <w:sz w:val="24"/>
      <w:szCs w:val="20"/>
    </w:rPr>
  </w:style>
  <w:style w:type="paragraph" w:customStyle="1" w:styleId="115">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116">
    <w:name w:val="此正文"/>
    <w:basedOn w:val="1"/>
    <w:qFormat/>
    <w:uiPriority w:val="0"/>
    <w:pPr>
      <w:spacing w:line="360" w:lineRule="auto"/>
      <w:ind w:firstLine="200" w:firstLineChars="200"/>
    </w:pPr>
    <w:rPr>
      <w:sz w:val="24"/>
    </w:rPr>
  </w:style>
  <w:style w:type="paragraph" w:customStyle="1" w:styleId="117">
    <w:name w:val="Char1 Char Char Char"/>
    <w:basedOn w:val="1"/>
    <w:qFormat/>
    <w:uiPriority w:val="0"/>
    <w:rPr>
      <w:rFonts w:ascii="Tahoma" w:hAnsi="Tahoma"/>
      <w:sz w:val="24"/>
      <w:szCs w:val="20"/>
    </w:rPr>
  </w:style>
  <w:style w:type="paragraph" w:customStyle="1" w:styleId="118">
    <w:name w:val="Char2 Char Char Char1"/>
    <w:basedOn w:val="1"/>
    <w:qFormat/>
    <w:uiPriority w:val="0"/>
    <w:rPr>
      <w:rFonts w:ascii="仿宋_GB2312" w:eastAsia="仿宋_GB2312"/>
      <w:b/>
      <w:sz w:val="32"/>
      <w:szCs w:val="32"/>
    </w:rPr>
  </w:style>
  <w:style w:type="paragraph" w:customStyle="1" w:styleId="119">
    <w:name w:val="小标题"/>
    <w:basedOn w:val="1"/>
    <w:qFormat/>
    <w:uiPriority w:val="0"/>
    <w:pPr>
      <w:adjustRightInd w:val="0"/>
      <w:spacing w:before="120" w:line="360" w:lineRule="atLeast"/>
      <w:ind w:left="1134"/>
      <w:jc w:val="left"/>
      <w:textAlignment w:val="baseline"/>
    </w:pPr>
    <w:rPr>
      <w:rFonts w:eastAsia="黑体"/>
      <w:kern w:val="0"/>
      <w:szCs w:val="20"/>
    </w:rPr>
  </w:style>
  <w:style w:type="paragraph" w:customStyle="1" w:styleId="120">
    <w:name w:val="Char Char Char Char Char Char Char"/>
    <w:basedOn w:val="1"/>
    <w:qFormat/>
    <w:uiPriority w:val="0"/>
    <w:pPr>
      <w:tabs>
        <w:tab w:val="left" w:pos="432"/>
      </w:tabs>
      <w:spacing w:line="360" w:lineRule="auto"/>
      <w:ind w:left="432" w:hanging="432"/>
    </w:pPr>
    <w:rPr>
      <w:rFonts w:ascii="仿宋_GB2312" w:eastAsia="仿宋_GB2312"/>
      <w:kern w:val="0"/>
      <w:sz w:val="24"/>
      <w:lang w:val="zh-CN"/>
    </w:rPr>
  </w:style>
  <w:style w:type="paragraph" w:customStyle="1" w:styleId="121">
    <w:name w:val="正文段"/>
    <w:basedOn w:val="1"/>
    <w:qFormat/>
    <w:uiPriority w:val="0"/>
    <w:pPr>
      <w:widowControl/>
      <w:snapToGrid w:val="0"/>
      <w:spacing w:afterLines="50"/>
      <w:ind w:firstLine="200" w:firstLineChars="200"/>
    </w:pPr>
    <w:rPr>
      <w:kern w:val="0"/>
      <w:sz w:val="24"/>
      <w:szCs w:val="20"/>
    </w:rPr>
  </w:style>
  <w:style w:type="paragraph" w:customStyle="1" w:styleId="122">
    <w:name w:val="MM Empty"/>
    <w:basedOn w:val="1"/>
    <w:qFormat/>
    <w:uiPriority w:val="0"/>
  </w:style>
  <w:style w:type="paragraph" w:customStyle="1" w:styleId="123">
    <w:name w:val="正文表标题"/>
    <w:next w:val="109"/>
    <w:qFormat/>
    <w:uiPriority w:val="0"/>
    <w:pPr>
      <w:tabs>
        <w:tab w:val="left" w:pos="0"/>
      </w:tabs>
      <w:ind w:left="3240"/>
      <w:jc w:val="center"/>
    </w:pPr>
    <w:rPr>
      <w:rFonts w:ascii="黑体" w:hAnsi="Times New Roman" w:eastAsia="黑体" w:cs="Times New Roman"/>
      <w:sz w:val="21"/>
      <w:lang w:val="en-US" w:eastAsia="zh-CN" w:bidi="ar-SA"/>
    </w:rPr>
  </w:style>
  <w:style w:type="paragraph" w:customStyle="1" w:styleId="124">
    <w:name w:val="Char Char1"/>
    <w:basedOn w:val="1"/>
    <w:qFormat/>
    <w:uiPriority w:val="0"/>
    <w:pPr>
      <w:widowControl/>
      <w:spacing w:after="160" w:line="240" w:lineRule="exact"/>
      <w:jc w:val="left"/>
    </w:pPr>
    <w:rPr>
      <w:rFonts w:eastAsia="仿宋_GB2312"/>
      <w:sz w:val="28"/>
    </w:rPr>
  </w:style>
  <w:style w:type="paragraph" w:customStyle="1" w:styleId="12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27">
    <w:name w:val="标准小四"/>
    <w:basedOn w:val="1"/>
    <w:qFormat/>
    <w:uiPriority w:val="0"/>
    <w:pPr>
      <w:spacing w:line="360" w:lineRule="auto"/>
      <w:ind w:firstLine="200" w:firstLineChars="200"/>
    </w:pPr>
    <w:rPr>
      <w:rFonts w:ascii="Arial" w:hAnsi="Arial"/>
      <w:sz w:val="24"/>
      <w:szCs w:val="21"/>
    </w:rPr>
  </w:style>
  <w:style w:type="paragraph" w:customStyle="1" w:styleId="128">
    <w:name w:val="样式 首行缩进:  2 字符"/>
    <w:basedOn w:val="1"/>
    <w:qFormat/>
    <w:uiPriority w:val="0"/>
    <w:pPr>
      <w:snapToGrid w:val="0"/>
      <w:spacing w:line="360" w:lineRule="auto"/>
    </w:pPr>
    <w:rPr>
      <w:rFonts w:ascii="仿宋_GB2312" w:eastAsia="仿宋_GB2312" w:cs="宋体"/>
      <w:color w:val="000000"/>
      <w:kern w:val="0"/>
      <w:sz w:val="28"/>
      <w:szCs w:val="21"/>
    </w:rPr>
  </w:style>
  <w:style w:type="paragraph" w:customStyle="1" w:styleId="129">
    <w:name w:val="Body Text 21"/>
    <w:basedOn w:val="1"/>
    <w:qFormat/>
    <w:uiPriority w:val="0"/>
    <w:pPr>
      <w:widowControl/>
      <w:overflowPunct w:val="0"/>
      <w:autoSpaceDE w:val="0"/>
      <w:autoSpaceDN w:val="0"/>
      <w:adjustRightInd w:val="0"/>
      <w:ind w:left="720" w:hanging="720"/>
      <w:textAlignment w:val="baseline"/>
    </w:pPr>
    <w:rPr>
      <w:kern w:val="0"/>
      <w:sz w:val="24"/>
      <w:szCs w:val="20"/>
    </w:rPr>
  </w:style>
  <w:style w:type="paragraph" w:customStyle="1" w:styleId="130">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131">
    <w:name w:val="Char Char1 Char Char1 Char Char1"/>
    <w:basedOn w:val="1"/>
    <w:qFormat/>
    <w:uiPriority w:val="0"/>
    <w:pPr>
      <w:tabs>
        <w:tab w:val="left" w:pos="840"/>
      </w:tabs>
      <w:ind w:left="840" w:hanging="420"/>
    </w:pPr>
    <w:rPr>
      <w:rFonts w:ascii="Tahoma" w:hAnsi="Tahoma"/>
      <w:sz w:val="24"/>
    </w:rPr>
  </w:style>
  <w:style w:type="paragraph" w:customStyle="1" w:styleId="132">
    <w:name w:val="4"/>
    <w:basedOn w:val="1"/>
    <w:next w:val="28"/>
    <w:qFormat/>
    <w:uiPriority w:val="0"/>
    <w:pPr>
      <w:spacing w:after="120" w:line="480" w:lineRule="auto"/>
      <w:ind w:left="200" w:leftChars="200"/>
    </w:pPr>
    <w:rPr>
      <w:sz w:val="24"/>
      <w:szCs w:val="20"/>
    </w:rPr>
  </w:style>
  <w:style w:type="paragraph" w:customStyle="1" w:styleId="133">
    <w:name w:val="Char11"/>
    <w:basedOn w:val="1"/>
    <w:qFormat/>
    <w:uiPriority w:val="0"/>
    <w:rPr>
      <w:rFonts w:ascii="仿宋_GB2312" w:eastAsia="仿宋_GB2312"/>
      <w:b/>
      <w:sz w:val="32"/>
      <w:szCs w:val="32"/>
    </w:rPr>
  </w:style>
  <w:style w:type="paragraph" w:customStyle="1" w:styleId="134">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135">
    <w:name w:val="Char Char1 Char Char Char Char Char Char"/>
    <w:basedOn w:val="1"/>
    <w:qFormat/>
    <w:uiPriority w:val="0"/>
    <w:rPr>
      <w:rFonts w:ascii="仿宋_GB2312" w:eastAsia="仿宋_GB2312"/>
      <w:b/>
      <w:sz w:val="32"/>
      <w:szCs w:val="20"/>
    </w:rPr>
  </w:style>
  <w:style w:type="paragraph" w:customStyle="1" w:styleId="136">
    <w:name w:val="首行缩进"/>
    <w:basedOn w:val="1"/>
    <w:qFormat/>
    <w:uiPriority w:val="0"/>
    <w:pPr>
      <w:spacing w:line="360" w:lineRule="auto"/>
      <w:ind w:firstLine="200" w:firstLineChars="200"/>
    </w:pPr>
    <w:rPr>
      <w:rFonts w:ascii="宋体"/>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1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139">
    <w:name w:val="MM Topic 1"/>
    <w:basedOn w:val="2"/>
    <w:qFormat/>
    <w:uiPriority w:val="0"/>
    <w:pPr>
      <w:tabs>
        <w:tab w:val="left" w:pos="0"/>
        <w:tab w:val="clear" w:pos="432"/>
      </w:tabs>
      <w:ind w:left="0" w:firstLine="0"/>
    </w:pPr>
  </w:style>
  <w:style w:type="paragraph" w:customStyle="1" w:styleId="140">
    <w:name w:val="正文缩进1"/>
    <w:basedOn w:val="1"/>
    <w:next w:val="20"/>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141">
    <w:name w:val="单元格居中"/>
    <w:basedOn w:val="1"/>
    <w:qFormat/>
    <w:uiPriority w:val="0"/>
    <w:pPr>
      <w:spacing w:line="360" w:lineRule="auto"/>
      <w:jc w:val="center"/>
    </w:pPr>
    <w:rPr>
      <w:sz w:val="24"/>
    </w:rPr>
  </w:style>
  <w:style w:type="paragraph" w:customStyle="1" w:styleId="142">
    <w:name w:val="p0"/>
    <w:basedOn w:val="1"/>
    <w:qFormat/>
    <w:uiPriority w:val="0"/>
    <w:pPr>
      <w:widowControl/>
    </w:pPr>
    <w:rPr>
      <w:kern w:val="0"/>
      <w:szCs w:val="21"/>
    </w:rPr>
  </w:style>
  <w:style w:type="paragraph" w:customStyle="1" w:styleId="14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4">
    <w:name w:val="样式 标题 3标题 3 Char第二层条h33Bold Headbh章标题1小标题level_3PIM 3..."/>
    <w:basedOn w:val="4"/>
    <w:qFormat/>
    <w:uiPriority w:val="0"/>
    <w:pPr>
      <w:adjustRightInd w:val="0"/>
      <w:snapToGrid w:val="0"/>
      <w:spacing w:before="0" w:after="0" w:line="360" w:lineRule="auto"/>
      <w:ind w:left="0" w:firstLine="0"/>
    </w:pPr>
    <w:rPr>
      <w:rFonts w:ascii="黑体" w:eastAsia="黑体" w:cs="宋体"/>
      <w:b w:val="0"/>
      <w:bCs w:val="0"/>
      <w:color w:val="000000"/>
      <w:kern w:val="0"/>
      <w:sz w:val="28"/>
      <w:szCs w:val="20"/>
    </w:rPr>
  </w:style>
  <w:style w:type="paragraph" w:customStyle="1" w:styleId="145">
    <w:name w:val="Char Char Char1 Char Char Char Char"/>
    <w:basedOn w:val="1"/>
    <w:qFormat/>
    <w:uiPriority w:val="0"/>
  </w:style>
  <w:style w:type="paragraph" w:customStyle="1" w:styleId="146">
    <w:name w:val="数字标题1"/>
    <w:basedOn w:val="2"/>
    <w:next w:val="1"/>
    <w:qFormat/>
    <w:uiPriority w:val="0"/>
    <w:pPr>
      <w:tabs>
        <w:tab w:val="left" w:pos="480"/>
        <w:tab w:val="clear" w:pos="432"/>
      </w:tabs>
      <w:ind w:left="480" w:hanging="480"/>
    </w:pPr>
  </w:style>
  <w:style w:type="paragraph" w:customStyle="1" w:styleId="147">
    <w:name w:val="数字标题4"/>
    <w:basedOn w:val="5"/>
    <w:qFormat/>
    <w:uiPriority w:val="0"/>
    <w:pPr>
      <w:tabs>
        <w:tab w:val="left" w:pos="0"/>
        <w:tab w:val="clear" w:pos="864"/>
      </w:tabs>
      <w:spacing w:before="0" w:after="0" w:line="360" w:lineRule="auto"/>
      <w:ind w:left="1" w:firstLine="0"/>
    </w:pPr>
    <w:rPr>
      <w:rFonts w:eastAsia="仿宋_GB2312" w:cs="Arial"/>
      <w:b w:val="0"/>
      <w:bCs w:val="0"/>
      <w:color w:val="000000"/>
      <w:kern w:val="0"/>
      <w:sz w:val="24"/>
      <w:szCs w:val="24"/>
      <w:lang w:val="en-US" w:eastAsia="en-US"/>
    </w:rPr>
  </w:style>
  <w:style w:type="paragraph" w:customStyle="1" w:styleId="148">
    <w:name w:val="默认段落字体 Para Char Char Char1 Char"/>
    <w:basedOn w:val="1"/>
    <w:qFormat/>
    <w:uiPriority w:val="0"/>
    <w:pPr>
      <w:spacing w:line="240" w:lineRule="atLeast"/>
      <w:ind w:left="420" w:firstLine="420"/>
    </w:pPr>
    <w:rPr>
      <w:sz w:val="24"/>
    </w:rPr>
  </w:style>
  <w:style w:type="paragraph" w:customStyle="1" w:styleId="149">
    <w:name w:val="Char2 Char Char Char"/>
    <w:basedOn w:val="1"/>
    <w:qFormat/>
    <w:uiPriority w:val="0"/>
    <w:rPr>
      <w:rFonts w:ascii="仿宋_GB2312" w:eastAsia="仿宋_GB2312"/>
      <w:b/>
      <w:sz w:val="32"/>
      <w:szCs w:val="32"/>
    </w:rPr>
  </w:style>
  <w:style w:type="paragraph" w:customStyle="1" w:styleId="1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1">
    <w:name w:val="Table Contents"/>
    <w:basedOn w:val="1"/>
    <w:qFormat/>
    <w:uiPriority w:val="0"/>
    <w:pPr>
      <w:suppressAutoHyphens/>
      <w:autoSpaceDE w:val="0"/>
      <w:spacing w:after="120"/>
      <w:jc w:val="left"/>
    </w:pPr>
    <w:rPr>
      <w:rFonts w:ascii="Helvetica" w:hAnsi="Helvetica"/>
      <w:kern w:val="0"/>
      <w:sz w:val="20"/>
      <w:szCs w:val="20"/>
    </w:rPr>
  </w:style>
  <w:style w:type="paragraph" w:customStyle="1" w:styleId="152">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3">
    <w:name w:val="FA正文"/>
    <w:basedOn w:val="1"/>
    <w:qFormat/>
    <w:uiPriority w:val="0"/>
    <w:pPr>
      <w:spacing w:line="360" w:lineRule="auto"/>
      <w:ind w:firstLine="200" w:firstLineChars="200"/>
    </w:pPr>
    <w:rPr>
      <w:rFonts w:ascii="宋体"/>
      <w:sz w:val="24"/>
      <w:szCs w:val="20"/>
    </w:rPr>
  </w:style>
  <w:style w:type="paragraph" w:customStyle="1" w:styleId="154">
    <w:name w:val="Char Char1 Char Char Char1"/>
    <w:basedOn w:val="1"/>
    <w:qFormat/>
    <w:uiPriority w:val="0"/>
    <w:rPr>
      <w:rFonts w:ascii="仿宋_GB2312" w:eastAsia="仿宋_GB2312"/>
      <w:b/>
      <w:sz w:val="32"/>
      <w:szCs w:val="32"/>
    </w:rPr>
  </w:style>
  <w:style w:type="paragraph" w:customStyle="1" w:styleId="155">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前言、引言标题"/>
    <w:next w:val="1"/>
    <w:qFormat/>
    <w:uiPriority w:val="0"/>
    <w:pPr>
      <w:shd w:val="clear" w:color="FFFFFF" w:fill="FFFFFF"/>
      <w:tabs>
        <w:tab w:val="left" w:pos="0"/>
      </w:tabs>
      <w:spacing w:before="640" w:after="560"/>
      <w:jc w:val="center"/>
      <w:outlineLvl w:val="0"/>
    </w:pPr>
    <w:rPr>
      <w:rFonts w:ascii="黑体" w:hAnsi="Times New Roman" w:eastAsia="黑体" w:cs="Times New Roman"/>
      <w:sz w:val="32"/>
      <w:lang w:val="en-US" w:eastAsia="zh-CN" w:bidi="ar-SA"/>
    </w:rPr>
  </w:style>
  <w:style w:type="paragraph" w:customStyle="1" w:styleId="157">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58">
    <w:name w:val="可行正文"/>
    <w:basedOn w:val="1"/>
    <w:qFormat/>
    <w:uiPriority w:val="0"/>
    <w:pPr>
      <w:spacing w:beforeLines="20" w:afterLines="20" w:line="420" w:lineRule="exact"/>
      <w:ind w:firstLine="200" w:firstLineChars="200"/>
    </w:pPr>
    <w:rPr>
      <w:rFonts w:eastAsia="楷体"/>
      <w:sz w:val="24"/>
      <w:szCs w:val="26"/>
    </w:rPr>
  </w:style>
  <w:style w:type="paragraph" w:customStyle="1" w:styleId="159">
    <w:name w:val="样式2"/>
    <w:basedOn w:val="1"/>
    <w:qFormat/>
    <w:uiPriority w:val="0"/>
    <w:pPr>
      <w:adjustRightInd w:val="0"/>
      <w:spacing w:line="410" w:lineRule="atLeast"/>
      <w:jc w:val="left"/>
      <w:textAlignment w:val="baseline"/>
    </w:pPr>
    <w:rPr>
      <w:kern w:val="0"/>
      <w:sz w:val="24"/>
      <w:szCs w:val="20"/>
    </w:rPr>
  </w:style>
  <w:style w:type="paragraph" w:customStyle="1" w:styleId="160">
    <w:name w:val="单元格左对齐"/>
    <w:basedOn w:val="1"/>
    <w:qFormat/>
    <w:uiPriority w:val="0"/>
    <w:pPr>
      <w:spacing w:line="360" w:lineRule="auto"/>
    </w:pPr>
    <w:rPr>
      <w:sz w:val="24"/>
    </w:rPr>
  </w:style>
  <w:style w:type="paragraph" w:customStyle="1" w:styleId="161">
    <w:name w:val="MM Topic 4"/>
    <w:basedOn w:val="5"/>
    <w:qFormat/>
    <w:uiPriority w:val="0"/>
    <w:pPr>
      <w:tabs>
        <w:tab w:val="left" w:pos="0"/>
        <w:tab w:val="clear" w:pos="864"/>
      </w:tabs>
      <w:ind w:left="0" w:firstLine="0"/>
    </w:pPr>
    <w:rPr>
      <w:lang w:val="en-US" w:eastAsia="en-US"/>
    </w:rPr>
  </w:style>
  <w:style w:type="paragraph" w:customStyle="1" w:styleId="162">
    <w:name w:val="标准正文"/>
    <w:basedOn w:val="1"/>
    <w:qFormat/>
    <w:uiPriority w:val="0"/>
    <w:pPr>
      <w:spacing w:before="60" w:after="60" w:line="360" w:lineRule="auto"/>
      <w:ind w:firstLine="200" w:firstLineChars="200"/>
    </w:pPr>
    <w:rPr>
      <w:rFonts w:ascii="Arial" w:hAnsi="Arial"/>
      <w:b/>
      <w:sz w:val="24"/>
      <w:szCs w:val="20"/>
    </w:rPr>
  </w:style>
  <w:style w:type="paragraph" w:customStyle="1" w:styleId="163">
    <w:name w:val="Char Char Char Char Char Char Char Char Char Char Char Char1 Char"/>
    <w:basedOn w:val="1"/>
    <w:qFormat/>
    <w:uiPriority w:val="0"/>
    <w:rPr>
      <w:rFonts w:ascii="Tahoma" w:hAnsi="Tahoma" w:cs="仿宋_GB2312"/>
      <w:sz w:val="24"/>
      <w:szCs w:val="20"/>
    </w:rPr>
  </w:style>
  <w:style w:type="paragraph" w:customStyle="1" w:styleId="164">
    <w:name w:val="Char Char Char Char Char Char Char1"/>
    <w:basedOn w:val="1"/>
    <w:qFormat/>
    <w:uiPriority w:val="0"/>
    <w:rPr>
      <w:rFonts w:ascii="仿宋_GB2312" w:eastAsia="仿宋_GB2312"/>
      <w:b/>
      <w:sz w:val="32"/>
      <w:szCs w:val="32"/>
    </w:rPr>
  </w:style>
  <w:style w:type="paragraph" w:customStyle="1" w:styleId="165">
    <w:name w:val="三级条标题"/>
    <w:basedOn w:val="106"/>
    <w:next w:val="109"/>
    <w:qFormat/>
    <w:uiPriority w:val="0"/>
    <w:pPr>
      <w:outlineLvl w:val="4"/>
    </w:pPr>
  </w:style>
  <w:style w:type="paragraph" w:customStyle="1" w:styleId="166">
    <w:name w:val="默认段落字体 Para Char Char Char Char Char Char Char"/>
    <w:basedOn w:val="1"/>
    <w:qFormat/>
    <w:uiPriority w:val="0"/>
    <w:rPr>
      <w:rFonts w:eastAsia="仿宋_GB2312"/>
      <w:sz w:val="28"/>
      <w:szCs w:val="20"/>
    </w:rPr>
  </w:style>
  <w:style w:type="paragraph" w:customStyle="1" w:styleId="167">
    <w:name w:val="标准有序列表（L1）"/>
    <w:basedOn w:val="13"/>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68">
    <w:name w:val="样式 正文文本缩进 2 + 仿宋_GB2312 黑色 行距: 1.5 倍行距"/>
    <w:basedOn w:val="28"/>
    <w:qFormat/>
    <w:uiPriority w:val="0"/>
    <w:pPr>
      <w:adjustRightInd/>
      <w:ind w:firstLine="200" w:firstLineChars="200"/>
      <w:textAlignment w:val="auto"/>
    </w:pPr>
    <w:rPr>
      <w:rFonts w:ascii="Times New Roman" w:cs="宋体"/>
      <w:color w:val="000000"/>
      <w:kern w:val="2"/>
      <w:sz w:val="24"/>
    </w:rPr>
  </w:style>
  <w:style w:type="paragraph" w:customStyle="1" w:styleId="169">
    <w:name w:val="彩色底纹 - 强调文字颜色 11"/>
    <w:qFormat/>
    <w:uiPriority w:val="0"/>
    <w:rPr>
      <w:rFonts w:ascii="Times New Roman" w:hAnsi="Times New Roman" w:eastAsia="宋体" w:cs="Times New Roman"/>
      <w:kern w:val="2"/>
      <w:sz w:val="21"/>
      <w:lang w:val="en-US" w:eastAsia="zh-CN" w:bidi="ar-SA"/>
    </w:rPr>
  </w:style>
  <w:style w:type="paragraph" w:customStyle="1" w:styleId="170">
    <w:name w:val="默认段落字体 Para Char"/>
    <w:basedOn w:val="1"/>
    <w:qFormat/>
    <w:uiPriority w:val="0"/>
    <w:rPr>
      <w:rFonts w:ascii="Tahoma" w:hAnsi="Tahoma"/>
      <w:sz w:val="24"/>
      <w:szCs w:val="20"/>
    </w:rPr>
  </w:style>
  <w:style w:type="paragraph" w:customStyle="1" w:styleId="171">
    <w:name w:val="列出段落1"/>
    <w:basedOn w:val="1"/>
    <w:qFormat/>
    <w:uiPriority w:val="0"/>
    <w:pPr>
      <w:ind w:firstLine="200" w:firstLineChars="200"/>
    </w:pPr>
  </w:style>
  <w:style w:type="paragraph" w:customStyle="1" w:styleId="172">
    <w:name w:val="默认段落样式"/>
    <w:basedOn w:val="110"/>
    <w:qFormat/>
    <w:uiPriority w:val="0"/>
    <w:pPr>
      <w:spacing w:before="0"/>
      <w:outlineLvl w:val="2"/>
    </w:pPr>
    <w:rPr>
      <w:rFonts w:ascii="仿宋_GB2312" w:eastAsia="仿宋_GB2312"/>
      <w:color w:val="000000"/>
      <w:szCs w:val="24"/>
    </w:rPr>
  </w:style>
  <w:style w:type="paragraph" w:customStyle="1" w:styleId="173">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174">
    <w:name w:val="MM Topic 5"/>
    <w:basedOn w:val="6"/>
    <w:qFormat/>
    <w:uiPriority w:val="0"/>
    <w:pPr>
      <w:tabs>
        <w:tab w:val="left" w:pos="0"/>
        <w:tab w:val="clear" w:pos="1008"/>
      </w:tabs>
      <w:ind w:left="0" w:firstLine="0"/>
    </w:pPr>
  </w:style>
  <w:style w:type="paragraph" w:customStyle="1" w:styleId="175">
    <w:name w:val="MM Topic 2"/>
    <w:basedOn w:val="3"/>
    <w:qFormat/>
    <w:uiPriority w:val="0"/>
    <w:pPr>
      <w:tabs>
        <w:tab w:val="left" w:pos="0"/>
      </w:tabs>
      <w:spacing w:before="260" w:after="260" w:line="415" w:lineRule="auto"/>
    </w:pPr>
    <w:rPr>
      <w:rFonts w:ascii="Arial" w:hAnsi="Arial" w:eastAsia="黑体"/>
      <w:sz w:val="32"/>
      <w:szCs w:val="32"/>
      <w:lang w:val="en-US" w:eastAsia="en-US"/>
    </w:rPr>
  </w:style>
  <w:style w:type="paragraph" w:customStyle="1" w:styleId="176">
    <w:name w:val="Char2"/>
    <w:basedOn w:val="1"/>
    <w:qFormat/>
    <w:uiPriority w:val="0"/>
    <w:rPr>
      <w:rFonts w:ascii="仿宋_GB2312" w:eastAsia="仿宋_GB2312"/>
      <w:b/>
      <w:sz w:val="32"/>
      <w:szCs w:val="32"/>
    </w:rPr>
  </w:style>
  <w:style w:type="paragraph" w:customStyle="1" w:styleId="1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79">
    <w:name w:val="a1"/>
    <w:basedOn w:val="1"/>
    <w:qFormat/>
    <w:uiPriority w:val="0"/>
    <w:pPr>
      <w:widowControl/>
      <w:spacing w:line="300" w:lineRule="atLeast"/>
      <w:jc w:val="left"/>
    </w:pPr>
    <w:rPr>
      <w:rFonts w:ascii="宋体"/>
      <w:kern w:val="0"/>
      <w:sz w:val="18"/>
      <w:szCs w:val="20"/>
    </w:rPr>
  </w:style>
  <w:style w:type="paragraph" w:customStyle="1" w:styleId="18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1">
    <w:name w:val="正文（首行缩进2字符）"/>
    <w:basedOn w:val="1"/>
    <w:qFormat/>
    <w:uiPriority w:val="0"/>
    <w:pPr>
      <w:spacing w:line="360" w:lineRule="auto"/>
      <w:ind w:firstLine="200" w:firstLineChars="200"/>
    </w:pPr>
    <w:rPr>
      <w:sz w:val="24"/>
      <w:szCs w:val="20"/>
    </w:rPr>
  </w:style>
  <w:style w:type="paragraph" w:customStyle="1" w:styleId="182">
    <w:name w:val="列出段落2"/>
    <w:basedOn w:val="1"/>
    <w:qFormat/>
    <w:uiPriority w:val="0"/>
    <w:pPr>
      <w:ind w:firstLine="200" w:firstLineChars="200"/>
    </w:pPr>
  </w:style>
  <w:style w:type="paragraph" w:customStyle="1" w:styleId="1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18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6">
    <w:name w:val="注释"/>
    <w:basedOn w:val="1"/>
    <w:qFormat/>
    <w:uiPriority w:val="0"/>
    <w:pPr>
      <w:spacing w:line="360" w:lineRule="auto"/>
      <w:ind w:firstLine="480"/>
    </w:pPr>
    <w:rPr>
      <w:sz w:val="24"/>
    </w:rPr>
  </w:style>
  <w:style w:type="paragraph" w:customStyle="1" w:styleId="187">
    <w:name w:val="数字标题5"/>
    <w:basedOn w:val="6"/>
    <w:next w:val="1"/>
    <w:qFormat/>
    <w:uiPriority w:val="0"/>
    <w:pPr>
      <w:tabs>
        <w:tab w:val="left" w:pos="480"/>
        <w:tab w:val="clear" w:pos="1008"/>
      </w:tabs>
      <w:ind w:left="480" w:hanging="480"/>
    </w:pPr>
  </w:style>
  <w:style w:type="paragraph" w:customStyle="1" w:styleId="188">
    <w:name w:val="文档正文"/>
    <w:basedOn w:val="1"/>
    <w:qFormat/>
    <w:uiPriority w:val="0"/>
    <w:pPr>
      <w:adjustRightInd w:val="0"/>
      <w:spacing w:line="480" w:lineRule="atLeast"/>
      <w:ind w:firstLine="567"/>
      <w:textAlignment w:val="baseline"/>
    </w:pPr>
    <w:rPr>
      <w:kern w:val="0"/>
      <w:sz w:val="24"/>
      <w:szCs w:val="20"/>
    </w:rPr>
  </w:style>
  <w:style w:type="paragraph" w:customStyle="1" w:styleId="189">
    <w:name w:val="样式 标题 3H3 + 两端对齐"/>
    <w:basedOn w:val="4"/>
    <w:qFormat/>
    <w:uiPriority w:val="0"/>
    <w:pPr>
      <w:spacing w:before="0" w:after="0" w:line="240" w:lineRule="auto"/>
      <w:ind w:left="0" w:firstLine="0"/>
      <w:jc w:val="left"/>
    </w:pPr>
    <w:rPr>
      <w:rFonts w:cs="宋体"/>
      <w:sz w:val="21"/>
      <w:szCs w:val="20"/>
    </w:rPr>
  </w:style>
  <w:style w:type="paragraph" w:customStyle="1" w:styleId="190">
    <w:name w:val="正文首行缩进1"/>
    <w:basedOn w:val="19"/>
    <w:qFormat/>
    <w:uiPriority w:val="0"/>
    <w:pPr>
      <w:suppressAutoHyphens/>
      <w:adjustRightInd/>
      <w:spacing w:after="120" w:line="240" w:lineRule="auto"/>
      <w:ind w:firstLine="420"/>
      <w:jc w:val="left"/>
    </w:pPr>
    <w:rPr>
      <w:rFonts w:ascii="Times New Roman"/>
      <w:kern w:val="0"/>
      <w:sz w:val="28"/>
      <w:szCs w:val="24"/>
      <w:lang w:val="en-US" w:eastAsia="ar-SA"/>
    </w:rPr>
  </w:style>
  <w:style w:type="paragraph" w:customStyle="1" w:styleId="191">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193">
    <w:name w:val="标准正文格式"/>
    <w:basedOn w:val="1"/>
    <w:qFormat/>
    <w:uiPriority w:val="0"/>
    <w:pPr>
      <w:widowControl/>
      <w:adjustRightInd w:val="0"/>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194">
    <w:name w:val="标题五"/>
    <w:basedOn w:val="1"/>
    <w:qFormat/>
    <w:uiPriority w:val="0"/>
    <w:pPr>
      <w:spacing w:beforeLines="50" w:line="360" w:lineRule="auto"/>
    </w:pPr>
    <w:rPr>
      <w:b/>
      <w:sz w:val="24"/>
    </w:rPr>
  </w:style>
  <w:style w:type="paragraph" w:customStyle="1" w:styleId="195">
    <w:name w:val="Char"/>
    <w:basedOn w:val="1"/>
    <w:qFormat/>
    <w:uiPriority w:val="0"/>
    <w:rPr>
      <w:rFonts w:ascii="仿宋_GB2312" w:eastAsia="仿宋_GB2312"/>
      <w:b/>
      <w:sz w:val="32"/>
      <w:szCs w:val="32"/>
    </w:rPr>
  </w:style>
  <w:style w:type="paragraph" w:customStyle="1" w:styleId="196">
    <w:name w:val="四级条标题"/>
    <w:basedOn w:val="165"/>
    <w:next w:val="109"/>
    <w:qFormat/>
    <w:uiPriority w:val="0"/>
    <w:pPr>
      <w:outlineLvl w:val="5"/>
    </w:pPr>
  </w:style>
  <w:style w:type="paragraph" w:customStyle="1" w:styleId="1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五级条标题"/>
    <w:basedOn w:val="196"/>
    <w:next w:val="109"/>
    <w:qFormat/>
    <w:uiPriority w:val="0"/>
    <w:pPr>
      <w:outlineLvl w:val="6"/>
    </w:pPr>
  </w:style>
  <w:style w:type="paragraph" w:customStyle="1" w:styleId="200">
    <w:name w:val="彩色列表 - 强调文字颜色 11"/>
    <w:basedOn w:val="1"/>
    <w:qFormat/>
    <w:uiPriority w:val="0"/>
    <w:pPr>
      <w:spacing w:line="360" w:lineRule="auto"/>
      <w:ind w:firstLine="200" w:firstLineChars="200"/>
    </w:pPr>
    <w:rPr>
      <w:rFonts w:eastAsia="楷体_GB2312" w:cs="Lucida Sans"/>
      <w:sz w:val="24"/>
    </w:rPr>
  </w:style>
  <w:style w:type="paragraph" w:customStyle="1" w:styleId="201">
    <w:name w:val="正文文字表格居中"/>
    <w:basedOn w:val="1"/>
    <w:next w:val="40"/>
    <w:qFormat/>
    <w:uiPriority w:val="0"/>
    <w:pPr>
      <w:snapToGrid w:val="0"/>
      <w:spacing w:line="360" w:lineRule="auto"/>
    </w:pPr>
    <w:rPr>
      <w:rFonts w:ascii="宋体"/>
      <w:b/>
      <w:sz w:val="24"/>
      <w:szCs w:val="20"/>
    </w:rPr>
  </w:style>
  <w:style w:type="paragraph" w:customStyle="1" w:styleId="202">
    <w:name w:val="MM Title"/>
    <w:basedOn w:val="42"/>
    <w:qFormat/>
    <w:uiPriority w:val="0"/>
    <w:pPr>
      <w:widowControl w:val="0"/>
      <w:adjustRightInd/>
      <w:spacing w:before="240" w:after="60"/>
      <w:textAlignment w:val="auto"/>
      <w:outlineLvl w:val="0"/>
    </w:pPr>
    <w:rPr>
      <w:rFonts w:ascii="Arial" w:hAnsi="Arial" w:cs="Arial"/>
      <w:bCs/>
      <w:kern w:val="2"/>
      <w:sz w:val="32"/>
      <w:szCs w:val="32"/>
      <w:lang w:eastAsia="en-US"/>
    </w:rPr>
  </w:style>
  <w:style w:type="paragraph" w:customStyle="1" w:styleId="203">
    <w:name w:val="正文1"/>
    <w:basedOn w:val="1"/>
    <w:qFormat/>
    <w:uiPriority w:val="0"/>
    <w:pPr>
      <w:widowControl/>
      <w:spacing w:line="360" w:lineRule="auto"/>
      <w:ind w:left="360" w:firstLine="420"/>
      <w:jc w:val="left"/>
    </w:pPr>
    <w:rPr>
      <w:rFonts w:ascii="宋体" w:cs="宋体"/>
      <w:kern w:val="0"/>
      <w:szCs w:val="20"/>
    </w:rPr>
  </w:style>
  <w:style w:type="paragraph" w:customStyle="1" w:styleId="204">
    <w:name w:val="pl"/>
    <w:basedOn w:val="1"/>
    <w:qFormat/>
    <w:uiPriority w:val="0"/>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05">
    <w:name w:val="0"/>
    <w:basedOn w:val="1"/>
    <w:qFormat/>
    <w:uiPriority w:val="0"/>
    <w:pPr>
      <w:widowControl/>
    </w:pPr>
    <w:rPr>
      <w:kern w:val="0"/>
      <w:sz w:val="24"/>
      <w:szCs w:val="20"/>
    </w:rPr>
  </w:style>
  <w:style w:type="paragraph" w:customStyle="1" w:styleId="206">
    <w:name w:val="gf正文1"/>
    <w:basedOn w:val="1"/>
    <w:uiPriority w:val="0"/>
    <w:pPr>
      <w:tabs>
        <w:tab w:val="left" w:pos="3240"/>
        <w:tab w:val="left" w:pos="3960"/>
      </w:tabs>
      <w:adjustRightInd w:val="0"/>
      <w:snapToGrid w:val="0"/>
      <w:spacing w:line="360" w:lineRule="auto"/>
      <w:ind w:firstLine="200" w:firstLineChars="200"/>
    </w:pPr>
    <w:rPr>
      <w:rFonts w:ascii="宋体" w:cs="宋体"/>
      <w:sz w:val="24"/>
    </w:rPr>
  </w:style>
  <w:style w:type="paragraph" w:customStyle="1" w:styleId="207">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208">
    <w:name w:val="正文－恩普"/>
    <w:basedOn w:val="13"/>
    <w:qFormat/>
    <w:uiPriority w:val="0"/>
    <w:pPr>
      <w:adjustRightInd/>
      <w:snapToGrid/>
      <w:spacing w:before="100" w:beforeAutospacing="1" w:afterLines="50" w:afterAutospacing="1" w:line="360" w:lineRule="auto"/>
      <w:ind w:firstLine="200" w:firstLineChars="200"/>
      <w:jc w:val="left"/>
    </w:pPr>
    <w:rPr>
      <w:rFonts w:ascii="Times New Roman"/>
      <w:color w:val="auto"/>
      <w:kern w:val="0"/>
      <w:sz w:val="24"/>
    </w:rPr>
  </w:style>
  <w:style w:type="paragraph" w:customStyle="1" w:styleId="209">
    <w:name w:val="MM Topic 3"/>
    <w:basedOn w:val="4"/>
    <w:qFormat/>
    <w:uiPriority w:val="0"/>
    <w:pPr>
      <w:tabs>
        <w:tab w:val="left" w:pos="0"/>
        <w:tab w:val="clear" w:pos="720"/>
      </w:tabs>
      <w:ind w:left="0" w:firstLine="0"/>
    </w:pPr>
  </w:style>
  <w:style w:type="paragraph" w:customStyle="1" w:styleId="210">
    <w:name w:val="表格"/>
    <w:basedOn w:val="1"/>
    <w:qFormat/>
    <w:uiPriority w:val="0"/>
    <w:pPr>
      <w:snapToGrid w:val="0"/>
      <w:ind w:firstLine="21" w:firstLineChars="21"/>
    </w:pPr>
    <w:rPr>
      <w:rFonts w:ascii="宋体"/>
      <w:kern w:val="0"/>
      <w:sz w:val="20"/>
      <w:szCs w:val="20"/>
    </w:rPr>
  </w:style>
  <w:style w:type="paragraph" w:customStyle="1" w:styleId="211">
    <w:name w:val="列表内容"/>
    <w:basedOn w:val="1"/>
    <w:next w:val="1"/>
    <w:uiPriority w:val="0"/>
    <w:pPr>
      <w:widowControl/>
      <w:tabs>
        <w:tab w:val="left" w:pos="840"/>
      </w:tabs>
      <w:ind w:left="840" w:hanging="420"/>
      <w:jc w:val="left"/>
    </w:pPr>
    <w:rPr>
      <w:kern w:val="0"/>
      <w:sz w:val="18"/>
    </w:rPr>
  </w:style>
  <w:style w:type="paragraph" w:customStyle="1" w:styleId="212">
    <w:name w:val="Table Text"/>
    <w:basedOn w:val="1"/>
    <w:qFormat/>
    <w:uiPriority w:val="0"/>
    <w:pPr>
      <w:widowControl/>
      <w:spacing w:before="60" w:after="60"/>
      <w:jc w:val="left"/>
    </w:pPr>
    <w:rPr>
      <w:kern w:val="0"/>
      <w:sz w:val="24"/>
    </w:rPr>
  </w:style>
  <w:style w:type="paragraph" w:customStyle="1" w:styleId="213">
    <w:name w:val="正文（标题三）"/>
    <w:basedOn w:val="1"/>
    <w:qFormat/>
    <w:uiPriority w:val="0"/>
    <w:pPr>
      <w:spacing w:line="360" w:lineRule="auto"/>
      <w:ind w:firstLine="200" w:firstLineChars="200"/>
    </w:pPr>
    <w:rPr>
      <w:sz w:val="24"/>
    </w:rPr>
  </w:style>
  <w:style w:type="paragraph" w:customStyle="1" w:styleId="214">
    <w:name w:val="规划正文"/>
    <w:basedOn w:val="1"/>
    <w:qFormat/>
    <w:uiPriority w:val="0"/>
    <w:pPr>
      <w:spacing w:beforeLines="100" w:line="360" w:lineRule="auto"/>
      <w:jc w:val="left"/>
    </w:pPr>
    <w:rPr>
      <w:rFonts w:ascii="Arial" w:hAnsi="Arial" w:eastAsia="仿宋_GB2312"/>
      <w:bCs/>
      <w:sz w:val="28"/>
    </w:rPr>
  </w:style>
  <w:style w:type="paragraph" w:customStyle="1" w:styleId="215">
    <w:name w:val="样式1"/>
    <w:basedOn w:val="1"/>
    <w:qFormat/>
    <w:uiPriority w:val="0"/>
    <w:pPr>
      <w:widowControl/>
      <w:tabs>
        <w:tab w:val="left" w:pos="1212"/>
        <w:tab w:val="left" w:pos="3888"/>
      </w:tabs>
      <w:snapToGrid w:val="0"/>
      <w:spacing w:line="336" w:lineRule="auto"/>
      <w:ind w:firstLine="432"/>
      <w:jc w:val="left"/>
    </w:pPr>
    <w:rPr>
      <w:rFonts w:ascii="宋体"/>
      <w:kern w:val="0"/>
      <w:sz w:val="24"/>
      <w:szCs w:val="20"/>
    </w:rPr>
  </w:style>
  <w:style w:type="paragraph" w:customStyle="1" w:styleId="216">
    <w:name w:val="Char Char Char"/>
    <w:basedOn w:val="1"/>
    <w:qFormat/>
    <w:uiPriority w:val="0"/>
    <w:pPr>
      <w:tabs>
        <w:tab w:val="left" w:pos="0"/>
      </w:tabs>
    </w:pPr>
    <w:rPr>
      <w:rFonts w:eastAsia="仿宋_GB2312"/>
      <w:sz w:val="28"/>
    </w:rPr>
  </w:style>
  <w:style w:type="paragraph" w:customStyle="1" w:styleId="217">
    <w:name w:val="Char3"/>
    <w:basedOn w:val="1"/>
    <w:uiPriority w:val="0"/>
    <w:rPr>
      <w:rFonts w:ascii="仿宋_GB2312" w:eastAsia="仿宋_GB2312"/>
      <w:b/>
      <w:sz w:val="32"/>
      <w:szCs w:val="32"/>
    </w:rPr>
  </w:style>
  <w:style w:type="paragraph" w:customStyle="1" w:styleId="2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Char Char Char1"/>
    <w:basedOn w:val="1"/>
    <w:qFormat/>
    <w:uiPriority w:val="0"/>
    <w:rPr>
      <w:rFonts w:ascii="Tahoma" w:hAnsi="Tahoma"/>
      <w:sz w:val="24"/>
      <w:szCs w:val="20"/>
    </w:rPr>
  </w:style>
  <w:style w:type="paragraph" w:customStyle="1" w:styleId="220">
    <w:name w:val="±íÑùÊ½"/>
    <w:basedOn w:val="1"/>
    <w:qFormat/>
    <w:uiPriority w:val="0"/>
    <w:pPr>
      <w:widowControl/>
      <w:overflowPunct w:val="0"/>
      <w:autoSpaceDE w:val="0"/>
      <w:autoSpaceDN w:val="0"/>
      <w:adjustRightInd w:val="0"/>
      <w:ind w:left="425" w:hanging="425"/>
      <w:jc w:val="left"/>
      <w:textAlignment w:val="baseline"/>
    </w:pPr>
    <w:rPr>
      <w:rFonts w:ascii="Arial Narrow" w:hAnsi="Arial Narrow"/>
      <w:kern w:val="0"/>
      <w:sz w:val="18"/>
      <w:szCs w:val="20"/>
    </w:rPr>
  </w:style>
  <w:style w:type="paragraph" w:customStyle="1" w:styleId="221">
    <w:name w:val="正文样式 首行缩进:  0.74 厘米"/>
    <w:basedOn w:val="1"/>
    <w:qFormat/>
    <w:uiPriority w:val="0"/>
    <w:pPr>
      <w:spacing w:beforeLines="50" w:line="360" w:lineRule="auto"/>
      <w:ind w:firstLine="420"/>
    </w:pPr>
    <w:rPr>
      <w:rFonts w:cs="宋体"/>
      <w:sz w:val="24"/>
      <w:szCs w:val="20"/>
    </w:rPr>
  </w:style>
  <w:style w:type="paragraph" w:customStyle="1" w:styleId="222">
    <w:name w:val="数字标题2"/>
    <w:basedOn w:val="3"/>
    <w:next w:val="1"/>
    <w:qFormat/>
    <w:uiPriority w:val="0"/>
    <w:pPr>
      <w:tabs>
        <w:tab w:val="left" w:pos="480"/>
      </w:tabs>
      <w:spacing w:before="260" w:after="260" w:line="415" w:lineRule="auto"/>
      <w:ind w:left="480" w:hanging="480"/>
    </w:pPr>
    <w:rPr>
      <w:rFonts w:ascii="Times New Roman" w:eastAsia="宋体"/>
      <w:i/>
      <w:sz w:val="36"/>
      <w:szCs w:val="36"/>
      <w:lang w:val="en-US" w:eastAsia="en-US"/>
    </w:rPr>
  </w:style>
  <w:style w:type="paragraph" w:customStyle="1" w:styleId="223">
    <w:name w:val="样式 左侧:  0.85 厘米 首行缩进:  0.85 厘米"/>
    <w:basedOn w:val="1"/>
    <w:qFormat/>
    <w:uiPriority w:val="0"/>
    <w:pPr>
      <w:spacing w:line="360" w:lineRule="auto"/>
      <w:ind w:firstLine="482"/>
    </w:pPr>
    <w:rPr>
      <w:rFonts w:cs="宋体"/>
      <w:sz w:val="24"/>
      <w:szCs w:val="20"/>
    </w:rPr>
  </w:style>
  <w:style w:type="paragraph" w:customStyle="1" w:styleId="224">
    <w:name w:val="Char Char Char Char Char Char Char Char Char Char"/>
    <w:basedOn w:val="1"/>
    <w:qFormat/>
    <w:uiPriority w:val="0"/>
    <w:rPr>
      <w:rFonts w:ascii="仿宋_GB2312" w:eastAsia="仿宋_GB2312"/>
      <w:b/>
      <w:sz w:val="32"/>
      <w:szCs w:val="32"/>
    </w:rPr>
  </w:style>
  <w:style w:type="paragraph" w:customStyle="1" w:styleId="22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Char Char1 Char Char Char"/>
    <w:basedOn w:val="1"/>
    <w:qFormat/>
    <w:uiPriority w:val="0"/>
    <w:rPr>
      <w:rFonts w:ascii="仿宋_GB2312" w:eastAsia="仿宋_GB2312"/>
      <w:b/>
      <w:sz w:val="32"/>
      <w:szCs w:val="20"/>
    </w:rPr>
  </w:style>
  <w:style w:type="paragraph" w:customStyle="1" w:styleId="22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8">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9">
    <w:name w:val="数字标题3"/>
    <w:basedOn w:val="4"/>
    <w:next w:val="1"/>
    <w:qFormat/>
    <w:uiPriority w:val="0"/>
    <w:pPr>
      <w:spacing w:line="240" w:lineRule="auto"/>
      <w:ind w:left="0" w:firstLine="0"/>
    </w:pPr>
    <w:rPr>
      <w:sz w:val="28"/>
      <w:szCs w:val="28"/>
    </w:rPr>
  </w:style>
  <w:style w:type="paragraph" w:customStyle="1" w:styleId="230">
    <w:name w:val="Char4"/>
    <w:basedOn w:val="1"/>
    <w:qFormat/>
    <w:uiPriority w:val="0"/>
    <w:rPr>
      <w:rFonts w:ascii="仿宋_GB2312" w:eastAsia="仿宋_GB2312"/>
      <w:b/>
      <w:sz w:val="32"/>
      <w:szCs w:val="32"/>
    </w:rPr>
  </w:style>
  <w:style w:type="paragraph" w:customStyle="1" w:styleId="231">
    <w:name w:val="正文（首行缩进）"/>
    <w:basedOn w:val="20"/>
    <w:qFormat/>
    <w:uiPriority w:val="0"/>
    <w:pPr>
      <w:widowControl/>
      <w:overflowPunct w:val="0"/>
      <w:autoSpaceDE w:val="0"/>
      <w:autoSpaceDN w:val="0"/>
      <w:adjustRightInd w:val="0"/>
      <w:spacing w:beforeLines="50" w:after="120" w:line="240" w:lineRule="auto"/>
      <w:ind w:left="620" w:leftChars="200" w:firstLine="0" w:firstLineChars="0"/>
      <w:jc w:val="left"/>
      <w:textAlignment w:val="baseline"/>
    </w:pPr>
    <w:rPr>
      <w:rFonts w:ascii="Times New Roman"/>
      <w:spacing w:val="10"/>
      <w:kern w:val="0"/>
      <w:szCs w:val="20"/>
    </w:rPr>
  </w:style>
  <w:style w:type="paragraph" w:customStyle="1" w:styleId="232">
    <w:name w:val="表头文本"/>
    <w:basedOn w:val="1"/>
    <w:qFormat/>
    <w:uiPriority w:val="0"/>
    <w:pPr>
      <w:autoSpaceDE w:val="0"/>
      <w:autoSpaceDN w:val="0"/>
      <w:adjustRightInd w:val="0"/>
      <w:spacing w:line="360" w:lineRule="auto"/>
      <w:jc w:val="center"/>
    </w:pPr>
    <w:rPr>
      <w:b/>
      <w:bCs/>
      <w:kern w:val="0"/>
      <w:szCs w:val="21"/>
    </w:rPr>
  </w:style>
  <w:style w:type="paragraph" w:customStyle="1" w:styleId="233">
    <w:name w:val="表头样式"/>
    <w:basedOn w:val="1"/>
    <w:qFormat/>
    <w:uiPriority w:val="0"/>
    <w:pPr>
      <w:autoSpaceDE w:val="0"/>
      <w:autoSpaceDN w:val="0"/>
      <w:adjustRightInd w:val="0"/>
      <w:spacing w:line="360" w:lineRule="auto"/>
      <w:jc w:val="center"/>
    </w:pPr>
    <w:rPr>
      <w:rFonts w:ascii="Arial" w:hAnsi="Arial"/>
      <w:b/>
      <w:kern w:val="0"/>
      <w:szCs w:val="21"/>
    </w:rPr>
  </w:style>
  <w:style w:type="paragraph" w:customStyle="1" w:styleId="234">
    <w:name w:val="列出段落3"/>
    <w:basedOn w:val="1"/>
    <w:qFormat/>
    <w:uiPriority w:val="34"/>
    <w:pPr>
      <w:ind w:firstLine="420" w:firstLineChars="200"/>
    </w:pPr>
  </w:style>
  <w:style w:type="paragraph" w:customStyle="1" w:styleId="2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36"/>
      <w:szCs w:val="36"/>
    </w:rPr>
  </w:style>
  <w:style w:type="paragraph" w:customStyle="1" w:styleId="2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2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24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24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24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kern w:val="0"/>
      <w:sz w:val="20"/>
      <w:szCs w:val="20"/>
    </w:rPr>
  </w:style>
  <w:style w:type="character" w:customStyle="1" w:styleId="244">
    <w:name w:val="font01"/>
    <w:basedOn w:val="47"/>
    <w:qFormat/>
    <w:uiPriority w:val="0"/>
    <w:rPr>
      <w:rFonts w:hint="eastAsia" w:ascii="宋体" w:hAnsi="宋体" w:eastAsia="宋体" w:cs="宋体"/>
      <w:color w:val="000000"/>
      <w:sz w:val="22"/>
      <w:szCs w:val="22"/>
      <w:u w:val="none"/>
    </w:rPr>
  </w:style>
  <w:style w:type="character" w:customStyle="1" w:styleId="245">
    <w:name w:val="bookmark-item"/>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410BF-14EB-4EC4-83E9-97CC0BC054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4843</Words>
  <Characters>27606</Characters>
  <Lines>230</Lines>
  <Paragraphs>64</Paragraphs>
  <TotalTime>0</TotalTime>
  <ScaleCrop>false</ScaleCrop>
  <LinksUpToDate>false</LinksUpToDate>
  <CharactersWithSpaces>32385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2018-03-28T09:04:00Z</dcterms:created>
  <dc:creator>孔伟</dc:creator>
  <cp:lastModifiedBy>Kizuna</cp:lastModifiedBy>
  <cp:lastPrinted>2016-05-13T01:32:00Z</cp:lastPrinted>
  <dcterms:modified xsi:type="dcterms:W3CDTF">2019-04-26T07:59:07Z</dcterms:modified>
  <dc:title>建委机房建设相关设备招标文件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