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宋体" w:eastAsia="楷体_GB2312"/>
          <w:b/>
          <w:color w:val="auto"/>
          <w:sz w:val="110"/>
          <w:szCs w:val="110"/>
          <w:highlight w:val="none"/>
        </w:rPr>
      </w:pPr>
      <w:bookmarkStart w:id="39" w:name="_GoBack"/>
      <w:bookmarkEnd w:id="39"/>
      <w:r>
        <w:rPr>
          <w:rFonts w:hint="eastAsia" w:ascii="楷体_GB2312" w:hAnsi="宋体" w:eastAsia="楷体_GB2312"/>
          <w:b/>
          <w:color w:val="auto"/>
          <w:sz w:val="110"/>
          <w:szCs w:val="110"/>
          <w:highlight w:val="none"/>
        </w:rPr>
        <w:t>招标文件</w:t>
      </w:r>
    </w:p>
    <w:p>
      <w:pPr>
        <w:spacing w:line="700" w:lineRule="exact"/>
        <w:ind w:left="-560" w:leftChars="-200" w:right="-560" w:rightChars="-200"/>
        <w:jc w:val="center"/>
        <w:rPr>
          <w:rFonts w:hint="eastAsia" w:ascii="宋体" w:hAnsi="宋体"/>
          <w:b/>
          <w:color w:val="auto"/>
          <w:sz w:val="44"/>
          <w:szCs w:val="44"/>
          <w:highlight w:val="none"/>
        </w:rPr>
      </w:pPr>
    </w:p>
    <w:p>
      <w:pPr>
        <w:spacing w:line="700" w:lineRule="exact"/>
        <w:ind w:left="-560" w:leftChars="-200" w:right="-560" w:rightChars="-200"/>
        <w:jc w:val="center"/>
        <w:rPr>
          <w:rFonts w:hint="eastAsia" w:ascii="方正小标宋简体" w:hAnsi="黑体" w:eastAsia="方正小标宋简体"/>
          <w:color w:val="auto"/>
          <w:spacing w:val="-6"/>
          <w:sz w:val="44"/>
          <w:szCs w:val="44"/>
          <w:highlight w:val="none"/>
        </w:rPr>
      </w:pPr>
      <w:r>
        <w:rPr>
          <w:rFonts w:hint="eastAsia" w:ascii="方正小标宋简体" w:hAnsi="黑体" w:eastAsia="方正小标宋简体"/>
          <w:color w:val="auto"/>
          <w:spacing w:val="-6"/>
          <w:sz w:val="44"/>
          <w:szCs w:val="44"/>
          <w:highlight w:val="none"/>
          <w:lang w:eastAsia="zh-CN"/>
        </w:rPr>
        <w:t xml:space="preserve">南浔镇雪亮工程视频监控服务项目二期  </w:t>
      </w:r>
    </w:p>
    <w:p>
      <w:pPr>
        <w:spacing w:line="700" w:lineRule="exact"/>
        <w:ind w:left="-560" w:leftChars="-200" w:right="-560" w:rightChars="-200"/>
        <w:jc w:val="center"/>
        <w:rPr>
          <w:rFonts w:hint="eastAsia" w:ascii="方正小标宋简体" w:hAnsi="黑体" w:eastAsia="方正小标宋简体"/>
          <w:color w:val="auto"/>
          <w:sz w:val="44"/>
          <w:szCs w:val="44"/>
          <w:highlight w:val="none"/>
          <w:lang w:eastAsia="zh-CN"/>
        </w:rPr>
      </w:pPr>
      <w:r>
        <w:rPr>
          <w:rFonts w:hint="eastAsia" w:ascii="方正小标宋简体" w:hAnsi="黑体" w:eastAsia="方正小标宋简体"/>
          <w:color w:val="auto"/>
          <w:sz w:val="44"/>
          <w:szCs w:val="44"/>
          <w:highlight w:val="none"/>
        </w:rPr>
        <w:t>财政审批编号：</w:t>
      </w:r>
      <w:r>
        <w:rPr>
          <w:rFonts w:hint="eastAsia" w:ascii="方正小标宋简体" w:hAnsi="黑体" w:eastAsia="方正小标宋简体"/>
          <w:color w:val="auto"/>
          <w:sz w:val="44"/>
          <w:szCs w:val="44"/>
          <w:highlight w:val="none"/>
          <w:lang w:eastAsia="zh-CN"/>
        </w:rPr>
        <w:t>浔政采网申</w:t>
      </w:r>
      <w:r>
        <w:rPr>
          <w:rFonts w:hint="eastAsia" w:ascii="方正小标宋简体" w:hAnsi="黑体" w:eastAsia="方正小标宋简体"/>
          <w:color w:val="auto"/>
          <w:sz w:val="44"/>
          <w:szCs w:val="44"/>
          <w:highlight w:val="none"/>
          <w:lang w:val="en-US" w:eastAsia="zh-CN"/>
        </w:rPr>
        <w:t xml:space="preserve">[2019]1491号 </w:t>
      </w:r>
    </w:p>
    <w:p>
      <w:pPr>
        <w:spacing w:line="700" w:lineRule="exact"/>
        <w:ind w:left="-560" w:leftChars="-200" w:right="-560" w:rightChars="-200"/>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招标编号：</w:t>
      </w:r>
      <w:r>
        <w:rPr>
          <w:rFonts w:hint="eastAsia" w:ascii="方正小标宋简体" w:hAnsi="黑体" w:eastAsia="方正小标宋简体"/>
          <w:color w:val="auto"/>
          <w:sz w:val="44"/>
          <w:szCs w:val="44"/>
          <w:highlight w:val="none"/>
          <w:lang w:eastAsia="zh-CN"/>
        </w:rPr>
        <w:t xml:space="preserve">浙安采字[2019]-N012 </w:t>
      </w:r>
    </w:p>
    <w:p>
      <w:pPr>
        <w:spacing w:line="480" w:lineRule="auto"/>
        <w:ind w:left="1148"/>
        <w:rPr>
          <w:rFonts w:hint="eastAsia" w:ascii="宋体" w:hAnsi="宋体"/>
          <w:color w:val="auto"/>
          <w:sz w:val="18"/>
          <w:highlight w:val="none"/>
        </w:rPr>
      </w:pPr>
    </w:p>
    <w:p>
      <w:pPr>
        <w:spacing w:line="480" w:lineRule="auto"/>
        <w:rPr>
          <w:rFonts w:hint="eastAsia" w:ascii="宋体" w:hAnsi="宋体"/>
          <w:color w:val="auto"/>
          <w:sz w:val="18"/>
          <w:highlight w:val="none"/>
        </w:rPr>
      </w:pPr>
    </w:p>
    <w:p>
      <w:pPr>
        <w:spacing w:line="480" w:lineRule="auto"/>
        <w:rPr>
          <w:rFonts w:hint="eastAsia" w:ascii="宋体" w:hAnsi="宋体"/>
          <w:color w:val="auto"/>
          <w:sz w:val="18"/>
          <w:highlight w:val="none"/>
        </w:rPr>
      </w:pPr>
    </w:p>
    <w:p>
      <w:pPr>
        <w:snapToGrid w:val="0"/>
        <w:spacing w:line="900" w:lineRule="exact"/>
        <w:jc w:val="left"/>
        <w:rPr>
          <w:rFonts w:hint="eastAsia" w:ascii="宋体" w:hAnsi="宋体"/>
          <w:b/>
          <w:color w:val="auto"/>
          <w:sz w:val="44"/>
          <w:szCs w:val="44"/>
          <w:highlight w:val="none"/>
        </w:rPr>
      </w:pPr>
    </w:p>
    <w:p>
      <w:pPr>
        <w:snapToGrid w:val="0"/>
        <w:spacing w:line="900" w:lineRule="exact"/>
        <w:jc w:val="left"/>
        <w:rPr>
          <w:rFonts w:hint="eastAsia" w:ascii="宋体" w:hAnsi="宋体"/>
          <w:b/>
          <w:color w:val="auto"/>
          <w:sz w:val="44"/>
          <w:szCs w:val="44"/>
          <w:highlight w:val="none"/>
        </w:rPr>
      </w:pPr>
    </w:p>
    <w:p>
      <w:pPr>
        <w:snapToGrid w:val="0"/>
        <w:spacing w:line="900" w:lineRule="exact"/>
        <w:rPr>
          <w:rFonts w:hint="eastAsia" w:ascii="宋体" w:hAnsi="宋体"/>
          <w:b/>
          <w:color w:val="auto"/>
          <w:sz w:val="44"/>
          <w:szCs w:val="44"/>
          <w:highlight w:val="none"/>
        </w:rPr>
      </w:pPr>
      <w:r>
        <w:rPr>
          <w:rFonts w:hint="eastAsia" w:ascii="宋体" w:hAnsi="宋体"/>
          <w:b/>
          <w:color w:val="auto"/>
          <w:sz w:val="44"/>
          <w:szCs w:val="44"/>
          <w:highlight w:val="none"/>
        </w:rPr>
        <w:t xml:space="preserve">   </w:t>
      </w:r>
    </w:p>
    <w:p>
      <w:pPr>
        <w:snapToGrid w:val="0"/>
        <w:spacing w:line="90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 xml:space="preserve">  </w:t>
      </w:r>
      <w:r>
        <w:rPr>
          <w:rFonts w:hint="eastAsia" w:ascii="宋体" w:hAnsi="宋体"/>
          <w:b/>
          <w:color w:val="auto"/>
          <w:spacing w:val="-20"/>
          <w:sz w:val="44"/>
          <w:szCs w:val="44"/>
          <w:highlight w:val="none"/>
          <w:lang w:eastAsia="zh-CN"/>
        </w:rPr>
        <w:t>招标采购单位</w:t>
      </w:r>
      <w:r>
        <w:rPr>
          <w:rFonts w:hint="eastAsia" w:ascii="宋体" w:hAnsi="宋体"/>
          <w:b/>
          <w:color w:val="auto"/>
          <w:sz w:val="44"/>
          <w:szCs w:val="44"/>
          <w:highlight w:val="none"/>
        </w:rPr>
        <w:t>：</w:t>
      </w:r>
      <w:r>
        <w:rPr>
          <w:rFonts w:hint="eastAsia" w:ascii="宋体" w:hAnsi="宋体"/>
          <w:b/>
          <w:color w:val="auto"/>
          <w:spacing w:val="-34"/>
          <w:sz w:val="44"/>
          <w:szCs w:val="44"/>
          <w:highlight w:val="none"/>
          <w:lang w:eastAsia="zh-CN"/>
        </w:rPr>
        <w:t xml:space="preserve">浙江省湖州市南浔区南浔镇人民政府 </w:t>
      </w:r>
      <w:r>
        <w:rPr>
          <w:rFonts w:hint="eastAsia" w:ascii="宋体" w:hAnsi="宋体"/>
          <w:b/>
          <w:color w:val="auto"/>
          <w:spacing w:val="-34"/>
          <w:sz w:val="44"/>
          <w:szCs w:val="44"/>
          <w:highlight w:val="none"/>
        </w:rPr>
        <w:t xml:space="preserve"> </w:t>
      </w:r>
      <w:r>
        <w:rPr>
          <w:rFonts w:hint="eastAsia" w:ascii="宋体" w:hAnsi="宋体"/>
          <w:b/>
          <w:color w:val="auto"/>
          <w:sz w:val="44"/>
          <w:szCs w:val="44"/>
          <w:highlight w:val="none"/>
        </w:rPr>
        <w:t xml:space="preserve">   </w:t>
      </w:r>
    </w:p>
    <w:p>
      <w:pPr>
        <w:snapToGrid w:val="0"/>
        <w:spacing w:line="90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 xml:space="preserve">  招标代理：浙江建安工程管理有限公司</w:t>
      </w:r>
    </w:p>
    <w:p>
      <w:pPr>
        <w:snapToGrid w:val="0"/>
        <w:spacing w:line="480" w:lineRule="auto"/>
        <w:jc w:val="left"/>
        <w:rPr>
          <w:rFonts w:hint="eastAsia" w:ascii="宋体" w:hAnsi="宋体"/>
          <w:b/>
          <w:color w:val="auto"/>
          <w:sz w:val="15"/>
          <w:szCs w:val="44"/>
          <w:highlight w:val="none"/>
        </w:rPr>
      </w:pPr>
    </w:p>
    <w:p>
      <w:pPr>
        <w:snapToGrid w:val="0"/>
        <w:spacing w:line="48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二○一九年</w:t>
      </w:r>
      <w:r>
        <w:rPr>
          <w:rFonts w:hint="eastAsia" w:ascii="宋体" w:hAnsi="宋体"/>
          <w:b/>
          <w:color w:val="auto"/>
          <w:sz w:val="44"/>
          <w:szCs w:val="44"/>
          <w:highlight w:val="none"/>
          <w:lang w:val="en-US" w:eastAsia="zh-CN"/>
        </w:rPr>
        <w:t>九</w:t>
      </w:r>
      <w:r>
        <w:rPr>
          <w:rFonts w:hint="eastAsia" w:ascii="宋体" w:hAnsi="宋体"/>
          <w:b/>
          <w:color w:val="auto"/>
          <w:sz w:val="44"/>
          <w:szCs w:val="44"/>
          <w:highlight w:val="none"/>
        </w:rPr>
        <w:t>月</w:t>
      </w:r>
    </w:p>
    <w:p>
      <w:pPr>
        <w:adjustRightInd w:val="0"/>
        <w:snapToGrid w:val="0"/>
        <w:spacing w:line="360" w:lineRule="auto"/>
        <w:rPr>
          <w:rFonts w:hint="eastAsia" w:ascii="宋体" w:hAnsi="宋体" w:cs="宋体"/>
          <w:b/>
          <w:color w:val="auto"/>
          <w:sz w:val="36"/>
          <w:szCs w:val="36"/>
          <w:highlight w:val="none"/>
        </w:rPr>
      </w:pPr>
    </w:p>
    <w:p>
      <w:pPr>
        <w:pStyle w:val="2"/>
        <w:ind w:left="560"/>
        <w:rPr>
          <w:rFonts w:hint="eastAsia"/>
          <w:color w:val="auto"/>
          <w:highlight w:val="none"/>
        </w:rPr>
      </w:pPr>
    </w:p>
    <w:p>
      <w:pPr>
        <w:spacing w:line="360" w:lineRule="auto"/>
        <w:jc w:val="center"/>
        <w:rPr>
          <w:rFonts w:hint="eastAsia" w:ascii="宋体" w:hAnsi="宋体" w:cs="宋体"/>
          <w:color w:val="auto"/>
          <w:highlight w:val="none"/>
        </w:rPr>
      </w:pPr>
      <w:r>
        <w:rPr>
          <w:rFonts w:hint="eastAsia" w:ascii="宋体" w:hAnsi="宋体" w:cs="宋体"/>
          <w:b/>
          <w:color w:val="auto"/>
          <w:sz w:val="44"/>
          <w:szCs w:val="44"/>
          <w:highlight w:val="none"/>
        </w:rPr>
        <w:t>目  录</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pStyle w:val="33"/>
        <w:tabs>
          <w:tab w:val="right" w:leader="dot" w:pos="8987"/>
        </w:tabs>
        <w:spacing w:line="48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fldChar w:fldCharType="begin"/>
      </w:r>
      <w:r>
        <w:rPr>
          <w:rFonts w:hint="eastAsia" w:ascii="宋体" w:hAnsi="宋体" w:cs="宋体"/>
          <w:b/>
          <w:color w:val="auto"/>
          <w:sz w:val="32"/>
          <w:szCs w:val="32"/>
          <w:highlight w:val="none"/>
        </w:rPr>
        <w:instrText xml:space="preserve">TOC \o "1-2" \h \u </w:instrText>
      </w:r>
      <w:r>
        <w:rPr>
          <w:rFonts w:hint="eastAsia" w:ascii="宋体" w:hAnsi="宋体" w:cs="宋体"/>
          <w:b/>
          <w:color w:val="auto"/>
          <w:sz w:val="32"/>
          <w:szCs w:val="32"/>
          <w:highlight w:val="none"/>
        </w:rPr>
        <w:fldChar w:fldCharType="separate"/>
      </w:r>
    </w:p>
    <w:p>
      <w:pPr>
        <w:pStyle w:val="33"/>
        <w:tabs>
          <w:tab w:val="right" w:leader="dot" w:pos="8987"/>
        </w:tabs>
        <w:spacing w:line="48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"_Toc508900986"</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第一章  公开招标采购公告</w:t>
      </w:r>
      <w:r>
        <w:rPr>
          <w:rFonts w:hint="eastAsia" w:ascii="宋体" w:hAnsi="宋体" w:cs="宋体"/>
          <w:b/>
          <w:color w:val="auto"/>
          <w:sz w:val="32"/>
          <w:szCs w:val="32"/>
          <w:highlight w:val="none"/>
        </w:rPr>
        <w:tab/>
      </w:r>
      <w:r>
        <w:rPr>
          <w:rFonts w:hint="eastAsia" w:ascii="宋体" w:hAnsi="宋体" w:cs="宋体"/>
          <w:b/>
          <w:color w:val="auto"/>
          <w:sz w:val="32"/>
          <w:szCs w:val="32"/>
          <w:highlight w:val="none"/>
        </w:rPr>
        <w:fldChar w:fldCharType="begin"/>
      </w:r>
      <w:r>
        <w:rPr>
          <w:rFonts w:hint="eastAsia" w:ascii="宋体" w:hAnsi="宋体" w:cs="宋体"/>
          <w:b/>
          <w:color w:val="auto"/>
          <w:sz w:val="32"/>
          <w:szCs w:val="32"/>
          <w:highlight w:val="none"/>
        </w:rPr>
        <w:instrText xml:space="preserve"> PAGEREF _Toc508900986 \h </w:instrText>
      </w:r>
      <w:r>
        <w:rPr>
          <w:rFonts w:hint="eastAsia" w:ascii="宋体" w:hAnsi="宋体" w:cs="宋体"/>
          <w:b/>
          <w:color w:val="auto"/>
          <w:sz w:val="32"/>
          <w:szCs w:val="32"/>
          <w:highlight w:val="none"/>
        </w:rPr>
        <w:fldChar w:fldCharType="separate"/>
      </w:r>
      <w:r>
        <w:rPr>
          <w:rFonts w:hint="eastAsia" w:ascii="宋体" w:hAnsi="宋体" w:cs="宋体"/>
          <w:b/>
          <w:color w:val="auto"/>
          <w:sz w:val="32"/>
          <w:szCs w:val="32"/>
          <w:highlight w:val="none"/>
        </w:rPr>
        <w:t>1</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rPr>
        <w:fldChar w:fldCharType="end"/>
      </w:r>
    </w:p>
    <w:p>
      <w:pPr>
        <w:pStyle w:val="33"/>
        <w:tabs>
          <w:tab w:val="right" w:leader="dot" w:pos="8987"/>
        </w:tabs>
        <w:spacing w:line="48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"_Toc508900987"</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第二章 招标需求</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fldChar w:fldCharType="end"/>
      </w:r>
    </w:p>
    <w:p>
      <w:pPr>
        <w:pStyle w:val="33"/>
        <w:tabs>
          <w:tab w:val="right" w:leader="dot" w:pos="8987"/>
        </w:tabs>
        <w:spacing w:line="480" w:lineRule="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"_Toc508900988"</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第三章  供应商须知</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8</w:t>
      </w:r>
    </w:p>
    <w:p>
      <w:pPr>
        <w:pStyle w:val="39"/>
        <w:tabs>
          <w:tab w:val="right" w:leader="dot" w:pos="8987"/>
        </w:tabs>
        <w:spacing w:line="480" w:lineRule="auto"/>
        <w:ind w:left="56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"_Toc508900989"</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一、总  则</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9</w:t>
      </w:r>
    </w:p>
    <w:p>
      <w:pPr>
        <w:pStyle w:val="39"/>
        <w:tabs>
          <w:tab w:val="right" w:leader="dot" w:pos="8987"/>
        </w:tabs>
        <w:spacing w:line="480" w:lineRule="auto"/>
        <w:ind w:left="56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"_Toc508900990"</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二、招标文件</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0</w:t>
      </w:r>
    </w:p>
    <w:p>
      <w:pPr>
        <w:pStyle w:val="39"/>
        <w:tabs>
          <w:tab w:val="right" w:leader="dot" w:pos="8987"/>
        </w:tabs>
        <w:spacing w:line="480" w:lineRule="auto"/>
        <w:ind w:left="56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"_Toc508900991"</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三、投标文件的编制</w:t>
      </w:r>
      <w:r>
        <w:rPr>
          <w:rFonts w:hint="eastAsia" w:ascii="宋体" w:hAnsi="宋体" w:cs="宋体"/>
          <w:b/>
          <w:color w:val="auto"/>
          <w:sz w:val="32"/>
          <w:szCs w:val="32"/>
          <w:highlight w:val="none"/>
        </w:rPr>
        <w:tab/>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22</w:t>
      </w:r>
    </w:p>
    <w:p>
      <w:pPr>
        <w:pStyle w:val="39"/>
        <w:tabs>
          <w:tab w:val="right" w:leader="dot" w:pos="8987"/>
        </w:tabs>
        <w:spacing w:line="480" w:lineRule="auto"/>
        <w:ind w:left="56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"_Toc508900992"</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四、开标</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25</w:t>
      </w:r>
      <w:r>
        <w:rPr>
          <w:rFonts w:hint="eastAsia" w:ascii="宋体" w:hAnsi="宋体" w:cs="宋体"/>
          <w:b/>
          <w:color w:val="auto"/>
          <w:sz w:val="32"/>
          <w:szCs w:val="32"/>
          <w:highlight w:val="none"/>
        </w:rPr>
        <w:fldChar w:fldCharType="end"/>
      </w:r>
    </w:p>
    <w:p>
      <w:pPr>
        <w:pStyle w:val="39"/>
        <w:tabs>
          <w:tab w:val="right" w:leader="dot" w:pos="8987"/>
        </w:tabs>
        <w:spacing w:line="480" w:lineRule="auto"/>
        <w:ind w:left="56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"_Toc508900993"</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五、评标</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27</w:t>
      </w:r>
      <w:r>
        <w:rPr>
          <w:rFonts w:hint="eastAsia" w:ascii="宋体" w:hAnsi="宋体" w:cs="宋体"/>
          <w:b/>
          <w:color w:val="auto"/>
          <w:sz w:val="32"/>
          <w:szCs w:val="32"/>
          <w:highlight w:val="none"/>
        </w:rPr>
        <w:fldChar w:fldCharType="end"/>
      </w:r>
    </w:p>
    <w:p>
      <w:pPr>
        <w:pStyle w:val="39"/>
        <w:tabs>
          <w:tab w:val="right" w:leader="dot" w:pos="8987"/>
        </w:tabs>
        <w:spacing w:line="480" w:lineRule="auto"/>
        <w:ind w:left="56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"_Toc508900994"</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六、定标</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8</w:t>
      </w:r>
    </w:p>
    <w:p>
      <w:pPr>
        <w:pStyle w:val="39"/>
        <w:tabs>
          <w:tab w:val="right" w:leader="dot" w:pos="8987"/>
        </w:tabs>
        <w:spacing w:line="480" w:lineRule="auto"/>
        <w:ind w:left="56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"_Toc508900995"</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七、合同授予</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9</w:t>
      </w:r>
    </w:p>
    <w:p>
      <w:pPr>
        <w:pStyle w:val="33"/>
        <w:tabs>
          <w:tab w:val="right" w:leader="dot" w:pos="8987"/>
        </w:tabs>
        <w:spacing w:line="480" w:lineRule="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"_Toc508900996"</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第四章  评标办法及评分标准</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1</w:t>
      </w:r>
    </w:p>
    <w:p>
      <w:pPr>
        <w:pStyle w:val="33"/>
        <w:tabs>
          <w:tab w:val="right" w:leader="dot" w:pos="8987"/>
        </w:tabs>
        <w:spacing w:line="480" w:lineRule="auto"/>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fldChar w:fldCharType="begin"/>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instrText xml:space="preserve">HYPERLINK \l "_Toc508900997"</w:instrText>
      </w:r>
      <w:r>
        <w:rPr>
          <w:rStyle w:val="59"/>
          <w:rFonts w:hint="eastAsia" w:ascii="宋体" w:hAnsi="宋体" w:cs="宋体"/>
          <w:b/>
          <w:color w:val="auto"/>
          <w:sz w:val="32"/>
          <w:szCs w:val="32"/>
          <w:highlight w:val="none"/>
        </w:rPr>
        <w:instrText xml:space="preserve"> </w:instrText>
      </w:r>
      <w:r>
        <w:rPr>
          <w:rFonts w:hint="eastAsia" w:ascii="宋体" w:hAnsi="宋体" w:cs="宋体"/>
          <w:b/>
          <w:color w:val="auto"/>
          <w:sz w:val="32"/>
          <w:szCs w:val="32"/>
          <w:highlight w:val="none"/>
        </w:rPr>
        <w:fldChar w:fldCharType="separate"/>
      </w:r>
      <w:r>
        <w:rPr>
          <w:rStyle w:val="59"/>
          <w:rFonts w:hint="eastAsia" w:ascii="宋体" w:hAnsi="宋体" w:cs="宋体"/>
          <w:b/>
          <w:color w:val="auto"/>
          <w:sz w:val="32"/>
          <w:szCs w:val="32"/>
          <w:highlight w:val="none"/>
        </w:rPr>
        <w:t>第五章 合同主要条款（仅供参考）</w:t>
      </w:r>
      <w:r>
        <w:rPr>
          <w:rFonts w:hint="eastAsia" w:ascii="宋体" w:hAnsi="宋体" w:cs="宋体"/>
          <w:b/>
          <w:color w:val="auto"/>
          <w:sz w:val="32"/>
          <w:szCs w:val="32"/>
          <w:highlight w:val="none"/>
        </w:rPr>
        <w:tab/>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lang w:val="en-US" w:eastAsia="zh-CN"/>
        </w:rPr>
        <w:t>5</w:t>
      </w:r>
    </w:p>
    <w:p>
      <w:pPr>
        <w:rPr>
          <w:rFonts w:hint="default" w:eastAsia="宋体"/>
          <w:lang w:val="en-US" w:eastAsia="zh-CN"/>
        </w:rPr>
      </w:pPr>
      <w:r>
        <w:rPr>
          <w:rFonts w:hint="eastAsia" w:ascii="宋体" w:hAnsi="宋体" w:cs="宋体"/>
          <w:b/>
          <w:color w:val="auto"/>
          <w:sz w:val="32"/>
          <w:szCs w:val="32"/>
          <w:highlight w:val="none"/>
          <w:lang w:val="en-US" w:eastAsia="zh-CN"/>
        </w:rPr>
        <w:t xml:space="preserve">第六章 </w:t>
      </w:r>
      <w:r>
        <w:rPr>
          <w:rFonts w:hint="eastAsia" w:ascii="宋体" w:hAnsi="宋体" w:cs="宋体"/>
          <w:b/>
          <w:color w:val="auto"/>
          <w:sz w:val="32"/>
          <w:szCs w:val="32"/>
          <w:highlight w:val="none"/>
        </w:rPr>
        <w:tab/>
      </w:r>
      <w:r>
        <w:rPr>
          <w:rFonts w:hint="eastAsia" w:ascii="宋体" w:hAnsi="宋体" w:cs="宋体"/>
          <w:b/>
          <w:color w:val="auto"/>
          <w:sz w:val="32"/>
          <w:szCs w:val="32"/>
          <w:highlight w:val="none"/>
        </w:rPr>
        <w:t>投标文件格式及附件</w:t>
      </w:r>
      <w:r>
        <w:rPr>
          <w:rFonts w:hint="eastAsia" w:ascii="宋体" w:hAnsi="宋体" w:cs="宋体"/>
          <w:b/>
          <w:color w:val="auto"/>
          <w:sz w:val="32"/>
          <w:szCs w:val="32"/>
          <w:highlight w:val="none"/>
        </w:rPr>
        <w:tab/>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val="en-US" w:eastAsia="zh-CN"/>
        </w:rPr>
        <w:t>44</w:t>
      </w:r>
    </w:p>
    <w:p>
      <w:pPr>
        <w:pStyle w:val="33"/>
        <w:tabs>
          <w:tab w:val="right" w:leader="dot" w:pos="8997"/>
        </w:tabs>
        <w:spacing w:line="480" w:lineRule="auto"/>
        <w:rPr>
          <w:rFonts w:hint="eastAsia" w:ascii="宋体" w:hAnsi="宋体" w:cs="宋体"/>
          <w:color w:val="auto"/>
          <w:sz w:val="32"/>
          <w:szCs w:val="32"/>
          <w:highlight w:val="none"/>
        </w:rPr>
        <w:sectPr>
          <w:headerReference r:id="rId4" w:type="first"/>
          <w:footerReference r:id="rId6" w:type="first"/>
          <w:headerReference r:id="rId3" w:type="default"/>
          <w:footerReference r:id="rId5" w:type="default"/>
          <w:pgSz w:w="11906" w:h="16838"/>
          <w:pgMar w:top="1440" w:right="1274" w:bottom="1440" w:left="1287" w:header="851" w:footer="992" w:gutter="0"/>
          <w:cols w:space="720" w:num="1"/>
          <w:titlePg/>
          <w:docGrid w:linePitch="312" w:charSpace="0"/>
        </w:sectPr>
      </w:pPr>
      <w:r>
        <w:rPr>
          <w:rFonts w:hint="eastAsia" w:ascii="宋体" w:hAnsi="宋体" w:cs="宋体"/>
          <w:b/>
          <w:color w:val="auto"/>
          <w:sz w:val="32"/>
          <w:szCs w:val="32"/>
          <w:highlight w:val="none"/>
        </w:rPr>
        <w:fldChar w:fldCharType="end"/>
      </w:r>
    </w:p>
    <w:p>
      <w:pPr>
        <w:spacing w:line="420" w:lineRule="exact"/>
        <w:jc w:val="center"/>
        <w:outlineLvl w:val="0"/>
        <w:rPr>
          <w:rFonts w:hint="eastAsia" w:ascii="宋体" w:hAnsi="宋体" w:cs="宋体"/>
          <w:b/>
          <w:color w:val="auto"/>
          <w:sz w:val="32"/>
          <w:szCs w:val="32"/>
          <w:highlight w:val="none"/>
        </w:rPr>
      </w:pPr>
      <w:bookmarkStart w:id="0" w:name="_Toc508900986"/>
      <w:r>
        <w:rPr>
          <w:rFonts w:hint="eastAsia" w:ascii="宋体" w:hAnsi="宋体" w:cs="宋体"/>
          <w:b/>
          <w:color w:val="auto"/>
          <w:sz w:val="32"/>
          <w:szCs w:val="32"/>
          <w:highlight w:val="none"/>
        </w:rPr>
        <w:t>第一章  公开招标采购公告</w:t>
      </w:r>
      <w:bookmarkEnd w:id="0"/>
    </w:p>
    <w:p>
      <w:pPr>
        <w:widowControl/>
        <w:spacing w:before="60" w:after="60" w:line="420" w:lineRule="exact"/>
        <w:ind w:left="60" w:right="6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根据《中华人民共和国政府采购法》、《政府采购货物和服务招标投标管理办法》等规定，经</w:t>
      </w:r>
      <w:r>
        <w:rPr>
          <w:rFonts w:hint="eastAsia" w:ascii="宋体" w:hAnsi="宋体" w:cs="宋体"/>
          <w:color w:val="auto"/>
          <w:kern w:val="0"/>
          <w:sz w:val="24"/>
          <w:highlight w:val="none"/>
          <w:u w:val="single"/>
          <w:lang w:eastAsia="zh-CN"/>
        </w:rPr>
        <w:t>湖州市南浔区财政局</w:t>
      </w:r>
      <w:r>
        <w:rPr>
          <w:rFonts w:hint="eastAsia" w:ascii="宋体" w:hAnsi="宋体" w:cs="Arial"/>
          <w:color w:val="auto"/>
          <w:sz w:val="24"/>
          <w:highlight w:val="none"/>
          <w:u w:val="single"/>
        </w:rPr>
        <w:t>（财政审批编号：</w:t>
      </w:r>
      <w:r>
        <w:rPr>
          <w:rFonts w:hint="eastAsia" w:ascii="宋体" w:hAnsi="宋体" w:cs="宋体"/>
          <w:color w:val="auto"/>
          <w:kern w:val="0"/>
          <w:sz w:val="24"/>
          <w:highlight w:val="none"/>
          <w:u w:val="single"/>
          <w:lang w:eastAsia="zh-CN"/>
        </w:rPr>
        <w:t>浔政采网申</w:t>
      </w:r>
      <w:r>
        <w:rPr>
          <w:rFonts w:hint="eastAsia" w:ascii="宋体" w:hAnsi="宋体" w:cs="宋体"/>
          <w:color w:val="auto"/>
          <w:kern w:val="0"/>
          <w:sz w:val="24"/>
          <w:highlight w:val="none"/>
          <w:u w:val="single"/>
          <w:lang w:val="en-US" w:eastAsia="zh-CN"/>
        </w:rPr>
        <w:t>[2019]1491号</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批准，现就</w:t>
      </w:r>
      <w:r>
        <w:rPr>
          <w:rFonts w:hint="eastAsia" w:ascii="宋体" w:hAnsi="宋体" w:cs="宋体"/>
          <w:color w:val="auto"/>
          <w:kern w:val="0"/>
          <w:sz w:val="24"/>
          <w:highlight w:val="none"/>
          <w:u w:val="single"/>
          <w:lang w:eastAsia="zh-CN"/>
        </w:rPr>
        <w:t>南浔镇雪亮工程视频监控服务项目二期</w:t>
      </w:r>
      <w:r>
        <w:rPr>
          <w:rFonts w:hint="eastAsia" w:ascii="宋体" w:hAnsi="宋体" w:cs="宋体"/>
          <w:color w:val="auto"/>
          <w:kern w:val="0"/>
          <w:sz w:val="24"/>
          <w:highlight w:val="none"/>
        </w:rPr>
        <w:t>进行公开招标，欢迎中华人民共和国境内有供货及服务能力的合格供应商前来参加投标。</w:t>
      </w:r>
    </w:p>
    <w:p>
      <w:pPr>
        <w:widowControl/>
        <w:spacing w:before="60" w:after="60" w:line="420" w:lineRule="exact"/>
        <w:ind w:left="60" w:right="60"/>
        <w:rPr>
          <w:rFonts w:hint="default"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一、招标项目编号</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 xml:space="preserve">浙安采字[2019]-N012 </w:t>
      </w:r>
    </w:p>
    <w:p>
      <w:pPr>
        <w:widowControl/>
        <w:spacing w:before="60" w:after="60" w:line="420" w:lineRule="exact"/>
        <w:ind w:left="60" w:right="60"/>
        <w:rPr>
          <w:rFonts w:hint="eastAsia" w:ascii="宋体" w:hAnsi="宋体" w:cs="宋体"/>
          <w:color w:val="auto"/>
          <w:kern w:val="0"/>
          <w:sz w:val="24"/>
          <w:highlight w:val="none"/>
        </w:rPr>
      </w:pPr>
      <w:r>
        <w:rPr>
          <w:rFonts w:hint="eastAsia" w:ascii="宋体" w:hAnsi="宋体" w:cs="宋体"/>
          <w:b/>
          <w:color w:val="auto"/>
          <w:kern w:val="0"/>
          <w:sz w:val="24"/>
          <w:highlight w:val="none"/>
        </w:rPr>
        <w:t>二、采购组织类型</w:t>
      </w:r>
      <w:r>
        <w:rPr>
          <w:rFonts w:hint="eastAsia" w:ascii="宋体" w:hAnsi="宋体" w:cs="宋体"/>
          <w:color w:val="auto"/>
          <w:kern w:val="0"/>
          <w:sz w:val="24"/>
          <w:highlight w:val="none"/>
        </w:rPr>
        <w:t>：分散采购委托代理</w:t>
      </w:r>
    </w:p>
    <w:p>
      <w:pPr>
        <w:widowControl/>
        <w:spacing w:before="60" w:after="60" w:line="420" w:lineRule="exact"/>
        <w:ind w:left="60" w:right="60"/>
        <w:rPr>
          <w:rFonts w:hint="eastAsia" w:ascii="宋体" w:hAnsi="宋体" w:cs="宋体"/>
          <w:color w:val="auto"/>
          <w:kern w:val="0"/>
          <w:sz w:val="24"/>
          <w:highlight w:val="none"/>
        </w:rPr>
      </w:pPr>
      <w:r>
        <w:rPr>
          <w:rFonts w:hint="eastAsia" w:ascii="宋体" w:hAnsi="宋体" w:cs="宋体"/>
          <w:b/>
          <w:color w:val="auto"/>
          <w:sz w:val="24"/>
          <w:highlight w:val="none"/>
        </w:rPr>
        <w:t>三、招标方式：</w:t>
      </w:r>
      <w:r>
        <w:rPr>
          <w:rFonts w:hint="eastAsia" w:ascii="宋体" w:hAnsi="宋体" w:cs="宋体"/>
          <w:color w:val="auto"/>
          <w:sz w:val="24"/>
          <w:highlight w:val="none"/>
        </w:rPr>
        <w:t xml:space="preserve">公开招标   </w:t>
      </w:r>
    </w:p>
    <w:p>
      <w:pPr>
        <w:widowControl/>
        <w:spacing w:before="60" w:after="60" w:line="420" w:lineRule="exact"/>
        <w:ind w:left="60" w:right="60"/>
        <w:rPr>
          <w:rFonts w:hint="eastAsia" w:ascii="宋体" w:hAnsi="宋体" w:cs="宋体"/>
          <w:b/>
          <w:color w:val="auto"/>
          <w:sz w:val="24"/>
          <w:highlight w:val="none"/>
        </w:rPr>
      </w:pPr>
      <w:r>
        <w:rPr>
          <w:rFonts w:hint="eastAsia" w:ascii="宋体" w:hAnsi="宋体" w:cs="宋体"/>
          <w:b/>
          <w:color w:val="auto"/>
          <w:sz w:val="24"/>
          <w:highlight w:val="none"/>
        </w:rPr>
        <w:t>四、项目内容及数量</w:t>
      </w:r>
      <w:r>
        <w:rPr>
          <w:rFonts w:hint="eastAsia"/>
          <w:color w:val="auto"/>
          <w:sz w:val="24"/>
          <w:highlight w:val="none"/>
        </w:rPr>
        <w:t>：</w:t>
      </w:r>
    </w:p>
    <w:tbl>
      <w:tblPr>
        <w:tblStyle w:val="48"/>
        <w:tblpPr w:leftFromText="180" w:rightFromText="180" w:vertAnchor="text" w:horzAnchor="margin" w:tblpXSpec="center"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783"/>
        <w:gridCol w:w="320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trPr>
        <w:tc>
          <w:tcPr>
            <w:tcW w:w="1003" w:type="dxa"/>
            <w:noWrap w:val="0"/>
            <w:vAlign w:val="center"/>
          </w:tcPr>
          <w:p>
            <w:pPr>
              <w:tabs>
                <w:tab w:val="left" w:pos="611"/>
              </w:tabs>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783" w:type="dxa"/>
            <w:noWrap w:val="0"/>
            <w:vAlign w:val="center"/>
          </w:tcPr>
          <w:p>
            <w:pPr>
              <w:tabs>
                <w:tab w:val="left" w:pos="611"/>
              </w:tabs>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招标工作内容</w:t>
            </w:r>
          </w:p>
        </w:tc>
        <w:tc>
          <w:tcPr>
            <w:tcW w:w="3209" w:type="dxa"/>
            <w:noWrap w:val="0"/>
            <w:vAlign w:val="center"/>
          </w:tcPr>
          <w:p>
            <w:pPr>
              <w:tabs>
                <w:tab w:val="left" w:pos="611"/>
              </w:tabs>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365" w:type="dxa"/>
            <w:noWrap w:val="0"/>
            <w:vAlign w:val="center"/>
          </w:tcPr>
          <w:p>
            <w:pPr>
              <w:tabs>
                <w:tab w:val="left" w:pos="611"/>
              </w:tabs>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0" w:hRule="atLeast"/>
        </w:trPr>
        <w:tc>
          <w:tcPr>
            <w:tcW w:w="1003" w:type="dxa"/>
            <w:noWrap w:val="0"/>
            <w:vAlign w:val="center"/>
          </w:tcPr>
          <w:p>
            <w:pPr>
              <w:tabs>
                <w:tab w:val="left" w:pos="611"/>
              </w:tabs>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783" w:type="dxa"/>
            <w:noWrap w:val="0"/>
            <w:vAlign w:val="center"/>
          </w:tcPr>
          <w:p>
            <w:pPr>
              <w:tabs>
                <w:tab w:val="left" w:pos="611"/>
              </w:tabs>
              <w:spacing w:line="42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南浔镇雪亮工程视频监控</w:t>
            </w:r>
          </w:p>
          <w:p>
            <w:pPr>
              <w:tabs>
                <w:tab w:val="left" w:pos="611"/>
              </w:tabs>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 xml:space="preserve">服务项目二期  </w:t>
            </w:r>
          </w:p>
        </w:tc>
        <w:tc>
          <w:tcPr>
            <w:tcW w:w="3209" w:type="dxa"/>
            <w:noWrap w:val="0"/>
            <w:vAlign w:val="center"/>
          </w:tcPr>
          <w:p>
            <w:pPr>
              <w:tabs>
                <w:tab w:val="left" w:pos="611"/>
              </w:tabs>
              <w:spacing w:line="420" w:lineRule="exact"/>
              <w:jc w:val="center"/>
              <w:rPr>
                <w:rFonts w:ascii="宋体" w:hAnsi="宋体" w:cs="宋体"/>
                <w:color w:val="auto"/>
                <w:sz w:val="24"/>
                <w:highlight w:val="none"/>
              </w:rPr>
            </w:pPr>
            <w:r>
              <w:rPr>
                <w:rFonts w:hint="eastAsia" w:ascii="宋体" w:hAnsi="宋体" w:cs="宋体"/>
                <w:color w:val="auto"/>
                <w:sz w:val="24"/>
                <w:highlight w:val="none"/>
              </w:rPr>
              <w:t>1项，</w:t>
            </w:r>
          </w:p>
          <w:p>
            <w:pPr>
              <w:tabs>
                <w:tab w:val="left" w:pos="611"/>
              </w:tabs>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具体详见招标文件第二章 </w:t>
            </w:r>
          </w:p>
        </w:tc>
        <w:tc>
          <w:tcPr>
            <w:tcW w:w="1365" w:type="dxa"/>
            <w:noWrap w:val="0"/>
            <w:vAlign w:val="center"/>
          </w:tcPr>
          <w:p>
            <w:pPr>
              <w:tabs>
                <w:tab w:val="left" w:pos="611"/>
              </w:tabs>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500万元</w:t>
            </w:r>
          </w:p>
        </w:tc>
      </w:tr>
    </w:tbl>
    <w:p>
      <w:pPr>
        <w:widowControl/>
        <w:spacing w:before="60" w:after="60" w:line="420" w:lineRule="exact"/>
        <w:ind w:left="60" w:right="60"/>
        <w:rPr>
          <w:rFonts w:hint="eastAsia" w:ascii="宋体" w:hAnsi="宋体" w:cs="宋体"/>
          <w:color w:val="auto"/>
          <w:kern w:val="0"/>
          <w:sz w:val="24"/>
          <w:highlight w:val="none"/>
        </w:rPr>
      </w:pPr>
      <w:r>
        <w:rPr>
          <w:rFonts w:hint="eastAsia" w:ascii="宋体" w:hAnsi="宋体" w:cs="宋体"/>
          <w:b/>
          <w:color w:val="auto"/>
          <w:kern w:val="0"/>
          <w:sz w:val="24"/>
          <w:highlight w:val="none"/>
        </w:rPr>
        <w:t>五、供应商资格要求</w:t>
      </w:r>
      <w:r>
        <w:rPr>
          <w:rFonts w:hint="eastAsia" w:ascii="宋体" w:hAnsi="宋体" w:cs="宋体"/>
          <w:color w:val="auto"/>
          <w:kern w:val="0"/>
          <w:sz w:val="24"/>
          <w:highlight w:val="none"/>
        </w:rPr>
        <w:t>:</w:t>
      </w:r>
    </w:p>
    <w:p>
      <w:pPr>
        <w:widowControl/>
        <w:spacing w:line="4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符合《中华人民共和国政府采购法》第二十二条规定：供应商应具有独立承担民事责任的能力；具有良好的商业信誉和健全的财务会计制度；具有履行合同所必需的设备和专业技术能力；有依法缴纳税收和社会保障资金的良好记录；近三年内在经营活动中无重大违法记录；</w:t>
      </w:r>
    </w:p>
    <w:p>
      <w:pPr>
        <w:widowControl/>
        <w:spacing w:line="4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符合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pPr>
        <w:widowControl/>
        <w:spacing w:line="4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3、在浙江省湖州市范围内具备通过光纤网络传输数据、图像及多媒体通信与信息服务的能力。</w:t>
      </w:r>
    </w:p>
    <w:p>
      <w:pPr>
        <w:widowControl/>
        <w:spacing w:before="60" w:after="60" w:line="420" w:lineRule="exact"/>
        <w:ind w:right="60"/>
        <w:rPr>
          <w:rFonts w:hint="eastAsia" w:ascii="宋体" w:hAnsi="宋体" w:cs="宋体"/>
          <w:color w:val="auto"/>
          <w:kern w:val="0"/>
          <w:sz w:val="24"/>
          <w:highlight w:val="none"/>
        </w:rPr>
      </w:pPr>
      <w:r>
        <w:rPr>
          <w:rFonts w:hint="eastAsia" w:ascii="宋体" w:hAnsi="宋体" w:cs="宋体"/>
          <w:b/>
          <w:color w:val="auto"/>
          <w:kern w:val="0"/>
          <w:sz w:val="24"/>
          <w:highlight w:val="none"/>
        </w:rPr>
        <w:t>六、</w:t>
      </w:r>
      <w:r>
        <w:rPr>
          <w:rFonts w:hint="eastAsia" w:ascii="宋体" w:hAnsi="宋体" w:cs="宋体"/>
          <w:b/>
          <w:color w:val="auto"/>
          <w:kern w:val="0"/>
          <w:sz w:val="24"/>
          <w:highlight w:val="none"/>
          <w:lang w:eastAsia="zh-CN"/>
        </w:rPr>
        <w:t>依法获取招标</w:t>
      </w:r>
      <w:r>
        <w:rPr>
          <w:rFonts w:hint="eastAsia" w:ascii="宋体" w:hAnsi="宋体" w:cs="宋体"/>
          <w:b/>
          <w:color w:val="auto"/>
          <w:kern w:val="0"/>
          <w:sz w:val="24"/>
          <w:highlight w:val="none"/>
        </w:rPr>
        <w:t>时间</w:t>
      </w:r>
      <w:r>
        <w:rPr>
          <w:rFonts w:hint="eastAsia" w:ascii="宋体" w:hAnsi="宋体" w:cs="宋体"/>
          <w:b/>
          <w:color w:val="auto"/>
          <w:kern w:val="0"/>
          <w:sz w:val="24"/>
          <w:highlight w:val="none"/>
          <w:lang w:eastAsia="zh-CN"/>
        </w:rPr>
        <w:t>、方式</w:t>
      </w:r>
      <w:r>
        <w:rPr>
          <w:rFonts w:hint="eastAsia" w:ascii="宋体" w:hAnsi="宋体" w:cs="宋体"/>
          <w:b/>
          <w:color w:val="auto"/>
          <w:kern w:val="0"/>
          <w:sz w:val="24"/>
          <w:highlight w:val="none"/>
        </w:rPr>
        <w:t>及地点等</w:t>
      </w:r>
      <w:r>
        <w:rPr>
          <w:rFonts w:hint="eastAsia" w:ascii="宋体" w:hAnsi="宋体" w:cs="宋体"/>
          <w:color w:val="auto"/>
          <w:kern w:val="0"/>
          <w:sz w:val="24"/>
          <w:highlight w:val="none"/>
        </w:rPr>
        <w:t>:</w:t>
      </w:r>
    </w:p>
    <w:p>
      <w:pPr>
        <w:widowControl/>
        <w:spacing w:before="60" w:after="60" w:line="420" w:lineRule="exact"/>
        <w:ind w:left="59" w:leftChars="21" w:right="60" w:firstLine="480" w:firstLineChars="200"/>
        <w:rPr>
          <w:rFonts w:hint="eastAsia" w:ascii="宋体" w:hAnsi="宋体" w:cs="宋体"/>
          <w:color w:val="auto"/>
          <w:sz w:val="24"/>
          <w:highlight w:val="none"/>
        </w:rPr>
      </w:pPr>
      <w:r>
        <w:rPr>
          <w:rFonts w:hint="eastAsia" w:ascii="宋体" w:hAnsi="宋体" w:cs="宋体"/>
          <w:color w:val="auto"/>
          <w:sz w:val="24"/>
          <w:highlight w:val="none"/>
        </w:rPr>
        <w:t>1、发售时间：</w:t>
      </w:r>
      <w:r>
        <w:rPr>
          <w:rFonts w:hint="eastAsia" w:ascii="宋体" w:hAnsi="宋体" w:cs="宋体"/>
          <w:b/>
          <w:color w:val="auto"/>
          <w:sz w:val="24"/>
          <w:highlight w:val="none"/>
          <w:shd w:val="pct10" w:color="auto" w:fill="FFFFFF"/>
        </w:rPr>
        <w:t>2019年</w:t>
      </w:r>
      <w:r>
        <w:rPr>
          <w:rFonts w:hint="eastAsia" w:ascii="宋体" w:hAnsi="宋体" w:cs="宋体"/>
          <w:b/>
          <w:color w:val="auto"/>
          <w:sz w:val="24"/>
          <w:highlight w:val="none"/>
          <w:shd w:val="pct10" w:color="auto" w:fill="FFFFFF"/>
          <w:lang w:val="en-US" w:eastAsia="zh-CN"/>
        </w:rPr>
        <w:t>9</w:t>
      </w:r>
      <w:r>
        <w:rPr>
          <w:rFonts w:hint="eastAsia" w:ascii="宋体" w:hAnsi="宋体" w:cs="宋体"/>
          <w:b/>
          <w:color w:val="auto"/>
          <w:sz w:val="24"/>
          <w:highlight w:val="none"/>
          <w:shd w:val="pct10" w:color="auto" w:fill="FFFFFF"/>
        </w:rPr>
        <w:t>月</w:t>
      </w:r>
      <w:r>
        <w:rPr>
          <w:rFonts w:hint="eastAsia" w:ascii="宋体" w:hAnsi="宋体" w:cs="宋体"/>
          <w:b/>
          <w:color w:val="auto"/>
          <w:sz w:val="24"/>
          <w:highlight w:val="none"/>
          <w:shd w:val="pct10" w:color="auto" w:fill="FFFFFF"/>
          <w:lang w:val="en-US" w:eastAsia="zh-CN"/>
        </w:rPr>
        <w:t>20</w:t>
      </w:r>
      <w:r>
        <w:rPr>
          <w:rFonts w:hint="eastAsia" w:ascii="宋体" w:hAnsi="宋体" w:cs="宋体"/>
          <w:b/>
          <w:color w:val="auto"/>
          <w:sz w:val="24"/>
          <w:highlight w:val="none"/>
          <w:shd w:val="pct10" w:color="auto" w:fill="FFFFFF"/>
        </w:rPr>
        <w:t>日-2019年</w:t>
      </w:r>
      <w:r>
        <w:rPr>
          <w:rFonts w:hint="eastAsia" w:ascii="宋体" w:hAnsi="宋体" w:cs="宋体"/>
          <w:b/>
          <w:color w:val="auto"/>
          <w:sz w:val="24"/>
          <w:highlight w:val="none"/>
          <w:shd w:val="pct10" w:color="auto" w:fill="FFFFFF"/>
          <w:lang w:val="en-US" w:eastAsia="zh-CN"/>
        </w:rPr>
        <w:t>9</w:t>
      </w:r>
      <w:r>
        <w:rPr>
          <w:rFonts w:hint="eastAsia" w:ascii="宋体" w:hAnsi="宋体" w:cs="宋体"/>
          <w:b/>
          <w:color w:val="auto"/>
          <w:sz w:val="24"/>
          <w:highlight w:val="none"/>
          <w:shd w:val="pct10" w:color="auto" w:fill="FFFFFF"/>
        </w:rPr>
        <w:t>月</w:t>
      </w:r>
      <w:r>
        <w:rPr>
          <w:rFonts w:hint="eastAsia" w:ascii="宋体" w:hAnsi="宋体" w:cs="宋体"/>
          <w:b/>
          <w:color w:val="auto"/>
          <w:sz w:val="24"/>
          <w:highlight w:val="none"/>
          <w:shd w:val="pct10" w:color="auto" w:fill="FFFFFF"/>
          <w:lang w:val="en-US" w:eastAsia="zh-CN"/>
        </w:rPr>
        <w:t>27</w:t>
      </w:r>
      <w:r>
        <w:rPr>
          <w:rFonts w:hint="eastAsia" w:ascii="宋体" w:hAnsi="宋体" w:cs="宋体"/>
          <w:b/>
          <w:color w:val="auto"/>
          <w:sz w:val="24"/>
          <w:highlight w:val="none"/>
          <w:shd w:val="pct10" w:color="auto" w:fill="FFFFFF"/>
        </w:rPr>
        <w:t>日</w:t>
      </w:r>
      <w:r>
        <w:rPr>
          <w:rFonts w:hint="eastAsia" w:ascii="宋体" w:hAnsi="宋体" w:cs="宋体"/>
          <w:color w:val="auto"/>
          <w:sz w:val="24"/>
          <w:highlight w:val="none"/>
        </w:rPr>
        <w:t>，上午08：30-11：00；下午13：30-16：00，节假日除外。</w:t>
      </w:r>
    </w:p>
    <w:p>
      <w:pPr>
        <w:widowControl/>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kern w:val="0"/>
          <w:sz w:val="24"/>
          <w:highlight w:val="none"/>
        </w:rPr>
        <w:t>依法</w:t>
      </w:r>
      <w:r>
        <w:rPr>
          <w:rFonts w:hint="eastAsia" w:ascii="宋体" w:hAnsi="宋体" w:cs="宋体"/>
          <w:color w:val="auto"/>
          <w:sz w:val="24"/>
          <w:highlight w:val="none"/>
          <w:lang w:eastAsia="zh-CN"/>
        </w:rPr>
        <w:t>获取招标方式及</w:t>
      </w:r>
      <w:r>
        <w:rPr>
          <w:rFonts w:hint="eastAsia" w:ascii="宋体" w:hAnsi="宋体" w:cs="宋体"/>
          <w:color w:val="auto"/>
          <w:sz w:val="24"/>
          <w:highlight w:val="none"/>
        </w:rPr>
        <w:t>地点：</w:t>
      </w:r>
      <w:r>
        <w:rPr>
          <w:rFonts w:hint="eastAsia" w:ascii="宋体" w:hAnsi="宋体" w:cs="宋体"/>
          <w:color w:val="auto"/>
          <w:sz w:val="24"/>
          <w:highlight w:val="none"/>
          <w:lang w:eastAsia="zh-CN"/>
        </w:rPr>
        <w:t>现场领售、</w:t>
      </w:r>
      <w:r>
        <w:rPr>
          <w:rFonts w:hint="eastAsia" w:ascii="宋体" w:hAnsi="宋体"/>
          <w:color w:val="auto"/>
          <w:sz w:val="24"/>
          <w:highlight w:val="none"/>
        </w:rPr>
        <w:t>浙江建安工程管理有限公司（湖州市创业大道111号7楼706室【中屹集团大厦】）</w:t>
      </w:r>
    </w:p>
    <w:p>
      <w:pPr>
        <w:widowControl/>
        <w:spacing w:line="420" w:lineRule="exact"/>
        <w:ind w:right="6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3、售价：招标文件工本费每套</w:t>
      </w:r>
      <w:r>
        <w:rPr>
          <w:rFonts w:hint="eastAsia" w:ascii="宋体" w:hAnsi="宋体" w:cs="宋体"/>
          <w:color w:val="auto"/>
          <w:sz w:val="24"/>
          <w:highlight w:val="none"/>
          <w:u w:val="single"/>
        </w:rPr>
        <w:t xml:space="preserve"> 500</w:t>
      </w:r>
      <w:r>
        <w:rPr>
          <w:rFonts w:hint="eastAsia" w:ascii="宋体" w:hAnsi="宋体" w:cs="宋体"/>
          <w:color w:val="auto"/>
          <w:sz w:val="24"/>
          <w:highlight w:val="none"/>
        </w:rPr>
        <w:t>元（现金交纳），售后不退。</w:t>
      </w:r>
    </w:p>
    <w:p>
      <w:pPr>
        <w:widowControl/>
        <w:spacing w:line="420" w:lineRule="exact"/>
        <w:ind w:right="60" w:firstLine="482" w:firstLineChars="200"/>
        <w:jc w:val="left"/>
        <w:rPr>
          <w:rFonts w:hint="eastAsia" w:ascii="宋体" w:hAnsi="宋体" w:cs="宋体"/>
          <w:color w:val="auto"/>
          <w:kern w:val="0"/>
          <w:sz w:val="24"/>
          <w:highlight w:val="none"/>
        </w:rPr>
      </w:pPr>
      <w:r>
        <w:rPr>
          <w:rFonts w:hint="eastAsia" w:ascii="宋体" w:hAnsi="宋体" w:cs="宋体"/>
          <w:b/>
          <w:color w:val="auto"/>
          <w:kern w:val="0"/>
          <w:sz w:val="24"/>
          <w:highlight w:val="none"/>
          <w:lang w:val="en-US" w:eastAsia="zh-CN"/>
        </w:rPr>
        <w:t>注：采购公告中附件电子版招标文件及其他仅供阅览使用，具体以现场领售时提供的招标文件为准。现场领售为依法获取招标文件的唯一方式，未按要求获取的潜在供应商，对招标文件提起质疑投诉，不予受理。</w:t>
      </w:r>
    </w:p>
    <w:p>
      <w:pPr>
        <w:widowControl/>
        <w:spacing w:line="420" w:lineRule="exact"/>
        <w:ind w:right="6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七、投诉质疑根据《中华人民共和国财政部令第94号-政府采购质疑和投诉办法》规定向采购代理机购一次性提出。质疑函范本、投诉书范本请到浙江政府采购网下载专区下载。</w:t>
      </w:r>
    </w:p>
    <w:p>
      <w:pPr>
        <w:widowControl/>
        <w:spacing w:before="60" w:after="60" w:line="420" w:lineRule="exact"/>
        <w:ind w:left="60" w:right="60"/>
        <w:rPr>
          <w:rFonts w:hint="eastAsia" w:ascii="宋体" w:hAnsi="宋体" w:cs="宋体"/>
          <w:color w:val="auto"/>
          <w:kern w:val="0"/>
          <w:sz w:val="24"/>
          <w:highlight w:val="none"/>
        </w:rPr>
      </w:pPr>
      <w:r>
        <w:rPr>
          <w:rFonts w:hint="eastAsia" w:ascii="宋体" w:hAnsi="宋体" w:cs="宋体"/>
          <w:b/>
          <w:color w:val="auto"/>
          <w:kern w:val="0"/>
          <w:sz w:val="24"/>
          <w:highlight w:val="none"/>
        </w:rPr>
        <w:t>八、购买招标文件时必须提供以下材料</w:t>
      </w:r>
      <w:r>
        <w:rPr>
          <w:rFonts w:hint="eastAsia" w:ascii="宋体" w:hAnsi="宋体" w:cs="宋体"/>
          <w:color w:val="auto"/>
          <w:kern w:val="0"/>
          <w:sz w:val="24"/>
          <w:highlight w:val="none"/>
        </w:rPr>
        <w:t>：</w:t>
      </w:r>
    </w:p>
    <w:p>
      <w:pPr>
        <w:widowControl/>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企业营业执照副本</w:t>
      </w:r>
      <w:r>
        <w:rPr>
          <w:rFonts w:hint="eastAsia" w:ascii="宋体" w:hAnsi="宋体" w:cs="宋体"/>
          <w:color w:val="auto"/>
          <w:sz w:val="24"/>
          <w:highlight w:val="none"/>
        </w:rPr>
        <w:t>；</w:t>
      </w:r>
    </w:p>
    <w:p>
      <w:pPr>
        <w:widowControl/>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2、授权代理人的授权委托书；</w:t>
      </w:r>
    </w:p>
    <w:p>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3、授权代理人身份证复印件；</w:t>
      </w:r>
    </w:p>
    <w:p>
      <w:pPr>
        <w:widowControl/>
        <w:spacing w:before="60" w:after="60" w:line="420" w:lineRule="exact"/>
        <w:ind w:left="59" w:leftChars="21" w:right="60" w:firstLine="470" w:firstLineChars="196"/>
        <w:rPr>
          <w:rFonts w:hint="eastAsia" w:ascii="宋体" w:hAnsi="宋体" w:cs="宋体"/>
          <w:color w:val="auto"/>
          <w:sz w:val="24"/>
          <w:highlight w:val="none"/>
        </w:rPr>
      </w:pPr>
      <w:r>
        <w:rPr>
          <w:rFonts w:hint="eastAsia" w:ascii="宋体" w:hAnsi="宋体" w:cs="宋体"/>
          <w:color w:val="auto"/>
          <w:sz w:val="24"/>
          <w:highlight w:val="none"/>
        </w:rPr>
        <w:t>4、经当地税务、社保部门出具的供应商最近一个季度企业纳税情况和社保基金缴纳情况证明文书；</w:t>
      </w:r>
    </w:p>
    <w:p>
      <w:pPr>
        <w:widowControl/>
        <w:spacing w:before="60" w:after="60" w:line="420" w:lineRule="exact"/>
        <w:ind w:left="59" w:leftChars="21" w:right="60" w:firstLine="470" w:firstLineChars="196"/>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olor w:val="auto"/>
          <w:sz w:val="24"/>
          <w:highlight w:val="none"/>
        </w:rPr>
        <w:t>提供自招标公告发布之后任意时间的“信用中国”（www.creditchina.gov.cn ）和中国政府采购（www.ccgp.gov.cn ）供应商信用查询网页截图</w:t>
      </w:r>
      <w:r>
        <w:rPr>
          <w:rFonts w:hint="eastAsia" w:ascii="宋体" w:hAnsi="宋体" w:cs="宋体"/>
          <w:color w:val="auto"/>
          <w:kern w:val="0"/>
          <w:sz w:val="24"/>
          <w:highlight w:val="none"/>
        </w:rPr>
        <w:t>（二者缺一不可）</w:t>
      </w:r>
      <w:r>
        <w:rPr>
          <w:rFonts w:hint="eastAsia" w:ascii="宋体" w:hAnsi="宋体" w:cs="宋体"/>
          <w:color w:val="auto"/>
          <w:sz w:val="24"/>
          <w:highlight w:val="none"/>
        </w:rPr>
        <w:t>；</w:t>
      </w:r>
    </w:p>
    <w:p>
      <w:pPr>
        <w:pStyle w:val="2"/>
        <w:spacing w:line="420" w:lineRule="exact"/>
        <w:ind w:left="0" w:leftChars="0" w:firstLine="480"/>
        <w:rPr>
          <w:rFonts w:hint="eastAsia" w:ascii="宋体" w:hAnsi="宋体" w:cs="宋体"/>
          <w:color w:val="auto"/>
          <w:sz w:val="24"/>
          <w:highlight w:val="none"/>
        </w:rPr>
      </w:pPr>
      <w:r>
        <w:rPr>
          <w:rFonts w:hint="eastAsia" w:ascii="宋体" w:hAnsi="宋体" w:cs="宋体"/>
          <w:color w:val="auto"/>
          <w:sz w:val="24"/>
          <w:highlight w:val="none"/>
        </w:rPr>
        <w:t>6、供应商的名称、地址、联系人、联系电话和QQ邮箱。</w:t>
      </w:r>
    </w:p>
    <w:p>
      <w:pPr>
        <w:widowControl/>
        <w:spacing w:line="420" w:lineRule="exact"/>
        <w:ind w:left="59" w:leftChars="21" w:right="60" w:firstLine="361" w:firstLineChars="150"/>
        <w:jc w:val="left"/>
        <w:rPr>
          <w:color w:val="auto"/>
          <w:highlight w:val="none"/>
        </w:rPr>
      </w:pPr>
      <w:r>
        <w:rPr>
          <w:rFonts w:hint="eastAsia" w:ascii="宋体" w:hAnsi="宋体" w:cs="宋体"/>
          <w:b/>
          <w:color w:val="auto"/>
          <w:kern w:val="0"/>
          <w:sz w:val="24"/>
          <w:highlight w:val="none"/>
          <w:lang w:bidi="ar"/>
        </w:rPr>
        <w:t>以上资料复印件装订成册并加盖单位公章。</w:t>
      </w:r>
    </w:p>
    <w:p>
      <w:pPr>
        <w:snapToGrid w:val="0"/>
        <w:spacing w:line="420" w:lineRule="exact"/>
        <w:ind w:firstLine="482" w:firstLineChars="200"/>
        <w:rPr>
          <w:rFonts w:hint="eastAsia"/>
          <w:color w:val="auto"/>
          <w:highlight w:val="none"/>
        </w:rPr>
      </w:pPr>
      <w:r>
        <w:rPr>
          <w:rFonts w:hint="eastAsia" w:ascii="宋体" w:hAnsi="宋体" w:cs="宋体"/>
          <w:b/>
          <w:bCs/>
          <w:color w:val="auto"/>
          <w:sz w:val="24"/>
          <w:highlight w:val="none"/>
          <w:u w:val="single"/>
        </w:rPr>
        <w:t>注：报名时采购代理机构不作资格审查，只负责接受报名和发售招标文件。招标采购单位或采购代理机构在开标结束后（评标开始前）将对各供应商的资格进行审查，各供应商须按招标文件要求提供相应资格文件及原件，届时未提供相应资格文件及原件的，按资格审查不通过处理。</w:t>
      </w:r>
    </w:p>
    <w:p>
      <w:pPr>
        <w:widowControl/>
        <w:spacing w:before="60" w:after="60" w:line="420" w:lineRule="exact"/>
        <w:ind w:left="60" w:right="60"/>
        <w:rPr>
          <w:rFonts w:hint="eastAsia" w:ascii="宋体" w:hAnsi="宋体" w:cs="宋体"/>
          <w:color w:val="auto"/>
          <w:kern w:val="0"/>
          <w:sz w:val="24"/>
          <w:highlight w:val="none"/>
        </w:rPr>
      </w:pPr>
      <w:r>
        <w:rPr>
          <w:rFonts w:hint="eastAsia" w:ascii="宋体" w:hAnsi="宋体" w:cs="宋体"/>
          <w:b/>
          <w:color w:val="auto"/>
          <w:kern w:val="0"/>
          <w:sz w:val="24"/>
          <w:highlight w:val="none"/>
        </w:rPr>
        <w:t>九、投标截止时间和地点</w:t>
      </w:r>
      <w:r>
        <w:rPr>
          <w:rFonts w:hint="eastAsia" w:ascii="宋体" w:hAnsi="宋体" w:cs="宋体"/>
          <w:color w:val="auto"/>
          <w:kern w:val="0"/>
          <w:sz w:val="24"/>
          <w:highlight w:val="none"/>
        </w:rPr>
        <w:t>：</w:t>
      </w:r>
    </w:p>
    <w:p>
      <w:pPr>
        <w:widowControl/>
        <w:spacing w:before="60" w:after="60" w:line="420" w:lineRule="exact"/>
        <w:ind w:left="59" w:leftChars="21" w:right="60" w:firstLine="470" w:firstLineChars="196"/>
        <w:rPr>
          <w:rFonts w:hint="eastAsia" w:ascii="宋体" w:hAnsi="宋体"/>
          <w:color w:val="auto"/>
          <w:sz w:val="24"/>
          <w:highlight w:val="none"/>
        </w:rPr>
      </w:pPr>
      <w:r>
        <w:rPr>
          <w:rFonts w:hint="eastAsia" w:ascii="宋体" w:hAnsi="宋体"/>
          <w:color w:val="auto"/>
          <w:sz w:val="24"/>
          <w:highlight w:val="none"/>
        </w:rPr>
        <w:t>供应商应于</w:t>
      </w:r>
      <w:r>
        <w:rPr>
          <w:rFonts w:hint="eastAsia" w:ascii="宋体" w:hAnsi="宋体"/>
          <w:b/>
          <w:bCs/>
          <w:color w:val="auto"/>
          <w:sz w:val="24"/>
          <w:highlight w:val="none"/>
          <w:u w:val="single"/>
        </w:rPr>
        <w:t>2019年</w:t>
      </w:r>
      <w:r>
        <w:rPr>
          <w:rFonts w:hint="eastAsia" w:ascii="宋体" w:hAnsi="宋体"/>
          <w:b/>
          <w:bCs/>
          <w:color w:val="auto"/>
          <w:sz w:val="24"/>
          <w:highlight w:val="none"/>
          <w:u w:val="single"/>
          <w:lang w:val="en-US" w:eastAsia="zh-CN"/>
        </w:rPr>
        <w:t>10</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10</w:t>
      </w:r>
      <w:r>
        <w:rPr>
          <w:rFonts w:hint="eastAsia" w:ascii="宋体" w:hAnsi="宋体"/>
          <w:b/>
          <w:bCs/>
          <w:color w:val="auto"/>
          <w:sz w:val="24"/>
          <w:highlight w:val="none"/>
          <w:u w:val="single"/>
        </w:rPr>
        <w:t>日上午09:00时</w:t>
      </w:r>
      <w:r>
        <w:rPr>
          <w:rFonts w:hint="eastAsia" w:ascii="宋体" w:hAnsi="宋体"/>
          <w:color w:val="auto"/>
          <w:sz w:val="24"/>
          <w:highlight w:val="none"/>
        </w:rPr>
        <w:t>前将投标文件密封送交到</w:t>
      </w:r>
      <w:r>
        <w:rPr>
          <w:rFonts w:hint="eastAsia" w:ascii="宋体" w:hAnsi="宋体"/>
          <w:color w:val="auto"/>
          <w:sz w:val="24"/>
          <w:highlight w:val="none"/>
          <w:u w:val="single"/>
        </w:rPr>
        <w:t>湖州市公共资源交易中心2号楼二楼开标室（湖州市金盖山路66号）</w:t>
      </w:r>
      <w:r>
        <w:rPr>
          <w:rFonts w:hint="eastAsia" w:ascii="宋体" w:hAnsi="宋体"/>
          <w:color w:val="auto"/>
          <w:sz w:val="24"/>
          <w:highlight w:val="none"/>
        </w:rPr>
        <w:t>，详见二楼大厅显示屏，逾期送达或未密封将拒绝接收。</w:t>
      </w:r>
    </w:p>
    <w:p>
      <w:pPr>
        <w:widowControl/>
        <w:spacing w:before="60" w:after="60" w:line="420" w:lineRule="exact"/>
        <w:ind w:left="60" w:right="60"/>
        <w:rPr>
          <w:rFonts w:hint="eastAsia" w:ascii="宋体" w:hAnsi="宋体" w:cs="宋体"/>
          <w:color w:val="auto"/>
          <w:kern w:val="0"/>
          <w:sz w:val="24"/>
          <w:highlight w:val="none"/>
        </w:rPr>
      </w:pPr>
      <w:r>
        <w:rPr>
          <w:rFonts w:hint="eastAsia" w:ascii="宋体" w:hAnsi="宋体" w:cs="宋体"/>
          <w:b/>
          <w:color w:val="auto"/>
          <w:kern w:val="0"/>
          <w:sz w:val="24"/>
          <w:highlight w:val="none"/>
        </w:rPr>
        <w:t>十、开标时间及地点</w:t>
      </w:r>
      <w:r>
        <w:rPr>
          <w:rFonts w:hint="eastAsia" w:ascii="宋体" w:hAnsi="宋体" w:cs="宋体"/>
          <w:color w:val="auto"/>
          <w:kern w:val="0"/>
          <w:sz w:val="24"/>
          <w:highlight w:val="none"/>
        </w:rPr>
        <w:t>：</w:t>
      </w:r>
    </w:p>
    <w:p>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本次招标将于</w:t>
      </w:r>
      <w:r>
        <w:rPr>
          <w:rFonts w:hint="eastAsia" w:ascii="宋体" w:hAnsi="宋体"/>
          <w:b/>
          <w:bCs/>
          <w:color w:val="auto"/>
          <w:sz w:val="24"/>
          <w:highlight w:val="none"/>
          <w:u w:val="single"/>
        </w:rPr>
        <w:t>2019年</w:t>
      </w:r>
      <w:r>
        <w:rPr>
          <w:rFonts w:hint="eastAsia" w:ascii="宋体" w:hAnsi="宋体"/>
          <w:b/>
          <w:bCs/>
          <w:color w:val="auto"/>
          <w:sz w:val="24"/>
          <w:highlight w:val="none"/>
          <w:u w:val="single"/>
          <w:lang w:val="en-US" w:eastAsia="zh-CN"/>
        </w:rPr>
        <w:t>10</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10</w:t>
      </w:r>
      <w:r>
        <w:rPr>
          <w:rFonts w:hint="eastAsia" w:ascii="宋体" w:hAnsi="宋体"/>
          <w:b/>
          <w:bCs/>
          <w:color w:val="auto"/>
          <w:sz w:val="24"/>
          <w:highlight w:val="none"/>
          <w:u w:val="single"/>
        </w:rPr>
        <w:t>日上午09:00时</w:t>
      </w:r>
      <w:r>
        <w:rPr>
          <w:rFonts w:hint="eastAsia" w:ascii="宋体" w:hAnsi="宋体" w:cs="宋体"/>
          <w:color w:val="auto"/>
          <w:sz w:val="24"/>
          <w:highlight w:val="none"/>
        </w:rPr>
        <w:t>在</w:t>
      </w:r>
      <w:r>
        <w:rPr>
          <w:rFonts w:hint="eastAsia" w:ascii="宋体" w:hAnsi="宋体" w:cs="宋体"/>
          <w:color w:val="auto"/>
          <w:sz w:val="24"/>
          <w:highlight w:val="none"/>
          <w:u w:val="single"/>
        </w:rPr>
        <w:t>湖州市公共资源交易中心</w:t>
      </w:r>
      <w:r>
        <w:rPr>
          <w:rFonts w:hint="eastAsia" w:ascii="宋体" w:hAnsi="宋体" w:cs="宋体"/>
          <w:color w:val="auto"/>
          <w:kern w:val="0"/>
          <w:sz w:val="24"/>
          <w:highlight w:val="none"/>
          <w:u w:val="single"/>
        </w:rPr>
        <w:t>2号楼二楼开标室</w:t>
      </w:r>
      <w:r>
        <w:rPr>
          <w:rFonts w:hint="eastAsia" w:ascii="宋体" w:hAnsi="宋体" w:cs="宋体"/>
          <w:color w:val="auto"/>
          <w:sz w:val="24"/>
          <w:highlight w:val="none"/>
        </w:rPr>
        <w:t>开标，供应商可以派授权代表出席开标会议（授权代表应当是供应商的在职正式职工，并携带身份证等有效证明出席。未携带有效证件的，视同放弃监督开标的权利）。</w:t>
      </w:r>
    </w:p>
    <w:p>
      <w:pPr>
        <w:widowControl/>
        <w:spacing w:line="420" w:lineRule="exact"/>
        <w:ind w:left="482" w:hanging="482" w:hangingChars="200"/>
        <w:rPr>
          <w:rFonts w:hint="eastAsia" w:ascii="宋体" w:hAnsi="宋体" w:cs="宋体"/>
          <w:color w:val="auto"/>
          <w:sz w:val="24"/>
          <w:highlight w:val="none"/>
        </w:rPr>
      </w:pPr>
      <w:r>
        <w:rPr>
          <w:rFonts w:hint="eastAsia" w:ascii="宋体" w:hAnsi="宋体" w:cs="宋体"/>
          <w:b/>
          <w:color w:val="auto"/>
          <w:kern w:val="0"/>
          <w:sz w:val="24"/>
          <w:highlight w:val="none"/>
        </w:rPr>
        <w:t>十一、招标文件下载地址</w:t>
      </w:r>
      <w:r>
        <w:rPr>
          <w:rFonts w:hint="eastAsia" w:ascii="宋体" w:hAnsi="宋体" w:cs="宋体"/>
          <w:color w:val="auto"/>
          <w:kern w:val="0"/>
          <w:sz w:val="24"/>
          <w:highlight w:val="none"/>
        </w:rPr>
        <w:t>：</w:t>
      </w:r>
      <w:r>
        <w:rPr>
          <w:rFonts w:hint="eastAsia" w:ascii="宋体" w:hAnsi="宋体" w:cs="宋体"/>
          <w:color w:val="auto"/>
          <w:kern w:val="0"/>
          <w:sz w:val="24"/>
          <w:highlight w:val="none"/>
        </w:rPr>
        <w:br w:type="textWrapping"/>
      </w:r>
      <w:r>
        <w:rPr>
          <w:rFonts w:hint="eastAsia" w:ascii="宋体" w:hAnsi="宋体" w:cs="宋体"/>
          <w:color w:val="auto"/>
          <w:sz w:val="24"/>
          <w:highlight w:val="none"/>
        </w:rPr>
        <w:t>“浙江省政府采购网”（ http://zjzfcg.gov.cn）</w:t>
      </w:r>
    </w:p>
    <w:p>
      <w:pPr>
        <w:widowControl/>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“湖州市公共资源交易信息网 ” （</w:t>
      </w:r>
      <w:r>
        <w:rPr>
          <w:rFonts w:hint="eastAsia" w:ascii="宋体" w:hAnsi="宋体" w:cs="宋体"/>
          <w:color w:val="auto"/>
          <w:kern w:val="0"/>
          <w:sz w:val="24"/>
          <w:highlight w:val="none"/>
          <w:u w:val="single"/>
        </w:rPr>
        <w:fldChar w:fldCharType="begin"/>
      </w:r>
      <w:r>
        <w:rPr>
          <w:rFonts w:hint="eastAsia" w:ascii="宋体" w:hAnsi="宋体" w:cs="宋体"/>
          <w:color w:val="auto"/>
          <w:kern w:val="0"/>
          <w:sz w:val="24"/>
          <w:highlight w:val="none"/>
          <w:u w:val="single"/>
        </w:rPr>
        <w:instrText xml:space="preserve"> HYPERLINK "http://ggzy.huzhou.gov.cn/hzfront/" </w:instrText>
      </w:r>
      <w:r>
        <w:rPr>
          <w:rFonts w:hint="eastAsia" w:ascii="宋体" w:hAnsi="宋体" w:cs="宋体"/>
          <w:color w:val="auto"/>
          <w:kern w:val="0"/>
          <w:sz w:val="24"/>
          <w:highlight w:val="none"/>
          <w:u w:val="single"/>
        </w:rPr>
        <w:fldChar w:fldCharType="separate"/>
      </w:r>
      <w:r>
        <w:rPr>
          <w:rStyle w:val="59"/>
          <w:rFonts w:hint="eastAsia" w:ascii="宋体" w:hAnsi="宋体" w:cs="宋体"/>
          <w:color w:val="auto"/>
          <w:kern w:val="0"/>
          <w:sz w:val="24"/>
          <w:highlight w:val="none"/>
        </w:rPr>
        <w:t>http://ggzy.huzhou.gov.cn</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rPr>
        <w:t>）</w:t>
      </w:r>
    </w:p>
    <w:p>
      <w:pPr>
        <w:widowControl/>
        <w:spacing w:before="60" w:after="60" w:line="420" w:lineRule="exact"/>
        <w:ind w:right="60"/>
        <w:rPr>
          <w:rFonts w:hint="eastAsia" w:ascii="宋体" w:hAnsi="宋体" w:cs="宋体"/>
          <w:color w:val="auto"/>
          <w:kern w:val="0"/>
          <w:sz w:val="24"/>
          <w:highlight w:val="none"/>
        </w:rPr>
      </w:pPr>
      <w:r>
        <w:rPr>
          <w:rFonts w:hint="eastAsia" w:ascii="宋体" w:hAnsi="宋体" w:cs="宋体"/>
          <w:b/>
          <w:color w:val="auto"/>
          <w:kern w:val="0"/>
          <w:sz w:val="24"/>
          <w:highlight w:val="none"/>
        </w:rPr>
        <w:t>十二、业务咨询</w:t>
      </w:r>
      <w:r>
        <w:rPr>
          <w:rFonts w:hint="eastAsia" w:ascii="宋体" w:hAnsi="宋体" w:cs="宋体"/>
          <w:color w:val="auto"/>
          <w:kern w:val="0"/>
          <w:sz w:val="24"/>
          <w:highlight w:val="none"/>
        </w:rPr>
        <w:t>：</w:t>
      </w:r>
    </w:p>
    <w:p>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 xml:space="preserve">浙江省湖州市南浔区南浔镇人民政府 </w:t>
      </w:r>
      <w:r>
        <w:rPr>
          <w:rFonts w:hint="eastAsia" w:ascii="宋体" w:hAnsi="宋体" w:cs="宋体"/>
          <w:color w:val="auto"/>
          <w:sz w:val="24"/>
          <w:highlight w:val="none"/>
        </w:rPr>
        <w:t xml:space="preserve">         联系人：</w:t>
      </w:r>
      <w:r>
        <w:rPr>
          <w:rFonts w:hint="eastAsia" w:ascii="宋体" w:hAnsi="宋体" w:eastAsia="宋体" w:cs="宋体"/>
          <w:color w:val="auto"/>
          <w:sz w:val="24"/>
          <w:highlight w:val="none"/>
          <w:lang w:eastAsia="zh-CN"/>
        </w:rPr>
        <w:t>邢斌斌</w:t>
      </w:r>
      <w:r>
        <w:rPr>
          <w:rFonts w:hint="eastAsia" w:ascii="宋体" w:hAnsi="宋体" w:cs="宋体"/>
          <w:color w:val="auto"/>
          <w:sz w:val="24"/>
          <w:highlight w:val="none"/>
        </w:rPr>
        <w:t xml:space="preserve">                </w:t>
      </w:r>
    </w:p>
    <w:p>
      <w:pPr>
        <w:snapToGrid w:val="0"/>
        <w:spacing w:line="420" w:lineRule="exact"/>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15268256787</w:t>
      </w:r>
    </w:p>
    <w:p>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浙江建安工程管理有限公司                  联系人：金晓云</w:t>
      </w:r>
    </w:p>
    <w:p>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联系电话：0572-2606711                   </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湖州市南浔区财政局</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电话：0572-3026731</w:t>
      </w:r>
    </w:p>
    <w:p>
      <w:pPr>
        <w:snapToGrid w:val="0"/>
        <w:spacing w:line="440" w:lineRule="exact"/>
        <w:ind w:firstLine="480" w:firstLineChars="200"/>
        <w:rPr>
          <w:rFonts w:hint="eastAsia" w:ascii="宋体" w:hAnsi="宋体" w:cs="宋体"/>
          <w:color w:val="auto"/>
          <w:sz w:val="24"/>
          <w:highlight w:val="none"/>
        </w:rPr>
      </w:pPr>
    </w:p>
    <w:p>
      <w:pPr>
        <w:widowControl/>
        <w:spacing w:before="60" w:after="60" w:line="480" w:lineRule="exact"/>
        <w:ind w:right="60"/>
        <w:rPr>
          <w:rFonts w:hint="eastAsia" w:ascii="宋体" w:hAnsi="宋体" w:cs="宋体"/>
          <w:color w:val="auto"/>
          <w:kern w:val="0"/>
          <w:sz w:val="22"/>
          <w:szCs w:val="22"/>
          <w:highlight w:val="none"/>
        </w:rPr>
        <w:sectPr>
          <w:footerReference r:id="rId9" w:type="first"/>
          <w:headerReference r:id="rId7" w:type="default"/>
          <w:footerReference r:id="rId8" w:type="default"/>
          <w:pgSz w:w="11906" w:h="16838"/>
          <w:pgMar w:top="1440" w:right="1274" w:bottom="1440" w:left="1287" w:header="851" w:footer="992" w:gutter="0"/>
          <w:pgNumType w:start="1"/>
          <w:cols w:space="720" w:num="1"/>
          <w:titlePg/>
          <w:docGrid w:linePitch="312" w:charSpace="0"/>
        </w:sectPr>
      </w:pPr>
    </w:p>
    <w:p>
      <w:pPr>
        <w:numPr>
          <w:ilvl w:val="0"/>
          <w:numId w:val="4"/>
        </w:numPr>
        <w:spacing w:line="360" w:lineRule="auto"/>
        <w:jc w:val="center"/>
        <w:outlineLvl w:val="0"/>
        <w:rPr>
          <w:rFonts w:hint="eastAsia" w:ascii="宋体" w:hAnsi="宋体" w:cs="宋体"/>
          <w:b/>
          <w:color w:val="auto"/>
          <w:sz w:val="32"/>
          <w:szCs w:val="32"/>
          <w:highlight w:val="none"/>
        </w:rPr>
      </w:pPr>
      <w:bookmarkStart w:id="1" w:name="_Toc508900987"/>
      <w:r>
        <w:rPr>
          <w:rFonts w:hint="eastAsia" w:ascii="宋体" w:hAnsi="宋体" w:cs="宋体"/>
          <w:b/>
          <w:color w:val="auto"/>
          <w:sz w:val="32"/>
          <w:szCs w:val="32"/>
          <w:highlight w:val="none"/>
        </w:rPr>
        <w:t>招标需求</w:t>
      </w:r>
      <w:bookmarkEnd w:id="1"/>
    </w:p>
    <w:p>
      <w:pPr>
        <w:pStyle w:val="26"/>
        <w:snapToGrid w:val="0"/>
        <w:spacing w:before="120" w:after="120"/>
        <w:ind w:firstLine="361" w:firstLineChars="150"/>
        <w:outlineLvl w:val="0"/>
        <w:rPr>
          <w:rFonts w:hint="eastAsia" w:ascii="宋体" w:hAnsi="宋体" w:eastAsia="宋体" w:cs="宋体"/>
          <w:b/>
          <w:bCs/>
          <w:color w:val="auto"/>
          <w:sz w:val="24"/>
          <w:szCs w:val="24"/>
          <w:highlight w:val="none"/>
        </w:rPr>
      </w:pPr>
      <w:bookmarkStart w:id="2" w:name="_Toc508900988"/>
      <w:r>
        <w:rPr>
          <w:rFonts w:hint="eastAsia" w:ascii="宋体" w:hAnsi="宋体" w:eastAsia="宋体" w:cs="宋体"/>
          <w:b/>
          <w:bCs/>
          <w:color w:val="auto"/>
          <w:sz w:val="24"/>
          <w:szCs w:val="24"/>
          <w:highlight w:val="none"/>
        </w:rPr>
        <w:t>一、项目要求</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3"/>
        <w:gridCol w:w="8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156"/>
              <w:outlineLvl w:val="0"/>
              <w:rPr>
                <w:rFonts w:hint="eastAsia" w:ascii="宋体" w:hAnsi="宋体" w:eastAsia="宋体" w:cs="宋体"/>
                <w:color w:val="auto"/>
                <w:sz w:val="24"/>
                <w:szCs w:val="24"/>
                <w:highlight w:val="none"/>
              </w:rPr>
            </w:pPr>
            <w:bookmarkStart w:id="3" w:name="_Toc492307559"/>
            <w:r>
              <w:rPr>
                <w:rFonts w:hint="eastAsia" w:ascii="宋体" w:hAnsi="宋体" w:eastAsia="宋体" w:cs="宋体"/>
                <w:color w:val="auto"/>
                <w:sz w:val="24"/>
                <w:szCs w:val="24"/>
                <w:highlight w:val="none"/>
              </w:rPr>
              <w:t>采购内容</w:t>
            </w:r>
            <w:bookmarkEnd w:id="3"/>
          </w:p>
        </w:tc>
        <w:tc>
          <w:tcPr>
            <w:tcW w:w="802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15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南浔镇雪亮工程视频监控服务项目二期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7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156"/>
              <w:outlineLvl w:val="0"/>
              <w:rPr>
                <w:rFonts w:hint="eastAsia" w:ascii="宋体" w:hAnsi="宋体" w:eastAsia="宋体" w:cs="宋体"/>
                <w:color w:val="auto"/>
                <w:sz w:val="24"/>
                <w:szCs w:val="24"/>
                <w:highlight w:val="none"/>
              </w:rPr>
            </w:pPr>
            <w:bookmarkStart w:id="4" w:name="_Toc492307562"/>
            <w:r>
              <w:rPr>
                <w:rFonts w:hint="eastAsia" w:ascii="宋体" w:hAnsi="宋体" w:eastAsia="宋体" w:cs="宋体"/>
                <w:color w:val="auto"/>
                <w:sz w:val="24"/>
                <w:szCs w:val="24"/>
                <w:highlight w:val="none"/>
              </w:rPr>
              <w:t>单位及数量</w:t>
            </w:r>
            <w:bookmarkEnd w:id="4"/>
          </w:p>
        </w:tc>
        <w:tc>
          <w:tcPr>
            <w:tcW w:w="802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1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监控633个， MAC采集11个</w:t>
            </w:r>
          </w:p>
        </w:tc>
      </w:tr>
    </w:tbl>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系统总体架构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本项目高清治安视频监控系统采取纯数字方式组建，以达到或实现：①系统具备现场监视和图像调度功能；②系统利用先进的光传输技术，采取纯数字方式组建；③前端数字图像接入主控中心并接入监控视频专网</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1、前端采集：前端采用400万像素以上的高清数字摄像机采集视频图像，前端摄像机采集的高清监控视频经专用光传输网在供应商提供的存储系统中存放；</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2、网络平台：将接收到的监控数字视频信号接入管理平台统一管理存储，并实现对接市公安海康监控平台；</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3、录像存储：所有前端图像均存储到主控中心磁盘阵列，存储时间不少于30天；</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4、图像调用：视频监控专网内的所有授权电脑均可实时浏览前端图像及调用磁盘阵列中的录像。公安各级指挥中心均可以通过网络实时查看各个监控点、调阅历史资料、指挥突发事件。</w:t>
      </w:r>
    </w:p>
    <w:p>
      <w:pPr>
        <w:spacing w:line="440" w:lineRule="exact"/>
        <w:ind w:firstLine="482" w:firstLineChars="200"/>
        <w:rPr>
          <w:rFonts w:hint="eastAsia" w:ascii="宋体" w:hAnsi="宋体" w:eastAsia="宋体" w:cs="宋体"/>
          <w:b/>
          <w:color w:val="auto"/>
          <w:sz w:val="24"/>
          <w:szCs w:val="24"/>
          <w:highlight w:val="none"/>
        </w:rPr>
      </w:pPr>
      <w:bookmarkStart w:id="5" w:name="_Toc304221515"/>
      <w:r>
        <w:rPr>
          <w:rFonts w:hint="eastAsia" w:ascii="宋体" w:hAnsi="宋体" w:eastAsia="宋体" w:cs="宋体"/>
          <w:b/>
          <w:color w:val="auto"/>
          <w:sz w:val="24"/>
          <w:szCs w:val="24"/>
          <w:highlight w:val="none"/>
        </w:rPr>
        <w:t>系统功能</w:t>
      </w:r>
      <w:bookmarkEnd w:id="5"/>
    </w:p>
    <w:p>
      <w:pPr>
        <w:spacing w:line="440" w:lineRule="exact"/>
        <w:ind w:firstLine="480" w:firstLineChars="200"/>
        <w:rPr>
          <w:rFonts w:hint="eastAsia" w:ascii="宋体" w:hAnsi="宋体" w:eastAsia="宋体" w:cs="宋体"/>
          <w:color w:val="auto"/>
          <w:sz w:val="24"/>
          <w:szCs w:val="24"/>
          <w:highlight w:val="none"/>
        </w:rPr>
      </w:pPr>
      <w:bookmarkStart w:id="6" w:name="_Toc304221516"/>
      <w:r>
        <w:rPr>
          <w:rFonts w:hint="eastAsia" w:ascii="宋体" w:hAnsi="宋体" w:eastAsia="宋体" w:cs="宋体"/>
          <w:color w:val="auto"/>
          <w:sz w:val="24"/>
          <w:szCs w:val="24"/>
          <w:highlight w:val="none"/>
        </w:rPr>
        <w:t>1、监视功能</w:t>
      </w:r>
      <w:bookmarkEnd w:id="6"/>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能清晰监视各点图像，无论晴天雨天，都能清晰监视目标场所。为起到全面治安监控和治安防范等作用，本次工程将合理选择摄像机的布点位置和安装方式，既能保证重点目标的清晰度，又能兼顾周围区域。</w:t>
      </w:r>
    </w:p>
    <w:p>
      <w:pPr>
        <w:spacing w:line="440" w:lineRule="exact"/>
        <w:ind w:firstLine="480" w:firstLineChars="200"/>
        <w:rPr>
          <w:rFonts w:hint="eastAsia" w:ascii="宋体" w:hAnsi="宋体" w:eastAsia="宋体" w:cs="宋体"/>
          <w:color w:val="auto"/>
          <w:sz w:val="24"/>
          <w:szCs w:val="24"/>
          <w:highlight w:val="none"/>
        </w:rPr>
      </w:pPr>
      <w:bookmarkStart w:id="7" w:name="_Toc304221517"/>
      <w:r>
        <w:rPr>
          <w:rFonts w:hint="eastAsia" w:ascii="宋体" w:hAnsi="宋体" w:eastAsia="宋体" w:cs="宋体"/>
          <w:color w:val="auto"/>
          <w:sz w:val="24"/>
          <w:szCs w:val="24"/>
          <w:highlight w:val="none"/>
        </w:rPr>
        <w:t>2、图像调度控制功能</w:t>
      </w:r>
      <w:bookmarkEnd w:id="7"/>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只要经过授权，任一公安监控专网计算机都能显示任一监控点的图像。并且通过软件或硬件能与其它监控系统联网，并调度其图像。</w:t>
      </w:r>
    </w:p>
    <w:p>
      <w:pPr>
        <w:spacing w:line="440" w:lineRule="exact"/>
        <w:ind w:firstLine="480" w:firstLineChars="200"/>
        <w:rPr>
          <w:rFonts w:hint="eastAsia" w:ascii="宋体" w:hAnsi="宋体" w:eastAsia="宋体" w:cs="宋体"/>
          <w:color w:val="auto"/>
          <w:sz w:val="24"/>
          <w:szCs w:val="24"/>
          <w:highlight w:val="none"/>
        </w:rPr>
      </w:pPr>
      <w:bookmarkStart w:id="8" w:name="_Toc304221518"/>
      <w:r>
        <w:rPr>
          <w:rFonts w:hint="eastAsia" w:ascii="宋体" w:hAnsi="宋体" w:eastAsia="宋体" w:cs="宋体"/>
          <w:color w:val="auto"/>
          <w:sz w:val="24"/>
          <w:szCs w:val="24"/>
          <w:highlight w:val="none"/>
        </w:rPr>
        <w:t>3、图像的记录和备份功能</w:t>
      </w:r>
      <w:bookmarkEnd w:id="8"/>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所有前端监控点图像上传至主控中心进行录像记录，存储设备采用磁盘阵列。</w:t>
      </w:r>
    </w:p>
    <w:p>
      <w:pPr>
        <w:spacing w:line="440" w:lineRule="exact"/>
        <w:ind w:firstLine="480" w:firstLineChars="200"/>
        <w:rPr>
          <w:rFonts w:hint="eastAsia" w:ascii="宋体" w:hAnsi="宋体" w:eastAsia="宋体" w:cs="宋体"/>
          <w:color w:val="auto"/>
          <w:sz w:val="24"/>
          <w:szCs w:val="24"/>
          <w:highlight w:val="none"/>
        </w:rPr>
      </w:pPr>
      <w:bookmarkStart w:id="9" w:name="_Toc304221519"/>
      <w:r>
        <w:rPr>
          <w:rFonts w:hint="eastAsia" w:ascii="宋体" w:hAnsi="宋体" w:eastAsia="宋体" w:cs="宋体"/>
          <w:color w:val="auto"/>
          <w:sz w:val="24"/>
          <w:szCs w:val="24"/>
          <w:highlight w:val="none"/>
        </w:rPr>
        <w:t>4、系统应能方便地扩容</w:t>
      </w:r>
      <w:bookmarkEnd w:id="9"/>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为各系统是分步实施的，各系统硬件设备如：编码器数量、磁盘阵列的存储容量、机架（配线架）的容量等主要设备在系统扩容时可以方便地通扩展，充分保护前期投资。系统的软件能方便低成本升级，以满足网络技术和数字监控系统发展的需求。</w:t>
      </w:r>
    </w:p>
    <w:p>
      <w:pPr>
        <w:spacing w:line="440" w:lineRule="exact"/>
        <w:ind w:firstLine="480" w:firstLineChars="200"/>
        <w:rPr>
          <w:rFonts w:hint="eastAsia" w:ascii="宋体" w:hAnsi="宋体" w:eastAsia="宋体" w:cs="宋体"/>
          <w:color w:val="auto"/>
          <w:sz w:val="24"/>
          <w:szCs w:val="24"/>
          <w:highlight w:val="none"/>
        </w:rPr>
      </w:pPr>
      <w:bookmarkStart w:id="10" w:name="_Toc304221520"/>
      <w:r>
        <w:rPr>
          <w:rFonts w:hint="eastAsia" w:ascii="宋体" w:hAnsi="宋体" w:eastAsia="宋体" w:cs="宋体"/>
          <w:color w:val="auto"/>
          <w:sz w:val="24"/>
          <w:szCs w:val="24"/>
          <w:highlight w:val="none"/>
        </w:rPr>
        <w:t>5、系统应能实现分级控制</w:t>
      </w:r>
      <w:bookmarkEnd w:id="10"/>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按照指挥控制中心的级别，对同一监控点或同组监控点实现分级控制。</w:t>
      </w:r>
    </w:p>
    <w:p>
      <w:pPr>
        <w:spacing w:line="440" w:lineRule="exact"/>
        <w:ind w:firstLine="480" w:firstLineChars="200"/>
        <w:rPr>
          <w:rFonts w:hint="eastAsia" w:ascii="宋体" w:hAnsi="宋体" w:eastAsia="宋体" w:cs="宋体"/>
          <w:color w:val="auto"/>
          <w:sz w:val="24"/>
          <w:szCs w:val="24"/>
          <w:highlight w:val="none"/>
        </w:rPr>
      </w:pPr>
      <w:bookmarkStart w:id="11" w:name="_Toc304221521"/>
      <w:r>
        <w:rPr>
          <w:rFonts w:hint="eastAsia" w:ascii="宋体" w:hAnsi="宋体" w:eastAsia="宋体" w:cs="宋体"/>
          <w:color w:val="auto"/>
          <w:sz w:val="24"/>
          <w:szCs w:val="24"/>
          <w:highlight w:val="none"/>
        </w:rPr>
        <w:t>6、互联互控功能设计</w:t>
      </w:r>
      <w:bookmarkEnd w:id="11"/>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能与已建成的湖州市治安动态视频监控系统实现互联，信息共享。公安机关能利用本系统进行现场监控和执法，如实时调用或查询相关视频信息、通过系统进行现场指挥等等。</w:t>
      </w:r>
      <w:bookmarkStart w:id="12" w:name="_Toc304221522"/>
      <w:r>
        <w:rPr>
          <w:rFonts w:hint="eastAsia" w:ascii="宋体" w:hAnsi="宋体" w:eastAsia="宋体" w:cs="宋体"/>
          <w:color w:val="auto"/>
          <w:sz w:val="24"/>
          <w:szCs w:val="24"/>
          <w:highlight w:val="none"/>
        </w:rPr>
        <w:t>系统与市局联网功能设计</w:t>
      </w:r>
      <w:bookmarkEnd w:id="12"/>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系统应为市局图像统一联网提供接口（为市局提供可控制图像），数字网络传输方面能满足市局数字图像监控共享平台建设规范要求。</w:t>
      </w:r>
    </w:p>
    <w:tbl>
      <w:tblPr>
        <w:tblStyle w:val="48"/>
        <w:tblW w:w="0" w:type="auto"/>
        <w:tblInd w:w="0" w:type="dxa"/>
        <w:tblLayout w:type="fixed"/>
        <w:tblCellMar>
          <w:top w:w="0" w:type="dxa"/>
          <w:left w:w="108" w:type="dxa"/>
          <w:bottom w:w="0" w:type="dxa"/>
          <w:right w:w="108" w:type="dxa"/>
        </w:tblCellMar>
      </w:tblPr>
      <w:tblGrid>
        <w:gridCol w:w="508"/>
        <w:gridCol w:w="893"/>
        <w:gridCol w:w="8475"/>
      </w:tblGrid>
      <w:tr>
        <w:tblPrEx>
          <w:tblCellMar>
            <w:top w:w="0" w:type="dxa"/>
            <w:left w:w="108" w:type="dxa"/>
            <w:bottom w:w="0" w:type="dxa"/>
            <w:right w:w="108" w:type="dxa"/>
          </w:tblCellMar>
        </w:tblPrEx>
        <w:trPr>
          <w:wBefore w:w="0" w:type="dxa"/>
          <w:wAfter w:w="0" w:type="dxa"/>
          <w:trHeight w:val="315" w:hRule="atLeast"/>
        </w:trPr>
        <w:tc>
          <w:tcPr>
            <w:tcW w:w="508"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893" w:type="dxa"/>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产品类别</w:t>
            </w:r>
          </w:p>
        </w:tc>
        <w:tc>
          <w:tcPr>
            <w:tcW w:w="8475" w:type="dxa"/>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技术规格</w:t>
            </w:r>
          </w:p>
        </w:tc>
      </w:tr>
      <w:tr>
        <w:tblPrEx>
          <w:tblCellMar>
            <w:top w:w="0" w:type="dxa"/>
            <w:left w:w="108" w:type="dxa"/>
            <w:bottom w:w="0" w:type="dxa"/>
            <w:right w:w="108" w:type="dxa"/>
          </w:tblCellMar>
        </w:tblPrEx>
        <w:trPr>
          <w:wBefore w:w="0" w:type="dxa"/>
          <w:wAfter w:w="0" w:type="dxa"/>
          <w:trHeight w:val="315"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400万全彩摄像机</w:t>
            </w:r>
          </w:p>
        </w:tc>
        <w:tc>
          <w:tcPr>
            <w:tcW w:w="8475"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具有400万像素 CMOS传感器。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★内置2颗白光补光灯。（公安部检验报告证明）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★最低照度彩色：0.0004 lx。（公安部检验报告证明）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★白天或夜晚均可输出彩色视频图像。（公安部检验报告证明）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最大分辨率2560x1440。（公安部检验报告证明）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需具有19路取流路数能力，以满足更多用户同时在线访问摄像机视频。（公安部检验报告证明）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需支持三码流技术，可同时输出三路码流，主码流最高2560x1440@30fps，第三码流最大2560x1440 @ 30fps，子码流704x576@30fps。（公安部检验报告证明）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在2560x1440 @ 25fps下，清晰度不小于1350TVL。（公安部检验报告证明）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支持H.264、H.265、MJPEG视频编码格式，且具有High Profile编码能力。（公安部检验报告证明）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信噪比不小于54dB。（公安部检验报告证明）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需支持7行字符显示，字体颜色可设置，需具有图片叠加到视频画面功能。（公安部检验报告证明）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需具有黑白名单功能，其中白名单可添加不小于10个IP地址。（公安部检验报告证明）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需具备人脸检测、区域入侵检测、越界检测、虚焦检测、进入区域、离开区域、徘徊、人员聚集、逆行、场景变更等功能。（公安部检验报告证明）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★可开启或关闭智能后检索功能。（公安部检验报告证明）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需具有电子防抖、ROI感兴趣区域、SVC可伸缩编码、自动增益、背光补偿、数字降噪、强光抑制、走廊模式、视频水印等功能。（公安部检验报告证明）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摄像机能够在-30~55摄氏度，湿度小于93%环境下稳定工作。（公安部检验报告证明）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设备与客户端之间用100米网线进行传输，数据包丢包率小于0.1%。（公安部检验报告证明）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不低于IP67防尘防水等级。（公安部检验报告证明）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需支持DC12V供电，且在不小于DC12V±25%范围内变化时可以正常工作。（公安部检验报告证明）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设备工作状态时，支持空气放电8kV，接触放电6kV，通讯端口支持6kV峰值电压。（公安部检验报告证明）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★同一静止场景相同图像质量下，设备在H.265编码方式时，开启智能编码功能和不开启智能编码相比，码率节约1/2。（公安部检验报告证明）</w:t>
            </w:r>
          </w:p>
        </w:tc>
      </w:tr>
      <w:tr>
        <w:tblPrEx>
          <w:tblCellMar>
            <w:top w:w="0" w:type="dxa"/>
            <w:left w:w="108" w:type="dxa"/>
            <w:bottom w:w="0" w:type="dxa"/>
            <w:right w:w="108" w:type="dxa"/>
          </w:tblCellMar>
        </w:tblPrEx>
        <w:trPr>
          <w:wBefore w:w="0" w:type="dxa"/>
          <w:wAfter w:w="0" w:type="dxa"/>
          <w:trHeight w:val="315" w:hRule="atLeast"/>
        </w:trPr>
        <w:tc>
          <w:tcPr>
            <w:tcW w:w="5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9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云存储存储主机</w:t>
            </w:r>
          </w:p>
        </w:tc>
        <w:tc>
          <w:tcPr>
            <w:tcW w:w="8475"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单设备应配置≥两颗64位多核处理器，≥8GB内存，内存支持扩展到≥256GB，需配置冗余金牌电源（以公安部检测报告为准，其中电源仅以照片证明即可）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单设备应标配≥4个千兆网口，可增扩≥2个万兆口或≥4个光纤接口，可增扩2个SSD固态硬盘；（以公安部检测报告为准）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应支持FCSAN、IPSAN、NAS存储功能（以公安部检测报告为准）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可接入硬盘≥36块SATA/SAS硬盘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支持分布式对称架构与非对称架构自由切换，即支持对称架构可升级为非对称架构。（以公安部检测报告为准）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管理节点支持单机、HA 主备、集群3 种工作模式，管理节点支持2N+1个节点构成的All-Active 集群方式，最大可支持17个节点，管理节点和存储节点都为对等工作模式对外提供服务，元数据副本数最大可达32个副本。（以公安部检测报告为准）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一套云存储系统可对外提供多种类型数据混合存储，同时支持分布式流式存储，分布式对象存储、分布式文件存储、分布式块存储。（以公安部检测报告为准）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★支持前端设备和存储设备之间直接存储，采用块级存储，不生成文件（即不使用文件系统），无碎片。（以公安部检测报告为准）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支持聚合下载，即并发从多台存储节点中下载某一个时间段录像、图片、智能结构化数据、文件（以公安部检测报告为准）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支持多网域地址映射，可从多个网域访问云存储（以公安部检测报告为准）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统一命名空间，将所有物理存储资源虚拟化成统一的存储空间，以唯一业务IP地址对外提供存储服务。（以公安部检测报告为准）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存储空间虚拟化管理。支持多存储设备容量整合，形成录像池；可根据用户业务分配通用、文件、视频、图片等类型存储空间；支持在线弹性伸缩录像池的容量空间，不影响业务继续读写（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数据分散存储到存储节点上，数据呈离散式分布。（以公安部检测报告为准）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支持按照设备可用容量实现负载均衡，各存储节点上存储的数据量在稳定状态下保持均衡，差距小于6%；（以公安部检测报告为准）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★支持按照接入任务数实现自动负载均衡，支持前端设备自动分配到存储节点。各节点间读写任务数差距±1。（以公安部检测报告为准）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支持按毫秒级自定义时间段进行视频精准检索、回放、下载，回放支持豪秒级定位回放、关键帧回放、回放暂停、倍速快放、慢放等。（以公安部检测报告为准）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云存储支持补录（包括历史流计划补录、手动补录、云间历史流回传等）流控，支持针对不同的通道设置不同的流控速度（以公安部检测报告为准）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支持实时录像路数、录像回放路数、录像下载路数统计及展示（以公安部检测报告为准）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支持进行2、4、8、16、32、64倍速全帧快进及倒退；进度条拖动视频画面毫秒级（50ms内）响应，不黑屏；快进及倒退相互切换毫秒级(50ms内)响应，不黑屏（以公安部检测报告为准）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支持为每路视频定期生成一张视频封面，视频封面更新采用循环覆盖的方式，仅保留最近生成的一张封面。（以公安部检测报告为准）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支持录像正放切换为倒放，及倒放切换为正放；支持正放1/16、1/8、1/4、1/2、2、4、16、32、64、128、256倍速切换为倒放的对应倍速（以公安部检测报告为准）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图片下载时支持对图片进行旋转（以公安部检测报告为准）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★由2台管理节点构成的HA（主备模式）集群可在线无缝扩充为3台；并支持3台管理节点集群在线扩充为5 台，系统业务均不受影响。（以公安部检测报告为准）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支持时区设置，支持客户端与云存储设备在不同的时区，录像时间段不受异地时区影响。（以公安部检测报告为准）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一个控制器内支持双系统，当主系统异常时，能从备系统启动；支持控制器热插拔（以公安部检测报告为准）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支持同一个资源池中创建不同的存储级别，可根据业务类别不同分别创建视频池、图片池、通用池、文件池;（以公安部检测报告为准）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★支持图片云间灾备时，可保证图片在主备云中URL一致，实现图片无缝提取（以公安部检测报告为准）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统一运维一键式部署整个云存储系统，一键升级、格式化系统；支持设备自动发现，支持无需登录设备，即可远程配置IP地址；支持单服务、服务集群一键升级，支持升级包的hash签名加密认证。（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支持视频点位监控录像出现异常时及时告警，设备支持以分钟为精度对录像完整性监控，当录像连续丢失5分钟及以上时，自动判定该小时录像为异常。（以公安部检测报告为准）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★支持对频繁上报的同一个告警信息进行分析过滤，经过告警分析规则的过滤后，支持在指定时间后再一次上报到运维平台。（以公安部检测报告为准）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提供提供云存储独立的软件著作权登记证书。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本次招标设备内置36块4TB企业级硬盘；</w:t>
            </w:r>
          </w:p>
        </w:tc>
      </w:tr>
      <w:tr>
        <w:tblPrEx>
          <w:tblCellMar>
            <w:top w:w="0" w:type="dxa"/>
            <w:left w:w="108" w:type="dxa"/>
            <w:bottom w:w="0" w:type="dxa"/>
            <w:right w:w="108" w:type="dxa"/>
          </w:tblCellMar>
        </w:tblPrEx>
        <w:trPr>
          <w:wBefore w:w="0" w:type="dxa"/>
          <w:wAfter w:w="0" w:type="dxa"/>
          <w:trHeight w:val="315" w:hRule="atLeast"/>
        </w:trPr>
        <w:tc>
          <w:tcPr>
            <w:tcW w:w="5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9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采集终端</w:t>
            </w:r>
          </w:p>
        </w:tc>
        <w:tc>
          <w:tcPr>
            <w:tcW w:w="8475"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★产品必须通过公安部第三研究所检测认证，并出示相应的检测报告；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★支持IEEE802.11a/b/g/n无线协议；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★探测范围支持全向、定向模式，探测距离不小于300米；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电磁兼容性方面满足GB9254标准中B类产品及GB/T17626.x相关测试等级要求；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具备软、硬件看门狗功能，确保设备的稳定性；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具备防雷击功能，网络口防雷差模不低于1.5KV，共模不低于6KV；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工作环境温度范围-10℃~70℃、环境湿度小于95%无凝结；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支持交直流、POE等多种供电方式；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支持远程管理监测、维护升级功能；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支持功能扩展，通过外接扩展模块增加功能。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室外防水等级IP67</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★采集到的数据需接入南浔公安局现有的“城市车辆智能防控系统”，需提供“城市车辆智能防控系统平台”原厂测试证明。（原件备查）</w:t>
            </w:r>
          </w:p>
        </w:tc>
      </w:tr>
    </w:tbl>
    <w:p>
      <w:pPr>
        <w:autoSpaceDE w:val="0"/>
        <w:autoSpaceDN w:val="0"/>
        <w:adjustRightInd w:val="0"/>
        <w:ind w:right="280" w:rightChars="100"/>
        <w:rPr>
          <w:rFonts w:hint="eastAsia" w:ascii="宋体" w:hAnsi="宋体" w:eastAsia="宋体" w:cs="宋体"/>
          <w:b/>
          <w:snapToGrid w:val="0"/>
          <w:color w:val="auto"/>
          <w:kern w:val="24"/>
          <w:sz w:val="24"/>
          <w:szCs w:val="24"/>
          <w:highlight w:val="none"/>
        </w:rPr>
      </w:pPr>
      <w:r>
        <w:rPr>
          <w:rFonts w:hint="eastAsia" w:ascii="宋体" w:hAnsi="宋体" w:eastAsia="宋体" w:cs="宋体"/>
          <w:b/>
          <w:snapToGrid w:val="0"/>
          <w:color w:val="auto"/>
          <w:kern w:val="24"/>
          <w:sz w:val="24"/>
          <w:szCs w:val="24"/>
          <w:highlight w:val="none"/>
        </w:rPr>
        <w:t>视频存储服务器自行提供</w:t>
      </w:r>
    </w:p>
    <w:p>
      <w:pPr>
        <w:autoSpaceDE w:val="0"/>
        <w:autoSpaceDN w:val="0"/>
        <w:adjustRightInd w:val="0"/>
        <w:ind w:right="280" w:rightChars="100"/>
        <w:rPr>
          <w:rFonts w:hint="eastAsia" w:ascii="宋体" w:hAnsi="宋体" w:eastAsia="宋体" w:cs="宋体"/>
          <w:b/>
          <w:snapToGrid w:val="0"/>
          <w:color w:val="auto"/>
          <w:kern w:val="24"/>
          <w:sz w:val="24"/>
          <w:szCs w:val="24"/>
          <w:highlight w:val="none"/>
        </w:rPr>
      </w:pPr>
    </w:p>
    <w:p>
      <w:pPr>
        <w:autoSpaceDE w:val="0"/>
        <w:autoSpaceDN w:val="0"/>
        <w:adjustRightInd w:val="0"/>
        <w:ind w:right="280" w:rightChars="100" w:firstLine="718" w:firstLineChars="298"/>
        <w:rPr>
          <w:rFonts w:hint="eastAsia" w:ascii="宋体" w:hAnsi="宋体" w:eastAsia="宋体" w:cs="宋体"/>
          <w:b/>
          <w:snapToGrid w:val="0"/>
          <w:color w:val="auto"/>
          <w:kern w:val="24"/>
          <w:sz w:val="24"/>
          <w:szCs w:val="24"/>
          <w:highlight w:val="none"/>
        </w:rPr>
      </w:pPr>
      <w:r>
        <w:rPr>
          <w:rFonts w:hint="eastAsia" w:ascii="宋体" w:hAnsi="宋体" w:eastAsia="宋体" w:cs="宋体"/>
          <w:b/>
          <w:snapToGrid w:val="0"/>
          <w:color w:val="auto"/>
          <w:kern w:val="24"/>
          <w:sz w:val="24"/>
          <w:szCs w:val="24"/>
          <w:highlight w:val="none"/>
        </w:rPr>
        <w:t>配套设施施工要求</w:t>
      </w:r>
    </w:p>
    <w:tbl>
      <w:tblPr>
        <w:tblStyle w:val="48"/>
        <w:tblW w:w="0" w:type="auto"/>
        <w:tblInd w:w="0" w:type="dxa"/>
        <w:tblLayout w:type="fixed"/>
        <w:tblCellMar>
          <w:top w:w="15" w:type="dxa"/>
          <w:left w:w="15" w:type="dxa"/>
          <w:bottom w:w="15" w:type="dxa"/>
          <w:right w:w="15" w:type="dxa"/>
        </w:tblCellMar>
      </w:tblPr>
      <w:tblGrid>
        <w:gridCol w:w="1368"/>
        <w:gridCol w:w="8412"/>
      </w:tblGrid>
      <w:tr>
        <w:tblPrEx>
          <w:tblCellMar>
            <w:top w:w="15" w:type="dxa"/>
            <w:left w:w="15" w:type="dxa"/>
            <w:bottom w:w="15" w:type="dxa"/>
            <w:right w:w="15" w:type="dxa"/>
          </w:tblCellMar>
        </w:tblPrEx>
        <w:trPr>
          <w:wBefore w:w="0" w:type="dxa"/>
          <w:wAfter w:w="0" w:type="dxa"/>
          <w:trHeight w:val="608" w:hRule="atLeast"/>
        </w:trPr>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项目明细</w:t>
            </w:r>
          </w:p>
        </w:tc>
        <w:tc>
          <w:tcPr>
            <w:tcW w:w="84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技术参数</w:t>
            </w:r>
          </w:p>
        </w:tc>
      </w:tr>
      <w:tr>
        <w:tblPrEx>
          <w:tblCellMar>
            <w:top w:w="15" w:type="dxa"/>
            <w:left w:w="15" w:type="dxa"/>
            <w:bottom w:w="15" w:type="dxa"/>
            <w:right w:w="15" w:type="dxa"/>
          </w:tblCellMar>
        </w:tblPrEx>
        <w:trPr>
          <w:wBefore w:w="0" w:type="dxa"/>
          <w:wAfter w:w="0" w:type="dxa"/>
          <w:trHeight w:val="1621" w:hRule="atLeast"/>
        </w:trPr>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室外弱电箱</w:t>
            </w:r>
          </w:p>
        </w:tc>
        <w:tc>
          <w:tcPr>
            <w:tcW w:w="84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挂杆式（挂墙式）安装室外机箱；机箱钢板厚度≥1.0mm冷轧钢板，外表喷漆防锈处理；外形规格不小于500mm*350mm*200mm（高x宽x厚）；机箱门采用垫圈密封，侧面设计换气百叶窗，配220v滚珠轴承散热排风扇，使机箱应能适应室外高温环境；采用锌合金锁体、钢制钢栓；铰链采用锌合金、钢制链销；机箱内配置漏电保护器和插线板。机箱固定件：机箱固定抱箍、铁板及辅料、立杆开洞；安装位置高出地面220CM以上。</w:t>
            </w:r>
          </w:p>
        </w:tc>
      </w:tr>
      <w:tr>
        <w:tblPrEx>
          <w:tblCellMar>
            <w:top w:w="15" w:type="dxa"/>
            <w:left w:w="15" w:type="dxa"/>
            <w:bottom w:w="15" w:type="dxa"/>
            <w:right w:w="15" w:type="dxa"/>
          </w:tblCellMar>
        </w:tblPrEx>
        <w:trPr>
          <w:wBefore w:w="0" w:type="dxa"/>
          <w:wAfter w:w="0" w:type="dxa"/>
          <w:trHeight w:val="2711" w:hRule="atLeast"/>
        </w:trPr>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监控立杆</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（普通）</w:t>
            </w:r>
          </w:p>
        </w:tc>
        <w:tc>
          <w:tcPr>
            <w:tcW w:w="84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符合现场环境总体美观要求，杆件外观色彩应与现场路灯杆等公共杆件一致。4米立直杆：采用5mm以上有缝钢管，立杆基本形状为圆柱形，立杆管径在150 mm±10 mm,底部法兰300*300*20mm, 采用防锈、镀锌、抛光处理，外表喷塑或喷漆。挑臂采用壁厚5mm以上有缝钢管，挑臂长度2米以下，管径在90 mm±5 mm。6米立直杆：采用壁厚6 mm以上有缝钢管，立杆基本形状为圆柱形，立杆管径在220 mm±10 mm,底部法兰400*400*20mm,采用防锈、镀锌、抛光处理，外表喷塑。挑臂采用壁厚5mm以上有缝钢管，挑臂长度3米以下，管径在90 mm±5 mm。(安装位置在机动车通行道路上方的摄像机，安装高度不低于6米；安装位置不在机动车通行道路上方的，如人行道、广场、商场、集贸市场出入口或道路旁等区域，在保证安全的前提下，安装位置不低于4米。)</w:t>
            </w:r>
          </w:p>
        </w:tc>
      </w:tr>
      <w:tr>
        <w:tblPrEx>
          <w:tblCellMar>
            <w:top w:w="15" w:type="dxa"/>
            <w:left w:w="15" w:type="dxa"/>
            <w:bottom w:w="15" w:type="dxa"/>
            <w:right w:w="15" w:type="dxa"/>
          </w:tblCellMar>
        </w:tblPrEx>
        <w:trPr>
          <w:wBefore w:w="0" w:type="dxa"/>
          <w:wAfter w:w="0" w:type="dxa"/>
          <w:trHeight w:val="682" w:hRule="atLeast"/>
        </w:trPr>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监控挑杆</w:t>
            </w:r>
          </w:p>
        </w:tc>
        <w:tc>
          <w:tcPr>
            <w:tcW w:w="84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挑臂采用壁厚3mm以上有缝钢管</w:t>
            </w:r>
          </w:p>
        </w:tc>
      </w:tr>
    </w:tbl>
    <w:p>
      <w:pPr>
        <w:autoSpaceDE w:val="0"/>
        <w:autoSpaceDN w:val="0"/>
        <w:adjustRightInd w:val="0"/>
        <w:spacing w:line="440" w:lineRule="exact"/>
        <w:ind w:firstLine="480" w:firstLineChars="200"/>
        <w:rPr>
          <w:rFonts w:hint="eastAsia" w:ascii="宋体" w:hAnsi="宋体" w:eastAsia="宋体" w:cs="宋体"/>
          <w:color w:val="auto"/>
          <w:sz w:val="24"/>
          <w:szCs w:val="24"/>
          <w:highlight w:val="none"/>
        </w:rPr>
      </w:pPr>
    </w:p>
    <w:tbl>
      <w:tblPr>
        <w:tblStyle w:val="48"/>
        <w:tblW w:w="0" w:type="auto"/>
        <w:tblInd w:w="1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3"/>
        <w:gridCol w:w="7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37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737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按年支付租费。详见第五章合同条款</w:t>
            </w:r>
          </w:p>
        </w:tc>
      </w:tr>
    </w:tbl>
    <w:p>
      <w:pPr>
        <w:pStyle w:val="2"/>
        <w:rPr>
          <w:rFonts w:hint="eastAsia"/>
          <w:color w:val="auto"/>
          <w:highlight w:val="none"/>
        </w:rPr>
      </w:pPr>
    </w:p>
    <w:p>
      <w:pPr>
        <w:autoSpaceDE w:val="0"/>
        <w:autoSpaceDN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成后进行初验，初验合格后次月计算并按年支付租费，计费周期为自然月。计费方法：1、高清视频监控以前端监控摄像机数量，结合完好率（正常使用的监控点数与总监控点数百分比）计算租费，标准如下：</w:t>
      </w:r>
    </w:p>
    <w:tbl>
      <w:tblPr>
        <w:tblStyle w:val="48"/>
        <w:tblW w:w="0" w:type="auto"/>
        <w:tblInd w:w="-5" w:type="dxa"/>
        <w:tblLayout w:type="fixed"/>
        <w:tblCellMar>
          <w:top w:w="0" w:type="dxa"/>
          <w:left w:w="108" w:type="dxa"/>
          <w:bottom w:w="0" w:type="dxa"/>
          <w:right w:w="108" w:type="dxa"/>
        </w:tblCellMar>
      </w:tblPr>
      <w:tblGrid>
        <w:gridCol w:w="1293"/>
        <w:gridCol w:w="2983"/>
        <w:gridCol w:w="5304"/>
      </w:tblGrid>
      <w:tr>
        <w:tblPrEx>
          <w:tblCellMar>
            <w:top w:w="0" w:type="dxa"/>
            <w:left w:w="108" w:type="dxa"/>
            <w:bottom w:w="0" w:type="dxa"/>
            <w:right w:w="108" w:type="dxa"/>
          </w:tblCellMar>
        </w:tblPrEx>
        <w:trPr>
          <w:trHeight w:val="270" w:hRule="atLeast"/>
        </w:trPr>
        <w:tc>
          <w:tcPr>
            <w:tcW w:w="1293" w:type="dxa"/>
            <w:tcBorders>
              <w:top w:val="single" w:color="auto" w:sz="4" w:space="0"/>
              <w:left w:val="single" w:color="auto" w:sz="4" w:space="0"/>
              <w:bottom w:val="single" w:color="auto" w:sz="4" w:space="0"/>
              <w:right w:val="single" w:color="auto" w:sz="4" w:space="0"/>
            </w:tcBorders>
            <w:noWrap w:val="0"/>
            <w:vAlign w:val="bottom"/>
          </w:tcPr>
          <w:p>
            <w:pPr>
              <w:pStyle w:val="26"/>
              <w:snapToGrid w:val="0"/>
              <w:spacing w:before="120" w:after="120"/>
              <w:ind w:firstLine="480" w:firstLineChars="200"/>
              <w:jc w:val="lef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w:t>
            </w:r>
          </w:p>
        </w:tc>
        <w:tc>
          <w:tcPr>
            <w:tcW w:w="2983" w:type="dxa"/>
            <w:tcBorders>
              <w:top w:val="single" w:color="auto" w:sz="4" w:space="0"/>
              <w:left w:val="nil"/>
              <w:bottom w:val="single" w:color="auto" w:sz="4" w:space="0"/>
              <w:right w:val="single" w:color="auto" w:sz="4" w:space="0"/>
            </w:tcBorders>
            <w:noWrap w:val="0"/>
            <w:vAlign w:val="bottom"/>
          </w:tcPr>
          <w:p>
            <w:pPr>
              <w:pStyle w:val="26"/>
              <w:snapToGrid w:val="0"/>
              <w:spacing w:before="120" w:after="120"/>
              <w:ind w:firstLine="480" w:firstLineChars="200"/>
              <w:jc w:val="lef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完好率≥98%</w:t>
            </w:r>
          </w:p>
        </w:tc>
        <w:tc>
          <w:tcPr>
            <w:tcW w:w="5304" w:type="dxa"/>
            <w:tcBorders>
              <w:top w:val="single" w:color="auto" w:sz="4" w:space="0"/>
              <w:left w:val="nil"/>
              <w:bottom w:val="single" w:color="auto" w:sz="4" w:space="0"/>
              <w:right w:val="single" w:color="auto" w:sz="4" w:space="0"/>
            </w:tcBorders>
            <w:noWrap w:val="0"/>
            <w:vAlign w:val="bottom"/>
          </w:tcPr>
          <w:p>
            <w:pPr>
              <w:pStyle w:val="26"/>
              <w:snapToGrid w:val="0"/>
              <w:spacing w:before="120" w:after="120"/>
              <w:ind w:firstLine="480" w:firstLineChars="200"/>
              <w:jc w:val="lef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按所有监控点位数的100%支付</w:t>
            </w:r>
          </w:p>
        </w:tc>
      </w:tr>
      <w:tr>
        <w:tblPrEx>
          <w:tblCellMar>
            <w:top w:w="0" w:type="dxa"/>
            <w:left w:w="108" w:type="dxa"/>
            <w:bottom w:w="0" w:type="dxa"/>
            <w:right w:w="108" w:type="dxa"/>
          </w:tblCellMar>
        </w:tblPrEx>
        <w:trPr>
          <w:trHeight w:val="270" w:hRule="atLeast"/>
        </w:trPr>
        <w:tc>
          <w:tcPr>
            <w:tcW w:w="1293" w:type="dxa"/>
            <w:tcBorders>
              <w:top w:val="nil"/>
              <w:left w:val="single" w:color="auto" w:sz="4" w:space="0"/>
              <w:bottom w:val="single" w:color="auto" w:sz="4" w:space="0"/>
              <w:right w:val="single" w:color="auto" w:sz="4" w:space="0"/>
            </w:tcBorders>
            <w:noWrap w:val="0"/>
            <w:vAlign w:val="bottom"/>
          </w:tcPr>
          <w:p>
            <w:pPr>
              <w:pStyle w:val="26"/>
              <w:snapToGrid w:val="0"/>
              <w:spacing w:before="120" w:after="120"/>
              <w:ind w:firstLine="420" w:firstLineChars="200"/>
              <w:jc w:val="left"/>
              <w:rPr>
                <w:rFonts w:hint="eastAsia" w:hAnsi="宋体" w:cs="宋体"/>
                <w:color w:val="auto"/>
                <w:kern w:val="1"/>
                <w:sz w:val="21"/>
                <w:szCs w:val="21"/>
                <w:highlight w:val="none"/>
              </w:rPr>
            </w:pPr>
            <w:r>
              <w:rPr>
                <w:rFonts w:hint="eastAsia" w:hAnsi="宋体" w:cs="宋体"/>
                <w:color w:val="auto"/>
                <w:kern w:val="1"/>
                <w:sz w:val="21"/>
                <w:szCs w:val="21"/>
                <w:highlight w:val="none"/>
              </w:rPr>
              <w:t>2</w:t>
            </w:r>
          </w:p>
        </w:tc>
        <w:tc>
          <w:tcPr>
            <w:tcW w:w="2983" w:type="dxa"/>
            <w:tcBorders>
              <w:top w:val="nil"/>
              <w:left w:val="nil"/>
              <w:bottom w:val="single" w:color="auto" w:sz="4" w:space="0"/>
              <w:right w:val="single" w:color="auto" w:sz="4" w:space="0"/>
            </w:tcBorders>
            <w:noWrap w:val="0"/>
            <w:vAlign w:val="bottom"/>
          </w:tcPr>
          <w:p>
            <w:pPr>
              <w:pStyle w:val="26"/>
              <w:snapToGrid w:val="0"/>
              <w:spacing w:before="120" w:after="120"/>
              <w:ind w:firstLine="420" w:firstLineChars="200"/>
              <w:jc w:val="left"/>
              <w:rPr>
                <w:rFonts w:hint="eastAsia" w:hAnsi="宋体" w:cs="宋体"/>
                <w:color w:val="auto"/>
                <w:kern w:val="1"/>
                <w:sz w:val="21"/>
                <w:szCs w:val="21"/>
                <w:highlight w:val="none"/>
              </w:rPr>
            </w:pPr>
            <w:r>
              <w:rPr>
                <w:rFonts w:hint="eastAsia" w:hAnsi="宋体" w:cs="宋体"/>
                <w:color w:val="auto"/>
                <w:kern w:val="1"/>
                <w:sz w:val="21"/>
                <w:szCs w:val="21"/>
                <w:highlight w:val="none"/>
              </w:rPr>
              <w:t>98%&gt;完好率≥95%</w:t>
            </w:r>
          </w:p>
        </w:tc>
        <w:tc>
          <w:tcPr>
            <w:tcW w:w="5304" w:type="dxa"/>
            <w:tcBorders>
              <w:top w:val="nil"/>
              <w:left w:val="nil"/>
              <w:bottom w:val="single" w:color="auto" w:sz="4" w:space="0"/>
              <w:right w:val="single" w:color="auto" w:sz="4" w:space="0"/>
            </w:tcBorders>
            <w:noWrap w:val="0"/>
            <w:vAlign w:val="bottom"/>
          </w:tcPr>
          <w:p>
            <w:pPr>
              <w:pStyle w:val="26"/>
              <w:snapToGrid w:val="0"/>
              <w:spacing w:before="120" w:after="120"/>
              <w:ind w:firstLine="420" w:firstLineChars="200"/>
              <w:jc w:val="left"/>
              <w:rPr>
                <w:rFonts w:hint="eastAsia" w:hAnsi="宋体" w:cs="宋体"/>
                <w:color w:val="auto"/>
                <w:kern w:val="1"/>
                <w:sz w:val="21"/>
                <w:szCs w:val="21"/>
                <w:highlight w:val="none"/>
              </w:rPr>
            </w:pPr>
            <w:r>
              <w:rPr>
                <w:rFonts w:hint="eastAsia" w:hAnsi="宋体" w:cs="宋体"/>
                <w:color w:val="auto"/>
                <w:kern w:val="1"/>
                <w:sz w:val="21"/>
                <w:szCs w:val="21"/>
                <w:highlight w:val="none"/>
              </w:rPr>
              <w:t>按所有监控点位数的95%支付</w:t>
            </w:r>
          </w:p>
        </w:tc>
      </w:tr>
      <w:tr>
        <w:tblPrEx>
          <w:tblCellMar>
            <w:top w:w="0" w:type="dxa"/>
            <w:left w:w="108" w:type="dxa"/>
            <w:bottom w:w="0" w:type="dxa"/>
            <w:right w:w="108" w:type="dxa"/>
          </w:tblCellMar>
        </w:tblPrEx>
        <w:trPr>
          <w:trHeight w:val="270" w:hRule="atLeast"/>
        </w:trPr>
        <w:tc>
          <w:tcPr>
            <w:tcW w:w="1293" w:type="dxa"/>
            <w:tcBorders>
              <w:top w:val="nil"/>
              <w:left w:val="single" w:color="auto" w:sz="4" w:space="0"/>
              <w:bottom w:val="single" w:color="auto" w:sz="4" w:space="0"/>
              <w:right w:val="single" w:color="auto" w:sz="4" w:space="0"/>
            </w:tcBorders>
            <w:noWrap w:val="0"/>
            <w:vAlign w:val="bottom"/>
          </w:tcPr>
          <w:p>
            <w:pPr>
              <w:pStyle w:val="26"/>
              <w:snapToGrid w:val="0"/>
              <w:spacing w:before="120" w:after="120"/>
              <w:ind w:firstLine="420" w:firstLineChars="200"/>
              <w:jc w:val="left"/>
              <w:rPr>
                <w:rFonts w:hint="eastAsia" w:hAnsi="宋体" w:cs="宋体"/>
                <w:color w:val="auto"/>
                <w:kern w:val="1"/>
                <w:sz w:val="21"/>
                <w:szCs w:val="21"/>
                <w:highlight w:val="none"/>
              </w:rPr>
            </w:pPr>
            <w:r>
              <w:rPr>
                <w:rFonts w:hint="eastAsia" w:hAnsi="宋体" w:cs="宋体"/>
                <w:color w:val="auto"/>
                <w:kern w:val="1"/>
                <w:sz w:val="21"/>
                <w:szCs w:val="21"/>
                <w:highlight w:val="none"/>
              </w:rPr>
              <w:t>3</w:t>
            </w:r>
          </w:p>
        </w:tc>
        <w:tc>
          <w:tcPr>
            <w:tcW w:w="2983" w:type="dxa"/>
            <w:tcBorders>
              <w:top w:val="nil"/>
              <w:left w:val="nil"/>
              <w:bottom w:val="single" w:color="auto" w:sz="4" w:space="0"/>
              <w:right w:val="single" w:color="auto" w:sz="4" w:space="0"/>
            </w:tcBorders>
            <w:noWrap w:val="0"/>
            <w:vAlign w:val="bottom"/>
          </w:tcPr>
          <w:p>
            <w:pPr>
              <w:pStyle w:val="26"/>
              <w:snapToGrid w:val="0"/>
              <w:spacing w:before="120" w:after="120"/>
              <w:ind w:firstLine="420" w:firstLineChars="200"/>
              <w:jc w:val="left"/>
              <w:rPr>
                <w:rFonts w:hint="eastAsia" w:hAnsi="宋体" w:cs="宋体"/>
                <w:color w:val="auto"/>
                <w:kern w:val="1"/>
                <w:sz w:val="21"/>
                <w:szCs w:val="21"/>
                <w:highlight w:val="none"/>
              </w:rPr>
            </w:pPr>
            <w:r>
              <w:rPr>
                <w:rFonts w:hint="eastAsia" w:hAnsi="宋体" w:cs="宋体"/>
                <w:color w:val="auto"/>
                <w:kern w:val="1"/>
                <w:sz w:val="21"/>
                <w:szCs w:val="21"/>
                <w:highlight w:val="none"/>
              </w:rPr>
              <w:t>95%&gt;完好率</w:t>
            </w:r>
          </w:p>
        </w:tc>
        <w:tc>
          <w:tcPr>
            <w:tcW w:w="5304" w:type="dxa"/>
            <w:tcBorders>
              <w:top w:val="nil"/>
              <w:left w:val="nil"/>
              <w:bottom w:val="single" w:color="auto" w:sz="4" w:space="0"/>
              <w:right w:val="single" w:color="auto" w:sz="4" w:space="0"/>
            </w:tcBorders>
            <w:noWrap w:val="0"/>
            <w:vAlign w:val="bottom"/>
          </w:tcPr>
          <w:p>
            <w:pPr>
              <w:pStyle w:val="26"/>
              <w:snapToGrid w:val="0"/>
              <w:spacing w:before="120" w:after="120"/>
              <w:ind w:firstLine="420" w:firstLineChars="200"/>
              <w:jc w:val="left"/>
              <w:rPr>
                <w:rFonts w:hint="eastAsia" w:hAnsi="宋体" w:cs="宋体"/>
                <w:color w:val="auto"/>
                <w:kern w:val="1"/>
                <w:sz w:val="21"/>
                <w:szCs w:val="21"/>
                <w:highlight w:val="none"/>
              </w:rPr>
            </w:pPr>
            <w:r>
              <w:rPr>
                <w:rFonts w:hint="eastAsia" w:hAnsi="宋体" w:cs="宋体"/>
                <w:color w:val="auto"/>
                <w:kern w:val="1"/>
                <w:sz w:val="21"/>
                <w:szCs w:val="21"/>
                <w:highlight w:val="none"/>
              </w:rPr>
              <w:t>按所有监控点位数的80%支付</w:t>
            </w:r>
          </w:p>
        </w:tc>
      </w:tr>
    </w:tbl>
    <w:p>
      <w:pPr>
        <w:tabs>
          <w:tab w:val="left" w:pos="201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项目验收前，</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按要求制作监控点基本信息资料，应包含点位名称、现场图片、施工线路图等。并按标准配置监控点字幕，完成点位基础地理信息采集输入专门系统，要求信息采集率、准确率达到100%。负责按标准完成项目检测。（如</w:t>
      </w:r>
      <w:r>
        <w:rPr>
          <w:rFonts w:ascii="宋体" w:hAnsi="宋体" w:cs="宋体"/>
          <w:color w:val="auto"/>
          <w:sz w:val="24"/>
          <w:highlight w:val="none"/>
        </w:rPr>
        <w:t>因不可抗力</w:t>
      </w:r>
      <w:r>
        <w:rPr>
          <w:rFonts w:hint="eastAsia" w:ascii="宋体" w:hAnsi="宋体" w:cs="宋体"/>
          <w:color w:val="auto"/>
          <w:sz w:val="24"/>
          <w:highlight w:val="none"/>
        </w:rPr>
        <w:t>因素</w:t>
      </w:r>
      <w:r>
        <w:rPr>
          <w:rFonts w:ascii="宋体" w:hAnsi="宋体" w:cs="宋体"/>
          <w:color w:val="auto"/>
          <w:sz w:val="24"/>
          <w:highlight w:val="none"/>
        </w:rPr>
        <w:t>导致</w:t>
      </w:r>
      <w:r>
        <w:rPr>
          <w:rFonts w:hint="eastAsia" w:ascii="宋体" w:hAnsi="宋体" w:cs="宋体"/>
          <w:color w:val="auto"/>
          <w:sz w:val="24"/>
          <w:highlight w:val="none"/>
        </w:rPr>
        <w:t>监控</w:t>
      </w:r>
      <w:r>
        <w:rPr>
          <w:rFonts w:ascii="宋体" w:hAnsi="宋体" w:cs="宋体"/>
          <w:color w:val="auto"/>
          <w:sz w:val="24"/>
          <w:highlight w:val="none"/>
        </w:rPr>
        <w:t>未在线，该部分监控以完好状态计入完好率。</w:t>
      </w:r>
      <w:r>
        <w:rPr>
          <w:rFonts w:hint="eastAsia" w:ascii="宋体" w:hAnsi="宋体" w:cs="宋体"/>
          <w:color w:val="auto"/>
          <w:sz w:val="24"/>
          <w:highlight w:val="none"/>
        </w:rPr>
        <w:t>）</w:t>
      </w:r>
    </w:p>
    <w:p>
      <w:pPr>
        <w:spacing w:line="460" w:lineRule="atLeast"/>
        <w:rPr>
          <w:rFonts w:hint="eastAsia" w:ascii="宋体" w:hAnsi="宋体" w:cs="宋体"/>
          <w:b/>
          <w:bCs/>
          <w:color w:val="auto"/>
          <w:sz w:val="24"/>
          <w:highlight w:val="none"/>
        </w:rPr>
      </w:pPr>
      <w:r>
        <w:rPr>
          <w:rFonts w:hint="eastAsia" w:ascii="宋体" w:hAnsi="宋体" w:cs="宋体"/>
          <w:b/>
          <w:bCs/>
          <w:color w:val="auto"/>
          <w:sz w:val="24"/>
          <w:highlight w:val="none"/>
        </w:rPr>
        <w:t>二、商务条款</w:t>
      </w:r>
    </w:p>
    <w:p>
      <w:pPr>
        <w:widowControl/>
        <w:autoSpaceDE w:val="0"/>
        <w:autoSpaceDN w:val="0"/>
        <w:adjustRightInd w:val="0"/>
        <w:spacing w:line="460" w:lineRule="atLeast"/>
        <w:ind w:firstLine="482" w:firstLineChars="200"/>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1、质保期</w:t>
      </w:r>
    </w:p>
    <w:p>
      <w:pPr>
        <w:widowControl/>
        <w:autoSpaceDE w:val="0"/>
        <w:autoSpaceDN w:val="0"/>
        <w:adjustRightInd w:val="0"/>
        <w:spacing w:line="460" w:lineRule="atLeast"/>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1.1、本次采购，所有产品质保期三年；质保期内因产品本身缺陷（非人为因素）造成各种故障应由</w:t>
      </w:r>
      <w:r>
        <w:rPr>
          <w:rFonts w:hint="eastAsia" w:ascii="宋体" w:hAnsi="宋体" w:cs="宋体"/>
          <w:bCs/>
          <w:color w:val="auto"/>
          <w:sz w:val="24"/>
          <w:highlight w:val="none"/>
          <w:lang w:eastAsia="zh-CN"/>
        </w:rPr>
        <w:t>中标供应商</w:t>
      </w:r>
      <w:r>
        <w:rPr>
          <w:rFonts w:hint="eastAsia" w:ascii="宋体" w:hAnsi="宋体" w:cs="宋体"/>
          <w:bCs/>
          <w:color w:val="auto"/>
          <w:sz w:val="24"/>
          <w:highlight w:val="none"/>
        </w:rPr>
        <w:t>免费技术服务和维修；质保期以设备通过最终验收之日起计算。</w:t>
      </w:r>
    </w:p>
    <w:p>
      <w:pPr>
        <w:widowControl/>
        <w:autoSpaceDE w:val="0"/>
        <w:autoSpaceDN w:val="0"/>
        <w:adjustRightInd w:val="0"/>
        <w:spacing w:line="460" w:lineRule="atLeast"/>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1.2、在质保期内，</w:t>
      </w:r>
      <w:r>
        <w:rPr>
          <w:rFonts w:hint="eastAsia" w:ascii="宋体" w:hAnsi="宋体" w:cs="宋体"/>
          <w:bCs/>
          <w:color w:val="auto"/>
          <w:sz w:val="24"/>
          <w:highlight w:val="none"/>
          <w:lang w:eastAsia="zh-CN"/>
        </w:rPr>
        <w:t>中标供应商</w:t>
      </w:r>
      <w:r>
        <w:rPr>
          <w:rFonts w:hint="eastAsia" w:ascii="宋体" w:hAnsi="宋体" w:cs="宋体"/>
          <w:bCs/>
          <w:color w:val="auto"/>
          <w:sz w:val="24"/>
          <w:highlight w:val="none"/>
        </w:rPr>
        <w:t>应负责对其提供的设备进行现场维修、损坏件更换，不收取额外费用。</w:t>
      </w:r>
    </w:p>
    <w:p>
      <w:pPr>
        <w:widowControl/>
        <w:autoSpaceDE w:val="0"/>
        <w:autoSpaceDN w:val="0"/>
        <w:adjustRightInd w:val="0"/>
        <w:spacing w:line="460" w:lineRule="atLeast"/>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1.3、质保期内，要求供应商在接到</w:t>
      </w:r>
      <w:r>
        <w:rPr>
          <w:rFonts w:hint="eastAsia" w:ascii="宋体" w:hAnsi="宋体" w:cs="宋体"/>
          <w:bCs/>
          <w:color w:val="auto"/>
          <w:sz w:val="24"/>
          <w:highlight w:val="none"/>
          <w:lang w:eastAsia="zh-CN"/>
        </w:rPr>
        <w:t>招标采购单位</w:t>
      </w:r>
      <w:r>
        <w:rPr>
          <w:rFonts w:hint="eastAsia" w:ascii="宋体" w:hAnsi="宋体" w:cs="宋体"/>
          <w:bCs/>
          <w:color w:val="auto"/>
          <w:sz w:val="24"/>
          <w:highlight w:val="none"/>
        </w:rPr>
        <w:t>维修要求电话后，需在5小时内响应,并在72小时内修复。</w:t>
      </w:r>
    </w:p>
    <w:p>
      <w:pPr>
        <w:widowControl/>
        <w:autoSpaceDE w:val="0"/>
        <w:autoSpaceDN w:val="0"/>
        <w:adjustRightInd w:val="0"/>
        <w:spacing w:line="460" w:lineRule="atLeast"/>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1.4、供应商在投标文件中说明质保期内提供的服务计划。</w:t>
      </w:r>
    </w:p>
    <w:p>
      <w:pPr>
        <w:widowControl/>
        <w:autoSpaceDE w:val="0"/>
        <w:autoSpaceDN w:val="0"/>
        <w:adjustRightInd w:val="0"/>
        <w:spacing w:line="460" w:lineRule="atLeast"/>
        <w:ind w:firstLine="482" w:firstLineChars="200"/>
        <w:textAlignment w:val="bottom"/>
        <w:rPr>
          <w:rFonts w:hint="eastAsia" w:ascii="宋体" w:hAnsi="宋体" w:cs="宋体"/>
          <w:color w:val="auto"/>
          <w:sz w:val="24"/>
          <w:highlight w:val="none"/>
        </w:rPr>
      </w:pPr>
      <w:r>
        <w:rPr>
          <w:rFonts w:hint="eastAsia" w:ascii="宋体" w:hAnsi="宋体" w:cs="宋体"/>
          <w:b/>
          <w:bCs/>
          <w:color w:val="auto"/>
          <w:sz w:val="24"/>
          <w:highlight w:val="none"/>
        </w:rPr>
        <w:t xml:space="preserve">2、付款方式： </w:t>
      </w:r>
      <w:r>
        <w:rPr>
          <w:rFonts w:hint="eastAsia" w:ascii="宋体" w:hAnsi="宋体" w:cs="宋体"/>
          <w:color w:val="auto"/>
          <w:sz w:val="24"/>
          <w:highlight w:val="none"/>
        </w:rPr>
        <w:t>按年支付租费。详见第五章合同条款</w:t>
      </w:r>
    </w:p>
    <w:p>
      <w:pPr>
        <w:widowControl/>
        <w:autoSpaceDE w:val="0"/>
        <w:autoSpaceDN w:val="0"/>
        <w:adjustRightInd w:val="0"/>
        <w:spacing w:line="460" w:lineRule="atLeas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3、交货地点：</w:t>
      </w:r>
      <w:r>
        <w:rPr>
          <w:rFonts w:hint="eastAsia" w:ascii="宋体" w:hAnsi="宋体" w:cs="宋体"/>
          <w:color w:val="auto"/>
          <w:sz w:val="24"/>
          <w:highlight w:val="none"/>
          <w:lang w:eastAsia="zh-CN"/>
        </w:rPr>
        <w:t>招标采购单位</w:t>
      </w:r>
      <w:r>
        <w:rPr>
          <w:rFonts w:hint="eastAsia" w:ascii="宋体" w:hAnsi="宋体" w:cs="宋体"/>
          <w:color w:val="auto"/>
          <w:sz w:val="24"/>
          <w:highlight w:val="none"/>
        </w:rPr>
        <w:t>指定地点</w:t>
      </w:r>
    </w:p>
    <w:p>
      <w:pPr>
        <w:widowControl/>
        <w:autoSpaceDE w:val="0"/>
        <w:autoSpaceDN w:val="0"/>
        <w:adjustRightInd w:val="0"/>
        <w:spacing w:line="460" w:lineRule="atLeas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4、安装调试</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4.1.安装地点：按</w:t>
      </w:r>
      <w:r>
        <w:rPr>
          <w:rFonts w:hint="eastAsia" w:ascii="宋体" w:hAnsi="宋体" w:cs="宋体"/>
          <w:b/>
          <w:color w:val="auto"/>
          <w:sz w:val="24"/>
          <w:highlight w:val="none"/>
          <w:lang w:eastAsia="zh-CN"/>
        </w:rPr>
        <w:t>招标采购单位</w:t>
      </w:r>
      <w:r>
        <w:rPr>
          <w:rFonts w:hint="eastAsia" w:ascii="宋体" w:hAnsi="宋体" w:cs="宋体"/>
          <w:b/>
          <w:color w:val="auto"/>
          <w:sz w:val="24"/>
          <w:highlight w:val="none"/>
        </w:rPr>
        <w:t>要求。</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4.2.安装标准：符合我国国家有关技术规范要求和技术标准。</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4.3.安装过程中发生的费用由</w:t>
      </w: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负责,包括安装调试人员的交通、食、住宿费用。</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4.4.供应商应在投标文件中提出其安装调试过程中使用单位需配合的内容。</w:t>
      </w:r>
    </w:p>
    <w:p>
      <w:pPr>
        <w:widowControl/>
        <w:autoSpaceDE w:val="0"/>
        <w:autoSpaceDN w:val="0"/>
        <w:adjustRightInd w:val="0"/>
        <w:spacing w:line="460" w:lineRule="atLeas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5、</w:t>
      </w:r>
      <w:bookmarkStart w:id="13" w:name="_Toc157410887"/>
      <w:r>
        <w:rPr>
          <w:rFonts w:hint="eastAsia" w:ascii="宋体" w:hAnsi="宋体" w:cs="宋体"/>
          <w:color w:val="auto"/>
          <w:sz w:val="24"/>
          <w:highlight w:val="none"/>
        </w:rPr>
        <w:t>供货时间</w:t>
      </w:r>
      <w:r>
        <w:rPr>
          <w:rFonts w:hint="eastAsia" w:ascii="宋体" w:hAnsi="宋体" w:cs="宋体"/>
          <w:b/>
          <w:bCs/>
          <w:color w:val="auto"/>
          <w:sz w:val="24"/>
          <w:highlight w:val="none"/>
        </w:rPr>
        <w:t>：签订合同后</w:t>
      </w:r>
      <w:r>
        <w:rPr>
          <w:rFonts w:ascii="宋体" w:hAnsi="宋体" w:cs="宋体"/>
          <w:b/>
          <w:bCs/>
          <w:color w:val="auto"/>
          <w:sz w:val="24"/>
          <w:highlight w:val="none"/>
        </w:rPr>
        <w:t>120</w:t>
      </w:r>
      <w:r>
        <w:rPr>
          <w:rFonts w:hint="eastAsia" w:ascii="宋体" w:hAnsi="宋体" w:cs="宋体"/>
          <w:b/>
          <w:bCs/>
          <w:color w:val="auto"/>
          <w:sz w:val="24"/>
          <w:highlight w:val="none"/>
        </w:rPr>
        <w:t>日历天内交货调试完毕。</w:t>
      </w:r>
    </w:p>
    <w:p>
      <w:pPr>
        <w:widowControl/>
        <w:autoSpaceDE w:val="0"/>
        <w:autoSpaceDN w:val="0"/>
        <w:adjustRightInd w:val="0"/>
        <w:spacing w:line="460" w:lineRule="atLeas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6、验收</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已按合同规定提供了符合招标文件规定的要求的货物，并经</w:t>
      </w:r>
      <w:r>
        <w:rPr>
          <w:rFonts w:hint="eastAsia" w:ascii="宋体" w:hAnsi="宋体" w:cs="宋体"/>
          <w:b/>
          <w:color w:val="auto"/>
          <w:sz w:val="24"/>
          <w:highlight w:val="none"/>
          <w:lang w:eastAsia="zh-CN"/>
        </w:rPr>
        <w:t>招标采购单位</w:t>
      </w:r>
      <w:r>
        <w:rPr>
          <w:rFonts w:hint="eastAsia" w:ascii="宋体" w:hAnsi="宋体" w:cs="宋体"/>
          <w:b/>
          <w:color w:val="auto"/>
          <w:sz w:val="24"/>
          <w:highlight w:val="none"/>
        </w:rPr>
        <w:t>检验合格，所有的技术资料和清单已向</w:t>
      </w:r>
      <w:r>
        <w:rPr>
          <w:rFonts w:hint="eastAsia" w:ascii="宋体" w:hAnsi="宋体" w:cs="宋体"/>
          <w:b/>
          <w:color w:val="auto"/>
          <w:sz w:val="24"/>
          <w:highlight w:val="none"/>
          <w:lang w:eastAsia="zh-CN"/>
        </w:rPr>
        <w:t>招标采购单位</w:t>
      </w:r>
      <w:r>
        <w:rPr>
          <w:rFonts w:hint="eastAsia" w:ascii="宋体" w:hAnsi="宋体" w:cs="宋体"/>
          <w:b/>
          <w:color w:val="auto"/>
          <w:sz w:val="24"/>
          <w:highlight w:val="none"/>
        </w:rPr>
        <w:t>提交并被接受，验收视为合格， 若因</w:t>
      </w: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质量问题等导致验收不合格，</w:t>
      </w: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应及时予以处理，直至验收合格，期间发生的一切费用由</w:t>
      </w: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承担，</w:t>
      </w:r>
      <w:r>
        <w:rPr>
          <w:rFonts w:hint="eastAsia" w:ascii="宋体" w:hAnsi="宋体" w:cs="宋体"/>
          <w:b/>
          <w:color w:val="auto"/>
          <w:sz w:val="24"/>
          <w:highlight w:val="none"/>
          <w:lang w:eastAsia="zh-CN"/>
        </w:rPr>
        <w:t>招标采购单位</w:t>
      </w:r>
      <w:r>
        <w:rPr>
          <w:rFonts w:hint="eastAsia" w:ascii="宋体" w:hAnsi="宋体" w:cs="宋体"/>
          <w:b/>
          <w:color w:val="auto"/>
          <w:sz w:val="24"/>
          <w:highlight w:val="none"/>
        </w:rPr>
        <w:t>保留向</w:t>
      </w: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索赔的权利。</w:t>
      </w:r>
    </w:p>
    <w:p>
      <w:pPr>
        <w:widowControl/>
        <w:autoSpaceDE w:val="0"/>
        <w:autoSpaceDN w:val="0"/>
        <w:adjustRightInd w:val="0"/>
        <w:spacing w:line="460" w:lineRule="atLeas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7、培训</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7.1．</w:t>
      </w: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有义务对</w:t>
      </w:r>
      <w:r>
        <w:rPr>
          <w:rFonts w:hint="eastAsia" w:ascii="宋体" w:hAnsi="宋体" w:cs="宋体"/>
          <w:b/>
          <w:color w:val="auto"/>
          <w:sz w:val="24"/>
          <w:highlight w:val="none"/>
          <w:lang w:eastAsia="zh-CN"/>
        </w:rPr>
        <w:t>招标采购单位</w:t>
      </w:r>
      <w:r>
        <w:rPr>
          <w:rFonts w:hint="eastAsia" w:ascii="宋体" w:hAnsi="宋体" w:cs="宋体"/>
          <w:b/>
          <w:color w:val="auto"/>
          <w:sz w:val="24"/>
          <w:highlight w:val="none"/>
        </w:rPr>
        <w:t>采购设备的正常使用和维护提供必要的培训。</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7.2．培训的内容包括主要设备的安装、使用、配置管理、性能优化以及硬件基本维护知识</w:t>
      </w:r>
    </w:p>
    <w:p>
      <w:pPr>
        <w:widowControl/>
        <w:autoSpaceDE w:val="0"/>
        <w:autoSpaceDN w:val="0"/>
        <w:adjustRightInd w:val="0"/>
        <w:spacing w:line="460" w:lineRule="atLeas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7.3、技术要求中规定的培训。</w:t>
      </w:r>
    </w:p>
    <w:p>
      <w:pPr>
        <w:spacing w:line="460" w:lineRule="atLeast"/>
        <w:rPr>
          <w:rFonts w:hint="eastAsia" w:ascii="宋体" w:hAnsi="宋体" w:cs="宋体"/>
          <w:b/>
          <w:bCs/>
          <w:color w:val="auto"/>
          <w:sz w:val="24"/>
          <w:highlight w:val="none"/>
        </w:rPr>
      </w:pPr>
      <w:bookmarkStart w:id="14" w:name="_Toc303087983"/>
      <w:r>
        <w:rPr>
          <w:rFonts w:hint="eastAsia" w:ascii="宋体" w:hAnsi="宋体" w:cs="宋体"/>
          <w:b/>
          <w:bCs/>
          <w:color w:val="auto"/>
          <w:sz w:val="24"/>
          <w:highlight w:val="none"/>
        </w:rPr>
        <w:t>三、工作范围</w:t>
      </w:r>
      <w:bookmarkEnd w:id="13"/>
      <w:bookmarkEnd w:id="14"/>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根据招标文件，各</w:t>
      </w:r>
      <w:r>
        <w:rPr>
          <w:rFonts w:hint="eastAsia" w:ascii="宋体" w:hAnsi="宋体" w:cs="宋体"/>
          <w:b/>
          <w:color w:val="auto"/>
          <w:sz w:val="24"/>
          <w:highlight w:val="none"/>
          <w:lang w:eastAsia="zh-CN"/>
        </w:rPr>
        <w:t>中标供应商</w:t>
      </w:r>
      <w:r>
        <w:rPr>
          <w:rFonts w:hint="eastAsia" w:ascii="宋体" w:hAnsi="宋体" w:cs="宋体"/>
          <w:b/>
          <w:color w:val="auto"/>
          <w:sz w:val="24"/>
          <w:highlight w:val="none"/>
        </w:rPr>
        <w:t>须按国家有关标准及规范完成下列工作：</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1.提供完整成套的设备；</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2.产品及相关附件的提供、运输、装卸、就位、安装、调试、检验、通过验收；</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3.完成各项调试、检验、测试工作，并在采购人的配合下通过的验收；提供各种数据资料；直至通过验收。包括所涉及的配置和调试、维护；</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4.对最终使用单位的操作人员及维修人员进行技术培训；</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5.质保期内系统的维保及维修；</w:t>
      </w:r>
    </w:p>
    <w:p>
      <w:pPr>
        <w:widowControl/>
        <w:autoSpaceDE w:val="0"/>
        <w:autoSpaceDN w:val="0"/>
        <w:adjustRightInd w:val="0"/>
        <w:spacing w:line="460" w:lineRule="atLeas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6.售后服务的措施及承诺；</w:t>
      </w:r>
    </w:p>
    <w:p>
      <w:pPr>
        <w:tabs>
          <w:tab w:val="left" w:pos="400"/>
        </w:tabs>
        <w:adjustRightInd w:val="0"/>
        <w:spacing w:line="460" w:lineRule="atLeas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以上工作内容的费用均包含在报价总价中。</w:t>
      </w:r>
    </w:p>
    <w:p>
      <w:pPr>
        <w:pStyle w:val="2"/>
        <w:numPr>
          <w:ilvl w:val="0"/>
          <w:numId w:val="5"/>
        </w:numPr>
        <w:ind w:left="0" w:leftChars="0" w:firstLine="0" w:firstLineChars="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点位清单</w:t>
      </w:r>
    </w:p>
    <w:tbl>
      <w:tblPr>
        <w:tblStyle w:val="48"/>
        <w:tblW w:w="0" w:type="auto"/>
        <w:jc w:val="center"/>
        <w:tblLayout w:type="fixed"/>
        <w:tblCellMar>
          <w:top w:w="0" w:type="dxa"/>
          <w:left w:w="0" w:type="dxa"/>
          <w:bottom w:w="0" w:type="dxa"/>
          <w:right w:w="0" w:type="dxa"/>
        </w:tblCellMar>
      </w:tblPr>
      <w:tblGrid>
        <w:gridCol w:w="645"/>
        <w:gridCol w:w="960"/>
        <w:gridCol w:w="3960"/>
        <w:gridCol w:w="2670"/>
        <w:gridCol w:w="705"/>
        <w:gridCol w:w="1095"/>
        <w:gridCol w:w="732"/>
      </w:tblGrid>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区域</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点位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朝向</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安装情况</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MAC</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三长浒堰浜北侧口子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息塘中井西侧西侧三叉口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息塘顾家埭与沈家浜三叉口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息塘检查站南侧50米处十字路口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登越楼梯文桥头处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兴隆村下山里口子处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横街村银达路韵高整木厂门口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迎春村石泉浜45号口子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南向北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永联村宴会厅桥西侧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横街村北蒋浜养老院口子处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辑里村蓝度俱乐部牌子处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兴隆村升罗桥与短浜头十字口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下庄兜凉亭东边三岔口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三长全新路文桥头村口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三长灯塔村村部</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银达路水东湾北侧河边</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横三路小阿三土菜馆门口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横街路与观音路北侧口子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横街卫生院南面停车产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兴横路与联横路交叉口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横街日间照料中心</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横街日间照料中心西侧老街55号</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横街老街桥下99号</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横街老街观音桥下106号</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横街吉利桥137号</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横街孙家埭北面廊亭处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息塘新村北侧三叉口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息塘新村西侧口子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息塘乌盆里口子出</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息塘南浜与乌盆里四叉口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息塘南浜村西南侧十字口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息塘顾家埭胜隆油库口子处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息塘吴家埭新村口三叉口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息塘西杨村北侧口子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息塘斯联毛纺厂口子处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塘口浜25号三叉口处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浔乌线归家里口子处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浔乌线嵇家浜公交站台处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三长灯塔村南社兜凉亭休息处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浔横北路与兴横路口子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浔横北路桥下横达机电门口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横三路万事乐重工机械厂东侧路口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联横路横街村部口子处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横三路康辰木业口子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迎春村石泉浜垃圾站北侧100米处三叉口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迎春村迎春桥河南边变电箱处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迎春村三家村方勇沙发厂处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永联村双燕浜健身器材处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永联村龙虎浜停车亭处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永联村欧亚木业处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柏树村邱家埭北侧路口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柏树村柳柏线周家浒亭子处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柳柏线农业示范点牌子处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横三路雄峰木业口子处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横三路巨韵木业处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柏树村柏树下十字口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永联村诛一浜满堂红木业北面50米处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永联村诛一浜北侧56号处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辑里村藏顾古桥设备厂南侧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罗四河鑫源超市东边三岔口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南向北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下庄兜36号岔口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下庄兜西南边岔口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便埭33号东边岔口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徐家兜东北路口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双石河43号西边岔口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双石河36号西边岔口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双石河6号边岔口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西向东 东向西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纸四圩26号西边三岔口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泗州老年活动中心东侧四岔口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宋家兜西南角四岔口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北向南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渔船兜4号西侧路口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西向东 东向西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红安兜机埠西侧路口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泗州塘桥南堍岔口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坟池港村口四岔口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东向西 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张家板桥12号东侧岔口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仲港村口三叉口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金弹桥东堍岔口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鑫通木材加工厂门口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徐家浜北侧岔口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邱家洋东侧三岔口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笠帽兜东侧四岔口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潘家兜村口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张家兜村口（云大木业）</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宁家坝俊杰超市南侧路口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伍林高桥西堍（伍林五金店）</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濮家港东南侧四岔口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东向西  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朱古兜西侧桥东堍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东向西   西向东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朱古兜（天天洗车）四岔口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后潘村（华祥乐木门厂）东侧四岔口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东向西   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庄车兜西南侧三岔口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北五兜桥（凉亭）路口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东向西  南向北  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北五兜4号西侧四岔口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麻鸡兜东侧（凉亭）路口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姚家兜东侧三岔口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草帽兜西侧垃圾站四岔口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中村（凉亭）三岔口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文仪兜北侧桥西堍三岔口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长道地西侧桥西堍岔口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西向东  东向西  北向南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南村12号四岔口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计家兜东侧（宇航木业厂）三岔口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计家兜南侧三岔口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大河兜48号西侧岔口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三长毕家河北侧三叉口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息塘莫家埭桥东侧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息塘姜家埭东侧路口桥边</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浔乌线息塘南浜东侧进村口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浔乌线息塘新村南面公交站台处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息塘吴家埭与顾家埭四叉口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息塘孟河埭村口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息塘天宏花园三叉口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中塘路与全新路交叉口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塘口浜三长村委会里侧50米处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兴隆村升罗桥东侧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浔乌线兴隆村文桥头公交站处</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浔乌线兴隆村邱家湾口子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横街兴横路南浔银行西侧口子</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浔横北路泥水兜口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宝云路与横三路交叉口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横街菜场横街新桥东侧孙家埭路口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横街渔业村兴隆村南侧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横街姚家埭新建中学北侧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东向西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柏树村东河浜与邱家埭十字口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罗四河东南路边三岔口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伍林高桥北堍东南叫三岔口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   南向北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宋家兜西侧凉亭三岔口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谭子兜村口三岔口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沈家港桥西岔口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南向北   北向南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叶家浜公交站岔口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东向西南  南向北  西向东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宁家坝西侧公厕路口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濮家港东侧四岔口（恒心木业厂）</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20"/>
                <w:kern w:val="0"/>
                <w:sz w:val="22"/>
                <w:szCs w:val="22"/>
                <w:highlight w:val="none"/>
                <w:u w:val="none"/>
                <w:lang w:val="en-US" w:eastAsia="zh-CN" w:bidi="ar"/>
              </w:rPr>
              <w:t>东向西  西向东  南向北  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姚家兜西侧三岔口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西向东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唐家兜北侧（凉亭）三岔口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东向西   南向北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横街三长</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城南社区</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25个点位</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全部立杆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联谊新村南区1幢前花坛中间</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联谊新村南区11幢后花坛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联谊新村南区排屋1排前东南角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堰四小区笿帽兜7幢花坛前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堰四小区笿帽兜8幢花坛前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堰四小区笿帽兜9幢花坛前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堰四中心小区A2幢前花坛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堰四中心小区17幢后花坛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堰四中心小区15幢后花坛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堰四中心小区14幢后花坛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堰四中心小区13幢后花坛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堰三小区11幢前花坛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堰三小区11幢后花坛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堰三小区3幢后花坛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堰三小区4幢后花坛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堰三小区5幢后花坛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立杆</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堰三小区6幢后花坛</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晶典花园7幢西墙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晶典花园5幢西侧别墅围墙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朱坞村尖家兜1幢西墙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联谊新村北区33幢西墙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泰安路海龙筛网批发前电灯杆</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联谊新村南区城管门口电灯杆</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联谊新村南区1幢东北角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联谊新村南区2幢东北角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联谊新村南区4幢东北角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浔东新村二期西门口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世嘉沁园停车场路灯杆</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晶典花园4幢后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晶典花园5幢后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晶典花园5幢前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晶典花园6幢前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晶典花园6幢后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晶典花园7幢前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晶典花园7幢后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同心路639弄别墅前车库两边</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朱坞村夏家兜新村5幢前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朱坞村夏家兜新村6幢前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朱坞村夏家兜新村4幢前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朱坞村夏家兜新村8幢东北角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朱坞村夏家兜新村9幢东北角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朱坞村夏家兜新村9幢前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朱坞村夏家兜新村16幢前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朱坞村夏家兜新村17幢后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朱坞村夏家兜新村G2幢东墙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朱坞村夏家兜新村G1幢西墙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朱坞村新村3幢西墙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世贸路西小拇指后西南角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联谊新村北区22幢东墙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联谊新村北区排屋16幢前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联谊新村北区排屋16幢后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联谊新村北区排屋10幢后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联谊新村北区排屋8幢后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联谊新村北区排屋6幢后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联谊新村北区排屋4幢后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联谊新村北区18幢前东南角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联谊新村北区16幢东南角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联谊新村北区排屋2幢后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联谊新村北区12幢东墙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联谊新村北区9幢前东南角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联谊新村北区6幢前东南角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联谊新村北区4幢前东南角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联谊新村北区2幢前东南角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联谊新村北区13幢东墙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联谊新村北区14幢西南角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联谊新村北区16幢西南角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联谊新村北区19幢东南角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联谊新村北区20幢西南角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联谊新村北区22幢西南角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联谊新村北区24幢西南角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联谊新村北区26幢西南角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联谊新村北区29幢3单元</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联谊新村北区排屋19幢后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联谊新村北区23幢东墙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联谊新村南区5幢东墙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联谊新村南区3幢东墙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联谊新村南区6幢东墙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联谊新村南区7幢东墙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联谊新村南区9幢东南角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联谊新村南区13幢东南角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联谊新村南区19幢5单元</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联谊新村南区15幢东南角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联谊新村南区11幢东南角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联谊新村南区27幢东墙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联谊新村南区27幢西墙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联谊新村南区排屋17幢</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联谊新村南区排屋21幢</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联谊新村南区排屋1排后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联谊新村南区排屋2排后</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堰四小区笿帽兜9幢东北角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堰四小区笿帽兜13幢东北角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堰四小区笿帽兜14幢东北角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堰四小区笿帽兜15幢西北角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堰四中心小区29幢东北角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堰三小区南门口俊涛汽车美容店</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堰三小区9幢西墙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堰三小区8幢西北角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堰三小区4幢西墙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堰三小区13幢1单元2楼窗户</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浔南新村二期19幢东墙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浔南新村二期13幢东墙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浔南新村二期16幢东墙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浔南新村二期21幢东墙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浔南新村二期37幢东墙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浔南新村二期40幢东墙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浔南新村二期43幢东墙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浔南新村二期43幢西墙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浔南新村二期22幢西墙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浔南新村二期34幢三单元</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浔南新村二期33幢三单元</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浔南新村二期7幢东墙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浔南新村二期8幢东墙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浔南新村二期11幢西墙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浔南新村一期5幢东墙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浔南新村一期12幢西墙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浔南新村一期17幢东墙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粜糠兜19幢西墙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粜糠兜20幢西墙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粜糠兜10幢东墙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粜糠兜17幢东墙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粜糠兜10幢西墙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浔东新村一期三号地块4幢东北角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浔东新村一期三号地块5幢西南角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浔东新村一期三号地块10幢西南角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浔东新村一期一号地块3幢东墙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浔东新村一期一号地块10幢西北角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浔东新村一期二号地块7幢西墙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浔东新村一期二号地块12幢西墙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胡家兜6幢西墙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胡家兜6幢东墙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胡家兜1幢南门北墙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陆家兜25幢东墙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陆家兜25幢西墙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陆家兜26幢东墙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东兜小区14幢西南角</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东兜小区12幢东墙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西长兴港7幢西墙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西长兴港13幢东墙</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嘉世名居前面弄堂</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老地板城公寓楼西二楼楼梯口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老地板城公寓楼东二楼楼梯口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老地板城公寓楼中间二楼楼梯口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老地板城公寓楼五个单元门口四楼</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南林路三和厨房设备北侧楼梯口</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信泰商城东南门</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信泰商城西南门</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信泰商城二楼市场管路办公室</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信泰商城二楼市场管路办公室北面1</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信泰商城二楼市场管路办公室北面2</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信泰商城二楼市场管路办公室北面3</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东、西、北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信泰商城二楼市场管路办公室北面4</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信泰商城西北门</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信泰商城东北门</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信泰商城东北门2</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信泰商城C幢2号北</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信泰商城东南门2</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东、南、西</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中和家私城4楼居民区</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13个点位</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挑臂</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南浔镇</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东南华府阳光艺术学院楼上</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北向南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支架</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bl>
    <w:p>
      <w:pPr>
        <w:pStyle w:val="2"/>
        <w:numPr>
          <w:ilvl w:val="0"/>
          <w:numId w:val="0"/>
        </w:numPr>
        <w:ind w:leftChars="0"/>
        <w:rPr>
          <w:rFonts w:hint="eastAsia" w:ascii="宋体" w:hAnsi="宋体" w:cs="宋体"/>
          <w:b/>
          <w:color w:val="auto"/>
          <w:sz w:val="24"/>
          <w:highlight w:val="none"/>
          <w:lang w:eastAsia="zh-CN"/>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p>
    <w:p>
      <w:pPr>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第三章  供应商须知</w:t>
      </w:r>
      <w:bookmarkEnd w:id="2"/>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前附表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9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b/>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bCs/>
                <w:color w:val="auto"/>
                <w:sz w:val="21"/>
                <w:szCs w:val="21"/>
                <w:highlight w:val="none"/>
                <w:lang w:eastAsia="zh-CN"/>
              </w:rPr>
              <w:t xml:space="preserve">南浔镇雪亮工程视频监控服务项目二期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采购内容及数量：详见招标需求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68"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投标报价及费用：1、本项目投标应以人民币报价；2、不论投标结果如何，供应商均应自行承担所有与投标有关的全部费用；3、本项目招标代理服务费</w:t>
            </w:r>
            <w:r>
              <w:rPr>
                <w:rFonts w:hint="eastAsia" w:ascii="宋体" w:hAnsi="宋体" w:cs="宋体"/>
                <w:color w:val="auto"/>
                <w:sz w:val="21"/>
                <w:szCs w:val="21"/>
                <w:highlight w:val="none"/>
                <w:lang w:eastAsia="zh-CN"/>
              </w:rPr>
              <w:t>为人民币肆万柒仟元整，</w:t>
            </w:r>
            <w:r>
              <w:rPr>
                <w:rFonts w:hint="eastAsia" w:ascii="宋体" w:hAnsi="宋体" w:cs="宋体"/>
                <w:color w:val="auto"/>
                <w:sz w:val="21"/>
                <w:szCs w:val="21"/>
                <w:highlight w:val="none"/>
              </w:rPr>
              <w:t>由</w:t>
            </w:r>
            <w:r>
              <w:rPr>
                <w:rFonts w:hint="eastAsia" w:ascii="宋体" w:hAnsi="宋体" w:cs="宋体"/>
                <w:color w:val="auto"/>
                <w:sz w:val="21"/>
                <w:szCs w:val="21"/>
                <w:highlight w:val="none"/>
                <w:lang w:eastAsia="zh-CN"/>
              </w:rPr>
              <w:t>中标供应商</w:t>
            </w:r>
            <w:r>
              <w:rPr>
                <w:rFonts w:hint="eastAsia" w:ascii="宋体" w:hAnsi="宋体" w:cs="宋体"/>
                <w:color w:val="auto"/>
                <w:sz w:val="21"/>
                <w:szCs w:val="21"/>
                <w:highlight w:val="none"/>
              </w:rPr>
              <w:t>支付，在领取中</w:t>
            </w:r>
            <w:r>
              <w:rPr>
                <w:rFonts w:hint="eastAsia" w:ascii="宋体" w:hAnsi="宋体" w:cs="宋体"/>
                <w:color w:val="auto"/>
                <w:sz w:val="21"/>
                <w:szCs w:val="21"/>
                <w:highlight w:val="none"/>
                <w:lang w:eastAsia="zh-CN"/>
              </w:rPr>
              <w:t>标通知书当</w:t>
            </w:r>
            <w:r>
              <w:rPr>
                <w:rFonts w:hint="eastAsia" w:ascii="宋体" w:hAnsi="宋体" w:cs="宋体"/>
                <w:color w:val="auto"/>
                <w:sz w:val="21"/>
                <w:szCs w:val="21"/>
                <w:highlight w:val="none"/>
              </w:rPr>
              <w:t>日内一次性付清。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pStyle w:val="129"/>
              <w:spacing w:line="400" w:lineRule="exact"/>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现场查看：</w:t>
            </w:r>
            <w:r>
              <w:rPr>
                <w:rFonts w:hint="eastAsia" w:ascii="宋体" w:hAnsi="宋体" w:cs="宋体"/>
                <w:color w:val="auto"/>
                <w:szCs w:val="21"/>
                <w:highlight w:val="none"/>
                <w:lang w:eastAsia="zh-CN"/>
              </w:rPr>
              <w:t>暂不予以组织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0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答疑与澄清：供应商如认为招标文件表述不清晰、存在歧视性、排他性或者其他违法内容的，应当于</w:t>
            </w:r>
            <w:r>
              <w:rPr>
                <w:rFonts w:hint="eastAsia" w:ascii="宋体" w:hAnsi="宋体" w:cs="宋体"/>
                <w:color w:val="auto"/>
                <w:sz w:val="21"/>
                <w:szCs w:val="21"/>
                <w:highlight w:val="none"/>
                <w:u w:val="single"/>
              </w:rPr>
              <w:t xml:space="preserve"> 2019年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29</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 xml:space="preserve">16：00前，以书面形式要求招标采购单位作出书面解释、澄清或者向招标采购单位提出书面质疑；招标采购单位将于 </w:t>
            </w:r>
            <w:r>
              <w:rPr>
                <w:rFonts w:hint="eastAsia" w:ascii="宋体" w:hAnsi="宋体" w:cs="宋体"/>
                <w:color w:val="auto"/>
                <w:sz w:val="21"/>
                <w:szCs w:val="21"/>
                <w:highlight w:val="none"/>
                <w:u w:val="single"/>
              </w:rPr>
              <w:t>2019年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前将答疑内容以传真或网上发布公告的形式通知所有已报名的供应商；答疑内容是招标文件的组成部分；因其他紧急情况影响本项目正常招标活动的，招标采购单位将于投标截止日期5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rPr>
              <w:t xml:space="preserve">采购预算： </w:t>
            </w:r>
            <w:r>
              <w:rPr>
                <w:rFonts w:hint="eastAsia" w:ascii="宋体" w:hAnsi="宋体" w:cs="宋体"/>
                <w:b/>
                <w:color w:val="auto"/>
                <w:sz w:val="21"/>
                <w:szCs w:val="21"/>
                <w:highlight w:val="none"/>
                <w:lang w:eastAsia="zh-CN"/>
              </w:rPr>
              <w:t>500万元</w:t>
            </w:r>
            <w:r>
              <w:rPr>
                <w:rFonts w:hint="eastAsia" w:ascii="宋体" w:hAnsi="宋体" w:cs="宋体"/>
                <w:b/>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49"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投标文件组成：《资格文件》、《技术、商务、资信及其他文件》和《报价文件》正本各 1 份；副本各 3 份，</w:t>
            </w:r>
            <w:r>
              <w:rPr>
                <w:rFonts w:hint="eastAsia" w:ascii="宋体" w:hAnsi="宋体"/>
                <w:b/>
                <w:color w:val="auto"/>
                <w:sz w:val="21"/>
                <w:szCs w:val="21"/>
                <w:highlight w:val="none"/>
              </w:rPr>
              <w:t>《资格文件》单独装订成册正、副本包封在一个包装袋中；“《技术、商务、资信及其他文件》单独装订成册正、副本包封在一个包装袋中；《报价文件》单独装订成册正、副本包封在一个包装袋中。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投标截止时间：</w:t>
            </w:r>
            <w:r>
              <w:rPr>
                <w:rFonts w:hint="eastAsia" w:ascii="宋体" w:hAnsi="宋体" w:cs="宋体"/>
                <w:b/>
                <w:color w:val="auto"/>
                <w:sz w:val="21"/>
                <w:szCs w:val="21"/>
                <w:highlight w:val="none"/>
                <w:shd w:val="pct10" w:color="auto" w:fill="FFFFFF"/>
              </w:rPr>
              <w:t>2019年</w:t>
            </w:r>
            <w:r>
              <w:rPr>
                <w:rFonts w:hint="eastAsia" w:ascii="宋体" w:hAnsi="宋体" w:cs="宋体"/>
                <w:b/>
                <w:color w:val="auto"/>
                <w:sz w:val="21"/>
                <w:szCs w:val="21"/>
                <w:highlight w:val="none"/>
                <w:shd w:val="pct10" w:color="auto" w:fill="FFFFFF"/>
                <w:lang w:val="en-US" w:eastAsia="zh-CN"/>
              </w:rPr>
              <w:t>10</w:t>
            </w:r>
            <w:r>
              <w:rPr>
                <w:rFonts w:hint="eastAsia" w:ascii="宋体" w:hAnsi="宋体" w:cs="宋体"/>
                <w:b/>
                <w:color w:val="auto"/>
                <w:sz w:val="21"/>
                <w:szCs w:val="21"/>
                <w:highlight w:val="none"/>
                <w:shd w:val="pct10" w:color="auto" w:fill="FFFFFF"/>
              </w:rPr>
              <w:t>月</w:t>
            </w:r>
            <w:r>
              <w:rPr>
                <w:rFonts w:hint="eastAsia" w:ascii="宋体" w:hAnsi="宋体" w:cs="宋体"/>
                <w:b/>
                <w:color w:val="auto"/>
                <w:sz w:val="21"/>
                <w:szCs w:val="21"/>
                <w:highlight w:val="none"/>
                <w:shd w:val="pct10" w:color="auto" w:fill="FFFFFF"/>
                <w:lang w:val="en-US" w:eastAsia="zh-CN"/>
              </w:rPr>
              <w:t>10</w:t>
            </w:r>
            <w:r>
              <w:rPr>
                <w:rFonts w:hint="eastAsia" w:ascii="宋体" w:hAnsi="宋体" w:cs="宋体"/>
                <w:b/>
                <w:color w:val="auto"/>
                <w:sz w:val="21"/>
                <w:szCs w:val="21"/>
                <w:highlight w:val="none"/>
                <w:shd w:val="pct10" w:color="auto" w:fill="FFFFFF"/>
              </w:rPr>
              <w:t>日 上午09:00时</w:t>
            </w:r>
          </w:p>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投标文件递交地点：</w:t>
            </w:r>
            <w:r>
              <w:rPr>
                <w:rFonts w:hint="eastAsia" w:ascii="宋体" w:hAnsi="宋体" w:cs="宋体"/>
                <w:b/>
                <w:color w:val="auto"/>
                <w:sz w:val="21"/>
                <w:szCs w:val="21"/>
                <w:highlight w:val="none"/>
                <w:shd w:val="pct10" w:color="auto" w:fill="FFFFFF"/>
              </w:rPr>
              <w:t>湖州市公共资源交易中心2号楼二楼</w:t>
            </w:r>
            <w:r>
              <w:rPr>
                <w:rFonts w:hint="eastAsia" w:ascii="宋体" w:hAnsi="宋体" w:cs="宋体"/>
                <w:b/>
                <w:color w:val="auto"/>
                <w:sz w:val="21"/>
                <w:szCs w:val="21"/>
                <w:highlight w:val="none"/>
                <w:shd w:val="pct10" w:color="auto" w:fill="FFFFFF"/>
                <w:lang w:val="en-US" w:eastAsia="zh-CN"/>
              </w:rPr>
              <w:t>239</w:t>
            </w:r>
            <w:r>
              <w:rPr>
                <w:rFonts w:hint="eastAsia" w:ascii="宋体" w:hAnsi="宋体" w:cs="宋体"/>
                <w:b/>
                <w:color w:val="auto"/>
                <w:sz w:val="21"/>
                <w:szCs w:val="21"/>
                <w:highlight w:val="none"/>
                <w:shd w:val="pct10" w:color="auto" w:fill="FFFFFF"/>
              </w:rPr>
              <w:t>号开标室（湖州市金盖山路66号）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开标时间：</w:t>
            </w:r>
            <w:r>
              <w:rPr>
                <w:rFonts w:hint="eastAsia" w:ascii="宋体" w:hAnsi="宋体" w:cs="宋体"/>
                <w:b/>
                <w:color w:val="auto"/>
                <w:sz w:val="21"/>
                <w:szCs w:val="21"/>
                <w:highlight w:val="none"/>
                <w:shd w:val="pct10" w:color="auto" w:fill="FFFFFF"/>
              </w:rPr>
              <w:t>2019年</w:t>
            </w:r>
            <w:r>
              <w:rPr>
                <w:rFonts w:hint="eastAsia" w:ascii="宋体" w:hAnsi="宋体" w:cs="宋体"/>
                <w:b/>
                <w:color w:val="auto"/>
                <w:sz w:val="21"/>
                <w:szCs w:val="21"/>
                <w:highlight w:val="none"/>
                <w:shd w:val="pct10" w:color="auto" w:fill="FFFFFF"/>
                <w:lang w:val="en-US" w:eastAsia="zh-CN"/>
              </w:rPr>
              <w:t>10</w:t>
            </w:r>
            <w:r>
              <w:rPr>
                <w:rFonts w:hint="eastAsia" w:ascii="宋体" w:hAnsi="宋体" w:cs="宋体"/>
                <w:b/>
                <w:color w:val="auto"/>
                <w:sz w:val="21"/>
                <w:szCs w:val="21"/>
                <w:highlight w:val="none"/>
                <w:shd w:val="pct10" w:color="auto" w:fill="FFFFFF"/>
              </w:rPr>
              <w:t>月</w:t>
            </w:r>
            <w:r>
              <w:rPr>
                <w:rFonts w:hint="eastAsia" w:ascii="宋体" w:hAnsi="宋体" w:cs="宋体"/>
                <w:b/>
                <w:color w:val="auto"/>
                <w:sz w:val="21"/>
                <w:szCs w:val="21"/>
                <w:highlight w:val="none"/>
                <w:shd w:val="pct10" w:color="auto" w:fill="FFFFFF"/>
                <w:lang w:val="en-US" w:eastAsia="zh-CN"/>
              </w:rPr>
              <w:t>10</w:t>
            </w:r>
            <w:r>
              <w:rPr>
                <w:rFonts w:hint="eastAsia" w:ascii="宋体" w:hAnsi="宋体" w:cs="宋体"/>
                <w:b/>
                <w:color w:val="auto"/>
                <w:sz w:val="21"/>
                <w:szCs w:val="21"/>
                <w:highlight w:val="none"/>
                <w:shd w:val="pct10" w:color="auto" w:fill="FFFFFF"/>
              </w:rPr>
              <w:t>日 上午09:00时</w:t>
            </w:r>
            <w:r>
              <w:rPr>
                <w:rFonts w:hint="eastAsia" w:ascii="宋体" w:hAnsi="宋体" w:cs="宋体"/>
                <w:color w:val="auto"/>
                <w:sz w:val="21"/>
                <w:szCs w:val="21"/>
                <w:highlight w:val="none"/>
              </w:rPr>
              <w:t>整，逾期作自动放弃；</w:t>
            </w:r>
          </w:p>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b/>
                <w:color w:val="auto"/>
                <w:sz w:val="21"/>
                <w:szCs w:val="21"/>
                <w:highlight w:val="none"/>
                <w:shd w:val="pct10" w:color="auto" w:fill="FFFFFF"/>
              </w:rPr>
              <w:t>湖州市公共资源交易中心2号楼二楼</w:t>
            </w:r>
            <w:r>
              <w:rPr>
                <w:rFonts w:hint="eastAsia" w:ascii="宋体" w:hAnsi="宋体" w:cs="宋体"/>
                <w:b/>
                <w:color w:val="auto"/>
                <w:sz w:val="21"/>
                <w:szCs w:val="21"/>
                <w:highlight w:val="none"/>
                <w:shd w:val="pct10" w:color="auto" w:fill="FFFFFF"/>
                <w:lang w:val="en-US" w:eastAsia="zh-CN"/>
              </w:rPr>
              <w:t>239</w:t>
            </w:r>
            <w:r>
              <w:rPr>
                <w:rFonts w:hint="eastAsia" w:ascii="宋体" w:hAnsi="宋体" w:cs="宋体"/>
                <w:b/>
                <w:color w:val="auto"/>
                <w:sz w:val="21"/>
                <w:szCs w:val="21"/>
                <w:highlight w:val="none"/>
                <w:shd w:val="pct10" w:color="auto" w:fill="FFFFFF"/>
              </w:rPr>
              <w:t>号开标室（湖州市金盖山路66号）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pacing w:val="-20"/>
                <w:sz w:val="21"/>
                <w:szCs w:val="21"/>
                <w:highlight w:val="none"/>
              </w:rPr>
            </w:pPr>
            <w:r>
              <w:rPr>
                <w:rFonts w:hint="eastAsia" w:ascii="宋体" w:hAnsi="宋体" w:cs="宋体"/>
                <w:color w:val="auto"/>
                <w:sz w:val="21"/>
                <w:szCs w:val="21"/>
                <w:highlight w:val="none"/>
              </w:rPr>
              <w:t>中标公示：评标结束后2天内，中标公示发布于“浙江省政府采购网”（http://zjzfcg.gov.cn）“湖州市公共资源交易信息网” （</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"http://ggzy.huzhou.gov.cn/hzfront/"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http://ggzy.huzhou.gov.cn/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中标通知书：在公告中标结果的同时，招标采购单位或者采购代理机构向中标供应商发出中标通知书。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履约保证金的收取:按合同总额的5%计收，</w:t>
            </w:r>
            <w:r>
              <w:rPr>
                <w:rFonts w:hint="eastAsia" w:ascii="宋体" w:hAnsi="宋体" w:cs="宋体"/>
                <w:color w:val="auto"/>
                <w:sz w:val="21"/>
                <w:szCs w:val="21"/>
                <w:highlight w:val="none"/>
                <w:lang w:eastAsia="zh-CN"/>
              </w:rPr>
              <w:t>开工后予以</w:t>
            </w:r>
            <w:r>
              <w:rPr>
                <w:rFonts w:hint="eastAsia" w:ascii="宋体" w:hAnsi="宋体" w:cs="宋体"/>
                <w:color w:val="auto"/>
                <w:sz w:val="21"/>
                <w:szCs w:val="21"/>
                <w:highlight w:val="none"/>
              </w:rPr>
              <w:t>无息退还</w:t>
            </w:r>
            <w:r>
              <w:rPr>
                <w:rFonts w:hint="eastAsia" w:ascii="宋体" w:hAnsi="宋体" w:cs="宋体"/>
                <w:color w:val="auto"/>
                <w:sz w:val="21"/>
                <w:szCs w:val="21"/>
                <w:highlight w:val="none"/>
                <w:lang w:eastAsia="zh-CN"/>
              </w:rPr>
              <w:t>（以开工报告为准）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付款方式：详见合同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投标文件有效期：</w:t>
            </w:r>
            <w:r>
              <w:rPr>
                <w:rFonts w:hint="eastAsia" w:ascii="宋体" w:hAnsi="宋体" w:cs="宋体"/>
                <w:color w:val="auto"/>
                <w:sz w:val="21"/>
                <w:szCs w:val="21"/>
                <w:highlight w:val="none"/>
                <w:u w:val="single"/>
              </w:rPr>
              <w:t>60</w:t>
            </w:r>
            <w:r>
              <w:rPr>
                <w:rFonts w:hint="eastAsia" w:ascii="宋体"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w:t>
            </w:r>
          </w:p>
        </w:tc>
        <w:tc>
          <w:tcPr>
            <w:tcW w:w="9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解释：本招标文件的解释权属于招标采购单位。</w:t>
            </w:r>
          </w:p>
        </w:tc>
      </w:tr>
    </w:tbl>
    <w:p>
      <w:pPr>
        <w:spacing w:line="360" w:lineRule="auto"/>
        <w:jc w:val="center"/>
        <w:outlineLvl w:val="1"/>
        <w:rPr>
          <w:rFonts w:hint="eastAsia" w:ascii="宋体" w:hAnsi="宋体" w:cs="宋体"/>
          <w:b/>
          <w:color w:val="auto"/>
          <w:sz w:val="24"/>
          <w:highlight w:val="none"/>
        </w:rPr>
      </w:pPr>
      <w:bookmarkStart w:id="15" w:name="_Toc508900989"/>
    </w:p>
    <w:p>
      <w:pPr>
        <w:spacing w:line="360" w:lineRule="auto"/>
        <w:jc w:val="center"/>
        <w:outlineLvl w:val="1"/>
        <w:rPr>
          <w:rFonts w:hint="eastAsia" w:ascii="宋体" w:hAnsi="宋体" w:cs="宋体"/>
          <w:b/>
          <w:color w:val="auto"/>
          <w:szCs w:val="28"/>
          <w:highlight w:val="none"/>
        </w:rPr>
      </w:pPr>
      <w:r>
        <w:rPr>
          <w:rFonts w:hint="eastAsia" w:ascii="宋体" w:hAnsi="宋体" w:cs="宋体"/>
          <w:b/>
          <w:color w:val="auto"/>
          <w:sz w:val="24"/>
          <w:highlight w:val="none"/>
        </w:rPr>
        <w:t>一、</w:t>
      </w:r>
      <w:r>
        <w:rPr>
          <w:rFonts w:hint="eastAsia" w:ascii="宋体" w:hAnsi="宋体" w:cs="宋体"/>
          <w:b/>
          <w:color w:val="auto"/>
          <w:szCs w:val="28"/>
          <w:highlight w:val="none"/>
        </w:rPr>
        <w:t>总  则</w:t>
      </w:r>
      <w:bookmarkEnd w:id="15"/>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（一）适用范围</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本招标文件适用于</w:t>
      </w:r>
      <w:r>
        <w:rPr>
          <w:rFonts w:hint="eastAsia" w:hAnsi="宋体" w:cs="宋体"/>
          <w:b/>
          <w:color w:val="auto"/>
          <w:sz w:val="24"/>
          <w:szCs w:val="24"/>
          <w:highlight w:val="none"/>
          <w:u w:val="single"/>
          <w:lang w:eastAsia="zh-CN"/>
        </w:rPr>
        <w:t>南浔镇雪亮工程视频监控服务项目二期</w:t>
      </w:r>
      <w:r>
        <w:rPr>
          <w:rFonts w:hint="eastAsia" w:hAnsi="宋体" w:cs="宋体"/>
          <w:color w:val="auto"/>
          <w:sz w:val="24"/>
          <w:szCs w:val="24"/>
          <w:highlight w:val="none"/>
        </w:rPr>
        <w:t>的招标、投标、评标、定标、验收、合同履约、付款等行为（法律、法规另有规定的，从其规定）。</w:t>
      </w:r>
    </w:p>
    <w:p>
      <w:pPr>
        <w:snapToGrid w:val="0"/>
        <w:spacing w:before="120" w:beforeLines="50" w:line="48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（二）定义</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（一） 适用范围</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本招标文件适用于</w:t>
      </w:r>
      <w:r>
        <w:rPr>
          <w:rFonts w:hint="eastAsia" w:hAnsi="宋体" w:cs="宋体"/>
          <w:b/>
          <w:color w:val="auto"/>
          <w:sz w:val="24"/>
          <w:highlight w:val="none"/>
          <w:u w:val="single"/>
          <w:lang w:eastAsia="zh-CN"/>
        </w:rPr>
        <w:t>南浔镇雪亮工程视频监控服务项目二期</w:t>
      </w:r>
      <w:r>
        <w:rPr>
          <w:rFonts w:hint="eastAsia" w:ascii="宋体" w:hAnsi="宋体" w:cs="宋体"/>
          <w:color w:val="auto"/>
          <w:sz w:val="24"/>
          <w:highlight w:val="none"/>
        </w:rPr>
        <w:t>的招标、投标、评标、定标、验收、合同履约、付款等行为（法律、法规另有规定的，从其规定）。</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（二）定义</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 xml:space="preserve">浙江省湖州市南浔区南浔镇人民政府 </w:t>
      </w:r>
      <w:r>
        <w:rPr>
          <w:rFonts w:hint="eastAsia" w:ascii="宋体" w:hAnsi="宋体" w:cs="宋体"/>
          <w:color w:val="auto"/>
          <w:sz w:val="24"/>
          <w:highlight w:val="none"/>
        </w:rPr>
        <w:t>（“招标采购单位”）和浙江建安工程管理有限公司（“代理机构”）。</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2.“供应商”系指向招标采购单位提交投标文件的单位。</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3.“产品”系指供方按招标文件规定，须向招标采购单位提供的一切设备、保险、税金、备品备件、工具、手册及其它有关技术资料和材料。</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4.“服务”系指招标文件规定供应商须承担的安装、调试、技术协助、校准、培训、技术指导以及其他类似的义务。</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5.“项目”系指供应商按招标文件规定向招标采购单位提供的产品和服务。</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6.“书面形式”包括信函、传真、电报等。</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olor w:val="auto"/>
          <w:sz w:val="21"/>
          <w:szCs w:val="21"/>
          <w:highlight w:val="none"/>
        </w:rPr>
        <w:t>★</w:t>
      </w:r>
      <w:r>
        <w:rPr>
          <w:rFonts w:hint="eastAsia" w:ascii="宋体" w:hAnsi="宋体" w:cs="宋体"/>
          <w:color w:val="auto"/>
          <w:sz w:val="24"/>
          <w:highlight w:val="none"/>
        </w:rPr>
        <w:t>”系指实质性要求条款。</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（三）招标方式</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本次招标采用公开招标方式进行。</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（四）投标委托</w:t>
      </w:r>
    </w:p>
    <w:p>
      <w:pPr>
        <w:spacing w:line="480" w:lineRule="exact"/>
        <w:ind w:firstLine="480" w:firstLineChars="200"/>
        <w:rPr>
          <w:rFonts w:hint="eastAsia" w:ascii="宋体" w:hAnsi="宋体" w:cs="宋体"/>
          <w:b/>
          <w:color w:val="auto"/>
          <w:sz w:val="24"/>
          <w:highlight w:val="none"/>
          <w:shd w:val="pct10" w:color="auto" w:fill="FFFFFF"/>
        </w:rPr>
      </w:pPr>
      <w:r>
        <w:rPr>
          <w:rFonts w:hint="eastAsia" w:ascii="宋体" w:hAnsi="宋体" w:cs="宋体"/>
          <w:color w:val="auto"/>
          <w:sz w:val="24"/>
          <w:highlight w:val="none"/>
        </w:rPr>
        <w:t>供应商代表须携带有效身份证件。如供应商代表不是法定代表人，须有法定代表人出具的授权委托书（正本用原件，副本用复印件，格式见第四部分），</w:t>
      </w:r>
      <w:r>
        <w:rPr>
          <w:rFonts w:hint="eastAsia" w:ascii="宋体" w:hAnsi="宋体" w:cs="宋体"/>
          <w:b/>
          <w:color w:val="auto"/>
          <w:sz w:val="24"/>
          <w:highlight w:val="none"/>
          <w:shd w:val="pct10" w:color="auto" w:fill="FFFFFF"/>
        </w:rPr>
        <w:t>在开标时需单独提交一份交给招标采购单位，以便对供应商资格进行审核。</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（五）投标费用</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供应商应自行承担投标过程中的所有相关费用，不论中标与否，招标采购单位在任何情况下不承担有关费用。</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（六）联合体投标</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（七）转包与分包</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本项目不允许转包，也不可以分包。</w:t>
      </w:r>
    </w:p>
    <w:p>
      <w:pPr>
        <w:spacing w:before="100" w:beforeAutospacing="1" w:after="100" w:afterAutospacing="1" w:line="360" w:lineRule="exact"/>
        <w:ind w:firstLine="482" w:firstLineChars="200"/>
        <w:contextualSpacing/>
        <w:rPr>
          <w:rFonts w:hint="eastAsia"/>
          <w:b/>
          <w:color w:val="auto"/>
          <w:sz w:val="24"/>
          <w:highlight w:val="none"/>
        </w:rPr>
      </w:pPr>
      <w:r>
        <w:rPr>
          <w:rFonts w:hint="eastAsia"/>
          <w:b/>
          <w:color w:val="auto"/>
          <w:sz w:val="24"/>
          <w:highlight w:val="none"/>
        </w:rPr>
        <w:t>（八）特别说明：</w:t>
      </w:r>
    </w:p>
    <w:p>
      <w:pPr>
        <w:pStyle w:val="26"/>
        <w:spacing w:line="480" w:lineRule="exact"/>
        <w:ind w:firstLine="210" w:firstLineChars="100"/>
        <w:rPr>
          <w:rFonts w:hint="eastAsia" w:hAnsi="宋体" w:cs="宋体"/>
          <w:color w:val="auto"/>
          <w:sz w:val="24"/>
          <w:szCs w:val="24"/>
          <w:highlight w:val="none"/>
        </w:rPr>
      </w:pPr>
      <w:r>
        <w:rPr>
          <w:rFonts w:hint="eastAsia" w:hAnsi="宋体"/>
          <w:color w:val="auto"/>
          <w:highlight w:val="none"/>
        </w:rPr>
        <w:t>★</w:t>
      </w:r>
      <w:r>
        <w:rPr>
          <w:rFonts w:hint="eastAsia" w:hAnsi="宋体" w:cs="宋体"/>
          <w:color w:val="auto"/>
          <w:sz w:val="24"/>
          <w:szCs w:val="24"/>
          <w:highlight w:val="none"/>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pStyle w:val="26"/>
        <w:spacing w:line="480" w:lineRule="exact"/>
        <w:ind w:firstLine="210" w:firstLineChars="100"/>
        <w:rPr>
          <w:rFonts w:hint="eastAsia" w:hAnsi="宋体" w:cs="宋体"/>
          <w:color w:val="auto"/>
          <w:sz w:val="24"/>
          <w:szCs w:val="24"/>
          <w:highlight w:val="none"/>
        </w:rPr>
      </w:pPr>
      <w:r>
        <w:rPr>
          <w:rFonts w:hint="eastAsia" w:hAnsi="宋体"/>
          <w:color w:val="auto"/>
          <w:highlight w:val="none"/>
        </w:rPr>
        <w:t>★</w:t>
      </w:r>
      <w:r>
        <w:rPr>
          <w:rFonts w:hint="eastAsia" w:hAnsi="宋体" w:cs="宋体"/>
          <w:color w:val="auto"/>
          <w:sz w:val="24"/>
          <w:szCs w:val="24"/>
          <w:highlight w:val="none"/>
        </w:rPr>
        <w:t>2.供应商投标所使用的资格、信誉、荣誉、业绩与企业认证必须为本法人所拥有。供应商投标所使用的采购项目实施人员必须为本法人员工（或必须为本法人或控股公司正式员工）。</w:t>
      </w:r>
    </w:p>
    <w:p>
      <w:pPr>
        <w:pStyle w:val="26"/>
        <w:spacing w:line="480" w:lineRule="exact"/>
        <w:ind w:firstLine="210" w:firstLineChars="100"/>
        <w:rPr>
          <w:rFonts w:hint="eastAsia" w:hAnsi="宋体" w:cs="宋体"/>
          <w:color w:val="auto"/>
          <w:sz w:val="24"/>
          <w:szCs w:val="24"/>
          <w:highlight w:val="none"/>
        </w:rPr>
      </w:pPr>
      <w:r>
        <w:rPr>
          <w:rFonts w:hint="eastAsia" w:hAnsi="宋体"/>
          <w:color w:val="auto"/>
          <w:highlight w:val="none"/>
        </w:rPr>
        <w:t>★</w:t>
      </w:r>
      <w:r>
        <w:rPr>
          <w:rFonts w:hint="eastAsia" w:hAnsi="宋体" w:cs="宋体"/>
          <w:color w:val="auto"/>
          <w:sz w:val="24"/>
          <w:szCs w:val="24"/>
          <w:highlight w:val="none"/>
        </w:rPr>
        <w:t>3.供应商应仔细阅读招标文件的所有内容，按照招标文件的要求提交投标文件，并对所提供的全部资料的真实性承担法律责任。</w:t>
      </w:r>
    </w:p>
    <w:p>
      <w:pPr>
        <w:pStyle w:val="26"/>
        <w:spacing w:line="480" w:lineRule="exact"/>
        <w:ind w:firstLine="210" w:firstLineChars="100"/>
        <w:rPr>
          <w:rFonts w:hint="eastAsia" w:hAnsi="宋体" w:cs="宋体"/>
          <w:color w:val="auto"/>
          <w:sz w:val="24"/>
          <w:szCs w:val="24"/>
          <w:highlight w:val="none"/>
        </w:rPr>
      </w:pPr>
      <w:r>
        <w:rPr>
          <w:rFonts w:hint="eastAsia" w:hAnsi="宋体"/>
          <w:color w:val="auto"/>
          <w:highlight w:val="none"/>
        </w:rPr>
        <w:t>★</w:t>
      </w:r>
      <w:r>
        <w:rPr>
          <w:rFonts w:hint="eastAsia" w:hAnsi="宋体" w:cs="宋体"/>
          <w:color w:val="auto"/>
          <w:sz w:val="24"/>
          <w:szCs w:val="24"/>
          <w:highlight w:val="none"/>
        </w:rPr>
        <w:t>4.供应商在投标活动中提供任何虚假材料,其投标无效，并报监管部门查处；中标后发现的,中标供应商须依照《中华人民共和国消费者权益保护法》第49条之规定双倍赔偿招标采购单位，且民事赔偿并不免除违法供应商的行政与刑事责任。</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（九）质疑和投诉：</w:t>
      </w:r>
    </w:p>
    <w:p>
      <w:pPr>
        <w:pStyle w:val="26"/>
        <w:spacing w:line="480" w:lineRule="exact"/>
        <w:ind w:firstLine="240" w:firstLineChars="100"/>
        <w:rPr>
          <w:rFonts w:hint="eastAsia" w:hAnsi="宋体" w:cs="宋体"/>
          <w:color w:val="auto"/>
          <w:sz w:val="24"/>
          <w:szCs w:val="24"/>
          <w:highlight w:val="none"/>
        </w:rPr>
      </w:pPr>
      <w:bookmarkStart w:id="16" w:name="_Toc508900990"/>
      <w:r>
        <w:rPr>
          <w:rFonts w:hint="eastAsia" w:hAnsi="宋体" w:cs="宋体"/>
          <w:color w:val="auto"/>
          <w:sz w:val="24"/>
          <w:szCs w:val="24"/>
          <w:highlight w:val="none"/>
        </w:rPr>
        <w:t>1、供应商认为采购文件、采购过程、中标或者成交结果使自己的权益受到损害的，可以在知道或者应知其权益受到损害之日起7个工作日内，以书面形式向招标采购单位、采购代理机构提出质疑。</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2、供应商须在法定质疑期内一次性提出针对同一采购程序环节的质疑，否则采购代理机构有权拒绝第一次质疑以外其他所有质疑。</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3、提出质疑的供应商应当是参与所质疑项目采购活动的供应商。</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4、潜在供应商已依法获取其可质疑的采购文件的，可以对该文件提出质疑。对采购文件提出质疑的，应当在获取采购文件或者采购文件公告期限届满之日起7个工作日内提出。</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5、供应商提出质疑应当提交质疑函和必要的证明材料。质疑函应当包括下列内容：</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（一）供应商的姓名或者名称、地址、邮编、联系人及联系电话；</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（二）质疑项目的名称、编号；</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（三）具体、明确的质疑事项和与质疑事项相关的请求；</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（四）事实依据；</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（五）必要的法律依据；</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（六）提出质疑的日期。</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供应商为自然人的，应当由本人签字；供应商为法人或者其他组织的，应当由法定代表人、主要负责人，或者其授权代表签字或者盖章，并加盖公章。</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6、质疑人可以采取直接递交、传真或邮寄方式提交质疑函。以其他方式提出的质疑，采购代理机构将不予接受。以传真方式送达质疑函的，质疑人应当及时将质疑函原件送达集中采购机构。</w:t>
      </w:r>
    </w:p>
    <w:p>
      <w:pPr>
        <w:pStyle w:val="26"/>
        <w:spacing w:line="48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7、质疑函须采用财政部发布的政府采购供应商质疑函范本（参考样式可从“浙江省政府采购网-&gt;下载专区-&gt;质疑投诉模板”栏目下载），否则采购代理机构有权要求质疑供应商改正后重新提出。</w:t>
      </w:r>
    </w:p>
    <w:p>
      <w:pPr>
        <w:pStyle w:val="26"/>
        <w:spacing w:line="480" w:lineRule="exact"/>
        <w:ind w:firstLine="240" w:firstLineChars="100"/>
        <w:rPr>
          <w:rFonts w:hint="eastAsia" w:ascii="微软雅黑" w:hAnsi="微软雅黑" w:cs="微软雅黑"/>
          <w:color w:val="auto"/>
          <w:sz w:val="24"/>
          <w:szCs w:val="24"/>
          <w:highlight w:val="none"/>
        </w:rPr>
      </w:pPr>
      <w:r>
        <w:rPr>
          <w:rFonts w:hint="eastAsia" w:hAnsi="宋体" w:cs="宋体"/>
          <w:color w:val="auto"/>
          <w:sz w:val="24"/>
          <w:szCs w:val="24"/>
          <w:highlight w:val="none"/>
        </w:rPr>
        <w:t>8、质疑供应商对招标采购单位、采购代理机构的答复不满意，或者招标采购单位、采购代理机构未在规定时间内作出答复的，可以在答复期满后15个工作日内向财政部门提起投诉。</w:t>
      </w:r>
    </w:p>
    <w:p>
      <w:pPr>
        <w:snapToGrid w:val="0"/>
        <w:spacing w:line="480" w:lineRule="exact"/>
        <w:ind w:firstLine="472" w:firstLineChars="196"/>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二、招标文件</w:t>
      </w:r>
      <w:bookmarkEnd w:id="16"/>
    </w:p>
    <w:p>
      <w:pPr>
        <w:snapToGrid w:val="0"/>
        <w:spacing w:line="48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（一）招标文件的构成：</w:t>
      </w:r>
    </w:p>
    <w:p>
      <w:pPr>
        <w:snapToGrid w:val="0"/>
        <w:spacing w:line="48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本招标文件由以下部分组成：</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2.招标需求</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3.供应商须知</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4.评标办法及标准</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5.合同主要条款</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pPr>
        <w:snapToGrid w:val="0"/>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snapToGrid w:val="0"/>
        <w:spacing w:before="120" w:beforeLines="50" w:line="48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（二）供应商的风险</w:t>
      </w:r>
    </w:p>
    <w:p>
      <w:pPr>
        <w:pStyle w:val="38"/>
        <w:spacing w:line="48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供应商没有按照招标文件要求提供全部资料，或者供应商没有对招标文件在各方面作出实质性响应是供应商的风险，并可能导致其投标被拒绝。</w:t>
      </w:r>
    </w:p>
    <w:p>
      <w:pPr>
        <w:pStyle w:val="14"/>
        <w:widowControl w:val="0"/>
        <w:snapToGrid w:val="0"/>
        <w:spacing w:before="120" w:beforeLines="50" w:after="0" w:afterLines="0" w:line="480" w:lineRule="exact"/>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 xml:space="preserve">（三）招标文件的澄清与修改 </w:t>
      </w:r>
    </w:p>
    <w:p>
      <w:pPr>
        <w:spacing w:before="100" w:beforeAutospacing="1" w:after="100" w:afterAutospacing="1" w:line="360" w:lineRule="exact"/>
        <w:ind w:firstLine="470" w:firstLineChars="196"/>
        <w:contextualSpacing/>
        <w:jc w:val="left"/>
        <w:rPr>
          <w:rFonts w:hAnsi="宋体" w:cs="宋体"/>
          <w:color w:val="auto"/>
          <w:sz w:val="24"/>
          <w:highlight w:val="none"/>
        </w:rPr>
      </w:pPr>
      <w:bookmarkStart w:id="17" w:name="_Toc461980468"/>
      <w:bookmarkStart w:id="18" w:name="_Toc508900991"/>
      <w:r>
        <w:rPr>
          <w:rFonts w:hint="eastAsia" w:hAnsi="宋体" w:cs="宋体"/>
          <w:color w:val="auto"/>
          <w:sz w:val="24"/>
          <w:highlight w:val="none"/>
        </w:rPr>
        <w:t>1.</w:t>
      </w:r>
      <w:r>
        <w:rPr>
          <w:rFonts w:hint="eastAsia" w:hAnsi="宋体" w:cs="宋体"/>
          <w:bCs/>
          <w:color w:val="auto"/>
          <w:sz w:val="24"/>
          <w:highlight w:val="none"/>
        </w:rPr>
        <w:t>供应商应认真阅读本招标文件，发现其中有误或有不合理要求的，供应商必须在</w:t>
      </w:r>
      <w:r>
        <w:rPr>
          <w:rFonts w:hint="eastAsia" w:ascii="宋体" w:hAnsi="宋体" w:cs="宋体"/>
          <w:bCs/>
          <w:color w:val="auto"/>
          <w:sz w:val="24"/>
          <w:highlight w:val="none"/>
          <w:u w:val="single"/>
        </w:rPr>
        <w:t xml:space="preserve"> 2019</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29</w:t>
      </w:r>
      <w:r>
        <w:rPr>
          <w:rFonts w:hint="eastAsia" w:ascii="宋体" w:hAnsi="宋体" w:cs="宋体"/>
          <w:bCs/>
          <w:color w:val="auto"/>
          <w:sz w:val="24"/>
          <w:highlight w:val="none"/>
        </w:rPr>
        <w:t>日</w:t>
      </w:r>
      <w:r>
        <w:rPr>
          <w:rFonts w:hint="eastAsia" w:ascii="宋体" w:hAnsi="宋体" w:cs="宋体"/>
          <w:bCs/>
          <w:color w:val="auto"/>
          <w:sz w:val="24"/>
          <w:highlight w:val="none"/>
          <w:u w:val="single"/>
        </w:rPr>
        <w:t xml:space="preserve"> 16：00 </w:t>
      </w:r>
      <w:r>
        <w:rPr>
          <w:rFonts w:hint="eastAsia" w:hAnsi="宋体" w:cs="宋体"/>
          <w:bCs/>
          <w:color w:val="auto"/>
          <w:sz w:val="24"/>
          <w:highlight w:val="none"/>
        </w:rPr>
        <w:t>前以书面形式要求招标采购单位澄清</w:t>
      </w:r>
      <w:r>
        <w:rPr>
          <w:rFonts w:hint="eastAsia" w:hAnsi="宋体" w:cs="宋体"/>
          <w:color w:val="auto"/>
          <w:sz w:val="24"/>
          <w:highlight w:val="none"/>
        </w:rPr>
        <w:t>。招标采购单位对已发出的招标文件进行必要澄清、答复、修改或补充的，应当在招标文件要求提交投标文件截止时间五日前，在财政部门指定的政府采购信息发布媒体上发布更正公告，并以书面形式通知所有招标文件收受人。</w:t>
      </w:r>
    </w:p>
    <w:p>
      <w:pPr>
        <w:spacing w:before="100" w:beforeAutospacing="1" w:after="100" w:afterAutospacing="1" w:line="360" w:lineRule="exact"/>
        <w:ind w:firstLine="470" w:firstLineChars="196"/>
        <w:contextualSpacing/>
        <w:jc w:val="left"/>
        <w:rPr>
          <w:rFonts w:hAnsi="宋体" w:cs="宋体"/>
          <w:color w:val="auto"/>
          <w:sz w:val="24"/>
          <w:highlight w:val="none"/>
        </w:rPr>
      </w:pPr>
      <w:r>
        <w:rPr>
          <w:rFonts w:hint="eastAsia" w:hAnsi="宋体" w:cs="宋体"/>
          <w:color w:val="auto"/>
          <w:sz w:val="24"/>
          <w:highlight w:val="none"/>
        </w:rPr>
        <w:t>2.招标采购单位必须以书面形式答复供应商要求澄清的问题，并将不包含问题来源的答复书面通知所有购买招标文件的供应商；除书面答复以外的其他澄清方式及澄清内容均无效。</w:t>
      </w:r>
    </w:p>
    <w:p>
      <w:pPr>
        <w:spacing w:before="100" w:beforeAutospacing="1" w:after="100" w:afterAutospacing="1" w:line="360" w:lineRule="exact"/>
        <w:ind w:firstLine="470" w:firstLineChars="196"/>
        <w:contextualSpacing/>
        <w:jc w:val="left"/>
        <w:rPr>
          <w:rFonts w:hAnsi="宋体" w:cs="宋体"/>
          <w:color w:val="auto"/>
          <w:sz w:val="24"/>
          <w:highlight w:val="none"/>
        </w:rPr>
      </w:pPr>
      <w:r>
        <w:rPr>
          <w:rFonts w:hint="eastAsia"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pPr>
        <w:spacing w:before="100" w:beforeAutospacing="1" w:after="100" w:afterAutospacing="1" w:line="360" w:lineRule="exact"/>
        <w:ind w:firstLine="470" w:firstLineChars="196"/>
        <w:contextualSpacing/>
        <w:jc w:val="left"/>
        <w:rPr>
          <w:rFonts w:hint="eastAsia" w:hAnsi="宋体" w:cs="宋体"/>
          <w:b/>
          <w:color w:val="auto"/>
          <w:sz w:val="24"/>
          <w:highlight w:val="none"/>
        </w:rPr>
      </w:pPr>
      <w:r>
        <w:rPr>
          <w:rFonts w:hint="eastAsia" w:hAnsi="宋体" w:cs="宋体"/>
          <w:color w:val="auto"/>
          <w:sz w:val="24"/>
          <w:highlight w:val="none"/>
        </w:rPr>
        <w:t>4.招标文件的澄清、答复、修改或补充都应该通过本招标机构以法定形式发布，招标采购单位非通过本机构，不得擅自澄清、答复、修改或补充招标文件。</w:t>
      </w:r>
    </w:p>
    <w:p>
      <w:pPr>
        <w:pStyle w:val="26"/>
        <w:spacing w:line="480" w:lineRule="exact"/>
        <w:ind w:firstLine="472" w:firstLineChars="196"/>
        <w:jc w:val="center"/>
        <w:outlineLvl w:val="1"/>
        <w:rPr>
          <w:rFonts w:hint="eastAsia" w:hAnsi="宋体" w:cs="宋体"/>
          <w:b/>
          <w:color w:val="auto"/>
          <w:sz w:val="24"/>
          <w:szCs w:val="24"/>
          <w:highlight w:val="none"/>
        </w:rPr>
      </w:pPr>
      <w:r>
        <w:rPr>
          <w:rFonts w:hint="eastAsia" w:hAnsi="宋体" w:cs="宋体"/>
          <w:b/>
          <w:color w:val="auto"/>
          <w:sz w:val="24"/>
          <w:szCs w:val="24"/>
          <w:highlight w:val="none"/>
        </w:rPr>
        <w:t>三、投标文件的编制</w:t>
      </w:r>
      <w:bookmarkEnd w:id="17"/>
      <w:bookmarkEnd w:id="18"/>
    </w:p>
    <w:p>
      <w:pPr>
        <w:spacing w:line="360" w:lineRule="exact"/>
        <w:ind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（一）投标文件的组成</w:t>
      </w:r>
    </w:p>
    <w:p>
      <w:pPr>
        <w:spacing w:line="36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投标文件由《资格文件》、《技术、商务、资信及其他文件》和《报价文件》三部分组成。</w:t>
      </w:r>
    </w:p>
    <w:p>
      <w:pPr>
        <w:pStyle w:val="38"/>
        <w:numPr>
          <w:ilvl w:val="0"/>
          <w:numId w:val="6"/>
        </w:numPr>
        <w:spacing w:line="360" w:lineRule="exact"/>
        <w:ind w:left="560"/>
        <w:rPr>
          <w:rFonts w:hint="eastAsia" w:ascii="宋体" w:hAnsi="宋体" w:cs="宋体"/>
          <w:b/>
          <w:color w:val="auto"/>
          <w:sz w:val="24"/>
          <w:szCs w:val="24"/>
          <w:highlight w:val="none"/>
        </w:rPr>
      </w:pPr>
      <w:r>
        <w:rPr>
          <w:rFonts w:hint="eastAsia" w:ascii="宋体" w:hAnsi="宋体" w:cs="宋体"/>
          <w:b/>
          <w:color w:val="auto"/>
          <w:sz w:val="24"/>
          <w:szCs w:val="24"/>
          <w:highlight w:val="none"/>
        </w:rPr>
        <w:t>资格文件</w:t>
      </w:r>
      <w:r>
        <w:rPr>
          <w:rFonts w:hint="eastAsia" w:ascii="宋体" w:hAnsi="宋体" w:cs="宋体"/>
          <w:b/>
          <w:color w:val="auto"/>
          <w:sz w:val="24"/>
          <w:szCs w:val="24"/>
          <w:highlight w:val="none"/>
          <w:lang w:eastAsia="zh-CN"/>
        </w:rPr>
        <w:t>（单独装订、包封）</w:t>
      </w:r>
      <w:r>
        <w:rPr>
          <w:rFonts w:hint="eastAsia" w:ascii="宋体" w:hAnsi="宋体" w:cs="宋体"/>
          <w:b/>
          <w:color w:val="auto"/>
          <w:sz w:val="24"/>
          <w:szCs w:val="24"/>
          <w:highlight w:val="none"/>
        </w:rPr>
        <w:t>：</w:t>
      </w:r>
    </w:p>
    <w:p>
      <w:pPr>
        <w:pStyle w:val="38"/>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bCs/>
          <w:color w:val="auto"/>
          <w:sz w:val="24"/>
          <w:szCs w:val="24"/>
          <w:highlight w:val="none"/>
        </w:rPr>
        <w:t>（1）供应商情况介绍；</w:t>
      </w:r>
    </w:p>
    <w:p>
      <w:pPr>
        <w:pStyle w:val="38"/>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（2）投标声明书；</w:t>
      </w:r>
    </w:p>
    <w:p>
      <w:pPr>
        <w:pStyle w:val="38"/>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Arial"/>
          <w:color w:val="auto"/>
          <w:sz w:val="24"/>
          <w:szCs w:val="24"/>
          <w:highlight w:val="none"/>
          <w:lang w:eastAsia="zh-CN"/>
        </w:rPr>
        <w:t>营业执照副本</w:t>
      </w:r>
      <w:r>
        <w:rPr>
          <w:rFonts w:hint="eastAsia" w:ascii="宋体" w:hAnsi="宋体" w:cs="宋体"/>
          <w:color w:val="auto"/>
          <w:sz w:val="24"/>
          <w:szCs w:val="24"/>
          <w:highlight w:val="none"/>
        </w:rPr>
        <w:t>；（资格审查条款）</w:t>
      </w:r>
    </w:p>
    <w:p>
      <w:pPr>
        <w:pStyle w:val="38"/>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olor w:val="auto"/>
          <w:sz w:val="24"/>
          <w:szCs w:val="24"/>
          <w:highlight w:val="none"/>
        </w:rPr>
        <w:t>法定代表人身份证明书和</w:t>
      </w:r>
      <w:r>
        <w:rPr>
          <w:rFonts w:hint="eastAsia" w:ascii="宋体" w:hAnsi="宋体" w:cs="宋体"/>
          <w:color w:val="auto"/>
          <w:sz w:val="24"/>
          <w:szCs w:val="24"/>
          <w:highlight w:val="none"/>
        </w:rPr>
        <w:t>法定代表人授权委托书；（资格审查条款）</w:t>
      </w:r>
    </w:p>
    <w:p>
      <w:pPr>
        <w:pStyle w:val="38"/>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（5）经当地税务、社保部门出具的供应商最近一个季度企业纳税情况和社保基金缴纳情况证明文书；</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color w:val="auto"/>
          <w:sz w:val="24"/>
          <w:szCs w:val="24"/>
          <w:highlight w:val="none"/>
        </w:rPr>
        <w:t>（6）</w:t>
      </w:r>
      <w:r>
        <w:rPr>
          <w:rFonts w:hint="eastAsia" w:ascii="宋体" w:hAnsi="宋体" w:cs="宋体"/>
          <w:bCs/>
          <w:color w:val="auto"/>
          <w:sz w:val="24"/>
          <w:szCs w:val="24"/>
          <w:highlight w:val="none"/>
        </w:rPr>
        <w:t>自招标公告发布之后任意时间的“信用中国”（www.creditchina.gov.cn）、中国政府采购（www.ccgp.gov.cn）供应商信用查询网页截图(</w:t>
      </w:r>
      <w:r>
        <w:rPr>
          <w:rFonts w:hint="eastAsia" w:ascii="宋体" w:hAnsi="宋体" w:cs="宋体"/>
          <w:color w:val="auto"/>
          <w:kern w:val="0"/>
          <w:sz w:val="24"/>
          <w:szCs w:val="24"/>
          <w:highlight w:val="none"/>
        </w:rPr>
        <w:t>（二者缺一不可</w:t>
      </w:r>
      <w:r>
        <w:rPr>
          <w:rFonts w:hint="eastAsia" w:ascii="宋体" w:hAnsi="宋体" w:cs="宋体"/>
          <w:bCs/>
          <w:color w:val="auto"/>
          <w:sz w:val="24"/>
          <w:szCs w:val="24"/>
          <w:highlight w:val="none"/>
        </w:rPr>
        <w:t>)；（资格审查条款）</w:t>
      </w:r>
    </w:p>
    <w:p>
      <w:pPr>
        <w:pStyle w:val="38"/>
        <w:spacing w:line="360" w:lineRule="exact"/>
        <w:ind w:left="0" w:leftChars="0" w:firstLine="210" w:firstLineChars="100"/>
        <w:rPr>
          <w:rFonts w:hint="eastAsia" w:ascii="宋体" w:hAnsi="宋体" w:cs="宋体"/>
          <w:color w:val="auto"/>
          <w:sz w:val="24"/>
          <w:szCs w:val="24"/>
          <w:highlight w:val="none"/>
        </w:rPr>
      </w:pPr>
      <w:r>
        <w:rPr>
          <w:rFonts w:hint="eastAsia" w:ascii="宋体" w:hAnsi="宋体"/>
          <w:color w:val="auto"/>
          <w:sz w:val="21"/>
          <w:szCs w:val="21"/>
          <w:highlight w:val="none"/>
        </w:rPr>
        <w:t>★</w:t>
      </w:r>
      <w:r>
        <w:rPr>
          <w:rFonts w:hint="eastAsia" w:ascii="宋体" w:hAnsi="宋体" w:cs="宋体"/>
          <w:b/>
          <w:color w:val="auto"/>
          <w:sz w:val="24"/>
          <w:szCs w:val="24"/>
          <w:highlight w:val="none"/>
        </w:rPr>
        <w:t>注：以上</w:t>
      </w:r>
      <w:r>
        <w:rPr>
          <w:rFonts w:hint="eastAsia" w:ascii="宋体" w:hAnsi="宋体" w:cs="宋体"/>
          <w:b/>
          <w:color w:val="auto"/>
          <w:sz w:val="24"/>
          <w:szCs w:val="24"/>
          <w:highlight w:val="none"/>
          <w:lang w:eastAsia="zh-CN"/>
        </w:rPr>
        <w:t>第</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）条资格审查条款资料</w:t>
      </w:r>
      <w:r>
        <w:rPr>
          <w:rFonts w:hint="eastAsia" w:ascii="宋体" w:hAnsi="宋体" w:cs="宋体"/>
          <w:b/>
          <w:color w:val="auto"/>
          <w:sz w:val="24"/>
          <w:szCs w:val="24"/>
          <w:highlight w:val="none"/>
          <w:lang w:eastAsia="zh-CN"/>
        </w:rPr>
        <w:t>除</w:t>
      </w:r>
      <w:r>
        <w:rPr>
          <w:rFonts w:hint="eastAsia" w:ascii="宋体" w:hAnsi="宋体" w:cs="宋体"/>
          <w:b/>
          <w:color w:val="auto"/>
          <w:sz w:val="24"/>
          <w:szCs w:val="24"/>
          <w:highlight w:val="none"/>
        </w:rPr>
        <w:t>须提供复印件加盖企业公章</w:t>
      </w:r>
      <w:r>
        <w:rPr>
          <w:rFonts w:hint="eastAsia" w:ascii="宋体" w:hAnsi="宋体" w:cs="宋体"/>
          <w:b/>
          <w:color w:val="auto"/>
          <w:sz w:val="24"/>
          <w:szCs w:val="24"/>
          <w:highlight w:val="none"/>
          <w:lang w:eastAsia="zh-CN"/>
        </w:rPr>
        <w:t>外</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另</w:t>
      </w:r>
      <w:r>
        <w:rPr>
          <w:rFonts w:hint="eastAsia" w:ascii="宋体" w:hAnsi="宋体" w:cs="宋体"/>
          <w:b/>
          <w:color w:val="auto"/>
          <w:sz w:val="24"/>
          <w:szCs w:val="24"/>
          <w:highlight w:val="none"/>
        </w:rPr>
        <w:t>同时提供原件审查，原件另用档案袋单独包装，在投标截止时间前与投标文件一同递交，原件未提供的按资格审查不通过处理，其投标予以否决。</w:t>
      </w:r>
    </w:p>
    <w:p>
      <w:pPr>
        <w:keepNext w:val="0"/>
        <w:keepLines w:val="0"/>
        <w:pageBreakBefore w:val="0"/>
        <w:widowControl w:val="0"/>
        <w:kinsoku/>
        <w:wordWrap/>
        <w:overflowPunct/>
        <w:topLinePunct w:val="0"/>
        <w:autoSpaceDE/>
        <w:autoSpaceDN/>
        <w:bidi w:val="0"/>
        <w:adjustRightInd/>
        <w:snapToGrid w:val="0"/>
        <w:spacing w:line="320" w:lineRule="exact"/>
        <w:ind w:firstLine="713" w:firstLineChars="296"/>
        <w:jc w:val="left"/>
        <w:textAlignment w:val="auto"/>
        <w:rPr>
          <w:rFonts w:hint="eastAsia" w:ascii="宋体" w:hAnsi="宋体" w:eastAsia="宋体" w:cs="宋体"/>
          <w:b/>
          <w:color w:val="auto"/>
          <w:sz w:val="24"/>
          <w:highlight w:val="none"/>
          <w:lang w:eastAsia="zh-CN"/>
        </w:rPr>
      </w:pPr>
      <w:r>
        <w:rPr>
          <w:rFonts w:hint="eastAsia" w:ascii="宋体" w:hAnsi="宋体" w:cs="宋体"/>
          <w:b/>
          <w:bCs/>
          <w:color w:val="auto"/>
          <w:sz w:val="24"/>
          <w:highlight w:val="none"/>
        </w:rPr>
        <w:t>2、技术文件</w:t>
      </w:r>
      <w:r>
        <w:rPr>
          <w:rFonts w:hint="eastAsia" w:ascii="宋体" w:hAnsi="宋体" w:cs="宋体"/>
          <w:b/>
          <w:bCs/>
          <w:color w:val="auto"/>
          <w:sz w:val="24"/>
          <w:highlight w:val="none"/>
          <w:lang w:eastAsia="zh-CN"/>
        </w:rPr>
        <w:t>（技术文件和</w:t>
      </w:r>
      <w:r>
        <w:rPr>
          <w:rFonts w:hint="eastAsia" w:ascii="宋体" w:hAnsi="宋体" w:cs="宋体"/>
          <w:b/>
          <w:color w:val="auto"/>
          <w:sz w:val="24"/>
          <w:highlight w:val="none"/>
        </w:rPr>
        <w:t>商务、资信及其他文件</w:t>
      </w:r>
      <w:r>
        <w:rPr>
          <w:rFonts w:hint="eastAsia" w:ascii="宋体" w:hAnsi="宋体" w:cs="宋体"/>
          <w:b/>
          <w:color w:val="auto"/>
          <w:sz w:val="24"/>
          <w:highlight w:val="none"/>
          <w:lang w:eastAsia="zh-CN"/>
        </w:rPr>
        <w:t>可合并装订、包封</w:t>
      </w:r>
      <w:r>
        <w:rPr>
          <w:rFonts w:hint="eastAsia" w:ascii="宋体" w:hAnsi="宋体" w:cs="宋体"/>
          <w:b/>
          <w:bCs/>
          <w:color w:val="auto"/>
          <w:sz w:val="24"/>
          <w:highlight w:val="none"/>
          <w:lang w:eastAsia="zh-CN"/>
        </w:rPr>
        <w:t>）</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（1）评分索引表（格式见附件，主要用于评标对应评分内容，包括技术、商务、资信及其他部分），请根据评标办法及相关内容进行编制；</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）对本项目系统总体要求的理解。包括：功能说明、性能指标及设备选型说明（质量、性能、外观、体积等方面进行比较和选择的理由和过程）；</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）产品质量性能；</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）项目实施方案及保障措施；</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）质量保障措施；</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）技术响应表；</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）产品配置清单（均不含报价）；</w:t>
      </w:r>
    </w:p>
    <w:p>
      <w:pPr>
        <w:pStyle w:val="38"/>
        <w:spacing w:line="360" w:lineRule="exact"/>
        <w:ind w:left="0" w:leftChars="0"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认为要提交的其他内容。</w:t>
      </w:r>
    </w:p>
    <w:p>
      <w:pPr>
        <w:pStyle w:val="38"/>
        <w:keepNext w:val="0"/>
        <w:keepLines w:val="0"/>
        <w:pageBreakBefore w:val="0"/>
        <w:widowControl w:val="0"/>
        <w:kinsoku/>
        <w:wordWrap/>
        <w:overflowPunct/>
        <w:topLinePunct w:val="0"/>
        <w:autoSpaceDE/>
        <w:autoSpaceDN/>
        <w:bidi w:val="0"/>
        <w:adjustRightInd/>
        <w:spacing w:line="320" w:lineRule="exact"/>
        <w:ind w:left="560"/>
        <w:textAlignment w:val="auto"/>
        <w:rPr>
          <w:rFonts w:hint="eastAsia" w:ascii="宋体" w:hAnsi="宋体" w:cs="宋体"/>
          <w:b/>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商务、资信及其他文件</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（1）售后服务承诺；质量保证期内售后服务承诺、质量保证期外售后服务承诺说明。其中必须包含故障响应时间、到达现场时间、处理故障方式及时间。</w:t>
      </w:r>
      <w:r>
        <w:rPr>
          <w:rFonts w:hint="eastAsia" w:ascii="宋体" w:hAnsi="宋体"/>
          <w:color w:val="auto"/>
          <w:sz w:val="24"/>
          <w:highlight w:val="none"/>
          <w:lang w:eastAsia="zh-CN"/>
        </w:rPr>
        <w:t>供应商</w:t>
      </w:r>
      <w:r>
        <w:rPr>
          <w:rFonts w:hint="eastAsia" w:ascii="宋体" w:hAnsi="宋体"/>
          <w:color w:val="auto"/>
          <w:sz w:val="24"/>
          <w:highlight w:val="none"/>
        </w:rPr>
        <w:t>在投标文件中说明在保质期内提供的服务计划，质保期外服务计划与收费标准；</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（2）商务响应表；</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（3）优惠条件：</w:t>
      </w:r>
      <w:r>
        <w:rPr>
          <w:rFonts w:hint="eastAsia" w:ascii="宋体" w:hAnsi="宋体"/>
          <w:color w:val="auto"/>
          <w:sz w:val="24"/>
          <w:highlight w:val="none"/>
          <w:lang w:eastAsia="zh-CN"/>
        </w:rPr>
        <w:t>供应商</w:t>
      </w:r>
      <w:r>
        <w:rPr>
          <w:rFonts w:hint="eastAsia" w:ascii="宋体" w:hAnsi="宋体"/>
          <w:color w:val="auto"/>
          <w:sz w:val="24"/>
          <w:highlight w:val="none"/>
        </w:rPr>
        <w:t>承诺的各种优惠条件，包括售后服务、备品备件、专用耗材等方面的优惠；</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（4）企业业绩（以2013年1月1日至今同类项目业绩证明为准，须提供合同复印件加盖公章）</w:t>
      </w:r>
    </w:p>
    <w:p>
      <w:pPr>
        <w:pStyle w:val="38"/>
        <w:keepNext w:val="0"/>
        <w:keepLines w:val="0"/>
        <w:pageBreakBefore w:val="0"/>
        <w:widowControl w:val="0"/>
        <w:kinsoku/>
        <w:wordWrap/>
        <w:overflowPunct/>
        <w:topLinePunct w:val="0"/>
        <w:autoSpaceDE/>
        <w:autoSpaceDN/>
        <w:bidi w:val="0"/>
        <w:adjustRightInd/>
        <w:snapToGrid/>
        <w:spacing w:line="320" w:lineRule="exact"/>
        <w:ind w:left="56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）供应商如属于中小企业、享</w:t>
      </w:r>
      <w:r>
        <w:rPr>
          <w:rFonts w:hint="eastAsia" w:ascii="宋体" w:hAnsi="宋体" w:cs="宋体"/>
          <w:bCs/>
          <w:color w:val="auto"/>
          <w:sz w:val="24"/>
          <w:szCs w:val="24"/>
          <w:highlight w:val="none"/>
        </w:rPr>
        <w:t>受其他的国家政策支持、扶持的相关证明资料及法</w:t>
      </w:r>
    </w:p>
    <w:p>
      <w:pPr>
        <w:pStyle w:val="3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律依据。</w:t>
      </w:r>
    </w:p>
    <w:p>
      <w:pPr>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需要说明的其他文件和说明。</w:t>
      </w:r>
    </w:p>
    <w:p>
      <w:pPr>
        <w:keepNext w:val="0"/>
        <w:keepLines w:val="0"/>
        <w:pageBreakBefore w:val="0"/>
        <w:widowControl w:val="0"/>
        <w:kinsoku/>
        <w:wordWrap/>
        <w:overflowPunct/>
        <w:topLinePunct w:val="0"/>
        <w:autoSpaceDE/>
        <w:autoSpaceDN/>
        <w:bidi w:val="0"/>
        <w:adjustRightInd/>
        <w:snapToGrid w:val="0"/>
        <w:spacing w:line="320" w:lineRule="exact"/>
        <w:ind w:firstLine="723" w:firstLineChars="3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4、报价文件</w:t>
      </w:r>
      <w:r>
        <w:rPr>
          <w:rFonts w:hint="eastAsia" w:ascii="宋体" w:hAnsi="宋体" w:cs="宋体"/>
          <w:b/>
          <w:bCs/>
          <w:color w:val="auto"/>
          <w:sz w:val="24"/>
          <w:highlight w:val="none"/>
          <w:lang w:eastAsia="zh-CN"/>
        </w:rPr>
        <w:t>（须</w:t>
      </w:r>
      <w:r>
        <w:rPr>
          <w:rFonts w:hint="eastAsia" w:ascii="宋体" w:hAnsi="宋体" w:cs="宋体"/>
          <w:b/>
          <w:color w:val="auto"/>
          <w:sz w:val="24"/>
          <w:szCs w:val="24"/>
          <w:highlight w:val="none"/>
          <w:lang w:eastAsia="zh-CN"/>
        </w:rPr>
        <w:t>单独装订、包封）</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 xml:space="preserve">（1）投标函； </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（2）开标一览表；</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（3）投标报价明细表;</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（4）招标代理服务费承诺函；</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针对报价需要说明的其他文件和说明。</w:t>
      </w:r>
    </w:p>
    <w:p>
      <w:pPr>
        <w:keepNext w:val="0"/>
        <w:keepLines w:val="0"/>
        <w:pageBreakBefore w:val="0"/>
        <w:widowControl w:val="0"/>
        <w:kinsoku/>
        <w:wordWrap/>
        <w:overflowPunct/>
        <w:topLinePunct w:val="0"/>
        <w:autoSpaceDE/>
        <w:autoSpaceDN/>
        <w:bidi w:val="0"/>
        <w:adjustRightInd/>
        <w:spacing w:before="100" w:beforeAutospacing="1" w:after="100" w:afterAutospacing="1" w:line="320" w:lineRule="exact"/>
        <w:ind w:firstLine="420" w:firstLineChars="200"/>
        <w:contextualSpacing/>
        <w:textAlignment w:val="auto"/>
        <w:rPr>
          <w:rFonts w:hint="eastAsia" w:ascii="宋体" w:hAnsi="宋体" w:cs="宋体"/>
          <w:color w:val="auto"/>
          <w:sz w:val="24"/>
          <w:highlight w:val="none"/>
        </w:rPr>
      </w:pPr>
      <w:r>
        <w:rPr>
          <w:rFonts w:hint="eastAsia" w:ascii="宋体" w:hAnsi="宋体"/>
          <w:color w:val="auto"/>
          <w:sz w:val="21"/>
          <w:szCs w:val="21"/>
          <w:highlight w:val="none"/>
        </w:rPr>
        <w:t>★</w:t>
      </w:r>
      <w:r>
        <w:rPr>
          <w:rFonts w:hint="eastAsia" w:ascii="宋体" w:hAnsi="宋体" w:cs="宋体"/>
          <w:b/>
          <w:bCs/>
          <w:color w:val="auto"/>
          <w:sz w:val="24"/>
          <w:highlight w:val="none"/>
        </w:rPr>
        <w:t>注：</w:t>
      </w:r>
      <w:r>
        <w:rPr>
          <w:rFonts w:hint="eastAsia" w:ascii="宋体" w:hAnsi="宋体" w:cs="宋体"/>
          <w:b/>
          <w:color w:val="auto"/>
          <w:sz w:val="24"/>
          <w:highlight w:val="none"/>
        </w:rPr>
        <w:t>法定代表人授权委托书、投标声明书、投标函、开标一览表必须由法定代表人或授权人签名并加盖单位公章。</w:t>
      </w:r>
    </w:p>
    <w:p>
      <w:pPr>
        <w:spacing w:line="480" w:lineRule="exact"/>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（二）投标文件的语言及计量</w:t>
      </w:r>
    </w:p>
    <w:p>
      <w:pPr>
        <w:spacing w:before="100" w:beforeAutospacing="1" w:after="100" w:afterAutospacing="1" w:line="360" w:lineRule="exact"/>
        <w:ind w:firstLine="420" w:firstLineChars="200"/>
        <w:contextualSpacing/>
        <w:jc w:val="left"/>
        <w:rPr>
          <w:rFonts w:hint="eastAsia" w:ascii="宋体" w:hAnsi="宋体" w:cs="宋体"/>
          <w:color w:val="auto"/>
          <w:sz w:val="24"/>
          <w:highlight w:val="none"/>
        </w:rPr>
      </w:pPr>
      <w:r>
        <w:rPr>
          <w:rFonts w:hint="eastAsia" w:ascii="宋体" w:hAnsi="宋体"/>
          <w:color w:val="auto"/>
          <w:sz w:val="21"/>
          <w:szCs w:val="21"/>
          <w:highlight w:val="none"/>
        </w:rPr>
        <w:t>★</w:t>
      </w:r>
      <w:r>
        <w:rPr>
          <w:rFonts w:hint="eastAsia" w:ascii="宋体" w:hAnsi="宋体" w:cs="宋体"/>
          <w:color w:val="auto"/>
          <w:sz w:val="24"/>
          <w:highlight w:val="none"/>
        </w:rPr>
        <w:t>1.投标文件以及供应商与招标采购单位就有关投标事宜的所有来往函电，均应以中文汉语书写。除签名、盖章、专用名称等特殊情形外，以中文汉语以外的文字表述的投标文件视同未提供。</w:t>
      </w:r>
    </w:p>
    <w:p>
      <w:pPr>
        <w:spacing w:before="100" w:beforeAutospacing="1" w:after="100" w:afterAutospacing="1" w:line="360" w:lineRule="exact"/>
        <w:ind w:firstLine="420" w:firstLineChars="200"/>
        <w:contextualSpacing/>
        <w:jc w:val="left"/>
        <w:rPr>
          <w:rFonts w:hint="eastAsia" w:ascii="宋体" w:hAnsi="宋体" w:cs="宋体"/>
          <w:color w:val="auto"/>
          <w:sz w:val="24"/>
          <w:highlight w:val="none"/>
        </w:rPr>
      </w:pPr>
      <w:r>
        <w:rPr>
          <w:rFonts w:hint="eastAsia" w:ascii="宋体" w:hAnsi="宋体"/>
          <w:color w:val="auto"/>
          <w:sz w:val="21"/>
          <w:szCs w:val="21"/>
          <w:highlight w:val="none"/>
        </w:rPr>
        <w:t>★</w:t>
      </w:r>
      <w:r>
        <w:rPr>
          <w:rFonts w:hint="eastAsia" w:ascii="宋体" w:hAnsi="宋体" w:cs="宋体"/>
          <w:color w:val="auto"/>
          <w:sz w:val="24"/>
          <w:highlight w:val="none"/>
        </w:rPr>
        <w:t>2.投标计量单位，应采用中华人民共和国法定计量单位（货币单位：人民币元），否则视同未响应。</w:t>
      </w:r>
    </w:p>
    <w:p>
      <w:pPr>
        <w:spacing w:line="480" w:lineRule="exact"/>
        <w:ind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（三）投标报价</w:t>
      </w:r>
    </w:p>
    <w:p>
      <w:pPr>
        <w:snapToGrid w:val="0"/>
        <w:spacing w:line="400" w:lineRule="exact"/>
        <w:ind w:firstLine="420" w:firstLineChars="200"/>
        <w:jc w:val="left"/>
        <w:rPr>
          <w:rFonts w:hint="eastAsia" w:ascii="宋体" w:hAnsi="宋体" w:cs="宋体"/>
          <w:color w:val="auto"/>
          <w:sz w:val="24"/>
          <w:highlight w:val="none"/>
        </w:rPr>
      </w:pPr>
      <w:r>
        <w:rPr>
          <w:rFonts w:hint="eastAsia" w:ascii="宋体" w:hAnsi="宋体"/>
          <w:color w:val="auto"/>
          <w:sz w:val="21"/>
          <w:szCs w:val="21"/>
          <w:highlight w:val="none"/>
        </w:rPr>
        <w:t>★</w:t>
      </w:r>
      <w:r>
        <w:rPr>
          <w:rFonts w:hint="eastAsia" w:ascii="宋体" w:hAnsi="宋体" w:cs="宋体"/>
          <w:color w:val="auto"/>
          <w:sz w:val="24"/>
          <w:highlight w:val="none"/>
        </w:rPr>
        <w:t>1.投标报价应按招标文件中相关附表格式填写。投标报价为本招标项目全部工作内容的报价。</w:t>
      </w:r>
    </w:p>
    <w:p>
      <w:pPr>
        <w:pStyle w:val="26"/>
        <w:ind w:firstLine="420" w:firstLineChars="200"/>
        <w:jc w:val="left"/>
        <w:rPr>
          <w:rFonts w:hint="eastAsia" w:hAnsi="宋体" w:cs="宋体"/>
          <w:color w:val="auto"/>
          <w:sz w:val="24"/>
          <w:szCs w:val="24"/>
          <w:highlight w:val="none"/>
        </w:rPr>
      </w:pPr>
      <w:r>
        <w:rPr>
          <w:rFonts w:hint="eastAsia" w:hAnsi="宋体"/>
          <w:color w:val="auto"/>
          <w:highlight w:val="none"/>
        </w:rPr>
        <w:t>★</w:t>
      </w:r>
      <w:r>
        <w:rPr>
          <w:rFonts w:hint="eastAsia" w:hAnsi="宋体" w:cs="宋体"/>
          <w:color w:val="auto"/>
          <w:sz w:val="24"/>
          <w:szCs w:val="24"/>
          <w:highlight w:val="none"/>
        </w:rPr>
        <w:t>2.投标报价是履行合同的最终价格，应包括设备、标准附件、备品备件、专用工具、包装、运输、装卸、保险、税金、货到就位以及安装、调试、培训、保修等一切税金和费用。</w:t>
      </w:r>
    </w:p>
    <w:p>
      <w:pPr>
        <w:tabs>
          <w:tab w:val="left" w:pos="525"/>
        </w:tabs>
        <w:snapToGrid w:val="0"/>
        <w:spacing w:line="400" w:lineRule="exact"/>
        <w:ind w:firstLine="420" w:firstLineChars="200"/>
        <w:jc w:val="left"/>
        <w:rPr>
          <w:rFonts w:hint="eastAsia" w:ascii="宋体" w:hAnsi="宋体" w:cs="宋体"/>
          <w:color w:val="auto"/>
          <w:sz w:val="24"/>
          <w:highlight w:val="none"/>
        </w:rPr>
      </w:pPr>
      <w:r>
        <w:rPr>
          <w:rFonts w:hint="eastAsia" w:ascii="宋体" w:hAnsi="宋体"/>
          <w:color w:val="auto"/>
          <w:sz w:val="21"/>
          <w:szCs w:val="21"/>
          <w:highlight w:val="none"/>
        </w:rPr>
        <w:t>★</w:t>
      </w:r>
      <w:r>
        <w:rPr>
          <w:rFonts w:hint="eastAsia" w:ascii="宋体" w:hAnsi="宋体" w:cs="宋体"/>
          <w:color w:val="auto"/>
          <w:sz w:val="24"/>
          <w:highlight w:val="none"/>
        </w:rPr>
        <w:t>3.投标文件只允许有一个报价，有选择的或有条件的报价将不予接受。</w:t>
      </w:r>
    </w:p>
    <w:p>
      <w:pPr>
        <w:pStyle w:val="14"/>
        <w:widowControl w:val="0"/>
        <w:snapToGrid w:val="0"/>
        <w:spacing w:before="120" w:beforeLines="50" w:afterLines="0" w:line="480" w:lineRule="exact"/>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（四）投标文件的有效期</w:t>
      </w:r>
    </w:p>
    <w:p>
      <w:pPr>
        <w:spacing w:before="100" w:beforeAutospacing="1" w:after="100" w:afterAutospacing="1" w:line="360" w:lineRule="exact"/>
        <w:ind w:firstLine="420" w:firstLineChars="200"/>
        <w:contextualSpacing/>
        <w:rPr>
          <w:rFonts w:ascii="宋体" w:hAnsi="宋体" w:cs="宋体"/>
          <w:color w:val="auto"/>
          <w:sz w:val="24"/>
          <w:highlight w:val="none"/>
        </w:rPr>
      </w:pPr>
      <w:r>
        <w:rPr>
          <w:rFonts w:hint="eastAsia" w:ascii="宋体" w:hAnsi="宋体"/>
          <w:color w:val="auto"/>
          <w:sz w:val="21"/>
          <w:szCs w:val="21"/>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天投标文件应保持有效。有效期不足的投标文件将被拒绝。</w:t>
      </w:r>
    </w:p>
    <w:p>
      <w:pPr>
        <w:spacing w:before="100" w:beforeAutospacing="1" w:after="100" w:afterAutospacing="1" w:line="3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2.在特殊情况下，招标采购单位可与供应商协商延长投标书的有效期，这种要求和答复均以书面形式进行。</w:t>
      </w:r>
    </w:p>
    <w:p>
      <w:pPr>
        <w:spacing w:before="100" w:beforeAutospacing="1" w:after="100" w:afterAutospacing="1" w:line="360" w:lineRule="exact"/>
        <w:ind w:firstLine="480" w:firstLineChars="200"/>
        <w:contextualSpacing/>
        <w:rPr>
          <w:rFonts w:ascii="宋体" w:hAnsi="宋体" w:cs="宋体"/>
          <w:color w:val="auto"/>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中标供应商的投标文件自开标之日起至合同履行完毕止均应保持有效。</w:t>
      </w:r>
    </w:p>
    <w:p>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（五）投标文件的签署和份数</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1.供应商应按本招标文件规定的格式和顺序编制、装订投标文件并标注页码，投标文件内容不完整、编排混乱导致投标文件被误读、漏读或者查找不到相关内容的，是供应商的责任。</w:t>
      </w:r>
    </w:p>
    <w:p>
      <w:pPr>
        <w:spacing w:before="100" w:beforeAutospacing="1" w:after="100" w:afterAutospacing="1" w:line="360" w:lineRule="exact"/>
        <w:ind w:firstLine="480" w:firstLineChars="200"/>
        <w:contextualSpacing/>
        <w:jc w:val="left"/>
        <w:rPr>
          <w:rFonts w:hint="eastAsia" w:ascii="宋体" w:hAnsi="宋体" w:cs="宋体"/>
          <w:b/>
          <w:color w:val="auto"/>
          <w:sz w:val="24"/>
          <w:highlight w:val="none"/>
        </w:rPr>
      </w:pPr>
      <w:r>
        <w:rPr>
          <w:rFonts w:hint="eastAsia" w:ascii="宋体" w:hAnsi="宋体" w:cs="宋体"/>
          <w:color w:val="auto"/>
          <w:sz w:val="24"/>
          <w:highlight w:val="none"/>
        </w:rPr>
        <w:t>2.供应商应按“资格文件”、“技术、商务、资信及其他文件”和“报价文件”正本各1份，副本各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份，应分别编制并单独装订成册，投标文件的封面应注明“正本”、“副本”字样。</w:t>
      </w:r>
      <w:r>
        <w:rPr>
          <w:rFonts w:hint="eastAsia" w:ascii="宋体" w:hAnsi="宋体" w:cs="宋体"/>
          <w:b/>
          <w:color w:val="auto"/>
          <w:sz w:val="24"/>
          <w:highlight w:val="none"/>
        </w:rPr>
        <w:t>活页装订的投标文件将被拒绝。</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3.投标文件需打印或用不褪色的墨水填写，投标文件正本除本《供应商须知》中规定的可提供复印件外均须提供原件。副本可为正本的复印件。</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4.投标文件须由供应商在规定的位置盖章并由供应商法定代表人或法定代表人的授权委托人签署，供应商应写全称。</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5.投标文件不得涂改，若有修改错漏处，须加盖单位公章或者法定代表人或授权委托人签字或盖章。投标文件因字迹潦草或表达不清所引起的后果由供应商负责。</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kern w:val="0"/>
          <w:sz w:val="24"/>
          <w:highlight w:val="none"/>
        </w:rPr>
        <w:t xml:space="preserve">资格文件中涉及的所有原件及资信及商务文件、技术评分中要求提供的证明资料原件需在投标截止时间前递交，否则视为资格审查不合格或资信及其他评分相关内容不得分。 </w:t>
      </w:r>
    </w:p>
    <w:p>
      <w:pPr>
        <w:snapToGrid w:val="0"/>
        <w:spacing w:before="120" w:beforeLines="50" w:line="480" w:lineRule="exact"/>
        <w:ind w:firstLine="354" w:firstLineChars="147"/>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pPr>
        <w:spacing w:before="100" w:beforeAutospacing="1" w:after="100" w:afterAutospacing="1" w:line="36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投标文件应按“资格文件”、“技术、商务、资信及其他文件”和“报价文件”单独包装正本1份和副本3份，“报价文件”和”资格文件”、“技术、商务、资信及其他文件”必须分开单独装订包封，</w:t>
      </w:r>
      <w:r>
        <w:rPr>
          <w:rFonts w:hint="eastAsia" w:ascii="宋体" w:hAnsi="宋体" w:cs="宋体"/>
          <w:color w:val="auto"/>
          <w:sz w:val="24"/>
          <w:highlight w:val="none"/>
        </w:rPr>
        <w:t>包装封面上应标明“供应商名称、供应商地址、招标编号、投标项目名称（注明资格文件，技术、商务、资信及其他文件或者报价文件），及“在开标截止时间之前不得启封”字样，并在封口加盖单位公章。</w:t>
      </w:r>
    </w:p>
    <w:p>
      <w:pPr>
        <w:spacing w:before="100" w:beforeAutospacing="1" w:after="100" w:afterAutospacing="1" w:line="360" w:lineRule="exact"/>
        <w:ind w:firstLine="420"/>
        <w:contextualSpacing/>
        <w:jc w:val="left"/>
        <w:rPr>
          <w:rFonts w:hint="eastAsia" w:ascii="宋体" w:hAnsi="宋体" w:cs="宋体"/>
          <w:color w:val="auto"/>
          <w:sz w:val="24"/>
          <w:highlight w:val="none"/>
        </w:rPr>
      </w:pPr>
      <w:r>
        <w:rPr>
          <w:rFonts w:hint="eastAsia" w:ascii="宋体" w:hAnsi="宋体" w:cs="宋体"/>
          <w:color w:val="auto"/>
          <w:sz w:val="24"/>
          <w:highlight w:val="none"/>
        </w:rPr>
        <w:t>2.未按规定密封或标记的投标文件将被拒绝，由此造成投标文件被误投或提前拆封的风险由供应商承担。</w:t>
      </w:r>
    </w:p>
    <w:p>
      <w:pPr>
        <w:spacing w:before="100" w:beforeAutospacing="1" w:after="100" w:afterAutospacing="1" w:line="360" w:lineRule="exact"/>
        <w:ind w:firstLine="42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在投标截止时间之前，可以对已提交的投标文件进行修改或撤回，并书面通知招标采购单位；投标截止时间后，供应商不得撤回、修改投标文件。修改后重新递交的投标文件应当按本招标文件的要求签署、盖章和密封。</w:t>
      </w:r>
    </w:p>
    <w:p>
      <w:pPr>
        <w:widowControl/>
        <w:spacing w:before="100" w:beforeAutospacing="1" w:after="100" w:afterAutospacing="1" w:line="360" w:lineRule="exact"/>
        <w:ind w:firstLine="482" w:firstLineChars="200"/>
        <w:contextualSpacing/>
        <w:rPr>
          <w:rFonts w:hint="eastAsia" w:ascii="宋体" w:hAnsi="宋体"/>
          <w:b/>
          <w:color w:val="auto"/>
          <w:sz w:val="24"/>
          <w:highlight w:val="none"/>
        </w:rPr>
      </w:pPr>
      <w:r>
        <w:rPr>
          <w:rFonts w:hint="eastAsia" w:ascii="宋体" w:hAnsi="宋体" w:cs="宋体"/>
          <w:b/>
          <w:color w:val="auto"/>
          <w:sz w:val="24"/>
          <w:highlight w:val="none"/>
          <w:u w:val="single"/>
        </w:rPr>
        <w:t>4.</w:t>
      </w:r>
      <w:r>
        <w:rPr>
          <w:rFonts w:hint="eastAsia" w:ascii="宋体" w:hAnsi="宋体"/>
          <w:b/>
          <w:color w:val="auto"/>
          <w:sz w:val="24"/>
          <w:highlight w:val="none"/>
          <w:u w:val="single"/>
        </w:rPr>
        <w:t>开标当天未按要求提供相应资格文件及原件的，按资格审查不通过处理</w:t>
      </w:r>
      <w:r>
        <w:rPr>
          <w:rFonts w:hint="eastAsia" w:ascii="宋体" w:hAnsi="宋体"/>
          <w:b/>
          <w:color w:val="auto"/>
          <w:sz w:val="24"/>
          <w:highlight w:val="none"/>
        </w:rPr>
        <w:t>。</w:t>
      </w:r>
    </w:p>
    <w:p>
      <w:pPr>
        <w:widowControl/>
        <w:spacing w:before="100" w:beforeAutospacing="1" w:after="100" w:afterAutospacing="1" w:line="360" w:lineRule="exact"/>
        <w:ind w:firstLine="482" w:firstLineChars="200"/>
        <w:contextualSpacing/>
        <w:rPr>
          <w:rFonts w:hint="eastAsia" w:ascii="宋体" w:hAnsi="宋体" w:cs="宋体"/>
          <w:b/>
          <w:color w:val="auto"/>
          <w:sz w:val="24"/>
          <w:highlight w:val="none"/>
          <w:u w:val="single"/>
        </w:rPr>
      </w:pPr>
      <w:r>
        <w:rPr>
          <w:rFonts w:hint="eastAsia" w:ascii="宋体" w:hAnsi="宋体" w:cs="宋体"/>
          <w:b/>
          <w:color w:val="auto"/>
          <w:sz w:val="24"/>
          <w:highlight w:val="none"/>
          <w:u w:val="single"/>
        </w:rPr>
        <w:t>5.技术、商务、资信及其他文件的评审中涉及的所有原件核查或者要求提供证明资料的，所需原件应单独包封，并在投标截止时间前与投标文件一同递交，否则将导致技术、商务、资信及其他文件相关内容不得分。</w:t>
      </w:r>
    </w:p>
    <w:p>
      <w:pPr>
        <w:widowControl/>
        <w:spacing w:before="100" w:beforeAutospacing="1" w:after="100" w:afterAutospacing="1" w:line="360" w:lineRule="exact"/>
        <w:ind w:firstLine="482" w:firstLineChars="200"/>
        <w:contextualSpacing/>
        <w:rPr>
          <w:rFonts w:hint="eastAsia" w:ascii="宋体" w:hAnsi="宋体" w:cs="宋体"/>
          <w:b/>
          <w:color w:val="auto"/>
          <w:sz w:val="24"/>
          <w:highlight w:val="none"/>
          <w:u w:val="single"/>
        </w:rPr>
      </w:pPr>
      <w:r>
        <w:rPr>
          <w:rFonts w:hint="eastAsia" w:ascii="宋体" w:hAnsi="宋体" w:cs="宋体"/>
          <w:b/>
          <w:color w:val="auto"/>
          <w:sz w:val="24"/>
          <w:highlight w:val="none"/>
          <w:u w:val="single"/>
        </w:rPr>
        <w:t>6.未在投标截止时间之前递交的投标文件将被视为无效标。</w:t>
      </w:r>
    </w:p>
    <w:p>
      <w:pPr>
        <w:spacing w:line="480" w:lineRule="exact"/>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（七）投标无效的情形</w:t>
      </w:r>
    </w:p>
    <w:p>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pacing w:before="100" w:beforeAutospacing="1" w:after="100" w:afterAutospacing="1" w:line="360" w:lineRule="exact"/>
        <w:ind w:firstLine="482" w:firstLineChars="200"/>
        <w:contextualSpacing/>
        <w:rPr>
          <w:rFonts w:hint="eastAsia" w:hAns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w:t>
      </w:r>
      <w:r>
        <w:rPr>
          <w:rFonts w:hint="eastAsia" w:hAnsi="宋体" w:cs="宋体"/>
          <w:b/>
          <w:bCs/>
          <w:color w:val="auto"/>
          <w:sz w:val="24"/>
          <w:highlight w:val="none"/>
        </w:rPr>
        <w:t>在评标开始前，招标采购单位或采购代理机构对供应商的资格进行审查，如发现下列情形之一的，投标文件将被视为无效，不再进行下一步评审：</w:t>
      </w:r>
    </w:p>
    <w:p>
      <w:pPr>
        <w:widowControl/>
        <w:numPr>
          <w:ilvl w:val="0"/>
          <w:numId w:val="7"/>
        </w:numPr>
        <w:spacing w:before="100" w:beforeAutospacing="1" w:after="100" w:afterAutospacing="1" w:line="360" w:lineRule="exact"/>
        <w:ind w:right="62"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未提供</w:t>
      </w:r>
      <w:r>
        <w:rPr>
          <w:rFonts w:hint="eastAsia" w:ascii="宋体" w:hAnsi="宋体" w:cs="宋体"/>
          <w:bCs/>
          <w:color w:val="auto"/>
          <w:sz w:val="24"/>
          <w:highlight w:val="none"/>
          <w:lang w:eastAsia="zh-CN"/>
        </w:rPr>
        <w:t>营业执照副本</w:t>
      </w:r>
      <w:r>
        <w:rPr>
          <w:rFonts w:hint="eastAsia" w:ascii="宋体" w:hAnsi="宋体" w:cs="宋体"/>
          <w:bCs/>
          <w:color w:val="auto"/>
          <w:sz w:val="24"/>
          <w:highlight w:val="none"/>
        </w:rPr>
        <w:t>的；</w:t>
      </w:r>
    </w:p>
    <w:p>
      <w:pPr>
        <w:widowControl/>
        <w:numPr>
          <w:ilvl w:val="0"/>
          <w:numId w:val="7"/>
        </w:numPr>
        <w:spacing w:before="100" w:beforeAutospacing="1" w:after="100" w:afterAutospacing="1" w:line="360" w:lineRule="exact"/>
        <w:ind w:right="62"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未提供法定代表人有效身份证明书及身份证或未提供法定代表人授权书与授权人身份证或与法定代表人授权委托人身份不符的；</w:t>
      </w:r>
    </w:p>
    <w:p>
      <w:pPr>
        <w:widowControl/>
        <w:numPr>
          <w:ilvl w:val="0"/>
          <w:numId w:val="7"/>
        </w:numPr>
        <w:spacing w:before="100" w:beforeAutospacing="1" w:after="100" w:afterAutospacing="1" w:line="360" w:lineRule="exact"/>
        <w:ind w:left="0" w:leftChars="0" w:right="62"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未提供经当地税务、社保部门出具的供应商最近一个季度企业纳税情况和社保基金缴纳情况证明文书；</w:t>
      </w:r>
    </w:p>
    <w:p>
      <w:pPr>
        <w:widowControl/>
        <w:numPr>
          <w:ilvl w:val="0"/>
          <w:numId w:val="7"/>
        </w:numPr>
        <w:spacing w:before="100" w:beforeAutospacing="1" w:after="100" w:afterAutospacing="1" w:line="360" w:lineRule="exact"/>
        <w:ind w:left="0" w:leftChars="0" w:right="62"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自招标公告发布之日起至投标截止日内，在“信用中国网” (www.creditchina.gov.cn)被列入失信被执行人、重大税收违法当事人名单、政府采购严重违法失信行为记录名单的供应商，资格审查时不予以通过；</w:t>
      </w:r>
    </w:p>
    <w:p>
      <w:pPr>
        <w:widowControl/>
        <w:spacing w:before="100" w:beforeAutospacing="1" w:after="100" w:afterAutospacing="1" w:line="360" w:lineRule="exact"/>
        <w:ind w:right="62"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（5）投标截止前，在“中国政府采购网”(www.ccgp.gov.cn)被列入政府采购严重违法失信行为记录名单中的供应商且在处罚有效期内的供应商，资格审查时不予以通过；</w:t>
      </w:r>
    </w:p>
    <w:p>
      <w:pPr>
        <w:widowControl/>
        <w:spacing w:before="100" w:beforeAutospacing="1" w:after="100" w:afterAutospacing="1" w:line="360" w:lineRule="exact"/>
        <w:ind w:right="62"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（6）资格文件不全的，或者不符合招标文件标明的资格要求的。</w:t>
      </w:r>
    </w:p>
    <w:p>
      <w:pPr>
        <w:widowControl/>
        <w:spacing w:before="100" w:beforeAutospacing="1" w:after="100" w:afterAutospacing="1" w:line="360" w:lineRule="exact"/>
        <w:ind w:right="62" w:firstLine="482" w:firstLineChars="200"/>
        <w:contextualSpacing/>
        <w:rPr>
          <w:rFonts w:hAnsi="宋体" w:cs="宋体"/>
          <w:b/>
          <w:bCs/>
          <w:color w:val="auto"/>
          <w:sz w:val="24"/>
          <w:highlight w:val="none"/>
        </w:rPr>
      </w:pPr>
      <w:bookmarkStart w:id="19" w:name="_Toc508900992"/>
      <w:r>
        <w:rPr>
          <w:rFonts w:hint="eastAsia" w:hAnsi="宋体" w:cs="宋体"/>
          <w:b/>
          <w:bCs/>
          <w:color w:val="auto"/>
          <w:sz w:val="24"/>
          <w:highlight w:val="none"/>
        </w:rPr>
        <w:t>2.在符合性审查和商务评审时，如发现下列情形之一的，投标文件将被视为无效：</w:t>
      </w:r>
    </w:p>
    <w:p>
      <w:pPr>
        <w:widowControl/>
        <w:spacing w:before="100" w:beforeAutospacing="1" w:after="100" w:afterAutospacing="1" w:line="360" w:lineRule="exact"/>
        <w:ind w:right="62" w:firstLine="480" w:firstLineChars="200"/>
        <w:contextualSpacing/>
        <w:rPr>
          <w:rFonts w:hAnsi="宋体" w:cs="宋体"/>
          <w:snapToGrid w:val="0"/>
          <w:color w:val="auto"/>
          <w:sz w:val="24"/>
          <w:highlight w:val="none"/>
        </w:rPr>
      </w:pPr>
      <w:r>
        <w:rPr>
          <w:rFonts w:hint="eastAsia" w:hAnsi="宋体" w:cs="宋体"/>
          <w:snapToGrid w:val="0"/>
          <w:color w:val="auto"/>
          <w:sz w:val="24"/>
          <w:highlight w:val="none"/>
        </w:rPr>
        <w:t>（1）投标文件未按招标文件要求签字或盖章；</w:t>
      </w:r>
    </w:p>
    <w:p>
      <w:pPr>
        <w:widowControl/>
        <w:spacing w:before="100" w:beforeAutospacing="1" w:after="100" w:afterAutospacing="1" w:line="360" w:lineRule="exact"/>
        <w:ind w:right="62" w:firstLine="480" w:firstLineChars="200"/>
        <w:contextualSpacing/>
        <w:rPr>
          <w:rFonts w:hAnsi="宋体" w:cs="宋体"/>
          <w:snapToGrid w:val="0"/>
          <w:color w:val="auto"/>
          <w:sz w:val="24"/>
          <w:highlight w:val="none"/>
        </w:rPr>
      </w:pPr>
      <w:r>
        <w:rPr>
          <w:rFonts w:hint="eastAsia" w:hAnsi="宋体" w:cs="宋体"/>
          <w:snapToGrid w:val="0"/>
          <w:color w:val="auto"/>
          <w:sz w:val="24"/>
          <w:highlight w:val="none"/>
        </w:rPr>
        <w:t>（2）投标文件格式不规范、项目不齐全或者内容虚假的；</w:t>
      </w:r>
    </w:p>
    <w:p>
      <w:pPr>
        <w:widowControl/>
        <w:spacing w:before="100" w:beforeAutospacing="1" w:after="100" w:afterAutospacing="1" w:line="360" w:lineRule="exact"/>
        <w:ind w:right="62" w:firstLine="480" w:firstLineChars="200"/>
        <w:contextualSpacing/>
        <w:rPr>
          <w:rFonts w:hAnsi="宋体" w:cs="宋体"/>
          <w:snapToGrid w:val="0"/>
          <w:color w:val="auto"/>
          <w:sz w:val="24"/>
          <w:highlight w:val="none"/>
        </w:rPr>
      </w:pPr>
      <w:r>
        <w:rPr>
          <w:rFonts w:hint="eastAsia" w:hAnsi="宋体" w:cs="宋体"/>
          <w:snapToGrid w:val="0"/>
          <w:color w:val="auto"/>
          <w:sz w:val="24"/>
          <w:highlight w:val="none"/>
        </w:rPr>
        <w:t>（3）投标文件的实质性内容未使用中文表述、意思表述不明确、前后矛盾或者使用计量单位不符合招标文件要求的（经评标委员会认定并允许其当场更正的笔误除外）；</w:t>
      </w:r>
    </w:p>
    <w:p>
      <w:pPr>
        <w:widowControl/>
        <w:spacing w:before="100" w:beforeAutospacing="1" w:after="100" w:afterAutospacing="1" w:line="360" w:lineRule="exact"/>
        <w:ind w:right="62" w:firstLine="480" w:firstLineChars="200"/>
        <w:contextualSpacing/>
        <w:rPr>
          <w:rFonts w:hAnsi="宋体" w:cs="宋体"/>
          <w:snapToGrid w:val="0"/>
          <w:color w:val="auto"/>
          <w:sz w:val="24"/>
          <w:highlight w:val="none"/>
        </w:rPr>
      </w:pPr>
      <w:r>
        <w:rPr>
          <w:rFonts w:hint="eastAsia" w:hAnsi="宋体" w:cs="宋体"/>
          <w:snapToGrid w:val="0"/>
          <w:color w:val="auto"/>
          <w:sz w:val="24"/>
          <w:highlight w:val="none"/>
        </w:rPr>
        <w:t>（4）投标有效期、服务期（工期）、服务质量保证期、质保期等商务条款不能满足招标文件要求的；</w:t>
      </w:r>
    </w:p>
    <w:p>
      <w:pPr>
        <w:widowControl/>
        <w:spacing w:before="100" w:beforeAutospacing="1" w:after="100" w:afterAutospacing="1" w:line="360" w:lineRule="exact"/>
        <w:ind w:right="62" w:firstLine="480" w:firstLineChars="200"/>
        <w:contextualSpacing/>
        <w:rPr>
          <w:rFonts w:hAnsi="宋体" w:cs="宋体"/>
          <w:color w:val="auto"/>
          <w:sz w:val="24"/>
          <w:highlight w:val="none"/>
        </w:rPr>
      </w:pPr>
      <w:r>
        <w:rPr>
          <w:rFonts w:hint="eastAsia" w:hAnsi="宋体" w:cs="宋体"/>
          <w:snapToGrid w:val="0"/>
          <w:color w:val="auto"/>
          <w:sz w:val="24"/>
          <w:highlight w:val="none"/>
        </w:rPr>
        <w:t>（5）未实质性响应</w:t>
      </w:r>
      <w:r>
        <w:rPr>
          <w:rFonts w:hint="eastAsia" w:hAnsi="宋体" w:cs="宋体"/>
          <w:color w:val="auto"/>
          <w:sz w:val="24"/>
          <w:highlight w:val="none"/>
        </w:rPr>
        <w:t>招标文件要求或者投标文件有采购</w:t>
      </w:r>
      <w:r>
        <w:rPr>
          <w:rFonts w:hint="eastAsia" w:ascii="宋体" w:hAnsi="宋体" w:cs="Arial"/>
          <w:color w:val="auto"/>
          <w:sz w:val="24"/>
          <w:highlight w:val="none"/>
        </w:rPr>
        <w:t>单位</w:t>
      </w:r>
      <w:r>
        <w:rPr>
          <w:rFonts w:hint="eastAsia" w:hAnsi="宋体" w:cs="宋体"/>
          <w:color w:val="auto"/>
          <w:sz w:val="24"/>
          <w:highlight w:val="none"/>
        </w:rPr>
        <w:t>不能接受的附加条件的；</w:t>
      </w:r>
    </w:p>
    <w:p>
      <w:pPr>
        <w:widowControl/>
        <w:spacing w:before="100" w:beforeAutospacing="1" w:after="100" w:afterAutospacing="1" w:line="360" w:lineRule="exact"/>
        <w:ind w:right="62" w:firstLine="482" w:firstLineChars="200"/>
        <w:contextualSpacing/>
        <w:rPr>
          <w:rFonts w:hAnsi="宋体" w:cs="宋体"/>
          <w:b/>
          <w:bCs/>
          <w:color w:val="auto"/>
          <w:sz w:val="24"/>
          <w:highlight w:val="none"/>
        </w:rPr>
      </w:pPr>
      <w:r>
        <w:rPr>
          <w:rFonts w:hint="eastAsia" w:hAnsi="宋体" w:cs="宋体"/>
          <w:b/>
          <w:bCs/>
          <w:color w:val="auto"/>
          <w:sz w:val="24"/>
          <w:highlight w:val="none"/>
        </w:rPr>
        <w:t>3.在技术评审时，如发现下列情形之一的，投标文件将被视为无效：</w:t>
      </w:r>
    </w:p>
    <w:p>
      <w:pPr>
        <w:widowControl/>
        <w:spacing w:before="100" w:beforeAutospacing="1" w:after="100" w:afterAutospacing="1" w:line="360" w:lineRule="exact"/>
        <w:ind w:right="62" w:firstLine="480" w:firstLineChars="200"/>
        <w:contextualSpacing/>
        <w:rPr>
          <w:rFonts w:hint="eastAsia" w:hAnsi="宋体" w:cs="宋体"/>
          <w:color w:val="auto"/>
          <w:sz w:val="24"/>
          <w:highlight w:val="none"/>
        </w:rPr>
      </w:pPr>
      <w:r>
        <w:rPr>
          <w:rFonts w:hint="eastAsia" w:hAnsi="宋体" w:cs="宋体"/>
          <w:color w:val="auto"/>
          <w:sz w:val="24"/>
          <w:highlight w:val="none"/>
        </w:rPr>
        <w:t>（1）未提供或未如实提供投标货物的技术参数，或者投标文件标明的响应或偏离与事实不符或虚假投标的；</w:t>
      </w:r>
    </w:p>
    <w:p>
      <w:pPr>
        <w:widowControl/>
        <w:spacing w:before="100" w:beforeAutospacing="1" w:after="100" w:afterAutospacing="1" w:line="360" w:lineRule="exact"/>
        <w:ind w:right="62" w:firstLine="480" w:firstLineChars="200"/>
        <w:contextualSpacing/>
        <w:rPr>
          <w:rFonts w:hint="eastAsia" w:hAnsi="宋体" w:cs="宋体"/>
          <w:color w:val="auto"/>
          <w:sz w:val="24"/>
          <w:highlight w:val="none"/>
        </w:rPr>
      </w:pPr>
      <w:r>
        <w:rPr>
          <w:rFonts w:hint="eastAsia" w:hAnsi="宋体" w:cs="宋体"/>
          <w:color w:val="auto"/>
          <w:sz w:val="24"/>
          <w:highlight w:val="none"/>
        </w:rPr>
        <w:t>（2）明显不符合招标文件要求的规格型号、质量标准，或者与招标文件中的技术指标、主要功能项目发生实质性偏离的；</w:t>
      </w:r>
    </w:p>
    <w:p>
      <w:pPr>
        <w:widowControl/>
        <w:spacing w:before="100" w:beforeAutospacing="1" w:after="100" w:afterAutospacing="1" w:line="360" w:lineRule="exact"/>
        <w:ind w:right="62" w:firstLine="480" w:firstLineChars="200"/>
        <w:contextualSpacing/>
        <w:rPr>
          <w:rFonts w:hint="eastAsia" w:hAnsi="宋体" w:cs="宋体"/>
          <w:color w:val="auto"/>
          <w:sz w:val="24"/>
          <w:highlight w:val="none"/>
        </w:rPr>
      </w:pPr>
      <w:r>
        <w:rPr>
          <w:rFonts w:hint="eastAsia" w:hAnsi="宋体" w:cs="宋体"/>
          <w:color w:val="auto"/>
          <w:sz w:val="24"/>
          <w:highlight w:val="none"/>
        </w:rPr>
        <w:t>（3）未满足招标文件中打“★”条款的；</w:t>
      </w:r>
    </w:p>
    <w:p>
      <w:pPr>
        <w:widowControl/>
        <w:spacing w:before="100" w:beforeAutospacing="1" w:after="100" w:afterAutospacing="1" w:line="360" w:lineRule="exact"/>
        <w:ind w:right="62" w:firstLine="480" w:firstLineChars="200"/>
        <w:contextualSpacing/>
        <w:rPr>
          <w:rFonts w:hint="eastAsia" w:hAnsi="宋体" w:cs="宋体"/>
          <w:color w:val="auto"/>
          <w:sz w:val="24"/>
          <w:highlight w:val="none"/>
        </w:rPr>
      </w:pPr>
      <w:r>
        <w:rPr>
          <w:rFonts w:hint="eastAsia" w:hAnsi="宋体" w:cs="宋体"/>
          <w:color w:val="auto"/>
          <w:sz w:val="24"/>
          <w:highlight w:val="none"/>
        </w:rPr>
        <w:t>（</w:t>
      </w:r>
      <w:r>
        <w:rPr>
          <w:rFonts w:hint="eastAsia" w:hAnsi="宋体" w:cs="宋体"/>
          <w:color w:val="auto"/>
          <w:sz w:val="24"/>
          <w:highlight w:val="none"/>
          <w:lang w:val="en-US" w:eastAsia="zh-CN"/>
        </w:rPr>
        <w:t>4</w:t>
      </w:r>
      <w:r>
        <w:rPr>
          <w:rFonts w:hint="eastAsia" w:hAnsi="宋体" w:cs="宋体"/>
          <w:color w:val="auto"/>
          <w:sz w:val="24"/>
          <w:highlight w:val="none"/>
        </w:rPr>
        <w:t>）投标技术方案不明确，存在一个或一个以上备选（替代）投标方案的；</w:t>
      </w:r>
    </w:p>
    <w:p>
      <w:pPr>
        <w:widowControl/>
        <w:spacing w:before="100" w:beforeAutospacing="1" w:after="100" w:afterAutospacing="1" w:line="360" w:lineRule="exact"/>
        <w:ind w:right="62" w:firstLine="482" w:firstLineChars="200"/>
        <w:contextualSpacing/>
        <w:rPr>
          <w:rFonts w:hAnsi="宋体" w:cs="宋体"/>
          <w:b/>
          <w:bCs/>
          <w:color w:val="auto"/>
          <w:sz w:val="24"/>
          <w:highlight w:val="none"/>
        </w:rPr>
      </w:pPr>
      <w:r>
        <w:rPr>
          <w:rFonts w:hint="eastAsia" w:hAnsi="宋体" w:cs="宋体"/>
          <w:b/>
          <w:bCs/>
          <w:color w:val="auto"/>
          <w:sz w:val="24"/>
          <w:highlight w:val="none"/>
        </w:rPr>
        <w:t>4.在报价评审时，如发现下列情形之一的，投标文件将被视为无效：</w:t>
      </w:r>
    </w:p>
    <w:p>
      <w:pPr>
        <w:widowControl/>
        <w:spacing w:before="100" w:beforeAutospacing="1" w:after="100" w:afterAutospacing="1" w:line="360" w:lineRule="exact"/>
        <w:ind w:right="62" w:firstLine="480" w:firstLineChars="200"/>
        <w:contextualSpacing/>
        <w:rPr>
          <w:rFonts w:hAnsi="宋体" w:cs="宋体"/>
          <w:color w:val="auto"/>
          <w:sz w:val="24"/>
          <w:highlight w:val="none"/>
        </w:rPr>
      </w:pPr>
      <w:r>
        <w:rPr>
          <w:rFonts w:hint="eastAsia" w:hAnsi="宋体" w:cs="宋体"/>
          <w:color w:val="auto"/>
          <w:sz w:val="24"/>
          <w:highlight w:val="none"/>
        </w:rPr>
        <w:t>（1）未采用人民币报价或者未按照招标文件标明的币种报价的；</w:t>
      </w:r>
    </w:p>
    <w:p>
      <w:pPr>
        <w:widowControl/>
        <w:spacing w:before="100" w:beforeAutospacing="1" w:after="100" w:afterAutospacing="1" w:line="360" w:lineRule="exact"/>
        <w:ind w:right="62" w:firstLine="480" w:firstLineChars="200"/>
        <w:contextualSpacing/>
        <w:rPr>
          <w:rFonts w:hAnsi="宋体" w:cs="宋体"/>
          <w:color w:val="auto"/>
          <w:sz w:val="24"/>
          <w:highlight w:val="none"/>
        </w:rPr>
      </w:pPr>
      <w:r>
        <w:rPr>
          <w:rFonts w:hint="eastAsia" w:hAnsi="宋体" w:cs="宋体"/>
          <w:color w:val="auto"/>
          <w:sz w:val="24"/>
          <w:highlight w:val="none"/>
        </w:rPr>
        <w:t>（2）报价超出最高限价的，或者超出采购预算金额（自主创新产品除外），采购</w:t>
      </w:r>
      <w:r>
        <w:rPr>
          <w:rFonts w:hint="eastAsia" w:ascii="宋体" w:hAnsi="宋体" w:cs="Arial"/>
          <w:color w:val="auto"/>
          <w:sz w:val="24"/>
          <w:highlight w:val="none"/>
        </w:rPr>
        <w:t>单位</w:t>
      </w:r>
      <w:r>
        <w:rPr>
          <w:rFonts w:hint="eastAsia" w:hAnsi="宋体" w:cs="宋体"/>
          <w:color w:val="auto"/>
          <w:sz w:val="24"/>
          <w:highlight w:val="none"/>
        </w:rPr>
        <w:t>不能支付的；</w:t>
      </w:r>
    </w:p>
    <w:p>
      <w:pPr>
        <w:widowControl/>
        <w:spacing w:before="100" w:beforeAutospacing="1" w:after="100" w:afterAutospacing="1" w:line="360" w:lineRule="exact"/>
        <w:ind w:right="62" w:firstLine="480" w:firstLineChars="200"/>
        <w:contextualSpacing/>
        <w:rPr>
          <w:rFonts w:hAnsi="宋体" w:cs="宋体"/>
          <w:color w:val="auto"/>
          <w:sz w:val="24"/>
          <w:highlight w:val="none"/>
        </w:rPr>
      </w:pPr>
      <w:r>
        <w:rPr>
          <w:rFonts w:hint="eastAsia" w:hAnsi="宋体" w:cs="宋体"/>
          <w:color w:val="auto"/>
          <w:sz w:val="24"/>
          <w:highlight w:val="none"/>
        </w:rPr>
        <w:t>（3）投标报价具有选择性，或者开标价格与投标文件承诺的优惠（折扣）价格不一致的。</w:t>
      </w:r>
    </w:p>
    <w:p>
      <w:pPr>
        <w:widowControl/>
        <w:spacing w:before="100" w:beforeAutospacing="1" w:after="100" w:afterAutospacing="1" w:line="360" w:lineRule="exact"/>
        <w:ind w:right="62" w:firstLine="480" w:firstLineChars="200"/>
        <w:contextualSpacing/>
        <w:rPr>
          <w:rFonts w:hAnsi="宋体" w:cs="宋体"/>
          <w:color w:val="auto"/>
          <w:sz w:val="24"/>
          <w:highlight w:val="none"/>
        </w:rPr>
      </w:pPr>
      <w:r>
        <w:rPr>
          <w:rFonts w:hint="eastAsia" w:hAnsi="宋体" w:cs="宋体"/>
          <w:color w:val="auto"/>
          <w:sz w:val="24"/>
          <w:highlight w:val="none"/>
        </w:rPr>
        <w:t>（4）投标报价明细总额与开标一览表总价不一致，且高于总价5%的；</w:t>
      </w:r>
    </w:p>
    <w:p>
      <w:pPr>
        <w:widowControl/>
        <w:spacing w:before="100" w:beforeAutospacing="1" w:after="100" w:afterAutospacing="1" w:line="360" w:lineRule="exact"/>
        <w:ind w:right="62" w:firstLine="482" w:firstLineChars="200"/>
        <w:contextualSpacing/>
        <w:rPr>
          <w:rFonts w:hint="eastAsia" w:ascii="宋体" w:hAnsi="宋体" w:cs="宋体"/>
          <w:bCs/>
          <w:color w:val="auto"/>
          <w:sz w:val="24"/>
          <w:highlight w:val="none"/>
        </w:rPr>
      </w:pPr>
      <w:r>
        <w:rPr>
          <w:rFonts w:hint="eastAsia" w:hAnsi="宋体" w:cs="宋体"/>
          <w:b/>
          <w:color w:val="auto"/>
          <w:sz w:val="24"/>
          <w:highlight w:val="none"/>
        </w:rPr>
        <w:t>5.被拒绝的投标文件为无效。</w:t>
      </w:r>
    </w:p>
    <w:p>
      <w:pPr>
        <w:pStyle w:val="3"/>
        <w:snapToGrid w:val="0"/>
        <w:spacing w:line="480" w:lineRule="exact"/>
        <w:ind w:firstLine="0"/>
        <w:jc w:val="center"/>
        <w:outlineLvl w:val="1"/>
        <w:rPr>
          <w:rFonts w:hint="eastAsia" w:hAnsi="宋体" w:cs="宋体"/>
          <w:b/>
          <w:snapToGrid w:val="0"/>
          <w:color w:val="auto"/>
          <w:sz w:val="24"/>
          <w:szCs w:val="24"/>
          <w:highlight w:val="none"/>
        </w:rPr>
      </w:pPr>
      <w:r>
        <w:rPr>
          <w:rFonts w:hint="eastAsia" w:hAnsi="宋体" w:cs="宋体"/>
          <w:b/>
          <w:color w:val="auto"/>
          <w:sz w:val="24"/>
          <w:szCs w:val="24"/>
          <w:highlight w:val="none"/>
        </w:rPr>
        <w:t>四、开标</w:t>
      </w:r>
      <w:bookmarkEnd w:id="19"/>
    </w:p>
    <w:p>
      <w:pPr>
        <w:pStyle w:val="26"/>
        <w:spacing w:line="480" w:lineRule="exact"/>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（一）开标准备</w:t>
      </w:r>
    </w:p>
    <w:p>
      <w:pPr>
        <w:pStyle w:val="26"/>
        <w:spacing w:before="100" w:beforeAutospacing="1" w:after="100" w:afterAutospacing="1" w:line="360" w:lineRule="exact"/>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采购代理机构将在规定的时间和地点进行开标，供应商的法定代表人或其授权代表应参加开标会并签到。供应商的法定代表人或其授权代表未按时签到的，视同放弃开标监督权利、认可开标结果。供应商可以由法定代表人或委派授权代表出席开标会议。授权代表须随身携带有效身份证、法定代表人授权委托书；如是法定代表人出席开标会议的，须提供有效身份证。</w:t>
      </w:r>
    </w:p>
    <w:p>
      <w:pPr>
        <w:pStyle w:val="26"/>
        <w:spacing w:line="480" w:lineRule="exact"/>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（二） 开标程序：</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bookmarkStart w:id="20" w:name="_Toc508900993"/>
      <w:r>
        <w:rPr>
          <w:rFonts w:hint="eastAsia" w:hAnsi="宋体" w:cs="宋体"/>
          <w:color w:val="auto"/>
          <w:sz w:val="24"/>
          <w:szCs w:val="24"/>
          <w:highlight w:val="none"/>
        </w:rPr>
        <w:t>1、开标由采购</w:t>
      </w:r>
      <w:r>
        <w:rPr>
          <w:rFonts w:hint="eastAsia" w:hAnsi="宋体" w:cs="Arial"/>
          <w:color w:val="auto"/>
          <w:sz w:val="24"/>
          <w:szCs w:val="24"/>
          <w:highlight w:val="none"/>
        </w:rPr>
        <w:t>单位</w:t>
      </w:r>
      <w:r>
        <w:rPr>
          <w:rFonts w:hint="eastAsia" w:hAnsi="宋体" w:cs="宋体"/>
          <w:color w:val="auto"/>
          <w:sz w:val="24"/>
          <w:szCs w:val="24"/>
          <w:highlight w:val="none"/>
        </w:rPr>
        <w:t>或者采购代理机构主持，邀请供应商参加。评标委员会成员不得参加开标活动；</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2、主持人宣布开标会议开始；</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3、主持人介绍参加开标会的人员名单；</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4、主持人宣布评标期间的有关事项；告知应当回避的情形,请有关人员回避；</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5、开标时，由供应商或其当场推选的代表检查投标文件的密封情况，经确认无误后，由采购</w:t>
      </w:r>
      <w:r>
        <w:rPr>
          <w:rFonts w:hint="eastAsia" w:hAnsi="宋体" w:cs="Arial"/>
          <w:color w:val="auto"/>
          <w:sz w:val="24"/>
          <w:szCs w:val="24"/>
          <w:highlight w:val="none"/>
        </w:rPr>
        <w:t>单位</w:t>
      </w:r>
      <w:r>
        <w:rPr>
          <w:rFonts w:hint="eastAsia" w:hAnsi="宋体" w:cs="宋体"/>
          <w:color w:val="auto"/>
          <w:sz w:val="24"/>
          <w:szCs w:val="24"/>
          <w:highlight w:val="none"/>
        </w:rPr>
        <w:t>或者采购代理机构工作人员当众拆封资格文件、技术、商务、资信及其他文件，清点资格文件、技术、商务、资信及其他文件正本、副本份数及其他装订要求；</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6、开标过程应当由采购</w:t>
      </w:r>
      <w:r>
        <w:rPr>
          <w:rFonts w:hint="eastAsia" w:hAnsi="宋体" w:cs="Arial"/>
          <w:color w:val="auto"/>
          <w:sz w:val="24"/>
          <w:szCs w:val="24"/>
          <w:highlight w:val="none"/>
        </w:rPr>
        <w:t>单位</w:t>
      </w:r>
      <w:r>
        <w:rPr>
          <w:rFonts w:hint="eastAsia" w:hAnsi="宋体" w:cs="宋体"/>
          <w:color w:val="auto"/>
          <w:sz w:val="24"/>
          <w:szCs w:val="24"/>
          <w:highlight w:val="none"/>
        </w:rPr>
        <w:t>或者采购代理机构负责记录, 由参加开标的各供应商代表和相关工作人员签字确认后随招标文件一并存档。供应商代表对开标过程和开标记录有疑义，以及认为采购</w:t>
      </w:r>
      <w:r>
        <w:rPr>
          <w:rFonts w:hint="eastAsia" w:hAnsi="宋体" w:cs="Arial"/>
          <w:color w:val="auto"/>
          <w:sz w:val="24"/>
          <w:szCs w:val="24"/>
          <w:highlight w:val="none"/>
        </w:rPr>
        <w:t>单位</w:t>
      </w:r>
      <w:r>
        <w:rPr>
          <w:rFonts w:hint="eastAsia" w:hAnsi="宋体" w:cs="宋体"/>
          <w:color w:val="auto"/>
          <w:sz w:val="24"/>
          <w:szCs w:val="24"/>
          <w:highlight w:val="none"/>
        </w:rPr>
        <w:t>、采购代理机构相关工作人员有需要回避情形的，应当场提出询问或者回避申请。采购</w:t>
      </w:r>
      <w:r>
        <w:rPr>
          <w:rFonts w:hint="eastAsia" w:hAnsi="宋体" w:cs="Arial"/>
          <w:color w:val="auto"/>
          <w:sz w:val="24"/>
          <w:szCs w:val="24"/>
          <w:highlight w:val="none"/>
        </w:rPr>
        <w:t>单位</w:t>
      </w:r>
      <w:r>
        <w:rPr>
          <w:rFonts w:hint="eastAsia" w:hAnsi="宋体" w:cs="宋体"/>
          <w:color w:val="auto"/>
          <w:sz w:val="24"/>
          <w:szCs w:val="24"/>
          <w:highlight w:val="none"/>
        </w:rPr>
        <w:t>、采购代理机构对供应商代表提出发询问或者回避申请应当及时处理。供应商未参加开标的，视同认可开标结果。</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7、“资格文件”开标结束后（评标开始前），由采购</w:t>
      </w:r>
      <w:r>
        <w:rPr>
          <w:rFonts w:hint="eastAsia" w:hAnsi="宋体" w:cs="Arial"/>
          <w:color w:val="auto"/>
          <w:sz w:val="24"/>
          <w:szCs w:val="24"/>
          <w:highlight w:val="none"/>
        </w:rPr>
        <w:t>单位</w:t>
      </w:r>
      <w:r>
        <w:rPr>
          <w:rFonts w:hint="eastAsia" w:hAnsi="宋体" w:cs="宋体"/>
          <w:color w:val="auto"/>
          <w:sz w:val="24"/>
          <w:szCs w:val="24"/>
          <w:highlight w:val="none"/>
        </w:rPr>
        <w:t>或采购代理机构进行资格审查。资格审查后，将通过资格审查的供应商“技术、商务、资信及其他文件”送评标室评审；不符合要求的，当场退还供应商，并由供应商代表签字确认；</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8、技术、商务、资信及其他文件评分结束后，由主持人公布无效投标的供应商名单、投标无效的原因及其他有效投标的评分结果；</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9、由主持人宣读《开标一览表》中的供应商名称及在其投标文件中承诺的投标报价、投标内容以及其他有必要宣读的内容。</w:t>
      </w:r>
    </w:p>
    <w:p>
      <w:pPr>
        <w:pStyle w:val="26"/>
        <w:spacing w:before="100" w:beforeAutospacing="1" w:after="100" w:afterAutospacing="1" w:line="36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10、开标会议结束。</w:t>
      </w:r>
    </w:p>
    <w:p>
      <w:pPr>
        <w:pStyle w:val="3"/>
        <w:snapToGrid w:val="0"/>
        <w:spacing w:line="480" w:lineRule="exact"/>
        <w:ind w:firstLine="0"/>
        <w:jc w:val="center"/>
        <w:outlineLvl w:val="1"/>
        <w:rPr>
          <w:rFonts w:hint="eastAsia" w:hAnsi="宋体" w:cs="宋体"/>
          <w:b/>
          <w:color w:val="auto"/>
          <w:sz w:val="24"/>
          <w:szCs w:val="24"/>
          <w:highlight w:val="none"/>
        </w:rPr>
      </w:pPr>
      <w:r>
        <w:rPr>
          <w:rFonts w:hint="eastAsia" w:hAnsi="宋体" w:cs="宋体"/>
          <w:b/>
          <w:color w:val="auto"/>
          <w:sz w:val="24"/>
          <w:szCs w:val="24"/>
          <w:highlight w:val="none"/>
        </w:rPr>
        <w:t>五、评标</w:t>
      </w:r>
      <w:bookmarkEnd w:id="20"/>
    </w:p>
    <w:p>
      <w:pPr>
        <w:pStyle w:val="26"/>
        <w:spacing w:line="480" w:lineRule="exact"/>
        <w:ind w:left="879" w:leftChars="228" w:hanging="241" w:hangingChars="100"/>
        <w:rPr>
          <w:rFonts w:hint="eastAsia" w:hAnsi="宋体" w:cs="宋体"/>
          <w:b/>
          <w:color w:val="auto"/>
          <w:sz w:val="24"/>
          <w:szCs w:val="24"/>
          <w:highlight w:val="none"/>
        </w:rPr>
      </w:pPr>
      <w:r>
        <w:rPr>
          <w:rFonts w:hint="eastAsia" w:hAnsi="宋体" w:cs="宋体"/>
          <w:b/>
          <w:color w:val="auto"/>
          <w:sz w:val="24"/>
          <w:szCs w:val="24"/>
          <w:highlight w:val="none"/>
        </w:rPr>
        <w:t>（一）组建评标委员会</w:t>
      </w:r>
    </w:p>
    <w:p>
      <w:pPr>
        <w:pStyle w:val="26"/>
        <w:spacing w:before="120" w:after="120"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本项目评标委员会由政府采购评审专家4人和招标采购单位代表1人,共5人组成。</w:t>
      </w:r>
    </w:p>
    <w:p>
      <w:pPr>
        <w:pStyle w:val="26"/>
        <w:spacing w:line="480" w:lineRule="exact"/>
        <w:ind w:left="879" w:leftChars="228" w:hanging="241" w:hangingChars="100"/>
        <w:rPr>
          <w:rFonts w:hint="eastAsia" w:hAnsi="宋体" w:cs="宋体"/>
          <w:b/>
          <w:color w:val="auto"/>
          <w:sz w:val="24"/>
          <w:szCs w:val="24"/>
          <w:highlight w:val="none"/>
        </w:rPr>
      </w:pPr>
      <w:r>
        <w:rPr>
          <w:rFonts w:hint="eastAsia" w:hAnsi="宋体" w:cs="宋体"/>
          <w:b/>
          <w:color w:val="auto"/>
          <w:sz w:val="24"/>
          <w:szCs w:val="24"/>
          <w:highlight w:val="none"/>
        </w:rPr>
        <w:t>（二）评标的方式</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本项目采用不公开方式评标，评标的依据为招标文件和投标文件。</w:t>
      </w:r>
    </w:p>
    <w:p>
      <w:pPr>
        <w:pStyle w:val="26"/>
        <w:spacing w:line="480" w:lineRule="exact"/>
        <w:ind w:left="879" w:leftChars="228" w:hanging="241" w:hangingChars="100"/>
        <w:rPr>
          <w:rFonts w:hint="eastAsia" w:hAnsi="宋体" w:cs="宋体"/>
          <w:b/>
          <w:color w:val="auto"/>
          <w:sz w:val="24"/>
          <w:szCs w:val="24"/>
          <w:highlight w:val="none"/>
        </w:rPr>
      </w:pPr>
      <w:r>
        <w:rPr>
          <w:rFonts w:hint="eastAsia" w:hAnsi="宋体" w:cs="宋体"/>
          <w:b/>
          <w:color w:val="auto"/>
          <w:sz w:val="24"/>
          <w:szCs w:val="24"/>
          <w:highlight w:val="none"/>
        </w:rPr>
        <w:t>（三）</w:t>
      </w:r>
      <w:r>
        <w:rPr>
          <w:rFonts w:hint="eastAsia" w:hAnsi="宋体" w:cs="宋体"/>
          <w:b/>
          <w:bCs/>
          <w:color w:val="auto"/>
          <w:sz w:val="24"/>
          <w:szCs w:val="24"/>
          <w:highlight w:val="none"/>
        </w:rPr>
        <w:t>评标程序</w:t>
      </w:r>
    </w:p>
    <w:p>
      <w:pPr>
        <w:snapToGrid w:val="0"/>
        <w:spacing w:line="48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1.形式审查</w:t>
      </w:r>
    </w:p>
    <w:p>
      <w:pPr>
        <w:snapToGrid w:val="0"/>
        <w:spacing w:line="48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招标采购单位代表和代理机构工作人员协助评标委员会对供应商的资格和投标文件的完整性、合法性等进行审查。</w:t>
      </w:r>
    </w:p>
    <w:p>
      <w:pPr>
        <w:snapToGrid w:val="0"/>
        <w:spacing w:line="48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2.实质审查与比较</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（4）代理机构工作人员协助评标委员会根据本项目的评分标准计算各供应商的商务报价得分。</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snapToGrid w:val="0"/>
        <w:spacing w:line="48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（四）</w:t>
      </w:r>
      <w:r>
        <w:rPr>
          <w:rFonts w:hint="eastAsia" w:ascii="宋体" w:hAnsi="宋体" w:cs="宋体"/>
          <w:b/>
          <w:color w:val="auto"/>
          <w:sz w:val="24"/>
          <w:highlight w:val="none"/>
        </w:rPr>
        <w:t>澄清问题的形式</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pPr>
        <w:pStyle w:val="26"/>
        <w:spacing w:line="48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（五）</w:t>
      </w:r>
      <w:r>
        <w:rPr>
          <w:rFonts w:hint="eastAsia" w:hAnsi="宋体" w:cs="宋体"/>
          <w:b/>
          <w:color w:val="auto"/>
          <w:sz w:val="24"/>
          <w:szCs w:val="24"/>
          <w:highlight w:val="none"/>
        </w:rPr>
        <w:t>错误修正</w:t>
      </w:r>
    </w:p>
    <w:p>
      <w:pPr>
        <w:pStyle w:val="26"/>
        <w:spacing w:line="480" w:lineRule="exact"/>
        <w:ind w:left="878" w:leftChars="228" w:hanging="240" w:hangingChars="100"/>
        <w:rPr>
          <w:rFonts w:hint="eastAsia" w:hAnsi="宋体" w:cs="宋体"/>
          <w:color w:val="auto"/>
          <w:sz w:val="24"/>
          <w:szCs w:val="24"/>
          <w:highlight w:val="none"/>
        </w:rPr>
      </w:pPr>
      <w:r>
        <w:rPr>
          <w:rFonts w:hint="eastAsia" w:hAnsi="宋体" w:cs="宋体"/>
          <w:color w:val="auto"/>
          <w:sz w:val="24"/>
          <w:szCs w:val="24"/>
          <w:highlight w:val="none"/>
        </w:rPr>
        <w:t>投标文件如果出现计算或表达上的错误，修正错误的原则如下：</w:t>
      </w:r>
    </w:p>
    <w:p>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1.开标一览表总价与投标报价明细表汇总数不一致的，</w:t>
      </w:r>
      <w:r>
        <w:rPr>
          <w:rFonts w:hint="eastAsia" w:ascii="宋体" w:hAnsi="宋体" w:cs="宋体"/>
          <w:color w:val="auto"/>
          <w:kern w:val="0"/>
          <w:sz w:val="24"/>
          <w:highlight w:val="none"/>
        </w:rPr>
        <w:t>以开标一览表为准；</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2.投标文件的大写金额和小写金额不一致的，以大写金额为准；</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3.总价金额与按单价汇总金额不一致的，以单价金额计算结果为准；</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4.对不同文字文本投标文件的解释发生异议的，以中文文本为准。</w:t>
      </w:r>
    </w:p>
    <w:p>
      <w:pPr>
        <w:pStyle w:val="26"/>
        <w:spacing w:line="480" w:lineRule="exact"/>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6"/>
        <w:tabs>
          <w:tab w:val="left" w:pos="630"/>
        </w:tabs>
        <w:spacing w:line="480" w:lineRule="exact"/>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（六）评标原则和评标办法</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2.评标办法。本项目评标办法是</w:t>
      </w:r>
      <w:r>
        <w:rPr>
          <w:rFonts w:hint="eastAsia" w:hAnsi="宋体" w:cs="宋体"/>
          <w:color w:val="auto"/>
          <w:sz w:val="24"/>
          <w:szCs w:val="24"/>
          <w:highlight w:val="none"/>
          <w:u w:val="single"/>
        </w:rPr>
        <w:t>综合评分法</w:t>
      </w:r>
      <w:r>
        <w:rPr>
          <w:rFonts w:hint="eastAsia" w:hAnsi="宋体" w:cs="宋体"/>
          <w:color w:val="auto"/>
          <w:sz w:val="24"/>
          <w:szCs w:val="24"/>
          <w:highlight w:val="none"/>
        </w:rPr>
        <w:t>，具体评标内容及评分标准等详见《第四章：评标办法及评分标准》。</w:t>
      </w:r>
    </w:p>
    <w:p>
      <w:pPr>
        <w:pStyle w:val="26"/>
        <w:spacing w:line="480" w:lineRule="exact"/>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（七）评标过程的监控</w:t>
      </w:r>
    </w:p>
    <w:p>
      <w:pPr>
        <w:pStyle w:val="26"/>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本项目评标过程实行全程录音、录像监控，供应商在评标过程中所进行的试图影响评标结果的不公正活动，可能导致其投标被拒绝。</w:t>
      </w:r>
    </w:p>
    <w:p>
      <w:pPr>
        <w:pStyle w:val="3"/>
        <w:snapToGrid w:val="0"/>
        <w:spacing w:line="480" w:lineRule="exact"/>
        <w:ind w:firstLine="0"/>
        <w:jc w:val="center"/>
        <w:outlineLvl w:val="1"/>
        <w:rPr>
          <w:rFonts w:hint="eastAsia" w:hAnsi="宋体" w:cs="宋体"/>
          <w:b/>
          <w:color w:val="auto"/>
          <w:sz w:val="24"/>
          <w:szCs w:val="24"/>
          <w:highlight w:val="none"/>
        </w:rPr>
      </w:pPr>
      <w:bookmarkStart w:id="21" w:name="_Toc508900994"/>
      <w:r>
        <w:rPr>
          <w:rFonts w:hint="eastAsia" w:hAnsi="宋体" w:cs="宋体"/>
          <w:b/>
          <w:color w:val="auto"/>
          <w:sz w:val="24"/>
          <w:szCs w:val="24"/>
          <w:highlight w:val="none"/>
        </w:rPr>
        <w:t>六、定标</w:t>
      </w:r>
      <w:bookmarkEnd w:id="21"/>
    </w:p>
    <w:p>
      <w:pPr>
        <w:pStyle w:val="26"/>
        <w:spacing w:line="480" w:lineRule="exact"/>
        <w:ind w:firstLine="472" w:firstLineChars="196"/>
        <w:rPr>
          <w:rFonts w:hint="eastAsia" w:hAnsi="宋体" w:cs="宋体"/>
          <w:b/>
          <w:bCs/>
          <w:color w:val="auto"/>
          <w:sz w:val="24"/>
          <w:szCs w:val="24"/>
          <w:highlight w:val="none"/>
        </w:rPr>
      </w:pPr>
      <w:r>
        <w:rPr>
          <w:rFonts w:hint="eastAsia" w:hAnsi="宋体" w:cs="宋体"/>
          <w:b/>
          <w:bCs/>
          <w:color w:val="auto"/>
          <w:sz w:val="24"/>
          <w:szCs w:val="24"/>
          <w:highlight w:val="none"/>
        </w:rPr>
        <w:t>（一）确定中标供应商。本项目由招标采购单位授权评标委员会直接确定中标供应商。</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1.采购代理机构在评标结束后2个工作日内在发布招标公告的网站上对中标结果进行公示。</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2.在发布公告的同时，招标采购单位向中标供应商发出中标通知书，中标通知书对招标采购单位和中标供应商具有同等法律效力。</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3.中标通知书发出后，招标采购单位改变中标结果，或者中标供应商放弃中标，应当承担相应的法律责任。</w:t>
      </w:r>
    </w:p>
    <w:p>
      <w:pPr>
        <w:pStyle w:val="26"/>
        <w:spacing w:line="500" w:lineRule="exact"/>
        <w:ind w:firstLine="472" w:firstLineChars="196"/>
        <w:rPr>
          <w:rFonts w:hint="eastAsia" w:hAnsi="宋体" w:cs="宋体"/>
          <w:b/>
          <w:bCs/>
          <w:color w:val="auto"/>
          <w:sz w:val="24"/>
          <w:szCs w:val="24"/>
          <w:highlight w:val="none"/>
        </w:rPr>
      </w:pPr>
      <w:r>
        <w:rPr>
          <w:rFonts w:hint="eastAsia" w:hAnsi="宋体" w:cs="宋体"/>
          <w:b/>
          <w:bCs/>
          <w:color w:val="auto"/>
          <w:sz w:val="24"/>
          <w:szCs w:val="24"/>
          <w:highlight w:val="none"/>
        </w:rPr>
        <w:t>（二）中标通知书</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1.确定中标供应商后，招标采购单位将以书面形式发出中标通知书，通知中标的供应商其投标被接受。</w:t>
      </w:r>
    </w:p>
    <w:p>
      <w:pPr>
        <w:snapToGrid w:val="0"/>
        <w:spacing w:line="5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根据浙江省财政厅《关于印发浙江省政府采购供应商注册及诚信管理暂行办法的通知》[浙财采监字〔2009〕28号]精神，中标供应商在领取中标通知书前，必须完成在《浙江政府采购网》上完成供应商的注册工作，经初审、终审及公示后方可正式领取中标通知书。</w:t>
      </w:r>
    </w:p>
    <w:p>
      <w:pPr>
        <w:snapToGrid w:val="0"/>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3.根据湖建专项办[2011]1号文件的规定,如属于廉洁谈话范围的项目,须由拟中标供应商的法定代表人或其授权人接受廉洁谈话,并由法定代表人签订《廉洁承诺书》, 《廉洁承诺书》经法定代表人签字并加盖公章送达廉政监察组后,政府采购代理机构方可凭由廉政监察组签发的《廉洁承诺书签订告知书》向中标供应商发出中标通知书。</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4.中标通知书为双方签订合同的依据。</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5.中标供应商应根据中标通知书中规定的时间内，由法定代表人或其授权代理人与招标采购单位签订合同。</w:t>
      </w:r>
    </w:p>
    <w:p>
      <w:pPr>
        <w:pStyle w:val="26"/>
        <w:spacing w:line="500" w:lineRule="exact"/>
        <w:jc w:val="center"/>
        <w:outlineLvl w:val="1"/>
        <w:rPr>
          <w:rFonts w:hint="eastAsia" w:hAnsi="宋体" w:cs="宋体"/>
          <w:b/>
          <w:color w:val="auto"/>
          <w:sz w:val="24"/>
          <w:szCs w:val="24"/>
          <w:highlight w:val="none"/>
        </w:rPr>
      </w:pPr>
      <w:bookmarkStart w:id="22" w:name="_Toc508900995"/>
      <w:r>
        <w:rPr>
          <w:rFonts w:hint="eastAsia" w:hAnsi="宋体" w:cs="宋体"/>
          <w:b/>
          <w:color w:val="auto"/>
          <w:sz w:val="24"/>
          <w:szCs w:val="24"/>
          <w:highlight w:val="none"/>
        </w:rPr>
        <w:t>七、合同授予</w:t>
      </w:r>
      <w:bookmarkEnd w:id="22"/>
    </w:p>
    <w:p>
      <w:pPr>
        <w:snapToGrid w:val="0"/>
        <w:spacing w:line="50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（一）签订合同</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1.招标采购单位与中标供应商应当在《中标通知书》发出之日起</w:t>
      </w:r>
      <w:r>
        <w:rPr>
          <w:rFonts w:hint="eastAsia" w:ascii="宋体" w:hAnsi="宋体" w:cs="宋体"/>
          <w:color w:val="auto"/>
          <w:sz w:val="24"/>
          <w:highlight w:val="none"/>
          <w:u w:val="single"/>
        </w:rPr>
        <w:t>30</w:t>
      </w:r>
      <w:r>
        <w:rPr>
          <w:rFonts w:hint="eastAsia" w:ascii="宋体" w:hAnsi="宋体" w:cs="宋体"/>
          <w:color w:val="auto"/>
          <w:sz w:val="24"/>
          <w:highlight w:val="none"/>
        </w:rPr>
        <w:t>日内签订政府采购合同。同时，采购代理机构对合同内容进行审查，如发现与采购结果和投标承诺内容不一致的，应予以纠正。</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2.中标供应商拖延、拒签合同的,将被取消中标资格。</w:t>
      </w:r>
    </w:p>
    <w:p>
      <w:pPr>
        <w:snapToGrid w:val="0"/>
        <w:spacing w:line="50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（二）履约保证金</w:t>
      </w:r>
    </w:p>
    <w:p>
      <w:pPr>
        <w:spacing w:line="420" w:lineRule="exact"/>
        <w:ind w:firstLine="480" w:firstLineChars="200"/>
        <w:rPr>
          <w:rFonts w:hint="eastAsia" w:ascii="宋体" w:hAnsi="宋体" w:cs="宋体"/>
          <w:color w:val="auto"/>
          <w:sz w:val="24"/>
          <w:highlight w:val="none"/>
        </w:rPr>
      </w:pPr>
      <w:bookmarkStart w:id="23" w:name="_Toc508900996"/>
      <w:r>
        <w:rPr>
          <w:rFonts w:hint="eastAsia" w:ascii="宋体" w:hAnsi="宋体" w:cs="宋体"/>
          <w:color w:val="auto"/>
          <w:sz w:val="24"/>
          <w:highlight w:val="none"/>
        </w:rPr>
        <w:t>1、履约保证金用于补偿</w:t>
      </w:r>
      <w:r>
        <w:rPr>
          <w:rFonts w:hint="eastAsia" w:ascii="宋体" w:hAnsi="宋体" w:cs="宋体"/>
          <w:color w:val="auto"/>
          <w:sz w:val="24"/>
          <w:highlight w:val="none"/>
          <w:lang w:eastAsia="zh-CN"/>
        </w:rPr>
        <w:t>招标采购单位</w:t>
      </w:r>
      <w:r>
        <w:rPr>
          <w:rFonts w:hint="eastAsia" w:ascii="宋体" w:hAnsi="宋体" w:cs="宋体"/>
          <w:color w:val="auto"/>
          <w:sz w:val="24"/>
          <w:highlight w:val="none"/>
        </w:rPr>
        <w:t>因</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不能完成其合同义务而蒙受的损失。</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中标供应商</w:t>
      </w:r>
      <w:r>
        <w:rPr>
          <w:rFonts w:hint="eastAsia" w:ascii="宋体" w:hAnsi="宋体"/>
          <w:color w:val="auto"/>
          <w:sz w:val="24"/>
          <w:highlight w:val="none"/>
        </w:rPr>
        <w:t>应在合同签订的同时，向</w:t>
      </w:r>
      <w:r>
        <w:rPr>
          <w:rFonts w:hint="eastAsia" w:ascii="宋体" w:hAnsi="宋体"/>
          <w:color w:val="auto"/>
          <w:sz w:val="24"/>
          <w:highlight w:val="none"/>
          <w:lang w:eastAsia="zh-CN"/>
        </w:rPr>
        <w:t>招标采购单位</w:t>
      </w:r>
      <w:r>
        <w:rPr>
          <w:rFonts w:hint="eastAsia" w:ascii="宋体" w:hAnsi="宋体"/>
          <w:color w:val="auto"/>
          <w:sz w:val="24"/>
          <w:highlight w:val="none"/>
        </w:rPr>
        <w:t>提交中标造价的</w:t>
      </w:r>
      <w:r>
        <w:rPr>
          <w:rFonts w:hint="eastAsia" w:ascii="宋体" w:hAnsi="宋体"/>
          <w:color w:val="auto"/>
          <w:sz w:val="24"/>
          <w:highlight w:val="none"/>
          <w:lang w:val="en-US" w:eastAsia="zh-CN"/>
        </w:rPr>
        <w:t>5</w:t>
      </w:r>
      <w:r>
        <w:rPr>
          <w:rFonts w:hint="eastAsia" w:ascii="宋体" w:hAnsi="宋体"/>
          <w:color w:val="auto"/>
          <w:sz w:val="24"/>
          <w:highlight w:val="none"/>
        </w:rPr>
        <w:t>%作为履约保证金，</w:t>
      </w:r>
      <w:r>
        <w:rPr>
          <w:rFonts w:hint="eastAsia" w:ascii="宋体" w:hAnsi="宋体"/>
          <w:color w:val="auto"/>
          <w:sz w:val="24"/>
          <w:highlight w:val="none"/>
          <w:lang w:eastAsia="zh-CN"/>
        </w:rPr>
        <w:t>开工后予以</w:t>
      </w:r>
      <w:r>
        <w:rPr>
          <w:rFonts w:hint="eastAsia" w:ascii="宋体" w:hAnsi="宋体"/>
          <w:color w:val="auto"/>
          <w:sz w:val="24"/>
          <w:highlight w:val="none"/>
        </w:rPr>
        <w:t>无息退还</w:t>
      </w:r>
      <w:r>
        <w:rPr>
          <w:rFonts w:hint="eastAsia" w:ascii="宋体" w:hAnsi="宋体"/>
          <w:color w:val="auto"/>
          <w:sz w:val="24"/>
          <w:highlight w:val="none"/>
          <w:lang w:eastAsia="zh-CN"/>
        </w:rPr>
        <w:t>（以开工报告为准）</w:t>
      </w:r>
      <w:r>
        <w:rPr>
          <w:rFonts w:hint="eastAsia" w:ascii="宋体" w:hAnsi="宋体"/>
          <w:color w:val="auto"/>
          <w:sz w:val="24"/>
          <w:highlight w:val="none"/>
        </w:rPr>
        <w:t>。履约保证金由中国银行、工商、农业、建设、交通、商业等银行开具的转帐支票、银行汇票等形式交纳。</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3、履约保证金退还方式：在</w:t>
      </w:r>
      <w:r>
        <w:rPr>
          <w:rFonts w:hint="eastAsia" w:ascii="宋体" w:hAnsi="宋体"/>
          <w:color w:val="auto"/>
          <w:sz w:val="24"/>
          <w:highlight w:val="none"/>
          <w:lang w:eastAsia="zh-CN"/>
        </w:rPr>
        <w:t>供应商</w:t>
      </w:r>
      <w:r>
        <w:rPr>
          <w:rFonts w:hint="eastAsia" w:ascii="宋体" w:hAnsi="宋体"/>
          <w:color w:val="auto"/>
          <w:sz w:val="24"/>
          <w:highlight w:val="none"/>
        </w:rPr>
        <w:t>符合保证金退还条件后，</w:t>
      </w:r>
      <w:r>
        <w:rPr>
          <w:rFonts w:hint="eastAsia" w:ascii="宋体" w:hAnsi="宋体"/>
          <w:color w:val="auto"/>
          <w:sz w:val="24"/>
          <w:highlight w:val="none"/>
          <w:lang w:eastAsia="zh-CN"/>
        </w:rPr>
        <w:t>供应商</w:t>
      </w:r>
      <w:r>
        <w:rPr>
          <w:rFonts w:hint="eastAsia" w:ascii="宋体" w:hAnsi="宋体"/>
          <w:color w:val="auto"/>
          <w:sz w:val="24"/>
          <w:highlight w:val="none"/>
        </w:rPr>
        <w:t>根据缴纳的履约保证金数额开具收据（地方财政监制收据，并加盖单位财务章，在备注栏注明单位帐号），</w:t>
      </w:r>
      <w:r>
        <w:rPr>
          <w:rFonts w:hint="eastAsia" w:ascii="宋体" w:hAnsi="宋体"/>
          <w:color w:val="auto"/>
          <w:sz w:val="24"/>
          <w:highlight w:val="none"/>
          <w:lang w:eastAsia="zh-CN"/>
        </w:rPr>
        <w:t>招标采购单位</w:t>
      </w:r>
      <w:r>
        <w:rPr>
          <w:rFonts w:hint="eastAsia" w:ascii="宋体" w:hAnsi="宋体"/>
          <w:color w:val="auto"/>
          <w:sz w:val="24"/>
          <w:highlight w:val="none"/>
        </w:rPr>
        <w:t>在收到此收据后将以支票（同城）、汇票、电汇及转帐四种方式之一退还至</w:t>
      </w:r>
      <w:r>
        <w:rPr>
          <w:rFonts w:hint="eastAsia" w:ascii="宋体" w:hAnsi="宋体"/>
          <w:color w:val="auto"/>
          <w:sz w:val="24"/>
          <w:highlight w:val="none"/>
          <w:lang w:eastAsia="zh-CN"/>
        </w:rPr>
        <w:t>供应商</w:t>
      </w:r>
      <w:r>
        <w:rPr>
          <w:rFonts w:hint="eastAsia" w:ascii="宋体" w:hAnsi="宋体"/>
          <w:color w:val="auto"/>
          <w:sz w:val="24"/>
          <w:highlight w:val="none"/>
        </w:rPr>
        <w:t>帐户。</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spacing w:line="480" w:lineRule="exact"/>
        <w:ind w:right="560" w:rightChars="20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第四章  评标办法及评分标准</w:t>
      </w:r>
      <w:bookmarkEnd w:id="23"/>
    </w:p>
    <w:p>
      <w:pPr>
        <w:spacing w:line="480" w:lineRule="exact"/>
        <w:ind w:right="560" w:rightChars="200"/>
        <w:jc w:val="center"/>
        <w:outlineLvl w:val="0"/>
        <w:rPr>
          <w:rFonts w:hint="eastAsia" w:ascii="宋体" w:hAnsi="宋体" w:cs="宋体"/>
          <w:color w:val="auto"/>
          <w:sz w:val="32"/>
          <w:szCs w:val="32"/>
          <w:highlight w:val="none"/>
        </w:rPr>
      </w:pPr>
    </w:p>
    <w:p>
      <w:pPr>
        <w:snapToGrid w:val="0"/>
        <w:spacing w:line="48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为公正、公平、科学地选择中标供应商，根据《中华人民共和国政府采购法》等有关法律法规的规定，并结合本项目的实际，制定本办法。</w:t>
      </w:r>
    </w:p>
    <w:p>
      <w:pPr>
        <w:snapToGrid w:val="0"/>
        <w:spacing w:line="48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本办法适用于</w:t>
      </w:r>
      <w:r>
        <w:rPr>
          <w:rFonts w:hint="eastAsia" w:ascii="宋体" w:hAnsi="宋体" w:cs="宋体"/>
          <w:b/>
          <w:bCs/>
          <w:color w:val="auto"/>
          <w:sz w:val="24"/>
          <w:szCs w:val="24"/>
          <w:highlight w:val="none"/>
          <w:u w:val="single"/>
          <w:lang w:eastAsia="zh-CN"/>
        </w:rPr>
        <w:t>南浔镇雪亮工程视频监控服务项目二期</w:t>
      </w:r>
      <w:r>
        <w:rPr>
          <w:rFonts w:hint="eastAsia" w:ascii="宋体" w:hAnsi="宋体" w:cs="宋体"/>
          <w:color w:val="auto"/>
          <w:sz w:val="24"/>
          <w:szCs w:val="24"/>
          <w:highlight w:val="none"/>
        </w:rPr>
        <w:t>的评标。</w:t>
      </w:r>
    </w:p>
    <w:p>
      <w:pPr>
        <w:snapToGrid w:val="0"/>
        <w:spacing w:line="48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一、总则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评标采用综合评分法，总分为100分，其中价格分30分，技术分、商务分和资信及其他部分占70分。合格供应商的评标得分为各项目汇总得分。中标候选资格按评标得分由高到低顺序排列，得分相同的，按投标报价由低到高顺序排列；得分且投标报价相同的，按技术分、商务、资信及其他分得分由高到低顺序排列。排名第一的的供应商为中标候选人,排名第二的供应商为候补中标候选人。评分过程中采用四舍五入法，并保留小数2位。</w:t>
      </w:r>
    </w:p>
    <w:p>
      <w:pPr>
        <w:snapToGrid w:val="0"/>
        <w:spacing w:line="48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各供应商最终得分=价格分+(技术分+商务分+资信及其他分)</w:t>
      </w:r>
    </w:p>
    <w:p>
      <w:pPr>
        <w:snapToGrid w:val="0"/>
        <w:spacing w:line="48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二、评标内容及标准</w:t>
      </w:r>
    </w:p>
    <w:p>
      <w:pPr>
        <w:snapToGrid w:val="0"/>
        <w:spacing w:line="48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（1）价格分（30分）</w:t>
      </w:r>
    </w:p>
    <w:p>
      <w:pPr>
        <w:snapToGrid w:val="0"/>
        <w:spacing w:line="44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价格分采用低价优先法计算，取所有有效供应商中投标价格最低的投标报价为评标基准价，其他供应商的价格分按照下列公式计算(百分点保留2位小数点，得分保留2位小数,第3位四舍五入,下同)：</w:t>
      </w:r>
    </w:p>
    <w:p>
      <w:pPr>
        <w:snapToGrid w:val="0"/>
        <w:spacing w:line="44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价格分=（评标基准价/投标报价）×30%×100</w:t>
      </w:r>
    </w:p>
    <w:p>
      <w:pPr>
        <w:snapToGrid w:val="0"/>
        <w:spacing w:line="44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根据《政府采购促进中小企业发展暂行办法》（财库[2011]181号），对小型或微型企业参加磋商且磋商产品为小型或微型企业生产的，价格给予6%的扣除，用扣除后的价格参与价格评分。</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同时提供以下所有证明材料的供应商被认定为小型、微型企业：</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1）供应商及磋商产品生产企业按照《关于印发中小企业划型标准规定的通知》（工信部联企业〔2011〕300号）的所属行业规定为小型、微型企业。响应文件中必须提供《中小企业声明函》；</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2）在响应文件中提供供应商和磋商产品生产企业在国家企业信用公示系统（http://www.gsxt.gov.cn/）的小微企业网页打印页并加盖公章。；</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3）供应商已通过浙江政府采购网申请注册并成为正式入库供应商的相关证明材料，且显示供应商为小型或微型企业。</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残疾人福利性单位视同小微企业，其产品参加本项目投标的，享受小微企业同等的价格扣除。</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残疾人福利性单位应当同时满足以下条件：</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 安置的残疾人占本单位在职职工人数的比例不低于25%（含25%），并且安置的残疾人人数不少于10人（含10人）；</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 依法与安置的每位残疾人签订了一年以上（含一年）的劳动合同或服务协议；</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 为安置的每位残疾人按月足额缴纳了基本养老保险、基本医疗保险、失业保险、工伤保险和生育保险等社会保险费；</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④ 通过银行等金融机构向安置的每位残疾人，按月支付了不低于单位所在区县适用的经省级人民政府批准的月最低工资标准的工资；</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⑤ 提供本单位制造的货物、承担的工程或者服务（以下简称产品），或者提供其他残疾人福利性单位制造的货物（不包括使用非残疾人福利性单位注册商标的货物）。</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残疾人福利性单位需提供《残疾人福利性单位声明函》。</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监狱企业视同小微企业，其产品参加本项目投标的，享受小微企业同等的价格扣除。</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提供以下证明材料的成交供应商被认定为监狱企业：</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省级以上监狱管理局、戒毒管理局（含新疆生产建设兵团）出具的属于监狱企业的证明文件。</w:t>
      </w:r>
    </w:p>
    <w:p>
      <w:pPr>
        <w:spacing w:line="440" w:lineRule="exact"/>
        <w:ind w:firstLine="480"/>
        <w:rPr>
          <w:rFonts w:hint="eastAsia" w:ascii="宋体" w:hAnsi="宋体" w:cs="宋体"/>
          <w:color w:val="auto"/>
          <w:sz w:val="24"/>
          <w:szCs w:val="24"/>
          <w:highlight w:val="none"/>
        </w:rPr>
      </w:pPr>
      <w:r>
        <w:rPr>
          <w:rFonts w:hint="eastAsia"/>
          <w:color w:val="auto"/>
          <w:sz w:val="24"/>
          <w:szCs w:val="24"/>
          <w:highlight w:val="none"/>
        </w:rPr>
        <w:t>此项由磋商小组集体核实后统一评分。</w:t>
      </w:r>
    </w:p>
    <w:p>
      <w:pPr>
        <w:tabs>
          <w:tab w:val="left" w:pos="8280"/>
        </w:tabs>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磋商小组在评审时发现供应商的最后报价明显高于其市场报价的，应当要求供应商书面说明并提供相关证明材料。供应商不能当场合理说明原因并提供证明材料的，磋商小组应将该供应商的响应文件作无效处理，并在磋商报告中说明。</w:t>
      </w:r>
    </w:p>
    <w:p>
      <w:pPr>
        <w:tabs>
          <w:tab w:val="left" w:pos="8280"/>
        </w:tabs>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最后报价超出采购预算的，作无效标处理。</w:t>
      </w:r>
    </w:p>
    <w:p>
      <w:pPr>
        <w:spacing w:line="44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技术商务资信及其他部分：70分</w:t>
      </w:r>
    </w:p>
    <w:p>
      <w:pPr>
        <w:tabs>
          <w:tab w:val="left" w:pos="8280"/>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技术、商务、资信及其他分按照磋商小组成员的独立评分结果汇总数的算术平均分计算，计算公式为：</w:t>
      </w:r>
    </w:p>
    <w:p>
      <w:pPr>
        <w:tabs>
          <w:tab w:val="left" w:pos="8280"/>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技术、商务、资信及其他分=（磋商小组所有成员评分合计数）/（磋商小组组成人员数）</w:t>
      </w:r>
    </w:p>
    <w:p>
      <w:pPr>
        <w:widowControl/>
        <w:snapToGrid w:val="0"/>
        <w:spacing w:line="400" w:lineRule="atLeast"/>
        <w:rPr>
          <w:rFonts w:hint="eastAsia" w:ascii="宋体" w:hAnsi="宋体" w:cs="宋体"/>
          <w:b/>
          <w:color w:val="auto"/>
          <w:sz w:val="22"/>
          <w:szCs w:val="22"/>
          <w:highlight w:val="none"/>
        </w:rPr>
      </w:pPr>
    </w:p>
    <w:p>
      <w:pPr>
        <w:widowControl/>
        <w:snapToGrid w:val="0"/>
        <w:spacing w:line="400" w:lineRule="atLeast"/>
        <w:rPr>
          <w:rFonts w:hint="eastAsia" w:ascii="宋体" w:hAnsi="宋体" w:cs="宋体"/>
          <w:b/>
          <w:color w:val="auto"/>
          <w:sz w:val="22"/>
          <w:szCs w:val="22"/>
          <w:highlight w:val="none"/>
        </w:rPr>
      </w:pPr>
      <w:r>
        <w:rPr>
          <w:rFonts w:hint="eastAsia" w:ascii="宋体" w:hAnsi="宋体" w:cs="宋体"/>
          <w:b/>
          <w:color w:val="auto"/>
          <w:sz w:val="22"/>
          <w:szCs w:val="22"/>
          <w:highlight w:val="none"/>
        </w:rPr>
        <w:t>附件：评分表格式</w:t>
      </w:r>
    </w:p>
    <w:p>
      <w:pPr>
        <w:widowControl/>
        <w:snapToGrid w:val="0"/>
        <w:spacing w:line="400" w:lineRule="atLeast"/>
        <w:rPr>
          <w:rFonts w:hint="eastAsia" w:ascii="宋体" w:hAnsi="宋体" w:cs="宋体"/>
          <w:b/>
          <w:color w:val="auto"/>
          <w:sz w:val="22"/>
          <w:szCs w:val="22"/>
          <w:highlight w:val="none"/>
        </w:rPr>
      </w:pPr>
      <w:r>
        <w:rPr>
          <w:rFonts w:hint="eastAsia" w:ascii="宋体" w:hAnsi="宋体" w:cs="宋体"/>
          <w:b/>
          <w:bCs/>
          <w:color w:val="auto"/>
          <w:sz w:val="22"/>
          <w:szCs w:val="22"/>
          <w:highlight w:val="none"/>
        </w:rPr>
        <w:t>技术、商务、资信及其他分（70分）</w:t>
      </w:r>
    </w:p>
    <w:tbl>
      <w:tblPr>
        <w:tblStyle w:val="48"/>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04"/>
        <w:gridCol w:w="993"/>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764" w:type="dxa"/>
            <w:noWrap w:val="0"/>
            <w:vAlign w:val="center"/>
          </w:tcPr>
          <w:p>
            <w:pPr>
              <w:tabs>
                <w:tab w:val="left" w:pos="611"/>
              </w:tabs>
              <w:spacing w:line="320" w:lineRule="exact"/>
              <w:jc w:val="center"/>
              <w:outlineLvl w:val="0"/>
              <w:rPr>
                <w:rFonts w:hint="eastAsia" w:ascii="宋体" w:hAnsi="宋体" w:cs="宋体"/>
                <w:b/>
                <w:color w:val="auto"/>
                <w:sz w:val="21"/>
                <w:szCs w:val="21"/>
                <w:highlight w:val="none"/>
              </w:rPr>
            </w:pPr>
            <w:bookmarkStart w:id="24" w:name="_Toc508900997"/>
            <w:r>
              <w:rPr>
                <w:rFonts w:hint="eastAsia" w:ascii="宋体" w:hAnsi="宋体" w:cs="宋体"/>
                <w:b/>
                <w:color w:val="auto"/>
                <w:sz w:val="21"/>
                <w:szCs w:val="21"/>
                <w:highlight w:val="none"/>
              </w:rPr>
              <w:t>序号</w:t>
            </w:r>
          </w:p>
        </w:tc>
        <w:tc>
          <w:tcPr>
            <w:tcW w:w="1704" w:type="dxa"/>
            <w:noWrap w:val="0"/>
            <w:vAlign w:val="center"/>
          </w:tcPr>
          <w:p>
            <w:pPr>
              <w:tabs>
                <w:tab w:val="left" w:pos="611"/>
              </w:tabs>
              <w:spacing w:line="320" w:lineRule="exact"/>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评审内容</w:t>
            </w:r>
          </w:p>
        </w:tc>
        <w:tc>
          <w:tcPr>
            <w:tcW w:w="993" w:type="dxa"/>
            <w:noWrap w:val="0"/>
            <w:vAlign w:val="center"/>
          </w:tcPr>
          <w:p>
            <w:pPr>
              <w:tabs>
                <w:tab w:val="left" w:pos="611"/>
              </w:tabs>
              <w:spacing w:line="320" w:lineRule="exact"/>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7410" w:type="dxa"/>
            <w:noWrap w:val="0"/>
            <w:vAlign w:val="center"/>
          </w:tcPr>
          <w:p>
            <w:pPr>
              <w:tabs>
                <w:tab w:val="left" w:pos="611"/>
              </w:tabs>
              <w:spacing w:line="320" w:lineRule="exact"/>
              <w:ind w:firstLine="555"/>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4" w:hRule="atLeast"/>
        </w:trPr>
        <w:tc>
          <w:tcPr>
            <w:tcW w:w="764" w:type="dxa"/>
            <w:noWrap w:val="0"/>
            <w:vAlign w:val="center"/>
          </w:tcPr>
          <w:p>
            <w:pPr>
              <w:tabs>
                <w:tab w:val="left" w:pos="611"/>
              </w:tabs>
              <w:spacing w:line="320" w:lineRule="exact"/>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一</w:t>
            </w:r>
          </w:p>
        </w:tc>
        <w:tc>
          <w:tcPr>
            <w:tcW w:w="1704" w:type="dxa"/>
            <w:noWrap w:val="0"/>
            <w:vAlign w:val="center"/>
          </w:tcPr>
          <w:p>
            <w:pPr>
              <w:tabs>
                <w:tab w:val="left" w:pos="611"/>
              </w:tabs>
              <w:spacing w:line="320" w:lineRule="exact"/>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技术分</w:t>
            </w:r>
          </w:p>
        </w:tc>
        <w:tc>
          <w:tcPr>
            <w:tcW w:w="993" w:type="dxa"/>
            <w:noWrap w:val="0"/>
            <w:vAlign w:val="center"/>
          </w:tcPr>
          <w:p>
            <w:pPr>
              <w:tabs>
                <w:tab w:val="left" w:pos="611"/>
              </w:tabs>
              <w:spacing w:line="320" w:lineRule="exact"/>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45分</w:t>
            </w:r>
          </w:p>
        </w:tc>
        <w:tc>
          <w:tcPr>
            <w:tcW w:w="7410" w:type="dxa"/>
            <w:noWrap w:val="0"/>
            <w:vAlign w:val="center"/>
          </w:tcPr>
          <w:p>
            <w:pPr>
              <w:tabs>
                <w:tab w:val="left" w:pos="611"/>
              </w:tabs>
              <w:spacing w:line="320" w:lineRule="exact"/>
              <w:ind w:firstLine="555"/>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trPr>
        <w:tc>
          <w:tcPr>
            <w:tcW w:w="764"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w:t>
            </w:r>
          </w:p>
          <w:p>
            <w:pPr>
              <w:spacing w:line="320" w:lineRule="exact"/>
              <w:ind w:firstLine="210" w:firstLineChars="100"/>
              <w:jc w:val="right"/>
              <w:rPr>
                <w:rFonts w:hint="eastAsia" w:ascii="宋体" w:hAnsi="宋体" w:cs="宋体"/>
                <w:color w:val="auto"/>
                <w:sz w:val="21"/>
                <w:szCs w:val="21"/>
                <w:highlight w:val="none"/>
              </w:rPr>
            </w:pPr>
          </w:p>
        </w:tc>
        <w:tc>
          <w:tcPr>
            <w:tcW w:w="1704" w:type="dxa"/>
            <w:noWrap w:val="0"/>
            <w:vAlign w:val="center"/>
          </w:tcPr>
          <w:p>
            <w:pPr>
              <w:pStyle w:val="142"/>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产品质量性能（20分）</w:t>
            </w:r>
          </w:p>
        </w:tc>
        <w:tc>
          <w:tcPr>
            <w:tcW w:w="993" w:type="dxa"/>
            <w:noWrap w:val="0"/>
            <w:vAlign w:val="center"/>
          </w:tcPr>
          <w:p>
            <w:pPr>
              <w:pStyle w:val="142"/>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0-20分</w:t>
            </w:r>
          </w:p>
        </w:tc>
        <w:tc>
          <w:tcPr>
            <w:tcW w:w="7410" w:type="dxa"/>
            <w:noWrap w:val="0"/>
            <w:vAlign w:val="center"/>
          </w:tcPr>
          <w:p>
            <w:pPr>
              <w:pStyle w:val="142"/>
              <w:rPr>
                <w:rFonts w:hint="eastAsia"/>
                <w:color w:val="auto"/>
                <w:szCs w:val="21"/>
                <w:highlight w:val="none"/>
              </w:rPr>
            </w:pPr>
            <w:r>
              <w:rPr>
                <w:rFonts w:hint="eastAsia"/>
                <w:color w:val="auto"/>
                <w:szCs w:val="21"/>
                <w:highlight w:val="none"/>
              </w:rPr>
              <w:t>（1）响应招标文件要求的部件整体性能、技术参数、技术规范和技术要求的得10分；</w:t>
            </w:r>
          </w:p>
          <w:p>
            <w:pPr>
              <w:pStyle w:val="142"/>
              <w:rPr>
                <w:rFonts w:hint="eastAsia"/>
                <w:color w:val="auto"/>
                <w:szCs w:val="21"/>
                <w:highlight w:val="none"/>
              </w:rPr>
            </w:pPr>
            <w:r>
              <w:rPr>
                <w:rFonts w:hint="eastAsia"/>
                <w:color w:val="auto"/>
                <w:szCs w:val="21"/>
                <w:highlight w:val="none"/>
              </w:rPr>
              <w:t>低于招标文件要求的部件整体性能、技术参数、技术规范和技术要求的给予逐项适当减分（非实质性偏离），每低于一项扣2分，扣完为止;</w:t>
            </w:r>
          </w:p>
          <w:p>
            <w:pPr>
              <w:pStyle w:val="142"/>
              <w:rPr>
                <w:rFonts w:hint="eastAsia"/>
                <w:color w:val="auto"/>
                <w:szCs w:val="21"/>
                <w:highlight w:val="none"/>
              </w:rPr>
            </w:pPr>
            <w:r>
              <w:rPr>
                <w:rFonts w:hint="eastAsia"/>
                <w:color w:val="auto"/>
                <w:szCs w:val="21"/>
                <w:highlight w:val="none"/>
              </w:rPr>
              <w:t>（2）优于招标文件要求的货物整体性能、技术参数、技术规范和技术要求的给予逐项加分，每优于一项加1分，总加分不得超过</w:t>
            </w:r>
            <w:r>
              <w:rPr>
                <w:color w:val="auto"/>
                <w:szCs w:val="21"/>
                <w:highlight w:val="none"/>
              </w:rPr>
              <w:t>5</w:t>
            </w:r>
            <w:r>
              <w:rPr>
                <w:rFonts w:hint="eastAsia"/>
                <w:color w:val="auto"/>
                <w:szCs w:val="21"/>
                <w:highlight w:val="none"/>
              </w:rPr>
              <w:t>分；</w:t>
            </w:r>
          </w:p>
          <w:p>
            <w:pPr>
              <w:pStyle w:val="142"/>
              <w:rPr>
                <w:rFonts w:hint="eastAsia" w:ascii="宋体" w:hAnsi="宋体" w:cs="宋体"/>
                <w:color w:val="auto"/>
                <w:sz w:val="21"/>
                <w:szCs w:val="21"/>
                <w:highlight w:val="none"/>
              </w:rPr>
            </w:pPr>
            <w:r>
              <w:rPr>
                <w:rFonts w:hint="eastAsia"/>
                <w:color w:val="auto"/>
                <w:szCs w:val="21"/>
                <w:highlight w:val="none"/>
              </w:rPr>
              <w:t>（3）产品性能、质量、方案的整体评价（5分），多数性能指标明显优于招标需求、质量可靠、各项方案和措施均严密有效的，得3-5分；多数性能指标与招标需求一致的，得1-2分；产品存在质量隐患或者存在升级淘汰、更新替代风险的，或者有关方案措施不严密、存在明显缺陷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trPr>
        <w:tc>
          <w:tcPr>
            <w:tcW w:w="764" w:type="dxa"/>
            <w:noWrap w:val="0"/>
            <w:vAlign w:val="center"/>
          </w:tcPr>
          <w:p>
            <w:pPr>
              <w:spacing w:line="320" w:lineRule="exact"/>
              <w:ind w:firstLine="210" w:firstLineChars="100"/>
              <w:jc w:val="right"/>
              <w:rPr>
                <w:rFonts w:hint="eastAsia" w:ascii="宋体" w:hAnsi="宋体" w:cs="宋体"/>
                <w:color w:val="auto"/>
                <w:sz w:val="21"/>
                <w:szCs w:val="21"/>
                <w:highlight w:val="none"/>
              </w:rPr>
            </w:pPr>
          </w:p>
        </w:tc>
        <w:tc>
          <w:tcPr>
            <w:tcW w:w="1704" w:type="dxa"/>
            <w:noWrap w:val="0"/>
            <w:vAlign w:val="center"/>
          </w:tcPr>
          <w:p>
            <w:pPr>
              <w:pStyle w:val="142"/>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项目实施方案及保障措施</w:t>
            </w:r>
          </w:p>
          <w:p>
            <w:pPr>
              <w:pStyle w:val="142"/>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（25分）</w:t>
            </w:r>
          </w:p>
        </w:tc>
        <w:tc>
          <w:tcPr>
            <w:tcW w:w="993" w:type="dxa"/>
            <w:noWrap w:val="0"/>
            <w:vAlign w:val="center"/>
          </w:tcPr>
          <w:p>
            <w:pPr>
              <w:pStyle w:val="142"/>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0-25分</w:t>
            </w:r>
          </w:p>
        </w:tc>
        <w:tc>
          <w:tcPr>
            <w:tcW w:w="7410" w:type="dxa"/>
            <w:noWrap w:val="0"/>
            <w:vAlign w:val="center"/>
          </w:tcPr>
          <w:p>
            <w:pPr>
              <w:pStyle w:val="142"/>
              <w:rPr>
                <w:color w:val="auto"/>
                <w:highlight w:val="none"/>
              </w:rPr>
            </w:pPr>
            <w:r>
              <w:rPr>
                <w:rFonts w:hint="eastAsia"/>
                <w:color w:val="auto"/>
                <w:highlight w:val="none"/>
              </w:rPr>
              <w:t>（</w:t>
            </w:r>
            <w:r>
              <w:rPr>
                <w:color w:val="auto"/>
                <w:highlight w:val="none"/>
              </w:rPr>
              <w:t>1</w:t>
            </w:r>
            <w:r>
              <w:rPr>
                <w:rFonts w:hint="eastAsia"/>
                <w:color w:val="auto"/>
                <w:highlight w:val="none"/>
              </w:rPr>
              <w:t>）根据</w:t>
            </w:r>
            <w:r>
              <w:rPr>
                <w:rFonts w:hint="eastAsia"/>
                <w:color w:val="auto"/>
                <w:highlight w:val="none"/>
                <w:lang w:eastAsia="zh-CN"/>
              </w:rPr>
              <w:t>供应商</w:t>
            </w:r>
            <w:r>
              <w:rPr>
                <w:rFonts w:hint="eastAsia"/>
                <w:color w:val="auto"/>
                <w:highlight w:val="none"/>
              </w:rPr>
              <w:t>提供方案的可操作性、实用性、可兼容性进行综合评分（5分）。优的得4-5分，良的得2-3分，一般的得1-2分；</w:t>
            </w:r>
          </w:p>
          <w:p>
            <w:pPr>
              <w:pStyle w:val="142"/>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）根据</w:t>
            </w:r>
            <w:r>
              <w:rPr>
                <w:rFonts w:hint="eastAsia"/>
                <w:color w:val="auto"/>
                <w:highlight w:val="none"/>
                <w:lang w:eastAsia="zh-CN"/>
              </w:rPr>
              <w:t>供应商</w:t>
            </w:r>
            <w:r>
              <w:rPr>
                <w:rFonts w:hint="eastAsia"/>
                <w:color w:val="auto"/>
                <w:highlight w:val="none"/>
              </w:rPr>
              <w:t>对于本项目的理解程度</w:t>
            </w:r>
            <w:r>
              <w:rPr>
                <w:rFonts w:hint="eastAsia"/>
                <w:color w:val="auto"/>
                <w:highlight w:val="none"/>
                <w:lang w:eastAsia="zh-CN"/>
              </w:rPr>
              <w:t>评</w:t>
            </w:r>
            <w:r>
              <w:rPr>
                <w:rFonts w:hint="eastAsia"/>
                <w:color w:val="auto"/>
                <w:highlight w:val="none"/>
              </w:rPr>
              <w:t>分（5分）。监控部署点位勘测图合理得当并得到南浔***认可得5分。</w:t>
            </w:r>
          </w:p>
          <w:p>
            <w:pPr>
              <w:pStyle w:val="142"/>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）确保供应货物质量的设施及措施（2分）。有严密的质量监控措施和先进的质量检测设施的得2分，无质量控制措施的扣 0-1 分，无质量检测设施的扣 0-1分。</w:t>
            </w:r>
          </w:p>
          <w:p>
            <w:pPr>
              <w:pStyle w:val="142"/>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）安装、调试、验收的方案和措施（3分）。方案和措施科学有效的，得3分；方案措施欠佳的，每项扣 0-1 分，扣完该项得分为止；方案措施存在明显缺陷的，每项扣 1-2 分，扣完该项得分为止；无方案无措施的不得分。</w:t>
            </w:r>
          </w:p>
          <w:p>
            <w:pPr>
              <w:pStyle w:val="142"/>
              <w:rPr>
                <w:rFonts w:hint="eastAsia"/>
                <w:color w:val="auto"/>
                <w:highlight w:val="none"/>
              </w:rPr>
            </w:pPr>
            <w:r>
              <w:rPr>
                <w:rFonts w:hint="eastAsia"/>
                <w:color w:val="auto"/>
                <w:highlight w:val="none"/>
              </w:rPr>
              <w:t>（</w:t>
            </w:r>
            <w:r>
              <w:rPr>
                <w:color w:val="auto"/>
                <w:highlight w:val="none"/>
              </w:rPr>
              <w:t>5</w:t>
            </w:r>
            <w:r>
              <w:rPr>
                <w:rFonts w:hint="eastAsia"/>
                <w:color w:val="auto"/>
                <w:highlight w:val="none"/>
              </w:rPr>
              <w:t>）项目施工组织技术力量和人力资源安排投入的保障措施（6分）。技术力量和人力资源安排充足的得4分，技术力量欠缺扣1-2分，人力资源安排不足扣1-2分。项目负责人同时具有PMP证书及项目管理师证书得2分，不具备不得分，须出具相关负责人的社保证明。</w:t>
            </w:r>
          </w:p>
          <w:p>
            <w:pPr>
              <w:pStyle w:val="142"/>
              <w:rPr>
                <w:rFonts w:hint="eastAsia"/>
                <w:color w:val="auto"/>
                <w:highlight w:val="none"/>
              </w:rPr>
            </w:pPr>
            <w:r>
              <w:rPr>
                <w:rFonts w:hint="eastAsia"/>
                <w:color w:val="auto"/>
                <w:highlight w:val="none"/>
              </w:rPr>
              <w:t>（</w:t>
            </w:r>
            <w:r>
              <w:rPr>
                <w:color w:val="auto"/>
                <w:highlight w:val="none"/>
              </w:rPr>
              <w:t>6</w:t>
            </w:r>
            <w:r>
              <w:rPr>
                <w:rFonts w:hint="eastAsia"/>
                <w:color w:val="auto"/>
                <w:highlight w:val="none"/>
              </w:rPr>
              <w:t>）合理化建议（1分）：评委根据各</w:t>
            </w:r>
            <w:r>
              <w:rPr>
                <w:rFonts w:hint="eastAsia"/>
                <w:color w:val="auto"/>
                <w:highlight w:val="none"/>
                <w:lang w:eastAsia="zh-CN"/>
              </w:rPr>
              <w:t>供应商</w:t>
            </w:r>
            <w:r>
              <w:rPr>
                <w:rFonts w:hint="eastAsia"/>
                <w:color w:val="auto"/>
                <w:highlight w:val="none"/>
              </w:rPr>
              <w:t>针对本项目的合理化建议酌情打分。</w:t>
            </w:r>
          </w:p>
          <w:p>
            <w:pPr>
              <w:pStyle w:val="142"/>
              <w:rPr>
                <w:rFonts w:hint="eastAsia" w:ascii="宋体" w:hAnsi="宋体"/>
                <w:color w:val="auto"/>
                <w:sz w:val="21"/>
                <w:szCs w:val="21"/>
                <w:highlight w:val="none"/>
              </w:rPr>
            </w:pPr>
            <w:r>
              <w:rPr>
                <w:rFonts w:hint="eastAsia"/>
                <w:color w:val="auto"/>
                <w:highlight w:val="none"/>
              </w:rPr>
              <w:t>（</w:t>
            </w:r>
            <w:r>
              <w:rPr>
                <w:color w:val="auto"/>
                <w:highlight w:val="none"/>
              </w:rPr>
              <w:t>7</w:t>
            </w:r>
            <w:r>
              <w:rPr>
                <w:rFonts w:hint="eastAsia"/>
                <w:color w:val="auto"/>
                <w:highlight w:val="none"/>
              </w:rPr>
              <w:t>）优惠条件（3分）：评委根据各</w:t>
            </w:r>
            <w:r>
              <w:rPr>
                <w:rFonts w:hint="eastAsia"/>
                <w:color w:val="auto"/>
                <w:highlight w:val="none"/>
                <w:lang w:eastAsia="zh-CN"/>
              </w:rPr>
              <w:t>供应商</w:t>
            </w:r>
            <w:r>
              <w:rPr>
                <w:rFonts w:hint="eastAsia"/>
                <w:color w:val="auto"/>
                <w:highlight w:val="none"/>
              </w:rPr>
              <w:t>针对本项目提供的一些优惠条件横向比较酌情打分。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trPr>
        <w:tc>
          <w:tcPr>
            <w:tcW w:w="764" w:type="dxa"/>
            <w:noWrap w:val="0"/>
            <w:vAlign w:val="center"/>
          </w:tcPr>
          <w:p>
            <w:pPr>
              <w:spacing w:line="32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w:t>
            </w:r>
          </w:p>
        </w:tc>
        <w:tc>
          <w:tcPr>
            <w:tcW w:w="1704" w:type="dxa"/>
            <w:noWrap w:val="0"/>
            <w:vAlign w:val="center"/>
          </w:tcPr>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商务分</w:t>
            </w:r>
          </w:p>
        </w:tc>
        <w:tc>
          <w:tcPr>
            <w:tcW w:w="993" w:type="dxa"/>
            <w:noWrap w:val="0"/>
            <w:vAlign w:val="center"/>
          </w:tcPr>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rPr>
              <w:t>分</w:t>
            </w:r>
          </w:p>
        </w:tc>
        <w:tc>
          <w:tcPr>
            <w:tcW w:w="7410" w:type="dxa"/>
            <w:noWrap w:val="0"/>
            <w:vAlign w:val="center"/>
          </w:tcPr>
          <w:p>
            <w:pPr>
              <w:adjustRightInd w:val="0"/>
              <w:snapToGrid w:val="0"/>
              <w:spacing w:line="440" w:lineRule="exact"/>
              <w:ind w:firstLine="420" w:firstLineChars="200"/>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trPr>
        <w:tc>
          <w:tcPr>
            <w:tcW w:w="764" w:type="dxa"/>
            <w:vMerge w:val="restart"/>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704" w:type="dxa"/>
            <w:vMerge w:val="restart"/>
            <w:noWrap w:val="0"/>
            <w:vAlign w:val="center"/>
          </w:tcPr>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售后服务承诺及质量保证</w:t>
            </w:r>
          </w:p>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rPr>
              <w:t>分）</w:t>
            </w: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0-4分</w:t>
            </w:r>
          </w:p>
        </w:tc>
        <w:tc>
          <w:tcPr>
            <w:tcW w:w="7410" w:type="dxa"/>
            <w:noWrap w:val="0"/>
            <w:vAlign w:val="top"/>
          </w:tcPr>
          <w:p>
            <w:pPr>
              <w:spacing w:before="120" w:beforeLines="50" w:after="120" w:afterLines="50" w:line="220" w:lineRule="exact"/>
              <w:rPr>
                <w:rFonts w:hint="eastAsia" w:ascii="宋体" w:hAnsi="宋体"/>
                <w:color w:val="auto"/>
                <w:sz w:val="21"/>
                <w:szCs w:val="21"/>
                <w:highlight w:val="none"/>
              </w:rPr>
            </w:pPr>
            <w:bookmarkStart w:id="25" w:name="OLE_LINK6"/>
            <w:r>
              <w:rPr>
                <w:rFonts w:hint="eastAsia" w:ascii="宋体" w:hAnsi="宋体"/>
                <w:color w:val="FF0000"/>
                <w:sz w:val="21"/>
                <w:szCs w:val="21"/>
                <w:highlight w:val="none"/>
              </w:rPr>
              <w:t>质保期</w:t>
            </w:r>
            <w:bookmarkEnd w:id="25"/>
            <w:bookmarkStart w:id="26" w:name="OLE_LINK7"/>
            <w:r>
              <w:rPr>
                <w:rFonts w:hint="eastAsia" w:ascii="宋体" w:hAnsi="宋体"/>
                <w:color w:val="FF0000"/>
                <w:sz w:val="21"/>
                <w:szCs w:val="21"/>
                <w:highlight w:val="none"/>
              </w:rPr>
              <w:t>：</w:t>
            </w:r>
            <w:r>
              <w:rPr>
                <w:rFonts w:hint="eastAsia" w:ascii="宋体" w:hAnsi="宋体"/>
                <w:color w:val="FF0000"/>
                <w:sz w:val="21"/>
                <w:szCs w:val="21"/>
                <w:highlight w:val="none"/>
                <w:lang w:eastAsia="zh-CN"/>
              </w:rPr>
              <w:t>监控和</w:t>
            </w:r>
            <w:r>
              <w:rPr>
                <w:rFonts w:hint="eastAsia" w:ascii="宋体" w:hAnsi="宋体"/>
                <w:color w:val="FF0000"/>
                <w:sz w:val="21"/>
                <w:szCs w:val="21"/>
                <w:highlight w:val="none"/>
                <w:lang w:val="en-US" w:eastAsia="zh-CN"/>
              </w:rPr>
              <w:t>MAC采集设备质保期三年得2年，</w:t>
            </w:r>
            <w:r>
              <w:rPr>
                <w:rFonts w:hint="eastAsia" w:ascii="宋体" w:hAnsi="宋体"/>
                <w:color w:val="FF0000"/>
                <w:sz w:val="21"/>
                <w:szCs w:val="21"/>
                <w:highlight w:val="none"/>
              </w:rPr>
              <w:t xml:space="preserve">超过招标文件规定的，每增加一年得 </w:t>
            </w:r>
            <w:r>
              <w:rPr>
                <w:rFonts w:hint="eastAsia" w:ascii="宋体" w:hAnsi="宋体"/>
                <w:color w:val="FF0000"/>
                <w:sz w:val="21"/>
                <w:szCs w:val="21"/>
                <w:highlight w:val="none"/>
                <w:lang w:val="en-US" w:eastAsia="zh-CN"/>
              </w:rPr>
              <w:t>1</w:t>
            </w:r>
            <w:r>
              <w:rPr>
                <w:rFonts w:hint="eastAsia" w:ascii="宋体" w:hAnsi="宋体"/>
                <w:color w:val="FF0000"/>
                <w:sz w:val="21"/>
                <w:szCs w:val="21"/>
                <w:highlight w:val="none"/>
              </w:rPr>
              <w:t xml:space="preserve"> 分,最多得4分（质保期必须提供原厂商承诺书</w:t>
            </w:r>
            <w:r>
              <w:rPr>
                <w:rFonts w:hint="eastAsia" w:ascii="宋体" w:hAnsi="宋体"/>
                <w:color w:val="FF0000"/>
                <w:sz w:val="21"/>
                <w:szCs w:val="21"/>
                <w:highlight w:val="none"/>
                <w:lang w:eastAsia="zh-CN"/>
              </w:rPr>
              <w:t>，未提供不得分</w:t>
            </w:r>
            <w:r>
              <w:rPr>
                <w:rFonts w:hint="eastAsia" w:ascii="宋体" w:hAnsi="宋体"/>
                <w:color w:val="FF0000"/>
                <w:sz w:val="21"/>
                <w:szCs w:val="21"/>
                <w:highlight w:val="none"/>
              </w:rPr>
              <w:t>）；</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3" w:hRule="atLeast"/>
        </w:trPr>
        <w:tc>
          <w:tcPr>
            <w:tcW w:w="764" w:type="dxa"/>
            <w:vMerge w:val="continue"/>
            <w:noWrap w:val="0"/>
            <w:vAlign w:val="center"/>
          </w:tcPr>
          <w:p>
            <w:pPr>
              <w:tabs>
                <w:tab w:val="left" w:pos="611"/>
              </w:tabs>
              <w:spacing w:line="320" w:lineRule="exact"/>
              <w:ind w:firstLine="555"/>
              <w:jc w:val="center"/>
              <w:outlineLvl w:val="0"/>
              <w:rPr>
                <w:rFonts w:hint="eastAsia" w:ascii="宋体" w:hAnsi="宋体" w:cs="宋体"/>
                <w:color w:val="auto"/>
                <w:sz w:val="21"/>
                <w:szCs w:val="21"/>
                <w:highlight w:val="none"/>
              </w:rPr>
            </w:pPr>
          </w:p>
        </w:tc>
        <w:tc>
          <w:tcPr>
            <w:tcW w:w="1704" w:type="dxa"/>
            <w:vMerge w:val="continue"/>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0-4分</w:t>
            </w:r>
          </w:p>
        </w:tc>
        <w:tc>
          <w:tcPr>
            <w:tcW w:w="7410" w:type="dxa"/>
            <w:noWrap w:val="0"/>
            <w:vAlign w:val="top"/>
          </w:tcPr>
          <w:p>
            <w:pPr>
              <w:spacing w:before="120" w:beforeLines="50" w:after="120" w:afterLines="50" w:line="300" w:lineRule="exact"/>
              <w:rPr>
                <w:rFonts w:hint="eastAsia" w:ascii="宋体" w:hAnsi="宋体"/>
                <w:color w:val="auto"/>
                <w:sz w:val="21"/>
                <w:szCs w:val="21"/>
                <w:highlight w:val="none"/>
              </w:rPr>
            </w:pPr>
            <w:bookmarkStart w:id="27" w:name="OLE_LINK9"/>
            <w:bookmarkStart w:id="28" w:name="OLE_LINK8"/>
            <w:r>
              <w:rPr>
                <w:rFonts w:hint="eastAsia" w:ascii="宋体" w:hAnsi="宋体"/>
                <w:b/>
                <w:bCs/>
                <w:color w:val="auto"/>
                <w:sz w:val="21"/>
                <w:szCs w:val="21"/>
                <w:highlight w:val="none"/>
              </w:rPr>
              <w:t>售后服务优惠承诺</w:t>
            </w:r>
            <w:bookmarkEnd w:id="27"/>
            <w:r>
              <w:rPr>
                <w:rFonts w:hint="eastAsia" w:ascii="宋体" w:hAnsi="宋体"/>
                <w:b/>
                <w:bCs/>
                <w:color w:val="auto"/>
                <w:sz w:val="21"/>
                <w:szCs w:val="21"/>
                <w:highlight w:val="none"/>
              </w:rPr>
              <w:t>：</w:t>
            </w:r>
            <w:r>
              <w:rPr>
                <w:rFonts w:hint="eastAsia" w:ascii="宋体" w:hAnsi="宋体"/>
                <w:color w:val="auto"/>
                <w:sz w:val="21"/>
                <w:szCs w:val="21"/>
                <w:highlight w:val="none"/>
              </w:rPr>
              <w:t>售后服务方案全面周到且优惠幅度大的,得2分，售后服务不全面或优惠不明显的,得0.5-1分，除招标文件规定内容外无其他售后服务承诺的，该项不得分；接到</w:t>
            </w:r>
            <w:r>
              <w:rPr>
                <w:rFonts w:hint="eastAsia" w:ascii="宋体" w:hAnsi="宋体"/>
                <w:color w:val="auto"/>
                <w:sz w:val="21"/>
                <w:szCs w:val="21"/>
                <w:highlight w:val="none"/>
                <w:lang w:eastAsia="zh-CN"/>
              </w:rPr>
              <w:t>招标采购单位</w:t>
            </w:r>
            <w:r>
              <w:rPr>
                <w:rFonts w:hint="eastAsia" w:ascii="宋体" w:hAnsi="宋体"/>
                <w:color w:val="auto"/>
                <w:sz w:val="21"/>
                <w:szCs w:val="21"/>
                <w:highlight w:val="none"/>
              </w:rPr>
              <w:t>报修通知后3小时内现场响应的，得1分；每减少1小时加1分，最高得2分，每增加1小时扣1分，扣完该项得分为止。</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64" w:type="dxa"/>
            <w:noWrap w:val="0"/>
            <w:vAlign w:val="center"/>
          </w:tcPr>
          <w:p>
            <w:pPr>
              <w:spacing w:line="32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w:t>
            </w:r>
          </w:p>
        </w:tc>
        <w:tc>
          <w:tcPr>
            <w:tcW w:w="1704" w:type="dxa"/>
            <w:noWrap w:val="0"/>
            <w:vAlign w:val="center"/>
          </w:tcPr>
          <w:p>
            <w:pPr>
              <w:tabs>
                <w:tab w:val="left" w:pos="611"/>
              </w:tabs>
              <w:spacing w:line="320" w:lineRule="exact"/>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资信及其他分</w:t>
            </w:r>
          </w:p>
        </w:tc>
        <w:tc>
          <w:tcPr>
            <w:tcW w:w="993" w:type="dxa"/>
            <w:noWrap w:val="0"/>
            <w:vAlign w:val="center"/>
          </w:tcPr>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cs="宋体"/>
                <w:b/>
                <w:bCs/>
                <w:color w:val="auto"/>
                <w:sz w:val="21"/>
                <w:szCs w:val="21"/>
                <w:highlight w:val="none"/>
              </w:rPr>
              <w:t>分</w:t>
            </w:r>
          </w:p>
        </w:tc>
        <w:tc>
          <w:tcPr>
            <w:tcW w:w="7410" w:type="dxa"/>
            <w:noWrap w:val="0"/>
            <w:vAlign w:val="center"/>
          </w:tcPr>
          <w:p>
            <w:pPr>
              <w:adjustRightInd w:val="0"/>
              <w:snapToGrid w:val="0"/>
              <w:spacing w:line="440" w:lineRule="exact"/>
              <w:ind w:firstLine="420" w:firstLineChars="200"/>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5" w:hRule="atLeast"/>
        </w:trPr>
        <w:tc>
          <w:tcPr>
            <w:tcW w:w="764" w:type="dxa"/>
            <w:noWrap w:val="0"/>
            <w:vAlign w:val="center"/>
          </w:tcPr>
          <w:p>
            <w:pPr>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704" w:type="dxa"/>
            <w:noWrap w:val="0"/>
            <w:vAlign w:val="center"/>
          </w:tcPr>
          <w:p>
            <w:pPr>
              <w:tabs>
                <w:tab w:val="left" w:pos="611"/>
              </w:tabs>
              <w:spacing w:line="320" w:lineRule="exact"/>
              <w:outlineLvl w:val="0"/>
              <w:rPr>
                <w:rFonts w:hint="eastAsia" w:ascii="宋体" w:hAnsi="宋体" w:cs="宋体"/>
                <w:b/>
                <w:bCs/>
                <w:color w:val="auto"/>
                <w:sz w:val="21"/>
                <w:szCs w:val="21"/>
                <w:highlight w:val="none"/>
              </w:rPr>
            </w:pPr>
          </w:p>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企业业绩</w:t>
            </w:r>
          </w:p>
          <w:p>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7410" w:type="dxa"/>
            <w:noWrap w:val="0"/>
            <w:vAlign w:val="top"/>
          </w:tcPr>
          <w:p>
            <w:pPr>
              <w:spacing w:before="120" w:beforeLines="50" w:after="120" w:afterLines="50" w:line="240" w:lineRule="exact"/>
              <w:rPr>
                <w:rFonts w:hint="eastAsia" w:ascii="宋体" w:hAnsi="宋体" w:cs="宋体"/>
                <w:color w:val="auto"/>
                <w:sz w:val="21"/>
                <w:szCs w:val="21"/>
                <w:highlight w:val="none"/>
              </w:rPr>
            </w:pPr>
            <w:r>
              <w:rPr>
                <w:rFonts w:hint="eastAsia" w:ascii="宋体" w:hAnsi="宋体"/>
                <w:color w:val="auto"/>
                <w:sz w:val="21"/>
                <w:szCs w:val="21"/>
                <w:highlight w:val="none"/>
              </w:rPr>
              <w:t>根据</w:t>
            </w:r>
            <w:r>
              <w:rPr>
                <w:rFonts w:hint="eastAsia" w:ascii="宋体" w:hAnsi="宋体"/>
                <w:color w:val="auto"/>
                <w:sz w:val="21"/>
                <w:szCs w:val="21"/>
                <w:highlight w:val="none"/>
                <w:lang w:eastAsia="zh-CN"/>
              </w:rPr>
              <w:t>供应商</w:t>
            </w:r>
            <w:r>
              <w:rPr>
                <w:rFonts w:hint="eastAsia" w:ascii="宋体" w:hAnsi="宋体"/>
                <w:bCs/>
                <w:color w:val="auto"/>
                <w:sz w:val="21"/>
                <w:szCs w:val="21"/>
                <w:highlight w:val="none"/>
              </w:rPr>
              <w:t>2013年1月1日至今</w:t>
            </w:r>
            <w:r>
              <w:rPr>
                <w:rFonts w:hint="eastAsia" w:ascii="宋体" w:hAnsi="宋体"/>
                <w:color w:val="auto"/>
                <w:sz w:val="21"/>
                <w:szCs w:val="21"/>
                <w:highlight w:val="none"/>
              </w:rPr>
              <w:t>同类项目业绩进行评定：</w:t>
            </w:r>
            <w:r>
              <w:rPr>
                <w:rFonts w:hint="eastAsia" w:ascii="宋体" w:hAnsi="宋体"/>
                <w:color w:val="auto"/>
                <w:spacing w:val="14"/>
                <w:sz w:val="21"/>
                <w:szCs w:val="21"/>
                <w:highlight w:val="none"/>
                <w:lang w:eastAsia="zh-CN"/>
              </w:rPr>
              <w:t>供应商</w:t>
            </w:r>
            <w:r>
              <w:rPr>
                <w:rFonts w:hint="eastAsia" w:ascii="宋体" w:hAnsi="宋体"/>
                <w:color w:val="auto"/>
                <w:spacing w:val="14"/>
                <w:sz w:val="21"/>
                <w:szCs w:val="21"/>
                <w:highlight w:val="none"/>
              </w:rPr>
              <w:t>每提供一个项目业绩加</w:t>
            </w:r>
            <w:r>
              <w:rPr>
                <w:rFonts w:hint="eastAsia" w:ascii="宋体" w:hAnsi="宋体"/>
                <w:color w:val="auto"/>
                <w:spacing w:val="14"/>
                <w:sz w:val="21"/>
                <w:szCs w:val="21"/>
                <w:highlight w:val="none"/>
                <w:lang w:val="en-US" w:eastAsia="zh-CN"/>
              </w:rPr>
              <w:t>2</w:t>
            </w:r>
            <w:r>
              <w:rPr>
                <w:rFonts w:hint="eastAsia" w:ascii="宋体" w:hAnsi="宋体"/>
                <w:color w:val="auto"/>
                <w:spacing w:val="14"/>
                <w:sz w:val="21"/>
                <w:szCs w:val="21"/>
                <w:highlight w:val="none"/>
              </w:rPr>
              <w:t>分，最多加2分。</w:t>
            </w:r>
            <w:r>
              <w:rPr>
                <w:rFonts w:hint="eastAsia" w:ascii="宋体" w:hAnsi="宋体"/>
                <w:color w:val="auto"/>
                <w:sz w:val="21"/>
                <w:szCs w:val="21"/>
                <w:highlight w:val="none"/>
              </w:rPr>
              <w:t>须提供合同复印件加盖公章，原件备查</w:t>
            </w:r>
            <w:r>
              <w:rPr>
                <w:rFonts w:hint="eastAsia" w:ascii="宋体" w:hAnsi="宋体"/>
                <w:color w:val="auto"/>
                <w:sz w:val="21"/>
                <w:szCs w:val="21"/>
                <w:highlight w:val="none"/>
                <w:lang w:eastAsia="zh-CN"/>
              </w:rPr>
              <w:t>；</w:t>
            </w:r>
            <w:r>
              <w:rPr>
                <w:rFonts w:hint="eastAsia" w:ascii="宋体" w:hAnsi="宋体"/>
                <w:color w:val="auto"/>
                <w:spacing w:val="14"/>
                <w:sz w:val="21"/>
                <w:szCs w:val="21"/>
                <w:highlight w:val="none"/>
              </w:rPr>
              <w:t>未提供合同复印件加盖公章的不得分。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trPr>
        <w:tc>
          <w:tcPr>
            <w:tcW w:w="764" w:type="dxa"/>
            <w:vMerge w:val="restart"/>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704" w:type="dxa"/>
            <w:vMerge w:val="restart"/>
            <w:noWrap w:val="0"/>
            <w:vAlign w:val="center"/>
          </w:tcPr>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企业荣誉</w:t>
            </w:r>
          </w:p>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0-1分</w:t>
            </w:r>
          </w:p>
        </w:tc>
        <w:tc>
          <w:tcPr>
            <w:tcW w:w="7410" w:type="dxa"/>
            <w:noWrap w:val="0"/>
            <w:vAlign w:val="top"/>
          </w:tcPr>
          <w:p>
            <w:pPr>
              <w:spacing w:before="120" w:beforeLines="50" w:after="120" w:afterLines="50" w:line="240" w:lineRule="exact"/>
              <w:rPr>
                <w:rFonts w:hint="eastAsia" w:ascii="宋体" w:hAnsi="宋体" w:cs="宋体"/>
                <w:color w:val="auto"/>
                <w:sz w:val="21"/>
                <w:szCs w:val="21"/>
                <w:highlight w:val="none"/>
              </w:rPr>
            </w:pPr>
            <w:r>
              <w:rPr>
                <w:rFonts w:hint="eastAsia" w:ascii="宋体" w:hAnsi="宋体"/>
                <w:color w:val="auto"/>
                <w:spacing w:val="14"/>
                <w:sz w:val="21"/>
                <w:szCs w:val="21"/>
                <w:highlight w:val="none"/>
                <w:lang w:eastAsia="zh-CN"/>
              </w:rPr>
              <w:t>供应商</w:t>
            </w:r>
            <w:r>
              <w:rPr>
                <w:rFonts w:hint="eastAsia" w:ascii="宋体" w:hAnsi="宋体"/>
                <w:color w:val="auto"/>
                <w:spacing w:val="14"/>
                <w:sz w:val="21"/>
                <w:szCs w:val="21"/>
                <w:highlight w:val="none"/>
              </w:rPr>
              <w:t>下属公司或机构在201</w:t>
            </w:r>
            <w:r>
              <w:rPr>
                <w:rFonts w:hint="eastAsia" w:ascii="宋体" w:hAnsi="宋体"/>
                <w:color w:val="auto"/>
                <w:spacing w:val="14"/>
                <w:sz w:val="21"/>
                <w:szCs w:val="21"/>
                <w:highlight w:val="none"/>
                <w:lang w:val="en-US" w:eastAsia="zh-CN"/>
              </w:rPr>
              <w:t>3</w:t>
            </w:r>
            <w:r>
              <w:rPr>
                <w:rFonts w:hint="eastAsia" w:ascii="宋体" w:hAnsi="宋体"/>
                <w:color w:val="auto"/>
                <w:spacing w:val="14"/>
                <w:sz w:val="21"/>
                <w:szCs w:val="21"/>
                <w:highlight w:val="none"/>
              </w:rPr>
              <w:t>年</w:t>
            </w:r>
            <w:r>
              <w:rPr>
                <w:rFonts w:hint="eastAsia" w:ascii="宋体" w:hAnsi="宋体"/>
                <w:color w:val="auto"/>
                <w:spacing w:val="14"/>
                <w:sz w:val="21"/>
                <w:szCs w:val="21"/>
                <w:highlight w:val="none"/>
                <w:lang w:val="en-US" w:eastAsia="zh-CN"/>
              </w:rPr>
              <w:t>1月1日至今</w:t>
            </w:r>
            <w:r>
              <w:rPr>
                <w:rFonts w:hint="eastAsia" w:ascii="宋体" w:hAnsi="宋体"/>
                <w:color w:val="auto"/>
                <w:spacing w:val="14"/>
                <w:sz w:val="21"/>
                <w:szCs w:val="21"/>
                <w:highlight w:val="none"/>
              </w:rPr>
              <w:t>获得过省级荣誉得0.5分，获得国家级荣誉加1分。（相关荣誉需有政府职能部门颁发并提供相关证件并加盖单位公章）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5" w:hRule="atLeast"/>
        </w:trPr>
        <w:tc>
          <w:tcPr>
            <w:tcW w:w="764" w:type="dxa"/>
            <w:vMerge w:val="continue"/>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p>
        </w:tc>
        <w:tc>
          <w:tcPr>
            <w:tcW w:w="1704" w:type="dxa"/>
            <w:vMerge w:val="continue"/>
            <w:noWrap w:val="0"/>
            <w:vAlign w:val="center"/>
          </w:tcPr>
          <w:p>
            <w:pPr>
              <w:tabs>
                <w:tab w:val="left" w:pos="611"/>
              </w:tabs>
              <w:spacing w:line="320" w:lineRule="exact"/>
              <w:jc w:val="center"/>
              <w:outlineLvl w:val="0"/>
              <w:rPr>
                <w:rFonts w:hint="eastAsia" w:ascii="宋体" w:hAnsi="宋体" w:cs="宋体"/>
                <w:b/>
                <w:bCs/>
                <w:color w:val="auto"/>
                <w:sz w:val="21"/>
                <w:szCs w:val="21"/>
                <w:highlight w:val="none"/>
              </w:rPr>
            </w:pP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0-3分</w:t>
            </w:r>
          </w:p>
        </w:tc>
        <w:tc>
          <w:tcPr>
            <w:tcW w:w="7410" w:type="dxa"/>
            <w:noWrap w:val="0"/>
            <w:vAlign w:val="top"/>
          </w:tcPr>
          <w:p>
            <w:pPr>
              <w:spacing w:before="120" w:beforeLines="50" w:after="120" w:afterLines="50" w:line="240" w:lineRule="exact"/>
              <w:rPr>
                <w:rFonts w:hint="eastAsia" w:ascii="宋体" w:hAnsi="宋体" w:cs="宋体"/>
                <w:color w:val="auto"/>
                <w:sz w:val="21"/>
                <w:szCs w:val="21"/>
                <w:highlight w:val="none"/>
              </w:rPr>
            </w:pPr>
            <w:r>
              <w:rPr>
                <w:rFonts w:hint="eastAsia" w:ascii="宋体" w:hAnsi="宋体"/>
                <w:color w:val="auto"/>
                <w:spacing w:val="14"/>
                <w:sz w:val="21"/>
                <w:szCs w:val="21"/>
                <w:highlight w:val="none"/>
                <w:lang w:eastAsia="zh-CN"/>
              </w:rPr>
              <w:t>供应商</w:t>
            </w:r>
            <w:r>
              <w:rPr>
                <w:rFonts w:hint="eastAsia" w:ascii="宋体" w:hAnsi="宋体"/>
                <w:color w:val="auto"/>
                <w:spacing w:val="14"/>
                <w:sz w:val="21"/>
                <w:szCs w:val="21"/>
                <w:highlight w:val="none"/>
              </w:rPr>
              <w:t>下属公司或机构获得服务业优强企业荣誉一年得</w:t>
            </w:r>
            <w:r>
              <w:rPr>
                <w:rFonts w:hint="eastAsia" w:ascii="宋体" w:hAnsi="宋体"/>
                <w:color w:val="auto"/>
                <w:spacing w:val="14"/>
                <w:sz w:val="21"/>
                <w:szCs w:val="21"/>
                <w:highlight w:val="none"/>
                <w:lang w:val="en-US" w:eastAsia="zh-CN"/>
              </w:rPr>
              <w:t>1</w:t>
            </w:r>
            <w:r>
              <w:rPr>
                <w:rFonts w:hint="eastAsia" w:ascii="宋体" w:hAnsi="宋体"/>
                <w:color w:val="auto"/>
                <w:spacing w:val="14"/>
                <w:sz w:val="21"/>
                <w:szCs w:val="21"/>
                <w:highlight w:val="none"/>
              </w:rPr>
              <w:t>分，连续获得三年以上，五年以下（不含五年）得2分，连续获得五年以上得3分，最高得分3分（需提供相关证明文件</w:t>
            </w:r>
            <w:r>
              <w:rPr>
                <w:rFonts w:hint="eastAsia" w:ascii="宋体" w:hAnsi="宋体"/>
                <w:color w:val="auto"/>
                <w:spacing w:val="14"/>
                <w:sz w:val="21"/>
                <w:szCs w:val="21"/>
                <w:highlight w:val="none"/>
                <w:lang w:eastAsia="zh-CN"/>
              </w:rPr>
              <w:t>复印件</w:t>
            </w:r>
            <w:r>
              <w:rPr>
                <w:rFonts w:hint="eastAsia" w:ascii="宋体" w:hAnsi="宋体"/>
                <w:color w:val="auto"/>
                <w:spacing w:val="14"/>
                <w:sz w:val="21"/>
                <w:szCs w:val="21"/>
                <w:highlight w:val="none"/>
              </w:rPr>
              <w:t>加盖公章</w:t>
            </w:r>
            <w:r>
              <w:rPr>
                <w:rFonts w:hint="eastAsia" w:ascii="宋体" w:hAnsi="宋体"/>
                <w:color w:val="auto"/>
                <w:spacing w:val="14"/>
                <w:sz w:val="21"/>
                <w:szCs w:val="21"/>
                <w:highlight w:val="none"/>
                <w:lang w:eastAsia="zh-CN"/>
              </w:rPr>
              <w:t>，未提供不得分</w:t>
            </w:r>
            <w:r>
              <w:rPr>
                <w:rFonts w:hint="eastAsia" w:ascii="宋体" w:hAnsi="宋体"/>
                <w:color w:val="auto"/>
                <w:spacing w:val="1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trPr>
        <w:tc>
          <w:tcPr>
            <w:tcW w:w="764" w:type="dxa"/>
            <w:vMerge w:val="restart"/>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704" w:type="dxa"/>
            <w:vMerge w:val="restart"/>
            <w:noWrap w:val="0"/>
            <w:vAlign w:val="center"/>
          </w:tcPr>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权威认证</w:t>
            </w:r>
          </w:p>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信誉等级</w:t>
            </w:r>
          </w:p>
          <w:p>
            <w:pPr>
              <w:tabs>
                <w:tab w:val="left" w:pos="611"/>
              </w:tabs>
              <w:spacing w:line="320" w:lineRule="exact"/>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7</w:t>
            </w:r>
            <w:r>
              <w:rPr>
                <w:rFonts w:hint="eastAsia" w:ascii="宋体" w:hAnsi="宋体" w:cs="宋体"/>
                <w:b/>
                <w:bCs/>
                <w:color w:val="auto"/>
                <w:sz w:val="21"/>
                <w:szCs w:val="21"/>
                <w:highlight w:val="none"/>
              </w:rPr>
              <w:t>分）</w:t>
            </w: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7410" w:type="dxa"/>
            <w:noWrap w:val="0"/>
            <w:vAlign w:val="top"/>
          </w:tcPr>
          <w:p>
            <w:pPr>
              <w:spacing w:before="120" w:beforeLines="50" w:after="120" w:afterLines="50" w:line="240" w:lineRule="exact"/>
              <w:rPr>
                <w:rFonts w:hint="eastAsia" w:ascii="宋体" w:hAnsi="宋体"/>
                <w:color w:val="auto"/>
                <w:spacing w:val="14"/>
                <w:sz w:val="21"/>
                <w:szCs w:val="21"/>
                <w:highlight w:val="none"/>
              </w:rPr>
            </w:pPr>
            <w:bookmarkStart w:id="29" w:name="OLE_LINK14"/>
            <w:r>
              <w:rPr>
                <w:rFonts w:hint="eastAsia" w:ascii="宋体" w:hAnsi="宋体"/>
                <w:color w:val="auto"/>
                <w:spacing w:val="14"/>
                <w:sz w:val="21"/>
                <w:szCs w:val="21"/>
                <w:highlight w:val="none"/>
                <w:lang w:eastAsia="zh-CN"/>
              </w:rPr>
              <w:t>供应商</w:t>
            </w:r>
            <w:r>
              <w:rPr>
                <w:rFonts w:hint="eastAsia" w:ascii="宋体" w:hAnsi="宋体"/>
                <w:color w:val="auto"/>
                <w:spacing w:val="14"/>
                <w:sz w:val="21"/>
                <w:szCs w:val="21"/>
                <w:highlight w:val="none"/>
              </w:rPr>
              <w:t>具备</w:t>
            </w:r>
            <w:r>
              <w:rPr>
                <w:rFonts w:ascii="宋体" w:hAnsi="宋体"/>
                <w:color w:val="auto"/>
                <w:spacing w:val="14"/>
                <w:sz w:val="21"/>
                <w:szCs w:val="21"/>
                <w:highlight w:val="none"/>
              </w:rPr>
              <w:t>信息安全管理体系认证证书ISO27001</w:t>
            </w:r>
            <w:r>
              <w:rPr>
                <w:rFonts w:hint="eastAsia" w:ascii="宋体" w:hAnsi="宋体"/>
                <w:color w:val="auto"/>
                <w:spacing w:val="14"/>
                <w:sz w:val="21"/>
                <w:szCs w:val="21"/>
                <w:highlight w:val="none"/>
              </w:rPr>
              <w:t>、</w:t>
            </w:r>
            <w:r>
              <w:rPr>
                <w:rFonts w:ascii="宋体" w:hAnsi="宋体"/>
                <w:color w:val="auto"/>
                <w:spacing w:val="14"/>
                <w:sz w:val="21"/>
                <w:szCs w:val="21"/>
                <w:highlight w:val="none"/>
              </w:rPr>
              <w:t>信息技术服务管理体系认证证书</w:t>
            </w:r>
            <w:bookmarkEnd w:id="29"/>
            <w:r>
              <w:rPr>
                <w:rFonts w:hint="eastAsia" w:ascii="宋体" w:hAnsi="宋体"/>
                <w:color w:val="auto"/>
                <w:spacing w:val="14"/>
                <w:sz w:val="21"/>
                <w:szCs w:val="21"/>
                <w:highlight w:val="none"/>
              </w:rPr>
              <w:t>，每提供一个得</w:t>
            </w:r>
            <w:r>
              <w:rPr>
                <w:rFonts w:hint="eastAsia" w:ascii="宋体" w:hAnsi="宋体"/>
                <w:color w:val="auto"/>
                <w:spacing w:val="14"/>
                <w:sz w:val="21"/>
                <w:szCs w:val="21"/>
                <w:highlight w:val="none"/>
                <w:lang w:val="en-US" w:eastAsia="zh-CN"/>
              </w:rPr>
              <w:t>2</w:t>
            </w:r>
            <w:r>
              <w:rPr>
                <w:rFonts w:hint="eastAsia" w:ascii="宋体" w:hAnsi="宋体"/>
                <w:color w:val="auto"/>
                <w:spacing w:val="14"/>
                <w:sz w:val="21"/>
                <w:szCs w:val="21"/>
                <w:highlight w:val="none"/>
              </w:rPr>
              <w:t>分，最多得</w:t>
            </w:r>
            <w:r>
              <w:rPr>
                <w:rFonts w:hint="eastAsia" w:ascii="宋体" w:hAnsi="宋体"/>
                <w:color w:val="auto"/>
                <w:spacing w:val="14"/>
                <w:sz w:val="21"/>
                <w:szCs w:val="21"/>
                <w:highlight w:val="none"/>
                <w:lang w:val="en-US" w:eastAsia="zh-CN"/>
              </w:rPr>
              <w:t>4</w:t>
            </w:r>
            <w:r>
              <w:rPr>
                <w:rFonts w:hint="eastAsia" w:ascii="宋体" w:hAnsi="宋体"/>
                <w:color w:val="auto"/>
                <w:spacing w:val="14"/>
                <w:sz w:val="21"/>
                <w:szCs w:val="21"/>
                <w:highlight w:val="none"/>
              </w:rPr>
              <w:t>分；复印件加盖公章</w:t>
            </w:r>
            <w:r>
              <w:rPr>
                <w:rFonts w:hint="eastAsia" w:ascii="宋体" w:hAnsi="宋体"/>
                <w:color w:val="auto"/>
                <w:spacing w:val="14"/>
                <w:sz w:val="21"/>
                <w:szCs w:val="21"/>
                <w:highlight w:val="none"/>
                <w:lang w:eastAsia="zh-CN"/>
              </w:rPr>
              <w:t>，</w:t>
            </w:r>
            <w:r>
              <w:rPr>
                <w:rFonts w:hint="eastAsia" w:ascii="宋体" w:hAnsi="宋体"/>
                <w:color w:val="auto"/>
                <w:spacing w:val="14"/>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trPr>
        <w:tc>
          <w:tcPr>
            <w:tcW w:w="764" w:type="dxa"/>
            <w:vMerge w:val="continue"/>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p>
        </w:tc>
        <w:tc>
          <w:tcPr>
            <w:tcW w:w="1704" w:type="dxa"/>
            <w:vMerge w:val="continue"/>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0-3分</w:t>
            </w:r>
          </w:p>
        </w:tc>
        <w:tc>
          <w:tcPr>
            <w:tcW w:w="7410" w:type="dxa"/>
            <w:noWrap w:val="0"/>
            <w:vAlign w:val="top"/>
          </w:tcPr>
          <w:p>
            <w:pPr>
              <w:spacing w:before="120" w:beforeLines="50" w:after="120" w:afterLines="50" w:line="240" w:lineRule="exact"/>
              <w:rPr>
                <w:rFonts w:hint="eastAsia" w:ascii="宋体" w:hAnsi="宋体"/>
                <w:color w:val="auto"/>
                <w:spacing w:val="14"/>
                <w:sz w:val="21"/>
                <w:szCs w:val="21"/>
                <w:highlight w:val="none"/>
              </w:rPr>
            </w:pPr>
            <w:r>
              <w:rPr>
                <w:rFonts w:hint="eastAsia" w:ascii="宋体" w:hAnsi="宋体"/>
                <w:color w:val="auto"/>
                <w:spacing w:val="14"/>
                <w:sz w:val="21"/>
                <w:szCs w:val="21"/>
                <w:highlight w:val="none"/>
                <w:lang w:eastAsia="zh-CN"/>
              </w:rPr>
              <w:t>供应商</w:t>
            </w:r>
            <w:r>
              <w:rPr>
                <w:rFonts w:hint="eastAsia" w:ascii="宋体" w:hAnsi="宋体"/>
                <w:color w:val="auto"/>
                <w:spacing w:val="14"/>
                <w:sz w:val="21"/>
                <w:szCs w:val="21"/>
                <w:highlight w:val="none"/>
              </w:rPr>
              <w:t>信誉等级证书为A级得1分，信誉等级证书为AA级得2分，信誉等级证书为AAA级得3分，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764" w:type="dxa"/>
            <w:noWrap w:val="0"/>
            <w:vAlign w:val="center"/>
          </w:tcPr>
          <w:p>
            <w:pPr>
              <w:tabs>
                <w:tab w:val="left" w:pos="611"/>
              </w:tabs>
              <w:spacing w:line="320" w:lineRule="exact"/>
              <w:ind w:firstLine="105" w:firstLineChars="5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1704" w:type="dxa"/>
            <w:noWrap w:val="0"/>
            <w:vAlign w:val="center"/>
          </w:tcPr>
          <w:p>
            <w:pPr>
              <w:tabs>
                <w:tab w:val="left" w:pos="1080"/>
              </w:tabs>
              <w:spacing w:line="4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投标文件质量</w:t>
            </w:r>
          </w:p>
          <w:p>
            <w:pPr>
              <w:tabs>
                <w:tab w:val="left" w:pos="1080"/>
              </w:tabs>
              <w:spacing w:line="440" w:lineRule="exact"/>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（2分）</w:t>
            </w:r>
          </w:p>
        </w:tc>
        <w:tc>
          <w:tcPr>
            <w:tcW w:w="993" w:type="dxa"/>
            <w:noWrap w:val="0"/>
            <w:vAlign w:val="center"/>
          </w:tcPr>
          <w:p>
            <w:pPr>
              <w:tabs>
                <w:tab w:val="left" w:pos="611"/>
              </w:tabs>
              <w:spacing w:line="320" w:lineRule="exact"/>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0-2分</w:t>
            </w:r>
          </w:p>
        </w:tc>
        <w:tc>
          <w:tcPr>
            <w:tcW w:w="7410" w:type="dxa"/>
            <w:noWrap w:val="0"/>
            <w:vAlign w:val="center"/>
          </w:tcPr>
          <w:p>
            <w:pPr>
              <w:tabs>
                <w:tab w:val="left" w:pos="1080"/>
              </w:tabs>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所提供的响应的投标文件按招标文件要求编制完整、不缺项且签字、盖章完整的得2分，不齐全的不得分；</w:t>
            </w:r>
          </w:p>
        </w:tc>
      </w:tr>
    </w:tbl>
    <w:p>
      <w:pPr>
        <w:spacing w:line="360" w:lineRule="auto"/>
        <w:ind w:right="560" w:rightChars="200"/>
        <w:jc w:val="both"/>
        <w:outlineLvl w:val="0"/>
        <w:rPr>
          <w:rFonts w:hint="eastAsia" w:ascii="宋体" w:hAnsi="宋体" w:cs="宋体"/>
          <w:b/>
          <w:color w:val="auto"/>
          <w:sz w:val="32"/>
          <w:szCs w:val="32"/>
          <w:highlight w:val="none"/>
        </w:rPr>
      </w:pPr>
      <w:r>
        <w:rPr>
          <w:rFonts w:hint="eastAsia" w:ascii="宋体" w:hAnsi="宋体" w:cs="宋体"/>
          <w:color w:val="auto"/>
          <w:sz w:val="24"/>
          <w:highlight w:val="none"/>
        </w:rPr>
        <w:t>注：所有合同、证书、证明材料等请携带原件备查。</w:t>
      </w: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center"/>
        <w:outlineLvl w:val="0"/>
        <w:rPr>
          <w:rFonts w:hint="eastAsia" w:ascii="宋体" w:hAnsi="宋体" w:cs="宋体"/>
          <w:b/>
          <w:color w:val="auto"/>
          <w:sz w:val="32"/>
          <w:szCs w:val="32"/>
          <w:highlight w:val="none"/>
        </w:rPr>
      </w:pPr>
    </w:p>
    <w:p>
      <w:pPr>
        <w:spacing w:line="360" w:lineRule="auto"/>
        <w:ind w:right="560" w:rightChars="200"/>
        <w:jc w:val="both"/>
        <w:outlineLvl w:val="0"/>
        <w:rPr>
          <w:rFonts w:hint="eastAsia" w:ascii="宋体" w:hAnsi="宋体" w:cs="宋体"/>
          <w:b/>
          <w:color w:val="auto"/>
          <w:sz w:val="32"/>
          <w:szCs w:val="32"/>
          <w:highlight w:val="none"/>
        </w:rPr>
      </w:pPr>
    </w:p>
    <w:p>
      <w:pPr>
        <w:pStyle w:val="2"/>
        <w:rPr>
          <w:rFonts w:hint="eastAsia"/>
          <w:color w:val="auto"/>
          <w:highlight w:val="none"/>
        </w:rPr>
      </w:pPr>
    </w:p>
    <w:p>
      <w:pPr>
        <w:spacing w:line="360" w:lineRule="auto"/>
        <w:ind w:right="560" w:rightChars="20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第五章 合同主要条款（仅供参考）</w:t>
      </w:r>
      <w:bookmarkEnd w:id="24"/>
    </w:p>
    <w:p>
      <w:pPr>
        <w:snapToGrid w:val="0"/>
        <w:spacing w:before="120" w:beforeLines="50" w:after="120" w:afterLines="50" w:line="360" w:lineRule="auto"/>
        <w:jc w:val="center"/>
        <w:outlineLvl w:val="0"/>
        <w:rPr>
          <w:rFonts w:ascii="宋体" w:hAnsi="宋体"/>
          <w:b/>
          <w:bCs/>
          <w:color w:val="auto"/>
          <w:sz w:val="24"/>
          <w:highlight w:val="none"/>
        </w:rPr>
      </w:pPr>
      <w:bookmarkStart w:id="30" w:name="_Toc461980475"/>
      <w:bookmarkStart w:id="31" w:name="_Toc508900998"/>
      <w:r>
        <w:rPr>
          <w:rFonts w:hint="eastAsia" w:ascii="宋体" w:hAnsi="宋体"/>
          <w:b/>
          <w:color w:val="auto"/>
          <w:sz w:val="24"/>
          <w:highlight w:val="none"/>
        </w:rPr>
        <w:t>浙江省政府采购合同指引(服务)</w:t>
      </w:r>
    </w:p>
    <w:p>
      <w:pPr>
        <w:pStyle w:val="26"/>
        <w:snapToGrid w:val="0"/>
        <w:spacing w:before="120" w:after="120" w:line="480" w:lineRule="exact"/>
        <w:rPr>
          <w:rFonts w:hint="eastAsia" w:hAnsi="宋体" w:cs="宋体"/>
          <w:color w:val="auto"/>
          <w:highlight w:val="none"/>
        </w:rPr>
      </w:pPr>
      <w:r>
        <w:rPr>
          <w:rFonts w:hint="eastAsia" w:hAnsi="宋体" w:cs="宋体"/>
          <w:color w:val="auto"/>
          <w:highlight w:val="none"/>
        </w:rPr>
        <w:t>项目名称：                                       项目编号：</w:t>
      </w:r>
    </w:p>
    <w:p>
      <w:pPr>
        <w:pStyle w:val="26"/>
        <w:snapToGrid w:val="0"/>
        <w:spacing w:before="120" w:after="120" w:line="480" w:lineRule="exact"/>
        <w:rPr>
          <w:rFonts w:hint="eastAsia" w:hAnsi="宋体" w:cs="宋体"/>
          <w:color w:val="auto"/>
          <w:highlight w:val="none"/>
        </w:rPr>
      </w:pPr>
      <w:r>
        <w:rPr>
          <w:rFonts w:hint="eastAsia" w:hAnsi="宋体" w:cs="宋体"/>
          <w:color w:val="auto"/>
          <w:highlight w:val="none"/>
        </w:rPr>
        <w:t>甲方：（需方）</w:t>
      </w:r>
    </w:p>
    <w:p>
      <w:pPr>
        <w:pStyle w:val="26"/>
        <w:snapToGrid w:val="0"/>
        <w:spacing w:before="120" w:after="120" w:line="480" w:lineRule="exact"/>
        <w:rPr>
          <w:rFonts w:hint="eastAsia" w:hAnsi="宋体" w:cs="宋体"/>
          <w:color w:val="auto"/>
          <w:highlight w:val="none"/>
        </w:rPr>
      </w:pPr>
      <w:r>
        <w:rPr>
          <w:rFonts w:hint="eastAsia" w:hAnsi="宋体" w:cs="宋体"/>
          <w:color w:val="auto"/>
          <w:highlight w:val="none"/>
        </w:rPr>
        <w:t>乙方：（供方）</w:t>
      </w:r>
    </w:p>
    <w:p>
      <w:pPr>
        <w:pStyle w:val="26"/>
        <w:snapToGrid w:val="0"/>
        <w:spacing w:before="120" w:after="120"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甲、</w:t>
      </w:r>
      <w:r>
        <w:rPr>
          <w:rFonts w:hint="eastAsia" w:hAnsi="宋体" w:cs="宋体"/>
          <w:color w:val="auto"/>
          <w:sz w:val="24"/>
          <w:szCs w:val="24"/>
          <w:highlight w:val="none"/>
        </w:rPr>
        <w:t>乙双方根据</w:t>
      </w:r>
      <w:r>
        <w:rPr>
          <w:rFonts w:hint="eastAsia" w:hAnsi="宋体" w:cs="宋体"/>
          <w:b/>
          <w:bCs/>
          <w:color w:val="auto"/>
          <w:sz w:val="24"/>
          <w:szCs w:val="24"/>
          <w:highlight w:val="none"/>
          <w:u w:val="single"/>
        </w:rPr>
        <w:t xml:space="preserve"> 浙江建安工程管理有限公司 </w:t>
      </w:r>
      <w:r>
        <w:rPr>
          <w:rFonts w:hint="eastAsia" w:hAnsi="宋体" w:cs="宋体"/>
          <w:b/>
          <w:color w:val="auto"/>
          <w:sz w:val="24"/>
          <w:szCs w:val="24"/>
          <w:highlight w:val="none"/>
        </w:rPr>
        <w:t>关</w:t>
      </w:r>
      <w:r>
        <w:rPr>
          <w:rFonts w:hint="eastAsia" w:hAnsi="宋体" w:cs="宋体"/>
          <w:b/>
          <w:bCs/>
          <w:color w:val="auto"/>
          <w:sz w:val="24"/>
          <w:szCs w:val="24"/>
          <w:highlight w:val="none"/>
        </w:rPr>
        <w:t>于</w:t>
      </w:r>
      <w:r>
        <w:rPr>
          <w:rFonts w:hint="eastAsia"/>
          <w:b/>
          <w:bCs/>
          <w:color w:val="auto"/>
          <w:sz w:val="24"/>
          <w:szCs w:val="24"/>
          <w:highlight w:val="none"/>
          <w:u w:val="single"/>
          <w:lang w:eastAsia="zh-CN"/>
        </w:rPr>
        <w:t>南浔镇雪亮工程视频监控服务项目二期</w:t>
      </w:r>
      <w:r>
        <w:rPr>
          <w:rFonts w:hint="eastAsia" w:hAnsi="宋体" w:cs="宋体"/>
          <w:b/>
          <w:color w:val="auto"/>
          <w:sz w:val="24"/>
          <w:szCs w:val="24"/>
          <w:highlight w:val="none"/>
        </w:rPr>
        <w:t>公开招标</w:t>
      </w:r>
      <w:r>
        <w:rPr>
          <w:rFonts w:hint="eastAsia" w:hAnsi="宋体" w:cs="宋体"/>
          <w:color w:val="auto"/>
          <w:sz w:val="24"/>
          <w:szCs w:val="24"/>
          <w:highlight w:val="none"/>
        </w:rPr>
        <w:t>的结果，签署本合同。</w:t>
      </w:r>
    </w:p>
    <w:p>
      <w:pPr>
        <w:pStyle w:val="26"/>
        <w:snapToGrid w:val="0"/>
        <w:spacing w:before="0" w:beforeLines="0" w:after="0" w:afterLines="0" w:line="420" w:lineRule="exact"/>
        <w:ind w:left="638" w:leftChars="228" w:firstLine="69" w:firstLineChars="29"/>
        <w:rPr>
          <w:rFonts w:hAnsi="宋体"/>
          <w:color w:val="auto"/>
          <w:sz w:val="24"/>
          <w:szCs w:val="24"/>
          <w:highlight w:val="none"/>
        </w:rPr>
      </w:pPr>
      <w:r>
        <w:rPr>
          <w:rFonts w:hAnsi="宋体"/>
          <w:color w:val="auto"/>
          <w:sz w:val="24"/>
          <w:szCs w:val="24"/>
          <w:highlight w:val="none"/>
        </w:rPr>
        <w:t>本合同金额为（大写）：___________________元（￥______元）人民币。</w:t>
      </w:r>
    </w:p>
    <w:p>
      <w:pPr>
        <w:widowControl/>
        <w:autoSpaceDE w:val="0"/>
        <w:autoSpaceDN w:val="0"/>
        <w:adjustRightInd w:val="0"/>
        <w:snapToGrid w:val="0"/>
        <w:spacing w:line="460" w:lineRule="atLeast"/>
        <w:ind w:left="238" w:leftChars="85" w:firstLine="480" w:firstLineChars="200"/>
        <w:textAlignment w:val="bottom"/>
        <w:rPr>
          <w:rFonts w:hint="eastAsia" w:hAnsi="宋体"/>
          <w:color w:val="auto"/>
          <w:sz w:val="24"/>
          <w:szCs w:val="24"/>
          <w:highlight w:val="none"/>
          <w:u w:val="single"/>
        </w:rPr>
      </w:pPr>
      <w:r>
        <w:rPr>
          <w:rFonts w:hint="eastAsia" w:ascii="宋体"/>
          <w:color w:val="auto"/>
          <w:sz w:val="24"/>
          <w:highlight w:val="none"/>
        </w:rPr>
        <w:t>在合同签订前</w:t>
      </w:r>
      <w:r>
        <w:rPr>
          <w:rFonts w:hint="eastAsia" w:ascii="宋体"/>
          <w:color w:val="auto"/>
          <w:sz w:val="24"/>
          <w:highlight w:val="none"/>
          <w:lang w:eastAsia="zh-CN"/>
        </w:rPr>
        <w:t>供</w:t>
      </w:r>
      <w:r>
        <w:rPr>
          <w:rFonts w:hint="eastAsia" w:ascii="宋体"/>
          <w:color w:val="auto"/>
          <w:sz w:val="24"/>
          <w:highlight w:val="none"/>
        </w:rPr>
        <w:t>应向</w:t>
      </w:r>
      <w:r>
        <w:rPr>
          <w:rFonts w:hint="eastAsia" w:ascii="宋体"/>
          <w:color w:val="auto"/>
          <w:sz w:val="24"/>
          <w:highlight w:val="none"/>
          <w:lang w:eastAsia="zh-CN"/>
        </w:rPr>
        <w:t>土需方交纳</w:t>
      </w:r>
      <w:r>
        <w:rPr>
          <w:rFonts w:hint="eastAsia" w:ascii="宋体"/>
          <w:color w:val="auto"/>
          <w:sz w:val="24"/>
          <w:highlight w:val="none"/>
        </w:rPr>
        <w:t>合同总金额</w:t>
      </w:r>
      <w:r>
        <w:rPr>
          <w:rFonts w:hint="eastAsia" w:ascii="宋体"/>
          <w:color w:val="auto"/>
          <w:sz w:val="24"/>
          <w:highlight w:val="none"/>
          <w:lang w:val="en-US" w:eastAsia="zh-CN"/>
        </w:rPr>
        <w:t>5</w:t>
      </w:r>
      <w:r>
        <w:rPr>
          <w:rFonts w:hint="eastAsia" w:ascii="宋体"/>
          <w:color w:val="auto"/>
          <w:sz w:val="24"/>
          <w:highlight w:val="none"/>
        </w:rPr>
        <w:t>%的履约保证金</w:t>
      </w:r>
      <w:r>
        <w:rPr>
          <w:rFonts w:hint="eastAsia" w:ascii="宋体"/>
          <w:color w:val="auto"/>
          <w:sz w:val="24"/>
          <w:highlight w:val="none"/>
          <w:lang w:eastAsia="zh-CN"/>
        </w:rPr>
        <w:t>，即</w:t>
      </w:r>
      <w:r>
        <w:rPr>
          <w:rFonts w:hint="eastAsia" w:hAnsi="宋体"/>
          <w:color w:val="auto"/>
          <w:sz w:val="24"/>
          <w:szCs w:val="24"/>
          <w:highlight w:val="none"/>
          <w:lang w:eastAsia="zh-CN"/>
        </w:rPr>
        <w:t>人民币</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p>
    <w:p>
      <w:pPr>
        <w:widowControl/>
        <w:autoSpaceDE w:val="0"/>
        <w:autoSpaceDN w:val="0"/>
        <w:adjustRightInd w:val="0"/>
        <w:snapToGrid w:val="0"/>
        <w:spacing w:line="460" w:lineRule="atLeast"/>
        <w:textAlignment w:val="bottom"/>
        <w:rPr>
          <w:rFonts w:hint="eastAsia" w:ascii="宋体"/>
          <w:color w:val="auto"/>
          <w:sz w:val="24"/>
          <w:highlight w:val="none"/>
        </w:rPr>
      </w:pPr>
      <w:r>
        <w:rPr>
          <w:rFonts w:hint="eastAsia" w:hAnsi="宋体"/>
          <w:color w:val="auto"/>
          <w:sz w:val="24"/>
          <w:szCs w:val="24"/>
          <w:highlight w:val="non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元。</w:t>
      </w:r>
      <w:r>
        <w:rPr>
          <w:rFonts w:hint="eastAsia" w:ascii="宋体"/>
          <w:color w:val="auto"/>
          <w:sz w:val="24"/>
          <w:highlight w:val="none"/>
        </w:rPr>
        <w:t>；合同履行完毕（验收合格）后5日内无息退还。</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1.定义</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本合同中的下列术语应解释为：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1.1“合同”系指供需双方签署的、合同格式中载明的供需双方所达成的协议，包括所有的附件、附录和构成合同的所有文件；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1.2“合同价”系指根据合同规定，需方在供方完全履行合同义务后应付给的价格；</w:t>
      </w:r>
    </w:p>
    <w:p>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1.3“货物”系指供方根据合同规定向需方提供的一切设备、质量保证书和其他技术资料及技术参数；</w:t>
      </w:r>
    </w:p>
    <w:p>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1.4“服务”系指根据合同规定供方承担与供货有关的辅助服务，如运输、装卸、安装、保险以及其他的服务，例如安装、调试提供技术援助、培训和其他类似的义务；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1.5“需方”系指</w:t>
      </w:r>
      <w:r>
        <w:rPr>
          <w:rFonts w:hint="eastAsia" w:ascii="宋体" w:hAnsi="宋体"/>
          <w:bCs/>
          <w:color w:val="auto"/>
          <w:sz w:val="24"/>
          <w:highlight w:val="none"/>
        </w:rPr>
        <w:t>具体使用货物和接受服务的使用单位（即采购人）；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1.6“供方”系指根据合同规定提供采购项目货物和服务的具有法人资格的公司、企业或实体（即供应商）；</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1.7“财政审批编号”系指</w:t>
      </w:r>
      <w:r>
        <w:rPr>
          <w:rFonts w:hint="eastAsia" w:ascii="宋体" w:hAnsi="宋体"/>
          <w:color w:val="auto"/>
          <w:sz w:val="24"/>
          <w:highlight w:val="none"/>
          <w:lang w:eastAsia="zh-CN"/>
        </w:rPr>
        <w:t>湖州市南浔区财政局</w:t>
      </w:r>
      <w:r>
        <w:rPr>
          <w:rFonts w:hint="eastAsia" w:ascii="宋体" w:hAnsi="宋体"/>
          <w:color w:val="auto"/>
          <w:sz w:val="24"/>
          <w:highlight w:val="none"/>
        </w:rPr>
        <w:t>审批编号。</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2.合同项目与内容</w:t>
      </w:r>
    </w:p>
    <w:p>
      <w:pPr>
        <w:spacing w:line="440" w:lineRule="exact"/>
        <w:ind w:firstLine="240" w:firstLineChars="100"/>
        <w:rPr>
          <w:rFonts w:hint="eastAsia" w:hAnsi="宋体" w:eastAsia="宋体"/>
          <w:color w:val="auto"/>
          <w:sz w:val="24"/>
          <w:highlight w:val="none"/>
          <w:lang w:eastAsia="zh-CN"/>
        </w:rPr>
      </w:pPr>
      <w:r>
        <w:rPr>
          <w:rFonts w:hint="eastAsia" w:hAnsi="宋体"/>
          <w:color w:val="auto"/>
          <w:sz w:val="24"/>
          <w:highlight w:val="none"/>
          <w:lang w:eastAsia="zh-CN"/>
        </w:rPr>
        <w:t xml:space="preserve">南浔镇雪亮工程视频监控服务项目二期  </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3.供货时间与交货地点</w:t>
      </w:r>
    </w:p>
    <w:p>
      <w:pPr>
        <w:widowControl/>
        <w:autoSpaceDE w:val="0"/>
        <w:autoSpaceDN w:val="0"/>
        <w:adjustRightInd w:val="0"/>
        <w:spacing w:line="460" w:lineRule="atLeas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3.1供货时间： 签订合同后</w:t>
      </w:r>
      <w:r>
        <w:rPr>
          <w:rFonts w:ascii="宋体" w:hAnsi="宋体"/>
          <w:color w:val="auto"/>
          <w:sz w:val="24"/>
          <w:highlight w:val="none"/>
        </w:rPr>
        <w:t>120</w:t>
      </w:r>
      <w:r>
        <w:rPr>
          <w:rFonts w:hint="eastAsia" w:ascii="宋体" w:hAnsi="宋体"/>
          <w:color w:val="auto"/>
          <w:sz w:val="24"/>
          <w:highlight w:val="none"/>
        </w:rPr>
        <w:t>日历天内交货调试完毕。</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3.2交货地点：按需方指定地点</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4.标准</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4.1国家有强制性标准的，执行国家强制性标准。</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4.3</w:t>
      </w:r>
      <w:r>
        <w:rPr>
          <w:rFonts w:hint="eastAsia" w:ascii="宋体" w:hAnsi="宋体"/>
          <w:color w:val="auto"/>
          <w:sz w:val="24"/>
          <w:highlight w:val="none"/>
          <w:lang w:eastAsia="zh-CN"/>
        </w:rPr>
        <w:t>供方</w:t>
      </w:r>
      <w:r>
        <w:rPr>
          <w:rFonts w:hint="eastAsia" w:ascii="宋体" w:hAnsi="宋体"/>
          <w:color w:val="auto"/>
          <w:sz w:val="24"/>
          <w:highlight w:val="none"/>
        </w:rPr>
        <w:t>投标提供的设备必须是厂商原装的、全新的，型号、性能及指标符合国家及招标文件提出的有关技术、质量、安全标准。</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4.4所有设备在开箱检验时必须完好，无破损，配置与装箱单相符。数量、质量及性能不低于本需求书中提出的要求。</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4.5设备外观清洁，标记编号以及盘面显示等字体清晰，明确。铭牌、使用指示、警告指示应以中文或英文及易懂的通用符号来表示；应准确无误地表明设备之型号、规格、制造厂及生产或出厂日期。</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4.6对于影响设备正常工作的必要组成部分，无论在技术规范中指出与否，</w:t>
      </w:r>
      <w:r>
        <w:rPr>
          <w:rFonts w:hint="eastAsia" w:ascii="宋体" w:hAnsi="宋体"/>
          <w:color w:val="auto"/>
          <w:sz w:val="24"/>
          <w:highlight w:val="none"/>
          <w:lang w:eastAsia="zh-CN"/>
        </w:rPr>
        <w:t>供应商</w:t>
      </w:r>
      <w:r>
        <w:rPr>
          <w:rFonts w:hint="eastAsia" w:ascii="宋体" w:hAnsi="宋体"/>
          <w:color w:val="auto"/>
          <w:sz w:val="24"/>
          <w:highlight w:val="none"/>
        </w:rPr>
        <w:t>都应提供并在投标文件中明确列出。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4.7所有货物提供出厂合格证等质量证明文件，国外生产的必须有合法的进货渠道证明，如海关报关单、原产地证明、商检证明等。</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5.技术规范</w:t>
      </w:r>
    </w:p>
    <w:p>
      <w:pPr>
        <w:pStyle w:val="15"/>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本合同执行国家及本省、市现行施工及验收规范及有关条例、实施办法等。</w:t>
      </w:r>
    </w:p>
    <w:p>
      <w:pPr>
        <w:pStyle w:val="3"/>
        <w:spacing w:line="440" w:lineRule="exact"/>
        <w:ind w:firstLine="560"/>
        <w:rPr>
          <w:rFonts w:hint="eastAsia" w:hAnsi="宋体"/>
          <w:color w:val="auto"/>
          <w:sz w:val="24"/>
          <w:szCs w:val="24"/>
          <w:highlight w:val="none"/>
        </w:rPr>
      </w:pPr>
      <w:r>
        <w:rPr>
          <w:rFonts w:hint="eastAsia" w:hAnsi="宋体"/>
          <w:color w:val="auto"/>
          <w:sz w:val="24"/>
          <w:szCs w:val="24"/>
          <w:highlight w:val="none"/>
        </w:rPr>
        <w:t>提供和交付的货物及相关服务的技术规范应与招标文件规定的技术规范相一致。</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6.专利权</w:t>
      </w:r>
    </w:p>
    <w:p>
      <w:pPr>
        <w:pStyle w:val="3"/>
        <w:spacing w:line="440" w:lineRule="exact"/>
        <w:ind w:firstLine="560"/>
        <w:rPr>
          <w:rFonts w:hint="eastAsia" w:hAnsi="宋体"/>
          <w:color w:val="auto"/>
          <w:sz w:val="24"/>
          <w:szCs w:val="24"/>
          <w:highlight w:val="none"/>
        </w:rPr>
      </w:pPr>
      <w:r>
        <w:rPr>
          <w:rFonts w:hint="eastAsia" w:hAnsi="宋体"/>
          <w:color w:val="auto"/>
          <w:sz w:val="24"/>
          <w:szCs w:val="24"/>
          <w:highlight w:val="none"/>
        </w:rPr>
        <w:t>供方应保证需方在使用时不受第三方提出侵犯其专利权、商标权等知识产权的起诉。</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7.包装</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8.装运标记</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8.1供方应在每一包装箱的四面用不可擦除的油漆和明显的中文字样做出以下标记：</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8.1.1收货人；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8.1.2合同号；</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8.1.3发货标记（唛头）；</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8.1.4收货人编号；</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8.1.5目的港；</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8.1.6货物名称、品目号和箱号；</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8.1.7毛重/净重（用</w:t>
      </w:r>
      <w:r>
        <w:rPr>
          <w:rFonts w:ascii="宋体" w:hAnsi="宋体"/>
          <w:color w:val="auto"/>
          <w:sz w:val="24"/>
          <w:highlight w:val="none"/>
        </w:rPr>
        <w:t>kg</w:t>
      </w:r>
      <w:r>
        <w:rPr>
          <w:rFonts w:hint="eastAsia" w:ascii="宋体" w:hAnsi="宋体"/>
          <w:color w:val="auto"/>
          <w:sz w:val="24"/>
          <w:highlight w:val="none"/>
        </w:rPr>
        <w:t>表示）；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8.1.8尺寸（长×宽×高用</w:t>
      </w:r>
      <w:r>
        <w:rPr>
          <w:rFonts w:ascii="宋体" w:hAnsi="宋体"/>
          <w:color w:val="auto"/>
          <w:sz w:val="24"/>
          <w:highlight w:val="none"/>
        </w:rPr>
        <w:t>cm</w:t>
      </w:r>
      <w:r>
        <w:rPr>
          <w:rFonts w:hint="eastAsia" w:ascii="宋体" w:hAnsi="宋体"/>
          <w:color w:val="auto"/>
          <w:sz w:val="24"/>
          <w:highlight w:val="none"/>
        </w:rPr>
        <w:t>表示）。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8.2如果单件包装箱的重量在2吨或2吨以上，供方应在包装箱两侧用通用的运输标记标准“重心”和“起吊点”以便装卸和搬运。</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根据货物的特点和运输的不同要求，供方应在包装箱上清楚地标注“小心轻放”，“此端朝上，请勿倒置”、“保持干燥”等标记。</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9.装卸要求</w:t>
      </w:r>
    </w:p>
    <w:p>
      <w:pPr>
        <w:pStyle w:val="3"/>
        <w:spacing w:line="440" w:lineRule="exact"/>
        <w:ind w:firstLine="560"/>
        <w:rPr>
          <w:rFonts w:hint="eastAsia" w:hAnsi="宋体"/>
          <w:color w:val="auto"/>
          <w:sz w:val="24"/>
          <w:szCs w:val="24"/>
          <w:highlight w:val="none"/>
        </w:rPr>
      </w:pPr>
      <w:r>
        <w:rPr>
          <w:rFonts w:hint="eastAsia" w:hAnsi="宋体"/>
          <w:color w:val="auto"/>
          <w:sz w:val="24"/>
          <w:szCs w:val="24"/>
          <w:highlight w:val="none"/>
        </w:rPr>
        <w:t>除合同另有规定外，供方提供的全部货物，均应按标准采取保护措施，确保货物安全无损运抵现场。由于装卸或运输途中一切不善所造成的损失均由供方承担。</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10.装运条件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供方负责安排运输，运输中的一切费用由供方承担；</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11.装运通知</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供方应在合同规定的装运日期之前，将合同号、货物名称、数量、箱数、总毛重、总体积（用</w:t>
      </w:r>
      <w:r>
        <w:rPr>
          <w:rFonts w:ascii="宋体" w:hAnsi="宋体"/>
          <w:color w:val="auto"/>
          <w:sz w:val="24"/>
          <w:highlight w:val="none"/>
        </w:rPr>
        <w:t>m</w:t>
      </w:r>
      <w:r>
        <w:rPr>
          <w:rFonts w:hint="eastAsia" w:ascii="宋体" w:hAnsi="宋体"/>
          <w:color w:val="auto"/>
          <w:sz w:val="24"/>
          <w:highlight w:val="none"/>
          <w:vertAlign w:val="superscript"/>
        </w:rPr>
        <w:t>3</w:t>
      </w:r>
      <w:r>
        <w:rPr>
          <w:rFonts w:hint="eastAsia" w:ascii="宋体" w:hAnsi="宋体"/>
          <w:color w:val="auto"/>
          <w:sz w:val="24"/>
          <w:highlight w:val="none"/>
        </w:rPr>
        <w:t>表示）运输工具以传真形式通知需方。具体安装时间以需方通知为准。</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12.货物就位</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供方负责所供货物就位，如受条件影响就位，供方负责货物拆装，就位一切费用供方负责。</w:t>
      </w:r>
    </w:p>
    <w:p>
      <w:pPr>
        <w:spacing w:line="440" w:lineRule="exact"/>
        <w:rPr>
          <w:rFonts w:ascii="宋体" w:hAnsi="宋体"/>
          <w:b/>
          <w:bCs/>
          <w:color w:val="auto"/>
          <w:sz w:val="24"/>
          <w:highlight w:val="none"/>
        </w:rPr>
      </w:pPr>
      <w:r>
        <w:rPr>
          <w:rFonts w:hint="eastAsia" w:ascii="宋体" w:hAnsi="宋体"/>
          <w:b/>
          <w:bCs/>
          <w:color w:val="auto"/>
          <w:sz w:val="24"/>
          <w:highlight w:val="none"/>
        </w:rPr>
        <w:t>13.付款方式</w:t>
      </w:r>
    </w:p>
    <w:p>
      <w:pPr>
        <w:pStyle w:val="26"/>
        <w:snapToGrid w:val="0"/>
        <w:spacing w:before="120" w:after="120"/>
        <w:ind w:firstLine="480" w:firstLineChars="200"/>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 xml:space="preserve">本合同签约年限为3年，分3年支付费用，第一年支付合同金额的33.34%，第二年、第三年各支付合同金额的33.33%。 </w:t>
      </w:r>
    </w:p>
    <w:p>
      <w:pPr>
        <w:pStyle w:val="26"/>
        <w:snapToGrid w:val="0"/>
        <w:spacing w:before="120" w:after="120"/>
        <w:ind w:firstLine="510"/>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同时</w:t>
      </w:r>
      <w:r>
        <w:rPr>
          <w:rFonts w:hint="eastAsia" w:hAnsi="Times New Roman" w:cs="Times New Roman"/>
          <w:color w:val="auto"/>
          <w:kern w:val="2"/>
          <w:sz w:val="24"/>
          <w:szCs w:val="24"/>
          <w:highlight w:val="none"/>
          <w:lang w:val="en-US" w:eastAsia="zh-CN" w:bidi="ar-SA"/>
        </w:rPr>
        <w:t>需方</w:t>
      </w:r>
      <w:r>
        <w:rPr>
          <w:rFonts w:hint="eastAsia" w:ascii="宋体" w:hAnsi="宋体" w:cs="Times New Roman"/>
          <w:color w:val="auto"/>
          <w:kern w:val="2"/>
          <w:sz w:val="24"/>
          <w:szCs w:val="24"/>
          <w:highlight w:val="none"/>
          <w:lang w:val="en-US" w:eastAsia="zh-CN" w:bidi="ar-SA"/>
        </w:rPr>
        <w:t>根据监控上线完好率作为附加条件，完好率=平台上线数/项目总数，上完好率及支付费用标准比例如下：</w:t>
      </w:r>
    </w:p>
    <w:tbl>
      <w:tblPr>
        <w:tblStyle w:val="48"/>
        <w:tblW w:w="0" w:type="auto"/>
        <w:tblInd w:w="-5" w:type="dxa"/>
        <w:tblLayout w:type="fixed"/>
        <w:tblCellMar>
          <w:top w:w="0" w:type="dxa"/>
          <w:left w:w="108" w:type="dxa"/>
          <w:bottom w:w="0" w:type="dxa"/>
          <w:right w:w="108" w:type="dxa"/>
        </w:tblCellMar>
      </w:tblPr>
      <w:tblGrid>
        <w:gridCol w:w="326"/>
        <w:gridCol w:w="2197"/>
        <w:gridCol w:w="3686"/>
      </w:tblGrid>
      <w:tr>
        <w:tblPrEx>
          <w:tblCellMar>
            <w:top w:w="0" w:type="dxa"/>
            <w:left w:w="108" w:type="dxa"/>
            <w:bottom w:w="0" w:type="dxa"/>
            <w:right w:w="108" w:type="dxa"/>
          </w:tblCellMar>
        </w:tblPrEx>
        <w:trPr>
          <w:wBefore w:w="0" w:type="dxa"/>
          <w:wAfter w:w="0" w:type="dxa"/>
          <w:trHeight w:val="270" w:hRule="atLeast"/>
        </w:trPr>
        <w:tc>
          <w:tcPr>
            <w:tcW w:w="32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w:t>
            </w:r>
          </w:p>
        </w:tc>
        <w:tc>
          <w:tcPr>
            <w:tcW w:w="2197" w:type="dxa"/>
            <w:tcBorders>
              <w:top w:val="single" w:color="auto" w:sz="4" w:space="0"/>
              <w:left w:val="nil"/>
              <w:bottom w:val="single" w:color="auto" w:sz="4" w:space="0"/>
              <w:right w:val="single" w:color="auto" w:sz="4" w:space="0"/>
            </w:tcBorders>
            <w:noWrap w:val="0"/>
            <w:vAlign w:val="bottom"/>
          </w:tcPr>
          <w:p>
            <w:pPr>
              <w:widowControl/>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完好率≥98%</w:t>
            </w:r>
          </w:p>
        </w:tc>
        <w:tc>
          <w:tcPr>
            <w:tcW w:w="3686" w:type="dxa"/>
            <w:tcBorders>
              <w:top w:val="single" w:color="auto" w:sz="4" w:space="0"/>
              <w:left w:val="nil"/>
              <w:bottom w:val="single" w:color="auto" w:sz="4" w:space="0"/>
              <w:right w:val="single" w:color="auto" w:sz="4" w:space="0"/>
            </w:tcBorders>
            <w:noWrap w:val="0"/>
            <w:vAlign w:val="bottom"/>
          </w:tcPr>
          <w:p>
            <w:pPr>
              <w:widowControl/>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按所有监控点位数的100%支付</w:t>
            </w:r>
          </w:p>
        </w:tc>
      </w:tr>
      <w:tr>
        <w:tblPrEx>
          <w:tblCellMar>
            <w:top w:w="0" w:type="dxa"/>
            <w:left w:w="108" w:type="dxa"/>
            <w:bottom w:w="0" w:type="dxa"/>
            <w:right w:w="108" w:type="dxa"/>
          </w:tblCellMar>
        </w:tblPrEx>
        <w:trPr>
          <w:wBefore w:w="0" w:type="dxa"/>
          <w:wAfter w:w="0" w:type="dxa"/>
          <w:trHeight w:val="270" w:hRule="atLeast"/>
        </w:trPr>
        <w:tc>
          <w:tcPr>
            <w:tcW w:w="32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p>
        </w:tc>
        <w:tc>
          <w:tcPr>
            <w:tcW w:w="2197" w:type="dxa"/>
            <w:tcBorders>
              <w:top w:val="nil"/>
              <w:left w:val="nil"/>
              <w:bottom w:val="single" w:color="auto" w:sz="4" w:space="0"/>
              <w:right w:val="single" w:color="auto" w:sz="4" w:space="0"/>
            </w:tcBorders>
            <w:noWrap w:val="0"/>
            <w:vAlign w:val="bottom"/>
          </w:tcPr>
          <w:p>
            <w:pPr>
              <w:widowControl/>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98%&gt;完好率≥95%</w:t>
            </w:r>
          </w:p>
        </w:tc>
        <w:tc>
          <w:tcPr>
            <w:tcW w:w="3686" w:type="dxa"/>
            <w:tcBorders>
              <w:top w:val="nil"/>
              <w:left w:val="nil"/>
              <w:bottom w:val="single" w:color="auto" w:sz="4" w:space="0"/>
              <w:right w:val="single" w:color="auto" w:sz="4" w:space="0"/>
            </w:tcBorders>
            <w:noWrap w:val="0"/>
            <w:vAlign w:val="bottom"/>
          </w:tcPr>
          <w:p>
            <w:pPr>
              <w:widowControl/>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按所有监控点位数的95%支付</w:t>
            </w:r>
          </w:p>
        </w:tc>
      </w:tr>
      <w:tr>
        <w:tblPrEx>
          <w:tblCellMar>
            <w:top w:w="0" w:type="dxa"/>
            <w:left w:w="108" w:type="dxa"/>
            <w:bottom w:w="0" w:type="dxa"/>
            <w:right w:w="108" w:type="dxa"/>
          </w:tblCellMar>
        </w:tblPrEx>
        <w:trPr>
          <w:wBefore w:w="0" w:type="dxa"/>
          <w:wAfter w:w="0" w:type="dxa"/>
          <w:trHeight w:val="270" w:hRule="atLeast"/>
        </w:trPr>
        <w:tc>
          <w:tcPr>
            <w:tcW w:w="32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p>
        </w:tc>
        <w:tc>
          <w:tcPr>
            <w:tcW w:w="2197" w:type="dxa"/>
            <w:tcBorders>
              <w:top w:val="nil"/>
              <w:left w:val="nil"/>
              <w:bottom w:val="single" w:color="auto" w:sz="4" w:space="0"/>
              <w:right w:val="single" w:color="auto" w:sz="4" w:space="0"/>
            </w:tcBorders>
            <w:noWrap w:val="0"/>
            <w:vAlign w:val="bottom"/>
          </w:tcPr>
          <w:p>
            <w:pPr>
              <w:widowControl/>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95%&gt;完好率</w:t>
            </w:r>
          </w:p>
        </w:tc>
        <w:tc>
          <w:tcPr>
            <w:tcW w:w="3686" w:type="dxa"/>
            <w:tcBorders>
              <w:top w:val="nil"/>
              <w:left w:val="nil"/>
              <w:bottom w:val="single" w:color="auto" w:sz="4" w:space="0"/>
              <w:right w:val="single" w:color="auto" w:sz="4" w:space="0"/>
            </w:tcBorders>
            <w:noWrap w:val="0"/>
            <w:vAlign w:val="bottom"/>
          </w:tcPr>
          <w:p>
            <w:pPr>
              <w:widowControl/>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按所有监控点位数的80%支付</w:t>
            </w:r>
          </w:p>
        </w:tc>
      </w:tr>
    </w:tbl>
    <w:p>
      <w:pPr>
        <w:pStyle w:val="26"/>
        <w:keepNext w:val="0"/>
        <w:keepLines w:val="0"/>
        <w:pageBreakBefore w:val="0"/>
        <w:widowControl w:val="0"/>
        <w:kinsoku/>
        <w:wordWrap/>
        <w:overflowPunct/>
        <w:topLinePunct w:val="0"/>
        <w:autoSpaceDE/>
        <w:autoSpaceDN/>
        <w:bidi w:val="0"/>
        <w:adjustRightInd w:val="0"/>
        <w:snapToGrid w:val="0"/>
        <w:spacing w:before="120" w:after="120" w:line="400" w:lineRule="exact"/>
        <w:ind w:firstLine="510"/>
        <w:textAlignment w:val="auto"/>
        <w:rPr>
          <w:rFonts w:hint="eastAsia" w:ascii="宋体" w:hAnsi="Times New Roman" w:cs="Times New Roman"/>
          <w:color w:val="auto"/>
          <w:kern w:val="2"/>
          <w:sz w:val="24"/>
          <w:szCs w:val="24"/>
          <w:highlight w:val="none"/>
          <w:lang w:val="en-US" w:eastAsia="zh-CN" w:bidi="ar-SA"/>
        </w:rPr>
      </w:pPr>
      <w:r>
        <w:rPr>
          <w:rFonts w:hint="eastAsia" w:hAnsi="Times New Roman" w:cs="Times New Roman"/>
          <w:color w:val="auto"/>
          <w:kern w:val="2"/>
          <w:sz w:val="24"/>
          <w:szCs w:val="24"/>
          <w:highlight w:val="none"/>
          <w:lang w:val="en-US" w:eastAsia="zh-CN" w:bidi="ar-SA"/>
        </w:rPr>
        <w:t>需方</w:t>
      </w:r>
      <w:r>
        <w:rPr>
          <w:rFonts w:hint="eastAsia" w:ascii="宋体" w:hAnsi="Times New Roman" w:cs="Times New Roman"/>
          <w:color w:val="auto"/>
          <w:kern w:val="2"/>
          <w:sz w:val="24"/>
          <w:szCs w:val="24"/>
          <w:highlight w:val="none"/>
          <w:lang w:val="en-US" w:eastAsia="zh-CN" w:bidi="ar-SA"/>
        </w:rPr>
        <w:t>在项目完工验收后，</w:t>
      </w:r>
      <w:r>
        <w:rPr>
          <w:rFonts w:hint="eastAsia" w:hAnsi="Times New Roman" w:cs="Times New Roman"/>
          <w:color w:val="auto"/>
          <w:kern w:val="2"/>
          <w:sz w:val="24"/>
          <w:szCs w:val="24"/>
          <w:highlight w:val="none"/>
          <w:lang w:val="en-US" w:eastAsia="zh-CN" w:bidi="ar-SA"/>
        </w:rPr>
        <w:t>需方</w:t>
      </w:r>
      <w:r>
        <w:rPr>
          <w:rFonts w:hint="eastAsia" w:ascii="宋体" w:hAnsi="Times New Roman" w:cs="Times New Roman"/>
          <w:color w:val="auto"/>
          <w:kern w:val="2"/>
          <w:sz w:val="24"/>
          <w:szCs w:val="24"/>
          <w:highlight w:val="none"/>
          <w:lang w:val="en-US" w:eastAsia="zh-CN" w:bidi="ar-SA"/>
        </w:rPr>
        <w:t>支付第一年费用，之后每隔12个月支付次年费用并提供完好率清单（如因不可抗力因素导致监控未在线，该部分监控以完好状态计入完好率。）。遵照《中华人民共和国电信条例》第三章第三十五条规定，每逾期一天应向</w:t>
      </w:r>
      <w:r>
        <w:rPr>
          <w:rFonts w:hint="eastAsia" w:hAnsi="Times New Roman" w:cs="Times New Roman"/>
          <w:color w:val="auto"/>
          <w:kern w:val="2"/>
          <w:sz w:val="24"/>
          <w:szCs w:val="24"/>
          <w:highlight w:val="none"/>
          <w:lang w:val="en-US" w:eastAsia="zh-CN" w:bidi="ar-SA"/>
        </w:rPr>
        <w:t>供</w:t>
      </w:r>
      <w:r>
        <w:rPr>
          <w:rFonts w:hint="eastAsia" w:ascii="宋体" w:hAnsi="Times New Roman" w:cs="Times New Roman"/>
          <w:color w:val="auto"/>
          <w:kern w:val="2"/>
          <w:sz w:val="24"/>
          <w:szCs w:val="24"/>
          <w:highlight w:val="none"/>
          <w:lang w:val="en-US" w:eastAsia="zh-CN" w:bidi="ar-SA"/>
        </w:rPr>
        <w:t>方支付欠费金额3‰的滞纳金。</w:t>
      </w:r>
      <w:r>
        <w:rPr>
          <w:rFonts w:hint="eastAsia" w:hAnsi="Times New Roman" w:cs="Times New Roman"/>
          <w:color w:val="auto"/>
          <w:kern w:val="2"/>
          <w:sz w:val="24"/>
          <w:szCs w:val="24"/>
          <w:highlight w:val="none"/>
          <w:lang w:val="en-US" w:eastAsia="zh-CN" w:bidi="ar-SA"/>
        </w:rPr>
        <w:t>需方</w:t>
      </w:r>
      <w:r>
        <w:rPr>
          <w:rFonts w:hint="eastAsia" w:ascii="宋体" w:hAnsi="Times New Roman" w:cs="Times New Roman"/>
          <w:color w:val="auto"/>
          <w:kern w:val="2"/>
          <w:sz w:val="24"/>
          <w:szCs w:val="24"/>
          <w:highlight w:val="none"/>
          <w:lang w:val="en-US" w:eastAsia="zh-CN" w:bidi="ar-SA"/>
        </w:rPr>
        <w:t>逾期支付通信服务费用超过30日，</w:t>
      </w:r>
      <w:r>
        <w:rPr>
          <w:rFonts w:hint="eastAsia" w:hAnsi="Times New Roman" w:cs="Times New Roman"/>
          <w:color w:val="auto"/>
          <w:kern w:val="2"/>
          <w:sz w:val="24"/>
          <w:szCs w:val="24"/>
          <w:highlight w:val="none"/>
          <w:lang w:val="en-US" w:eastAsia="zh-CN" w:bidi="ar-SA"/>
        </w:rPr>
        <w:t>供</w:t>
      </w:r>
      <w:r>
        <w:rPr>
          <w:rFonts w:hint="eastAsia" w:ascii="宋体" w:hAnsi="Times New Roman" w:cs="Times New Roman"/>
          <w:color w:val="auto"/>
          <w:kern w:val="2"/>
          <w:sz w:val="24"/>
          <w:szCs w:val="24"/>
          <w:highlight w:val="none"/>
          <w:lang w:val="en-US" w:eastAsia="zh-CN" w:bidi="ar-SA"/>
        </w:rPr>
        <w:t>方有权在书面通知</w:t>
      </w:r>
      <w:r>
        <w:rPr>
          <w:rFonts w:hint="eastAsia" w:hAnsi="Times New Roman" w:cs="Times New Roman"/>
          <w:color w:val="auto"/>
          <w:kern w:val="2"/>
          <w:sz w:val="24"/>
          <w:szCs w:val="24"/>
          <w:highlight w:val="none"/>
          <w:lang w:val="en-US" w:eastAsia="zh-CN" w:bidi="ar-SA"/>
        </w:rPr>
        <w:t>需方</w:t>
      </w:r>
      <w:r>
        <w:rPr>
          <w:rFonts w:hint="eastAsia" w:ascii="宋体" w:hAnsi="Times New Roman" w:cs="Times New Roman"/>
          <w:color w:val="auto"/>
          <w:kern w:val="2"/>
          <w:sz w:val="24"/>
          <w:szCs w:val="24"/>
          <w:highlight w:val="none"/>
          <w:lang w:val="en-US" w:eastAsia="zh-CN" w:bidi="ar-SA"/>
        </w:rPr>
        <w:t>后暂停服务。若</w:t>
      </w:r>
      <w:r>
        <w:rPr>
          <w:rFonts w:hint="eastAsia" w:hAnsi="Times New Roman" w:cs="Times New Roman"/>
          <w:color w:val="auto"/>
          <w:kern w:val="2"/>
          <w:sz w:val="24"/>
          <w:szCs w:val="24"/>
          <w:highlight w:val="none"/>
          <w:lang w:val="en-US" w:eastAsia="zh-CN" w:bidi="ar-SA"/>
        </w:rPr>
        <w:t>需方</w:t>
      </w:r>
      <w:r>
        <w:rPr>
          <w:rFonts w:hint="eastAsia" w:ascii="宋体" w:hAnsi="Times New Roman" w:cs="Times New Roman"/>
          <w:color w:val="auto"/>
          <w:kern w:val="2"/>
          <w:sz w:val="24"/>
          <w:szCs w:val="24"/>
          <w:highlight w:val="none"/>
          <w:lang w:val="en-US" w:eastAsia="zh-CN" w:bidi="ar-SA"/>
        </w:rPr>
        <w:t>在暂停服务后60日内，仍未足额支付通信费用，则</w:t>
      </w:r>
      <w:r>
        <w:rPr>
          <w:rFonts w:hint="eastAsia" w:hAnsi="Times New Roman" w:cs="Times New Roman"/>
          <w:color w:val="auto"/>
          <w:kern w:val="2"/>
          <w:sz w:val="24"/>
          <w:szCs w:val="24"/>
          <w:highlight w:val="none"/>
          <w:lang w:val="en-US" w:eastAsia="zh-CN" w:bidi="ar-SA"/>
        </w:rPr>
        <w:t>供</w:t>
      </w:r>
      <w:r>
        <w:rPr>
          <w:rFonts w:hint="eastAsia" w:ascii="宋体" w:hAnsi="Times New Roman" w:cs="Times New Roman"/>
          <w:color w:val="auto"/>
          <w:kern w:val="2"/>
          <w:sz w:val="24"/>
          <w:szCs w:val="24"/>
          <w:highlight w:val="none"/>
          <w:lang w:val="en-US" w:eastAsia="zh-CN" w:bidi="ar-SA"/>
        </w:rPr>
        <w:t>方有权终止服务，但不免除</w:t>
      </w:r>
      <w:r>
        <w:rPr>
          <w:rFonts w:hint="eastAsia" w:hAnsi="Times New Roman" w:cs="Times New Roman"/>
          <w:color w:val="auto"/>
          <w:kern w:val="2"/>
          <w:sz w:val="24"/>
          <w:szCs w:val="24"/>
          <w:highlight w:val="none"/>
          <w:lang w:val="en-US" w:eastAsia="zh-CN" w:bidi="ar-SA"/>
        </w:rPr>
        <w:t>需方</w:t>
      </w:r>
      <w:r>
        <w:rPr>
          <w:rFonts w:hint="eastAsia" w:ascii="宋体" w:hAnsi="Times New Roman" w:cs="Times New Roman"/>
          <w:color w:val="auto"/>
          <w:kern w:val="2"/>
          <w:sz w:val="24"/>
          <w:szCs w:val="24"/>
          <w:highlight w:val="none"/>
          <w:lang w:val="en-US" w:eastAsia="zh-CN" w:bidi="ar-SA"/>
        </w:rPr>
        <w:t>支付欠费以及违约金的责任。</w:t>
      </w:r>
    </w:p>
    <w:p>
      <w:pPr>
        <w:pStyle w:val="26"/>
        <w:snapToGrid w:val="0"/>
        <w:spacing w:before="0" w:beforeLines="0" w:after="0" w:afterLines="0" w:line="420" w:lineRule="exact"/>
        <w:ind w:right="-255" w:rightChars="-91"/>
        <w:rPr>
          <w:rFonts w:hAnsi="宋体"/>
          <w:color w:val="auto"/>
          <w:sz w:val="24"/>
          <w:szCs w:val="24"/>
          <w:highlight w:val="none"/>
        </w:rPr>
      </w:pPr>
      <w:r>
        <w:rPr>
          <w:rFonts w:hint="eastAsia" w:hAnsi="宋体"/>
          <w:bCs/>
          <w:color w:val="auto"/>
          <w:highlight w:val="none"/>
        </w:rPr>
        <w:t xml:space="preserve">  </w:t>
      </w:r>
      <w:r>
        <w:rPr>
          <w:rFonts w:hint="eastAsia" w:hAnsi="宋体"/>
          <w:bCs/>
          <w:color w:val="auto"/>
          <w:sz w:val="24"/>
          <w:szCs w:val="24"/>
          <w:highlight w:val="none"/>
        </w:rPr>
        <w:t xml:space="preserve"> </w:t>
      </w:r>
      <w:r>
        <w:rPr>
          <w:rFonts w:hint="eastAsia" w:hAnsi="宋体"/>
          <w:b/>
          <w:bCs/>
          <w:color w:val="auto"/>
          <w:sz w:val="24"/>
          <w:szCs w:val="24"/>
          <w:highlight w:val="none"/>
        </w:rPr>
        <w:t>14.技术培训</w:t>
      </w:r>
      <w:r>
        <w:rPr>
          <w:rFonts w:hAnsi="宋体"/>
          <w:color w:val="auto"/>
          <w:sz w:val="24"/>
          <w:szCs w:val="24"/>
          <w:highlight w:val="none"/>
        </w:rPr>
        <w:t xml:space="preserve"> </w:t>
      </w:r>
    </w:p>
    <w:p>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14.1</w:t>
      </w:r>
      <w:r>
        <w:rPr>
          <w:rFonts w:hint="eastAsia" w:ascii="宋体" w:hAnsi="宋体"/>
          <w:color w:val="auto"/>
          <w:sz w:val="24"/>
          <w:highlight w:val="none"/>
          <w:lang w:eastAsia="zh-CN"/>
        </w:rPr>
        <w:t>供方</w:t>
      </w:r>
      <w:r>
        <w:rPr>
          <w:rFonts w:hint="eastAsia" w:ascii="宋体" w:hAnsi="宋体"/>
          <w:color w:val="auto"/>
          <w:sz w:val="24"/>
          <w:highlight w:val="none"/>
        </w:rPr>
        <w:t>须对</w:t>
      </w:r>
      <w:r>
        <w:rPr>
          <w:rFonts w:hint="eastAsia" w:ascii="宋体" w:hAnsi="宋体"/>
          <w:color w:val="auto"/>
          <w:sz w:val="24"/>
          <w:highlight w:val="none"/>
          <w:lang w:eastAsia="zh-CN"/>
        </w:rPr>
        <w:t>需方</w:t>
      </w:r>
      <w:r>
        <w:rPr>
          <w:rFonts w:hint="eastAsia" w:ascii="宋体" w:hAnsi="宋体"/>
          <w:color w:val="auto"/>
          <w:sz w:val="24"/>
          <w:highlight w:val="none"/>
        </w:rPr>
        <w:t>的技术人员培训。</w:t>
      </w:r>
      <w:r>
        <w:rPr>
          <w:rFonts w:hint="eastAsia" w:ascii="宋体" w:hAnsi="宋体"/>
          <w:color w:val="auto"/>
          <w:sz w:val="24"/>
          <w:highlight w:val="none"/>
          <w:lang w:eastAsia="zh-CN"/>
        </w:rPr>
        <w:t>供应商</w:t>
      </w:r>
      <w:r>
        <w:rPr>
          <w:rFonts w:hint="eastAsia" w:ascii="宋体" w:hAnsi="宋体"/>
          <w:color w:val="auto"/>
          <w:sz w:val="24"/>
          <w:highlight w:val="none"/>
        </w:rPr>
        <w:t>须在投标文件中提供详细的培训计划，包括培训内容、培训时间、培训费用等。</w:t>
      </w:r>
    </w:p>
    <w:p>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14.2</w:t>
      </w:r>
      <w:r>
        <w:rPr>
          <w:rFonts w:hint="eastAsia" w:ascii="宋体" w:hAnsi="宋体"/>
          <w:color w:val="auto"/>
          <w:sz w:val="24"/>
          <w:highlight w:val="none"/>
          <w:lang w:eastAsia="zh-CN"/>
        </w:rPr>
        <w:t>供方</w:t>
      </w:r>
      <w:r>
        <w:rPr>
          <w:rFonts w:hint="eastAsia" w:ascii="宋体" w:hAnsi="宋体"/>
          <w:color w:val="auto"/>
          <w:sz w:val="24"/>
          <w:highlight w:val="none"/>
        </w:rPr>
        <w:t>提供的负责培训的人员应具备安装、操作同类设备五年以上的经验。</w:t>
      </w:r>
    </w:p>
    <w:p>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14.3技术培训费用应包含在投标总价中。    </w:t>
      </w:r>
    </w:p>
    <w:p>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14.4技术培训至少应包括下列内容：</w:t>
      </w:r>
    </w:p>
    <w:p>
      <w:pPr>
        <w:pStyle w:val="21"/>
        <w:numPr>
          <w:ilvl w:val="0"/>
          <w:numId w:val="0"/>
        </w:numPr>
        <w:tabs>
          <w:tab w:val="left" w:pos="1260"/>
          <w:tab w:val="clear" w:pos="1200"/>
        </w:tabs>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14.4.1原理、构成和功能的描述。</w:t>
      </w:r>
    </w:p>
    <w:p>
      <w:pPr>
        <w:pStyle w:val="21"/>
        <w:numPr>
          <w:ilvl w:val="0"/>
          <w:numId w:val="0"/>
        </w:numPr>
        <w:tabs>
          <w:tab w:val="left" w:pos="1260"/>
          <w:tab w:val="clear" w:pos="1200"/>
        </w:tabs>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14.4.2常见故障的处理或排除。</w:t>
      </w:r>
    </w:p>
    <w:p>
      <w:pPr>
        <w:pStyle w:val="21"/>
        <w:numPr>
          <w:ilvl w:val="0"/>
          <w:numId w:val="0"/>
        </w:numPr>
        <w:tabs>
          <w:tab w:val="left" w:pos="1260"/>
          <w:tab w:val="clear" w:pos="1200"/>
        </w:tabs>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14.4.3各系统部件（设备）的检查、调整和维护。</w:t>
      </w:r>
    </w:p>
    <w:p>
      <w:pPr>
        <w:pStyle w:val="21"/>
        <w:numPr>
          <w:ilvl w:val="0"/>
          <w:numId w:val="0"/>
        </w:numPr>
        <w:tabs>
          <w:tab w:val="left" w:pos="1260"/>
          <w:tab w:val="clear" w:pos="1200"/>
        </w:tabs>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14.4.4对使用者关于设备基本操作技能的培训。</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15.技术服务及货物的安装、调试</w:t>
      </w:r>
    </w:p>
    <w:p>
      <w:pPr>
        <w:spacing w:line="440" w:lineRule="exact"/>
        <w:ind w:firstLine="480" w:firstLineChars="200"/>
        <w:rPr>
          <w:rFonts w:hint="eastAsia" w:ascii="宋体" w:hAnsi="宋体"/>
          <w:b/>
          <w:bCs/>
          <w:color w:val="auto"/>
          <w:sz w:val="24"/>
          <w:highlight w:val="none"/>
        </w:rPr>
      </w:pPr>
      <w:r>
        <w:rPr>
          <w:rFonts w:hint="eastAsia" w:ascii="宋体" w:hAnsi="宋体"/>
          <w:color w:val="auto"/>
          <w:sz w:val="24"/>
          <w:highlight w:val="none"/>
        </w:rPr>
        <w:t>供方应派经需方认可的有经验和能力、具有相应资质的技术人员，负责系统设备安装工作，在设备安装期间应充分了解设备安装进度要求，解决安装中出现的技术问题。</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15.1供方应负责安排需方相关人员进行操作、维修的培训。具体时间及培训内容在投标时由供方提出建议；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15.3安装调试期间的一切费用由供方自理。</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15.4设备的拆箱、通电、调试等各项工作由</w:t>
      </w:r>
      <w:r>
        <w:rPr>
          <w:rFonts w:hint="eastAsia" w:ascii="宋体" w:hAnsi="宋体"/>
          <w:color w:val="auto"/>
          <w:sz w:val="24"/>
          <w:highlight w:val="none"/>
          <w:lang w:eastAsia="zh-CN"/>
        </w:rPr>
        <w:t>中标供应商</w:t>
      </w:r>
      <w:r>
        <w:rPr>
          <w:rFonts w:hint="eastAsia" w:ascii="宋体" w:hAnsi="宋体"/>
          <w:color w:val="auto"/>
          <w:sz w:val="24"/>
          <w:highlight w:val="none"/>
        </w:rPr>
        <w:t>负责，但必须在</w:t>
      </w:r>
      <w:r>
        <w:rPr>
          <w:rFonts w:hint="eastAsia" w:ascii="宋体" w:hAnsi="宋体"/>
          <w:color w:val="auto"/>
          <w:sz w:val="24"/>
          <w:highlight w:val="none"/>
          <w:lang w:eastAsia="zh-CN"/>
        </w:rPr>
        <w:t>招标采购单位</w:t>
      </w:r>
      <w:r>
        <w:rPr>
          <w:rFonts w:hint="eastAsia" w:ascii="宋体" w:hAnsi="宋体"/>
          <w:color w:val="auto"/>
          <w:sz w:val="24"/>
          <w:highlight w:val="none"/>
        </w:rPr>
        <w:t>指定人员的参与下进行。在实际实施前必须先经</w:t>
      </w:r>
      <w:r>
        <w:rPr>
          <w:rFonts w:hint="eastAsia" w:ascii="宋体" w:hAnsi="宋体"/>
          <w:color w:val="auto"/>
          <w:sz w:val="24"/>
          <w:highlight w:val="none"/>
          <w:lang w:eastAsia="zh-CN"/>
        </w:rPr>
        <w:t>招标采购单位</w:t>
      </w:r>
      <w:r>
        <w:rPr>
          <w:rFonts w:hint="eastAsia" w:ascii="宋体" w:hAnsi="宋体"/>
          <w:color w:val="auto"/>
          <w:sz w:val="24"/>
          <w:highlight w:val="none"/>
        </w:rPr>
        <w:t>同意方可进行。调试的原始记录须经各方签字后作为验收的文件之一。</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16.售后服务及承诺</w:t>
      </w:r>
    </w:p>
    <w:p>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16.1供方应明确承诺售后服务各项内容和措施，提供详细的服务地点、联系人、电话等有关资料；</w:t>
      </w:r>
    </w:p>
    <w:p>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16.2</w:t>
      </w:r>
      <w:r>
        <w:rPr>
          <w:rFonts w:hint="eastAsia" w:ascii="宋体" w:hAnsi="宋体"/>
          <w:b/>
          <w:bCs/>
          <w:color w:val="auto"/>
          <w:sz w:val="24"/>
          <w:highlight w:val="none"/>
        </w:rPr>
        <w:t>设备租赁期为验收合格后三年。</w:t>
      </w:r>
      <w:r>
        <w:rPr>
          <w:rFonts w:hint="eastAsia" w:ascii="宋体" w:hAnsi="宋体"/>
          <w:bCs/>
          <w:color w:val="auto"/>
          <w:sz w:val="24"/>
          <w:highlight w:val="none"/>
        </w:rPr>
        <w:t>在质保期内，因货物的维修和保养所发生的一切费用均由供方承担；</w:t>
      </w:r>
    </w:p>
    <w:p>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16.3货物签约的同时，双方可签订质保修期满后的维修保养协议或合同;</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16.4供方在收到需方维修通知后须按投标文件的承诺及时进行现场响应。</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16.5</w:t>
      </w:r>
      <w:r>
        <w:rPr>
          <w:rFonts w:ascii="宋体" w:hAnsi="宋体"/>
          <w:bCs/>
          <w:color w:val="auto"/>
          <w:sz w:val="24"/>
          <w:highlight w:val="none"/>
        </w:rPr>
        <w:t xml:space="preserve"> </w:t>
      </w:r>
      <w:r>
        <w:rPr>
          <w:rFonts w:hint="eastAsia" w:ascii="宋体" w:hAnsi="宋体"/>
          <w:bCs/>
          <w:color w:val="auto"/>
          <w:sz w:val="24"/>
          <w:highlight w:val="none"/>
        </w:rPr>
        <w:t>本次项目中前端监控设备完成建设，在使用中因第三方人为事故造成损失的，抓住肇事者的由肇事者负责赔偿，无法抓住肇事者的由</w:t>
      </w:r>
      <w:r>
        <w:rPr>
          <w:rFonts w:hint="eastAsia" w:ascii="宋体" w:hAnsi="宋体"/>
          <w:bCs/>
          <w:color w:val="auto"/>
          <w:sz w:val="24"/>
          <w:highlight w:val="none"/>
          <w:lang w:eastAsia="zh-CN"/>
        </w:rPr>
        <w:t>甲</w:t>
      </w:r>
      <w:r>
        <w:rPr>
          <w:rFonts w:hint="eastAsia" w:ascii="宋体" w:hAnsi="宋体"/>
          <w:bCs/>
          <w:color w:val="auto"/>
          <w:sz w:val="24"/>
          <w:highlight w:val="none"/>
        </w:rPr>
        <w:t xml:space="preserve">方负责修复费用； </w:t>
      </w:r>
    </w:p>
    <w:p>
      <w:pPr>
        <w:spacing w:line="440" w:lineRule="exact"/>
        <w:ind w:firstLine="480" w:firstLineChars="200"/>
        <w:rPr>
          <w:rFonts w:hint="eastAsia" w:ascii="宋体" w:hAnsi="宋体"/>
          <w:color w:val="auto"/>
          <w:sz w:val="24"/>
          <w:highlight w:val="none"/>
        </w:rPr>
      </w:pPr>
      <w:r>
        <w:rPr>
          <w:rFonts w:ascii="宋体" w:hAnsi="宋体"/>
          <w:bCs/>
          <w:color w:val="auto"/>
          <w:sz w:val="24"/>
          <w:highlight w:val="none"/>
        </w:rPr>
        <w:t xml:space="preserve">16.6 </w:t>
      </w:r>
      <w:r>
        <w:rPr>
          <w:rFonts w:hint="eastAsia" w:ascii="宋体" w:hAnsi="宋体"/>
          <w:bCs/>
          <w:color w:val="auto"/>
          <w:sz w:val="24"/>
          <w:highlight w:val="none"/>
        </w:rPr>
        <w:t>因甲方或其他原因需要对点位进行搬迁的，由甲方提前通知乙方，搬迁费用由甲方另行支付。</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17.备件</w:t>
      </w:r>
    </w:p>
    <w:p>
      <w:pPr>
        <w:spacing w:line="440" w:lineRule="exact"/>
        <w:ind w:firstLine="480" w:firstLineChars="200"/>
        <w:rPr>
          <w:rFonts w:hint="eastAsia" w:ascii="宋体" w:hAnsi="宋体"/>
          <w:bCs/>
          <w:color w:val="auto"/>
          <w:sz w:val="24"/>
          <w:highlight w:val="none"/>
        </w:rPr>
      </w:pPr>
      <w:r>
        <w:rPr>
          <w:rFonts w:hint="eastAsia" w:ascii="宋体" w:hAnsi="宋体"/>
          <w:color w:val="auto"/>
          <w:sz w:val="24"/>
          <w:highlight w:val="none"/>
        </w:rPr>
        <w:t>正如合同条款所规定，供方可能被要求提供下列与备件有关的材料、通知和资料：</w:t>
      </w:r>
    </w:p>
    <w:p>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17.1需方从供方选购备件，但前提条件是该选择并不能免除供方在合同保证期内所承担的义务；</w:t>
      </w:r>
    </w:p>
    <w:p>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17.2在备件停产的情况下，供方应事先将要停止生产的计划通知需方使需方有足够的时间采购所需的备件；</w:t>
      </w:r>
    </w:p>
    <w:p>
      <w:pPr>
        <w:spacing w:line="44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17.3在备件停产后，如果需方要求，供方应免费向需方提供备件的蓝图等相关技术资料。</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18.技术质量保证</w:t>
      </w:r>
    </w:p>
    <w:p>
      <w:pPr>
        <w:spacing w:line="440" w:lineRule="exact"/>
        <w:ind w:firstLine="480" w:firstLineChars="200"/>
        <w:rPr>
          <w:rFonts w:hint="eastAsia" w:ascii="宋体" w:hAnsi="宋体"/>
          <w:color w:val="auto"/>
          <w:spacing w:val="-4"/>
          <w:sz w:val="24"/>
          <w:highlight w:val="none"/>
        </w:rPr>
      </w:pPr>
      <w:r>
        <w:rPr>
          <w:rFonts w:hint="eastAsia" w:ascii="宋体" w:hAnsi="宋体"/>
          <w:color w:val="auto"/>
          <w:sz w:val="24"/>
          <w:highlight w:val="none"/>
        </w:rPr>
        <w:t>18.1</w:t>
      </w:r>
      <w:r>
        <w:rPr>
          <w:rFonts w:hint="eastAsia" w:ascii="宋体" w:hAnsi="宋体"/>
          <w:color w:val="auto"/>
          <w:spacing w:val="-4"/>
          <w:sz w:val="24"/>
          <w:highlight w:val="none"/>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18.2合同货物提交前，供方应将其有关技术资料一套，如使用指南或服务手册和示意图提交给需方；</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18.3质保期以项目安装完毕并经采购人组织验收合格起计算；</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18.4供方对提供的货物执行一定的保质期限，供方应对保质期内由于货物的缺陷（非人为因素）而引发的任何不足负责，费用由供方承担；</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18.5需方应尽快以书面形式通知供方由于货物缺陷而发生的索赔；</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18.6供方在收到通知后3天内应免费更换有缺陷的材料；</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18.7如果供方在收到通知后3天内没有弥补缺陷，需方可采取必要的补救措施，但风险和费用将由供方负责。</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19.检验和测试</w:t>
      </w:r>
    </w:p>
    <w:p>
      <w:pPr>
        <w:widowControl/>
        <w:autoSpaceDE w:val="0"/>
        <w:autoSpaceDN w:val="0"/>
        <w:spacing w:line="44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19.1需方或其代表应有权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19.2检验和测试应在货物的最终目的地进行；</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19.3如果任何被检验或测试的货物不能满足规定要求，需方可以拒绝接受该货物，供方应更换被拒绝的货物，或者免费进行必要的修改以满足规定的要求；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20.验收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20.2 验收费用由供方承担。</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21.索赔</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21.1.2根据货物的偏差情况、损坏程度以及需方所遭受损失的金额，经供需双方商定降低货物的价格；</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21.1.6合同条款的规定不能免除供方在本合同项下的保证义务或其他义务。</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22.迟交货</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22.1需方的“供货计划一览表”在合同签订的同时提交给供方。供方需按照需方提供的“供货计划一览表”中规定的时间、数量交货和提供服务；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22.2在供货期间，如遇中标货物型号停产或市场断货，供方可在不改变品牌并获取需方书面同意后提供相当于（或优于）中标货物技术性能、档次的替代产品；</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22.3如果供方毫无理由地拖延交货，将受到以下制裁：赔偿损失或终止合同；</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22.5供方按照“供货计划一览表”中规定的时间、数量如期供货，需方由于自身原因无法及时验收，造成货物积压，需方应赔偿由此给供方所造成的直接损失费用。</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23.不可抗力</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23.2受事故影响的一方应在不可抗力发生后3天内以电报或电传通知另一方，并在事故发生后14天内，将有关部门出具的证明文件寄给另一方。</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24.税</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本合同执行中相关的一切税费均由供方负担。</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25.供方履约延误</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25.1供方应按照“供货计划一览表”中需方规定的时间表交货和提供服务；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25.3除了合同条款规定的情况外，除非拖延是根据合同条款的规定并取得双方同意而不收取误期赔偿费之外，供方延误交货将按合同条款的规定被收取误期赔偿费。</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26.误期赔偿费</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w:t>
      </w:r>
      <w:r>
        <w:rPr>
          <w:rFonts w:ascii="宋体" w:hAnsi="宋体"/>
          <w:color w:val="auto"/>
          <w:sz w:val="24"/>
          <w:highlight w:val="none"/>
        </w:rPr>
        <w:t>0.5%</w:t>
      </w:r>
      <w:r>
        <w:rPr>
          <w:rFonts w:hint="eastAsia" w:ascii="宋体" w:hAnsi="宋体"/>
          <w:color w:val="auto"/>
          <w:sz w:val="24"/>
          <w:highlight w:val="none"/>
        </w:rPr>
        <w:t>），延期10天以上每延期一天扣罚合同价款的百分之一（1</w:t>
      </w:r>
      <w:r>
        <w:rPr>
          <w:rFonts w:ascii="宋体" w:hAnsi="宋体"/>
          <w:color w:val="auto"/>
          <w:sz w:val="24"/>
          <w:highlight w:val="none"/>
        </w:rPr>
        <w:t>%</w:t>
      </w:r>
      <w:r>
        <w:rPr>
          <w:rFonts w:hint="eastAsia" w:ascii="宋体" w:hAnsi="宋体"/>
          <w:color w:val="auto"/>
          <w:sz w:val="24"/>
          <w:highlight w:val="none"/>
        </w:rPr>
        <w:t>），累计在履约保证金中扣除，若履约保证金扣完不够，继续从合同价款中扣除。</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27.违约终止合同</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27.1在需方对供方违约而采取的任何补救措施不受影响的情况下，需方可向供方发出书面违约通知书，提出终止部分或全部合同；</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27.2如果供方未能在合同规定的期限内或需方根据合同条款的规定同意延长的期限内提供部分或全部货物；</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27.3如果供方未能履行合同规定的其它任何义务；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27.4如果需方认为供方在本招投标竞争和合同实施过程中有腐败和欺诈行为。为此目的，定义下述条件：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27.4.1“腐败行为”是指提供、给予、接受或索取任何有价值的物品来影响公共官员在采购过程或合同实施过程中的行为；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27.4.2</w:t>
      </w:r>
      <w:r>
        <w:rPr>
          <w:rFonts w:ascii="宋体" w:hAnsi="宋体"/>
          <w:color w:val="auto"/>
          <w:sz w:val="24"/>
          <w:highlight w:val="none"/>
        </w:rPr>
        <w:t>“</w:t>
      </w:r>
      <w:r>
        <w:rPr>
          <w:rFonts w:hint="eastAsia" w:ascii="宋体" w:hAnsi="宋体"/>
          <w:color w:val="auto"/>
          <w:sz w:val="24"/>
          <w:highlight w:val="none"/>
        </w:rPr>
        <w:t>欺诈行为</w:t>
      </w:r>
      <w:r>
        <w:rPr>
          <w:rFonts w:ascii="宋体" w:hAnsi="宋体"/>
          <w:color w:val="auto"/>
          <w:sz w:val="24"/>
          <w:highlight w:val="none"/>
        </w:rPr>
        <w:t>”</w:t>
      </w:r>
      <w:r>
        <w:rPr>
          <w:rFonts w:hint="eastAsia" w:ascii="宋体" w:hAnsi="宋体"/>
          <w:color w:val="auto"/>
          <w:sz w:val="24"/>
          <w:highlight w:val="none"/>
        </w:rPr>
        <w:t>是指为了影响采购过程或合同实施过程而谎报事实，损害需方利益的行为。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28.仲裁</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28.1在执行本合同中所发生的或与本合同有关的一切争端，供需双方应通过友好协商解决，如从协商开始15天内仍不能解决，双方应将争端提交湖州市仲裁委员会仲裁或直接向需方所在地的人民法院起诉；</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28.2如果提请仲裁，仲裁裁决书应为终局裁决，对双方均有约束力；</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28.3仲裁费用应由败诉方负担；</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28.4如果向人民法院起诉，在收到判决书后，如有异议，有异议方应在收到判决书后在法定时间内提出上诉，逾期未提出的，判决有法律效力，双方应遵照执行；</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28.5在仲裁或起诉期间，除进行仲裁或起诉的部分外，本合同其它部分应继续执行。</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29.转让或分包</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29.1本合同范围的货物，应由供方直接供应，不得转让他人供应；</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29.3本合同全部或部分的分包不能减轻供方承担的责任，供方仍须将分包人的任何行动、错误或疏忽当作是自己完成的并负全责；</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29.4在任何分包合同中，须注明分包人按分包合同的范围履行，在供方按本合同的履行终止时（不论任何原因），亦同时一并终止；</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29.5如有转让和未经需方同意的分包行为，需方有权给予终止合同。</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30.适用法律</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合同适用法律有《中华人民共和国政府采购法》、《中华人民共和国合同法》、《中华人民共和国产品质量法》和浙江省有关条例等。</w:t>
      </w:r>
    </w:p>
    <w:p>
      <w:pPr>
        <w:spacing w:line="440" w:lineRule="exact"/>
        <w:rPr>
          <w:rFonts w:hint="eastAsia" w:ascii="宋体" w:hAnsi="宋体"/>
          <w:b/>
          <w:bCs/>
          <w:color w:val="auto"/>
          <w:sz w:val="24"/>
          <w:highlight w:val="none"/>
        </w:rPr>
      </w:pPr>
      <w:r>
        <w:rPr>
          <w:rFonts w:hint="eastAsia" w:ascii="宋体" w:hAnsi="宋体"/>
          <w:b/>
          <w:bCs/>
          <w:color w:val="auto"/>
          <w:sz w:val="24"/>
          <w:highlight w:val="none"/>
        </w:rPr>
        <w:t>31.合同生效及其他</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31.1本合同经双方法人及法定代表人签字盖章生效；</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31.2本合同一式四份，供、需方各执一份；</w:t>
      </w:r>
      <w:r>
        <w:rPr>
          <w:rFonts w:hint="eastAsia" w:ascii="宋体" w:hAnsi="宋体"/>
          <w:color w:val="auto"/>
          <w:sz w:val="24"/>
          <w:highlight w:val="none"/>
          <w:lang w:eastAsia="zh-CN"/>
        </w:rPr>
        <w:t>湖州市</w:t>
      </w:r>
      <w:r>
        <w:rPr>
          <w:rFonts w:hint="eastAsia" w:hAnsi="宋体" w:cs="Arial"/>
          <w:color w:val="auto"/>
          <w:sz w:val="24"/>
          <w:highlight w:val="none"/>
        </w:rPr>
        <w:t>南浔区财政局</w:t>
      </w:r>
      <w:r>
        <w:rPr>
          <w:rFonts w:hint="eastAsia" w:ascii="宋体" w:hAnsi="宋体"/>
          <w:color w:val="auto"/>
          <w:sz w:val="24"/>
          <w:highlight w:val="none"/>
        </w:rPr>
        <w:t>、招标代理机构各一份。</w:t>
      </w:r>
    </w:p>
    <w:p>
      <w:pPr>
        <w:pStyle w:val="26"/>
        <w:snapToGrid w:val="0"/>
        <w:spacing w:before="120" w:after="120"/>
        <w:ind w:left="451" w:leftChars="86" w:hanging="210" w:hangingChars="100"/>
        <w:rPr>
          <w:rFonts w:hint="eastAsia" w:hAnsi="宋体" w:cs="宋体"/>
          <w:color w:val="auto"/>
          <w:highlight w:val="none"/>
        </w:rPr>
      </w:pPr>
      <w:r>
        <w:rPr>
          <w:rFonts w:hint="eastAsia" w:hAnsi="宋体" w:cs="宋体"/>
          <w:color w:val="auto"/>
          <w:highlight w:val="none"/>
        </w:rPr>
        <w:t xml:space="preserve">甲方：                                   乙方： </w:t>
      </w:r>
    </w:p>
    <w:p>
      <w:pPr>
        <w:pStyle w:val="26"/>
        <w:snapToGrid w:val="0"/>
        <w:spacing w:before="120" w:after="120"/>
        <w:rPr>
          <w:rFonts w:hint="eastAsia" w:hAnsi="宋体" w:cs="宋体"/>
          <w:color w:val="auto"/>
          <w:highlight w:val="none"/>
        </w:rPr>
      </w:pPr>
      <w:r>
        <w:rPr>
          <w:rFonts w:hint="eastAsia" w:hAnsi="宋体" w:cs="宋体"/>
          <w:color w:val="auto"/>
          <w:highlight w:val="none"/>
        </w:rPr>
        <w:t xml:space="preserve">  地址：                                   地址： </w:t>
      </w:r>
    </w:p>
    <w:p>
      <w:pPr>
        <w:pStyle w:val="26"/>
        <w:snapToGrid w:val="0"/>
        <w:spacing w:before="120" w:after="120"/>
        <w:rPr>
          <w:rFonts w:hint="eastAsia" w:hAnsi="宋体" w:cs="宋体"/>
          <w:color w:val="auto"/>
          <w:highlight w:val="none"/>
        </w:rPr>
      </w:pPr>
      <w:r>
        <w:rPr>
          <w:rFonts w:hint="eastAsia" w:hAnsi="宋体" w:cs="宋体"/>
          <w:color w:val="auto"/>
          <w:highlight w:val="none"/>
        </w:rPr>
        <w:t xml:space="preserve">  法定（授权）代表人：                     法定（授权）代表人：</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签字日期：      年  月  日              </w:t>
      </w: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p>
      <w:pPr>
        <w:pStyle w:val="2"/>
        <w:ind w:left="560"/>
        <w:rPr>
          <w:rFonts w:hint="eastAsia"/>
          <w:color w:val="auto"/>
          <w:highlight w:val="none"/>
        </w:rPr>
      </w:pPr>
    </w:p>
    <w:bookmarkEnd w:id="30"/>
    <w:bookmarkEnd w:id="31"/>
    <w:p>
      <w:pPr>
        <w:numPr>
          <w:ilvl w:val="0"/>
          <w:numId w:val="8"/>
        </w:num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投标文件格式及附件</w:t>
      </w:r>
    </w:p>
    <w:p>
      <w:pPr>
        <w:pStyle w:val="2"/>
        <w:ind w:left="560" w:firstLine="643"/>
        <w:rPr>
          <w:rFonts w:hint="eastAsia" w:ascii="宋体" w:hAnsi="宋体" w:cs="宋体"/>
          <w:b/>
          <w:color w:val="auto"/>
          <w:kern w:val="2"/>
          <w:sz w:val="32"/>
          <w:szCs w:val="32"/>
          <w:highlight w:val="none"/>
        </w:rPr>
      </w:pPr>
    </w:p>
    <w:p>
      <w:pPr>
        <w:snapToGrid w:val="0"/>
        <w:spacing w:before="120" w:beforeLines="50" w:after="50"/>
        <w:rPr>
          <w:rFonts w:hint="eastAsia" w:ascii="宋体" w:hAnsi="宋体" w:cs="宋体"/>
          <w:b/>
          <w:color w:val="auto"/>
          <w:sz w:val="24"/>
          <w:highlight w:val="none"/>
        </w:rPr>
      </w:pPr>
      <w:r>
        <w:rPr>
          <w:rFonts w:hint="eastAsia" w:ascii="宋体" w:hAnsi="宋体" w:cs="宋体"/>
          <w:b/>
          <w:bCs/>
          <w:color w:val="auto"/>
          <w:sz w:val="24"/>
          <w:highlight w:val="none"/>
        </w:rPr>
        <w:t>一、资格文件外包装封面格式</w:t>
      </w:r>
    </w:p>
    <w:p>
      <w:pPr>
        <w:snapToGrid w:val="0"/>
        <w:spacing w:before="120" w:beforeLines="50" w:after="50"/>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before="120" w:beforeLines="50" w:after="50"/>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正本/或副本</w:t>
      </w:r>
    </w:p>
    <w:p>
      <w:pPr>
        <w:snapToGrid w:val="0"/>
        <w:spacing w:before="120"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资格文件</w:t>
      </w:r>
    </w:p>
    <w:p>
      <w:pPr>
        <w:snapToGrid w:val="0"/>
        <w:spacing w:before="120" w:beforeLines="50" w:after="50"/>
        <w:rPr>
          <w:rFonts w:hint="eastAsia" w:ascii="宋体" w:hAnsi="宋体" w:cs="宋体"/>
          <w:bCs/>
          <w:color w:val="auto"/>
          <w:sz w:val="24"/>
          <w:highlight w:val="none"/>
        </w:rPr>
      </w:pP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项目名称：</w:t>
      </w:r>
      <w:r>
        <w:rPr>
          <w:rFonts w:hint="eastAsia"/>
          <w:color w:val="auto"/>
          <w:sz w:val="24"/>
          <w:highlight w:val="none"/>
          <w:lang w:eastAsia="zh-CN"/>
        </w:rPr>
        <w:t xml:space="preserve">南浔镇雪亮工程视频监控服务项目二期  </w:t>
      </w:r>
      <w:r>
        <w:rPr>
          <w:rFonts w:hint="eastAsia"/>
          <w:color w:val="auto"/>
          <w:highlight w:val="none"/>
        </w:rPr>
        <w:t xml:space="preserve"> </w:t>
      </w:r>
    </w:p>
    <w:p>
      <w:pPr>
        <w:snapToGrid w:val="0"/>
        <w:spacing w:before="120" w:beforeLines="50" w:after="50"/>
        <w:ind w:firstLine="1068" w:firstLineChars="445"/>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w:t>
      </w:r>
      <w:r>
        <w:rPr>
          <w:rFonts w:hint="eastAsia" w:ascii="宋体" w:hAnsi="宋体" w:cs="宋体"/>
          <w:color w:val="auto"/>
          <w:kern w:val="0"/>
          <w:sz w:val="24"/>
          <w:highlight w:val="none"/>
          <w:lang w:eastAsia="zh-CN"/>
        </w:rPr>
        <w:t xml:space="preserve">浙安采字[2019]-N012 </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供应商名称：</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供应商地址：</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在  年  月  日  时  分之前不得启封</w:t>
      </w:r>
    </w:p>
    <w:p>
      <w:pPr>
        <w:pStyle w:val="15"/>
        <w:snapToGrid w:val="0"/>
        <w:spacing w:before="50" w:after="50"/>
        <w:ind w:firstLine="960" w:firstLineChars="400"/>
        <w:rPr>
          <w:rFonts w:hint="eastAsia" w:ascii="宋体" w:hAnsi="宋体" w:cs="宋体"/>
          <w:bCs/>
          <w:color w:val="auto"/>
          <w:sz w:val="24"/>
          <w:szCs w:val="24"/>
          <w:highlight w:val="none"/>
        </w:rPr>
      </w:pPr>
    </w:p>
    <w:p>
      <w:pPr>
        <w:snapToGrid w:val="0"/>
        <w:spacing w:before="120" w:beforeLines="50" w:after="50"/>
        <w:ind w:firstLine="4080" w:firstLineChars="1700"/>
        <w:rPr>
          <w:rFonts w:hint="eastAsia" w:ascii="宋体" w:hAnsi="宋体" w:cs="宋体"/>
          <w:color w:val="auto"/>
          <w:sz w:val="24"/>
          <w:highlight w:val="none"/>
        </w:rPr>
      </w:pPr>
    </w:p>
    <w:p>
      <w:pPr>
        <w:snapToGrid w:val="0"/>
        <w:spacing w:before="120"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50" w:after="120" w:afterLines="50"/>
        <w:jc w:val="left"/>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38"/>
        <w:spacing w:line="360" w:lineRule="exact"/>
        <w:ind w:left="0" w:leftChars="0"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1、资格文件目录：</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rPr>
        <w:t>（1）供应商情况介绍；</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（2）投标声明书；</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Arial"/>
          <w:color w:val="auto"/>
          <w:sz w:val="24"/>
          <w:szCs w:val="24"/>
          <w:highlight w:val="none"/>
          <w:lang w:eastAsia="zh-CN"/>
        </w:rPr>
        <w:t>营业执照副本</w:t>
      </w:r>
      <w:r>
        <w:rPr>
          <w:rFonts w:hint="eastAsia" w:ascii="宋体" w:hAnsi="宋体" w:cs="宋体"/>
          <w:color w:val="auto"/>
          <w:sz w:val="24"/>
          <w:szCs w:val="24"/>
          <w:highlight w:val="none"/>
        </w:rPr>
        <w:t>；（资格审查条款）</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olor w:val="auto"/>
          <w:sz w:val="24"/>
          <w:szCs w:val="24"/>
          <w:highlight w:val="none"/>
        </w:rPr>
        <w:t>法定代表人身份证明书和</w:t>
      </w:r>
      <w:r>
        <w:rPr>
          <w:rFonts w:hint="eastAsia" w:ascii="宋体" w:hAnsi="宋体" w:cs="宋体"/>
          <w:color w:val="auto"/>
          <w:sz w:val="24"/>
          <w:szCs w:val="24"/>
          <w:highlight w:val="none"/>
        </w:rPr>
        <w:t>法定代表人授权委托书；（资格审查条款）</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（5）经当地税务、社保部门出具的供应商最近一个季度企业纳税情况和社保基金缴纳情况证明文书；</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rPr>
        <w:t>（6）</w:t>
      </w:r>
      <w:r>
        <w:rPr>
          <w:rFonts w:hint="eastAsia" w:ascii="宋体" w:hAnsi="宋体" w:cs="宋体"/>
          <w:bCs/>
          <w:color w:val="auto"/>
          <w:sz w:val="24"/>
          <w:szCs w:val="24"/>
          <w:highlight w:val="none"/>
        </w:rPr>
        <w:t>自招标公告发布之后任意时间的“信用中国”（www.creditchina.gov.cn）、中国政府采购（www.ccgp.gov.cn）供应商信用查询网页截图(</w:t>
      </w:r>
      <w:r>
        <w:rPr>
          <w:rFonts w:hint="eastAsia" w:ascii="宋体" w:hAnsi="宋体" w:cs="宋体"/>
          <w:color w:val="auto"/>
          <w:kern w:val="0"/>
          <w:sz w:val="24"/>
          <w:szCs w:val="24"/>
          <w:highlight w:val="none"/>
        </w:rPr>
        <w:t>（二者缺一不可</w:t>
      </w:r>
      <w:r>
        <w:rPr>
          <w:rFonts w:hint="eastAsia" w:ascii="宋体" w:hAnsi="宋体" w:cs="宋体"/>
          <w:bCs/>
          <w:color w:val="auto"/>
          <w:sz w:val="24"/>
          <w:szCs w:val="24"/>
          <w:highlight w:val="none"/>
        </w:rPr>
        <w:t>)；（资格审查条款）</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textAlignment w:val="auto"/>
        <w:rPr>
          <w:rFonts w:hint="eastAsia" w:ascii="宋体" w:hAnsi="宋体" w:cs="宋体"/>
          <w:color w:val="auto"/>
          <w:sz w:val="24"/>
          <w:szCs w:val="24"/>
          <w:highlight w:val="none"/>
        </w:rPr>
      </w:pPr>
      <w:r>
        <w:rPr>
          <w:rFonts w:hint="eastAsia" w:ascii="宋体" w:hAnsi="宋体"/>
          <w:color w:val="auto"/>
          <w:sz w:val="21"/>
          <w:szCs w:val="21"/>
          <w:highlight w:val="none"/>
        </w:rPr>
        <w:t>★</w:t>
      </w:r>
      <w:r>
        <w:rPr>
          <w:rFonts w:hint="eastAsia" w:ascii="宋体" w:hAnsi="宋体" w:cs="宋体"/>
          <w:b/>
          <w:color w:val="auto"/>
          <w:sz w:val="24"/>
          <w:szCs w:val="24"/>
          <w:highlight w:val="none"/>
        </w:rPr>
        <w:t>注：以上</w:t>
      </w:r>
      <w:r>
        <w:rPr>
          <w:rFonts w:hint="eastAsia" w:ascii="宋体" w:hAnsi="宋体" w:cs="宋体"/>
          <w:b/>
          <w:color w:val="auto"/>
          <w:sz w:val="24"/>
          <w:szCs w:val="24"/>
          <w:highlight w:val="none"/>
          <w:lang w:eastAsia="zh-CN"/>
        </w:rPr>
        <w:t>第</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）条资格审查条款资料</w:t>
      </w:r>
      <w:r>
        <w:rPr>
          <w:rFonts w:hint="eastAsia" w:ascii="宋体" w:hAnsi="宋体" w:cs="宋体"/>
          <w:b/>
          <w:color w:val="auto"/>
          <w:sz w:val="24"/>
          <w:szCs w:val="24"/>
          <w:highlight w:val="none"/>
          <w:lang w:eastAsia="zh-CN"/>
        </w:rPr>
        <w:t>除</w:t>
      </w:r>
      <w:r>
        <w:rPr>
          <w:rFonts w:hint="eastAsia" w:ascii="宋体" w:hAnsi="宋体" w:cs="宋体"/>
          <w:b/>
          <w:color w:val="auto"/>
          <w:sz w:val="24"/>
          <w:szCs w:val="24"/>
          <w:highlight w:val="none"/>
        </w:rPr>
        <w:t>须提供复印件加盖企业公章</w:t>
      </w:r>
      <w:r>
        <w:rPr>
          <w:rFonts w:hint="eastAsia" w:ascii="宋体" w:hAnsi="宋体" w:cs="宋体"/>
          <w:b/>
          <w:color w:val="auto"/>
          <w:sz w:val="24"/>
          <w:szCs w:val="24"/>
          <w:highlight w:val="none"/>
          <w:lang w:eastAsia="zh-CN"/>
        </w:rPr>
        <w:t>外</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另</w:t>
      </w:r>
      <w:r>
        <w:rPr>
          <w:rFonts w:hint="eastAsia" w:ascii="宋体" w:hAnsi="宋体" w:cs="宋体"/>
          <w:b/>
          <w:color w:val="auto"/>
          <w:sz w:val="24"/>
          <w:szCs w:val="24"/>
          <w:highlight w:val="none"/>
        </w:rPr>
        <w:t>同时提供原件审查，原件另用档案袋单独包装，在投标截止时间前与投标文件一同递交，原件未提供的按资格审查不通过处理，其投标予以否决。</w:t>
      </w: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pStyle w:val="2"/>
        <w:ind w:left="560" w:firstLine="422"/>
        <w:rPr>
          <w:rFonts w:hint="eastAsia" w:ascii="宋体" w:hAnsi="宋体" w:cs="宋体"/>
          <w:b/>
          <w:color w:val="auto"/>
          <w:szCs w:val="28"/>
          <w:highlight w:val="none"/>
        </w:rPr>
      </w:pPr>
    </w:p>
    <w:p>
      <w:pPr>
        <w:snapToGrid w:val="0"/>
        <w:spacing w:before="120" w:beforeLines="50" w:after="50"/>
        <w:jc w:val="center"/>
        <w:rPr>
          <w:rFonts w:hint="eastAsia" w:ascii="宋体" w:hAnsi="宋体" w:cs="宋体"/>
          <w:b/>
          <w:bCs/>
          <w:color w:val="auto"/>
          <w:sz w:val="24"/>
          <w:highlight w:val="none"/>
        </w:rPr>
      </w:pPr>
      <w:r>
        <w:rPr>
          <w:rFonts w:hint="eastAsia" w:ascii="宋体" w:hAnsi="宋体" w:cs="宋体"/>
          <w:b/>
          <w:bCs/>
          <w:color w:val="auto"/>
          <w:sz w:val="24"/>
          <w:highlight w:val="none"/>
        </w:rPr>
        <w:t>一、供应商情况介绍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467" w:type="dxa"/>
            <w:gridSpan w:val="11"/>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7858" w:type="dxa"/>
            <w:gridSpan w:val="10"/>
            <w:noWrap w:val="0"/>
            <w:vAlign w:val="center"/>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地  址</w:t>
            </w:r>
          </w:p>
        </w:tc>
        <w:tc>
          <w:tcPr>
            <w:tcW w:w="4699" w:type="dxa"/>
            <w:gridSpan w:val="6"/>
            <w:noWrap w:val="0"/>
            <w:vAlign w:val="center"/>
          </w:tcPr>
          <w:p>
            <w:pPr>
              <w:spacing w:line="480" w:lineRule="exact"/>
              <w:jc w:val="center"/>
              <w:rPr>
                <w:rFonts w:hint="eastAsia" w:ascii="宋体" w:hAnsi="宋体"/>
                <w:color w:val="auto"/>
                <w:sz w:val="24"/>
                <w:highlight w:val="none"/>
              </w:rPr>
            </w:pPr>
          </w:p>
        </w:tc>
        <w:tc>
          <w:tcPr>
            <w:tcW w:w="1577" w:type="dxa"/>
            <w:gridSpan w:val="2"/>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1582" w:type="dxa"/>
            <w:gridSpan w:val="2"/>
            <w:noWrap w:val="0"/>
            <w:vAlign w:val="center"/>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成立时间</w:t>
            </w:r>
          </w:p>
        </w:tc>
        <w:tc>
          <w:tcPr>
            <w:tcW w:w="4699" w:type="dxa"/>
            <w:gridSpan w:val="6"/>
            <w:noWrap w:val="0"/>
            <w:vAlign w:val="center"/>
          </w:tcPr>
          <w:p>
            <w:pPr>
              <w:spacing w:line="480" w:lineRule="exact"/>
              <w:jc w:val="center"/>
              <w:rPr>
                <w:rFonts w:hint="eastAsia" w:ascii="宋体" w:hAnsi="宋体"/>
                <w:color w:val="auto"/>
                <w:sz w:val="24"/>
                <w:highlight w:val="none"/>
              </w:rPr>
            </w:pPr>
          </w:p>
        </w:tc>
        <w:tc>
          <w:tcPr>
            <w:tcW w:w="1577" w:type="dxa"/>
            <w:gridSpan w:val="2"/>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注册资本</w:t>
            </w:r>
          </w:p>
        </w:tc>
        <w:tc>
          <w:tcPr>
            <w:tcW w:w="1582" w:type="dxa"/>
            <w:gridSpan w:val="2"/>
            <w:noWrap w:val="0"/>
            <w:vAlign w:val="center"/>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开户银行</w:t>
            </w:r>
          </w:p>
        </w:tc>
        <w:tc>
          <w:tcPr>
            <w:tcW w:w="3027" w:type="dxa"/>
            <w:gridSpan w:val="3"/>
            <w:noWrap w:val="0"/>
            <w:vAlign w:val="center"/>
          </w:tcPr>
          <w:p>
            <w:pPr>
              <w:spacing w:line="480" w:lineRule="exact"/>
              <w:jc w:val="center"/>
              <w:rPr>
                <w:rFonts w:hint="eastAsia" w:ascii="宋体" w:hAnsi="宋体"/>
                <w:color w:val="auto"/>
                <w:sz w:val="24"/>
                <w:highlight w:val="none"/>
              </w:rPr>
            </w:pPr>
          </w:p>
        </w:tc>
        <w:tc>
          <w:tcPr>
            <w:tcW w:w="1672" w:type="dxa"/>
            <w:gridSpan w:val="3"/>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帐  号</w:t>
            </w:r>
          </w:p>
        </w:tc>
        <w:tc>
          <w:tcPr>
            <w:tcW w:w="3159" w:type="dxa"/>
            <w:gridSpan w:val="4"/>
            <w:noWrap w:val="0"/>
            <w:vAlign w:val="center"/>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联系电话</w:t>
            </w:r>
          </w:p>
        </w:tc>
        <w:tc>
          <w:tcPr>
            <w:tcW w:w="7858" w:type="dxa"/>
            <w:gridSpan w:val="10"/>
            <w:noWrap w:val="0"/>
            <w:vAlign w:val="center"/>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企业总人数</w:t>
            </w:r>
          </w:p>
        </w:tc>
        <w:tc>
          <w:tcPr>
            <w:tcW w:w="1083" w:type="dxa"/>
            <w:noWrap w:val="0"/>
            <w:vAlign w:val="center"/>
          </w:tcPr>
          <w:p>
            <w:pPr>
              <w:spacing w:line="480" w:lineRule="exact"/>
              <w:jc w:val="center"/>
              <w:rPr>
                <w:rFonts w:hint="eastAsia" w:ascii="宋体" w:hAnsi="宋体"/>
                <w:color w:val="auto"/>
                <w:sz w:val="24"/>
                <w:highlight w:val="none"/>
              </w:rPr>
            </w:pPr>
          </w:p>
        </w:tc>
        <w:tc>
          <w:tcPr>
            <w:tcW w:w="1075"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管理</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人员</w:t>
            </w:r>
          </w:p>
        </w:tc>
        <w:tc>
          <w:tcPr>
            <w:tcW w:w="1075" w:type="dxa"/>
            <w:gridSpan w:val="2"/>
            <w:noWrap w:val="0"/>
            <w:vAlign w:val="center"/>
          </w:tcPr>
          <w:p>
            <w:pPr>
              <w:spacing w:line="480" w:lineRule="exact"/>
              <w:jc w:val="center"/>
              <w:rPr>
                <w:rFonts w:hint="eastAsia" w:ascii="宋体" w:hAnsi="宋体"/>
                <w:color w:val="auto"/>
                <w:sz w:val="24"/>
                <w:highlight w:val="none"/>
              </w:rPr>
            </w:pPr>
          </w:p>
        </w:tc>
        <w:tc>
          <w:tcPr>
            <w:tcW w:w="1075"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技术</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人员</w:t>
            </w:r>
          </w:p>
        </w:tc>
        <w:tc>
          <w:tcPr>
            <w:tcW w:w="1075" w:type="dxa"/>
            <w:gridSpan w:val="2"/>
            <w:noWrap w:val="0"/>
            <w:vAlign w:val="center"/>
          </w:tcPr>
          <w:p>
            <w:pPr>
              <w:spacing w:line="480" w:lineRule="exact"/>
              <w:jc w:val="center"/>
              <w:rPr>
                <w:rFonts w:hint="eastAsia" w:ascii="宋体" w:hAnsi="宋体"/>
                <w:color w:val="auto"/>
                <w:sz w:val="24"/>
                <w:highlight w:val="none"/>
              </w:rPr>
            </w:pPr>
          </w:p>
        </w:tc>
        <w:tc>
          <w:tcPr>
            <w:tcW w:w="1086" w:type="dxa"/>
            <w:gridSpan w:val="2"/>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职工</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人员</w:t>
            </w:r>
          </w:p>
        </w:tc>
        <w:tc>
          <w:tcPr>
            <w:tcW w:w="1389" w:type="dxa"/>
            <w:noWrap w:val="0"/>
            <w:vAlign w:val="center"/>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pPr>
              <w:spacing w:line="480" w:lineRule="exact"/>
              <w:rPr>
                <w:rFonts w:hint="eastAsia" w:ascii="宋体" w:hAnsi="宋体"/>
                <w:color w:val="auto"/>
                <w:sz w:val="24"/>
                <w:highlight w:val="none"/>
              </w:rPr>
            </w:pPr>
            <w:r>
              <w:rPr>
                <w:rFonts w:hint="eastAsia" w:ascii="宋体" w:hAnsi="宋体"/>
                <w:color w:val="auto"/>
                <w:sz w:val="24"/>
                <w:highlight w:val="none"/>
              </w:rPr>
              <w:t>经营范围</w:t>
            </w:r>
          </w:p>
        </w:tc>
        <w:tc>
          <w:tcPr>
            <w:tcW w:w="7858" w:type="dxa"/>
            <w:gridSpan w:val="10"/>
            <w:noWrap w:val="0"/>
            <w:vAlign w:val="center"/>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1609" w:type="dxa"/>
            <w:tcBorders>
              <w:bottom w:val="single" w:color="auto" w:sz="4" w:space="0"/>
            </w:tcBorders>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企业现有的资质证书</w:t>
            </w:r>
          </w:p>
        </w:tc>
        <w:tc>
          <w:tcPr>
            <w:tcW w:w="7858" w:type="dxa"/>
            <w:gridSpan w:val="10"/>
            <w:tcBorders>
              <w:bottom w:val="single" w:color="auto" w:sz="4" w:space="0"/>
            </w:tcBorders>
            <w:noWrap w:val="0"/>
            <w:vAlign w:val="center"/>
          </w:tcPr>
          <w:p>
            <w:pPr>
              <w:spacing w:line="480" w:lineRule="exact"/>
              <w:jc w:val="center"/>
              <w:rPr>
                <w:rFonts w:hint="eastAsia" w:ascii="宋体" w:hAnsi="宋体"/>
                <w:color w:val="auto"/>
                <w:sz w:val="24"/>
                <w:highlight w:val="none"/>
              </w:rPr>
            </w:pPr>
          </w:p>
        </w:tc>
      </w:tr>
    </w:tbl>
    <w:p>
      <w:pPr>
        <w:spacing w:line="480" w:lineRule="exact"/>
        <w:rPr>
          <w:rFonts w:hint="eastAsia" w:ascii="宋体" w:hAnsi="宋体"/>
          <w:color w:val="auto"/>
          <w:sz w:val="24"/>
          <w:highlight w:val="none"/>
        </w:rPr>
      </w:pPr>
      <w:r>
        <w:rPr>
          <w:rFonts w:hint="eastAsia" w:ascii="宋体" w:hAnsi="宋体"/>
          <w:color w:val="auto"/>
          <w:sz w:val="24"/>
          <w:highlight w:val="none"/>
        </w:rPr>
        <w:t>注：表格不能满足时可自行增加。</w:t>
      </w:r>
    </w:p>
    <w:p>
      <w:pPr>
        <w:snapToGrid w:val="0"/>
        <w:spacing w:before="120" w:beforeLines="50"/>
        <w:rPr>
          <w:rFonts w:hint="eastAsia" w:ascii="宋体" w:hAnsi="宋体"/>
          <w:b/>
          <w:bCs/>
          <w:color w:val="auto"/>
          <w:sz w:val="32"/>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二、投标声明书</w:t>
      </w:r>
    </w:p>
    <w:p>
      <w:pPr>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pPr>
        <w:snapToGrid w:val="0"/>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50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项目的投标，为便于贵方公正、择优地确定中标供应商及其投标产品和服务，我方就本次投标有关事项郑重声明如下：</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2.我方不是招标采购单位的附属机构；在获知本项目采购信息后，与招标采购单位聘请的为此项目提供咨询服务的公司及其附属机构没有任何联系。</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3.我方诚意提请贵方关注：近期有关投标产品方面的重大决策和事项有：</w:t>
      </w:r>
    </w:p>
    <w:p>
      <w:pPr>
        <w:snapToGrid w:val="0"/>
        <w:spacing w:line="5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pPr>
        <w:pStyle w:val="3"/>
        <w:snapToGrid w:val="0"/>
        <w:ind w:firstLine="480"/>
        <w:rPr>
          <w:rFonts w:hAnsi="宋体" w:cs="宋体"/>
          <w:color w:val="auto"/>
          <w:sz w:val="24"/>
          <w:highlight w:val="none"/>
        </w:rPr>
      </w:pPr>
      <w:r>
        <w:rPr>
          <w:rFonts w:hAnsi="宋体" w:cs="宋体"/>
          <w:color w:val="auto"/>
          <w:sz w:val="24"/>
          <w:highlight w:val="none"/>
        </w:rPr>
        <w:t>4.我方及由本人担任法定代表人的其他机构最近三年内被通报或者被处罚的违法行为有：</w:t>
      </w:r>
    </w:p>
    <w:p>
      <w:pPr>
        <w:snapToGrid w:val="0"/>
        <w:spacing w:line="5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pPr>
        <w:pStyle w:val="22"/>
        <w:tabs>
          <w:tab w:val="left" w:pos="939"/>
        </w:tabs>
        <w:snapToGrid w:val="0"/>
        <w:spacing w:line="500" w:lineRule="exact"/>
        <w:ind w:left="878" w:leftChars="150" w:hanging="458" w:hangingChars="191"/>
        <w:rPr>
          <w:rFonts w:hint="eastAsia" w:ascii="宋体" w:hAnsi="宋体" w:cs="宋体"/>
          <w:color w:val="auto"/>
          <w:sz w:val="24"/>
          <w:highlight w:val="none"/>
        </w:rPr>
      </w:pPr>
    </w:p>
    <w:p>
      <w:pPr>
        <w:pStyle w:val="133"/>
        <w:snapToGrid w:val="0"/>
        <w:spacing w:line="500" w:lineRule="exact"/>
        <w:ind w:firstLine="200"/>
        <w:rPr>
          <w:rFonts w:hint="eastAsia" w:ascii="宋体" w:hAnsi="宋体" w:cs="宋体"/>
          <w:color w:val="auto"/>
          <w:szCs w:val="24"/>
          <w:highlight w:val="none"/>
        </w:rPr>
      </w:pPr>
    </w:p>
    <w:p>
      <w:pPr>
        <w:snapToGrid w:val="0"/>
        <w:spacing w:line="500" w:lineRule="exact"/>
        <w:ind w:firstLine="319" w:firstLineChars="133"/>
        <w:rPr>
          <w:rFonts w:hint="eastAsia" w:ascii="宋体" w:hAnsi="宋体" w:cs="宋体"/>
          <w:color w:val="auto"/>
          <w:sz w:val="24"/>
          <w:highlight w:val="none"/>
          <w:u w:val="single"/>
        </w:rPr>
      </w:pPr>
      <w:r>
        <w:rPr>
          <w:rFonts w:hint="eastAsia" w:ascii="宋体" w:hAnsi="宋体" w:cs="宋体"/>
          <w:color w:val="auto"/>
          <w:sz w:val="24"/>
          <w:highlight w:val="none"/>
        </w:rPr>
        <w:t>法定代表人或授权代表签字：</w:t>
      </w:r>
      <w:r>
        <w:rPr>
          <w:rFonts w:hint="eastAsia" w:ascii="宋体" w:hAnsi="宋体" w:cs="宋体"/>
          <w:color w:val="auto"/>
          <w:sz w:val="24"/>
          <w:highlight w:val="none"/>
          <w:u w:val="single"/>
        </w:rPr>
        <w:t xml:space="preserve">             </w:t>
      </w:r>
    </w:p>
    <w:p>
      <w:pPr>
        <w:snapToGrid w:val="0"/>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500" w:lineRule="exact"/>
        <w:ind w:firstLine="6240" w:firstLineChars="2600"/>
        <w:rPr>
          <w:rFonts w:hint="eastAsia" w:ascii="宋体" w:hAnsi="宋体" w:cs="宋体"/>
          <w:color w:val="auto"/>
          <w:sz w:val="24"/>
          <w:highlight w:val="none"/>
        </w:rPr>
      </w:pPr>
    </w:p>
    <w:p>
      <w:pPr>
        <w:snapToGrid w:val="0"/>
        <w:spacing w:line="500" w:lineRule="exact"/>
        <w:ind w:firstLine="6960" w:firstLineChars="2900"/>
        <w:rPr>
          <w:rFonts w:hint="eastAsia" w:ascii="宋体" w:hAnsi="宋体" w:cs="宋体"/>
          <w:color w:val="auto"/>
          <w:sz w:val="24"/>
          <w:highlight w:val="none"/>
        </w:rPr>
      </w:pPr>
      <w:r>
        <w:rPr>
          <w:rFonts w:hint="eastAsia" w:ascii="宋体" w:hAnsi="宋体" w:cs="宋体"/>
          <w:color w:val="auto"/>
          <w:sz w:val="24"/>
          <w:highlight w:val="none"/>
        </w:rPr>
        <w:t>年    月    日</w:t>
      </w:r>
    </w:p>
    <w:p>
      <w:pPr>
        <w:snapToGrid w:val="0"/>
        <w:spacing w:line="500" w:lineRule="exact"/>
        <w:ind w:firstLine="6960" w:firstLineChars="2900"/>
        <w:rPr>
          <w:rFonts w:hint="eastAsia" w:ascii="宋体" w:hAnsi="宋体" w:cs="宋体"/>
          <w:color w:val="auto"/>
          <w:sz w:val="24"/>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snapToGrid w:val="0"/>
        <w:spacing w:before="120" w:beforeLines="50" w:after="50"/>
        <w:jc w:val="center"/>
        <w:rPr>
          <w:rFonts w:hint="eastAsia" w:ascii="宋体" w:hAnsi="宋体" w:cs="宋体"/>
          <w:b/>
          <w:bCs/>
          <w:color w:val="auto"/>
          <w:spacing w:val="24"/>
          <w:szCs w:val="28"/>
          <w:highlight w:val="none"/>
        </w:rPr>
      </w:pPr>
      <w:r>
        <w:rPr>
          <w:rFonts w:hint="eastAsia" w:ascii="宋体" w:hAnsi="宋体" w:cs="宋体"/>
          <w:b/>
          <w:bCs/>
          <w:color w:val="auto"/>
          <w:spacing w:val="24"/>
          <w:sz w:val="24"/>
          <w:highlight w:val="none"/>
        </w:rPr>
        <w:t>三、</w:t>
      </w:r>
      <w:r>
        <w:rPr>
          <w:rFonts w:hint="eastAsia" w:ascii="宋体" w:hAnsi="宋体" w:cs="宋体"/>
          <w:b/>
          <w:bCs/>
          <w:color w:val="auto"/>
          <w:spacing w:val="24"/>
          <w:sz w:val="24"/>
          <w:highlight w:val="none"/>
          <w:lang w:eastAsia="zh-CN"/>
        </w:rPr>
        <w:t>营业执照副本</w:t>
      </w:r>
      <w:r>
        <w:rPr>
          <w:rFonts w:hint="eastAsia" w:ascii="宋体" w:hAnsi="宋体" w:cs="宋体"/>
          <w:b/>
          <w:bCs/>
          <w:color w:val="auto"/>
          <w:spacing w:val="24"/>
          <w:sz w:val="24"/>
          <w:highlight w:val="none"/>
        </w:rPr>
        <w:t>复印件加盖公章</w:t>
      </w:r>
    </w:p>
    <w:p>
      <w:pPr>
        <w:pStyle w:val="15"/>
        <w:spacing w:line="700" w:lineRule="exact"/>
        <w:ind w:firstLine="0"/>
        <w:jc w:val="center"/>
        <w:rPr>
          <w:rFonts w:hint="eastAsia" w:ascii="宋体" w:hAnsi="宋体" w:cs="宋体"/>
          <w:b/>
          <w:bCs/>
          <w:color w:val="auto"/>
          <w:spacing w:val="24"/>
          <w:sz w:val="28"/>
          <w:szCs w:val="28"/>
          <w:highlight w:val="none"/>
        </w:rPr>
      </w:pPr>
    </w:p>
    <w:p>
      <w:pPr>
        <w:snapToGrid w:val="0"/>
        <w:spacing w:line="360" w:lineRule="auto"/>
        <w:jc w:val="center"/>
        <w:rPr>
          <w:rFonts w:hint="eastAsia" w:ascii="宋体" w:hAnsi="宋体" w:cs="宋体"/>
          <w:b/>
          <w:bCs/>
          <w:color w:val="auto"/>
          <w:spacing w:val="24"/>
          <w:szCs w:val="28"/>
          <w:highlight w:val="none"/>
        </w:rPr>
      </w:pPr>
      <w:r>
        <w:rPr>
          <w:rFonts w:hint="eastAsia" w:ascii="宋体" w:hAnsi="宋体" w:cs="宋体"/>
          <w:b/>
          <w:color w:val="auto"/>
          <w:sz w:val="24"/>
          <w:highlight w:val="none"/>
        </w:rPr>
        <w:t>四、法定代表人身份证明书</w:t>
      </w:r>
    </w:p>
    <w:p>
      <w:pPr>
        <w:pStyle w:val="15"/>
        <w:spacing w:line="500" w:lineRule="exact"/>
        <w:ind w:firstLine="0"/>
        <w:rPr>
          <w:rFonts w:hint="eastAsia" w:ascii="宋体" w:hAnsi="宋体" w:cs="宋体"/>
          <w:b/>
          <w:bCs/>
          <w:color w:val="auto"/>
          <w:spacing w:val="24"/>
          <w:sz w:val="28"/>
          <w:szCs w:val="28"/>
          <w:highlight w:val="none"/>
        </w:rPr>
      </w:pPr>
    </w:p>
    <w:p>
      <w:pPr>
        <w:pStyle w:val="15"/>
        <w:spacing w:line="500" w:lineRule="exact"/>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（单位全称）</w:t>
      </w:r>
    </w:p>
    <w:p>
      <w:pPr>
        <w:pStyle w:val="15"/>
        <w:spacing w:line="500" w:lineRule="exact"/>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的法定代表人，身份证号码为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15"/>
        <w:spacing w:line="500" w:lineRule="exact"/>
        <w:ind w:firstLine="374" w:firstLineChars="156"/>
        <w:rPr>
          <w:rFonts w:hint="eastAsia" w:ascii="宋体" w:hAnsi="宋体" w:cs="宋体"/>
          <w:color w:val="auto"/>
          <w:sz w:val="24"/>
          <w:szCs w:val="24"/>
          <w:highlight w:val="none"/>
        </w:rPr>
      </w:pPr>
    </w:p>
    <w:p>
      <w:pPr>
        <w:pStyle w:val="15"/>
        <w:spacing w:line="500" w:lineRule="exact"/>
        <w:ind w:firstLine="374" w:firstLineChars="156"/>
        <w:rPr>
          <w:rFonts w:hint="eastAsia" w:ascii="宋体" w:hAnsi="宋体" w:cs="宋体"/>
          <w:color w:val="auto"/>
          <w:sz w:val="24"/>
          <w:szCs w:val="24"/>
          <w:highlight w:val="none"/>
        </w:rPr>
      </w:pPr>
    </w:p>
    <w:p>
      <w:pPr>
        <w:pStyle w:val="15"/>
        <w:spacing w:line="500" w:lineRule="exact"/>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pPr>
        <w:pStyle w:val="15"/>
        <w:spacing w:line="500" w:lineRule="exact"/>
        <w:ind w:firstLine="374" w:firstLineChars="156"/>
        <w:rPr>
          <w:rFonts w:hint="eastAsia" w:ascii="宋体" w:hAnsi="宋体" w:cs="宋体"/>
          <w:color w:val="auto"/>
          <w:sz w:val="24"/>
          <w:szCs w:val="24"/>
          <w:highlight w:val="none"/>
        </w:rPr>
      </w:pPr>
    </w:p>
    <w:p>
      <w:pPr>
        <w:pStyle w:val="15"/>
        <w:spacing w:line="500" w:lineRule="exact"/>
        <w:ind w:firstLine="374" w:firstLineChars="156"/>
        <w:rPr>
          <w:rFonts w:hint="eastAsia" w:ascii="宋体" w:hAnsi="宋体" w:cs="宋体"/>
          <w:color w:val="auto"/>
          <w:sz w:val="24"/>
          <w:szCs w:val="24"/>
          <w:highlight w:val="none"/>
        </w:rPr>
      </w:pPr>
    </w:p>
    <w:p>
      <w:pPr>
        <w:pStyle w:val="15"/>
        <w:spacing w:line="500" w:lineRule="exact"/>
        <w:ind w:firstLine="374" w:firstLineChars="156"/>
        <w:rPr>
          <w:rFonts w:hint="eastAsia" w:ascii="宋体" w:hAnsi="宋体" w:cs="宋体"/>
          <w:color w:val="auto"/>
          <w:sz w:val="24"/>
          <w:szCs w:val="24"/>
          <w:highlight w:val="none"/>
        </w:rPr>
      </w:pPr>
    </w:p>
    <w:p>
      <w:pPr>
        <w:pStyle w:val="15"/>
        <w:spacing w:line="500" w:lineRule="exact"/>
        <w:ind w:firstLine="374" w:firstLineChars="156"/>
        <w:rPr>
          <w:rFonts w:hint="eastAsia" w:ascii="宋体" w:hAnsi="宋体" w:cs="宋体"/>
          <w:color w:val="auto"/>
          <w:sz w:val="24"/>
          <w:szCs w:val="24"/>
          <w:highlight w:val="none"/>
        </w:rPr>
      </w:pPr>
    </w:p>
    <w:p>
      <w:pPr>
        <w:pStyle w:val="15"/>
        <w:spacing w:line="500" w:lineRule="exact"/>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p>
    <w:p>
      <w:pPr>
        <w:pStyle w:val="15"/>
        <w:spacing w:line="500" w:lineRule="exact"/>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15"/>
        <w:spacing w:line="500" w:lineRule="exact"/>
        <w:ind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法定代表人（签名或盖章）</w:t>
      </w:r>
    </w:p>
    <w:p>
      <w:pPr>
        <w:pStyle w:val="15"/>
        <w:spacing w:line="500" w:lineRule="exact"/>
        <w:ind w:firstLine="374" w:firstLineChars="156"/>
        <w:jc w:val="center"/>
        <w:rPr>
          <w:rFonts w:hint="eastAsia" w:ascii="宋体" w:hAnsi="宋体" w:cs="宋体"/>
          <w:color w:val="auto"/>
          <w:sz w:val="24"/>
          <w:szCs w:val="24"/>
          <w:highlight w:val="none"/>
        </w:rPr>
      </w:pPr>
    </w:p>
    <w:p>
      <w:pPr>
        <w:pStyle w:val="15"/>
        <w:spacing w:line="500" w:lineRule="exact"/>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pPr>
        <w:pStyle w:val="15"/>
        <w:spacing w:line="500" w:lineRule="exact"/>
        <w:ind w:firstLine="374" w:firstLineChars="156"/>
        <w:jc w:val="center"/>
        <w:rPr>
          <w:rFonts w:hint="eastAsia" w:ascii="宋体" w:hAnsi="宋体" w:cs="宋体"/>
          <w:color w:val="auto"/>
          <w:sz w:val="24"/>
          <w:szCs w:val="24"/>
          <w:highlight w:val="none"/>
        </w:rPr>
      </w:pPr>
    </w:p>
    <w:p>
      <w:pPr>
        <w:pStyle w:val="15"/>
        <w:spacing w:line="500" w:lineRule="exact"/>
        <w:ind w:firstLine="374" w:firstLineChars="156"/>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pPr>
        <w:pStyle w:val="15"/>
        <w:spacing w:line="500" w:lineRule="exact"/>
        <w:ind w:firstLine="0"/>
        <w:rPr>
          <w:rFonts w:hint="eastAsia" w:ascii="宋体" w:hAnsi="宋体" w:cs="宋体"/>
          <w:color w:val="auto"/>
          <w:sz w:val="24"/>
          <w:szCs w:val="24"/>
          <w:highlight w:val="none"/>
        </w:rPr>
      </w:pPr>
    </w:p>
    <w:p>
      <w:pPr>
        <w:pStyle w:val="15"/>
        <w:spacing w:line="500" w:lineRule="exact"/>
        <w:ind w:firstLine="374" w:firstLineChars="156"/>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有效身份证明复印件粘贴处</w:t>
      </w:r>
    </w:p>
    <w:p>
      <w:pPr>
        <w:snapToGrid w:val="0"/>
        <w:spacing w:before="50" w:after="120" w:afterLines="50"/>
        <w:rPr>
          <w:rFonts w:hint="eastAsia" w:ascii="宋体" w:hAnsi="宋体"/>
          <w:b/>
          <w:color w:val="auto"/>
          <w:sz w:val="24"/>
          <w:highlight w:val="none"/>
        </w:rPr>
      </w:pPr>
    </w:p>
    <w:p>
      <w:pPr>
        <w:pStyle w:val="15"/>
        <w:spacing w:line="600" w:lineRule="exact"/>
        <w:ind w:firstLine="0"/>
        <w:jc w:val="center"/>
        <w:rPr>
          <w:rFonts w:hint="eastAsia" w:ascii="宋体" w:hAnsi="宋体" w:cs="宋体"/>
          <w:b/>
          <w:bCs/>
          <w:color w:val="auto"/>
          <w:spacing w:val="24"/>
          <w:sz w:val="30"/>
          <w:highlight w:val="none"/>
        </w:rPr>
      </w:pPr>
    </w:p>
    <w:p>
      <w:pPr>
        <w:pStyle w:val="15"/>
        <w:spacing w:line="600" w:lineRule="exact"/>
        <w:ind w:firstLine="0"/>
        <w:jc w:val="center"/>
        <w:rPr>
          <w:rFonts w:hint="eastAsia" w:ascii="宋体" w:hAnsi="宋体" w:cs="宋体"/>
          <w:b/>
          <w:bCs/>
          <w:color w:val="auto"/>
          <w:spacing w:val="24"/>
          <w:sz w:val="30"/>
          <w:highlight w:val="none"/>
        </w:rPr>
      </w:pPr>
    </w:p>
    <w:p>
      <w:pPr>
        <w:pStyle w:val="15"/>
        <w:spacing w:line="600" w:lineRule="exact"/>
        <w:ind w:firstLine="0"/>
        <w:rPr>
          <w:rFonts w:hint="eastAsia" w:ascii="宋体" w:hAnsi="宋体" w:cs="宋体"/>
          <w:b/>
          <w:bCs/>
          <w:color w:val="auto"/>
          <w:spacing w:val="24"/>
          <w:sz w:val="30"/>
          <w:szCs w:val="30"/>
          <w:highlight w:val="none"/>
        </w:rPr>
        <w:sectPr>
          <w:headerReference r:id="rId10" w:type="default"/>
          <w:footerReference r:id="rId11" w:type="default"/>
          <w:pgSz w:w="11906" w:h="16838"/>
          <w:pgMar w:top="1474" w:right="1286" w:bottom="1247" w:left="1418" w:header="851" w:footer="992" w:gutter="0"/>
          <w:cols w:space="720" w:num="1"/>
          <w:docGrid w:linePitch="312" w:charSpace="0"/>
        </w:sectPr>
      </w:pPr>
    </w:p>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法定代表人授权委托书</w:t>
      </w:r>
    </w:p>
    <w:p>
      <w:pPr>
        <w:snapToGrid w:val="0"/>
        <w:spacing w:line="360" w:lineRule="auto"/>
        <w:jc w:val="center"/>
        <w:rPr>
          <w:rFonts w:hint="eastAsia" w:ascii="宋体" w:hAnsi="宋体" w:cs="宋体"/>
          <w:b/>
          <w:color w:val="auto"/>
          <w:sz w:val="24"/>
          <w:highlight w:val="none"/>
        </w:rPr>
      </w:pPr>
    </w:p>
    <w:p>
      <w:pPr>
        <w:snapToGrid w:val="0"/>
        <w:spacing w:line="360" w:lineRule="auto"/>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w:t>
      </w:r>
      <w:r>
        <w:rPr>
          <w:rFonts w:hint="eastAsia" w:ascii="宋体" w:hAnsi="宋体" w:cs="Arial"/>
          <w:color w:val="auto"/>
          <w:sz w:val="24"/>
          <w:highlight w:val="none"/>
        </w:rPr>
        <w:t>单位</w:t>
      </w:r>
      <w:r>
        <w:rPr>
          <w:rFonts w:hint="eastAsia" w:ascii="宋体" w:hAnsi="宋体" w:cs="宋体"/>
          <w:color w:val="auto"/>
          <w:sz w:val="24"/>
          <w:highlight w:val="none"/>
        </w:rPr>
        <w:t>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pPr>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项目的投标活动，并代表我方全权办理针对上述项目的投标、开标、评标、签约等具体事务和签署相关文件。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我方对被授权人的签名事项负全部责任。</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供应商公章：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pStyle w:val="38"/>
        <w:numPr>
          <w:ilvl w:val="0"/>
          <w:numId w:val="9"/>
        </w:numPr>
        <w:spacing w:line="360" w:lineRule="exact"/>
        <w:ind w:left="560" w:firstLine="241" w:firstLineChars="1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经当地税务、社保部门出具的供应商最近一个季度企业纳税情况和社保基金缴纳情况证明文书复印件加盖公章；</w:t>
      </w:r>
    </w:p>
    <w:p>
      <w:pPr>
        <w:pStyle w:val="38"/>
        <w:spacing w:line="360" w:lineRule="exact"/>
        <w:ind w:left="0" w:leftChars="0"/>
        <w:jc w:val="center"/>
        <w:rPr>
          <w:rFonts w:hint="eastAsia" w:ascii="宋体" w:hAnsi="宋体" w:cs="宋体"/>
          <w:b/>
          <w:bCs/>
          <w:color w:val="auto"/>
          <w:sz w:val="24"/>
          <w:szCs w:val="24"/>
          <w:highlight w:val="none"/>
        </w:rPr>
      </w:pPr>
    </w:p>
    <w:p>
      <w:pPr>
        <w:pStyle w:val="38"/>
        <w:spacing w:line="360" w:lineRule="exact"/>
        <w:ind w:left="0" w:leftChars="0" w:firstLine="241" w:firstLineChars="1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六、自招标公告发布之后任意时间的“信用中国”（www.creditchina.gov.cn）、中国政府采购（www.ccgp.gov.cn）供应商信用查询网页截图加盖公章(</w:t>
      </w:r>
      <w:r>
        <w:rPr>
          <w:rFonts w:hint="eastAsia" w:ascii="宋体" w:hAnsi="宋体" w:cs="宋体"/>
          <w:b/>
          <w:bCs/>
          <w:color w:val="auto"/>
          <w:kern w:val="0"/>
          <w:sz w:val="24"/>
          <w:szCs w:val="24"/>
          <w:highlight w:val="none"/>
        </w:rPr>
        <w:t>（二者缺一不可</w:t>
      </w:r>
      <w:r>
        <w:rPr>
          <w:rFonts w:hint="eastAsia" w:ascii="宋体" w:hAnsi="宋体" w:cs="宋体"/>
          <w:b/>
          <w:bCs/>
          <w:color w:val="auto"/>
          <w:sz w:val="24"/>
          <w:szCs w:val="24"/>
          <w:highlight w:val="none"/>
        </w:rPr>
        <w:t>)；</w:t>
      </w: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snapToGrid w:val="0"/>
        <w:spacing w:before="120" w:beforeLines="50"/>
        <w:jc w:val="center"/>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pStyle w:val="2"/>
        <w:ind w:left="560" w:firstLine="482"/>
        <w:rPr>
          <w:rFonts w:hint="eastAsia" w:ascii="宋体" w:hAnsi="宋体" w:cs="宋体"/>
          <w:b/>
          <w:bCs/>
          <w:color w:val="auto"/>
          <w:sz w:val="24"/>
          <w:highlight w:val="none"/>
        </w:rPr>
      </w:pPr>
    </w:p>
    <w:p>
      <w:pPr>
        <w:snapToGrid w:val="0"/>
        <w:spacing w:before="120" w:beforeLines="50" w:after="50"/>
        <w:rPr>
          <w:rFonts w:hint="eastAsia" w:ascii="宋体" w:hAnsi="宋体" w:cs="宋体"/>
          <w:b/>
          <w:color w:val="auto"/>
          <w:sz w:val="24"/>
          <w:highlight w:val="none"/>
        </w:rPr>
      </w:pPr>
      <w:r>
        <w:rPr>
          <w:rFonts w:hint="eastAsia" w:ascii="宋体" w:hAnsi="宋体" w:cs="宋体"/>
          <w:b/>
          <w:bCs/>
          <w:color w:val="auto"/>
          <w:sz w:val="24"/>
          <w:highlight w:val="none"/>
        </w:rPr>
        <w:t>二、技术、商务、资信及其他文件外包装封面格式</w:t>
      </w:r>
    </w:p>
    <w:p>
      <w:pPr>
        <w:snapToGrid w:val="0"/>
        <w:spacing w:before="120" w:beforeLines="50" w:after="50"/>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before="120" w:beforeLines="50" w:after="50"/>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正本/或副本</w:t>
      </w:r>
    </w:p>
    <w:p>
      <w:pPr>
        <w:snapToGrid w:val="0"/>
        <w:spacing w:before="120"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技术、商务、资信及其他文件</w:t>
      </w:r>
    </w:p>
    <w:p>
      <w:pPr>
        <w:snapToGrid w:val="0"/>
        <w:spacing w:before="120" w:beforeLines="50" w:after="50"/>
        <w:rPr>
          <w:rFonts w:hint="eastAsia" w:ascii="宋体" w:hAnsi="宋体" w:cs="宋体"/>
          <w:bCs/>
          <w:color w:val="auto"/>
          <w:sz w:val="24"/>
          <w:highlight w:val="none"/>
        </w:rPr>
      </w:pP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项目名称：</w:t>
      </w:r>
      <w:r>
        <w:rPr>
          <w:rFonts w:hint="eastAsia"/>
          <w:color w:val="auto"/>
          <w:sz w:val="24"/>
          <w:highlight w:val="none"/>
          <w:lang w:eastAsia="zh-CN"/>
        </w:rPr>
        <w:t xml:space="preserve">南浔镇雪亮工程视频监控服务项目二期  </w:t>
      </w:r>
      <w:r>
        <w:rPr>
          <w:rFonts w:hint="eastAsia"/>
          <w:color w:val="auto"/>
          <w:highlight w:val="none"/>
        </w:rPr>
        <w:t xml:space="preserve"> </w:t>
      </w:r>
    </w:p>
    <w:p>
      <w:pPr>
        <w:snapToGrid w:val="0"/>
        <w:spacing w:before="120" w:beforeLines="50" w:after="50"/>
        <w:ind w:firstLine="1068" w:firstLineChars="445"/>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w:t>
      </w:r>
      <w:r>
        <w:rPr>
          <w:rFonts w:hint="eastAsia" w:ascii="宋体" w:hAnsi="宋体" w:cs="宋体"/>
          <w:color w:val="auto"/>
          <w:kern w:val="0"/>
          <w:sz w:val="24"/>
          <w:highlight w:val="none"/>
          <w:lang w:eastAsia="zh-CN"/>
        </w:rPr>
        <w:t xml:space="preserve">浙安采字[2019]-N012 </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供应商名称：</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供应商地址：</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在  年  月  日  时  分之前不得启封</w:t>
      </w:r>
    </w:p>
    <w:p>
      <w:pPr>
        <w:pStyle w:val="15"/>
        <w:snapToGrid w:val="0"/>
        <w:spacing w:before="50" w:after="50"/>
        <w:ind w:firstLine="960" w:firstLineChars="400"/>
        <w:rPr>
          <w:rFonts w:hint="eastAsia" w:ascii="宋体" w:hAnsi="宋体" w:cs="宋体"/>
          <w:bCs/>
          <w:color w:val="auto"/>
          <w:sz w:val="24"/>
          <w:szCs w:val="24"/>
          <w:highlight w:val="none"/>
        </w:rPr>
      </w:pPr>
    </w:p>
    <w:p>
      <w:pPr>
        <w:snapToGrid w:val="0"/>
        <w:spacing w:before="120" w:beforeLines="50" w:after="50"/>
        <w:ind w:firstLine="4080" w:firstLineChars="1700"/>
        <w:rPr>
          <w:rFonts w:hint="eastAsia" w:ascii="宋体" w:hAnsi="宋体" w:cs="宋体"/>
          <w:color w:val="auto"/>
          <w:sz w:val="24"/>
          <w:highlight w:val="none"/>
        </w:rPr>
      </w:pPr>
    </w:p>
    <w:p>
      <w:pPr>
        <w:snapToGrid w:val="0"/>
        <w:spacing w:before="120"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50" w:after="120" w:afterLines="50"/>
        <w:jc w:val="left"/>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560"/>
        <w:rPr>
          <w:rFonts w:hint="eastAsia" w:ascii="宋体" w:hAnsi="宋体" w:cs="宋体"/>
          <w:color w:val="auto"/>
          <w:szCs w:val="28"/>
          <w:highlight w:val="none"/>
        </w:rPr>
      </w:pPr>
    </w:p>
    <w:p>
      <w:pPr>
        <w:pStyle w:val="2"/>
        <w:ind w:left="0" w:leftChars="0" w:firstLine="0" w:firstLineChars="0"/>
        <w:rPr>
          <w:rFonts w:hint="eastAsia" w:ascii="宋体" w:hAnsi="宋体" w:cs="宋体"/>
          <w:color w:val="auto"/>
          <w:szCs w:val="28"/>
          <w:highlight w:val="none"/>
        </w:rPr>
      </w:pPr>
    </w:p>
    <w:p>
      <w:pPr>
        <w:pStyle w:val="38"/>
        <w:spacing w:line="360" w:lineRule="exact"/>
        <w:ind w:left="56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2.1技术文件目录</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（1）评分索引表（格式见附件，主要用于评标对应评分内容，包括技术、商务、资信及其他部分），请根据评标办法及相关内容进行编制；</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）对本项目系统总体要求的理解。包括：功能说明、性能指标及设备选型说明（质量、性能、外观、体积等方面进行比较和选择的理由和过程）；</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）产品质量性能；</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）项目实施方案及保障措施；</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）质量保障措施；</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）技术响应表；</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）产品配置清单（均不含报价）；</w:t>
      </w:r>
    </w:p>
    <w:p>
      <w:pPr>
        <w:pStyle w:val="3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认为要提交的其他内容。</w:t>
      </w:r>
    </w:p>
    <w:p>
      <w:pPr>
        <w:pStyle w:val="38"/>
        <w:spacing w:line="500" w:lineRule="exact"/>
        <w:ind w:left="560"/>
        <w:rPr>
          <w:rFonts w:ascii="宋体" w:hAnsi="宋体"/>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500" w:lineRule="exact"/>
        <w:ind w:left="560"/>
        <w:rPr>
          <w:rFonts w:hint="eastAsia" w:ascii="宋体" w:hAnsi="宋体" w:cs="宋体"/>
          <w:bCs/>
          <w:color w:val="auto"/>
          <w:sz w:val="24"/>
          <w:szCs w:val="24"/>
          <w:highlight w:val="none"/>
        </w:rPr>
      </w:pPr>
    </w:p>
    <w:p>
      <w:pPr>
        <w:pStyle w:val="38"/>
        <w:spacing w:line="360" w:lineRule="exact"/>
        <w:ind w:left="560"/>
        <w:rPr>
          <w:rFonts w:hint="eastAsia" w:ascii="宋体" w:hAnsi="宋体" w:cs="宋体"/>
          <w:bCs/>
          <w:color w:val="auto"/>
          <w:sz w:val="22"/>
          <w:szCs w:val="22"/>
          <w:highlight w:val="none"/>
        </w:rPr>
      </w:pPr>
    </w:p>
    <w:p>
      <w:pPr>
        <w:pStyle w:val="38"/>
        <w:spacing w:line="360" w:lineRule="exact"/>
        <w:ind w:left="560"/>
        <w:rPr>
          <w:rFonts w:hint="eastAsia" w:ascii="宋体" w:hAnsi="宋体" w:cs="宋体"/>
          <w:bCs/>
          <w:color w:val="auto"/>
          <w:sz w:val="22"/>
          <w:szCs w:val="22"/>
          <w:highlight w:val="none"/>
        </w:rPr>
      </w:pPr>
    </w:p>
    <w:p>
      <w:pPr>
        <w:snapToGrid w:val="0"/>
        <w:spacing w:before="120" w:beforeLines="50"/>
        <w:jc w:val="center"/>
        <w:rPr>
          <w:rFonts w:hint="eastAsia" w:ascii="宋体" w:hAnsi="宋体"/>
          <w:b/>
          <w:bCs/>
          <w:color w:val="auto"/>
          <w:sz w:val="24"/>
          <w:highlight w:val="none"/>
        </w:rPr>
      </w:pPr>
      <w:r>
        <w:rPr>
          <w:rFonts w:hint="eastAsia" w:ascii="宋体" w:hAnsi="宋体" w:cs="宋体"/>
          <w:b/>
          <w:bCs/>
          <w:color w:val="auto"/>
          <w:sz w:val="24"/>
          <w:highlight w:val="none"/>
        </w:rPr>
        <w:t>一、 评分索引表（格式见附件，主要用于评标对应评分内容，包括技术、商务、资信及其他部分）</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40"/>
        <w:gridCol w:w="2865"/>
        <w:gridCol w:w="120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评分项目</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投标文件对应资料</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自评分</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对应第四章评分办法及评分标准</w:t>
            </w:r>
          </w:p>
          <w:p>
            <w:pPr>
              <w:snapToGrid w:val="0"/>
              <w:rPr>
                <w:rFonts w:hint="eastAsia" w:ascii="宋体" w:hAnsi="宋体" w:cs="宋体"/>
                <w:color w:val="auto"/>
                <w:sz w:val="24"/>
                <w:highlight w:val="none"/>
              </w:rPr>
            </w:pPr>
            <w:r>
              <w:rPr>
                <w:rFonts w:hint="eastAsia" w:ascii="宋体" w:hAnsi="宋体" w:cs="宋体"/>
                <w:color w:val="auto"/>
                <w:sz w:val="24"/>
                <w:highlight w:val="none"/>
              </w:rPr>
              <w:t>（请按评审内容顺序依次填写，报价除外）</w:t>
            </w: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47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highlight w:val="none"/>
              </w:rPr>
            </w:pPr>
          </w:p>
        </w:tc>
      </w:tr>
    </w:tbl>
    <w:p>
      <w:pPr>
        <w:autoSpaceDE w:val="0"/>
        <w:autoSpaceDN w:val="0"/>
        <w:adjustRightInd w:val="0"/>
        <w:spacing w:line="360" w:lineRule="auto"/>
        <w:rPr>
          <w:rFonts w:hint="eastAsia" w:ascii="宋体" w:hAnsi="宋体"/>
          <w:b/>
          <w:bCs/>
          <w:color w:val="auto"/>
          <w:sz w:val="24"/>
          <w:highlight w:val="none"/>
        </w:rPr>
      </w:pPr>
    </w:p>
    <w:p>
      <w:pPr>
        <w:autoSpaceDE w:val="0"/>
        <w:autoSpaceDN w:val="0"/>
        <w:adjustRightInd w:val="0"/>
        <w:spacing w:line="360" w:lineRule="auto"/>
        <w:rPr>
          <w:rFonts w:hint="eastAsia" w:ascii="宋体" w:hAnsi="宋体"/>
          <w:b/>
          <w:bCs/>
          <w:color w:val="auto"/>
          <w:sz w:val="24"/>
          <w:highlight w:val="none"/>
        </w:rPr>
      </w:pPr>
    </w:p>
    <w:p>
      <w:pPr>
        <w:snapToGrid w:val="0"/>
        <w:spacing w:before="50" w:after="50"/>
        <w:rPr>
          <w:rFonts w:ascii="宋体" w:hAnsi="宋体"/>
          <w:color w:val="auto"/>
          <w:spacing w:val="20"/>
          <w:sz w:val="24"/>
          <w:szCs w:val="20"/>
          <w:highlight w:val="none"/>
          <w:u w:val="single"/>
        </w:rPr>
      </w:pPr>
      <w:r>
        <w:rPr>
          <w:rFonts w:hint="eastAsia" w:ascii="宋体" w:hAnsi="宋体"/>
          <w:color w:val="auto"/>
          <w:spacing w:val="20"/>
          <w:sz w:val="24"/>
          <w:highlight w:val="none"/>
        </w:rPr>
        <w:t>法定代表人或授权人签名：</w:t>
      </w:r>
      <w:r>
        <w:rPr>
          <w:rFonts w:ascii="宋体" w:hAnsi="宋体"/>
          <w:color w:val="auto"/>
          <w:spacing w:val="20"/>
          <w:sz w:val="24"/>
          <w:highlight w:val="none"/>
          <w:u w:val="single"/>
        </w:rPr>
        <w:t xml:space="preserve">            </w:t>
      </w:r>
    </w:p>
    <w:p>
      <w:pPr>
        <w:snapToGrid w:val="0"/>
        <w:spacing w:before="120" w:beforeLines="50" w:after="50"/>
        <w:rPr>
          <w:rFonts w:ascii="宋体" w:hAnsi="宋体"/>
          <w:color w:val="auto"/>
          <w:spacing w:val="20"/>
          <w:sz w:val="24"/>
          <w:highlight w:val="none"/>
        </w:rPr>
      </w:pPr>
      <w:r>
        <w:rPr>
          <w:rFonts w:hint="eastAsia" w:ascii="宋体" w:hAnsi="宋体"/>
          <w:color w:val="auto"/>
          <w:spacing w:val="20"/>
          <w:sz w:val="24"/>
          <w:highlight w:val="none"/>
        </w:rPr>
        <w:t>供应商盖章：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p>
    <w:p>
      <w:pPr>
        <w:snapToGrid w:val="0"/>
        <w:spacing w:before="120" w:beforeLines="50" w:after="50"/>
        <w:rPr>
          <w:rFonts w:hint="eastAsia" w:ascii="宋体" w:hAnsi="宋体"/>
          <w:b/>
          <w:bCs/>
          <w:color w:val="auto"/>
          <w:sz w:val="30"/>
          <w:szCs w:val="30"/>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rPr>
          <w:rFonts w:hint="eastAsia" w:ascii="宋体" w:hAnsi="宋体" w:cs="宋体"/>
          <w:b/>
          <w:color w:val="auto"/>
          <w:sz w:val="28"/>
          <w:szCs w:val="28"/>
          <w:highlight w:val="none"/>
        </w:rPr>
      </w:pPr>
    </w:p>
    <w:p>
      <w:pPr>
        <w:pStyle w:val="15"/>
        <w:spacing w:line="700" w:lineRule="exact"/>
        <w:ind w:firstLine="0"/>
        <w:rPr>
          <w:rFonts w:hint="eastAsia" w:ascii="宋体" w:hAnsi="宋体" w:cs="宋体"/>
          <w:b/>
          <w:color w:val="auto"/>
          <w:sz w:val="28"/>
          <w:szCs w:val="28"/>
          <w:highlight w:val="none"/>
        </w:rPr>
      </w:pPr>
    </w:p>
    <w:p>
      <w:pPr>
        <w:snapToGrid w:val="0"/>
        <w:spacing w:before="50" w:after="120" w:afterLines="50"/>
        <w:rPr>
          <w:rFonts w:hint="eastAsia" w:ascii="宋体" w:hAnsi="宋体"/>
          <w:b/>
          <w:color w:val="auto"/>
          <w:sz w:val="24"/>
          <w:highlight w:val="none"/>
        </w:rPr>
      </w:pPr>
      <w:r>
        <w:rPr>
          <w:rFonts w:hint="eastAsia" w:ascii="宋体" w:hAnsi="宋体"/>
          <w:b/>
          <w:color w:val="auto"/>
          <w:sz w:val="24"/>
          <w:highlight w:val="none"/>
          <w:lang w:eastAsia="zh-CN"/>
        </w:rPr>
        <w:t>二</w:t>
      </w:r>
      <w:r>
        <w:rPr>
          <w:rFonts w:hint="eastAsia" w:ascii="宋体" w:hAnsi="宋体"/>
          <w:b/>
          <w:color w:val="auto"/>
          <w:sz w:val="24"/>
          <w:highlight w:val="none"/>
        </w:rPr>
        <w:t>、对本项目系统总体要求的理解。包括：功能说明、性能指标及设备选型说明（质量、性能、外观、体积等方面进行比较和选择的理由和过程）；</w:t>
      </w:r>
    </w:p>
    <w:p>
      <w:pPr>
        <w:snapToGrid w:val="0"/>
        <w:spacing w:before="50" w:after="120" w:afterLines="50"/>
        <w:rPr>
          <w:rFonts w:hint="eastAsia" w:ascii="宋体" w:hAnsi="宋体"/>
          <w:b/>
          <w:color w:val="auto"/>
          <w:sz w:val="24"/>
          <w:highlight w:val="none"/>
        </w:rPr>
      </w:pPr>
      <w:r>
        <w:rPr>
          <w:rFonts w:hint="eastAsia" w:ascii="宋体" w:hAnsi="宋体"/>
          <w:b/>
          <w:color w:val="auto"/>
          <w:sz w:val="24"/>
          <w:highlight w:val="none"/>
          <w:lang w:eastAsia="zh-CN"/>
        </w:rPr>
        <w:t>三</w:t>
      </w:r>
      <w:r>
        <w:rPr>
          <w:rFonts w:hint="eastAsia" w:ascii="宋体" w:hAnsi="宋体"/>
          <w:b/>
          <w:color w:val="auto"/>
          <w:sz w:val="24"/>
          <w:highlight w:val="none"/>
        </w:rPr>
        <w:t>、产品质量性能；</w:t>
      </w:r>
    </w:p>
    <w:p>
      <w:pPr>
        <w:snapToGrid w:val="0"/>
        <w:spacing w:before="50" w:after="120" w:afterLines="50"/>
        <w:rPr>
          <w:rFonts w:hint="eastAsia" w:ascii="宋体" w:hAnsi="宋体"/>
          <w:b/>
          <w:color w:val="auto"/>
          <w:sz w:val="24"/>
          <w:highlight w:val="none"/>
        </w:rPr>
      </w:pPr>
      <w:r>
        <w:rPr>
          <w:rFonts w:hint="eastAsia" w:ascii="宋体" w:hAnsi="宋体"/>
          <w:b/>
          <w:color w:val="auto"/>
          <w:sz w:val="24"/>
          <w:highlight w:val="none"/>
          <w:lang w:eastAsia="zh-CN"/>
        </w:rPr>
        <w:t>四</w:t>
      </w:r>
      <w:r>
        <w:rPr>
          <w:rFonts w:hint="eastAsia" w:ascii="宋体" w:hAnsi="宋体"/>
          <w:b/>
          <w:color w:val="auto"/>
          <w:sz w:val="24"/>
          <w:highlight w:val="none"/>
        </w:rPr>
        <w:t>、项目实施方案及保障措施；</w:t>
      </w:r>
    </w:p>
    <w:p>
      <w:pPr>
        <w:snapToGrid w:val="0"/>
        <w:spacing w:before="50" w:after="120" w:afterLines="50"/>
        <w:rPr>
          <w:rFonts w:hint="eastAsia" w:ascii="宋体" w:hAnsi="宋体"/>
          <w:b/>
          <w:color w:val="auto"/>
          <w:sz w:val="24"/>
          <w:highlight w:val="none"/>
        </w:rPr>
      </w:pPr>
      <w:r>
        <w:rPr>
          <w:rFonts w:hint="eastAsia" w:ascii="宋体" w:hAnsi="宋体"/>
          <w:b/>
          <w:color w:val="auto"/>
          <w:sz w:val="24"/>
          <w:highlight w:val="none"/>
          <w:lang w:eastAsia="zh-CN"/>
        </w:rPr>
        <w:t>五</w:t>
      </w:r>
      <w:r>
        <w:rPr>
          <w:rFonts w:hint="eastAsia" w:ascii="宋体" w:hAnsi="宋体"/>
          <w:b/>
          <w:color w:val="auto"/>
          <w:sz w:val="24"/>
          <w:highlight w:val="none"/>
        </w:rPr>
        <w:t>、质量保障措施；</w:t>
      </w:r>
    </w:p>
    <w:p>
      <w:pPr>
        <w:snapToGrid w:val="0"/>
        <w:spacing w:before="50" w:after="120" w:afterLines="50"/>
        <w:rPr>
          <w:rFonts w:hint="eastAsia" w:ascii="宋体" w:hAnsi="宋体"/>
          <w:b/>
          <w:color w:val="auto"/>
          <w:sz w:val="24"/>
          <w:highlight w:val="none"/>
        </w:rPr>
      </w:pPr>
      <w:r>
        <w:rPr>
          <w:rFonts w:hint="eastAsia" w:ascii="宋体" w:hAnsi="宋体"/>
          <w:b/>
          <w:color w:val="auto"/>
          <w:sz w:val="24"/>
          <w:highlight w:val="none"/>
          <w:lang w:eastAsia="zh-CN"/>
        </w:rPr>
        <w:t>六</w:t>
      </w:r>
      <w:r>
        <w:rPr>
          <w:rFonts w:hint="eastAsia" w:ascii="宋体" w:hAnsi="宋体"/>
          <w:b/>
          <w:color w:val="auto"/>
          <w:sz w:val="24"/>
          <w:highlight w:val="none"/>
        </w:rPr>
        <w:t>、技术响应表</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732"/>
        <w:gridCol w:w="2402"/>
        <w:gridCol w:w="2010"/>
        <w:gridCol w:w="1838"/>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3976" w:type="dxa"/>
            <w:gridSpan w:val="3"/>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jc w:val="center"/>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招标文件要求</w:t>
            </w:r>
          </w:p>
        </w:tc>
        <w:tc>
          <w:tcPr>
            <w:tcW w:w="3848" w:type="dxa"/>
            <w:gridSpan w:val="2"/>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jc w:val="center"/>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投标文件响应</w:t>
            </w:r>
          </w:p>
        </w:tc>
        <w:tc>
          <w:tcPr>
            <w:tcW w:w="1440" w:type="dxa"/>
            <w:vMerge w:val="restart"/>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1574" w:type="dxa"/>
            <w:gridSpan w:val="2"/>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jc w:val="center"/>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项目</w:t>
            </w: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jc w:val="center"/>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要求</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jc w:val="center"/>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设备名称</w:t>
            </w: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jc w:val="center"/>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性能及指标</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beforeLines="0" w:after="295" w:afterLines="0" w:line="240" w:lineRule="auto"/>
              <w:outlineLvl w:val="0"/>
              <w:rPr>
                <w:rFonts w:hint="eastAsia" w:ascii="新宋体" w:hAnsi="新宋体" w:eastAsia="新宋体"/>
                <w:color w:val="auto"/>
                <w:highlight w:val="none"/>
              </w:rPr>
            </w:pPr>
            <w:r>
              <w:rPr>
                <w:rFonts w:hint="eastAsia" w:ascii="新宋体" w:hAnsi="新宋体" w:eastAsia="新宋体"/>
                <w:color w:val="auto"/>
                <w:highlight w:val="none"/>
              </w:rPr>
              <w:t>一、</w:t>
            </w:r>
          </w:p>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highlight w:val="none"/>
              </w:rPr>
              <w:t>性能及技术指标</w:t>
            </w: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主要技术指标</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新宋体" w:hAnsi="新宋体" w:eastAsia="新宋体"/>
                <w:color w:val="auto"/>
                <w:sz w:val="24"/>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新宋体" w:hAnsi="新宋体" w:eastAsia="新宋体"/>
                <w:color w:val="auto"/>
                <w:sz w:val="24"/>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beforeLines="0" w:after="295" w:afterLines="0" w:line="240" w:lineRule="auto"/>
              <w:rPr>
                <w:rFonts w:hint="eastAsia" w:ascii="新宋体" w:hAnsi="新宋体" w:eastAsia="新宋体"/>
                <w:color w:val="auto"/>
                <w:szCs w:val="21"/>
                <w:highlight w:val="none"/>
              </w:rPr>
            </w:pPr>
            <w:r>
              <w:rPr>
                <w:rFonts w:hint="eastAsia" w:ascii="新宋体" w:hAnsi="新宋体" w:eastAsia="新宋体"/>
                <w:color w:val="auto"/>
                <w:szCs w:val="21"/>
                <w:highlight w:val="none"/>
              </w:rPr>
              <w:t>2、</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新宋体" w:hAnsi="新宋体" w:eastAsia="新宋体"/>
                <w:color w:val="auto"/>
                <w:sz w:val="24"/>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新宋体" w:hAnsi="新宋体" w:eastAsia="新宋体"/>
                <w:color w:val="auto"/>
                <w:sz w:val="24"/>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beforeLines="0" w:after="295" w:afterLines="0" w:line="240" w:lineRule="auto"/>
              <w:outlineLvl w:val="0"/>
              <w:rPr>
                <w:rFonts w:hint="eastAsia" w:ascii="新宋体" w:hAnsi="新宋体" w:eastAsia="新宋体"/>
                <w:color w:val="auto"/>
                <w:highlight w:val="none"/>
              </w:rPr>
            </w:pPr>
            <w:r>
              <w:rPr>
                <w:rFonts w:hint="eastAsia" w:ascii="新宋体" w:hAnsi="新宋体" w:eastAsia="新宋体"/>
                <w:color w:val="auto"/>
                <w:highlight w:val="none"/>
              </w:rPr>
              <w:t>3、</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rPr>
                <w:rFonts w:hint="eastAsia" w:ascii="新宋体" w:hAnsi="新宋体" w:eastAsia="新宋体"/>
                <w:color w:val="auto"/>
                <w:szCs w:val="21"/>
                <w:highlight w:val="none"/>
              </w:rPr>
            </w:pPr>
            <w:r>
              <w:rPr>
                <w:rFonts w:hint="eastAsia" w:ascii="新宋体" w:hAnsi="新宋体" w:eastAsia="新宋体"/>
                <w:color w:val="auto"/>
                <w:szCs w:val="21"/>
                <w:highlight w:val="none"/>
              </w:rPr>
              <w:t>N</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732" w:type="dxa"/>
            <w:vMerge w:val="restart"/>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次要指标</w:t>
            </w: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新宋体" w:hAnsi="新宋体" w:eastAsia="新宋体"/>
                <w:color w:val="auto"/>
                <w:sz w:val="24"/>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新宋体" w:hAnsi="新宋体" w:eastAsia="新宋体"/>
                <w:color w:val="auto"/>
                <w:sz w:val="24"/>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57" w:hRule="exact"/>
        </w:trPr>
        <w:tc>
          <w:tcPr>
            <w:tcW w:w="1574" w:type="dxa"/>
            <w:gridSpan w:val="2"/>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highlight w:val="none"/>
              </w:rPr>
              <w:t>二</w:t>
            </w:r>
            <w:r>
              <w:rPr>
                <w:rFonts w:hint="eastAsia" w:ascii="新宋体" w:hAnsi="新宋体" w:eastAsia="新宋体"/>
                <w:color w:val="auto"/>
                <w:szCs w:val="21"/>
                <w:highlight w:val="none"/>
              </w:rPr>
              <w:t>、质量标准</w:t>
            </w: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（国家标准、行业标准、地区标准等）</w:t>
            </w: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exact"/>
        </w:trPr>
        <w:tc>
          <w:tcPr>
            <w:tcW w:w="1574" w:type="dxa"/>
            <w:gridSpan w:val="2"/>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szCs w:val="21"/>
                <w:highlight w:val="none"/>
              </w:rPr>
            </w:pPr>
            <w:r>
              <w:rPr>
                <w:rFonts w:hint="eastAsia" w:ascii="新宋体" w:hAnsi="新宋体" w:eastAsia="新宋体"/>
                <w:color w:val="auto"/>
                <w:szCs w:val="21"/>
                <w:highlight w:val="none"/>
              </w:rPr>
              <w:t>...</w:t>
            </w:r>
          </w:p>
        </w:tc>
        <w:tc>
          <w:tcPr>
            <w:tcW w:w="2402"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295" w:beforeLines="0" w:after="295" w:afterLines="0" w:line="240" w:lineRule="auto"/>
              <w:outlineLvl w:val="0"/>
              <w:rPr>
                <w:rFonts w:hint="eastAsia" w:ascii="新宋体" w:hAnsi="新宋体" w:eastAsia="新宋体"/>
                <w:color w:val="auto"/>
                <w:highlight w:val="none"/>
              </w:rPr>
            </w:pPr>
          </w:p>
        </w:tc>
      </w:tr>
    </w:tbl>
    <w:p>
      <w:pPr>
        <w:rPr>
          <w:rFonts w:hint="eastAsia" w:ascii="宋体" w:hAnsi="宋体"/>
          <w:b/>
          <w:bCs/>
          <w:color w:val="auto"/>
          <w:sz w:val="32"/>
          <w:highlight w:val="none"/>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应根据投标设备的性能指标、对照招标文件要求在“偏离情况”栏注明“正偏离”、“负偏离”或“无偏离”。</w:t>
      </w:r>
    </w:p>
    <w:p>
      <w:pPr>
        <w:snapToGrid w:val="0"/>
        <w:spacing w:before="120" w:beforeLines="50"/>
        <w:rPr>
          <w:rFonts w:ascii="宋体" w:hAnsi="宋体"/>
          <w:color w:val="auto"/>
          <w:sz w:val="24"/>
          <w:szCs w:val="20"/>
          <w:highlight w:val="none"/>
          <w:u w:val="single"/>
        </w:rPr>
      </w:pPr>
      <w:r>
        <w:rPr>
          <w:rFonts w:hint="eastAsia" w:ascii="宋体" w:hAnsi="宋体"/>
          <w:color w:val="auto"/>
          <w:sz w:val="24"/>
          <w:highlight w:val="none"/>
        </w:rPr>
        <w:t>法定代表人或授权代表签字：</w:t>
      </w:r>
      <w:r>
        <w:rPr>
          <w:rFonts w:ascii="宋体" w:hAnsi="宋体"/>
          <w:color w:val="auto"/>
          <w:sz w:val="24"/>
          <w:highlight w:val="none"/>
          <w:u w:val="single"/>
        </w:rPr>
        <w:t xml:space="preserve">             </w:t>
      </w:r>
    </w:p>
    <w:p>
      <w:pPr>
        <w:snapToGrid w:val="0"/>
        <w:spacing w:before="120" w:beforeLines="50" w:after="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公章：</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before="120" w:beforeLines="50" w:after="50"/>
        <w:ind w:firstLine="6240" w:firstLineChars="2600"/>
        <w:rPr>
          <w:rFonts w:hint="eastAsia" w:ascii="宋体" w:hAnsi="宋体"/>
          <w:b/>
          <w:color w:val="auto"/>
          <w:sz w:val="24"/>
          <w:highlight w:val="none"/>
        </w:rPr>
      </w:pPr>
      <w:r>
        <w:rPr>
          <w:rFonts w:ascii="宋体" w:hAnsi="宋体"/>
          <w:color w:val="auto"/>
          <w:sz w:val="24"/>
          <w:highlight w:val="none"/>
        </w:rPr>
        <w:t>年    月    日</w:t>
      </w:r>
    </w:p>
    <w:p>
      <w:pPr>
        <w:snapToGrid w:val="0"/>
        <w:spacing w:before="50" w:after="120" w:afterLines="50"/>
        <w:rPr>
          <w:rFonts w:hint="eastAsia" w:ascii="宋体" w:hAnsi="宋体"/>
          <w:b/>
          <w:color w:val="auto"/>
          <w:sz w:val="24"/>
          <w:highlight w:val="none"/>
        </w:rPr>
      </w:pPr>
    </w:p>
    <w:p>
      <w:pPr>
        <w:snapToGrid w:val="0"/>
        <w:spacing w:before="50" w:after="120" w:afterLines="50"/>
        <w:rPr>
          <w:rFonts w:hint="eastAsia" w:ascii="宋体" w:hAnsi="宋体"/>
          <w:b/>
          <w:color w:val="auto"/>
          <w:sz w:val="24"/>
          <w:highlight w:val="none"/>
        </w:rPr>
      </w:pPr>
    </w:p>
    <w:p>
      <w:pPr>
        <w:snapToGrid w:val="0"/>
        <w:spacing w:before="50" w:after="120" w:afterLines="50"/>
        <w:jc w:val="center"/>
        <w:rPr>
          <w:rFonts w:hint="eastAsia" w:ascii="宋体" w:hAnsi="宋体"/>
          <w:b/>
          <w:color w:val="auto"/>
          <w:sz w:val="24"/>
          <w:highlight w:val="none"/>
        </w:rPr>
      </w:pPr>
      <w:r>
        <w:rPr>
          <w:rFonts w:hint="eastAsia" w:ascii="宋体" w:hAnsi="宋体"/>
          <w:b/>
          <w:color w:val="auto"/>
          <w:sz w:val="24"/>
          <w:highlight w:val="none"/>
          <w:lang w:eastAsia="zh-CN"/>
        </w:rPr>
        <w:t>七</w:t>
      </w:r>
      <w:r>
        <w:rPr>
          <w:rFonts w:hint="eastAsia" w:ascii="宋体" w:hAnsi="宋体"/>
          <w:b/>
          <w:color w:val="auto"/>
          <w:sz w:val="24"/>
          <w:highlight w:val="none"/>
        </w:rPr>
        <w:t>、产品配置清单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17"/>
        <w:gridCol w:w="1217"/>
        <w:gridCol w:w="1217"/>
        <w:gridCol w:w="1494"/>
        <w:gridCol w:w="157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6" w:hRule="atLeast"/>
          <w:jc w:val="center"/>
        </w:trPr>
        <w:tc>
          <w:tcPr>
            <w:tcW w:w="843" w:type="dxa"/>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序号</w:t>
            </w:r>
          </w:p>
        </w:tc>
        <w:tc>
          <w:tcPr>
            <w:tcW w:w="1217" w:type="dxa"/>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产品名称</w:t>
            </w:r>
          </w:p>
        </w:tc>
        <w:tc>
          <w:tcPr>
            <w:tcW w:w="1217" w:type="dxa"/>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品牌</w:t>
            </w:r>
          </w:p>
        </w:tc>
        <w:tc>
          <w:tcPr>
            <w:tcW w:w="1217" w:type="dxa"/>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494" w:type="dxa"/>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单位及数量</w:t>
            </w:r>
          </w:p>
        </w:tc>
        <w:tc>
          <w:tcPr>
            <w:tcW w:w="1575" w:type="dxa"/>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性能及指标</w:t>
            </w:r>
          </w:p>
        </w:tc>
        <w:tc>
          <w:tcPr>
            <w:tcW w:w="1218" w:type="dxa"/>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217" w:type="dxa"/>
            <w:noWrap w:val="0"/>
            <w:vAlign w:val="top"/>
          </w:tcPr>
          <w:p>
            <w:pPr>
              <w:snapToGrid w:val="0"/>
              <w:spacing w:before="120" w:beforeLines="50" w:line="600" w:lineRule="atLeast"/>
              <w:rPr>
                <w:rFonts w:hint="eastAsia" w:ascii="宋体" w:hAnsi="宋体"/>
                <w:color w:val="auto"/>
                <w:sz w:val="24"/>
                <w:highlight w:val="none"/>
              </w:rPr>
            </w:pPr>
          </w:p>
        </w:tc>
        <w:tc>
          <w:tcPr>
            <w:tcW w:w="1494" w:type="dxa"/>
            <w:noWrap w:val="0"/>
            <w:vAlign w:val="top"/>
          </w:tcPr>
          <w:p>
            <w:pPr>
              <w:snapToGrid w:val="0"/>
              <w:spacing w:before="120" w:beforeLines="50" w:line="600" w:lineRule="atLeast"/>
              <w:rPr>
                <w:rFonts w:hint="eastAsia" w:ascii="宋体" w:hAnsi="宋体"/>
                <w:color w:val="auto"/>
                <w:sz w:val="24"/>
                <w:highlight w:val="none"/>
              </w:rPr>
            </w:pPr>
          </w:p>
        </w:tc>
        <w:tc>
          <w:tcPr>
            <w:tcW w:w="1575" w:type="dxa"/>
            <w:noWrap w:val="0"/>
            <w:vAlign w:val="top"/>
          </w:tcPr>
          <w:p>
            <w:pPr>
              <w:snapToGrid w:val="0"/>
              <w:spacing w:before="120" w:beforeLines="50" w:line="600" w:lineRule="atLeast"/>
              <w:rPr>
                <w:rFonts w:hint="eastAsia" w:ascii="宋体" w:hAnsi="宋体"/>
                <w:color w:val="auto"/>
                <w:sz w:val="24"/>
                <w:highlight w:val="none"/>
              </w:rPr>
            </w:pPr>
          </w:p>
        </w:tc>
        <w:tc>
          <w:tcPr>
            <w:tcW w:w="1218" w:type="dxa"/>
            <w:noWrap w:val="0"/>
            <w:vAlign w:val="top"/>
          </w:tcPr>
          <w:p>
            <w:pPr>
              <w:snapToGrid w:val="0"/>
              <w:spacing w:before="120" w:beforeLines="50" w:line="600" w:lineRule="atLeast"/>
              <w:rPr>
                <w:rFonts w:hint="eastAsia" w:ascii="宋体" w:hAnsi="宋体"/>
                <w:color w:val="auto"/>
                <w:sz w:val="24"/>
                <w:highlight w:val="none"/>
              </w:rPr>
            </w:pPr>
          </w:p>
        </w:tc>
      </w:tr>
    </w:tbl>
    <w:p>
      <w:pPr>
        <w:snapToGrid w:val="0"/>
        <w:spacing w:before="120" w:beforeLines="50"/>
        <w:rPr>
          <w:rFonts w:hint="eastAsia" w:ascii="宋体" w:hAnsi="宋体"/>
          <w:color w:val="auto"/>
          <w:sz w:val="24"/>
          <w:highlight w:val="none"/>
        </w:rPr>
      </w:pPr>
    </w:p>
    <w:p>
      <w:pPr>
        <w:snapToGrid w:val="0"/>
        <w:spacing w:before="120" w:beforeLines="50"/>
        <w:rPr>
          <w:rFonts w:hint="eastAsia" w:ascii="宋体" w:hAnsi="宋体"/>
          <w:color w:val="auto"/>
          <w:sz w:val="24"/>
          <w:highlight w:val="none"/>
        </w:rPr>
      </w:pPr>
    </w:p>
    <w:p>
      <w:pPr>
        <w:snapToGrid w:val="0"/>
        <w:spacing w:before="120" w:beforeLines="50"/>
        <w:rPr>
          <w:rFonts w:ascii="宋体" w:hAnsi="宋体"/>
          <w:color w:val="auto"/>
          <w:sz w:val="24"/>
          <w:szCs w:val="20"/>
          <w:highlight w:val="none"/>
          <w:u w:val="single"/>
        </w:rPr>
      </w:pPr>
      <w:r>
        <w:rPr>
          <w:rFonts w:hint="eastAsia" w:ascii="宋体" w:hAnsi="宋体"/>
          <w:color w:val="auto"/>
          <w:sz w:val="24"/>
          <w:highlight w:val="none"/>
        </w:rPr>
        <w:t>法定代表人或授权代表签字：</w:t>
      </w:r>
      <w:r>
        <w:rPr>
          <w:rFonts w:ascii="宋体" w:hAnsi="宋体"/>
          <w:color w:val="auto"/>
          <w:sz w:val="24"/>
          <w:highlight w:val="none"/>
          <w:u w:val="single"/>
        </w:rPr>
        <w:t xml:space="preserve">             </w:t>
      </w:r>
    </w:p>
    <w:p>
      <w:pPr>
        <w:snapToGrid w:val="0"/>
        <w:spacing w:before="120" w:beforeLines="50" w:after="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公章：</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before="120" w:beforeLines="50" w:after="50"/>
        <w:ind w:firstLine="6240" w:firstLineChars="2600"/>
        <w:rPr>
          <w:rFonts w:hint="eastAsia" w:ascii="宋体" w:hAnsi="宋体"/>
          <w:color w:val="auto"/>
          <w:sz w:val="24"/>
          <w:highlight w:val="none"/>
        </w:rPr>
      </w:pPr>
    </w:p>
    <w:p>
      <w:pPr>
        <w:snapToGrid w:val="0"/>
        <w:spacing w:before="50" w:after="120" w:afterLines="50"/>
        <w:jc w:val="center"/>
        <w:rPr>
          <w:rFonts w:hint="eastAsia" w:ascii="宋体" w:hAnsi="宋体"/>
          <w:b/>
          <w:color w:val="auto"/>
          <w:sz w:val="24"/>
          <w:highlight w:val="none"/>
        </w:rPr>
      </w:pPr>
      <w:r>
        <w:rPr>
          <w:rFonts w:ascii="宋体" w:hAnsi="宋体"/>
          <w:color w:val="auto"/>
          <w:sz w:val="24"/>
          <w:highlight w:val="none"/>
        </w:rPr>
        <w:t>年    月    日</w:t>
      </w:r>
    </w:p>
    <w:p>
      <w:pPr>
        <w:snapToGrid w:val="0"/>
        <w:spacing w:before="50" w:after="120" w:afterLines="50"/>
        <w:jc w:val="center"/>
        <w:rPr>
          <w:rFonts w:hint="eastAsia" w:ascii="宋体" w:hAnsi="宋体"/>
          <w:b/>
          <w:color w:val="auto"/>
          <w:sz w:val="24"/>
          <w:highlight w:val="none"/>
        </w:rPr>
      </w:pPr>
    </w:p>
    <w:p>
      <w:pP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w:t>
      </w:r>
      <w:r>
        <w:rPr>
          <w:rFonts w:hint="eastAsia" w:ascii="宋体" w:hAnsi="宋体"/>
          <w:b/>
          <w:color w:val="auto"/>
          <w:sz w:val="24"/>
          <w:highlight w:val="none"/>
          <w:lang w:eastAsia="zh-CN"/>
        </w:rPr>
        <w:t>供应商</w:t>
      </w:r>
      <w:r>
        <w:rPr>
          <w:rFonts w:hint="eastAsia" w:ascii="宋体" w:hAnsi="宋体"/>
          <w:b/>
          <w:color w:val="auto"/>
          <w:sz w:val="24"/>
          <w:highlight w:val="none"/>
        </w:rPr>
        <w:t>认为要提交的其他内容。</w:t>
      </w:r>
    </w:p>
    <w:p>
      <w:pPr>
        <w:snapToGrid w:val="0"/>
        <w:spacing w:line="360" w:lineRule="exact"/>
        <w:ind w:firstLine="482" w:firstLineChars="200"/>
        <w:jc w:val="left"/>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pStyle w:val="2"/>
        <w:rPr>
          <w:rFonts w:hint="eastAsia"/>
          <w:color w:val="auto"/>
          <w:highlight w:val="none"/>
        </w:rPr>
      </w:pPr>
    </w:p>
    <w:p>
      <w:pPr>
        <w:snapToGrid w:val="0"/>
        <w:spacing w:line="3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2.2商务、资信及其他文件目录</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（1）售后服务承诺；质量保证期内售后服务承诺、质量保证期外售后服务承诺说明。其中必须包含故障响应时间、到达现场时间、处理故障方式及时间。</w:t>
      </w:r>
      <w:r>
        <w:rPr>
          <w:rFonts w:hint="eastAsia" w:ascii="宋体" w:hAnsi="宋体"/>
          <w:color w:val="auto"/>
          <w:sz w:val="24"/>
          <w:highlight w:val="none"/>
          <w:lang w:eastAsia="zh-CN"/>
        </w:rPr>
        <w:t>供应商</w:t>
      </w:r>
      <w:r>
        <w:rPr>
          <w:rFonts w:hint="eastAsia" w:ascii="宋体" w:hAnsi="宋体"/>
          <w:color w:val="auto"/>
          <w:sz w:val="24"/>
          <w:highlight w:val="none"/>
        </w:rPr>
        <w:t>在投标文件中说明在保质期内提供的服务计划，质保期外服务计划与收费标准；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（2）商务响应表；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（3）优惠条件：</w:t>
      </w:r>
      <w:r>
        <w:rPr>
          <w:rFonts w:hint="eastAsia" w:ascii="宋体" w:hAnsi="宋体"/>
          <w:color w:val="auto"/>
          <w:sz w:val="24"/>
          <w:highlight w:val="none"/>
          <w:lang w:eastAsia="zh-CN"/>
        </w:rPr>
        <w:t>供应商</w:t>
      </w:r>
      <w:r>
        <w:rPr>
          <w:rFonts w:hint="eastAsia" w:ascii="宋体" w:hAnsi="宋体"/>
          <w:color w:val="auto"/>
          <w:sz w:val="24"/>
          <w:highlight w:val="none"/>
        </w:rPr>
        <w:t>承诺的各种优惠条件，包括售后服务、备品备件、专用耗材等方面的优惠；</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（4）企业业绩（以2013年1月1日至今同类项目业绩证明为准，须提供合同复印件加盖公章）</w:t>
      </w:r>
    </w:p>
    <w:p>
      <w:pPr>
        <w:pStyle w:val="38"/>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）供应商如属于中小企业、享受其他的国家政策支持、扶持的相关证明资料及法律依据。</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宋体"/>
          <w:bCs/>
          <w:color w:val="auto"/>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需要说明的其他文件和说明。</w:t>
      </w:r>
    </w:p>
    <w:p>
      <w:pPr>
        <w:pStyle w:val="38"/>
        <w:keepNext w:val="0"/>
        <w:keepLines w:val="0"/>
        <w:pageBreakBefore w:val="0"/>
        <w:widowControl w:val="0"/>
        <w:kinsoku/>
        <w:wordWrap/>
        <w:overflowPunct/>
        <w:topLinePunct w:val="0"/>
        <w:autoSpaceDE/>
        <w:autoSpaceDN/>
        <w:bidi w:val="0"/>
        <w:adjustRightInd/>
        <w:spacing w:line="500" w:lineRule="exact"/>
        <w:ind w:left="560"/>
        <w:textAlignment w:val="auto"/>
        <w:rPr>
          <w:rFonts w:hint="eastAsia" w:ascii="宋体" w:hAnsi="宋体" w:cs="宋体"/>
          <w:bCs/>
          <w:color w:val="auto"/>
          <w:sz w:val="24"/>
          <w:szCs w:val="24"/>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pStyle w:val="15"/>
        <w:spacing w:line="700" w:lineRule="exact"/>
        <w:ind w:left="560" w:leftChars="200" w:firstLine="0"/>
        <w:rPr>
          <w:rFonts w:hint="eastAsia" w:ascii="宋体" w:hAnsi="宋体" w:cs="宋体"/>
          <w:b/>
          <w:color w:val="auto"/>
          <w:sz w:val="28"/>
          <w:szCs w:val="28"/>
          <w:highlight w:val="none"/>
        </w:rPr>
      </w:pPr>
    </w:p>
    <w:p>
      <w:pPr>
        <w:snapToGrid w:val="0"/>
        <w:spacing w:line="400" w:lineRule="exact"/>
        <w:ind w:firstLine="482" w:firstLineChars="200"/>
        <w:jc w:val="left"/>
        <w:rPr>
          <w:rFonts w:hint="eastAsia" w:ascii="宋体" w:hAnsi="宋体"/>
          <w:color w:val="auto"/>
          <w:sz w:val="24"/>
          <w:highlight w:val="none"/>
        </w:rPr>
      </w:pPr>
      <w:r>
        <w:rPr>
          <w:rFonts w:hint="eastAsia" w:ascii="宋体" w:hAnsi="宋体"/>
          <w:b/>
          <w:bCs/>
          <w:color w:val="auto"/>
          <w:sz w:val="24"/>
          <w:highlight w:val="none"/>
        </w:rPr>
        <w:t>一、售后服务承诺；</w:t>
      </w:r>
      <w:r>
        <w:rPr>
          <w:rFonts w:hint="eastAsia" w:ascii="宋体" w:hAnsi="宋体"/>
          <w:color w:val="auto"/>
          <w:sz w:val="24"/>
          <w:highlight w:val="none"/>
        </w:rPr>
        <w:t>质量保证期内售后服务承诺、质量保证期外售后服务承诺说明。其中必须包含故障响应时间、到达现场时间、处理故障方式及时间。</w:t>
      </w:r>
      <w:r>
        <w:rPr>
          <w:rFonts w:hint="eastAsia" w:ascii="宋体" w:hAnsi="宋体"/>
          <w:color w:val="auto"/>
          <w:sz w:val="24"/>
          <w:highlight w:val="none"/>
          <w:lang w:eastAsia="zh-CN"/>
        </w:rPr>
        <w:t>供应商</w:t>
      </w:r>
      <w:r>
        <w:rPr>
          <w:rFonts w:hint="eastAsia" w:ascii="宋体" w:hAnsi="宋体"/>
          <w:color w:val="auto"/>
          <w:sz w:val="24"/>
          <w:highlight w:val="none"/>
        </w:rPr>
        <w:t>在投标文件中说明在保质期内提供的服务计划，质保期外服务计划与收费标准；</w:t>
      </w:r>
    </w:p>
    <w:p>
      <w:pPr>
        <w:snapToGrid w:val="0"/>
        <w:jc w:val="center"/>
        <w:rPr>
          <w:rFonts w:hint="eastAsia" w:ascii="宋体" w:hAnsi="宋体"/>
          <w:b/>
          <w:color w:val="auto"/>
          <w:sz w:val="28"/>
          <w:highlight w:val="none"/>
        </w:rPr>
      </w:pPr>
    </w:p>
    <w:p>
      <w:pPr>
        <w:snapToGrid w:val="0"/>
        <w:jc w:val="center"/>
        <w:rPr>
          <w:rFonts w:hint="eastAsia" w:ascii="宋体" w:hAnsi="宋体"/>
          <w:b/>
          <w:color w:val="auto"/>
          <w:sz w:val="28"/>
          <w:highlight w:val="none"/>
        </w:rPr>
      </w:pPr>
      <w:r>
        <w:rPr>
          <w:rFonts w:hint="eastAsia" w:ascii="宋体" w:hAnsi="宋体"/>
          <w:b/>
          <w:color w:val="auto"/>
          <w:sz w:val="28"/>
          <w:highlight w:val="none"/>
        </w:rPr>
        <w:t>二、商务响应表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3418"/>
        <w:gridCol w:w="1439"/>
        <w:gridCol w:w="2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招标文件要求</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是否响应</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40"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r>
              <w:rPr>
                <w:rFonts w:hint="eastAsia" w:ascii="宋体" w:hAnsi="宋体"/>
                <w:color w:val="auto"/>
                <w:sz w:val="24"/>
                <w:highlight w:val="none"/>
              </w:rPr>
              <w:t>质保期</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hint="eastAsia" w:ascii="宋体" w:hAnsi="宋体"/>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9"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r>
              <w:rPr>
                <w:rFonts w:hint="eastAsia" w:ascii="宋体" w:hAnsi="宋体"/>
                <w:color w:val="auto"/>
                <w:sz w:val="24"/>
                <w:highlight w:val="none"/>
              </w:rPr>
              <w:t>售后技术服务要求</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8"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r>
              <w:rPr>
                <w:rFonts w:hint="eastAsia" w:ascii="宋体" w:hAnsi="宋体"/>
                <w:color w:val="auto"/>
                <w:sz w:val="24"/>
                <w:highlight w:val="none"/>
              </w:rPr>
              <w:t>交货时间及地点</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hAnsi="宋体"/>
                <w:b/>
                <w:bCs/>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rPr>
                <w:rFonts w:ascii="宋体" w:hAnsi="宋体"/>
                <w:color w:val="auto"/>
                <w:sz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20"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r>
              <w:rPr>
                <w:rFonts w:hint="eastAsia" w:ascii="宋体" w:hAnsi="宋体"/>
                <w:color w:val="auto"/>
                <w:sz w:val="24"/>
                <w:highlight w:val="none"/>
              </w:rPr>
              <w:t>付款条件</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72"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r>
              <w:rPr>
                <w:rFonts w:hint="eastAsia" w:ascii="宋体" w:hAnsi="宋体"/>
                <w:color w:val="auto"/>
                <w:sz w:val="24"/>
                <w:highlight w:val="none"/>
              </w:rPr>
              <w:t>备品备件及耗材等要求</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2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r>
              <w:rPr>
                <w:rFonts w:hint="eastAsia" w:ascii="宋体" w:hAnsi="宋体"/>
                <w:color w:val="auto"/>
                <w:sz w:val="24"/>
                <w:highlight w:val="none"/>
              </w:rPr>
              <w:t>…</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rPr>
                <w:rFonts w:ascii="宋体" w:hAnsi="宋体"/>
                <w:color w:val="auto"/>
                <w:sz w:val="24"/>
                <w:highlight w:val="none"/>
              </w:rPr>
            </w:pPr>
          </w:p>
        </w:tc>
      </w:tr>
    </w:tbl>
    <w:p>
      <w:pPr>
        <w:snapToGrid w:val="0"/>
        <w:spacing w:before="50" w:after="50"/>
        <w:rPr>
          <w:rFonts w:ascii="宋体" w:hAnsi="宋体"/>
          <w:color w:val="auto"/>
          <w:highlight w:val="none"/>
        </w:rPr>
      </w:pPr>
    </w:p>
    <w:p>
      <w:pPr>
        <w:snapToGrid w:val="0"/>
        <w:spacing w:before="50" w:after="50"/>
        <w:rPr>
          <w:rFonts w:ascii="宋体" w:hAnsi="宋体"/>
          <w:color w:val="auto"/>
          <w:highlight w:val="none"/>
        </w:rPr>
      </w:pPr>
    </w:p>
    <w:p>
      <w:pPr>
        <w:snapToGrid w:val="0"/>
        <w:spacing w:before="50" w:after="50"/>
        <w:rPr>
          <w:rFonts w:ascii="宋体" w:hAnsi="宋体"/>
          <w:color w:val="auto"/>
          <w:highlight w:val="none"/>
        </w:rPr>
      </w:pPr>
    </w:p>
    <w:p>
      <w:pPr>
        <w:snapToGrid w:val="0"/>
        <w:spacing w:before="50" w:after="50"/>
        <w:rPr>
          <w:rFonts w:ascii="宋体" w:hAnsi="宋体"/>
          <w:color w:val="auto"/>
          <w:highlight w:val="none"/>
        </w:rPr>
      </w:pPr>
    </w:p>
    <w:p>
      <w:pPr>
        <w:snapToGrid w:val="0"/>
        <w:spacing w:before="120" w:beforeLines="50"/>
        <w:ind w:firstLine="319" w:firstLineChars="133"/>
        <w:rPr>
          <w:rFonts w:ascii="宋体" w:hAnsi="宋体"/>
          <w:color w:val="auto"/>
          <w:sz w:val="24"/>
          <w:szCs w:val="20"/>
          <w:highlight w:val="none"/>
          <w:u w:val="single"/>
        </w:rPr>
      </w:pPr>
      <w:r>
        <w:rPr>
          <w:rFonts w:hint="eastAsia" w:ascii="宋体" w:hAnsi="宋体"/>
          <w:color w:val="auto"/>
          <w:sz w:val="24"/>
          <w:highlight w:val="none"/>
        </w:rPr>
        <w:t>法定代表人或授权代表签字：</w:t>
      </w:r>
      <w:r>
        <w:rPr>
          <w:rFonts w:ascii="宋体" w:hAnsi="宋体"/>
          <w:color w:val="auto"/>
          <w:sz w:val="24"/>
          <w:highlight w:val="none"/>
          <w:u w:val="single"/>
        </w:rPr>
        <w:t xml:space="preserve">             </w:t>
      </w:r>
    </w:p>
    <w:p>
      <w:pPr>
        <w:snapToGrid w:val="0"/>
        <w:spacing w:before="120" w:beforeLines="50" w:after="50"/>
        <w:ind w:firstLine="360" w:firstLineChars="1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公章：</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before="120" w:beforeLines="50" w:after="50"/>
        <w:ind w:firstLine="6240" w:firstLineChars="2600"/>
        <w:rPr>
          <w:rFonts w:hint="eastAsia" w:ascii="宋体" w:hAnsi="宋体"/>
          <w:color w:val="auto"/>
          <w:sz w:val="24"/>
          <w:highlight w:val="none"/>
        </w:rPr>
      </w:pPr>
    </w:p>
    <w:p>
      <w:pPr>
        <w:snapToGrid w:val="0"/>
        <w:spacing w:before="120" w:beforeLines="50" w:after="50"/>
        <w:ind w:firstLine="6240" w:firstLineChars="2600"/>
        <w:rPr>
          <w:rFonts w:hint="eastAsia" w:ascii="宋体" w:hAnsi="宋体"/>
          <w:color w:val="auto"/>
          <w:sz w:val="24"/>
          <w:highlight w:val="none"/>
        </w:rPr>
      </w:pPr>
      <w:r>
        <w:rPr>
          <w:rFonts w:ascii="宋体" w:hAnsi="宋体"/>
          <w:color w:val="auto"/>
          <w:sz w:val="24"/>
          <w:highlight w:val="none"/>
        </w:rPr>
        <w:t xml:space="preserve">年    月    </w:t>
      </w:r>
    </w:p>
    <w:p>
      <w:pPr>
        <w:snapToGrid w:val="0"/>
        <w:spacing w:line="400" w:lineRule="exact"/>
        <w:ind w:firstLine="482" w:firstLineChars="200"/>
        <w:jc w:val="left"/>
        <w:rPr>
          <w:rFonts w:hint="eastAsia" w:ascii="宋体" w:hAnsi="宋体" w:cs="宋体"/>
          <w:b/>
          <w:bCs w:val="0"/>
          <w:color w:val="auto"/>
          <w:sz w:val="24"/>
          <w:szCs w:val="24"/>
          <w:highlight w:val="none"/>
          <w:lang w:eastAsia="zh-CN"/>
        </w:rPr>
      </w:pPr>
    </w:p>
    <w:p>
      <w:pPr>
        <w:snapToGrid w:val="0"/>
        <w:spacing w:line="400" w:lineRule="exact"/>
        <w:ind w:firstLine="482" w:firstLineChars="200"/>
        <w:jc w:val="left"/>
        <w:rPr>
          <w:rFonts w:hint="eastAsia" w:ascii="宋体" w:hAnsi="宋体"/>
          <w:b/>
          <w:bCs w:val="0"/>
          <w:color w:val="auto"/>
          <w:sz w:val="24"/>
          <w:highlight w:val="none"/>
        </w:rPr>
      </w:pPr>
      <w:r>
        <w:rPr>
          <w:rFonts w:hint="eastAsia" w:ascii="宋体" w:hAnsi="宋体" w:cs="宋体"/>
          <w:b/>
          <w:bCs w:val="0"/>
          <w:color w:val="auto"/>
          <w:sz w:val="24"/>
          <w:szCs w:val="24"/>
          <w:highlight w:val="none"/>
          <w:lang w:eastAsia="zh-CN"/>
        </w:rPr>
        <w:t>三、</w:t>
      </w:r>
      <w:r>
        <w:rPr>
          <w:rFonts w:hint="eastAsia" w:ascii="宋体" w:hAnsi="宋体"/>
          <w:b/>
          <w:bCs w:val="0"/>
          <w:color w:val="auto"/>
          <w:sz w:val="24"/>
          <w:highlight w:val="none"/>
        </w:rPr>
        <w:t>优惠条件：</w:t>
      </w:r>
      <w:r>
        <w:rPr>
          <w:rFonts w:hint="eastAsia" w:ascii="宋体" w:hAnsi="宋体"/>
          <w:b/>
          <w:bCs w:val="0"/>
          <w:color w:val="auto"/>
          <w:sz w:val="24"/>
          <w:highlight w:val="none"/>
          <w:lang w:eastAsia="zh-CN"/>
        </w:rPr>
        <w:t>供应商</w:t>
      </w:r>
      <w:r>
        <w:rPr>
          <w:rFonts w:hint="eastAsia" w:ascii="宋体" w:hAnsi="宋体"/>
          <w:b/>
          <w:bCs w:val="0"/>
          <w:color w:val="auto"/>
          <w:sz w:val="24"/>
          <w:highlight w:val="none"/>
        </w:rPr>
        <w:t>承诺的各种优惠条件，包括售后服务、备品备件、专用耗材等方面的优惠；</w:t>
      </w:r>
    </w:p>
    <w:p>
      <w:pPr>
        <w:pStyle w:val="15"/>
        <w:spacing w:line="700" w:lineRule="exact"/>
        <w:ind w:left="0" w:leftChars="0" w:firstLine="0" w:firstLineChars="0"/>
        <w:jc w:val="center"/>
        <w:rPr>
          <w:rFonts w:hint="eastAsia" w:ascii="宋体" w:hAnsi="宋体" w:cs="宋体"/>
          <w:b/>
          <w:color w:val="auto"/>
          <w:sz w:val="24"/>
          <w:szCs w:val="24"/>
          <w:highlight w:val="none"/>
          <w:lang w:eastAsia="zh-CN"/>
        </w:rPr>
      </w:pPr>
    </w:p>
    <w:p>
      <w:pPr>
        <w:pStyle w:val="15"/>
        <w:spacing w:line="700" w:lineRule="exact"/>
        <w:ind w:left="0" w:leftChars="0" w:firstLine="0" w:firstLineChars="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rPr>
        <w:t>企业业绩</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供应商全称（加盖公章）：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项目</w:t>
      </w:r>
      <w:r>
        <w:rPr>
          <w:rFonts w:hint="eastAsia" w:ascii="宋体" w:hAnsi="宋体" w:cs="宋体"/>
          <w:color w:val="auto"/>
          <w:sz w:val="24"/>
          <w:highlight w:val="none"/>
        </w:rPr>
        <w:t>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1"/>
        <w:gridCol w:w="1534"/>
        <w:gridCol w:w="1418"/>
        <w:gridCol w:w="1275"/>
        <w:gridCol w:w="170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1301" w:type="dxa"/>
            <w:noWrap w:val="0"/>
            <w:vAlign w:val="top"/>
          </w:tcPr>
          <w:p>
            <w:pPr>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使用方</w:t>
            </w:r>
          </w:p>
        </w:tc>
        <w:tc>
          <w:tcPr>
            <w:tcW w:w="1534" w:type="dxa"/>
            <w:noWrap w:val="0"/>
            <w:vAlign w:val="top"/>
          </w:tcPr>
          <w:p>
            <w:pPr>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使用方性质</w:t>
            </w:r>
          </w:p>
        </w:tc>
        <w:tc>
          <w:tcPr>
            <w:tcW w:w="1418" w:type="dxa"/>
            <w:noWrap w:val="0"/>
            <w:vAlign w:val="top"/>
          </w:tcPr>
          <w:p>
            <w:pPr>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合同金额</w:t>
            </w:r>
          </w:p>
        </w:tc>
        <w:tc>
          <w:tcPr>
            <w:tcW w:w="1275" w:type="dxa"/>
            <w:noWrap w:val="0"/>
            <w:vAlign w:val="top"/>
          </w:tcPr>
          <w:p>
            <w:pPr>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签订时间</w:t>
            </w:r>
          </w:p>
        </w:tc>
        <w:tc>
          <w:tcPr>
            <w:tcW w:w="1701" w:type="dxa"/>
            <w:noWrap w:val="0"/>
            <w:vAlign w:val="top"/>
          </w:tcPr>
          <w:p>
            <w:pPr>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使用方联系人</w:t>
            </w:r>
          </w:p>
        </w:tc>
        <w:tc>
          <w:tcPr>
            <w:tcW w:w="1478" w:type="dxa"/>
            <w:noWrap w:val="0"/>
            <w:vAlign w:val="top"/>
          </w:tcPr>
          <w:p>
            <w:pPr>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500" w:lineRule="exact"/>
              <w:rPr>
                <w:rFonts w:hint="eastAsia" w:ascii="宋体" w:hAnsi="宋体" w:cs="宋体"/>
                <w:bCs/>
                <w:color w:val="auto"/>
                <w:sz w:val="24"/>
                <w:highlight w:val="none"/>
              </w:rPr>
            </w:pPr>
          </w:p>
        </w:tc>
        <w:tc>
          <w:tcPr>
            <w:tcW w:w="1301" w:type="dxa"/>
            <w:noWrap w:val="0"/>
            <w:vAlign w:val="top"/>
          </w:tcPr>
          <w:p>
            <w:pPr>
              <w:spacing w:line="500" w:lineRule="exact"/>
              <w:rPr>
                <w:rFonts w:hint="eastAsia" w:ascii="宋体" w:hAnsi="宋体" w:cs="宋体"/>
                <w:bCs/>
                <w:color w:val="auto"/>
                <w:sz w:val="24"/>
                <w:highlight w:val="none"/>
              </w:rPr>
            </w:pPr>
          </w:p>
        </w:tc>
        <w:tc>
          <w:tcPr>
            <w:tcW w:w="1534" w:type="dxa"/>
            <w:noWrap w:val="0"/>
            <w:vAlign w:val="top"/>
          </w:tcPr>
          <w:p>
            <w:pPr>
              <w:spacing w:line="500" w:lineRule="exact"/>
              <w:rPr>
                <w:rFonts w:hint="eastAsia" w:ascii="宋体" w:hAnsi="宋体" w:cs="宋体"/>
                <w:bCs/>
                <w:color w:val="auto"/>
                <w:sz w:val="24"/>
                <w:highlight w:val="none"/>
              </w:rPr>
            </w:pPr>
          </w:p>
        </w:tc>
        <w:tc>
          <w:tcPr>
            <w:tcW w:w="1418" w:type="dxa"/>
            <w:noWrap w:val="0"/>
            <w:vAlign w:val="top"/>
          </w:tcPr>
          <w:p>
            <w:pPr>
              <w:spacing w:line="500" w:lineRule="exact"/>
              <w:rPr>
                <w:rFonts w:hint="eastAsia" w:ascii="宋体" w:hAnsi="宋体" w:cs="宋体"/>
                <w:bCs/>
                <w:color w:val="auto"/>
                <w:sz w:val="24"/>
                <w:highlight w:val="none"/>
              </w:rPr>
            </w:pPr>
          </w:p>
        </w:tc>
        <w:tc>
          <w:tcPr>
            <w:tcW w:w="1275" w:type="dxa"/>
            <w:noWrap w:val="0"/>
            <w:vAlign w:val="top"/>
          </w:tcPr>
          <w:p>
            <w:pPr>
              <w:spacing w:line="500" w:lineRule="exact"/>
              <w:rPr>
                <w:rFonts w:hint="eastAsia" w:ascii="宋体" w:hAnsi="宋体" w:cs="宋体"/>
                <w:bCs/>
                <w:color w:val="auto"/>
                <w:sz w:val="24"/>
                <w:highlight w:val="none"/>
              </w:rPr>
            </w:pPr>
          </w:p>
        </w:tc>
        <w:tc>
          <w:tcPr>
            <w:tcW w:w="1701" w:type="dxa"/>
            <w:noWrap w:val="0"/>
            <w:vAlign w:val="top"/>
          </w:tcPr>
          <w:p>
            <w:pPr>
              <w:spacing w:line="500" w:lineRule="exact"/>
              <w:rPr>
                <w:rFonts w:hint="eastAsia" w:ascii="宋体" w:hAnsi="宋体" w:cs="宋体"/>
                <w:bCs/>
                <w:color w:val="auto"/>
                <w:sz w:val="24"/>
                <w:highlight w:val="none"/>
              </w:rPr>
            </w:pPr>
          </w:p>
        </w:tc>
        <w:tc>
          <w:tcPr>
            <w:tcW w:w="1478" w:type="dxa"/>
            <w:noWrap w:val="0"/>
            <w:vAlign w:val="top"/>
          </w:tcPr>
          <w:p>
            <w:pPr>
              <w:spacing w:line="500" w:lineRule="exact"/>
              <w:rPr>
                <w:rFonts w:hint="eastAsia" w:ascii="宋体" w:hAnsi="宋体" w:cs="宋体"/>
                <w:bCs/>
                <w:color w:val="auto"/>
                <w:sz w:val="24"/>
                <w:highlight w:val="none"/>
              </w:rPr>
            </w:pPr>
          </w:p>
        </w:tc>
      </w:tr>
    </w:tbl>
    <w:p>
      <w:pPr>
        <w:snapToGrid w:val="0"/>
        <w:spacing w:before="50" w:after="50"/>
        <w:rPr>
          <w:rFonts w:ascii="宋体" w:hAnsi="宋体"/>
          <w:color w:val="auto"/>
          <w:spacing w:val="20"/>
          <w:sz w:val="24"/>
          <w:szCs w:val="20"/>
          <w:highlight w:val="none"/>
          <w:u w:val="single"/>
        </w:rPr>
      </w:pPr>
      <w:r>
        <w:rPr>
          <w:rFonts w:hint="eastAsia" w:ascii="宋体" w:hAnsi="宋体"/>
          <w:color w:val="auto"/>
          <w:spacing w:val="20"/>
          <w:sz w:val="24"/>
          <w:highlight w:val="none"/>
        </w:rPr>
        <w:t>法定代表人或授权人签名：</w:t>
      </w:r>
      <w:r>
        <w:rPr>
          <w:rFonts w:ascii="宋体" w:hAnsi="宋体"/>
          <w:color w:val="auto"/>
          <w:spacing w:val="20"/>
          <w:sz w:val="24"/>
          <w:highlight w:val="none"/>
          <w:u w:val="single"/>
        </w:rPr>
        <w:t xml:space="preserve">            </w:t>
      </w:r>
    </w:p>
    <w:p>
      <w:pPr>
        <w:snapToGrid w:val="0"/>
        <w:spacing w:before="120" w:beforeLines="50" w:after="50"/>
        <w:rPr>
          <w:rFonts w:ascii="宋体" w:hAnsi="宋体"/>
          <w:color w:val="auto"/>
          <w:spacing w:val="20"/>
          <w:sz w:val="24"/>
          <w:highlight w:val="none"/>
        </w:rPr>
      </w:pPr>
      <w:r>
        <w:rPr>
          <w:rFonts w:hint="eastAsia" w:ascii="宋体" w:hAnsi="宋体"/>
          <w:color w:val="auto"/>
          <w:spacing w:val="20"/>
          <w:sz w:val="24"/>
          <w:highlight w:val="none"/>
        </w:rPr>
        <w:t>供应商盖章：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p>
    <w:p>
      <w:pPr>
        <w:pStyle w:val="38"/>
        <w:spacing w:line="500" w:lineRule="exact"/>
        <w:ind w:left="560"/>
        <w:jc w:val="center"/>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line="400" w:lineRule="exact"/>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
          <w:color w:val="auto"/>
          <w:sz w:val="24"/>
          <w:szCs w:val="24"/>
          <w:highlight w:val="none"/>
        </w:rPr>
        <w:t>1、附201</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年1月1日至今同类项目业绩证明为准，须提供合同复印件加盖公章）</w:t>
      </w:r>
    </w:p>
    <w:p>
      <w:pPr>
        <w:snapToGrid w:val="0"/>
        <w:spacing w:line="400" w:lineRule="exact"/>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2、此表仅提供了表格形式，供应商应根据需要准备足够数量的表格来填写。</w:t>
      </w: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pStyle w:val="15"/>
        <w:spacing w:line="700" w:lineRule="exact"/>
        <w:ind w:firstLine="0"/>
        <w:jc w:val="center"/>
        <w:rPr>
          <w:rFonts w:hint="eastAsia" w:ascii="宋体" w:hAnsi="宋体" w:cs="宋体"/>
          <w:b/>
          <w:color w:val="auto"/>
          <w:sz w:val="28"/>
          <w:szCs w:val="28"/>
          <w:highlight w:val="none"/>
        </w:rPr>
      </w:pPr>
    </w:p>
    <w:p>
      <w:pPr>
        <w:tabs>
          <w:tab w:val="left" w:pos="2996"/>
        </w:tabs>
        <w:spacing w:line="460" w:lineRule="exact"/>
        <w:ind w:firstLine="482" w:firstLineChars="200"/>
        <w:rPr>
          <w:rFonts w:hint="eastAsia" w:ascii="宋体" w:hAnsi="宋体" w:cs="宋体"/>
          <w:color w:val="auto"/>
          <w:sz w:val="24"/>
          <w:highlight w:val="none"/>
        </w:rPr>
      </w:pPr>
      <w:r>
        <w:rPr>
          <w:rFonts w:hint="eastAsia" w:ascii="宋体" w:hAnsi="宋体" w:cs="宋体"/>
          <w:b/>
          <w:color w:val="auto"/>
          <w:sz w:val="24"/>
          <w:szCs w:val="24"/>
          <w:highlight w:val="none"/>
          <w:lang w:eastAsia="zh-CN"/>
        </w:rPr>
        <w:t>五</w:t>
      </w:r>
      <w:r>
        <w:rPr>
          <w:rFonts w:hint="eastAsia" w:ascii="宋体" w:hAnsi="宋体" w:cs="宋体"/>
          <w:b/>
          <w:bCs/>
          <w:color w:val="auto"/>
          <w:sz w:val="24"/>
          <w:highlight w:val="none"/>
        </w:rPr>
        <w:t>、供应商如属于中小企业、享受其他的国家政策支持、扶持的相关证明资料及法律依据</w:t>
      </w:r>
      <w:r>
        <w:rPr>
          <w:rFonts w:ascii="宋体" w:hAnsi="宋体" w:cs="宋体"/>
          <w:color w:val="auto"/>
          <w:kern w:val="0"/>
          <w:sz w:val="24"/>
          <w:highlight w:val="none"/>
          <w:lang w:bidi="ar"/>
        </w:rPr>
        <w:br w:type="textWrapping"/>
      </w:r>
      <w:r>
        <w:rPr>
          <w:rFonts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w:t>
      </w:r>
      <w:r>
        <w:rPr>
          <w:rFonts w:hint="eastAsia" w:ascii="宋体" w:hAnsi="宋体" w:cs="宋体"/>
          <w:b/>
          <w:color w:val="auto"/>
          <w:spacing w:val="-11"/>
          <w:sz w:val="24"/>
          <w:highlight w:val="none"/>
        </w:rPr>
        <w:t xml:space="preserve">   （一） 中小企业声明函</w:t>
      </w:r>
      <w:r>
        <w:rPr>
          <w:rFonts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rPr>
        <w:t>不属于小微企业的无需填写、递交）</w:t>
      </w:r>
      <w:r>
        <w:rPr>
          <w:rFonts w:ascii="宋体" w:hAnsi="宋体" w:cs="宋体"/>
          <w:color w:val="auto"/>
          <w:kern w:val="0"/>
          <w:sz w:val="24"/>
          <w:highlight w:val="none"/>
          <w:lang w:bidi="ar"/>
        </w:rPr>
        <w:br w:type="textWrapping"/>
      </w:r>
      <w:r>
        <w:rPr>
          <w:rFonts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rPr>
        <w:t>本公司郑重声明，根据《政府采购促进中小企业发展暂行办法》（财库[2011]181号）的规定，本公司为______（请填写：中型、小型、微型）企业。即，本公司同时满足以下条件：</w:t>
      </w:r>
    </w:p>
    <w:p>
      <w:pPr>
        <w:tabs>
          <w:tab w:val="left" w:pos="2996"/>
        </w:tabs>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tabs>
          <w:tab w:val="left" w:pos="2996"/>
        </w:tabs>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2、本公司参加__________________单位的__________________</w:t>
      </w:r>
    </w:p>
    <w:p>
      <w:pPr>
        <w:tabs>
          <w:tab w:val="left" w:pos="2996"/>
        </w:tabs>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________________________项目采购活动提供本企业制造的货物，由本企业承担工程、提供服务，或者提供其他______（请填写：中型、小型、微型）企业制造的货物。本条所称货物不包括使用大型企业注册商标的货物。</w:t>
      </w:r>
    </w:p>
    <w:p>
      <w:pPr>
        <w:tabs>
          <w:tab w:val="left" w:pos="2996"/>
        </w:tabs>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本公司对上述声明的真实性负责。如有虚假，将依法承担相应责任。</w:t>
      </w:r>
    </w:p>
    <w:p>
      <w:pPr>
        <w:snapToGrid w:val="0"/>
        <w:spacing w:before="50" w:after="120" w:afterLines="50"/>
        <w:jc w:val="left"/>
        <w:rPr>
          <w:rFonts w:hint="eastAsia" w:ascii="宋体" w:hAnsi="宋体" w:cs="宋体"/>
          <w:b/>
          <w:color w:val="auto"/>
          <w:sz w:val="24"/>
          <w:highlight w:val="none"/>
        </w:rPr>
      </w:pPr>
    </w:p>
    <w:p>
      <w:pPr>
        <w:snapToGrid w:val="0"/>
        <w:spacing w:before="50" w:after="50"/>
        <w:rPr>
          <w:rFonts w:ascii="宋体" w:hAnsi="宋体"/>
          <w:color w:val="auto"/>
          <w:spacing w:val="20"/>
          <w:sz w:val="24"/>
          <w:szCs w:val="20"/>
          <w:highlight w:val="none"/>
          <w:u w:val="single"/>
        </w:rPr>
      </w:pPr>
      <w:r>
        <w:rPr>
          <w:rFonts w:hint="eastAsia" w:ascii="宋体" w:hAnsi="宋体"/>
          <w:color w:val="auto"/>
          <w:spacing w:val="20"/>
          <w:sz w:val="24"/>
          <w:highlight w:val="none"/>
        </w:rPr>
        <w:t>法定代表人或授权人签名：</w:t>
      </w:r>
      <w:r>
        <w:rPr>
          <w:rFonts w:ascii="宋体" w:hAnsi="宋体"/>
          <w:color w:val="auto"/>
          <w:spacing w:val="20"/>
          <w:sz w:val="24"/>
          <w:highlight w:val="none"/>
          <w:u w:val="single"/>
        </w:rPr>
        <w:t xml:space="preserve">            </w:t>
      </w:r>
    </w:p>
    <w:p>
      <w:pPr>
        <w:snapToGrid w:val="0"/>
        <w:spacing w:before="120" w:beforeLines="50" w:after="50"/>
        <w:rPr>
          <w:rFonts w:ascii="宋体" w:hAnsi="宋体"/>
          <w:color w:val="auto"/>
          <w:spacing w:val="20"/>
          <w:sz w:val="24"/>
          <w:highlight w:val="none"/>
        </w:rPr>
      </w:pPr>
      <w:r>
        <w:rPr>
          <w:rFonts w:hint="eastAsia" w:ascii="宋体" w:hAnsi="宋体"/>
          <w:color w:val="auto"/>
          <w:spacing w:val="20"/>
          <w:sz w:val="24"/>
          <w:highlight w:val="none"/>
        </w:rPr>
        <w:t>供应商盖章：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p>
    <w:p>
      <w:pPr>
        <w:snapToGrid w:val="0"/>
        <w:spacing w:before="120" w:beforeLines="50" w:after="50"/>
        <w:ind w:firstLine="7280" w:firstLineChars="2600"/>
        <w:rPr>
          <w:rFonts w:hint="eastAsia" w:ascii="宋体" w:hAnsi="宋体" w:cs="宋体"/>
          <w:color w:val="auto"/>
          <w:sz w:val="24"/>
          <w:szCs w:val="20"/>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widowControl/>
        <w:jc w:val="left"/>
        <w:rPr>
          <w:color w:val="auto"/>
          <w:highlight w:val="none"/>
        </w:rPr>
      </w:pPr>
    </w:p>
    <w:p>
      <w:pPr>
        <w:pStyle w:val="47"/>
        <w:ind w:firstLine="0" w:firstLineChars="0"/>
        <w:jc w:val="center"/>
        <w:rPr>
          <w:rFonts w:hint="eastAsia" w:ascii="宋体" w:hAnsi="宋体" w:cs="宋体"/>
          <w:b/>
          <w:color w:val="auto"/>
          <w:spacing w:val="-11"/>
          <w:highlight w:val="none"/>
        </w:rPr>
      </w:pPr>
    </w:p>
    <w:p>
      <w:pPr>
        <w:pStyle w:val="47"/>
        <w:ind w:firstLine="0" w:firstLineChars="0"/>
        <w:jc w:val="center"/>
        <w:rPr>
          <w:rFonts w:hint="eastAsia" w:ascii="宋体" w:hAnsi="宋体" w:cs="宋体"/>
          <w:b/>
          <w:color w:val="auto"/>
          <w:spacing w:val="-11"/>
          <w:highlight w:val="none"/>
        </w:rPr>
      </w:pPr>
    </w:p>
    <w:p>
      <w:pPr>
        <w:pStyle w:val="47"/>
        <w:ind w:firstLine="0" w:firstLineChars="0"/>
        <w:jc w:val="center"/>
        <w:rPr>
          <w:rFonts w:hint="eastAsia" w:ascii="宋体" w:hAnsi="宋体" w:cs="宋体"/>
          <w:b/>
          <w:color w:val="auto"/>
          <w:spacing w:val="-11"/>
          <w:highlight w:val="none"/>
        </w:rPr>
      </w:pPr>
    </w:p>
    <w:p>
      <w:pPr>
        <w:pStyle w:val="47"/>
        <w:ind w:firstLine="0" w:firstLineChars="0"/>
        <w:jc w:val="center"/>
        <w:rPr>
          <w:rFonts w:hint="eastAsia" w:ascii="宋体" w:hAnsi="宋体" w:cs="宋体"/>
          <w:b/>
          <w:color w:val="auto"/>
          <w:spacing w:val="-11"/>
          <w:highlight w:val="none"/>
        </w:rPr>
      </w:pPr>
    </w:p>
    <w:p>
      <w:pPr>
        <w:pStyle w:val="47"/>
        <w:ind w:firstLine="0" w:firstLineChars="0"/>
        <w:jc w:val="center"/>
        <w:rPr>
          <w:rFonts w:hint="eastAsia" w:ascii="宋体" w:hAnsi="宋体" w:cs="宋体"/>
          <w:b/>
          <w:color w:val="auto"/>
          <w:spacing w:val="-11"/>
          <w:highlight w:val="none"/>
        </w:rPr>
      </w:pPr>
    </w:p>
    <w:p>
      <w:pPr>
        <w:pStyle w:val="47"/>
        <w:ind w:firstLine="0" w:firstLineChars="0"/>
        <w:jc w:val="center"/>
        <w:rPr>
          <w:rFonts w:hint="eastAsia" w:ascii="宋体" w:hAnsi="宋体" w:cs="宋体"/>
          <w:b/>
          <w:color w:val="auto"/>
          <w:spacing w:val="-11"/>
          <w:highlight w:val="none"/>
        </w:rPr>
      </w:pPr>
    </w:p>
    <w:p>
      <w:pPr>
        <w:pStyle w:val="47"/>
        <w:ind w:firstLine="0" w:firstLineChars="0"/>
        <w:jc w:val="center"/>
        <w:rPr>
          <w:rFonts w:hint="eastAsia" w:ascii="宋体" w:hAnsi="宋体" w:cs="宋体"/>
          <w:b/>
          <w:color w:val="auto"/>
          <w:spacing w:val="-11"/>
          <w:highlight w:val="none"/>
        </w:rPr>
      </w:pPr>
      <w:r>
        <w:rPr>
          <w:rFonts w:hint="eastAsia" w:ascii="宋体" w:hAnsi="宋体" w:cs="宋体"/>
          <w:b/>
          <w:color w:val="auto"/>
          <w:spacing w:val="-11"/>
          <w:highlight w:val="none"/>
        </w:rPr>
        <w:t>（二）残疾人福利性单位声明函</w:t>
      </w:r>
    </w:p>
    <w:p>
      <w:pPr>
        <w:pStyle w:val="47"/>
        <w:spacing w:line="440" w:lineRule="exact"/>
        <w:ind w:firstLine="393" w:firstLineChars="0"/>
        <w:jc w:val="center"/>
        <w:rPr>
          <w:rFonts w:hint="eastAsia" w:ascii="宋体" w:hAnsi="宋体" w:cs="宋体"/>
          <w:bCs/>
          <w:color w:val="auto"/>
          <w:highlight w:val="none"/>
        </w:rPr>
      </w:pPr>
      <w:r>
        <w:rPr>
          <w:rFonts w:hint="eastAsia" w:ascii="宋体" w:hAnsi="宋体" w:cs="宋体"/>
          <w:bCs/>
          <w:color w:val="auto"/>
          <w:highlight w:val="none"/>
        </w:rPr>
        <w:t>本单位郑重声明，根据《财政部 民政部 中国残疾人联合会关于促进残疾人就业政</w:t>
      </w:r>
    </w:p>
    <w:p>
      <w:pPr>
        <w:pStyle w:val="47"/>
        <w:spacing w:line="440" w:lineRule="exact"/>
        <w:ind w:firstLine="0" w:firstLineChars="0"/>
        <w:jc w:val="both"/>
        <w:rPr>
          <w:rFonts w:hint="eastAsia" w:ascii="宋体" w:hAnsi="宋体" w:cs="宋体"/>
          <w:bCs/>
          <w:color w:val="auto"/>
          <w:highlight w:val="none"/>
        </w:rPr>
      </w:pPr>
      <w:r>
        <w:rPr>
          <w:rFonts w:hint="eastAsia" w:ascii="宋体" w:hAnsi="宋体" w:cs="宋体"/>
          <w:bCs/>
          <w:color w:val="auto"/>
          <w:highlight w:val="none"/>
        </w:rPr>
        <w:t xml:space="preserve">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Style w:val="47"/>
        <w:spacing w:line="440" w:lineRule="exact"/>
        <w:ind w:firstLine="393" w:firstLineChars="0"/>
        <w:jc w:val="center"/>
        <w:rPr>
          <w:rFonts w:hint="eastAsia"/>
          <w:bCs/>
          <w:color w:val="auto"/>
          <w:highlight w:val="none"/>
        </w:rPr>
      </w:pPr>
      <w:r>
        <w:rPr>
          <w:rFonts w:hint="eastAsia" w:ascii="宋体" w:hAnsi="宋体" w:cs="宋体"/>
          <w:bCs/>
          <w:color w:val="auto"/>
          <w:highlight w:val="none"/>
        </w:rPr>
        <w:t>本单位对上述声明的真实性负责。如有虚假，将依法承担相应责任。</w:t>
      </w:r>
    </w:p>
    <w:p>
      <w:pPr>
        <w:snapToGrid w:val="0"/>
        <w:spacing w:before="120" w:beforeLines="50" w:after="50"/>
        <w:rPr>
          <w:rFonts w:hint="eastAsia" w:ascii="宋体" w:hAnsi="宋体" w:cs="宋体"/>
          <w:b/>
          <w:color w:val="auto"/>
          <w:sz w:val="24"/>
          <w:highlight w:val="none"/>
        </w:rPr>
      </w:pPr>
    </w:p>
    <w:p>
      <w:pPr>
        <w:pStyle w:val="47"/>
        <w:ind w:firstLine="241"/>
        <w:rPr>
          <w:rFonts w:hint="eastAsia" w:ascii="宋体" w:hAnsi="宋体" w:cs="宋体"/>
          <w:b/>
          <w:color w:val="auto"/>
          <w:highlight w:val="none"/>
        </w:rPr>
      </w:pPr>
    </w:p>
    <w:p>
      <w:pPr>
        <w:snapToGrid w:val="0"/>
        <w:spacing w:before="50" w:after="50"/>
        <w:ind w:firstLine="280" w:firstLineChars="100"/>
        <w:rPr>
          <w:rFonts w:ascii="宋体" w:hAnsi="宋体"/>
          <w:color w:val="auto"/>
          <w:spacing w:val="20"/>
          <w:sz w:val="24"/>
          <w:szCs w:val="20"/>
          <w:highlight w:val="none"/>
          <w:u w:val="single"/>
        </w:rPr>
      </w:pPr>
      <w:r>
        <w:rPr>
          <w:rFonts w:hint="eastAsia" w:ascii="宋体" w:hAnsi="宋体"/>
          <w:color w:val="auto"/>
          <w:spacing w:val="20"/>
          <w:sz w:val="24"/>
          <w:highlight w:val="none"/>
        </w:rPr>
        <w:t>法定代表人或授权人签名：</w:t>
      </w:r>
      <w:r>
        <w:rPr>
          <w:rFonts w:ascii="宋体" w:hAnsi="宋体"/>
          <w:color w:val="auto"/>
          <w:spacing w:val="20"/>
          <w:sz w:val="24"/>
          <w:highlight w:val="none"/>
          <w:u w:val="single"/>
        </w:rPr>
        <w:t xml:space="preserve">            </w:t>
      </w:r>
    </w:p>
    <w:p>
      <w:pPr>
        <w:snapToGrid w:val="0"/>
        <w:spacing w:before="120" w:beforeLines="50" w:after="50"/>
        <w:ind w:firstLine="280" w:firstLineChars="100"/>
        <w:rPr>
          <w:rFonts w:ascii="宋体" w:hAnsi="宋体"/>
          <w:color w:val="auto"/>
          <w:spacing w:val="20"/>
          <w:sz w:val="24"/>
          <w:highlight w:val="none"/>
        </w:rPr>
      </w:pPr>
      <w:r>
        <w:rPr>
          <w:rFonts w:hint="eastAsia" w:ascii="宋体" w:hAnsi="宋体"/>
          <w:color w:val="auto"/>
          <w:spacing w:val="20"/>
          <w:sz w:val="24"/>
          <w:highlight w:val="none"/>
        </w:rPr>
        <w:t>供应商盖章：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p>
    <w:p>
      <w:pPr>
        <w:spacing w:line="500" w:lineRule="exact"/>
        <w:ind w:firstLine="560" w:firstLineChars="200"/>
        <w:jc w:val="center"/>
        <w:rPr>
          <w:rFonts w:hint="eastAsia" w:ascii="宋体" w:hAnsi="宋体" w:cs="宋体"/>
          <w:color w:val="auto"/>
          <w:sz w:val="24"/>
          <w:highlight w:val="none"/>
        </w:rPr>
      </w:pPr>
      <w:r>
        <w:rPr>
          <w:rFonts w:hint="eastAsia" w:ascii="宋体" w:hAnsi="宋体"/>
          <w:color w:val="auto"/>
          <w:spacing w:val="20"/>
          <w:sz w:val="24"/>
          <w:highlight w:val="none"/>
        </w:rPr>
        <w:t xml:space="preserve">      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pStyle w:val="47"/>
        <w:ind w:firstLine="241"/>
        <w:rPr>
          <w:rFonts w:hint="eastAsia" w:ascii="宋体" w:hAnsi="宋体" w:cs="宋体"/>
          <w:b/>
          <w:color w:val="auto"/>
          <w:highlight w:val="none"/>
        </w:rPr>
      </w:pPr>
    </w:p>
    <w:p>
      <w:pPr>
        <w:pStyle w:val="47"/>
        <w:ind w:firstLine="241"/>
        <w:rPr>
          <w:rFonts w:hint="eastAsia" w:ascii="宋体" w:hAnsi="宋体" w:cs="宋体"/>
          <w:b/>
          <w:color w:val="auto"/>
          <w:highlight w:val="none"/>
        </w:rPr>
      </w:pPr>
    </w:p>
    <w:p>
      <w:pPr>
        <w:numPr>
          <w:ilvl w:val="0"/>
          <w:numId w:val="10"/>
        </w:numPr>
        <w:tabs>
          <w:tab w:val="left" w:pos="8280"/>
        </w:tabs>
        <w:spacing w:line="400" w:lineRule="exact"/>
        <w:ind w:firstLine="328" w:firstLineChars="150"/>
        <w:jc w:val="center"/>
        <w:rPr>
          <w:rFonts w:hint="eastAsia" w:ascii="宋体" w:hAnsi="宋体" w:cs="宋体"/>
          <w:b/>
          <w:color w:val="auto"/>
          <w:spacing w:val="-11"/>
          <w:sz w:val="24"/>
          <w:highlight w:val="none"/>
        </w:rPr>
      </w:pPr>
      <w:r>
        <w:rPr>
          <w:rFonts w:hint="eastAsia" w:ascii="宋体" w:hAnsi="宋体" w:cs="宋体"/>
          <w:b/>
          <w:color w:val="auto"/>
          <w:spacing w:val="-11"/>
          <w:sz w:val="24"/>
          <w:highlight w:val="none"/>
        </w:rPr>
        <w:t>提供供应商和磋商产品生产企业在国家企业信用公示系统（http://www.gsxt.gov.cn/）的小微企业网页打印页并加盖公章。</w:t>
      </w:r>
    </w:p>
    <w:p>
      <w:pPr>
        <w:pStyle w:val="47"/>
        <w:ind w:firstLine="0" w:firstLineChars="0"/>
        <w:rPr>
          <w:rFonts w:hint="eastAsia"/>
          <w:color w:val="auto"/>
          <w:highlight w:val="none"/>
        </w:rPr>
      </w:pPr>
    </w:p>
    <w:p>
      <w:pPr>
        <w:pStyle w:val="47"/>
        <w:ind w:firstLine="0" w:firstLineChars="0"/>
        <w:rPr>
          <w:rFonts w:hint="eastAsia"/>
          <w:color w:val="auto"/>
          <w:highlight w:val="none"/>
        </w:rPr>
      </w:pPr>
    </w:p>
    <w:p>
      <w:pPr>
        <w:tabs>
          <w:tab w:val="left" w:pos="8280"/>
        </w:tabs>
        <w:spacing w:line="400" w:lineRule="exact"/>
        <w:ind w:firstLine="328" w:firstLineChars="150"/>
        <w:jc w:val="center"/>
        <w:rPr>
          <w:rFonts w:hint="eastAsia" w:ascii="宋体" w:hAnsi="宋体" w:cs="宋体"/>
          <w:b/>
          <w:color w:val="auto"/>
          <w:spacing w:val="-11"/>
          <w:sz w:val="24"/>
          <w:highlight w:val="none"/>
        </w:rPr>
      </w:pPr>
      <w:r>
        <w:rPr>
          <w:rFonts w:hint="eastAsia" w:ascii="宋体" w:hAnsi="宋体" w:cs="宋体"/>
          <w:b/>
          <w:color w:val="auto"/>
          <w:spacing w:val="-11"/>
          <w:sz w:val="24"/>
          <w:highlight w:val="none"/>
        </w:rPr>
        <w:t>（四）供应商已通过浙江政府采购网申请注册并成为正式入库供应商的相关证明材料，且显示供应商为小型或微型企业。</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pStyle w:val="2"/>
        <w:ind w:left="560" w:firstLine="480"/>
        <w:rPr>
          <w:rFonts w:ascii="宋体" w:hAnsi="宋体"/>
          <w:color w:val="auto"/>
          <w:sz w:val="24"/>
          <w:highlight w:val="none"/>
        </w:rPr>
      </w:pPr>
    </w:p>
    <w:p>
      <w:pPr>
        <w:pStyle w:val="2"/>
        <w:ind w:left="560" w:firstLine="480"/>
        <w:rPr>
          <w:rFonts w:ascii="宋体" w:hAnsi="宋体"/>
          <w:color w:val="auto"/>
          <w:sz w:val="24"/>
          <w:highlight w:val="none"/>
        </w:rPr>
      </w:pPr>
    </w:p>
    <w:p>
      <w:pPr>
        <w:pStyle w:val="2"/>
        <w:ind w:left="0" w:leftChars="0" w:firstLine="0" w:firstLineChars="0"/>
        <w:jc w:val="center"/>
        <w:rPr>
          <w:rFonts w:hint="eastAsia" w:ascii="宋体" w:hAnsi="宋体" w:cs="宋体"/>
          <w:b/>
          <w:color w:val="auto"/>
          <w:spacing w:val="-11"/>
          <w:kern w:val="2"/>
          <w:sz w:val="24"/>
          <w:szCs w:val="24"/>
          <w:highlight w:val="none"/>
          <w:lang w:val="en-US" w:eastAsia="zh-CN" w:bidi="ar-SA"/>
        </w:rPr>
      </w:pPr>
      <w:r>
        <w:rPr>
          <w:rFonts w:hint="eastAsia" w:ascii="宋体" w:hAnsi="宋体" w:cs="宋体"/>
          <w:b/>
          <w:color w:val="auto"/>
          <w:spacing w:val="-11"/>
          <w:kern w:val="2"/>
          <w:sz w:val="24"/>
          <w:szCs w:val="24"/>
          <w:highlight w:val="none"/>
          <w:lang w:val="en-US" w:eastAsia="zh-CN" w:bidi="ar-SA"/>
        </w:rPr>
        <w:t>六、供应商需要说明的其他文件和说明。</w:t>
      </w:r>
    </w:p>
    <w:p>
      <w:pPr>
        <w:pStyle w:val="2"/>
        <w:ind w:left="560" w:firstLine="480"/>
        <w:rPr>
          <w:rFonts w:ascii="宋体" w:hAnsi="宋体"/>
          <w:color w:val="auto"/>
          <w:sz w:val="24"/>
          <w:highlight w:val="none"/>
        </w:rPr>
      </w:pPr>
    </w:p>
    <w:p>
      <w:pPr>
        <w:pStyle w:val="2"/>
        <w:ind w:left="560" w:firstLine="480"/>
        <w:rPr>
          <w:rFonts w:ascii="宋体" w:hAnsi="宋体"/>
          <w:color w:val="auto"/>
          <w:sz w:val="24"/>
          <w:highlight w:val="none"/>
        </w:rPr>
      </w:pPr>
    </w:p>
    <w:p>
      <w:pPr>
        <w:pStyle w:val="2"/>
        <w:ind w:left="560" w:firstLine="480"/>
        <w:rPr>
          <w:rFonts w:ascii="宋体" w:hAnsi="宋体"/>
          <w:color w:val="auto"/>
          <w:sz w:val="24"/>
          <w:highlight w:val="none"/>
        </w:rPr>
      </w:pPr>
    </w:p>
    <w:p>
      <w:pPr>
        <w:snapToGrid w:val="0"/>
        <w:spacing w:before="50" w:after="120" w:afterLines="50"/>
        <w:jc w:val="left"/>
        <w:rPr>
          <w:rFonts w:hint="eastAsia" w:ascii="宋体" w:hAnsi="宋体" w:cs="宋体"/>
          <w:b/>
          <w:color w:val="auto"/>
          <w:sz w:val="24"/>
          <w:highlight w:val="none"/>
        </w:rPr>
      </w:pPr>
    </w:p>
    <w:p>
      <w:pPr>
        <w:snapToGrid w:val="0"/>
        <w:spacing w:before="50" w:after="120" w:afterLines="50"/>
        <w:jc w:val="left"/>
        <w:rPr>
          <w:rFonts w:hint="eastAsia" w:ascii="宋体" w:hAnsi="宋体" w:cs="宋体"/>
          <w:b/>
          <w:color w:val="auto"/>
          <w:sz w:val="24"/>
          <w:highlight w:val="none"/>
        </w:rPr>
      </w:pPr>
      <w:r>
        <w:rPr>
          <w:rFonts w:hint="eastAsia" w:ascii="宋体" w:hAnsi="宋体" w:cs="宋体"/>
          <w:b/>
          <w:color w:val="auto"/>
          <w:sz w:val="24"/>
          <w:highlight w:val="none"/>
        </w:rPr>
        <w:t>三、报价文件外包装封面格式：</w:t>
      </w:r>
    </w:p>
    <w:p>
      <w:pPr>
        <w:snapToGrid w:val="0"/>
        <w:spacing w:before="120" w:beforeLines="50" w:after="50"/>
        <w:jc w:val="center"/>
        <w:rPr>
          <w:rFonts w:hint="eastAsia" w:ascii="宋体" w:hAnsi="宋体" w:cs="宋体"/>
          <w:bCs/>
          <w:color w:val="auto"/>
          <w:sz w:val="24"/>
          <w:szCs w:val="20"/>
          <w:highlight w:val="none"/>
        </w:rPr>
      </w:pPr>
    </w:p>
    <w:p>
      <w:pPr>
        <w:snapToGrid w:val="0"/>
        <w:spacing w:before="120" w:beforeLines="50" w:after="50"/>
        <w:jc w:val="right"/>
        <w:rPr>
          <w:rFonts w:hint="eastAsia" w:ascii="宋体" w:hAnsi="宋体" w:cs="宋体"/>
          <w:b/>
          <w:color w:val="auto"/>
          <w:sz w:val="24"/>
          <w:highlight w:val="none"/>
        </w:rPr>
      </w:pPr>
      <w:r>
        <w:rPr>
          <w:rFonts w:hint="eastAsia" w:ascii="宋体" w:hAnsi="宋体" w:cs="宋体"/>
          <w:b/>
          <w:color w:val="auto"/>
          <w:sz w:val="24"/>
          <w:highlight w:val="none"/>
        </w:rPr>
        <w:t>正本或副本</w:t>
      </w:r>
    </w:p>
    <w:p>
      <w:pPr>
        <w:pStyle w:val="2"/>
        <w:ind w:left="560" w:firstLine="480"/>
        <w:rPr>
          <w:rFonts w:hint="eastAsia" w:ascii="宋体" w:hAnsi="宋体" w:cs="宋体"/>
          <w:bCs/>
          <w:color w:val="auto"/>
          <w:sz w:val="24"/>
          <w:szCs w:val="20"/>
          <w:highlight w:val="none"/>
        </w:rPr>
      </w:pPr>
    </w:p>
    <w:p>
      <w:pPr>
        <w:pStyle w:val="2"/>
        <w:ind w:left="560" w:firstLine="480"/>
        <w:rPr>
          <w:rFonts w:hint="eastAsia" w:ascii="宋体" w:hAnsi="宋体" w:cs="宋体"/>
          <w:bCs/>
          <w:color w:val="auto"/>
          <w:sz w:val="24"/>
          <w:szCs w:val="20"/>
          <w:highlight w:val="none"/>
        </w:rPr>
      </w:pPr>
    </w:p>
    <w:p>
      <w:pPr>
        <w:snapToGrid w:val="0"/>
        <w:spacing w:before="120" w:beforeLines="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 价 文 件</w:t>
      </w:r>
    </w:p>
    <w:p>
      <w:pPr>
        <w:snapToGrid w:val="0"/>
        <w:spacing w:line="500" w:lineRule="exact"/>
        <w:ind w:right="-865" w:rightChars="-309"/>
        <w:rPr>
          <w:rFonts w:hint="eastAsia" w:ascii="宋体" w:hAnsi="宋体" w:cs="宋体"/>
          <w:bCs/>
          <w:color w:val="auto"/>
          <w:sz w:val="24"/>
          <w:highlight w:val="none"/>
        </w:rPr>
      </w:pP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项目名称：</w:t>
      </w:r>
      <w:r>
        <w:rPr>
          <w:rFonts w:hint="eastAsia"/>
          <w:color w:val="auto"/>
          <w:sz w:val="24"/>
          <w:highlight w:val="none"/>
          <w:lang w:eastAsia="zh-CN"/>
        </w:rPr>
        <w:t xml:space="preserve">南浔镇雪亮工程视频监控服务项目二期  </w:t>
      </w:r>
      <w:r>
        <w:rPr>
          <w:rFonts w:hint="eastAsia"/>
          <w:color w:val="auto"/>
          <w:highlight w:val="none"/>
        </w:rPr>
        <w:t xml:space="preserve"> </w:t>
      </w:r>
    </w:p>
    <w:p>
      <w:pPr>
        <w:snapToGrid w:val="0"/>
        <w:spacing w:before="120" w:beforeLines="50" w:after="50"/>
        <w:ind w:firstLine="1068" w:firstLineChars="445"/>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w:t>
      </w:r>
      <w:r>
        <w:rPr>
          <w:rFonts w:hint="eastAsia" w:ascii="宋体" w:hAnsi="宋体" w:cs="宋体"/>
          <w:color w:val="auto"/>
          <w:kern w:val="0"/>
          <w:sz w:val="24"/>
          <w:highlight w:val="none"/>
          <w:lang w:eastAsia="zh-CN"/>
        </w:rPr>
        <w:t>浙安采字[2019]-</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供应商名称：</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供应商地址：</w:t>
      </w:r>
    </w:p>
    <w:p>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在  年  月  日  时  分之前不得启封</w:t>
      </w:r>
    </w:p>
    <w:p>
      <w:pPr>
        <w:pStyle w:val="15"/>
        <w:snapToGrid w:val="0"/>
        <w:spacing w:before="50" w:after="50"/>
        <w:ind w:firstLine="960" w:firstLineChars="400"/>
        <w:rPr>
          <w:rFonts w:hint="eastAsia" w:ascii="宋体" w:hAnsi="宋体" w:cs="宋体"/>
          <w:bCs/>
          <w:color w:val="auto"/>
          <w:sz w:val="24"/>
          <w:szCs w:val="24"/>
          <w:highlight w:val="none"/>
        </w:rPr>
      </w:pPr>
    </w:p>
    <w:p>
      <w:pPr>
        <w:snapToGrid w:val="0"/>
        <w:spacing w:before="120" w:beforeLines="50" w:after="50"/>
        <w:ind w:firstLine="4080" w:firstLineChars="1700"/>
        <w:rPr>
          <w:rFonts w:hint="eastAsia" w:ascii="宋体" w:hAnsi="宋体" w:cs="宋体"/>
          <w:color w:val="auto"/>
          <w:sz w:val="24"/>
          <w:highlight w:val="none"/>
        </w:rPr>
      </w:pPr>
    </w:p>
    <w:p>
      <w:pPr>
        <w:snapToGrid w:val="0"/>
        <w:spacing w:line="500" w:lineRule="exact"/>
        <w:rPr>
          <w:rFonts w:hint="eastAsia" w:ascii="宋体" w:hAnsi="宋体" w:cs="宋体"/>
          <w:bCs/>
          <w:color w:val="auto"/>
          <w:sz w:val="24"/>
          <w:highlight w:val="none"/>
        </w:rPr>
      </w:pPr>
      <w:r>
        <w:rPr>
          <w:rFonts w:hint="eastAsia" w:ascii="宋体" w:hAnsi="宋体" w:cs="宋体"/>
          <w:color w:val="auto"/>
          <w:sz w:val="24"/>
          <w:highlight w:val="none"/>
        </w:rPr>
        <w:t xml:space="preserve">                                            年  月  日</w:t>
      </w:r>
    </w:p>
    <w:p>
      <w:pPr>
        <w:snapToGrid w:val="0"/>
        <w:spacing w:line="500" w:lineRule="exact"/>
        <w:jc w:val="center"/>
        <w:rPr>
          <w:rFonts w:hint="eastAsia" w:ascii="宋体" w:hAnsi="宋体" w:cs="宋体"/>
          <w:bCs/>
          <w:color w:val="auto"/>
          <w:sz w:val="24"/>
          <w:highlight w:val="none"/>
        </w:rPr>
      </w:pPr>
    </w:p>
    <w:p>
      <w:pPr>
        <w:snapToGrid w:val="0"/>
        <w:spacing w:line="500" w:lineRule="exact"/>
        <w:jc w:val="center"/>
        <w:rPr>
          <w:rFonts w:hint="eastAsia" w:ascii="宋体" w:hAnsi="宋体" w:cs="宋体"/>
          <w:bCs/>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rPr>
          <w:rFonts w:hint="eastAsia" w:ascii="宋体" w:hAnsi="宋体" w:cs="宋体"/>
          <w:b/>
          <w:color w:val="auto"/>
          <w:sz w:val="24"/>
          <w:highlight w:val="none"/>
        </w:rPr>
      </w:pPr>
    </w:p>
    <w:p>
      <w:pPr>
        <w:snapToGrid w:val="0"/>
        <w:spacing w:before="50" w:after="120" w:afterLines="50"/>
        <w:jc w:val="left"/>
        <w:rPr>
          <w:rFonts w:hint="eastAsia" w:ascii="宋体" w:hAnsi="宋体" w:cs="宋体"/>
          <w:b/>
          <w:color w:val="auto"/>
          <w:sz w:val="24"/>
          <w:highlight w:val="none"/>
        </w:rPr>
        <w:sectPr>
          <w:pgSz w:w="11906" w:h="16838"/>
          <w:pgMar w:top="1474" w:right="1286" w:bottom="1247" w:left="1418" w:header="851" w:footer="992" w:gutter="0"/>
          <w:cols w:space="720" w:num="1"/>
          <w:docGrid w:linePitch="312" w:charSpace="0"/>
        </w:sectPr>
      </w:pPr>
    </w:p>
    <w:p>
      <w:pPr>
        <w:snapToGrid w:val="0"/>
        <w:spacing w:before="50" w:after="120" w:afterLines="50"/>
        <w:jc w:val="left"/>
        <w:rPr>
          <w:rFonts w:hint="eastAsia" w:ascii="宋体" w:hAnsi="宋体" w:cs="宋体"/>
          <w:b/>
          <w:color w:val="auto"/>
          <w:sz w:val="24"/>
          <w:highlight w:val="none"/>
        </w:rPr>
      </w:pPr>
      <w:r>
        <w:rPr>
          <w:rFonts w:hint="eastAsia" w:ascii="宋体" w:hAnsi="宋体" w:cs="宋体"/>
          <w:b/>
          <w:color w:val="auto"/>
          <w:sz w:val="24"/>
          <w:highlight w:val="none"/>
        </w:rPr>
        <w:t>3、报价文件目录</w:t>
      </w:r>
    </w:p>
    <w:p>
      <w:pPr>
        <w:pStyle w:val="38"/>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（1）投标函； </w:t>
      </w:r>
    </w:p>
    <w:p>
      <w:pPr>
        <w:pStyle w:val="38"/>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（2）开标一览表；</w:t>
      </w:r>
    </w:p>
    <w:p>
      <w:pPr>
        <w:pStyle w:val="38"/>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（3）投标报价明细表；</w:t>
      </w:r>
    </w:p>
    <w:p>
      <w:pPr>
        <w:pStyle w:val="38"/>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（4）招标代理服务费承诺函</w:t>
      </w:r>
    </w:p>
    <w:p>
      <w:pPr>
        <w:pStyle w:val="38"/>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供应商针对报价需要说明的其他文件和说明。</w:t>
      </w:r>
    </w:p>
    <w:p>
      <w:pPr>
        <w:pStyle w:val="38"/>
        <w:spacing w:line="500" w:lineRule="exact"/>
        <w:ind w:left="560"/>
        <w:rPr>
          <w:rFonts w:hint="eastAsia" w:ascii="宋体" w:hAnsi="宋体" w:cs="宋体"/>
          <w:bCs/>
          <w:color w:val="auto"/>
          <w:sz w:val="24"/>
          <w:szCs w:val="24"/>
          <w:highlight w:val="none"/>
        </w:rPr>
      </w:pPr>
    </w:p>
    <w:p>
      <w:pPr>
        <w:spacing w:line="440" w:lineRule="exact"/>
        <w:ind w:firstLine="560" w:firstLineChars="200"/>
        <w:rPr>
          <w:rFonts w:hint="eastAsia" w:ascii="宋体" w:hAnsi="宋体" w:cs="宋体"/>
          <w:color w:val="auto"/>
          <w:highlight w:val="none"/>
        </w:rPr>
      </w:pPr>
    </w:p>
    <w:p>
      <w:pPr>
        <w:spacing w:line="520" w:lineRule="exact"/>
        <w:rPr>
          <w:rFonts w:hint="eastAsia" w:ascii="宋体" w:hAnsi="宋体" w:cs="宋体"/>
          <w:b/>
          <w:color w:val="auto"/>
          <w:szCs w:val="28"/>
          <w:highlight w:val="none"/>
        </w:rPr>
      </w:pPr>
      <w:bookmarkStart w:id="32" w:name="_Toc152043789"/>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520" w:lineRule="exact"/>
        <w:rPr>
          <w:rFonts w:hint="eastAsia" w:ascii="宋体" w:hAnsi="宋体" w:cs="宋体"/>
          <w:b/>
          <w:color w:val="auto"/>
          <w:szCs w:val="28"/>
          <w:highlight w:val="none"/>
        </w:rPr>
      </w:pPr>
    </w:p>
    <w:p>
      <w:pPr>
        <w:spacing w:line="480" w:lineRule="exact"/>
        <w:jc w:val="center"/>
        <w:rPr>
          <w:rFonts w:hint="eastAsia" w:ascii="宋体" w:hAnsi="宋体" w:cs="宋体"/>
          <w:b/>
          <w:color w:val="auto"/>
          <w:szCs w:val="28"/>
          <w:highlight w:val="none"/>
        </w:rPr>
      </w:pPr>
      <w:r>
        <w:rPr>
          <w:rFonts w:hint="eastAsia" w:ascii="宋体" w:hAnsi="宋体" w:cs="宋体"/>
          <w:b/>
          <w:color w:val="auto"/>
          <w:szCs w:val="28"/>
          <w:highlight w:val="none"/>
        </w:rPr>
        <w:t>1、投标函</w:t>
      </w:r>
    </w:p>
    <w:p>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w:t>
      </w:r>
      <w:r>
        <w:rPr>
          <w:rFonts w:hint="eastAsia" w:ascii="宋体" w:hAnsi="宋体" w:cs="Arial"/>
          <w:color w:val="auto"/>
          <w:sz w:val="24"/>
          <w:highlight w:val="none"/>
        </w:rPr>
        <w:t>单位</w:t>
      </w:r>
      <w:r>
        <w:rPr>
          <w:rFonts w:hint="eastAsia" w:ascii="宋体" w:hAnsi="宋体" w:cs="宋体"/>
          <w:color w:val="auto"/>
          <w:sz w:val="24"/>
          <w:highlight w:val="none"/>
        </w:rPr>
        <w:t>名称）：</w:t>
      </w:r>
    </w:p>
    <w:p>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w:t>
      </w:r>
      <w:r>
        <w:rPr>
          <w:rFonts w:ascii="宋体" w:hAnsi="宋体"/>
          <w:color w:val="auto"/>
          <w:sz w:val="24"/>
          <w:highlight w:val="none"/>
          <w:u w:val="single"/>
        </w:rPr>
        <w:t xml:space="preserve">                             </w:t>
      </w:r>
      <w:r>
        <w:rPr>
          <w:rFonts w:hint="eastAsia" w:ascii="宋体" w:hAnsi="宋体"/>
          <w:color w:val="auto"/>
          <w:sz w:val="24"/>
          <w:highlight w:val="none"/>
        </w:rPr>
        <w:t>项目的招标公告（项目编号：</w:t>
      </w:r>
      <w:r>
        <w:rPr>
          <w:rFonts w:hint="eastAsia" w:ascii="宋体" w:hAnsi="宋体"/>
          <w:color w:val="auto"/>
          <w:sz w:val="24"/>
          <w:highlight w:val="none"/>
          <w:u w:val="single"/>
          <w:lang w:eastAsia="zh-CN"/>
        </w:rPr>
        <w:t xml:space="preserve">浙安采字[2019]-N012 </w:t>
      </w:r>
      <w:r>
        <w:rPr>
          <w:rFonts w:hint="eastAsia" w:ascii="宋体" w:hAnsi="宋体"/>
          <w:color w:val="auto"/>
          <w:sz w:val="24"/>
          <w:highlight w:val="none"/>
        </w:rPr>
        <w:t>），签字代表</w:t>
      </w:r>
      <w:r>
        <w:rPr>
          <w:rFonts w:ascii="宋体" w:hAnsi="宋体"/>
          <w:color w:val="auto"/>
          <w:sz w:val="24"/>
          <w:highlight w:val="none"/>
        </w:rPr>
        <w:t>______________</w:t>
      </w:r>
      <w:r>
        <w:rPr>
          <w:rFonts w:hint="eastAsia" w:ascii="宋体" w:hAnsi="宋体"/>
          <w:color w:val="auto"/>
          <w:sz w:val="24"/>
          <w:highlight w:val="none"/>
        </w:rPr>
        <w:t>（全名）经正式授权并代表供应商</w:t>
      </w:r>
      <w:r>
        <w:rPr>
          <w:rFonts w:ascii="宋体" w:hAnsi="宋体"/>
          <w:color w:val="auto"/>
          <w:sz w:val="24"/>
          <w:highlight w:val="none"/>
        </w:rPr>
        <w:t>______________</w:t>
      </w:r>
      <w:r>
        <w:rPr>
          <w:rFonts w:hint="eastAsia" w:ascii="宋体" w:hAnsi="宋体"/>
          <w:color w:val="auto"/>
          <w:sz w:val="24"/>
          <w:highlight w:val="none"/>
        </w:rPr>
        <w:t>（供应商名称）提交资格文件、技术、商务、资信及其他文件和报价文件正本各一份、副本</w:t>
      </w:r>
      <w:r>
        <w:rPr>
          <w:rFonts w:ascii="宋体" w:hAnsi="宋体"/>
          <w:color w:val="auto"/>
          <w:sz w:val="24"/>
          <w:highlight w:val="none"/>
          <w:u w:val="single"/>
        </w:rPr>
        <w:t xml:space="preserve">      </w:t>
      </w:r>
      <w:r>
        <w:rPr>
          <w:rFonts w:hint="eastAsia" w:ascii="宋体" w:hAnsi="宋体"/>
          <w:color w:val="auto"/>
          <w:sz w:val="24"/>
          <w:highlight w:val="none"/>
        </w:rPr>
        <w:t>份。</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.供应商在投标之前已经与贵方进行了充分的沟通，完全理解并接受招标文件的各项规定和要求，对招标文件的合理性、合法性不再有异议。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个日历日。</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.如中标，本投标文件至本项目合同履行完毕止均保持有效，本供应商将按“招标文件”及政府采购法律、法规的规定履行合同责任和义务。</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.供应商同意按照贵方要求提供与投标有关的一切数据或资料。</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______________</w:t>
      </w:r>
      <w:r>
        <w:rPr>
          <w:rFonts w:hint="eastAsia" w:ascii="宋体" w:hAnsi="宋体"/>
          <w:color w:val="auto"/>
          <w:sz w:val="24"/>
          <w:highlight w:val="none"/>
        </w:rPr>
        <w:t xml:space="preserve">         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供应商代表姓名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w:t>
      </w:r>
      <w:r>
        <w:rPr>
          <w:rFonts w:ascii="宋体" w:hAnsi="宋体"/>
          <w:color w:val="auto"/>
          <w:sz w:val="24"/>
          <w:highlight w:val="none"/>
          <w:u w:val="single"/>
        </w:rPr>
        <w:t xml:space="preserve"> </w:t>
      </w:r>
      <w:r>
        <w:rPr>
          <w:rFonts w:ascii="宋体" w:hAnsi="宋体"/>
          <w:color w:val="auto"/>
          <w:sz w:val="24"/>
          <w:highlight w:val="none"/>
        </w:rPr>
        <w:t>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公章</w:t>
      </w:r>
      <w:r>
        <w:rPr>
          <w:rFonts w:ascii="宋体" w:hAnsi="宋体"/>
          <w:color w:val="auto"/>
          <w:sz w:val="24"/>
          <w:highlight w:val="none"/>
        </w:rPr>
        <w:t>):___________________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银行帐号：</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pPr>
        <w:spacing w:line="360" w:lineRule="auto"/>
        <w:rPr>
          <w:rFonts w:hint="eastAsia" w:ascii="宋体" w:hAnsi="宋体" w:cs="宋体"/>
          <w:b/>
          <w:bCs/>
          <w:color w:val="auto"/>
          <w:spacing w:val="14"/>
          <w:sz w:val="24"/>
          <w:highlight w:val="none"/>
        </w:rPr>
      </w:pPr>
    </w:p>
    <w:p>
      <w:pPr>
        <w:spacing w:line="360" w:lineRule="auto"/>
        <w:rPr>
          <w:rFonts w:hint="eastAsia" w:ascii="宋体" w:hAnsi="宋体" w:cs="宋体"/>
          <w:b/>
          <w:bCs/>
          <w:color w:val="auto"/>
          <w:spacing w:val="14"/>
          <w:szCs w:val="28"/>
          <w:highlight w:val="none"/>
        </w:rPr>
      </w:pPr>
    </w:p>
    <w:p>
      <w:pPr>
        <w:spacing w:line="360" w:lineRule="auto"/>
        <w:jc w:val="center"/>
        <w:rPr>
          <w:rFonts w:hint="eastAsia" w:ascii="宋体" w:hAnsi="宋体" w:cs="宋体"/>
          <w:b/>
          <w:bCs/>
          <w:color w:val="auto"/>
          <w:szCs w:val="28"/>
          <w:highlight w:val="none"/>
        </w:rPr>
        <w:sectPr>
          <w:pgSz w:w="11906" w:h="16838"/>
          <w:pgMar w:top="1474" w:right="1286" w:bottom="1247" w:left="1418" w:header="851" w:footer="992" w:gutter="0"/>
          <w:cols w:space="720" w:num="1"/>
          <w:docGrid w:linePitch="312" w:charSpace="0"/>
        </w:sectPr>
      </w:pPr>
    </w:p>
    <w:p>
      <w:pPr>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2、开标一览表</w:t>
      </w:r>
    </w:p>
    <w:p>
      <w:p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供应商全称（加盖公章）：                项目编号：      货币单位：人民币元</w:t>
      </w:r>
    </w:p>
    <w:tbl>
      <w:tblPr>
        <w:tblStyle w:val="48"/>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645"/>
        <w:gridCol w:w="1362"/>
        <w:gridCol w:w="1155"/>
        <w:gridCol w:w="2320"/>
        <w:gridCol w:w="1"/>
        <w:gridCol w:w="1436"/>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wBefore w:w="0" w:type="dxa"/>
          <w:wAfter w:w="0" w:type="dxa"/>
          <w:cantSplit/>
          <w:trHeight w:val="1165" w:hRule="atLeast"/>
          <w:jc w:val="center"/>
        </w:trPr>
        <w:tc>
          <w:tcPr>
            <w:tcW w:w="3645"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36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项目内容</w:t>
            </w:r>
          </w:p>
        </w:tc>
        <w:tc>
          <w:tcPr>
            <w:tcW w:w="1155" w:type="dxa"/>
            <w:tcBorders>
              <w:top w:val="double" w:color="000000" w:sz="2" w:space="0"/>
              <w:left w:val="double" w:color="000000" w:sz="2" w:space="0"/>
              <w:bottom w:val="double" w:color="000000" w:sz="2" w:space="0"/>
              <w:right w:val="double" w:color="auto" w:sz="4" w:space="0"/>
            </w:tcBorders>
            <w:noWrap w:val="0"/>
            <w:vAlign w:val="center"/>
          </w:tcPr>
          <w:p>
            <w:p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数量</w:t>
            </w:r>
          </w:p>
        </w:tc>
        <w:tc>
          <w:tcPr>
            <w:tcW w:w="2321" w:type="dxa"/>
            <w:gridSpan w:val="2"/>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总价（小写）</w:t>
            </w:r>
          </w:p>
        </w:tc>
        <w:tc>
          <w:tcPr>
            <w:tcW w:w="1436"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是否属于</w:t>
            </w:r>
          </w:p>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小微企业</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wBefore w:w="0" w:type="dxa"/>
          <w:wAfter w:w="0" w:type="dxa"/>
          <w:cantSplit/>
          <w:trHeight w:val="1165" w:hRule="atLeast"/>
          <w:jc w:val="center"/>
        </w:trPr>
        <w:tc>
          <w:tcPr>
            <w:tcW w:w="3645" w:type="dxa"/>
            <w:tcBorders>
              <w:top w:val="double" w:color="000000" w:sz="2" w:space="0"/>
              <w:left w:val="double" w:color="000000" w:sz="6" w:space="0"/>
              <w:right w:val="double" w:color="000000" w:sz="2" w:space="0"/>
            </w:tcBorders>
            <w:noWrap w:val="0"/>
            <w:vAlign w:val="center"/>
          </w:tcPr>
          <w:p>
            <w:pPr>
              <w:jc w:val="center"/>
              <w:rPr>
                <w:rFonts w:hint="eastAsia" w:ascii="宋体" w:hAnsi="宋体" w:cs="宋体"/>
                <w:color w:val="auto"/>
                <w:sz w:val="24"/>
                <w:highlight w:val="none"/>
              </w:rPr>
            </w:pPr>
            <w:r>
              <w:rPr>
                <w:rFonts w:hint="eastAsia"/>
                <w:color w:val="auto"/>
                <w:sz w:val="24"/>
                <w:szCs w:val="24"/>
                <w:highlight w:val="none"/>
                <w:lang w:eastAsia="zh-CN"/>
              </w:rPr>
              <w:t xml:space="preserve">南浔镇雪亮工程视频监控服务项目二期  </w:t>
            </w:r>
            <w:r>
              <w:rPr>
                <w:rFonts w:hint="eastAsia"/>
                <w:color w:val="auto"/>
                <w:highlight w:val="none"/>
              </w:rPr>
              <w:t xml:space="preserve">   </w:t>
            </w:r>
          </w:p>
        </w:tc>
        <w:tc>
          <w:tcPr>
            <w:tcW w:w="1362" w:type="dxa"/>
            <w:tcBorders>
              <w:top w:val="double" w:color="000000" w:sz="2" w:space="0"/>
              <w:left w:val="double" w:color="000000" w:sz="2" w:space="0"/>
              <w:right w:val="doub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详见投标</w:t>
            </w:r>
          </w:p>
          <w:p>
            <w:pPr>
              <w:jc w:val="center"/>
              <w:rPr>
                <w:rFonts w:hint="eastAsia" w:ascii="宋体" w:hAnsi="宋体" w:cs="宋体"/>
                <w:color w:val="auto"/>
                <w:sz w:val="24"/>
                <w:highlight w:val="none"/>
              </w:rPr>
            </w:pPr>
            <w:r>
              <w:rPr>
                <w:rFonts w:hint="eastAsia" w:ascii="宋体" w:hAnsi="宋体" w:cs="宋体"/>
                <w:color w:val="auto"/>
                <w:sz w:val="24"/>
                <w:highlight w:val="none"/>
              </w:rPr>
              <w:t>文件</w:t>
            </w:r>
          </w:p>
        </w:tc>
        <w:tc>
          <w:tcPr>
            <w:tcW w:w="1155" w:type="dxa"/>
            <w:tcBorders>
              <w:top w:val="double" w:color="000000" w:sz="2" w:space="0"/>
              <w:left w:val="double" w:color="000000" w:sz="2" w:space="0"/>
              <w:right w:val="doub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2321" w:type="dxa"/>
            <w:gridSpan w:val="2"/>
            <w:tcBorders>
              <w:top w:val="double" w:color="000000" w:sz="2" w:space="0"/>
              <w:left w:val="double" w:color="auto" w:sz="4" w:space="0"/>
              <w:right w:val="double" w:color="000000" w:sz="2" w:space="0"/>
            </w:tcBorders>
            <w:noWrap w:val="0"/>
            <w:vAlign w:val="center"/>
          </w:tcPr>
          <w:p>
            <w:pPr>
              <w:jc w:val="center"/>
              <w:rPr>
                <w:rFonts w:hint="eastAsia" w:ascii="宋体" w:hAnsi="宋体" w:cs="宋体"/>
                <w:color w:val="auto"/>
                <w:sz w:val="24"/>
                <w:highlight w:val="none"/>
              </w:rPr>
            </w:pPr>
          </w:p>
        </w:tc>
        <w:tc>
          <w:tcPr>
            <w:tcW w:w="1436" w:type="dxa"/>
            <w:vMerge w:val="restart"/>
            <w:tcBorders>
              <w:top w:val="double" w:color="000000" w:sz="2" w:space="0"/>
              <w:left w:val="double" w:color="auto" w:sz="4" w:space="0"/>
              <w:right w:val="double" w:color="000000" w:sz="2" w:space="0"/>
            </w:tcBorders>
            <w:noWrap w:val="0"/>
            <w:vAlign w:val="center"/>
          </w:tcPr>
          <w:p>
            <w:pPr>
              <w:jc w:val="center"/>
              <w:rPr>
                <w:rFonts w:hint="eastAsia" w:ascii="宋体" w:hAnsi="宋体" w:cs="宋体"/>
                <w:color w:val="auto"/>
                <w:sz w:val="24"/>
                <w:highlight w:val="none"/>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wBefore w:w="0" w:type="dxa"/>
          <w:wAfter w:w="0" w:type="dxa"/>
          <w:cantSplit/>
          <w:trHeight w:val="851" w:hRule="atLeast"/>
          <w:jc w:val="center"/>
        </w:trPr>
        <w:tc>
          <w:tcPr>
            <w:tcW w:w="3645" w:type="dxa"/>
            <w:tcBorders>
              <w:top w:val="double" w:color="000000" w:sz="2" w:space="0"/>
              <w:left w:val="double" w:color="000000" w:sz="6" w:space="0"/>
              <w:right w:val="doub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总价（大写）：</w:t>
            </w:r>
          </w:p>
        </w:tc>
        <w:tc>
          <w:tcPr>
            <w:tcW w:w="4837" w:type="dxa"/>
            <w:gridSpan w:val="3"/>
            <w:tcBorders>
              <w:top w:val="double" w:color="000000" w:sz="2" w:space="0"/>
              <w:left w:val="double" w:color="000000" w:sz="2" w:space="0"/>
              <w:right w:val="double" w:color="000000" w:sz="2" w:space="0"/>
            </w:tcBorders>
            <w:noWrap w:val="0"/>
            <w:vAlign w:val="center"/>
          </w:tcPr>
          <w:p>
            <w:pPr>
              <w:jc w:val="center"/>
              <w:rPr>
                <w:rFonts w:hint="eastAsia" w:ascii="宋体" w:hAnsi="宋体" w:cs="宋体"/>
                <w:color w:val="auto"/>
                <w:sz w:val="24"/>
                <w:highlight w:val="none"/>
              </w:rPr>
            </w:pPr>
          </w:p>
        </w:tc>
        <w:tc>
          <w:tcPr>
            <w:tcW w:w="1437" w:type="dxa"/>
            <w:gridSpan w:val="2"/>
            <w:vMerge w:val="continue"/>
            <w:tcBorders>
              <w:left w:val="double" w:color="auto" w:sz="4" w:space="0"/>
              <w:right w:val="double" w:color="000000" w:sz="2" w:space="0"/>
            </w:tcBorders>
            <w:noWrap w:val="0"/>
            <w:vAlign w:val="center"/>
          </w:tcPr>
          <w:p>
            <w:pPr>
              <w:jc w:val="center"/>
              <w:rPr>
                <w:rFonts w:hint="eastAsia" w:ascii="宋体" w:hAnsi="宋体" w:cs="宋体"/>
                <w:color w:val="auto"/>
                <w:sz w:val="24"/>
                <w:highlight w:val="none"/>
              </w:rPr>
            </w:pPr>
          </w:p>
        </w:tc>
      </w:tr>
    </w:tbl>
    <w:p>
      <w:pPr>
        <w:snapToGrid w:val="0"/>
        <w:spacing w:line="500" w:lineRule="exact"/>
        <w:jc w:val="left"/>
        <w:rPr>
          <w:rFonts w:hint="eastAsia"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1</w:t>
      </w:r>
      <w:r>
        <w:rPr>
          <w:rFonts w:hint="eastAsia" w:ascii="宋体" w:hAnsi="宋体"/>
          <w:color w:val="auto"/>
          <w:sz w:val="24"/>
          <w:highlight w:val="none"/>
        </w:rPr>
        <w:t>、报价一经涂改，应在涂改处加盖单位公章或者由法定代表人或授权委托人签字或盖章，否则其投标作无效标处理。</w:t>
      </w:r>
    </w:p>
    <w:p>
      <w:pPr>
        <w:numPr>
          <w:ilvl w:val="0"/>
          <w:numId w:val="11"/>
        </w:numPr>
        <w:snapToGrid w:val="0"/>
        <w:spacing w:before="50" w:after="50" w:line="360" w:lineRule="auto"/>
        <w:ind w:firstLine="480"/>
        <w:jc w:val="left"/>
        <w:rPr>
          <w:rFonts w:hint="eastAsia" w:ascii="宋体" w:hAnsi="宋体"/>
          <w:color w:val="auto"/>
          <w:sz w:val="24"/>
          <w:highlight w:val="none"/>
        </w:rPr>
      </w:pPr>
      <w:r>
        <w:rPr>
          <w:rFonts w:hint="eastAsia" w:ascii="宋体" w:hAnsi="宋体"/>
          <w:color w:val="auto"/>
          <w:sz w:val="24"/>
          <w:highlight w:val="none"/>
        </w:rPr>
        <w:t>投标费用包括项目实施所需的人工费、服务费、运输费、安装调试费、购买及制作标书费、税费及其他一切费用。</w:t>
      </w:r>
    </w:p>
    <w:p>
      <w:pPr>
        <w:snapToGrid w:val="0"/>
        <w:spacing w:before="50" w:after="50" w:line="360" w:lineRule="auto"/>
        <w:jc w:val="left"/>
        <w:rPr>
          <w:rFonts w:hint="eastAsia" w:ascii="宋体" w:hAnsi="宋体"/>
          <w:color w:val="auto"/>
          <w:sz w:val="24"/>
          <w:highlight w:val="none"/>
        </w:rPr>
      </w:pPr>
      <w:r>
        <w:rPr>
          <w:rFonts w:hint="eastAsia" w:ascii="宋体" w:hAnsi="宋体"/>
          <w:color w:val="auto"/>
          <w:sz w:val="24"/>
          <w:highlight w:val="none"/>
        </w:rPr>
        <w:t xml:space="preserve">    3、以上报价应与“投标报价明细表”中的“投标总价”相一致。</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snapToGrid w:val="0"/>
        <w:spacing w:before="50" w:after="50"/>
        <w:ind w:firstLine="280" w:firstLineChars="100"/>
        <w:rPr>
          <w:rFonts w:ascii="宋体" w:hAnsi="宋体"/>
          <w:color w:val="auto"/>
          <w:spacing w:val="20"/>
          <w:sz w:val="24"/>
          <w:szCs w:val="20"/>
          <w:highlight w:val="none"/>
          <w:u w:val="single"/>
        </w:rPr>
      </w:pPr>
      <w:r>
        <w:rPr>
          <w:rFonts w:hint="eastAsia" w:ascii="宋体" w:hAnsi="宋体"/>
          <w:color w:val="auto"/>
          <w:spacing w:val="20"/>
          <w:sz w:val="24"/>
          <w:highlight w:val="none"/>
        </w:rPr>
        <w:t>法定代表人或授权人签名：</w:t>
      </w:r>
      <w:r>
        <w:rPr>
          <w:rFonts w:ascii="宋体" w:hAnsi="宋体"/>
          <w:color w:val="auto"/>
          <w:spacing w:val="20"/>
          <w:sz w:val="24"/>
          <w:highlight w:val="none"/>
          <w:u w:val="single"/>
        </w:rPr>
        <w:t xml:space="preserve">            </w:t>
      </w:r>
    </w:p>
    <w:p>
      <w:pPr>
        <w:snapToGrid w:val="0"/>
        <w:spacing w:before="120" w:beforeLines="50" w:after="50"/>
        <w:ind w:firstLine="280" w:firstLineChars="100"/>
        <w:rPr>
          <w:rFonts w:ascii="宋体" w:hAnsi="宋体"/>
          <w:color w:val="auto"/>
          <w:spacing w:val="20"/>
          <w:sz w:val="24"/>
          <w:highlight w:val="none"/>
        </w:rPr>
      </w:pPr>
      <w:r>
        <w:rPr>
          <w:rFonts w:hint="eastAsia" w:ascii="宋体" w:hAnsi="宋体"/>
          <w:color w:val="auto"/>
          <w:spacing w:val="20"/>
          <w:sz w:val="24"/>
          <w:highlight w:val="none"/>
        </w:rPr>
        <w:t>供应商盖章：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p>
    <w:p>
      <w:pPr>
        <w:spacing w:line="500" w:lineRule="exact"/>
        <w:ind w:firstLine="560" w:firstLineChars="200"/>
        <w:jc w:val="center"/>
        <w:rPr>
          <w:rFonts w:hint="eastAsia" w:ascii="宋体" w:hAnsi="宋体" w:cs="宋体"/>
          <w:color w:val="auto"/>
          <w:sz w:val="24"/>
          <w:highlight w:val="none"/>
        </w:rPr>
      </w:pPr>
      <w:r>
        <w:rPr>
          <w:rFonts w:hint="eastAsia" w:ascii="宋体" w:hAnsi="宋体"/>
          <w:color w:val="auto"/>
          <w:spacing w:val="20"/>
          <w:sz w:val="24"/>
          <w:highlight w:val="none"/>
        </w:rPr>
        <w:t xml:space="preserve">      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pacing w:line="500" w:lineRule="exact"/>
        <w:jc w:val="center"/>
        <w:rPr>
          <w:rFonts w:hint="eastAsia" w:ascii="宋体" w:hAnsi="宋体" w:cs="宋体"/>
          <w:color w:val="auto"/>
          <w:sz w:val="24"/>
          <w:highlight w:val="none"/>
        </w:rPr>
      </w:pPr>
    </w:p>
    <w:p>
      <w:pPr>
        <w:pStyle w:val="15"/>
        <w:spacing w:line="500" w:lineRule="exact"/>
        <w:ind w:firstLine="0"/>
        <w:jc w:val="center"/>
        <w:rPr>
          <w:rFonts w:hint="eastAsia" w:ascii="宋体" w:hAnsi="宋体" w:cs="宋体"/>
          <w:b/>
          <w:color w:val="auto"/>
          <w:sz w:val="28"/>
          <w:szCs w:val="28"/>
          <w:highlight w:val="none"/>
        </w:rPr>
        <w:sectPr>
          <w:pgSz w:w="11906" w:h="16838"/>
          <w:pgMar w:top="1474" w:right="1286" w:bottom="1247" w:left="1418" w:header="851" w:footer="992" w:gutter="0"/>
          <w:cols w:space="720" w:num="1"/>
          <w:docGrid w:linePitch="312" w:charSpace="0"/>
        </w:sectPr>
      </w:pPr>
    </w:p>
    <w:p>
      <w:pPr>
        <w:jc w:val="center"/>
        <w:rPr>
          <w:rFonts w:hint="eastAsia" w:ascii="宋体" w:hAnsi="宋体" w:cs="宋体"/>
          <w:b/>
          <w:color w:val="auto"/>
          <w:szCs w:val="28"/>
          <w:highlight w:val="none"/>
        </w:rPr>
      </w:pPr>
      <w:r>
        <w:rPr>
          <w:rFonts w:hint="eastAsia" w:ascii="宋体" w:hAnsi="宋体" w:cs="宋体"/>
          <w:b/>
          <w:color w:val="auto"/>
          <w:szCs w:val="28"/>
          <w:highlight w:val="none"/>
        </w:rPr>
        <w:t>3、投标报价明细表</w:t>
      </w:r>
    </w:p>
    <w:p>
      <w:pPr>
        <w:pStyle w:val="2"/>
        <w:ind w:left="560"/>
        <w:rPr>
          <w:rFonts w:hint="eastAsia"/>
          <w:color w:val="auto"/>
          <w:highlight w:val="none"/>
        </w:rPr>
      </w:pPr>
    </w:p>
    <w:tbl>
      <w:tblPr>
        <w:tblStyle w:val="4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820"/>
        <w:gridCol w:w="853"/>
        <w:gridCol w:w="1604"/>
        <w:gridCol w:w="882"/>
        <w:gridCol w:w="965"/>
        <w:gridCol w:w="122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bookmarkStart w:id="33" w:name="_Toc293916989"/>
            <w:r>
              <w:rPr>
                <w:rFonts w:hint="eastAsia" w:ascii="宋体" w:hAnsi="宋体"/>
                <w:color w:val="auto"/>
                <w:sz w:val="24"/>
                <w:szCs w:val="24"/>
                <w:highlight w:val="none"/>
              </w:rPr>
              <w:t>序号</w:t>
            </w:r>
            <w:bookmarkEnd w:id="33"/>
          </w:p>
        </w:tc>
        <w:tc>
          <w:tcPr>
            <w:tcW w:w="1820"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货物名称</w:t>
            </w:r>
          </w:p>
        </w:tc>
        <w:tc>
          <w:tcPr>
            <w:tcW w:w="853" w:type="dxa"/>
            <w:noWrap w:val="0"/>
            <w:vAlign w:val="center"/>
          </w:tcPr>
          <w:p>
            <w:pPr>
              <w:jc w:val="center"/>
              <w:rPr>
                <w:rFonts w:hint="eastAsia" w:ascii="宋体" w:hAnsi="宋体"/>
                <w:color w:val="auto"/>
                <w:sz w:val="24"/>
                <w:szCs w:val="24"/>
                <w:highlight w:val="none"/>
              </w:rPr>
            </w:pPr>
            <w:bookmarkStart w:id="34" w:name="_Toc293916991"/>
            <w:r>
              <w:rPr>
                <w:rFonts w:hint="eastAsia" w:ascii="宋体" w:hAnsi="宋体"/>
                <w:color w:val="auto"/>
                <w:sz w:val="24"/>
                <w:szCs w:val="24"/>
                <w:highlight w:val="none"/>
              </w:rPr>
              <w:t>品牌</w:t>
            </w:r>
            <w:bookmarkEnd w:id="34"/>
          </w:p>
        </w:tc>
        <w:tc>
          <w:tcPr>
            <w:tcW w:w="1604" w:type="dxa"/>
            <w:noWrap w:val="0"/>
            <w:vAlign w:val="center"/>
          </w:tcPr>
          <w:p>
            <w:pPr>
              <w:jc w:val="center"/>
              <w:rPr>
                <w:rFonts w:hint="eastAsia" w:ascii="宋体" w:hAnsi="宋体"/>
                <w:color w:val="auto"/>
                <w:sz w:val="24"/>
                <w:szCs w:val="24"/>
                <w:highlight w:val="none"/>
              </w:rPr>
            </w:pPr>
            <w:bookmarkStart w:id="35" w:name="_Toc293916992"/>
            <w:r>
              <w:rPr>
                <w:rFonts w:hint="eastAsia" w:ascii="宋体" w:hAnsi="宋体"/>
                <w:color w:val="auto"/>
                <w:sz w:val="24"/>
                <w:szCs w:val="24"/>
                <w:highlight w:val="none"/>
              </w:rPr>
              <w:t>规格型号</w:t>
            </w:r>
            <w:bookmarkEnd w:id="35"/>
          </w:p>
        </w:tc>
        <w:tc>
          <w:tcPr>
            <w:tcW w:w="882" w:type="dxa"/>
            <w:noWrap w:val="0"/>
            <w:vAlign w:val="center"/>
          </w:tcPr>
          <w:p>
            <w:pPr>
              <w:jc w:val="center"/>
              <w:rPr>
                <w:rFonts w:hint="eastAsia" w:ascii="宋体" w:hAnsi="宋体"/>
                <w:color w:val="auto"/>
                <w:sz w:val="24"/>
                <w:szCs w:val="24"/>
                <w:highlight w:val="none"/>
              </w:rPr>
            </w:pPr>
            <w:bookmarkStart w:id="36" w:name="_Toc293916993"/>
            <w:r>
              <w:rPr>
                <w:rFonts w:hint="eastAsia" w:ascii="宋体" w:hAnsi="宋体"/>
                <w:color w:val="auto"/>
                <w:sz w:val="24"/>
                <w:szCs w:val="24"/>
                <w:highlight w:val="none"/>
              </w:rPr>
              <w:t>数量</w:t>
            </w:r>
            <w:bookmarkEnd w:id="36"/>
          </w:p>
        </w:tc>
        <w:tc>
          <w:tcPr>
            <w:tcW w:w="965" w:type="dxa"/>
            <w:noWrap w:val="0"/>
            <w:vAlign w:val="center"/>
          </w:tcPr>
          <w:p>
            <w:pPr>
              <w:jc w:val="center"/>
              <w:rPr>
                <w:rFonts w:hint="eastAsia" w:ascii="宋体" w:hAnsi="宋体"/>
                <w:color w:val="auto"/>
                <w:sz w:val="24"/>
                <w:szCs w:val="24"/>
                <w:highlight w:val="none"/>
              </w:rPr>
            </w:pPr>
            <w:bookmarkStart w:id="37" w:name="_Toc293916994"/>
            <w:r>
              <w:rPr>
                <w:rFonts w:hint="eastAsia" w:ascii="宋体" w:hAnsi="宋体"/>
                <w:color w:val="auto"/>
                <w:sz w:val="24"/>
                <w:szCs w:val="24"/>
                <w:highlight w:val="none"/>
              </w:rPr>
              <w:t>单价</w:t>
            </w:r>
            <w:bookmarkEnd w:id="37"/>
          </w:p>
        </w:tc>
        <w:tc>
          <w:tcPr>
            <w:tcW w:w="1224"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总价</w:t>
            </w:r>
          </w:p>
        </w:tc>
        <w:tc>
          <w:tcPr>
            <w:tcW w:w="788"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24" w:type="dxa"/>
            <w:noWrap w:val="0"/>
            <w:vAlign w:val="center"/>
          </w:tcPr>
          <w:p>
            <w:pPr>
              <w:jc w:val="center"/>
              <w:rPr>
                <w:rFonts w:hint="eastAsia" w:ascii="宋体" w:hAnsi="宋体"/>
                <w:color w:val="auto"/>
                <w:sz w:val="24"/>
                <w:szCs w:val="24"/>
                <w:highlight w:val="none"/>
              </w:rPr>
            </w:pPr>
          </w:p>
        </w:tc>
        <w:tc>
          <w:tcPr>
            <w:tcW w:w="1820" w:type="dxa"/>
            <w:noWrap w:val="0"/>
            <w:vAlign w:val="center"/>
          </w:tcPr>
          <w:p>
            <w:pPr>
              <w:jc w:val="center"/>
              <w:rPr>
                <w:rFonts w:hint="eastAsia" w:ascii="宋体" w:hAnsi="宋体"/>
                <w:color w:val="auto"/>
                <w:sz w:val="24"/>
                <w:szCs w:val="24"/>
                <w:highlight w:val="none"/>
              </w:rPr>
            </w:pPr>
          </w:p>
        </w:tc>
        <w:tc>
          <w:tcPr>
            <w:tcW w:w="853" w:type="dxa"/>
            <w:noWrap w:val="0"/>
            <w:vAlign w:val="center"/>
          </w:tcPr>
          <w:p>
            <w:pPr>
              <w:jc w:val="center"/>
              <w:rPr>
                <w:rFonts w:hint="eastAsia" w:ascii="宋体" w:hAnsi="宋体"/>
                <w:color w:val="auto"/>
                <w:sz w:val="24"/>
                <w:szCs w:val="24"/>
                <w:highlight w:val="none"/>
              </w:rPr>
            </w:pPr>
          </w:p>
        </w:tc>
        <w:tc>
          <w:tcPr>
            <w:tcW w:w="1604" w:type="dxa"/>
            <w:noWrap w:val="0"/>
            <w:vAlign w:val="center"/>
          </w:tcPr>
          <w:p>
            <w:pPr>
              <w:jc w:val="center"/>
              <w:rPr>
                <w:rFonts w:hint="eastAsia" w:ascii="宋体" w:hAnsi="宋体"/>
                <w:color w:val="auto"/>
                <w:sz w:val="24"/>
                <w:szCs w:val="24"/>
                <w:highlight w:val="none"/>
              </w:rPr>
            </w:pPr>
          </w:p>
        </w:tc>
        <w:tc>
          <w:tcPr>
            <w:tcW w:w="882" w:type="dxa"/>
            <w:noWrap w:val="0"/>
            <w:vAlign w:val="center"/>
          </w:tcPr>
          <w:p>
            <w:pPr>
              <w:jc w:val="center"/>
              <w:rPr>
                <w:rFonts w:hint="eastAsia" w:ascii="宋体" w:hAnsi="宋体"/>
                <w:color w:val="auto"/>
                <w:sz w:val="24"/>
                <w:szCs w:val="24"/>
                <w:highlight w:val="none"/>
              </w:rPr>
            </w:pPr>
          </w:p>
        </w:tc>
        <w:tc>
          <w:tcPr>
            <w:tcW w:w="965" w:type="dxa"/>
            <w:noWrap w:val="0"/>
            <w:vAlign w:val="center"/>
          </w:tcPr>
          <w:p>
            <w:pPr>
              <w:jc w:val="center"/>
              <w:rPr>
                <w:rFonts w:hint="eastAsia" w:ascii="宋体" w:hAnsi="宋体"/>
                <w:color w:val="auto"/>
                <w:sz w:val="24"/>
                <w:szCs w:val="24"/>
                <w:highlight w:val="none"/>
              </w:rPr>
            </w:pPr>
          </w:p>
        </w:tc>
        <w:tc>
          <w:tcPr>
            <w:tcW w:w="1224" w:type="dxa"/>
            <w:noWrap w:val="0"/>
            <w:vAlign w:val="center"/>
          </w:tcPr>
          <w:p>
            <w:pPr>
              <w:jc w:val="center"/>
              <w:rPr>
                <w:rFonts w:hint="eastAsia" w:ascii="宋体" w:hAnsi="宋体"/>
                <w:color w:val="auto"/>
                <w:sz w:val="24"/>
                <w:szCs w:val="24"/>
                <w:highlight w:val="none"/>
              </w:rPr>
            </w:pPr>
          </w:p>
        </w:tc>
        <w:tc>
          <w:tcPr>
            <w:tcW w:w="788" w:type="dxa"/>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exact"/>
        </w:trPr>
        <w:tc>
          <w:tcPr>
            <w:tcW w:w="5601" w:type="dxa"/>
            <w:gridSpan w:val="4"/>
            <w:vMerge w:val="restart"/>
            <w:noWrap w:val="0"/>
            <w:vAlign w:val="center"/>
          </w:tcPr>
          <w:p>
            <w:pPr>
              <w:jc w:val="center"/>
              <w:rPr>
                <w:rFonts w:hint="eastAsia" w:ascii="宋体" w:hAnsi="宋体"/>
                <w:b/>
                <w:color w:val="auto"/>
                <w:sz w:val="24"/>
                <w:szCs w:val="24"/>
                <w:highlight w:val="none"/>
              </w:rPr>
            </w:pPr>
            <w:bookmarkStart w:id="38" w:name="_Toc293917007"/>
            <w:r>
              <w:rPr>
                <w:rFonts w:hint="eastAsia" w:ascii="宋体" w:hAnsi="宋体"/>
                <w:b/>
                <w:color w:val="auto"/>
                <w:sz w:val="24"/>
                <w:szCs w:val="24"/>
                <w:highlight w:val="none"/>
              </w:rPr>
              <w:t>投标总价（此总价需与开标一览表总价一致）</w:t>
            </w:r>
            <w:bookmarkEnd w:id="38"/>
          </w:p>
        </w:tc>
        <w:tc>
          <w:tcPr>
            <w:tcW w:w="3859" w:type="dxa"/>
            <w:gridSpan w:val="4"/>
            <w:noWrap w:val="0"/>
            <w:vAlign w:val="center"/>
          </w:tcPr>
          <w:p>
            <w:pPr>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none"/>
                <w:lang w:val="en-US" w:eastAsia="zh-CN"/>
              </w:rPr>
              <w:t>小写：</w:t>
            </w:r>
            <w:r>
              <w:rPr>
                <w:rFonts w:hint="eastAsia" w:ascii="宋体" w:hAnsi="宋体"/>
                <w:color w:val="auto"/>
                <w:sz w:val="24"/>
                <w:szCs w:val="24"/>
                <w:highlight w:val="none"/>
                <w:u w:val="single"/>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exact"/>
        </w:trPr>
        <w:tc>
          <w:tcPr>
            <w:tcW w:w="5601" w:type="dxa"/>
            <w:gridSpan w:val="4"/>
            <w:vMerge w:val="continue"/>
            <w:noWrap w:val="0"/>
            <w:vAlign w:val="center"/>
          </w:tcPr>
          <w:p>
            <w:pPr>
              <w:jc w:val="center"/>
              <w:rPr>
                <w:rFonts w:hint="eastAsia" w:ascii="宋体" w:hAnsi="宋体"/>
                <w:b/>
                <w:color w:val="auto"/>
                <w:sz w:val="24"/>
                <w:szCs w:val="24"/>
                <w:highlight w:val="none"/>
              </w:rPr>
            </w:pPr>
          </w:p>
        </w:tc>
        <w:tc>
          <w:tcPr>
            <w:tcW w:w="3859" w:type="dxa"/>
            <w:gridSpan w:val="4"/>
            <w:noWrap w:val="0"/>
            <w:vAlign w:val="center"/>
          </w:tcPr>
          <w:p>
            <w:pPr>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大写：</w:t>
            </w:r>
            <w:r>
              <w:rPr>
                <w:rFonts w:hint="eastAsia" w:ascii="宋体" w:hAnsi="宋体"/>
                <w:color w:val="auto"/>
                <w:sz w:val="24"/>
                <w:szCs w:val="24"/>
                <w:highlight w:val="none"/>
                <w:u w:val="single"/>
                <w:lang w:val="en-US" w:eastAsia="zh-CN"/>
              </w:rPr>
              <w:t xml:space="preserve">            元</w:t>
            </w:r>
          </w:p>
        </w:tc>
      </w:tr>
    </w:tbl>
    <w:p>
      <w:pPr>
        <w:rPr>
          <w:rFonts w:hint="eastAsia" w:ascii="宋体" w:hAnsi="宋体" w:cs="宋体"/>
          <w:color w:val="auto"/>
          <w:sz w:val="24"/>
          <w:highlight w:val="none"/>
        </w:rPr>
      </w:pPr>
    </w:p>
    <w:p>
      <w:pPr>
        <w:snapToGrid w:val="0"/>
        <w:spacing w:before="50" w:after="50"/>
        <w:ind w:firstLine="280" w:firstLineChars="100"/>
        <w:rPr>
          <w:rFonts w:ascii="宋体" w:hAnsi="宋体"/>
          <w:color w:val="auto"/>
          <w:spacing w:val="20"/>
          <w:sz w:val="24"/>
          <w:szCs w:val="20"/>
          <w:highlight w:val="none"/>
          <w:u w:val="single"/>
        </w:rPr>
      </w:pPr>
      <w:r>
        <w:rPr>
          <w:rFonts w:hint="eastAsia" w:ascii="宋体" w:hAnsi="宋体"/>
          <w:color w:val="auto"/>
          <w:spacing w:val="20"/>
          <w:sz w:val="24"/>
          <w:highlight w:val="none"/>
        </w:rPr>
        <w:t>法定代表人或授权人签名：</w:t>
      </w:r>
      <w:r>
        <w:rPr>
          <w:rFonts w:ascii="宋体" w:hAnsi="宋体"/>
          <w:color w:val="auto"/>
          <w:spacing w:val="20"/>
          <w:sz w:val="24"/>
          <w:highlight w:val="none"/>
          <w:u w:val="single"/>
        </w:rPr>
        <w:t xml:space="preserve">            </w:t>
      </w:r>
    </w:p>
    <w:p>
      <w:pPr>
        <w:snapToGrid w:val="0"/>
        <w:spacing w:before="120" w:beforeLines="50" w:after="50"/>
        <w:ind w:firstLine="280" w:firstLineChars="100"/>
        <w:rPr>
          <w:rFonts w:ascii="宋体" w:hAnsi="宋体"/>
          <w:color w:val="auto"/>
          <w:spacing w:val="20"/>
          <w:sz w:val="24"/>
          <w:highlight w:val="none"/>
        </w:rPr>
      </w:pPr>
      <w:r>
        <w:rPr>
          <w:rFonts w:hint="eastAsia" w:ascii="宋体" w:hAnsi="宋体"/>
          <w:color w:val="auto"/>
          <w:spacing w:val="20"/>
          <w:sz w:val="24"/>
          <w:highlight w:val="none"/>
        </w:rPr>
        <w:t>供应商盖章：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p>
    <w:p>
      <w:pPr>
        <w:spacing w:line="500" w:lineRule="exact"/>
        <w:ind w:firstLine="560" w:firstLineChars="200"/>
        <w:jc w:val="center"/>
        <w:rPr>
          <w:rFonts w:hint="eastAsia" w:ascii="宋体" w:hAnsi="宋体" w:cs="宋体"/>
          <w:color w:val="auto"/>
          <w:sz w:val="24"/>
          <w:highlight w:val="none"/>
        </w:rPr>
      </w:pPr>
      <w:r>
        <w:rPr>
          <w:rFonts w:hint="eastAsia" w:ascii="宋体" w:hAnsi="宋体"/>
          <w:color w:val="auto"/>
          <w:spacing w:val="20"/>
          <w:sz w:val="24"/>
          <w:highlight w:val="none"/>
        </w:rPr>
        <w:t xml:space="preserve">      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pacing w:line="360" w:lineRule="auto"/>
        <w:jc w:val="right"/>
        <w:rPr>
          <w:rFonts w:hint="eastAsia" w:ascii="宋体" w:hAnsi="宋体" w:cs="宋体"/>
          <w:color w:val="auto"/>
          <w:kern w:val="0"/>
          <w:sz w:val="24"/>
          <w:highlight w:val="none"/>
          <w:lang w:val="zh-CN"/>
        </w:rPr>
      </w:pPr>
    </w:p>
    <w:p>
      <w:pPr>
        <w:snapToGrid w:val="0"/>
        <w:rPr>
          <w:rFonts w:hint="eastAsia" w:ascii="宋体" w:hAnsi="宋体" w:cs="宋体"/>
          <w:b/>
          <w:color w:val="auto"/>
          <w:szCs w:val="28"/>
          <w:highlight w:val="none"/>
        </w:rPr>
        <w:sectPr>
          <w:pgSz w:w="11906" w:h="16838"/>
          <w:pgMar w:top="1474" w:right="1286" w:bottom="1247" w:left="1418" w:header="851" w:footer="992" w:gutter="0"/>
          <w:cols w:space="720" w:num="1"/>
          <w:docGrid w:linePitch="312" w:charSpace="0"/>
        </w:sectPr>
      </w:pPr>
    </w:p>
    <w:p>
      <w:pPr>
        <w:snapToGrid w:val="0"/>
        <w:jc w:val="center"/>
        <w:rPr>
          <w:rFonts w:hint="eastAsia" w:ascii="宋体" w:hAnsi="宋体" w:cs="宋体"/>
          <w:b/>
          <w:color w:val="auto"/>
          <w:sz w:val="24"/>
          <w:highlight w:val="none"/>
        </w:rPr>
      </w:pPr>
      <w:r>
        <w:rPr>
          <w:rFonts w:hint="eastAsia" w:ascii="宋体" w:hAnsi="宋体" w:cs="宋体"/>
          <w:b/>
          <w:color w:val="auto"/>
          <w:szCs w:val="28"/>
          <w:highlight w:val="none"/>
        </w:rPr>
        <w:t>4、</w:t>
      </w:r>
      <w:r>
        <w:rPr>
          <w:rFonts w:hint="eastAsia" w:ascii="宋体" w:hAnsi="宋体" w:cs="宋体"/>
          <w:b/>
          <w:color w:val="auto"/>
          <w:szCs w:val="28"/>
          <w:highlight w:val="none"/>
        </w:rPr>
        <w:t>招标代理服务费承诺函</w:t>
      </w:r>
    </w:p>
    <w:p>
      <w:pPr>
        <w:tabs>
          <w:tab w:val="left" w:pos="2996"/>
        </w:tabs>
        <w:spacing w:line="480" w:lineRule="auto"/>
        <w:rPr>
          <w:rFonts w:hint="eastAsia" w:ascii="宋体" w:hAnsi="宋体" w:cs="宋体"/>
          <w:b/>
          <w:color w:val="auto"/>
          <w:sz w:val="24"/>
          <w:highlight w:val="none"/>
        </w:rPr>
      </w:pPr>
    </w:p>
    <w:p>
      <w:pPr>
        <w:tabs>
          <w:tab w:val="left" w:pos="2996"/>
        </w:tabs>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根据国家计委、物价局文件和招标文件的规定，一旦我公司中标，我公司同意按本招标文件规定向代理机构交纳招标代理费，</w:t>
      </w:r>
      <w:r>
        <w:rPr>
          <w:rFonts w:hint="eastAsia" w:ascii="宋体" w:hAnsi="宋体" w:cs="宋体"/>
          <w:color w:val="auto"/>
          <w:sz w:val="24"/>
          <w:highlight w:val="none"/>
          <w:u w:val="none"/>
        </w:rPr>
        <w:t>招标代理费</w:t>
      </w:r>
      <w:r>
        <w:rPr>
          <w:rFonts w:hint="eastAsia" w:ascii="宋体" w:hAnsi="宋体" w:cs="宋体"/>
          <w:color w:val="auto"/>
          <w:sz w:val="24"/>
          <w:highlight w:val="none"/>
          <w:u w:val="none"/>
          <w:lang w:eastAsia="zh-CN"/>
        </w:rPr>
        <w:t>为</w:t>
      </w:r>
      <w:r>
        <w:rPr>
          <w:rFonts w:hint="eastAsia" w:ascii="宋体" w:hAnsi="宋体" w:cs="宋体"/>
          <w:color w:val="auto"/>
          <w:sz w:val="24"/>
          <w:highlight w:val="none"/>
          <w:u w:val="none"/>
        </w:rPr>
        <w:t>人民币</w:t>
      </w:r>
      <w:r>
        <w:rPr>
          <w:rFonts w:hint="eastAsia" w:ascii="宋体" w:hAnsi="宋体" w:cs="宋体"/>
          <w:color w:val="auto"/>
          <w:sz w:val="24"/>
          <w:highlight w:val="none"/>
          <w:u w:val="none"/>
          <w:lang w:eastAsia="zh-CN"/>
        </w:rPr>
        <w:t>肆万柒仟元</w:t>
      </w:r>
      <w:r>
        <w:rPr>
          <w:rFonts w:hint="eastAsia" w:ascii="宋体" w:hAnsi="宋体" w:cs="宋体"/>
          <w:color w:val="auto"/>
          <w:sz w:val="24"/>
          <w:highlight w:val="none"/>
          <w:u w:val="none"/>
        </w:rPr>
        <w:t>整</w:t>
      </w:r>
      <w:r>
        <w:rPr>
          <w:rFonts w:hint="eastAsia" w:ascii="宋体" w:hAnsi="宋体" w:cs="宋体"/>
          <w:color w:val="auto"/>
          <w:sz w:val="24"/>
          <w:highlight w:val="none"/>
        </w:rPr>
        <w:t>，在收到中标通知书的当日一次性向招标代理机构缴清。本承诺函自开标之日起至本次采购期满有效。</w:t>
      </w:r>
    </w:p>
    <w:p>
      <w:pPr>
        <w:spacing w:line="360" w:lineRule="auto"/>
        <w:jc w:val="center"/>
        <w:rPr>
          <w:rFonts w:hint="eastAsia" w:ascii="宋体" w:hAnsi="宋体" w:cs="宋体"/>
          <w:b/>
          <w:color w:val="auto"/>
          <w:szCs w:val="28"/>
          <w:highlight w:val="none"/>
        </w:rPr>
      </w:pPr>
    </w:p>
    <w:p>
      <w:pPr>
        <w:spacing w:line="360" w:lineRule="auto"/>
        <w:jc w:val="center"/>
        <w:rPr>
          <w:rFonts w:hint="eastAsia" w:ascii="宋体" w:hAnsi="宋体" w:cs="宋体"/>
          <w:b/>
          <w:color w:val="auto"/>
          <w:szCs w:val="28"/>
          <w:highlight w:val="none"/>
        </w:rPr>
      </w:pPr>
    </w:p>
    <w:p>
      <w:pPr>
        <w:spacing w:line="360" w:lineRule="auto"/>
        <w:rPr>
          <w:rFonts w:hint="eastAsia" w:ascii="宋体" w:hAnsi="宋体" w:cs="宋体"/>
          <w:b/>
          <w:color w:val="auto"/>
          <w:szCs w:val="28"/>
          <w:highlight w:val="none"/>
        </w:rPr>
      </w:pPr>
    </w:p>
    <w:p>
      <w:pPr>
        <w:pStyle w:val="15"/>
        <w:spacing w:line="500" w:lineRule="exact"/>
        <w:ind w:firstLine="0"/>
        <w:rPr>
          <w:rFonts w:hint="eastAsia" w:ascii="宋体" w:hAnsi="宋体" w:cs="宋体"/>
          <w:color w:val="auto"/>
          <w:sz w:val="28"/>
          <w:szCs w:val="28"/>
          <w:highlight w:val="none"/>
        </w:rPr>
      </w:pPr>
    </w:p>
    <w:p>
      <w:pPr>
        <w:pStyle w:val="15"/>
        <w:spacing w:line="500" w:lineRule="exact"/>
        <w:ind w:firstLine="0"/>
        <w:rPr>
          <w:rFonts w:hint="eastAsia" w:ascii="宋体" w:hAnsi="宋体" w:cs="宋体"/>
          <w:color w:val="auto"/>
          <w:sz w:val="28"/>
          <w:szCs w:val="28"/>
          <w:highlight w:val="none"/>
        </w:rPr>
      </w:pPr>
    </w:p>
    <w:bookmarkEnd w:id="32"/>
    <w:p>
      <w:pPr>
        <w:snapToGrid w:val="0"/>
        <w:spacing w:before="50" w:after="50"/>
        <w:ind w:firstLine="280" w:firstLineChars="100"/>
        <w:rPr>
          <w:rFonts w:ascii="宋体" w:hAnsi="宋体"/>
          <w:color w:val="auto"/>
          <w:spacing w:val="20"/>
          <w:sz w:val="24"/>
          <w:szCs w:val="20"/>
          <w:highlight w:val="none"/>
          <w:u w:val="single"/>
        </w:rPr>
      </w:pPr>
      <w:r>
        <w:rPr>
          <w:rFonts w:hint="eastAsia" w:ascii="宋体" w:hAnsi="宋体"/>
          <w:color w:val="auto"/>
          <w:spacing w:val="20"/>
          <w:sz w:val="24"/>
          <w:highlight w:val="none"/>
        </w:rPr>
        <w:t>法定代表人或授权人签名：</w:t>
      </w:r>
      <w:r>
        <w:rPr>
          <w:rFonts w:ascii="宋体" w:hAnsi="宋体"/>
          <w:color w:val="auto"/>
          <w:spacing w:val="20"/>
          <w:sz w:val="24"/>
          <w:highlight w:val="none"/>
          <w:u w:val="single"/>
        </w:rPr>
        <w:t xml:space="preserve">            </w:t>
      </w:r>
    </w:p>
    <w:p>
      <w:pPr>
        <w:snapToGrid w:val="0"/>
        <w:spacing w:before="120" w:beforeLines="50" w:after="50"/>
        <w:ind w:firstLine="280" w:firstLineChars="100"/>
        <w:rPr>
          <w:rFonts w:ascii="宋体" w:hAnsi="宋体"/>
          <w:color w:val="auto"/>
          <w:spacing w:val="20"/>
          <w:sz w:val="24"/>
          <w:highlight w:val="none"/>
        </w:rPr>
      </w:pPr>
      <w:r>
        <w:rPr>
          <w:rFonts w:hint="eastAsia" w:ascii="宋体" w:hAnsi="宋体"/>
          <w:color w:val="auto"/>
          <w:spacing w:val="20"/>
          <w:sz w:val="24"/>
          <w:highlight w:val="none"/>
        </w:rPr>
        <w:t>供应商盖章：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p>
    <w:p>
      <w:pPr>
        <w:spacing w:line="500" w:lineRule="exact"/>
        <w:ind w:firstLine="560" w:firstLineChars="200"/>
        <w:jc w:val="center"/>
        <w:rPr>
          <w:rFonts w:hint="eastAsia" w:ascii="宋体" w:hAnsi="宋体" w:cs="宋体"/>
          <w:color w:val="auto"/>
          <w:sz w:val="24"/>
          <w:highlight w:val="none"/>
        </w:rPr>
      </w:pPr>
      <w:r>
        <w:rPr>
          <w:rFonts w:hint="eastAsia" w:ascii="宋体" w:hAnsi="宋体"/>
          <w:color w:val="auto"/>
          <w:spacing w:val="20"/>
          <w:sz w:val="24"/>
          <w:highlight w:val="none"/>
        </w:rPr>
        <w:t xml:space="preserve">      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pacing w:line="480" w:lineRule="exact"/>
        <w:ind w:firstLine="550" w:firstLineChars="250"/>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2"/>
        <w:rPr>
          <w:rFonts w:hint="eastAsia" w:ascii="宋体" w:hAnsi="宋体" w:cs="宋体"/>
          <w:bCs/>
          <w:snapToGrid w:val="0"/>
          <w:color w:val="auto"/>
          <w:sz w:val="22"/>
          <w:szCs w:val="22"/>
          <w:highlight w:val="none"/>
        </w:rPr>
      </w:pPr>
    </w:p>
    <w:p>
      <w:pPr>
        <w:pStyle w:val="38"/>
        <w:keepNext w:val="0"/>
        <w:keepLines w:val="0"/>
        <w:pageBreakBefore w:val="0"/>
        <w:widowControl w:val="0"/>
        <w:kinsoku/>
        <w:wordWrap/>
        <w:overflowPunct/>
        <w:topLinePunct w:val="0"/>
        <w:autoSpaceDE/>
        <w:autoSpaceDN/>
        <w:bidi w:val="0"/>
        <w:adjustRightInd/>
        <w:spacing w:line="320" w:lineRule="exact"/>
        <w:ind w:left="560"/>
        <w:jc w:val="center"/>
        <w:textAlignment w:val="auto"/>
        <w:rPr>
          <w:rFonts w:hint="eastAsia" w:ascii="宋体" w:hAnsi="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5、供应商针对报价需要说明的其他文件和说明。</w:t>
      </w:r>
    </w:p>
    <w:p>
      <w:pPr>
        <w:pStyle w:val="2"/>
        <w:jc w:val="center"/>
        <w:rPr>
          <w:rFonts w:hint="eastAsia" w:ascii="宋体" w:hAnsi="宋体" w:cs="宋体"/>
          <w:b/>
          <w:color w:val="auto"/>
          <w:kern w:val="2"/>
          <w:sz w:val="28"/>
          <w:szCs w:val="28"/>
          <w:highlight w:val="none"/>
          <w:lang w:val="en-US" w:eastAsia="zh-CN" w:bidi="ar-SA"/>
        </w:rPr>
      </w:pPr>
    </w:p>
    <w:sectPr>
      <w:pgSz w:w="11906" w:h="16838"/>
      <w:pgMar w:top="1474" w:right="1286"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80E0000" w:usb2="00000010" w:usb3="00000000" w:csb0="00040000" w:csb1="00000000"/>
  </w:font>
  <w:font w:name="仿宋_GB2312">
    <w:altName w:val="仿宋"/>
    <w:panose1 w:val="00000000000000000000"/>
    <w:charset w:val="86"/>
    <w:family w:val="modern"/>
    <w:pitch w:val="default"/>
    <w:sig w:usb0="00000000" w:usb1="080E0000" w:usb2="00000000" w:usb3="00000000" w:csb0="00040000" w:csb1="00000000"/>
  </w:font>
  <w:font w:name="Calibri">
    <w:panose1 w:val="020F0502020204030204"/>
    <w:charset w:val="86"/>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ascii="宋体" w:hAnsi="宋体" w:cs="宋体"/>
        <w:sz w:val="21"/>
        <w:szCs w:val="21"/>
        <w:u w:val="single"/>
      </w:rPr>
      <w:t>浙江建安工程管理有限公司  电话：0572-2606711  地址：湖州市创业大道111号中屹集团7楼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ascii="宋体" w:hAnsi="宋体" w:cs="宋体"/>
        <w:sz w:val="21"/>
        <w:szCs w:val="21"/>
        <w:u w:val="single"/>
      </w:rPr>
      <w:t>浙江建安工程管理有限公司  电话：0572-2606711  地址：湖州市创业大道111号中屹集团7楼</w:t>
    </w:r>
  </w:p>
  <w:p>
    <w:pPr>
      <w:pStyle w:val="3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36</w:t>
                          </w:r>
                          <w:r>
                            <w:rPr>
                              <w:rFonts w:hint="eastAsia"/>
                              <w:sz w:val="1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9RTtQAAAAD AQAADwAAAGRycy9kb3ducmV2LnhtbE2PQUvDQBCF74L/YRnBS2l3E0XSmE1BoTcFWwWv0+yYpGZn w+42rf56Vy/1MvB4j/e+qVYnO4iJfOgda8gWCgRx40zPrYa31/W8ABEissHBMWn4ogCr+vKiwtK4 I29o2sZWpBIOJWroYhxLKUPTkcWwcCNx8j6ctxiT9K00Ho+p3A4yV+pOWuw5LXQ40mNHzef2YDW8 P30TbYqH2Wy63e+9Wi9fGvms9fVVpu5BRDrFcxh+8RM61Ilp5w5sghg0pEfi301eXmQgdhpu8hxk Xcn/7PUPUEsDBBQAAAAIAIdO4kDFdiuq2QEAAKQDAAAOAAAAZHJzL2Uyb0RvYy54bWytU82O0zAQ viPxDpbvNGm3pVXUdAWqFiEhQFp4ANexG0v+k8dt0heAN+DEhTvP1edg7KRdtHvZw16csWfmm/m+ maxve6PJUQRQztZ0OikpEZa7Rtl9Tb9/u3uzogQisw3TzoqangTQ283rV+vOV2LmWqcbEQiCWKg6 X9M2Rl8VBfBWGAYT54VFp3TBsIjXsC+awDpEN7qYleXbonOh8cFxAYCv28FJR8TwHEAnpeJi6/jB CBsH1CA0i0gJWuWBbnK3Ugoev0gJIhJdU2Qa84lF0N6ls9isWbUPzLeKjy2w57TwiJNhymLRK9SW RUYOQT2BMooHB07GCXemGIhkRZDFtHykzX3LvMhcUGrwV9Hh5WD55+PXQFSDm0CJZQYHfv718/z7 7/nPDzItb6ZJoc5DhYH3HkNj/971KXp8B3xMxHsZTPoiJYJ+1Pd01Vf0kfCUtFzNbxaUcHTNyvl8 mfUvHpJ9gPhBOEOSUdOA48uqsuMniFgQQy8hqZZ1d0rrPEJtSYcFFqvlImdcXZiiLWYmDkOvyYr9 rh8J7FxzQl4d7kBNLa48JfqjRYnTulyMcDF2F+Pgg9q3eZ9SK+DfHSK2k7tMFQbYsTAOLzc/Llra jv/vOerh59r8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IQfUU7UAAAAAwEAAA8AAAAAAAAAAQAg AAAAIgAAAGRycy9kb3ducmV2LnhtbFBLAQIUABQAAAAIAIdO4kDFdiuq2QEAAKQDAAAOAAAAAAAA AAEAIAAAACMBAABkcnMvZTJvRG9jLnhtbFBLBQYAAAAABgAGAFkBAABuBQAAAAA= ">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ascii="宋体" w:hAnsi="宋体" w:cs="宋体"/>
        <w:sz w:val="21"/>
        <w:szCs w:val="21"/>
        <w:u w:val="single"/>
      </w:rPr>
      <w:t>浙江建安工程管理有限公司  电话：0572-2606711  地址：湖州市创业大道111号中屹集团7楼</w:t>
    </w:r>
  </w:p>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6.1pt;width:14.05pt;mso-position-horizontal:center;mso-position-horizontal-relative:margin;mso-wrap-style:none;z-index:251660288;mso-width-relative:page;mso-height-relative:page;" filled="f" stroked="f" coordsize="21600,21600" o:gfxdata="UEsDBAoAAAAAAIdO4kAAAAAAAAAAAAAAAAAEAAAAZHJzL1BLAwQUAAAACACHTuJAhB9RTtQAAAAD AQAADwAAAGRycy9kb3ducmV2LnhtbE2PQUvDQBCF74L/YRnBS2l3E0XSmE1BoTcFWwWv0+yYpGZn w+42rf56Vy/1MvB4j/e+qVYnO4iJfOgda8gWCgRx40zPrYa31/W8ABEissHBMWn4ogCr+vKiwtK4 I29o2sZWpBIOJWroYhxLKUPTkcWwcCNx8j6ctxiT9K00Ho+p3A4yV+pOWuw5LXQ40mNHzef2YDW8 P30TbYqH2Wy63e+9Wi9fGvms9fVVpu5BRDrFcxh+8RM61Ilp5w5sghg0pEfi301eXmQgdhpu8hxk Xcn/7PUPUEsDBBQAAAAIAIdO4kDYFZIN2gEAAKQDAAAOAAAAZHJzL2Uyb0RvYy54bWytU82O0zAQ viPxDpbvNGm2pVXUdAWqFiEhQFp4ANdxGkv+k8dt0heAN+DEhTvP1edg7CRdtHvZw16SiWfmm+/7 PNnc9lqRk/AgranofJZTIgy3tTSHin7/dvdmTQkEZmqmrBEVPQugt9vXrzadK0VhW6tq4QmCGCg7 V9E2BFdmGfBWaAYz64TBZGO9ZgE//SGrPesQXausyPO3WWd97bzlAgBPd0OSjoj+OYC2aSQXO8uP WpgwoHqhWEBJ0EoHdJvYNo3g4UvTgAhEVRSVhvTEIRjv4zPbblh58My1ko8U2HMoPNKkmTQ49Aq1 Y4GRo5dPoLTk3oJtwoxbnQ1CkiOoYp4/8ua+ZU4kLWg1uKvp8HKw/PPpqyeyrmhBiWEaL/zy6+fl 99/Lnx9knt8U0aHOQYmF9w5LQ//e9rg30zngYRTeN17HN0oimEd/z1d/RR8Ij02r9eJmSQnHVJEv Fqvkf/bQ7DyED8JqEoOKery+5Co7fYKARLB0KomzjL2TSqUrVIZ0OGC5Xi1TxzWFLcpgZ9QwcI1R 6Pf9KGxv6zPq6nAHKmpw5SlRHw1aHNdlCvwU7Kfg6Lw8tGmfIhVw744B6SSWccIAOw7Gy0vkx0WL 2/H/d6p6+Lm2/wB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CEH1FO1AAAAAMBAAAPAAAAAAAAAAEA IAAAACIAAABkcnMvZG93bnJldi54bWxQSwECFAAUAAAACACHTuJA2BWSDdoBAACkAwAADgAAAAAA AAABACAAAAAjAQAAZHJzL2Uyb0RvYy54bWxQSwUGAAAAAAYABgBZAQAAbwUAAAAA ">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sz w:val="21"/>
        <w:szCs w:val="21"/>
        <w:u w:val="single"/>
      </w:rPr>
      <w:t xml:space="preserve">  </w:t>
    </w:r>
  </w:p>
  <w:p>
    <w:pPr>
      <w:pStyle w:val="31"/>
      <w:tabs>
        <w:tab w:val="right" w:pos="9180"/>
        <w:tab w:val="clear" w:pos="8306"/>
      </w:tabs>
      <w:ind w:right="-54" w:firstLine="105" w:firstLineChars="50"/>
      <w:jc w:val="center"/>
      <w:rPr>
        <w:rFonts w:hint="eastAsia" w:ascii="宋体" w:hAnsi="宋体" w:cs="宋体"/>
        <w:sz w:val="21"/>
        <w:szCs w:val="21"/>
        <w:u w:val="single"/>
      </w:rPr>
    </w:pPr>
    <w:r>
      <w:rPr>
        <w:rFonts w:hint="eastAsia" w:ascii="宋体" w:hAnsi="宋体" w:cs="宋体"/>
        <w:sz w:val="21"/>
        <w:szCs w:val="21"/>
        <w:u w:val="single"/>
      </w:rPr>
      <w:t>浙江建安工程管理有限公司  电话：0572-2606711  地址：湖州市创业大道111号中屹集团7楼</w:t>
    </w:r>
  </w:p>
  <w:p>
    <w:pPr>
      <w:pStyle w:val="31"/>
      <w:tabs>
        <w:tab w:val="right" w:pos="9180"/>
        <w:tab w:val="clear" w:pos="8306"/>
      </w:tabs>
      <w:ind w:right="-54" w:firstLine="90" w:firstLineChars="50"/>
      <w:jc w:val="center"/>
      <w:rPr>
        <w:sz w:val="21"/>
        <w:szCs w:val="21"/>
      </w:rPr>
    </w:pPr>
    <w:r>
      <w:fldChar w:fldCharType="begin"/>
    </w:r>
    <w:r>
      <w:instrText xml:space="preserve"> PAGE   \* MERGEFORMAT </w:instrText>
    </w:r>
    <w:r>
      <w:fldChar w:fldCharType="separate"/>
    </w:r>
    <w:r>
      <w:rPr>
        <w:lang w:val="zh-CN"/>
      </w:rP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sz w:val="24"/>
        <w:szCs w:val="24"/>
        <w:lang w:eastAsia="zh-CN"/>
      </w:rPr>
      <w:t xml:space="preserve">南浔镇雪亮工程视频监控服务项目二期  </w:t>
    </w:r>
    <w:r>
      <w:rPr>
        <w:rFonts w:hint="eastAsia"/>
      </w:rPr>
      <w:t xml:space="preserve">   </w:t>
    </w:r>
    <w:r>
      <w:rPr>
        <w:rFonts w:hint="eastAsia"/>
        <w:lang w:val="en-US" w:eastAsia="zh-CN"/>
      </w:rPr>
      <w:t xml:space="preserve">           </w:t>
    </w:r>
    <w:r>
      <w:rPr>
        <w:rFonts w:hint="eastAsia"/>
        <w:b/>
        <w:bCs/>
        <w:sz w:val="28"/>
        <w:szCs w:val="28"/>
      </w:rPr>
      <w:t>招标文件</w:t>
    </w:r>
  </w:p>
  <w:p>
    <w:pPr>
      <w:pStyle w:val="32"/>
      <w:pBdr>
        <w:bottom w:val="none" w:color="auto" w:sz="0" w:space="0"/>
      </w:pBdr>
      <w:jc w:val="both"/>
      <w:rPr>
        <w:i/>
        <w:sz w:val="24"/>
        <w:szCs w:val="24"/>
        <w:u w:val="single"/>
      </w:rPr>
    </w:pPr>
    <w:r>
      <w:rPr>
        <w:rFonts w:hint="eastAsia"/>
        <w:i/>
        <w:sz w:val="24"/>
        <w:szCs w:val="24"/>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240" w:hanging="240" w:hangingChars="100"/>
      <w:jc w:val="left"/>
      <w:rPr>
        <w:b/>
        <w:bCs/>
        <w:sz w:val="28"/>
        <w:szCs w:val="28"/>
      </w:rPr>
    </w:pPr>
    <w:r>
      <w:rPr>
        <w:rFonts w:hint="eastAsia"/>
        <w:sz w:val="24"/>
        <w:szCs w:val="24"/>
        <w:lang w:eastAsia="zh-CN"/>
      </w:rPr>
      <w:t xml:space="preserve">南浔镇雪亮工程视频监控服务项目二期  </w:t>
    </w:r>
    <w:r>
      <w:rPr>
        <w:rFonts w:hint="eastAsia"/>
      </w:rPr>
      <w:t xml:space="preserve">              </w:t>
    </w:r>
    <w:r>
      <w:rPr>
        <w:rFonts w:hint="eastAsia"/>
        <w:b/>
        <w:bCs/>
        <w:sz w:val="28"/>
        <w:szCs w:val="2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sz w:val="24"/>
        <w:szCs w:val="24"/>
        <w:lang w:eastAsia="zh-CN"/>
      </w:rPr>
      <w:t xml:space="preserve">南浔镇雪亮工程视频监控服务项目二期  </w:t>
    </w:r>
    <w:r>
      <w:rPr>
        <w:rFonts w:hint="eastAsia"/>
      </w:rPr>
      <w:t xml:space="preserve">        </w:t>
    </w:r>
    <w:r>
      <w:rPr>
        <w:rFonts w:hint="eastAsia"/>
        <w:b/>
        <w:bCs/>
        <w:sz w:val="28"/>
        <w:szCs w:val="28"/>
      </w:rPr>
      <w:t>招标文件</w:t>
    </w:r>
  </w:p>
  <w:p>
    <w:pPr>
      <w:pStyle w:val="32"/>
      <w:pBdr>
        <w:bottom w:val="none" w:color="auto" w:sz="0" w:space="0"/>
      </w:pBdr>
      <w:ind w:right="-358" w:rightChars="-128"/>
      <w:jc w:val="both"/>
      <w:rPr>
        <w:i/>
        <w:sz w:val="24"/>
        <w:szCs w:val="24"/>
        <w:u w:val="single"/>
      </w:rPr>
    </w:pPr>
    <w:r>
      <w:rPr>
        <w:rFonts w:hint="eastAsia"/>
        <w:i/>
        <w:sz w:val="24"/>
        <w:szCs w:val="24"/>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240" w:hanging="240" w:hangingChars="100"/>
      <w:jc w:val="left"/>
      <w:rPr>
        <w:b/>
        <w:bCs/>
        <w:sz w:val="28"/>
        <w:szCs w:val="28"/>
      </w:rPr>
    </w:pPr>
    <w:r>
      <w:rPr>
        <w:rFonts w:hint="eastAsia"/>
        <w:sz w:val="24"/>
        <w:szCs w:val="24"/>
        <w:lang w:eastAsia="zh-CN"/>
      </w:rPr>
      <w:t xml:space="preserve">南浔镇雪亮工程视频监控服务项目二期  </w:t>
    </w:r>
    <w:r>
      <w:rPr>
        <w:rFonts w:hint="eastAsia"/>
      </w:rPr>
      <w:t xml:space="preserve">              </w:t>
    </w:r>
    <w:r>
      <w:rPr>
        <w:rFonts w:hint="eastAsia"/>
        <w:b/>
        <w:bCs/>
        <w:sz w:val="28"/>
        <w:szCs w:val="28"/>
      </w:rPr>
      <w:t xml:space="preserve">    招标文件</w:t>
    </w:r>
  </w:p>
  <w:p>
    <w:pPr>
      <w:pStyle w:val="32"/>
      <w:pBdr>
        <w:bottom w:val="none" w:color="auto" w:sz="0" w:space="0"/>
      </w:pBdr>
      <w:jc w:val="both"/>
      <w:rPr>
        <w:i/>
        <w:sz w:val="24"/>
        <w:szCs w:val="24"/>
        <w:u w:val="single"/>
      </w:rPr>
    </w:pPr>
    <w:r>
      <w:rPr>
        <w:rFonts w:hint="eastAsia"/>
        <w:i/>
        <w:sz w:val="24"/>
        <w:szCs w:val="24"/>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B8FD2"/>
    <w:multiLevelType w:val="singleLevel"/>
    <w:tmpl w:val="B64B8FD2"/>
    <w:lvl w:ilvl="0" w:tentative="0">
      <w:start w:val="3"/>
      <w:numFmt w:val="chineseCounting"/>
      <w:suff w:val="nothing"/>
      <w:lvlText w:val="（%1）"/>
      <w:lvlJc w:val="left"/>
      <w:rPr>
        <w:rFonts w:hint="eastAsia"/>
      </w:rPr>
    </w:lvl>
  </w:abstractNum>
  <w:abstractNum w:abstractNumId="1">
    <w:nsid w:val="CBF73881"/>
    <w:multiLevelType w:val="singleLevel"/>
    <w:tmpl w:val="CBF73881"/>
    <w:lvl w:ilvl="0" w:tentative="0">
      <w:start w:val="1"/>
      <w:numFmt w:val="decimal"/>
      <w:suff w:val="nothing"/>
      <w:lvlText w:val="%1、"/>
      <w:lvlJc w:val="left"/>
    </w:lvl>
  </w:abstractNum>
  <w:abstractNum w:abstractNumId="2">
    <w:nsid w:val="D52892DA"/>
    <w:multiLevelType w:val="singleLevel"/>
    <w:tmpl w:val="D52892DA"/>
    <w:lvl w:ilvl="0" w:tentative="0">
      <w:start w:val="4"/>
      <w:numFmt w:val="chineseCounting"/>
      <w:suff w:val="nothing"/>
      <w:lvlText w:val="%1、"/>
      <w:lvlJc w:val="left"/>
      <w:rPr>
        <w:rFonts w:hint="eastAsia"/>
      </w:rPr>
    </w:lvl>
  </w:abstractNum>
  <w:abstractNum w:abstractNumId="3">
    <w:nsid w:val="E81770B4"/>
    <w:multiLevelType w:val="singleLevel"/>
    <w:tmpl w:val="E81770B4"/>
    <w:lvl w:ilvl="0" w:tentative="0">
      <w:start w:val="6"/>
      <w:numFmt w:val="chineseCounting"/>
      <w:suff w:val="space"/>
      <w:lvlText w:val="第%1章"/>
      <w:lvlJc w:val="left"/>
      <w:rPr>
        <w:rFonts w:hint="eastAsia"/>
      </w:rPr>
    </w:lvl>
  </w:abstractNum>
  <w:abstractNum w:abstractNumId="4">
    <w:nsid w:val="2EEC53EB"/>
    <w:multiLevelType w:val="multilevel"/>
    <w:tmpl w:val="2EEC53EB"/>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3849E5"/>
    <w:multiLevelType w:val="singleLevel"/>
    <w:tmpl w:val="553849E5"/>
    <w:lvl w:ilvl="0" w:tentative="0">
      <w:start w:val="2"/>
      <w:numFmt w:val="decimal"/>
      <w:suff w:val="nothing"/>
      <w:lvlText w:val="%1、"/>
      <w:lvlJc w:val="left"/>
    </w:lvl>
  </w:abstractNum>
  <w:abstractNum w:abstractNumId="6">
    <w:nsid w:val="56E025FC"/>
    <w:multiLevelType w:val="singleLevel"/>
    <w:tmpl w:val="56E025FC"/>
    <w:lvl w:ilvl="0" w:tentative="0">
      <w:start w:val="2"/>
      <w:numFmt w:val="chineseCounting"/>
      <w:suff w:val="space"/>
      <w:lvlText w:val="第%1章"/>
      <w:lvlJc w:val="left"/>
    </w:lvl>
  </w:abstractNum>
  <w:abstractNum w:abstractNumId="7">
    <w:nsid w:val="5A681248"/>
    <w:multiLevelType w:val="singleLevel"/>
    <w:tmpl w:val="5A681248"/>
    <w:lvl w:ilvl="0" w:tentative="0">
      <w:start w:val="1"/>
      <w:numFmt w:val="decimal"/>
      <w:suff w:val="nothing"/>
      <w:lvlText w:val="（%1）"/>
      <w:lvlJc w:val="left"/>
    </w:lvl>
  </w:abstractNum>
  <w:abstractNum w:abstractNumId="8">
    <w:nsid w:val="74D1D9D1"/>
    <w:multiLevelType w:val="singleLevel"/>
    <w:tmpl w:val="74D1D9D1"/>
    <w:lvl w:ilvl="0" w:tentative="0">
      <w:start w:val="5"/>
      <w:numFmt w:val="chineseCounting"/>
      <w:suff w:val="nothing"/>
      <w:lvlText w:val="%1、"/>
      <w:lvlJc w:val="left"/>
      <w:rPr>
        <w:rFonts w:hint="eastAsia"/>
      </w:rPr>
    </w:lvl>
  </w:abstractNum>
  <w:abstractNum w:abstractNumId="9">
    <w:nsid w:val="757B417D"/>
    <w:multiLevelType w:val="multilevel"/>
    <w:tmpl w:val="757B417D"/>
    <w:lvl w:ilvl="0" w:tentative="0">
      <w:start w:val="1"/>
      <w:numFmt w:val="japaneseCounting"/>
      <w:pStyle w:val="21"/>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763060DB"/>
    <w:multiLevelType w:val="multilevel"/>
    <w:tmpl w:val="763060DB"/>
    <w:lvl w:ilvl="0" w:tentative="0">
      <w:start w:val="1"/>
      <w:numFmt w:val="japaneseCounting"/>
      <w:pStyle w:val="13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2"/>
      <w:numFmt w:val="decimal"/>
      <w:lvlText w:val="%3、"/>
      <w:lvlJc w:val="left"/>
      <w:pPr>
        <w:tabs>
          <w:tab w:val="left" w:pos="1725"/>
        </w:tabs>
        <w:ind w:left="1725" w:hanging="720"/>
      </w:pPr>
      <w:rPr>
        <w:rFonts w:hint="default"/>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4"/>
  </w:num>
  <w:num w:numId="2">
    <w:abstractNumId w:val="9"/>
  </w:num>
  <w:num w:numId="3">
    <w:abstractNumId w:val="10"/>
  </w:num>
  <w:num w:numId="4">
    <w:abstractNumId w:val="6"/>
  </w:num>
  <w:num w:numId="5">
    <w:abstractNumId w:val="2"/>
  </w:num>
  <w:num w:numId="6">
    <w:abstractNumId w:val="1"/>
  </w:num>
  <w:num w:numId="7">
    <w:abstractNumId w:val="7"/>
  </w:num>
  <w:num w:numId="8">
    <w:abstractNumId w:val="3"/>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4F"/>
    <w:rsid w:val="00012AA3"/>
    <w:rsid w:val="00013D30"/>
    <w:rsid w:val="00014E23"/>
    <w:rsid w:val="00025D38"/>
    <w:rsid w:val="000317CA"/>
    <w:rsid w:val="000338C2"/>
    <w:rsid w:val="000348F2"/>
    <w:rsid w:val="00034D12"/>
    <w:rsid w:val="00037A96"/>
    <w:rsid w:val="000458B3"/>
    <w:rsid w:val="00050183"/>
    <w:rsid w:val="00053022"/>
    <w:rsid w:val="00055191"/>
    <w:rsid w:val="00056F20"/>
    <w:rsid w:val="00073BD2"/>
    <w:rsid w:val="00085C44"/>
    <w:rsid w:val="000929B9"/>
    <w:rsid w:val="000A1572"/>
    <w:rsid w:val="000B3647"/>
    <w:rsid w:val="000B6E0E"/>
    <w:rsid w:val="000C0095"/>
    <w:rsid w:val="000C29E1"/>
    <w:rsid w:val="000C333D"/>
    <w:rsid w:val="000C6CDF"/>
    <w:rsid w:val="000D3604"/>
    <w:rsid w:val="000E4208"/>
    <w:rsid w:val="000F1686"/>
    <w:rsid w:val="000F1A86"/>
    <w:rsid w:val="000F3E28"/>
    <w:rsid w:val="00101979"/>
    <w:rsid w:val="00103900"/>
    <w:rsid w:val="00103AAD"/>
    <w:rsid w:val="001121A2"/>
    <w:rsid w:val="00121176"/>
    <w:rsid w:val="0012182B"/>
    <w:rsid w:val="0013155F"/>
    <w:rsid w:val="00134FA9"/>
    <w:rsid w:val="0015201C"/>
    <w:rsid w:val="00154E63"/>
    <w:rsid w:val="00155289"/>
    <w:rsid w:val="0015534F"/>
    <w:rsid w:val="0016220F"/>
    <w:rsid w:val="0016300E"/>
    <w:rsid w:val="0016438C"/>
    <w:rsid w:val="00164EC9"/>
    <w:rsid w:val="00170A53"/>
    <w:rsid w:val="00171544"/>
    <w:rsid w:val="001758F4"/>
    <w:rsid w:val="00180356"/>
    <w:rsid w:val="001A2661"/>
    <w:rsid w:val="001A345C"/>
    <w:rsid w:val="001A4C08"/>
    <w:rsid w:val="001A7F4D"/>
    <w:rsid w:val="001B7CA2"/>
    <w:rsid w:val="001E5465"/>
    <w:rsid w:val="00210EE6"/>
    <w:rsid w:val="002247EF"/>
    <w:rsid w:val="0022698D"/>
    <w:rsid w:val="00233490"/>
    <w:rsid w:val="0023409E"/>
    <w:rsid w:val="002343D4"/>
    <w:rsid w:val="00240BB8"/>
    <w:rsid w:val="00245459"/>
    <w:rsid w:val="00253739"/>
    <w:rsid w:val="002646A7"/>
    <w:rsid w:val="00266EB8"/>
    <w:rsid w:val="00272363"/>
    <w:rsid w:val="00272DDE"/>
    <w:rsid w:val="002735F9"/>
    <w:rsid w:val="00276512"/>
    <w:rsid w:val="00286516"/>
    <w:rsid w:val="002A06DD"/>
    <w:rsid w:val="002A551A"/>
    <w:rsid w:val="002B14EA"/>
    <w:rsid w:val="002B7695"/>
    <w:rsid w:val="002C5064"/>
    <w:rsid w:val="002D11D5"/>
    <w:rsid w:val="002D4511"/>
    <w:rsid w:val="002E32C3"/>
    <w:rsid w:val="00307030"/>
    <w:rsid w:val="00307A5E"/>
    <w:rsid w:val="00343039"/>
    <w:rsid w:val="00343F1A"/>
    <w:rsid w:val="00344BDD"/>
    <w:rsid w:val="00371801"/>
    <w:rsid w:val="003721C0"/>
    <w:rsid w:val="00377838"/>
    <w:rsid w:val="00384F0D"/>
    <w:rsid w:val="00392E62"/>
    <w:rsid w:val="00394756"/>
    <w:rsid w:val="003B1E82"/>
    <w:rsid w:val="003B4C27"/>
    <w:rsid w:val="003B6562"/>
    <w:rsid w:val="003B65F9"/>
    <w:rsid w:val="003C0CB7"/>
    <w:rsid w:val="003C7BB7"/>
    <w:rsid w:val="003D14E8"/>
    <w:rsid w:val="003D2D5A"/>
    <w:rsid w:val="003D4575"/>
    <w:rsid w:val="003F4C9E"/>
    <w:rsid w:val="00410354"/>
    <w:rsid w:val="00411AAE"/>
    <w:rsid w:val="0041238E"/>
    <w:rsid w:val="00414A1D"/>
    <w:rsid w:val="004303B3"/>
    <w:rsid w:val="00433935"/>
    <w:rsid w:val="00441ECD"/>
    <w:rsid w:val="00454970"/>
    <w:rsid w:val="00456A7E"/>
    <w:rsid w:val="00482558"/>
    <w:rsid w:val="004839DB"/>
    <w:rsid w:val="004C28E4"/>
    <w:rsid w:val="004C7903"/>
    <w:rsid w:val="004D0086"/>
    <w:rsid w:val="004D18CF"/>
    <w:rsid w:val="004D1CC6"/>
    <w:rsid w:val="004E143B"/>
    <w:rsid w:val="004F7C83"/>
    <w:rsid w:val="005135DE"/>
    <w:rsid w:val="005138CE"/>
    <w:rsid w:val="00533B1D"/>
    <w:rsid w:val="0054294F"/>
    <w:rsid w:val="005448F5"/>
    <w:rsid w:val="00545914"/>
    <w:rsid w:val="005508C7"/>
    <w:rsid w:val="00552161"/>
    <w:rsid w:val="00552CE1"/>
    <w:rsid w:val="005630AD"/>
    <w:rsid w:val="005704C7"/>
    <w:rsid w:val="00570A7A"/>
    <w:rsid w:val="00571CAF"/>
    <w:rsid w:val="005720F1"/>
    <w:rsid w:val="00577003"/>
    <w:rsid w:val="0059174B"/>
    <w:rsid w:val="005A37D3"/>
    <w:rsid w:val="005C27E9"/>
    <w:rsid w:val="005E1FE3"/>
    <w:rsid w:val="005E48B7"/>
    <w:rsid w:val="0060143A"/>
    <w:rsid w:val="00611084"/>
    <w:rsid w:val="00616727"/>
    <w:rsid w:val="00617C8A"/>
    <w:rsid w:val="00626FC4"/>
    <w:rsid w:val="00652F37"/>
    <w:rsid w:val="006568A0"/>
    <w:rsid w:val="0066216A"/>
    <w:rsid w:val="0066494A"/>
    <w:rsid w:val="0068075D"/>
    <w:rsid w:val="006826A7"/>
    <w:rsid w:val="00686F3D"/>
    <w:rsid w:val="00694CF2"/>
    <w:rsid w:val="006A78E0"/>
    <w:rsid w:val="006C3A86"/>
    <w:rsid w:val="006D24D3"/>
    <w:rsid w:val="006D7A3E"/>
    <w:rsid w:val="006E1611"/>
    <w:rsid w:val="006E490B"/>
    <w:rsid w:val="006E79CB"/>
    <w:rsid w:val="006F4074"/>
    <w:rsid w:val="006F7536"/>
    <w:rsid w:val="00700DD7"/>
    <w:rsid w:val="00701D8E"/>
    <w:rsid w:val="00705062"/>
    <w:rsid w:val="007052B6"/>
    <w:rsid w:val="00705937"/>
    <w:rsid w:val="00710E34"/>
    <w:rsid w:val="00725C09"/>
    <w:rsid w:val="00726008"/>
    <w:rsid w:val="00732592"/>
    <w:rsid w:val="00732A8C"/>
    <w:rsid w:val="00735F9D"/>
    <w:rsid w:val="00744A33"/>
    <w:rsid w:val="00747262"/>
    <w:rsid w:val="00757062"/>
    <w:rsid w:val="00760373"/>
    <w:rsid w:val="00764E8D"/>
    <w:rsid w:val="00765B00"/>
    <w:rsid w:val="007725ED"/>
    <w:rsid w:val="0077506E"/>
    <w:rsid w:val="007810DC"/>
    <w:rsid w:val="0078396B"/>
    <w:rsid w:val="007936E4"/>
    <w:rsid w:val="007C5407"/>
    <w:rsid w:val="007C5EC0"/>
    <w:rsid w:val="007D4AFB"/>
    <w:rsid w:val="007D7350"/>
    <w:rsid w:val="007D743E"/>
    <w:rsid w:val="007E3886"/>
    <w:rsid w:val="007F2FF9"/>
    <w:rsid w:val="007F5143"/>
    <w:rsid w:val="0080788B"/>
    <w:rsid w:val="008109BC"/>
    <w:rsid w:val="00824474"/>
    <w:rsid w:val="008418B1"/>
    <w:rsid w:val="008605D7"/>
    <w:rsid w:val="00863D2A"/>
    <w:rsid w:val="0087041C"/>
    <w:rsid w:val="00875115"/>
    <w:rsid w:val="0088313F"/>
    <w:rsid w:val="008A0100"/>
    <w:rsid w:val="008A3FA9"/>
    <w:rsid w:val="008A5DFC"/>
    <w:rsid w:val="008B076A"/>
    <w:rsid w:val="008B1D1C"/>
    <w:rsid w:val="008B6F7C"/>
    <w:rsid w:val="008C080E"/>
    <w:rsid w:val="008D69F2"/>
    <w:rsid w:val="008D7DAD"/>
    <w:rsid w:val="008E706E"/>
    <w:rsid w:val="008F11D8"/>
    <w:rsid w:val="00904247"/>
    <w:rsid w:val="00904262"/>
    <w:rsid w:val="00904400"/>
    <w:rsid w:val="00917019"/>
    <w:rsid w:val="009231C3"/>
    <w:rsid w:val="00925AF4"/>
    <w:rsid w:val="00936079"/>
    <w:rsid w:val="00942946"/>
    <w:rsid w:val="00942C19"/>
    <w:rsid w:val="00946C6C"/>
    <w:rsid w:val="00955EC1"/>
    <w:rsid w:val="00957976"/>
    <w:rsid w:val="009604A9"/>
    <w:rsid w:val="00973031"/>
    <w:rsid w:val="00977016"/>
    <w:rsid w:val="00977A47"/>
    <w:rsid w:val="009818A4"/>
    <w:rsid w:val="00994B36"/>
    <w:rsid w:val="009A171A"/>
    <w:rsid w:val="009C2236"/>
    <w:rsid w:val="009C6686"/>
    <w:rsid w:val="009D6730"/>
    <w:rsid w:val="009E4C6E"/>
    <w:rsid w:val="009E5169"/>
    <w:rsid w:val="00A26BDB"/>
    <w:rsid w:val="00A36FC4"/>
    <w:rsid w:val="00A4127F"/>
    <w:rsid w:val="00A4551A"/>
    <w:rsid w:val="00A474DF"/>
    <w:rsid w:val="00A5435F"/>
    <w:rsid w:val="00A5502A"/>
    <w:rsid w:val="00A55855"/>
    <w:rsid w:val="00A558A7"/>
    <w:rsid w:val="00A7097C"/>
    <w:rsid w:val="00A810C2"/>
    <w:rsid w:val="00A815E3"/>
    <w:rsid w:val="00A84BF5"/>
    <w:rsid w:val="00A85A30"/>
    <w:rsid w:val="00A90FA8"/>
    <w:rsid w:val="00A922A6"/>
    <w:rsid w:val="00A97B63"/>
    <w:rsid w:val="00AA21D3"/>
    <w:rsid w:val="00AA2787"/>
    <w:rsid w:val="00AB3BF8"/>
    <w:rsid w:val="00AB49A2"/>
    <w:rsid w:val="00AB4DA1"/>
    <w:rsid w:val="00AB5995"/>
    <w:rsid w:val="00AC600A"/>
    <w:rsid w:val="00AD0AD5"/>
    <w:rsid w:val="00AE11E9"/>
    <w:rsid w:val="00AE2695"/>
    <w:rsid w:val="00AE7A2A"/>
    <w:rsid w:val="00AF07E6"/>
    <w:rsid w:val="00AF5803"/>
    <w:rsid w:val="00B00875"/>
    <w:rsid w:val="00B00DA9"/>
    <w:rsid w:val="00B238C5"/>
    <w:rsid w:val="00B24DE0"/>
    <w:rsid w:val="00B31CE9"/>
    <w:rsid w:val="00B31D09"/>
    <w:rsid w:val="00B32608"/>
    <w:rsid w:val="00B33CE4"/>
    <w:rsid w:val="00B40DA5"/>
    <w:rsid w:val="00B53DAE"/>
    <w:rsid w:val="00B5518C"/>
    <w:rsid w:val="00B55C65"/>
    <w:rsid w:val="00B57B7C"/>
    <w:rsid w:val="00B60EFD"/>
    <w:rsid w:val="00B611E8"/>
    <w:rsid w:val="00B636A2"/>
    <w:rsid w:val="00B647FA"/>
    <w:rsid w:val="00B64A3E"/>
    <w:rsid w:val="00B722A9"/>
    <w:rsid w:val="00B734EB"/>
    <w:rsid w:val="00B94007"/>
    <w:rsid w:val="00B95289"/>
    <w:rsid w:val="00BA69C9"/>
    <w:rsid w:val="00BA77A6"/>
    <w:rsid w:val="00BB07A1"/>
    <w:rsid w:val="00BB3DD0"/>
    <w:rsid w:val="00BB53B9"/>
    <w:rsid w:val="00BB625E"/>
    <w:rsid w:val="00BB6A53"/>
    <w:rsid w:val="00BC3250"/>
    <w:rsid w:val="00BC7F3F"/>
    <w:rsid w:val="00BE336D"/>
    <w:rsid w:val="00BE406A"/>
    <w:rsid w:val="00BE6C99"/>
    <w:rsid w:val="00C02EE5"/>
    <w:rsid w:val="00C03369"/>
    <w:rsid w:val="00C05A2A"/>
    <w:rsid w:val="00C1077F"/>
    <w:rsid w:val="00C12A52"/>
    <w:rsid w:val="00C13B38"/>
    <w:rsid w:val="00C17A38"/>
    <w:rsid w:val="00C27624"/>
    <w:rsid w:val="00C44DB7"/>
    <w:rsid w:val="00C71870"/>
    <w:rsid w:val="00C726A3"/>
    <w:rsid w:val="00C9046F"/>
    <w:rsid w:val="00CB39E5"/>
    <w:rsid w:val="00CE52F2"/>
    <w:rsid w:val="00CF6D72"/>
    <w:rsid w:val="00D05924"/>
    <w:rsid w:val="00D24274"/>
    <w:rsid w:val="00D2767B"/>
    <w:rsid w:val="00D4025E"/>
    <w:rsid w:val="00D4176E"/>
    <w:rsid w:val="00D41C94"/>
    <w:rsid w:val="00D430A5"/>
    <w:rsid w:val="00D47058"/>
    <w:rsid w:val="00D503EC"/>
    <w:rsid w:val="00D621F9"/>
    <w:rsid w:val="00D64A85"/>
    <w:rsid w:val="00D652D6"/>
    <w:rsid w:val="00D66B2F"/>
    <w:rsid w:val="00D81917"/>
    <w:rsid w:val="00D84924"/>
    <w:rsid w:val="00D84EF2"/>
    <w:rsid w:val="00D86395"/>
    <w:rsid w:val="00D87DDC"/>
    <w:rsid w:val="00D91F94"/>
    <w:rsid w:val="00D9416B"/>
    <w:rsid w:val="00DA7465"/>
    <w:rsid w:val="00DD2F64"/>
    <w:rsid w:val="00DF1E64"/>
    <w:rsid w:val="00DF1EF0"/>
    <w:rsid w:val="00DF3765"/>
    <w:rsid w:val="00DF527F"/>
    <w:rsid w:val="00DF7957"/>
    <w:rsid w:val="00E01C3C"/>
    <w:rsid w:val="00E0200A"/>
    <w:rsid w:val="00E10180"/>
    <w:rsid w:val="00E12D0B"/>
    <w:rsid w:val="00E14C09"/>
    <w:rsid w:val="00E30574"/>
    <w:rsid w:val="00E33E48"/>
    <w:rsid w:val="00E374C6"/>
    <w:rsid w:val="00E47C20"/>
    <w:rsid w:val="00E55D6F"/>
    <w:rsid w:val="00E55E72"/>
    <w:rsid w:val="00E6071A"/>
    <w:rsid w:val="00E607FB"/>
    <w:rsid w:val="00E71606"/>
    <w:rsid w:val="00E76BFE"/>
    <w:rsid w:val="00E82B00"/>
    <w:rsid w:val="00E830D1"/>
    <w:rsid w:val="00E91357"/>
    <w:rsid w:val="00E95812"/>
    <w:rsid w:val="00E96C55"/>
    <w:rsid w:val="00ED2AC6"/>
    <w:rsid w:val="00ED2D0B"/>
    <w:rsid w:val="00F01064"/>
    <w:rsid w:val="00F040D1"/>
    <w:rsid w:val="00F15884"/>
    <w:rsid w:val="00F221B0"/>
    <w:rsid w:val="00F36240"/>
    <w:rsid w:val="00F4348A"/>
    <w:rsid w:val="00F51DCD"/>
    <w:rsid w:val="00F7272D"/>
    <w:rsid w:val="00F73F46"/>
    <w:rsid w:val="00F7445C"/>
    <w:rsid w:val="00F80304"/>
    <w:rsid w:val="00F85970"/>
    <w:rsid w:val="00FA03E9"/>
    <w:rsid w:val="00FA0B82"/>
    <w:rsid w:val="00FA2455"/>
    <w:rsid w:val="00FA52A3"/>
    <w:rsid w:val="00FB0936"/>
    <w:rsid w:val="00FB384A"/>
    <w:rsid w:val="00FC0440"/>
    <w:rsid w:val="00FC0B0B"/>
    <w:rsid w:val="00FC6C1B"/>
    <w:rsid w:val="00FD2DE8"/>
    <w:rsid w:val="00FD3D5C"/>
    <w:rsid w:val="00FE2243"/>
    <w:rsid w:val="00FE4D73"/>
    <w:rsid w:val="00FF4E39"/>
    <w:rsid w:val="010721F1"/>
    <w:rsid w:val="01140E02"/>
    <w:rsid w:val="0139506A"/>
    <w:rsid w:val="0185705A"/>
    <w:rsid w:val="02443332"/>
    <w:rsid w:val="026241FD"/>
    <w:rsid w:val="02A95F6B"/>
    <w:rsid w:val="036E5BF5"/>
    <w:rsid w:val="045F2803"/>
    <w:rsid w:val="04AF2603"/>
    <w:rsid w:val="052119BF"/>
    <w:rsid w:val="05230C23"/>
    <w:rsid w:val="05820065"/>
    <w:rsid w:val="05AE4E79"/>
    <w:rsid w:val="05F27149"/>
    <w:rsid w:val="05FE5B7D"/>
    <w:rsid w:val="0615760D"/>
    <w:rsid w:val="06D52E22"/>
    <w:rsid w:val="07112FDE"/>
    <w:rsid w:val="076E6F08"/>
    <w:rsid w:val="07846C72"/>
    <w:rsid w:val="07CB3827"/>
    <w:rsid w:val="0810660B"/>
    <w:rsid w:val="08BA0844"/>
    <w:rsid w:val="08C51135"/>
    <w:rsid w:val="08DD6762"/>
    <w:rsid w:val="09825900"/>
    <w:rsid w:val="098B7EC7"/>
    <w:rsid w:val="09E16C32"/>
    <w:rsid w:val="0A526ECE"/>
    <w:rsid w:val="0A696076"/>
    <w:rsid w:val="0A7E6D4F"/>
    <w:rsid w:val="0B0C4430"/>
    <w:rsid w:val="0B0F21E2"/>
    <w:rsid w:val="0BC02EB2"/>
    <w:rsid w:val="0C6148A8"/>
    <w:rsid w:val="0C8401DC"/>
    <w:rsid w:val="0CFB699B"/>
    <w:rsid w:val="0D0D627B"/>
    <w:rsid w:val="0D966BFE"/>
    <w:rsid w:val="0E296B11"/>
    <w:rsid w:val="0E7D7DE0"/>
    <w:rsid w:val="0F5E538A"/>
    <w:rsid w:val="0F914A64"/>
    <w:rsid w:val="0FF97CC7"/>
    <w:rsid w:val="10E515ED"/>
    <w:rsid w:val="10E916A3"/>
    <w:rsid w:val="11283AAC"/>
    <w:rsid w:val="12561BE2"/>
    <w:rsid w:val="12A4352C"/>
    <w:rsid w:val="12BC5504"/>
    <w:rsid w:val="12C77C76"/>
    <w:rsid w:val="132C52C8"/>
    <w:rsid w:val="13364058"/>
    <w:rsid w:val="133834D0"/>
    <w:rsid w:val="151827C6"/>
    <w:rsid w:val="15B401BE"/>
    <w:rsid w:val="16066349"/>
    <w:rsid w:val="166116A7"/>
    <w:rsid w:val="174148FE"/>
    <w:rsid w:val="17631E2C"/>
    <w:rsid w:val="17CB4136"/>
    <w:rsid w:val="183155CC"/>
    <w:rsid w:val="186E068A"/>
    <w:rsid w:val="18B640EA"/>
    <w:rsid w:val="19834B05"/>
    <w:rsid w:val="19C215CA"/>
    <w:rsid w:val="19D6525D"/>
    <w:rsid w:val="19F54F59"/>
    <w:rsid w:val="1A081F79"/>
    <w:rsid w:val="1A1D32FC"/>
    <w:rsid w:val="1B047A76"/>
    <w:rsid w:val="1B0C2039"/>
    <w:rsid w:val="1BB5158A"/>
    <w:rsid w:val="1BCA68BC"/>
    <w:rsid w:val="1C4A12FC"/>
    <w:rsid w:val="1C655332"/>
    <w:rsid w:val="1D374F46"/>
    <w:rsid w:val="1D3E1045"/>
    <w:rsid w:val="1DB612F8"/>
    <w:rsid w:val="1DF14403"/>
    <w:rsid w:val="1E037017"/>
    <w:rsid w:val="1E104F97"/>
    <w:rsid w:val="1ECA2F84"/>
    <w:rsid w:val="1F453880"/>
    <w:rsid w:val="1FA82313"/>
    <w:rsid w:val="206A39B5"/>
    <w:rsid w:val="20997753"/>
    <w:rsid w:val="21195358"/>
    <w:rsid w:val="211D16D3"/>
    <w:rsid w:val="219225E7"/>
    <w:rsid w:val="22C92BBD"/>
    <w:rsid w:val="22ED4333"/>
    <w:rsid w:val="23011ABF"/>
    <w:rsid w:val="23071E9C"/>
    <w:rsid w:val="233F12AA"/>
    <w:rsid w:val="237251A6"/>
    <w:rsid w:val="24722DCB"/>
    <w:rsid w:val="24B11E24"/>
    <w:rsid w:val="25923CC5"/>
    <w:rsid w:val="25A76B6E"/>
    <w:rsid w:val="26BA1B9B"/>
    <w:rsid w:val="270A28AF"/>
    <w:rsid w:val="272C3386"/>
    <w:rsid w:val="277A0E04"/>
    <w:rsid w:val="27AC5EEE"/>
    <w:rsid w:val="27BC4828"/>
    <w:rsid w:val="27CE2747"/>
    <w:rsid w:val="282767A5"/>
    <w:rsid w:val="284C7386"/>
    <w:rsid w:val="285F6081"/>
    <w:rsid w:val="297212D0"/>
    <w:rsid w:val="297E78FF"/>
    <w:rsid w:val="29C65827"/>
    <w:rsid w:val="2A74334A"/>
    <w:rsid w:val="2AA33D7E"/>
    <w:rsid w:val="2BCD47D1"/>
    <w:rsid w:val="2C355FC8"/>
    <w:rsid w:val="2C906781"/>
    <w:rsid w:val="2CAC1AE4"/>
    <w:rsid w:val="2D1A2FF4"/>
    <w:rsid w:val="2D647C61"/>
    <w:rsid w:val="2D9E4D8F"/>
    <w:rsid w:val="2DE42A10"/>
    <w:rsid w:val="2DF6786D"/>
    <w:rsid w:val="2E627DD3"/>
    <w:rsid w:val="2F767B4E"/>
    <w:rsid w:val="2FE944DA"/>
    <w:rsid w:val="30A5072F"/>
    <w:rsid w:val="30DA76A0"/>
    <w:rsid w:val="31265A92"/>
    <w:rsid w:val="316766CB"/>
    <w:rsid w:val="31F95937"/>
    <w:rsid w:val="321057CE"/>
    <w:rsid w:val="324A2F09"/>
    <w:rsid w:val="327A3221"/>
    <w:rsid w:val="32965137"/>
    <w:rsid w:val="329B79B5"/>
    <w:rsid w:val="32FC291B"/>
    <w:rsid w:val="33324E4F"/>
    <w:rsid w:val="337A289B"/>
    <w:rsid w:val="3390230E"/>
    <w:rsid w:val="33CD0DAF"/>
    <w:rsid w:val="33D756FB"/>
    <w:rsid w:val="349B29FC"/>
    <w:rsid w:val="34D95121"/>
    <w:rsid w:val="35A56AB5"/>
    <w:rsid w:val="36310950"/>
    <w:rsid w:val="365358A2"/>
    <w:rsid w:val="368B26F0"/>
    <w:rsid w:val="37157D55"/>
    <w:rsid w:val="375A4BA4"/>
    <w:rsid w:val="37C462EC"/>
    <w:rsid w:val="3805390F"/>
    <w:rsid w:val="38171165"/>
    <w:rsid w:val="384C0F5B"/>
    <w:rsid w:val="38500E68"/>
    <w:rsid w:val="38F63DB8"/>
    <w:rsid w:val="39561B12"/>
    <w:rsid w:val="3A5D74C4"/>
    <w:rsid w:val="3A745D59"/>
    <w:rsid w:val="3AC34C77"/>
    <w:rsid w:val="3B2D3E3B"/>
    <w:rsid w:val="3B950961"/>
    <w:rsid w:val="3C6F6CC7"/>
    <w:rsid w:val="3C765873"/>
    <w:rsid w:val="3CB94FF0"/>
    <w:rsid w:val="3D93723B"/>
    <w:rsid w:val="3E0F2C2D"/>
    <w:rsid w:val="3E1E5F71"/>
    <w:rsid w:val="3E79508C"/>
    <w:rsid w:val="3E85025D"/>
    <w:rsid w:val="3E8E53AA"/>
    <w:rsid w:val="3EAD08B2"/>
    <w:rsid w:val="3F954691"/>
    <w:rsid w:val="40711181"/>
    <w:rsid w:val="41281463"/>
    <w:rsid w:val="41C35AB0"/>
    <w:rsid w:val="41E119CF"/>
    <w:rsid w:val="424C5B91"/>
    <w:rsid w:val="42880572"/>
    <w:rsid w:val="429D7163"/>
    <w:rsid w:val="42B85728"/>
    <w:rsid w:val="42CF411E"/>
    <w:rsid w:val="43232B14"/>
    <w:rsid w:val="434957A1"/>
    <w:rsid w:val="43A81CF5"/>
    <w:rsid w:val="43B879A0"/>
    <w:rsid w:val="43C14128"/>
    <w:rsid w:val="43DD638A"/>
    <w:rsid w:val="440709B5"/>
    <w:rsid w:val="44AA2EB3"/>
    <w:rsid w:val="44F606A1"/>
    <w:rsid w:val="45116DBD"/>
    <w:rsid w:val="45787E52"/>
    <w:rsid w:val="4589727C"/>
    <w:rsid w:val="464C4856"/>
    <w:rsid w:val="47024D96"/>
    <w:rsid w:val="473378CE"/>
    <w:rsid w:val="4816010F"/>
    <w:rsid w:val="48BF57B0"/>
    <w:rsid w:val="48D1336A"/>
    <w:rsid w:val="48F22256"/>
    <w:rsid w:val="493736DB"/>
    <w:rsid w:val="495F5D48"/>
    <w:rsid w:val="49732D41"/>
    <w:rsid w:val="499E1DB3"/>
    <w:rsid w:val="4B5E79CC"/>
    <w:rsid w:val="4B7B29DA"/>
    <w:rsid w:val="4C7D033F"/>
    <w:rsid w:val="4CB045E4"/>
    <w:rsid w:val="4CB5647F"/>
    <w:rsid w:val="4D0F511A"/>
    <w:rsid w:val="4D423B58"/>
    <w:rsid w:val="4E7277F4"/>
    <w:rsid w:val="4EAA6A92"/>
    <w:rsid w:val="4F487E9C"/>
    <w:rsid w:val="506E5B1B"/>
    <w:rsid w:val="5093520F"/>
    <w:rsid w:val="50A02406"/>
    <w:rsid w:val="50B26C1F"/>
    <w:rsid w:val="510F1E60"/>
    <w:rsid w:val="512E62D2"/>
    <w:rsid w:val="513701DC"/>
    <w:rsid w:val="516A4391"/>
    <w:rsid w:val="52722F1E"/>
    <w:rsid w:val="52CA70F9"/>
    <w:rsid w:val="52E2166E"/>
    <w:rsid w:val="53383252"/>
    <w:rsid w:val="535624E5"/>
    <w:rsid w:val="53F50FF9"/>
    <w:rsid w:val="541C6E91"/>
    <w:rsid w:val="54655B84"/>
    <w:rsid w:val="54903C61"/>
    <w:rsid w:val="54C24281"/>
    <w:rsid w:val="553120E0"/>
    <w:rsid w:val="555E5BA3"/>
    <w:rsid w:val="556F3E0B"/>
    <w:rsid w:val="55BC485C"/>
    <w:rsid w:val="55D232C3"/>
    <w:rsid w:val="56252D03"/>
    <w:rsid w:val="564B4857"/>
    <w:rsid w:val="566732CC"/>
    <w:rsid w:val="5786183A"/>
    <w:rsid w:val="58876E6F"/>
    <w:rsid w:val="58981354"/>
    <w:rsid w:val="58CD4162"/>
    <w:rsid w:val="590F3F52"/>
    <w:rsid w:val="59560FF8"/>
    <w:rsid w:val="596C1724"/>
    <w:rsid w:val="59715B65"/>
    <w:rsid w:val="59AE10DE"/>
    <w:rsid w:val="59C46EF7"/>
    <w:rsid w:val="59EE1218"/>
    <w:rsid w:val="5A1D71FA"/>
    <w:rsid w:val="5A45715C"/>
    <w:rsid w:val="5A7B2F4D"/>
    <w:rsid w:val="5AEE665C"/>
    <w:rsid w:val="5B116A3B"/>
    <w:rsid w:val="5BB73FAE"/>
    <w:rsid w:val="5BCE550A"/>
    <w:rsid w:val="5BD33D5A"/>
    <w:rsid w:val="5BFD6F0D"/>
    <w:rsid w:val="5C181A7E"/>
    <w:rsid w:val="5EA532B4"/>
    <w:rsid w:val="5F840177"/>
    <w:rsid w:val="5F996256"/>
    <w:rsid w:val="5FB93946"/>
    <w:rsid w:val="5FDA7E28"/>
    <w:rsid w:val="5FE503B5"/>
    <w:rsid w:val="5FEE2DBE"/>
    <w:rsid w:val="60B904C2"/>
    <w:rsid w:val="61376CC2"/>
    <w:rsid w:val="623D1F6F"/>
    <w:rsid w:val="62A40FA7"/>
    <w:rsid w:val="63D23985"/>
    <w:rsid w:val="63F23EBB"/>
    <w:rsid w:val="642D48D2"/>
    <w:rsid w:val="643542B5"/>
    <w:rsid w:val="64D04BD4"/>
    <w:rsid w:val="654E2F90"/>
    <w:rsid w:val="65EC5439"/>
    <w:rsid w:val="66A05850"/>
    <w:rsid w:val="67097AC6"/>
    <w:rsid w:val="67B657DD"/>
    <w:rsid w:val="67C61076"/>
    <w:rsid w:val="67C77488"/>
    <w:rsid w:val="67F86D0A"/>
    <w:rsid w:val="68821747"/>
    <w:rsid w:val="6894459E"/>
    <w:rsid w:val="69B77E25"/>
    <w:rsid w:val="69BB28B8"/>
    <w:rsid w:val="6A197FED"/>
    <w:rsid w:val="6A314982"/>
    <w:rsid w:val="6A3A0E7E"/>
    <w:rsid w:val="6A7B61A0"/>
    <w:rsid w:val="6CDA1F31"/>
    <w:rsid w:val="6CDB6960"/>
    <w:rsid w:val="6D282CA2"/>
    <w:rsid w:val="6DBD0FB7"/>
    <w:rsid w:val="6DCE2218"/>
    <w:rsid w:val="6DD9360B"/>
    <w:rsid w:val="6DE73F37"/>
    <w:rsid w:val="6E373455"/>
    <w:rsid w:val="6ED91E24"/>
    <w:rsid w:val="700F6285"/>
    <w:rsid w:val="703D5AB1"/>
    <w:rsid w:val="70A16103"/>
    <w:rsid w:val="718C165B"/>
    <w:rsid w:val="721F6AF3"/>
    <w:rsid w:val="72370D92"/>
    <w:rsid w:val="72420A85"/>
    <w:rsid w:val="725478BE"/>
    <w:rsid w:val="729C5760"/>
    <w:rsid w:val="73286EC5"/>
    <w:rsid w:val="73502D6D"/>
    <w:rsid w:val="737803ED"/>
    <w:rsid w:val="744D7BD2"/>
    <w:rsid w:val="746176AA"/>
    <w:rsid w:val="74843851"/>
    <w:rsid w:val="74887FF9"/>
    <w:rsid w:val="74BF588B"/>
    <w:rsid w:val="74C02A32"/>
    <w:rsid w:val="759F1F89"/>
    <w:rsid w:val="75AE6C1B"/>
    <w:rsid w:val="75D91EFD"/>
    <w:rsid w:val="773D59AE"/>
    <w:rsid w:val="77505133"/>
    <w:rsid w:val="78830B62"/>
    <w:rsid w:val="78A02FAD"/>
    <w:rsid w:val="78A561E1"/>
    <w:rsid w:val="78C25671"/>
    <w:rsid w:val="7A082CBF"/>
    <w:rsid w:val="7A734872"/>
    <w:rsid w:val="7A9E7932"/>
    <w:rsid w:val="7B033E90"/>
    <w:rsid w:val="7BD42329"/>
    <w:rsid w:val="7C8A7FD5"/>
    <w:rsid w:val="7C9131C8"/>
    <w:rsid w:val="7CBE17EA"/>
    <w:rsid w:val="7CD15B34"/>
    <w:rsid w:val="7D2F7974"/>
    <w:rsid w:val="7DF07C79"/>
    <w:rsid w:val="7E2064E9"/>
    <w:rsid w:val="7E8D0F6D"/>
    <w:rsid w:val="7F50761A"/>
    <w:rsid w:val="7F780765"/>
    <w:rsid w:val="7F7D00DB"/>
    <w:rsid w:val="7FA604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4"/>
      <w:lang w:val="en-US" w:eastAsia="zh-CN" w:bidi="ar-SA"/>
    </w:rPr>
  </w:style>
  <w:style w:type="paragraph" w:styleId="4">
    <w:name w:val="heading 1"/>
    <w:basedOn w:val="1"/>
    <w:next w:val="1"/>
    <w:link w:val="9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7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link w:val="79"/>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110"/>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paragraph" w:styleId="8">
    <w:name w:val="heading 5"/>
    <w:basedOn w:val="1"/>
    <w:next w:val="1"/>
    <w:link w:val="83"/>
    <w:qFormat/>
    <w:uiPriority w:val="0"/>
    <w:pPr>
      <w:spacing w:before="200" w:beforeLines="0" w:after="80" w:afterLines="0"/>
      <w:outlineLvl w:val="4"/>
    </w:pPr>
    <w:rPr>
      <w:rFonts w:ascii="Cambria" w:hAnsi="Cambria" w:cs="宋体"/>
      <w:color w:val="4F81BD"/>
      <w:sz w:val="21"/>
    </w:rPr>
  </w:style>
  <w:style w:type="paragraph" w:styleId="9">
    <w:name w:val="heading 6"/>
    <w:basedOn w:val="1"/>
    <w:next w:val="1"/>
    <w:link w:val="119"/>
    <w:qFormat/>
    <w:uiPriority w:val="0"/>
    <w:pPr>
      <w:spacing w:before="280" w:beforeLines="0" w:after="100" w:afterLines="0"/>
      <w:outlineLvl w:val="5"/>
    </w:pPr>
    <w:rPr>
      <w:rFonts w:ascii="Cambria" w:hAnsi="Cambria" w:cs="宋体"/>
      <w:i/>
      <w:iCs/>
      <w:color w:val="4F81BD"/>
      <w:sz w:val="21"/>
    </w:rPr>
  </w:style>
  <w:style w:type="paragraph" w:styleId="10">
    <w:name w:val="heading 7"/>
    <w:basedOn w:val="1"/>
    <w:next w:val="1"/>
    <w:link w:val="80"/>
    <w:qFormat/>
    <w:uiPriority w:val="0"/>
    <w:pPr>
      <w:spacing w:before="320" w:beforeLines="0" w:after="100" w:afterLines="0"/>
      <w:outlineLvl w:val="6"/>
    </w:pPr>
    <w:rPr>
      <w:rFonts w:ascii="Cambria" w:hAnsi="Cambria"/>
      <w:b/>
      <w:bCs/>
      <w:color w:val="9BBB59"/>
      <w:sz w:val="21"/>
    </w:rPr>
  </w:style>
  <w:style w:type="paragraph" w:styleId="11">
    <w:name w:val="heading 8"/>
    <w:basedOn w:val="1"/>
    <w:next w:val="1"/>
    <w:link w:val="111"/>
    <w:qFormat/>
    <w:uiPriority w:val="0"/>
    <w:pPr>
      <w:spacing w:before="320" w:beforeLines="0" w:after="100" w:afterLines="0"/>
      <w:outlineLvl w:val="7"/>
    </w:pPr>
    <w:rPr>
      <w:rFonts w:ascii="Cambria" w:hAnsi="Cambria"/>
      <w:b/>
      <w:bCs/>
      <w:i/>
      <w:iCs/>
      <w:color w:val="9BBB59"/>
      <w:sz w:val="21"/>
    </w:rPr>
  </w:style>
  <w:style w:type="paragraph" w:styleId="12">
    <w:name w:val="heading 9"/>
    <w:basedOn w:val="1"/>
    <w:next w:val="1"/>
    <w:link w:val="115"/>
    <w:qFormat/>
    <w:uiPriority w:val="0"/>
    <w:pPr>
      <w:spacing w:before="320" w:beforeLines="0" w:after="100" w:afterLines="0"/>
      <w:outlineLvl w:val="8"/>
    </w:pPr>
    <w:rPr>
      <w:rFonts w:ascii="Cambria" w:hAnsi="Cambria"/>
      <w:i/>
      <w:iCs/>
      <w:color w:val="9BBB59"/>
      <w:sz w:val="21"/>
    </w:rPr>
  </w:style>
  <w:style w:type="character" w:default="1" w:styleId="50">
    <w:name w:val="Default Paragraph Font"/>
    <w:semiHidden/>
    <w:uiPriority w:val="0"/>
  </w:style>
  <w:style w:type="table" w:default="1" w:styleId="48">
    <w:name w:val="Normal Table"/>
    <w:unhideWhenUsed/>
    <w:uiPriority w:val="99"/>
    <w:tblPr>
      <w:tblStyle w:val="48"/>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link w:val="103"/>
    <w:uiPriority w:val="0"/>
    <w:pPr>
      <w:widowControl/>
      <w:tabs>
        <w:tab w:val="left" w:pos="0"/>
        <w:tab w:val="left" w:pos="993"/>
        <w:tab w:val="left" w:pos="1134"/>
      </w:tabs>
      <w:spacing w:line="500" w:lineRule="exact"/>
      <w:ind w:firstLine="567"/>
    </w:pPr>
    <w:rPr>
      <w:rFonts w:ascii="宋体"/>
      <w:kern w:val="0"/>
      <w:szCs w:val="20"/>
    </w:rPr>
  </w:style>
  <w:style w:type="paragraph" w:styleId="13">
    <w:name w:val="toc 7"/>
    <w:basedOn w:val="1"/>
    <w:next w:val="1"/>
    <w:uiPriority w:val="0"/>
    <w:pPr>
      <w:ind w:left="2520" w:leftChars="1200"/>
    </w:pPr>
  </w:style>
  <w:style w:type="paragraph" w:styleId="14">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5">
    <w:name w:val="Normal Indent"/>
    <w:basedOn w:val="1"/>
    <w:link w:val="92"/>
    <w:uiPriority w:val="0"/>
    <w:pPr>
      <w:ind w:firstLine="420"/>
    </w:pPr>
    <w:rPr>
      <w:sz w:val="21"/>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97"/>
    <w:uiPriority w:val="0"/>
    <w:pPr>
      <w:shd w:val="clear" w:color="auto" w:fill="000080"/>
    </w:pPr>
    <w:rPr>
      <w:rFonts w:ascii="宋体" w:hAnsi="宋体"/>
      <w:sz w:val="21"/>
    </w:rPr>
  </w:style>
  <w:style w:type="paragraph" w:styleId="18">
    <w:name w:val="annotation text"/>
    <w:basedOn w:val="1"/>
    <w:link w:val="72"/>
    <w:semiHidden/>
    <w:uiPriority w:val="0"/>
    <w:pPr>
      <w:jc w:val="left"/>
    </w:pPr>
  </w:style>
  <w:style w:type="paragraph" w:styleId="19">
    <w:name w:val="List Bullet 3"/>
    <w:basedOn w:val="1"/>
    <w:uiPriority w:val="0"/>
    <w:pPr>
      <w:numPr>
        <w:ilvl w:val="0"/>
        <w:numId w:val="1"/>
      </w:numPr>
      <w:tabs>
        <w:tab w:val="left" w:pos="1200"/>
        <w:tab w:val="clear" w:pos="360"/>
      </w:tabs>
    </w:pPr>
    <w:rPr>
      <w:sz w:val="21"/>
      <w:szCs w:val="20"/>
    </w:rPr>
  </w:style>
  <w:style w:type="paragraph" w:styleId="20">
    <w:name w:val="Body Text"/>
    <w:basedOn w:val="1"/>
    <w:uiPriority w:val="0"/>
    <w:pPr>
      <w:spacing w:after="120" w:afterLines="0"/>
    </w:pPr>
    <w:rPr>
      <w:rFonts w:ascii="宋体" w:hAnsi="宋体"/>
    </w:rPr>
  </w:style>
  <w:style w:type="paragraph" w:styleId="21">
    <w:name w:val="List Number 3"/>
    <w:basedOn w:val="1"/>
    <w:uiPriority w:val="0"/>
    <w:pPr>
      <w:numPr>
        <w:ilvl w:val="0"/>
        <w:numId w:val="2"/>
      </w:numPr>
      <w:tabs>
        <w:tab w:val="left" w:pos="1200"/>
        <w:tab w:val="clear" w:pos="1260"/>
      </w:tabs>
      <w:ind w:left="0"/>
    </w:pPr>
    <w:rPr>
      <w:sz w:val="21"/>
    </w:rPr>
  </w:style>
  <w:style w:type="paragraph" w:styleId="22">
    <w:name w:val="List 2"/>
    <w:basedOn w:val="1"/>
    <w:uiPriority w:val="0"/>
    <w:pPr>
      <w:ind w:left="100" w:leftChars="200" w:hanging="200" w:hangingChars="200"/>
    </w:pPr>
  </w:style>
  <w:style w:type="paragraph" w:styleId="23">
    <w:name w:val="Block Text"/>
    <w:basedOn w:val="1"/>
    <w:uiPriority w:val="0"/>
    <w:pPr>
      <w:adjustRightInd w:val="0"/>
      <w:ind w:left="420" w:right="33"/>
      <w:jc w:val="left"/>
      <w:textAlignment w:val="baseline"/>
    </w:pPr>
    <w:rPr>
      <w:kern w:val="0"/>
      <w:sz w:val="24"/>
      <w:szCs w:val="20"/>
    </w:rPr>
  </w:style>
  <w:style w:type="paragraph" w:styleId="24">
    <w:name w:val="toc 5"/>
    <w:basedOn w:val="1"/>
    <w:next w:val="1"/>
    <w:uiPriority w:val="0"/>
    <w:pPr>
      <w:ind w:left="1680" w:leftChars="800"/>
    </w:pPr>
  </w:style>
  <w:style w:type="paragraph" w:styleId="25">
    <w:name w:val="toc 3"/>
    <w:basedOn w:val="1"/>
    <w:next w:val="1"/>
    <w:uiPriority w:val="0"/>
    <w:pPr>
      <w:ind w:left="840" w:leftChars="400"/>
    </w:pPr>
  </w:style>
  <w:style w:type="paragraph" w:styleId="26">
    <w:name w:val="Plain Text"/>
    <w:basedOn w:val="1"/>
    <w:link w:val="102"/>
    <w:uiPriority w:val="0"/>
    <w:pPr>
      <w:adjustRightInd w:val="0"/>
      <w:snapToGrid w:val="0"/>
    </w:pPr>
    <w:rPr>
      <w:rFonts w:ascii="宋体" w:hAnsi="Courier New" w:cs="Courier New"/>
      <w:sz w:val="21"/>
      <w:szCs w:val="21"/>
    </w:rPr>
  </w:style>
  <w:style w:type="paragraph" w:styleId="27">
    <w:name w:val="toc 8"/>
    <w:basedOn w:val="1"/>
    <w:next w:val="1"/>
    <w:uiPriority w:val="0"/>
    <w:pPr>
      <w:ind w:left="2940" w:leftChars="1400"/>
    </w:pPr>
  </w:style>
  <w:style w:type="paragraph" w:styleId="28">
    <w:name w:val="Date"/>
    <w:basedOn w:val="1"/>
    <w:next w:val="1"/>
    <w:link w:val="118"/>
    <w:uiPriority w:val="0"/>
    <w:pPr>
      <w:ind w:leftChars="2500"/>
    </w:pPr>
    <w:rPr>
      <w:rFonts w:ascii="楷体_GB2312" w:eastAsia="楷体_GB2312"/>
      <w:sz w:val="32"/>
      <w:szCs w:val="20"/>
    </w:rPr>
  </w:style>
  <w:style w:type="paragraph" w:styleId="29">
    <w:name w:val="Body Text Indent 2"/>
    <w:basedOn w:val="1"/>
    <w:link w:val="81"/>
    <w:uiPriority w:val="0"/>
    <w:pPr>
      <w:spacing w:after="120" w:afterLines="0" w:line="480" w:lineRule="auto"/>
      <w:ind w:left="420" w:leftChars="200"/>
    </w:pPr>
  </w:style>
  <w:style w:type="paragraph" w:styleId="30">
    <w:name w:val="Balloon Text"/>
    <w:basedOn w:val="1"/>
    <w:link w:val="112"/>
    <w:semiHidden/>
    <w:uiPriority w:val="0"/>
    <w:rPr>
      <w:sz w:val="18"/>
      <w:szCs w:val="18"/>
    </w:rPr>
  </w:style>
  <w:style w:type="paragraph" w:styleId="31">
    <w:name w:val="footer"/>
    <w:basedOn w:val="1"/>
    <w:link w:val="123"/>
    <w:uiPriority w:val="0"/>
    <w:pPr>
      <w:tabs>
        <w:tab w:val="center" w:pos="4153"/>
        <w:tab w:val="right" w:pos="8306"/>
      </w:tabs>
      <w:snapToGrid w:val="0"/>
      <w:jc w:val="left"/>
    </w:pPr>
    <w:rPr>
      <w:sz w:val="18"/>
      <w:szCs w:val="18"/>
    </w:rPr>
  </w:style>
  <w:style w:type="paragraph" w:styleId="32">
    <w:name w:val="header"/>
    <w:basedOn w:val="1"/>
    <w:link w:val="76"/>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iPriority w:val="39"/>
  </w:style>
  <w:style w:type="paragraph" w:styleId="34">
    <w:name w:val="toc 4"/>
    <w:basedOn w:val="1"/>
    <w:next w:val="1"/>
    <w:uiPriority w:val="0"/>
    <w:pPr>
      <w:ind w:left="1260" w:leftChars="600"/>
    </w:pPr>
  </w:style>
  <w:style w:type="paragraph" w:styleId="35">
    <w:name w:val="Subtitle"/>
    <w:basedOn w:val="1"/>
    <w:next w:val="1"/>
    <w:link w:val="101"/>
    <w:qFormat/>
    <w:uiPriority w:val="0"/>
    <w:pPr>
      <w:spacing w:before="200" w:beforeLines="0" w:after="900" w:afterLines="0"/>
      <w:jc w:val="right"/>
    </w:pPr>
    <w:rPr>
      <w:rFonts w:ascii="宋体" w:hAnsi="宋体"/>
      <w:i/>
      <w:iCs/>
      <w:sz w:val="24"/>
    </w:rPr>
  </w:style>
  <w:style w:type="paragraph" w:styleId="36">
    <w:name w:val="List"/>
    <w:basedOn w:val="1"/>
    <w:uiPriority w:val="0"/>
    <w:pPr>
      <w:ind w:left="200" w:hanging="200" w:hangingChars="200"/>
    </w:pPr>
    <w:rPr>
      <w:sz w:val="21"/>
      <w:szCs w:val="20"/>
    </w:rPr>
  </w:style>
  <w:style w:type="paragraph" w:styleId="37">
    <w:name w:val="toc 6"/>
    <w:basedOn w:val="1"/>
    <w:next w:val="1"/>
    <w:uiPriority w:val="0"/>
    <w:pPr>
      <w:ind w:left="2100" w:leftChars="1000"/>
    </w:pPr>
  </w:style>
  <w:style w:type="paragraph" w:styleId="38">
    <w:name w:val="Body Text Indent 3"/>
    <w:basedOn w:val="1"/>
    <w:link w:val="84"/>
    <w:uiPriority w:val="0"/>
    <w:pPr>
      <w:spacing w:after="120" w:afterLines="0"/>
      <w:ind w:left="420" w:leftChars="200"/>
    </w:pPr>
    <w:rPr>
      <w:sz w:val="16"/>
      <w:szCs w:val="16"/>
    </w:rPr>
  </w:style>
  <w:style w:type="paragraph" w:styleId="39">
    <w:name w:val="toc 2"/>
    <w:basedOn w:val="1"/>
    <w:next w:val="1"/>
    <w:uiPriority w:val="39"/>
    <w:pPr>
      <w:ind w:left="420" w:leftChars="200"/>
    </w:pPr>
  </w:style>
  <w:style w:type="paragraph" w:styleId="40">
    <w:name w:val="toc 9"/>
    <w:basedOn w:val="1"/>
    <w:next w:val="1"/>
    <w:uiPriority w:val="0"/>
    <w:pPr>
      <w:ind w:left="3360" w:leftChars="1600"/>
    </w:pPr>
  </w:style>
  <w:style w:type="paragraph" w:styleId="41">
    <w:name w:val="Body Text 2"/>
    <w:basedOn w:val="1"/>
    <w:link w:val="88"/>
    <w:uiPriority w:val="0"/>
    <w:pPr>
      <w:widowControl/>
      <w:snapToGrid w:val="0"/>
      <w:spacing w:before="50" w:beforeLines="0" w:after="156" w:afterLines="50" w:line="400" w:lineRule="exact"/>
      <w:jc w:val="left"/>
    </w:pPr>
    <w:rPr>
      <w:sz w:val="18"/>
      <w:szCs w:val="18"/>
    </w:rPr>
  </w:style>
  <w:style w:type="paragraph" w:styleId="4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44">
    <w:name w:val="index 1"/>
    <w:basedOn w:val="1"/>
    <w:next w:val="1"/>
    <w:qFormat/>
    <w:uiPriority w:val="0"/>
    <w:pPr>
      <w:tabs>
        <w:tab w:val="left" w:pos="712"/>
      </w:tabs>
      <w:jc w:val="center"/>
    </w:pPr>
    <w:rPr>
      <w:rFonts w:ascii="Calibri" w:hAnsi="Calibri"/>
      <w:spacing w:val="-20"/>
      <w:szCs w:val="20"/>
    </w:rPr>
  </w:style>
  <w:style w:type="paragraph" w:styleId="45">
    <w:name w:val="Title"/>
    <w:basedOn w:val="1"/>
    <w:next w:val="1"/>
    <w:link w:val="87"/>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6">
    <w:name w:val="annotation subject"/>
    <w:basedOn w:val="18"/>
    <w:next w:val="18"/>
    <w:link w:val="122"/>
    <w:semiHidden/>
    <w:uiPriority w:val="0"/>
    <w:rPr>
      <w:b/>
      <w:bCs/>
    </w:rPr>
  </w:style>
  <w:style w:type="paragraph" w:styleId="47">
    <w:name w:val="Body Text First Indent"/>
    <w:basedOn w:val="20"/>
    <w:qFormat/>
    <w:uiPriority w:val="0"/>
    <w:pPr>
      <w:widowControl/>
      <w:spacing w:line="360" w:lineRule="auto"/>
      <w:ind w:firstLine="420" w:firstLineChars="100"/>
      <w:jc w:val="left"/>
    </w:pPr>
    <w:rPr>
      <w:rFonts w:ascii="Calibri" w:hAnsi="Calibri"/>
      <w:sz w:val="24"/>
    </w:rPr>
  </w:style>
  <w:style w:type="table" w:styleId="49">
    <w:name w:val="Table Grid"/>
    <w:basedOn w:val="48"/>
    <w:unhideWhenUsed/>
    <w:uiPriority w:val="9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uiPriority w:val="0"/>
  </w:style>
  <w:style w:type="character" w:styleId="53">
    <w:name w:val="FollowedHyperlink"/>
    <w:basedOn w:val="50"/>
    <w:uiPriority w:val="0"/>
    <w:rPr>
      <w:color w:val="333333"/>
      <w:u w:val="none"/>
    </w:rPr>
  </w:style>
  <w:style w:type="character" w:styleId="54">
    <w:name w:val="Emphasis"/>
    <w:basedOn w:val="50"/>
    <w:qFormat/>
    <w:uiPriority w:val="0"/>
  </w:style>
  <w:style w:type="character" w:styleId="55">
    <w:name w:val="HTML Definition"/>
    <w:basedOn w:val="50"/>
    <w:uiPriority w:val="0"/>
  </w:style>
  <w:style w:type="character" w:styleId="56">
    <w:name w:val="HTML Typewriter"/>
    <w:basedOn w:val="50"/>
    <w:uiPriority w:val="0"/>
    <w:rPr>
      <w:rFonts w:hint="default" w:ascii="monospace" w:hAnsi="monospace" w:eastAsia="monospace" w:cs="monospace"/>
      <w:sz w:val="20"/>
    </w:rPr>
  </w:style>
  <w:style w:type="character" w:styleId="57">
    <w:name w:val="HTML Acronym"/>
    <w:basedOn w:val="50"/>
    <w:uiPriority w:val="0"/>
  </w:style>
  <w:style w:type="character" w:styleId="58">
    <w:name w:val="HTML Variable"/>
    <w:basedOn w:val="50"/>
    <w:uiPriority w:val="0"/>
  </w:style>
  <w:style w:type="character" w:styleId="59">
    <w:name w:val="Hyperlink"/>
    <w:basedOn w:val="50"/>
    <w:uiPriority w:val="99"/>
    <w:rPr>
      <w:color w:val="333333"/>
      <w:u w:val="none"/>
    </w:rPr>
  </w:style>
  <w:style w:type="character" w:styleId="60">
    <w:name w:val="HTML Code"/>
    <w:basedOn w:val="50"/>
    <w:uiPriority w:val="0"/>
    <w:rPr>
      <w:rFonts w:hint="default" w:ascii="monospace" w:hAnsi="monospace" w:eastAsia="monospace" w:cs="monospace"/>
      <w:sz w:val="20"/>
    </w:rPr>
  </w:style>
  <w:style w:type="character" w:styleId="61">
    <w:name w:val="annotation reference"/>
    <w:semiHidden/>
    <w:uiPriority w:val="0"/>
    <w:rPr>
      <w:sz w:val="21"/>
      <w:szCs w:val="21"/>
    </w:rPr>
  </w:style>
  <w:style w:type="character" w:styleId="62">
    <w:name w:val="HTML Cite"/>
    <w:basedOn w:val="50"/>
    <w:uiPriority w:val="0"/>
  </w:style>
  <w:style w:type="character" w:styleId="63">
    <w:name w:val="HTML Keyboard"/>
    <w:basedOn w:val="50"/>
    <w:uiPriority w:val="0"/>
    <w:rPr>
      <w:rFonts w:hint="default" w:ascii="monospace" w:hAnsi="monospace" w:eastAsia="monospace" w:cs="monospace"/>
      <w:sz w:val="20"/>
    </w:rPr>
  </w:style>
  <w:style w:type="character" w:styleId="64">
    <w:name w:val="HTML Sample"/>
    <w:basedOn w:val="50"/>
    <w:uiPriority w:val="0"/>
    <w:rPr>
      <w:rFonts w:ascii="monospace" w:hAnsi="monospace" w:eastAsia="monospace" w:cs="monospace"/>
    </w:rPr>
  </w:style>
  <w:style w:type="character" w:customStyle="1" w:styleId="65">
    <w:name w:val="标书正文格式 Char"/>
    <w:link w:val="66"/>
    <w:uiPriority w:val="0"/>
    <w:rPr>
      <w:rFonts w:eastAsia="楷体_GB2312"/>
      <w:kern w:val="2"/>
      <w:sz w:val="24"/>
      <w:szCs w:val="24"/>
      <w:lang w:val="en-US" w:eastAsia="zh-CN" w:bidi="ar-SA"/>
    </w:rPr>
  </w:style>
  <w:style w:type="paragraph" w:customStyle="1" w:styleId="66">
    <w:name w:val="标书正文格式"/>
    <w:link w:val="65"/>
    <w:uiPriority w:val="0"/>
    <w:pPr>
      <w:spacing w:line="360" w:lineRule="auto"/>
      <w:ind w:firstLine="200" w:firstLineChars="200"/>
    </w:pPr>
    <w:rPr>
      <w:rFonts w:eastAsia="楷体_GB2312"/>
      <w:kern w:val="2"/>
      <w:sz w:val="24"/>
      <w:szCs w:val="24"/>
      <w:lang w:val="en-US" w:eastAsia="zh-CN" w:bidi="ar-SA"/>
    </w:rPr>
  </w:style>
  <w:style w:type="character" w:customStyle="1" w:styleId="67">
    <w:name w:val="font71"/>
    <w:basedOn w:val="50"/>
    <w:uiPriority w:val="0"/>
    <w:rPr>
      <w:rFonts w:hint="default" w:ascii="Times New Roman" w:hAnsi="Times New Roman" w:cs="Times New Roman"/>
      <w:color w:val="000000"/>
      <w:sz w:val="24"/>
      <w:szCs w:val="24"/>
      <w:u w:val="none"/>
    </w:rPr>
  </w:style>
  <w:style w:type="character" w:customStyle="1" w:styleId="68">
    <w:name w:val="浅色底纹 - 强调文字颜色 2 Char"/>
    <w:link w:val="69"/>
    <w:uiPriority w:val="0"/>
    <w:rPr>
      <w:rFonts w:ascii="Cambria" w:hAnsi="Cambria" w:eastAsia="宋体"/>
      <w:i/>
      <w:iCs/>
      <w:color w:val="FFFFFF"/>
      <w:kern w:val="2"/>
      <w:sz w:val="24"/>
      <w:szCs w:val="24"/>
      <w:lang w:val="en-US" w:eastAsia="zh-CN" w:bidi="ar-SA"/>
    </w:rPr>
  </w:style>
  <w:style w:type="paragraph" w:customStyle="1" w:styleId="69">
    <w:name w:val="浅色底纹 - 强调文字颜色 21"/>
    <w:basedOn w:val="1"/>
    <w:next w:val="1"/>
    <w:link w:val="68"/>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beforeLines="0" w:after="320" w:afterLines="0" w:line="300" w:lineRule="auto"/>
      <w:ind w:left="1440" w:right="1440"/>
    </w:pPr>
    <w:rPr>
      <w:rFonts w:ascii="Cambria" w:hAnsi="Cambria"/>
      <w:i/>
      <w:iCs/>
      <w:color w:val="FFFFFF"/>
      <w:sz w:val="24"/>
    </w:rPr>
  </w:style>
  <w:style w:type="character" w:customStyle="1" w:styleId="70">
    <w:name w:val="e"/>
    <w:basedOn w:val="50"/>
    <w:uiPriority w:val="0"/>
  </w:style>
  <w:style w:type="character" w:customStyle="1" w:styleId="71">
    <w:name w:val="ca-21"/>
    <w:uiPriority w:val="0"/>
    <w:rPr>
      <w:rFonts w:hint="default" w:ascii="Times New Roman" w:hAnsi="Times New Roman" w:cs="Times New Roman"/>
      <w:color w:val="000000"/>
      <w:sz w:val="22"/>
      <w:szCs w:val="22"/>
    </w:rPr>
  </w:style>
  <w:style w:type="character" w:customStyle="1" w:styleId="72">
    <w:name w:val="批注文字 Char"/>
    <w:link w:val="18"/>
    <w:uiPriority w:val="0"/>
    <w:rPr>
      <w:rFonts w:eastAsia="宋体"/>
      <w:kern w:val="2"/>
      <w:sz w:val="28"/>
      <w:szCs w:val="24"/>
      <w:lang w:val="en-US" w:eastAsia="zh-CN" w:bidi="ar-SA"/>
    </w:rPr>
  </w:style>
  <w:style w:type="character" w:customStyle="1" w:styleId="73">
    <w:name w:val="font21"/>
    <w:uiPriority w:val="0"/>
    <w:rPr>
      <w:rFonts w:hint="eastAsia" w:ascii="宋体" w:hAnsi="宋体" w:eastAsia="宋体" w:cs="宋体"/>
      <w:color w:val="000000"/>
      <w:sz w:val="20"/>
      <w:szCs w:val="20"/>
      <w:u w:val="none"/>
    </w:rPr>
  </w:style>
  <w:style w:type="character" w:customStyle="1" w:styleId="74">
    <w:name w:val=" Char Char13"/>
    <w:uiPriority w:val="0"/>
    <w:rPr>
      <w:rFonts w:eastAsia="宋体"/>
      <w:kern w:val="2"/>
      <w:sz w:val="18"/>
      <w:szCs w:val="18"/>
      <w:lang w:val="en-US" w:eastAsia="zh-CN" w:bidi="ar-SA"/>
    </w:rPr>
  </w:style>
  <w:style w:type="character" w:customStyle="1" w:styleId="75">
    <w:name w:val="标题 2 Char"/>
    <w:link w:val="5"/>
    <w:uiPriority w:val="0"/>
    <w:rPr>
      <w:rFonts w:ascii="Arial" w:hAnsi="Arial" w:eastAsia="黑体"/>
      <w:b/>
      <w:bCs/>
      <w:kern w:val="2"/>
      <w:sz w:val="32"/>
      <w:szCs w:val="32"/>
      <w:lang w:val="en-US" w:eastAsia="zh-CN" w:bidi="ar-SA"/>
    </w:rPr>
  </w:style>
  <w:style w:type="character" w:customStyle="1" w:styleId="76">
    <w:name w:val="页眉 Char"/>
    <w:link w:val="32"/>
    <w:semiHidden/>
    <w:uiPriority w:val="0"/>
    <w:rPr>
      <w:rFonts w:eastAsia="宋体"/>
      <w:kern w:val="2"/>
      <w:sz w:val="18"/>
      <w:szCs w:val="18"/>
      <w:lang w:val="en-US" w:eastAsia="zh-CN" w:bidi="ar-SA"/>
    </w:rPr>
  </w:style>
  <w:style w:type="character" w:customStyle="1" w:styleId="77">
    <w:name w:val="htd01"/>
    <w:basedOn w:val="50"/>
    <w:uiPriority w:val="0"/>
  </w:style>
  <w:style w:type="character" w:customStyle="1" w:styleId="78">
    <w:name w:val="apple-style-span"/>
    <w:basedOn w:val="50"/>
    <w:uiPriority w:val="0"/>
  </w:style>
  <w:style w:type="character" w:customStyle="1" w:styleId="79">
    <w:name w:val="标题 3 Char"/>
    <w:link w:val="6"/>
    <w:uiPriority w:val="0"/>
    <w:rPr>
      <w:rFonts w:eastAsia="宋体"/>
      <w:b/>
      <w:bCs/>
      <w:kern w:val="2"/>
      <w:sz w:val="32"/>
      <w:szCs w:val="32"/>
      <w:lang w:val="en-US" w:eastAsia="zh-CN" w:bidi="ar-SA"/>
    </w:rPr>
  </w:style>
  <w:style w:type="character" w:customStyle="1" w:styleId="80">
    <w:name w:val="标题 7 Char"/>
    <w:link w:val="10"/>
    <w:uiPriority w:val="0"/>
    <w:rPr>
      <w:rFonts w:ascii="Cambria" w:hAnsi="Cambria" w:eastAsia="宋体"/>
      <w:b/>
      <w:bCs/>
      <w:color w:val="9BBB59"/>
      <w:kern w:val="2"/>
      <w:sz w:val="21"/>
      <w:szCs w:val="24"/>
      <w:lang w:val="en-US" w:eastAsia="zh-CN" w:bidi="ar-SA"/>
    </w:rPr>
  </w:style>
  <w:style w:type="character" w:customStyle="1" w:styleId="81">
    <w:name w:val="正文文本缩进 2 Char"/>
    <w:link w:val="29"/>
    <w:uiPriority w:val="0"/>
    <w:rPr>
      <w:rFonts w:eastAsia="宋体"/>
      <w:kern w:val="2"/>
      <w:sz w:val="28"/>
      <w:szCs w:val="24"/>
      <w:lang w:val="en-US" w:eastAsia="zh-CN" w:bidi="ar-SA"/>
    </w:rPr>
  </w:style>
  <w:style w:type="character" w:customStyle="1" w:styleId="82">
    <w:name w:val="font11"/>
    <w:basedOn w:val="50"/>
    <w:uiPriority w:val="0"/>
    <w:rPr>
      <w:rFonts w:hint="default" w:ascii="仿宋_GB2312" w:eastAsia="仿宋_GB2312" w:cs="仿宋_GB2312"/>
      <w:color w:val="000000"/>
      <w:sz w:val="24"/>
      <w:szCs w:val="24"/>
      <w:u w:val="none"/>
    </w:rPr>
  </w:style>
  <w:style w:type="character" w:customStyle="1" w:styleId="83">
    <w:name w:val="标题 5 Char"/>
    <w:link w:val="8"/>
    <w:uiPriority w:val="0"/>
    <w:rPr>
      <w:rFonts w:ascii="Cambria" w:hAnsi="Cambria" w:eastAsia="宋体" w:cs="宋体"/>
      <w:color w:val="4F81BD"/>
      <w:kern w:val="2"/>
      <w:sz w:val="21"/>
      <w:szCs w:val="24"/>
      <w:lang w:val="en-US" w:eastAsia="zh-CN" w:bidi="ar-SA"/>
    </w:rPr>
  </w:style>
  <w:style w:type="character" w:customStyle="1" w:styleId="84">
    <w:name w:val="正文文本缩进 3 Char"/>
    <w:link w:val="38"/>
    <w:uiPriority w:val="0"/>
    <w:rPr>
      <w:rFonts w:eastAsia="宋体"/>
      <w:kern w:val="2"/>
      <w:sz w:val="16"/>
      <w:szCs w:val="16"/>
      <w:lang w:val="en-US" w:eastAsia="zh-CN" w:bidi="ar-SA"/>
    </w:rPr>
  </w:style>
  <w:style w:type="character" w:customStyle="1" w:styleId="85">
    <w:name w:val="彩色列表 - 强调文字颜色 1 Char"/>
    <w:link w:val="86"/>
    <w:uiPriority w:val="0"/>
    <w:rPr>
      <w:rFonts w:ascii="Calibri" w:hAnsi="Calibri" w:eastAsia="宋体"/>
      <w:kern w:val="2"/>
      <w:sz w:val="21"/>
      <w:szCs w:val="22"/>
      <w:lang w:val="en-US" w:eastAsia="zh-CN" w:bidi="ar-SA"/>
    </w:rPr>
  </w:style>
  <w:style w:type="paragraph" w:customStyle="1" w:styleId="86">
    <w:name w:val="彩色列表 - 强调文字颜色 11"/>
    <w:basedOn w:val="1"/>
    <w:link w:val="85"/>
    <w:qFormat/>
    <w:uiPriority w:val="0"/>
    <w:pPr>
      <w:ind w:firstLine="420" w:firstLineChars="200"/>
    </w:pPr>
    <w:rPr>
      <w:rFonts w:ascii="Calibri" w:hAnsi="Calibri"/>
      <w:sz w:val="21"/>
      <w:szCs w:val="22"/>
    </w:rPr>
  </w:style>
  <w:style w:type="character" w:customStyle="1" w:styleId="87">
    <w:name w:val="标题 Char"/>
    <w:link w:val="45"/>
    <w:uiPriority w:val="0"/>
    <w:rPr>
      <w:rFonts w:ascii="宋体" w:hAnsi="Courier New" w:eastAsia="宋体" w:cs="Courier New"/>
      <w:kern w:val="2"/>
      <w:sz w:val="21"/>
      <w:szCs w:val="21"/>
      <w:lang w:val="en-US" w:eastAsia="zh-CN" w:bidi="ar-SA"/>
    </w:rPr>
  </w:style>
  <w:style w:type="character" w:customStyle="1" w:styleId="88">
    <w:name w:val="正文文本 2 Char"/>
    <w:link w:val="41"/>
    <w:uiPriority w:val="0"/>
    <w:rPr>
      <w:kern w:val="2"/>
      <w:sz w:val="18"/>
      <w:szCs w:val="18"/>
    </w:rPr>
  </w:style>
  <w:style w:type="character" w:customStyle="1" w:styleId="89">
    <w:name w:val="font41"/>
    <w:basedOn w:val="50"/>
    <w:uiPriority w:val="0"/>
    <w:rPr>
      <w:rFonts w:hint="default" w:ascii="仿宋_GB2312" w:eastAsia="仿宋_GB2312" w:cs="仿宋_GB2312"/>
      <w:color w:val="FF0000"/>
      <w:sz w:val="24"/>
      <w:szCs w:val="24"/>
      <w:u w:val="none"/>
    </w:rPr>
  </w:style>
  <w:style w:type="character" w:customStyle="1" w:styleId="90">
    <w:name w:val="ca-4"/>
    <w:basedOn w:val="50"/>
    <w:uiPriority w:val="0"/>
  </w:style>
  <w:style w:type="character" w:customStyle="1" w:styleId="91">
    <w:name w:val="标题 1 Char"/>
    <w:link w:val="4"/>
    <w:uiPriority w:val="0"/>
    <w:rPr>
      <w:rFonts w:eastAsia="宋体"/>
      <w:b/>
      <w:bCs/>
      <w:kern w:val="44"/>
      <w:sz w:val="44"/>
      <w:szCs w:val="44"/>
      <w:lang w:val="en-US" w:eastAsia="zh-CN" w:bidi="ar-SA"/>
    </w:rPr>
  </w:style>
  <w:style w:type="character" w:customStyle="1" w:styleId="92">
    <w:name w:val="正文缩进 Char"/>
    <w:link w:val="15"/>
    <w:uiPriority w:val="0"/>
    <w:rPr>
      <w:rFonts w:eastAsia="宋体"/>
      <w:kern w:val="2"/>
      <w:sz w:val="21"/>
      <w:lang w:val="en-US" w:eastAsia="zh-CN" w:bidi="ar-SA"/>
    </w:rPr>
  </w:style>
  <w:style w:type="character" w:customStyle="1" w:styleId="93">
    <w:name w:val="sub_title1"/>
    <w:basedOn w:val="50"/>
    <w:uiPriority w:val="0"/>
  </w:style>
  <w:style w:type="character" w:customStyle="1" w:styleId="94">
    <w:name w:val="c"/>
    <w:basedOn w:val="50"/>
    <w:qFormat/>
    <w:uiPriority w:val="0"/>
    <w:rPr>
      <w:rFonts w:ascii="仿宋_GB2312" w:eastAsia="仿宋_GB2312"/>
      <w:b/>
      <w:sz w:val="32"/>
      <w:szCs w:val="32"/>
    </w:rPr>
  </w:style>
  <w:style w:type="character" w:customStyle="1" w:styleId="95">
    <w:name w:val="ca-2"/>
    <w:basedOn w:val="50"/>
    <w:uiPriority w:val="0"/>
  </w:style>
  <w:style w:type="character" w:customStyle="1" w:styleId="96">
    <w:name w:val="ca-11"/>
    <w:uiPriority w:val="0"/>
    <w:rPr>
      <w:rFonts w:hint="eastAsia" w:ascii="宋体" w:hAnsi="宋体" w:eastAsia="宋体"/>
      <w:color w:val="000000"/>
      <w:sz w:val="22"/>
      <w:szCs w:val="22"/>
    </w:rPr>
  </w:style>
  <w:style w:type="character" w:customStyle="1" w:styleId="97">
    <w:name w:val="文档结构图 Char"/>
    <w:link w:val="17"/>
    <w:uiPriority w:val="0"/>
    <w:rPr>
      <w:rFonts w:ascii="宋体" w:hAnsi="宋体" w:eastAsia="宋体"/>
      <w:kern w:val="2"/>
      <w:sz w:val="21"/>
      <w:szCs w:val="24"/>
      <w:lang w:val="en-US" w:eastAsia="zh-CN" w:bidi="ar-SA"/>
    </w:rPr>
  </w:style>
  <w:style w:type="character" w:customStyle="1" w:styleId="98">
    <w:name w:val="font81"/>
    <w:basedOn w:val="50"/>
    <w:uiPriority w:val="0"/>
    <w:rPr>
      <w:rFonts w:hint="default" w:ascii="仿宋_GB2312" w:eastAsia="仿宋_GB2312" w:cs="仿宋_GB2312"/>
      <w:b/>
      <w:color w:val="000000"/>
      <w:sz w:val="24"/>
      <w:szCs w:val="24"/>
      <w:u w:val="none"/>
    </w:rPr>
  </w:style>
  <w:style w:type="character" w:customStyle="1" w:styleId="99">
    <w:name w:val="彩色网格 - 强调文字颜色 1 Char"/>
    <w:link w:val="100"/>
    <w:uiPriority w:val="0"/>
    <w:rPr>
      <w:rFonts w:ascii="Cambria" w:hAnsi="Cambria" w:eastAsia="宋体"/>
      <w:i/>
      <w:iCs/>
      <w:color w:val="5A5A5A"/>
      <w:kern w:val="2"/>
      <w:sz w:val="21"/>
      <w:szCs w:val="24"/>
      <w:lang w:val="en-US" w:eastAsia="zh-CN" w:bidi="ar-SA"/>
    </w:rPr>
  </w:style>
  <w:style w:type="paragraph" w:customStyle="1" w:styleId="100">
    <w:name w:val="彩色网格 - 强调文字颜色 11"/>
    <w:basedOn w:val="1"/>
    <w:next w:val="1"/>
    <w:link w:val="99"/>
    <w:qFormat/>
    <w:uiPriority w:val="0"/>
    <w:rPr>
      <w:rFonts w:ascii="Cambria" w:hAnsi="Cambria"/>
      <w:i/>
      <w:iCs/>
      <w:color w:val="5A5A5A"/>
      <w:sz w:val="21"/>
    </w:rPr>
  </w:style>
  <w:style w:type="character" w:customStyle="1" w:styleId="101">
    <w:name w:val="副标题 Char"/>
    <w:link w:val="35"/>
    <w:uiPriority w:val="0"/>
    <w:rPr>
      <w:rFonts w:ascii="宋体" w:hAnsi="宋体" w:eastAsia="宋体"/>
      <w:i/>
      <w:iCs/>
      <w:kern w:val="2"/>
      <w:sz w:val="24"/>
      <w:szCs w:val="24"/>
      <w:lang w:val="en-US" w:eastAsia="zh-CN" w:bidi="ar-SA"/>
    </w:rPr>
  </w:style>
  <w:style w:type="character" w:customStyle="1" w:styleId="102">
    <w:name w:val="纯文本 Char"/>
    <w:link w:val="26"/>
    <w:uiPriority w:val="0"/>
    <w:rPr>
      <w:rFonts w:ascii="宋体" w:hAnsi="Courier New" w:eastAsia="宋体" w:cs="Courier New"/>
      <w:kern w:val="2"/>
      <w:sz w:val="21"/>
      <w:szCs w:val="21"/>
      <w:lang w:val="en-US" w:eastAsia="zh-CN" w:bidi="ar-SA"/>
    </w:rPr>
  </w:style>
  <w:style w:type="character" w:customStyle="1" w:styleId="103">
    <w:name w:val="正文文本缩进 Char"/>
    <w:link w:val="3"/>
    <w:uiPriority w:val="0"/>
    <w:rPr>
      <w:rFonts w:ascii="宋体" w:eastAsia="宋体"/>
      <w:sz w:val="28"/>
      <w:lang w:val="en-US" w:eastAsia="zh-CN" w:bidi="ar-SA"/>
    </w:rPr>
  </w:style>
  <w:style w:type="character" w:customStyle="1" w:styleId="104">
    <w:name w:val="ptb181"/>
    <w:uiPriority w:val="0"/>
    <w:rPr>
      <w:rFonts w:hint="default" w:ascii="Verdana" w:hAnsi="Verdana"/>
      <w:b/>
      <w:bCs/>
      <w:color w:val="000000"/>
      <w:sz w:val="26"/>
      <w:szCs w:val="26"/>
    </w:rPr>
  </w:style>
  <w:style w:type="character" w:customStyle="1" w:styleId="105">
    <w:name w:val="ca-01"/>
    <w:uiPriority w:val="0"/>
    <w:rPr>
      <w:rFonts w:hint="eastAsia" w:ascii="宋体" w:hAnsi="宋体" w:eastAsia="宋体"/>
      <w:color w:val="000000"/>
      <w:sz w:val="30"/>
      <w:szCs w:val="30"/>
    </w:rPr>
  </w:style>
  <w:style w:type="character" w:customStyle="1" w:styleId="106">
    <w:name w:val="无间隔 Char"/>
    <w:link w:val="107"/>
    <w:uiPriority w:val="0"/>
    <w:rPr>
      <w:rFonts w:ascii="宋体" w:hAnsi="宋体" w:eastAsia="宋体"/>
      <w:kern w:val="2"/>
      <w:sz w:val="21"/>
      <w:szCs w:val="24"/>
      <w:lang w:val="en-US" w:eastAsia="zh-CN" w:bidi="ar-SA"/>
    </w:rPr>
  </w:style>
  <w:style w:type="paragraph" w:customStyle="1" w:styleId="107">
    <w:name w:val="无间隔1"/>
    <w:basedOn w:val="1"/>
    <w:link w:val="106"/>
    <w:qFormat/>
    <w:uiPriority w:val="0"/>
    <w:rPr>
      <w:rFonts w:ascii="宋体" w:hAnsi="宋体"/>
      <w:sz w:val="21"/>
    </w:rPr>
  </w:style>
  <w:style w:type="character" w:customStyle="1" w:styleId="108">
    <w:name w:val="特点 Char"/>
    <w:aliases w:val="正文（首行缩进两字） Char Char Char Char1,正文（首行缩进两字） Char Char Char Char Char1,正文缩进1 Char,正文（首行缩进两字） Char Char Char Char Char Char,正文（首行缩进两字） Char1,正文（首行缩进两字） Char Char1,首行缩进两字 Char Char Char,正文（首行缩进两字） Char Char Char Char Char Char1,ÕýÎÄ1 Char,首行缩进两字 Cha"/>
    <w:uiPriority w:val="0"/>
    <w:rPr>
      <w:rFonts w:eastAsia="宋体"/>
      <w:kern w:val="2"/>
      <w:sz w:val="21"/>
      <w:lang w:val="en-US" w:eastAsia="zh-CN" w:bidi="ar-SA"/>
    </w:rPr>
  </w:style>
  <w:style w:type="character" w:customStyle="1" w:styleId="109">
    <w:name w:val=" Char Char14"/>
    <w:uiPriority w:val="0"/>
    <w:rPr>
      <w:rFonts w:eastAsia="宋体"/>
      <w:kern w:val="2"/>
      <w:sz w:val="18"/>
      <w:szCs w:val="18"/>
      <w:lang w:val="en-US" w:eastAsia="zh-CN" w:bidi="ar-SA"/>
    </w:rPr>
  </w:style>
  <w:style w:type="character" w:customStyle="1" w:styleId="110">
    <w:name w:val="标题 4 Char"/>
    <w:link w:val="7"/>
    <w:uiPriority w:val="0"/>
    <w:rPr>
      <w:rFonts w:ascii="Cambria" w:hAnsi="Cambria" w:eastAsia="宋体" w:cs="宋体"/>
      <w:i/>
      <w:iCs/>
      <w:color w:val="4F81BD"/>
      <w:kern w:val="2"/>
      <w:sz w:val="24"/>
      <w:szCs w:val="24"/>
      <w:lang w:val="en-US" w:eastAsia="zh-CN" w:bidi="ar-SA"/>
    </w:rPr>
  </w:style>
  <w:style w:type="character" w:customStyle="1" w:styleId="111">
    <w:name w:val="标题 8 Char"/>
    <w:link w:val="11"/>
    <w:uiPriority w:val="0"/>
    <w:rPr>
      <w:rFonts w:ascii="Cambria" w:hAnsi="Cambria" w:eastAsia="宋体"/>
      <w:b/>
      <w:bCs/>
      <w:i/>
      <w:iCs/>
      <w:color w:val="9BBB59"/>
      <w:kern w:val="2"/>
      <w:sz w:val="21"/>
      <w:szCs w:val="24"/>
      <w:lang w:val="en-US" w:eastAsia="zh-CN" w:bidi="ar-SA"/>
    </w:rPr>
  </w:style>
  <w:style w:type="character" w:customStyle="1" w:styleId="112">
    <w:name w:val="批注框文本 Char"/>
    <w:link w:val="30"/>
    <w:uiPriority w:val="0"/>
    <w:rPr>
      <w:rFonts w:eastAsia="宋体"/>
      <w:kern w:val="2"/>
      <w:sz w:val="18"/>
      <w:szCs w:val="18"/>
      <w:lang w:val="en-US" w:eastAsia="zh-CN" w:bidi="ar-SA"/>
    </w:rPr>
  </w:style>
  <w:style w:type="character" w:customStyle="1" w:styleId="113">
    <w:name w:val="内文 Char"/>
    <w:link w:val="114"/>
    <w:uiPriority w:val="0"/>
    <w:rPr>
      <w:rFonts w:ascii="Arial" w:hAnsi="Arial" w:eastAsia="Times New Roman" w:cs="Arial"/>
      <w:kern w:val="2"/>
      <w:sz w:val="21"/>
      <w:szCs w:val="22"/>
      <w:lang w:val="en-US" w:eastAsia="zh-CN" w:bidi="ar-SA"/>
    </w:rPr>
  </w:style>
  <w:style w:type="paragraph" w:customStyle="1" w:styleId="114">
    <w:name w:val="内文"/>
    <w:link w:val="113"/>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15">
    <w:name w:val="标题 9 Char"/>
    <w:link w:val="12"/>
    <w:uiPriority w:val="0"/>
    <w:rPr>
      <w:rFonts w:ascii="Cambria" w:hAnsi="Cambria" w:eastAsia="宋体"/>
      <w:i/>
      <w:iCs/>
      <w:color w:val="9BBB59"/>
      <w:kern w:val="2"/>
      <w:sz w:val="21"/>
      <w:szCs w:val="24"/>
      <w:lang w:val="en-US" w:eastAsia="zh-CN" w:bidi="ar-SA"/>
    </w:rPr>
  </w:style>
  <w:style w:type="character" w:customStyle="1" w:styleId="116">
    <w:name w:val="段 Char"/>
    <w:link w:val="117"/>
    <w:locked/>
    <w:uiPriority w:val="0"/>
    <w:rPr>
      <w:rFonts w:ascii="宋体" w:hAnsi="宋体" w:eastAsia="Times New Roman"/>
      <w:kern w:val="2"/>
      <w:sz w:val="21"/>
      <w:szCs w:val="22"/>
      <w:lang w:val="en-US" w:eastAsia="zh-CN" w:bidi="ar-SA"/>
    </w:rPr>
  </w:style>
  <w:style w:type="paragraph" w:customStyle="1" w:styleId="117">
    <w:name w:val="段"/>
    <w:link w:val="116"/>
    <w:uiPriority w:val="0"/>
    <w:pPr>
      <w:tabs>
        <w:tab w:val="center" w:pos="4201"/>
        <w:tab w:val="right" w:leader="dot" w:pos="9298"/>
      </w:tabs>
      <w:autoSpaceDE w:val="0"/>
      <w:autoSpaceDN w:val="0"/>
      <w:ind w:firstLine="420" w:firstLineChars="200"/>
      <w:jc w:val="both"/>
    </w:pPr>
    <w:rPr>
      <w:rFonts w:ascii="宋体" w:hAnsi="宋体" w:eastAsia="Times New Roman"/>
      <w:kern w:val="2"/>
      <w:sz w:val="21"/>
      <w:szCs w:val="22"/>
      <w:lang w:val="en-US" w:eastAsia="zh-CN" w:bidi="ar-SA"/>
    </w:rPr>
  </w:style>
  <w:style w:type="character" w:customStyle="1" w:styleId="118">
    <w:name w:val="日期 Char"/>
    <w:link w:val="28"/>
    <w:uiPriority w:val="0"/>
    <w:rPr>
      <w:rFonts w:ascii="楷体_GB2312" w:eastAsia="楷体_GB2312"/>
      <w:kern w:val="2"/>
      <w:sz w:val="32"/>
      <w:lang w:val="en-US" w:eastAsia="zh-CN" w:bidi="ar-SA"/>
    </w:rPr>
  </w:style>
  <w:style w:type="character" w:customStyle="1" w:styleId="119">
    <w:name w:val="标题 6 Char"/>
    <w:link w:val="9"/>
    <w:uiPriority w:val="0"/>
    <w:rPr>
      <w:rFonts w:ascii="Cambria" w:hAnsi="Cambria" w:eastAsia="宋体" w:cs="宋体"/>
      <w:i/>
      <w:iCs/>
      <w:color w:val="4F81BD"/>
      <w:kern w:val="2"/>
      <w:sz w:val="21"/>
      <w:szCs w:val="24"/>
      <w:lang w:val="en-US" w:eastAsia="zh-CN" w:bidi="ar-SA"/>
    </w:rPr>
  </w:style>
  <w:style w:type="character" w:customStyle="1" w:styleId="120">
    <w:name w:val="ca-41"/>
    <w:uiPriority w:val="0"/>
    <w:rPr>
      <w:b/>
      <w:bCs/>
      <w:color w:val="FF0000"/>
      <w:spacing w:val="-20"/>
      <w:sz w:val="24"/>
      <w:szCs w:val="24"/>
    </w:rPr>
  </w:style>
  <w:style w:type="character" w:customStyle="1" w:styleId="121">
    <w:name w:val=" Char Char2"/>
    <w:uiPriority w:val="0"/>
    <w:rPr>
      <w:rFonts w:eastAsia="宋体"/>
      <w:sz w:val="24"/>
      <w:lang w:val="en-US" w:eastAsia="zh-CN" w:bidi="ar-SA"/>
    </w:rPr>
  </w:style>
  <w:style w:type="character" w:customStyle="1" w:styleId="122">
    <w:name w:val="批注主题 Char"/>
    <w:link w:val="46"/>
    <w:uiPriority w:val="0"/>
    <w:rPr>
      <w:rFonts w:eastAsia="宋体"/>
      <w:b/>
      <w:bCs/>
      <w:kern w:val="2"/>
      <w:sz w:val="28"/>
      <w:szCs w:val="24"/>
      <w:lang w:val="en-US" w:eastAsia="zh-CN" w:bidi="ar-SA"/>
    </w:rPr>
  </w:style>
  <w:style w:type="character" w:customStyle="1" w:styleId="123">
    <w:name w:val="页脚 Char"/>
    <w:link w:val="31"/>
    <w:semiHidden/>
    <w:uiPriority w:val="0"/>
    <w:rPr>
      <w:rFonts w:eastAsia="宋体"/>
      <w:kern w:val="2"/>
      <w:sz w:val="18"/>
      <w:szCs w:val="18"/>
      <w:lang w:val="en-US" w:eastAsia="zh-CN" w:bidi="ar-SA"/>
    </w:rPr>
  </w:style>
  <w:style w:type="paragraph" w:customStyle="1" w:styleId="124">
    <w:name w:val="xl27"/>
    <w:basedOn w:val="1"/>
    <w:uiPriority w:val="0"/>
    <w:pPr>
      <w:widowControl/>
      <w:spacing w:before="100" w:after="100"/>
      <w:jc w:val="center"/>
    </w:pPr>
    <w:rPr>
      <w:rFonts w:hint="eastAsia" w:ascii="宋体" w:hAnsi="宋体"/>
      <w:kern w:val="0"/>
      <w:sz w:val="24"/>
      <w:szCs w:val="20"/>
    </w:rPr>
  </w:style>
  <w:style w:type="paragraph" w:customStyle="1" w:styleId="125">
    <w:name w:val="标题3"/>
    <w:basedOn w:val="6"/>
    <w:qFormat/>
    <w:uiPriority w:val="0"/>
    <w:pPr>
      <w:keepNext w:val="0"/>
      <w:keepLines w:val="0"/>
      <w:widowControl/>
      <w:adjustRightInd w:val="0"/>
      <w:snapToGrid w:val="0"/>
      <w:spacing w:beforeLines="50" w:afterLines="20" w:line="360" w:lineRule="auto"/>
      <w:ind w:left="8"/>
      <w:jc w:val="left"/>
    </w:pPr>
    <w:rPr>
      <w:rFonts w:ascii="Times New Roman" w:hAnsi="Times New Roman" w:eastAsia="楷体_GB2312" w:cs="Times New Roman"/>
      <w:bCs w:val="0"/>
      <w:kern w:val="0"/>
      <w:sz w:val="28"/>
      <w:szCs w:val="20"/>
    </w:rPr>
  </w:style>
  <w:style w:type="paragraph" w:customStyle="1" w:styleId="126">
    <w:name w:val=" Char"/>
    <w:basedOn w:val="1"/>
    <w:uiPriority w:val="0"/>
    <w:rPr>
      <w:rFonts w:ascii="仿宋_GB2312" w:eastAsia="仿宋_GB2312"/>
      <w:b/>
      <w:sz w:val="32"/>
      <w:szCs w:val="32"/>
    </w:rPr>
  </w:style>
  <w:style w:type="paragraph" w:customStyle="1" w:styleId="127">
    <w:name w:val=" Char Char Char Char"/>
    <w:basedOn w:val="1"/>
    <w:uiPriority w:val="0"/>
    <w:rPr>
      <w:sz w:val="21"/>
    </w:rPr>
  </w:style>
  <w:style w:type="paragraph" w:customStyle="1" w:styleId="128">
    <w:name w:val="列出段落22"/>
    <w:basedOn w:val="1"/>
    <w:qFormat/>
    <w:uiPriority w:val="0"/>
    <w:pPr>
      <w:ind w:firstLine="420" w:firstLineChars="200"/>
    </w:pPr>
    <w:rPr>
      <w:sz w:val="24"/>
      <w:szCs w:val="20"/>
    </w:rPr>
  </w:style>
  <w:style w:type="paragraph" w:customStyle="1" w:styleId="129">
    <w:name w:val="List Paragraph"/>
    <w:basedOn w:val="1"/>
    <w:uiPriority w:val="0"/>
    <w:pPr>
      <w:ind w:firstLine="420" w:firstLineChars="200"/>
    </w:pPr>
    <w:rPr>
      <w:rFonts w:ascii="Calibri" w:hAnsi="Calibri"/>
      <w:sz w:val="21"/>
      <w:szCs w:val="22"/>
    </w:rPr>
  </w:style>
  <w:style w:type="paragraph" w:customStyle="1" w:styleId="130">
    <w:name w:val="样式 标题 3 + 段前: 7.8 磅"/>
    <w:basedOn w:val="6"/>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1">
    <w:name w:val="列表段落"/>
    <w:basedOn w:val="1"/>
    <w:qFormat/>
    <w:uiPriority w:val="34"/>
    <w:pPr>
      <w:ind w:firstLine="420" w:firstLineChars="200"/>
    </w:pPr>
    <w:rPr>
      <w:rFonts w:ascii="Times New Roman" w:hAnsi="Times New Roman" w:eastAsia="宋体" w:cs="Times New Roman"/>
      <w:kern w:val="0"/>
      <w:sz w:val="20"/>
      <w:szCs w:val="20"/>
    </w:rPr>
  </w:style>
  <w:style w:type="paragraph" w:customStyle="1" w:styleId="132">
    <w:name w:val="tableheading"/>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3">
    <w:name w:val="默认段落字体 Para Char Char Char Char Char Char Char Char Char1 Char Char Char Char"/>
    <w:basedOn w:val="1"/>
    <w:uiPriority w:val="0"/>
    <w:rPr>
      <w:rFonts w:ascii="Tahoma" w:hAnsi="Tahoma"/>
      <w:sz w:val="24"/>
      <w:szCs w:val="20"/>
    </w:rPr>
  </w:style>
  <w:style w:type="paragraph" w:customStyle="1" w:styleId="134">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5">
    <w:name w:val="列表编号 3 New"/>
    <w:basedOn w:val="1"/>
    <w:uiPriority w:val="0"/>
    <w:pPr>
      <w:widowControl/>
      <w:numPr>
        <w:ilvl w:val="0"/>
        <w:numId w:val="3"/>
      </w:numPr>
      <w:tabs>
        <w:tab w:val="left" w:pos="482"/>
        <w:tab w:val="clear" w:pos="1440"/>
      </w:tabs>
      <w:spacing w:after="156" w:afterLines="50"/>
      <w:jc w:val="left"/>
    </w:pPr>
    <w:rPr>
      <w:kern w:val="0"/>
      <w:sz w:val="24"/>
      <w:szCs w:val="20"/>
    </w:rPr>
  </w:style>
  <w:style w:type="paragraph" w:customStyle="1" w:styleId="136">
    <w:name w:val="font0"/>
    <w:basedOn w:val="1"/>
    <w:uiPriority w:val="0"/>
    <w:pPr>
      <w:widowControl/>
      <w:spacing w:before="100" w:beforeLines="0" w:beforeAutospacing="1" w:after="100" w:afterLines="0" w:afterAutospacing="1"/>
      <w:jc w:val="left"/>
    </w:pPr>
    <w:rPr>
      <w:rFonts w:ascii="宋体" w:hAnsi="宋体" w:cs="Arial Unicode MS"/>
      <w:kern w:val="0"/>
      <w:sz w:val="24"/>
    </w:rPr>
  </w:style>
  <w:style w:type="paragraph" w:customStyle="1" w:styleId="137">
    <w:name w:val="正文段"/>
    <w:basedOn w:val="1"/>
    <w:uiPriority w:val="0"/>
    <w:pPr>
      <w:widowControl/>
      <w:snapToGrid w:val="0"/>
      <w:spacing w:after="156" w:afterLines="50"/>
      <w:ind w:firstLine="200" w:firstLineChars="200"/>
    </w:pPr>
    <w:rPr>
      <w:kern w:val="0"/>
      <w:sz w:val="24"/>
      <w:szCs w:val="20"/>
    </w:rPr>
  </w:style>
  <w:style w:type="paragraph" w:customStyle="1" w:styleId="138">
    <w:name w:val=" Char1 Char Char Char"/>
    <w:basedOn w:val="1"/>
    <w:qFormat/>
    <w:uiPriority w:val="0"/>
    <w:rPr>
      <w:rFonts w:ascii="Tahoma" w:hAnsi="Tahoma"/>
      <w:sz w:val="24"/>
      <w:szCs w:val="20"/>
    </w:rPr>
  </w:style>
  <w:style w:type="paragraph" w:customStyle="1" w:styleId="139">
    <w:name w:val="正文2"/>
    <w:basedOn w:val="1"/>
    <w:qFormat/>
    <w:uiPriority w:val="0"/>
    <w:pPr>
      <w:spacing w:before="156" w:line="360" w:lineRule="auto"/>
      <w:ind w:firstLine="510" w:firstLineChars="200"/>
    </w:pPr>
    <w:rPr>
      <w:sz w:val="24"/>
      <w:szCs w:val="20"/>
    </w:rPr>
  </w:style>
  <w:style w:type="paragraph" w:customStyle="1" w:styleId="140">
    <w:name w:val="列出段落1"/>
    <w:basedOn w:val="1"/>
    <w:qFormat/>
    <w:uiPriority w:val="34"/>
    <w:pPr>
      <w:spacing w:line="360" w:lineRule="auto"/>
      <w:ind w:firstLine="420" w:firstLineChars="200"/>
    </w:pPr>
    <w:rPr>
      <w:rFonts w:ascii="Calibri" w:hAnsi="Calibri"/>
      <w:sz w:val="24"/>
      <w:szCs w:val="22"/>
    </w:rPr>
  </w:style>
  <w:style w:type="paragraph" w:customStyle="1" w:styleId="141">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142">
    <w:name w:val="No Spacing"/>
    <w:basedOn w:val="1"/>
    <w:qFormat/>
    <w:uiPriority w:val="1"/>
    <w:pPr>
      <w:widowControl w:val="0"/>
      <w:jc w:val="both"/>
    </w:pPr>
    <w:rPr>
      <w:rFonts w:ascii="Calibri" w:hAnsi="Calibri"/>
      <w:kern w:val="2"/>
      <w:sz w:val="21"/>
      <w:szCs w:val="22"/>
      <w:lang w:val="en-US" w:eastAsia="zh-CN" w:bidi="ar-SA"/>
    </w:rPr>
  </w:style>
  <w:style w:type="paragraph" w:customStyle="1" w:styleId="143">
    <w:name w:val=" Char Char Char1"/>
    <w:basedOn w:val="1"/>
    <w:uiPriority w:val="0"/>
    <w:rPr>
      <w:rFonts w:ascii="Tahoma" w:hAnsi="Tahoma"/>
      <w:sz w:val="24"/>
      <w:szCs w:val="20"/>
    </w:rPr>
  </w:style>
  <w:style w:type="paragraph" w:customStyle="1" w:styleId="144">
    <w:name w:val="样式 表格正文 + 两端对齐"/>
    <w:basedOn w:val="1"/>
    <w:uiPriority w:val="0"/>
    <w:pPr>
      <w:spacing w:line="300" w:lineRule="auto"/>
    </w:pPr>
    <w:rPr>
      <w:sz w:val="24"/>
      <w:szCs w:val="20"/>
    </w:rPr>
  </w:style>
  <w:style w:type="paragraph" w:customStyle="1" w:styleId="145">
    <w:name w:val="标准中文版式_正文"/>
    <w:basedOn w:val="1"/>
    <w:qFormat/>
    <w:uiPriority w:val="0"/>
    <w:pPr>
      <w:spacing w:before="30" w:beforeLines="0" w:line="360" w:lineRule="auto"/>
      <w:ind w:firstLineChars="200"/>
    </w:pPr>
    <w:rPr>
      <w:rFonts w:ascii="Arial" w:hAnsi="Arial"/>
      <w:sz w:val="24"/>
    </w:rPr>
  </w:style>
  <w:style w:type="paragraph" w:customStyle="1" w:styleId="146">
    <w:name w:val="text"/>
    <w:basedOn w:val="1"/>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24"/>
    </w:rPr>
  </w:style>
  <w:style w:type="paragraph" w:customStyle="1" w:styleId="147">
    <w:name w:val="*正文"/>
    <w:basedOn w:val="1"/>
    <w:qFormat/>
    <w:uiPriority w:val="0"/>
    <w:pPr>
      <w:spacing w:line="360" w:lineRule="auto"/>
      <w:ind w:firstLine="200" w:firstLineChars="200"/>
    </w:pPr>
    <w:rPr>
      <w:rFonts w:ascii="宋体" w:hAnsi="宋体"/>
      <w:sz w:val="24"/>
    </w:rPr>
  </w:style>
  <w:style w:type="paragraph" w:customStyle="1" w:styleId="148">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49">
    <w:name w:val="Char Char Char Char"/>
    <w:basedOn w:val="1"/>
    <w:semiHidden/>
    <w:uiPriority w:val="0"/>
    <w:pPr>
      <w:widowControl/>
      <w:spacing w:after="160" w:afterLines="0" w:line="240" w:lineRule="exact"/>
      <w:jc w:val="left"/>
    </w:pPr>
    <w:rPr>
      <w:rFonts w:ascii="Verdana" w:hAnsi="Verdana"/>
      <w:kern w:val="0"/>
      <w:sz w:val="20"/>
      <w:szCs w:val="20"/>
      <w:lang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7245</Words>
  <Characters>41300</Characters>
  <Lines>344</Lines>
  <Paragraphs>96</Paragraphs>
  <TotalTime>28</TotalTime>
  <ScaleCrop>false</ScaleCrop>
  <LinksUpToDate>false</LinksUpToDate>
  <CharactersWithSpaces>48449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2019-05-28T05:42:00Z</dcterms:created>
  <dc:creator>微软用户</dc:creator>
  <cp:lastModifiedBy>WPS_1701756769</cp:lastModifiedBy>
  <cp:lastPrinted>2016-07-14T12:12:00Z</cp:lastPrinted>
  <dcterms:modified xsi:type="dcterms:W3CDTF">2024-02-22T08:52:15Z</dcterms:modified>
  <cp:revision>10</cp:revision>
  <dc:title>湖州市卫生局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12F177263B3747B88DAA52170D3F9948_13</vt:lpwstr>
  </property>
</Properties>
</file>