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color w:val="000000" w:themeColor="text1"/>
          <w:sz w:val="24"/>
          <w:highlight w:val="none"/>
          <w14:textFill>
            <w14:solidFill>
              <w14:schemeClr w14:val="tx1"/>
            </w14:solidFill>
          </w14:textFill>
        </w:rPr>
      </w:pPr>
    </w:p>
    <w:p>
      <w:pPr>
        <w:spacing w:line="360" w:lineRule="auto"/>
        <w:jc w:val="center"/>
        <w:rPr>
          <w:rFonts w:ascii="仿宋" w:hAnsi="仿宋" w:eastAsia="仿宋" w:cs="仿宋"/>
          <w:b/>
          <w:color w:val="000000" w:themeColor="text1"/>
          <w:sz w:val="24"/>
          <w:highlight w:val="none"/>
          <w14:textFill>
            <w14:solidFill>
              <w14:schemeClr w14:val="tx1"/>
            </w14:solidFill>
          </w14:textFill>
        </w:rPr>
      </w:pPr>
    </w:p>
    <w:p>
      <w:pPr>
        <w:adjustRightInd/>
        <w:spacing w:line="360" w:lineRule="auto"/>
        <w:jc w:val="center"/>
        <w:rPr>
          <w:rFonts w:ascii="仿宋" w:hAnsi="仿宋" w:eastAsia="仿宋" w:cs="仿宋"/>
          <w:b/>
          <w:color w:val="000000" w:themeColor="text1"/>
          <w:sz w:val="44"/>
          <w:szCs w:val="44"/>
          <w:highlight w:val="none"/>
          <w14:textFill>
            <w14:solidFill>
              <w14:schemeClr w14:val="tx1"/>
            </w14:solidFill>
          </w14:textFill>
        </w:rPr>
      </w:pPr>
    </w:p>
    <w:p>
      <w:pPr>
        <w:adjustRightInd/>
        <w:spacing w:line="360" w:lineRule="auto"/>
        <w:jc w:val="center"/>
        <w:rPr>
          <w:rFonts w:ascii="仿宋" w:hAnsi="仿宋" w:eastAsia="仿宋" w:cs="仿宋"/>
          <w:b/>
          <w:bCs/>
          <w:color w:val="000000" w:themeColor="text1"/>
          <w:sz w:val="48"/>
          <w:szCs w:val="48"/>
          <w:highlight w:val="none"/>
          <w14:textFill>
            <w14:solidFill>
              <w14:schemeClr w14:val="tx1"/>
            </w14:solidFill>
          </w14:textFill>
        </w:rPr>
      </w:pPr>
      <w:bookmarkStart w:id="0" w:name="OLE_LINK1"/>
      <w:r>
        <w:rPr>
          <w:rFonts w:hint="eastAsia" w:ascii="仿宋" w:hAnsi="仿宋" w:eastAsia="仿宋" w:cs="仿宋"/>
          <w:b/>
          <w:bCs/>
          <w:color w:val="000000" w:themeColor="text1"/>
          <w:sz w:val="48"/>
          <w:szCs w:val="48"/>
          <w:highlight w:val="none"/>
          <w14:textFill>
            <w14:solidFill>
              <w14:schemeClr w14:val="tx1"/>
            </w14:solidFill>
          </w14:textFill>
        </w:rPr>
        <w:t>浙江交通职业技术学院</w:t>
      </w:r>
    </w:p>
    <w:bookmarkEnd w:id="0"/>
    <w:p>
      <w:pPr>
        <w:adjustRightInd/>
        <w:spacing w:line="360" w:lineRule="auto"/>
        <w:jc w:val="center"/>
        <w:rPr>
          <w:rFonts w:hint="default" w:ascii="仿宋" w:hAnsi="仿宋" w:eastAsia="仿宋" w:cs="仿宋"/>
          <w:b/>
          <w:bCs/>
          <w:color w:val="000000" w:themeColor="text1"/>
          <w:sz w:val="48"/>
          <w:szCs w:val="48"/>
          <w:highlight w:val="none"/>
          <w:lang w:val="en-US" w:eastAsia="zh-CN"/>
          <w14:textFill>
            <w14:solidFill>
              <w14:schemeClr w14:val="tx1"/>
            </w14:solidFill>
          </w14:textFill>
        </w:rPr>
      </w:pPr>
      <w:r>
        <w:rPr>
          <w:rFonts w:hint="eastAsia" w:ascii="仿宋" w:hAnsi="仿宋" w:eastAsia="仿宋" w:cs="仿宋"/>
          <w:b/>
          <w:bCs/>
          <w:color w:val="000000" w:themeColor="text1"/>
          <w:sz w:val="48"/>
          <w:szCs w:val="48"/>
          <w:highlight w:val="none"/>
          <w:lang w:eastAsia="zh-CN"/>
          <w14:textFill>
            <w14:solidFill>
              <w14:schemeClr w14:val="tx1"/>
            </w14:solidFill>
          </w14:textFill>
        </w:rPr>
        <w:t>工程测量实训室扩建</w:t>
      </w:r>
      <w:r>
        <w:rPr>
          <w:rFonts w:hint="eastAsia" w:ascii="仿宋" w:hAnsi="仿宋" w:eastAsia="仿宋" w:cs="仿宋"/>
          <w:b/>
          <w:bCs/>
          <w:color w:val="000000" w:themeColor="text1"/>
          <w:sz w:val="48"/>
          <w:szCs w:val="48"/>
          <w:highlight w:val="none"/>
          <w:lang w:val="en-US" w:eastAsia="zh-CN"/>
          <w14:textFill>
            <w14:solidFill>
              <w14:schemeClr w14:val="tx1"/>
            </w14:solidFill>
          </w14:textFill>
        </w:rPr>
        <w:t>项目</w:t>
      </w:r>
    </w:p>
    <w:p>
      <w:pPr>
        <w:adjustRightInd/>
        <w:spacing w:line="360" w:lineRule="auto"/>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竞争性磋商文件</w:t>
      </w:r>
    </w:p>
    <w:p>
      <w:pPr>
        <w:adjustRightInd/>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（电子交易）</w:t>
      </w:r>
    </w:p>
    <w:p>
      <w:pPr>
        <w:snapToGrid w:val="0"/>
        <w:spacing w:line="360" w:lineRule="auto"/>
        <w:jc w:val="center"/>
        <w:rPr>
          <w:rFonts w:hint="eastAsia" w:ascii="仿宋" w:hAnsi="仿宋" w:eastAsia="仿宋" w:cs="仿宋"/>
          <w:b/>
          <w:bCs/>
          <w:color w:val="000000" w:themeColor="text1"/>
          <w:sz w:val="30"/>
          <w:szCs w:val="30"/>
          <w:highlight w:val="none"/>
          <w:lang w:eastAsia="zh-CN"/>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采购编号:</w:t>
      </w:r>
      <w:r>
        <w:rPr>
          <w:rFonts w:hint="eastAsia" w:ascii="仿宋" w:hAnsi="仿宋" w:eastAsia="仿宋" w:cs="仿宋"/>
          <w:b/>
          <w:bCs/>
          <w:color w:val="000000" w:themeColor="text1"/>
          <w:sz w:val="30"/>
          <w:szCs w:val="30"/>
          <w:highlight w:val="none"/>
          <w:lang w:eastAsia="zh-CN"/>
          <w14:textFill>
            <w14:solidFill>
              <w14:schemeClr w14:val="tx1"/>
            </w14:solidFill>
          </w14:textFill>
        </w:rPr>
        <w:t>BSZB2022-AZZC128</w:t>
      </w:r>
    </w:p>
    <w:p>
      <w:pPr>
        <w:adjustRightInd/>
        <w:spacing w:line="360" w:lineRule="auto"/>
        <w:rPr>
          <w:rFonts w:ascii="仿宋" w:hAnsi="仿宋" w:eastAsia="仿宋" w:cs="仿宋"/>
          <w:b/>
          <w:bCs/>
          <w:color w:val="000000" w:themeColor="text1"/>
          <w:sz w:val="28"/>
          <w:szCs w:val="20"/>
          <w:highlight w:val="none"/>
          <w14:textFill>
            <w14:solidFill>
              <w14:schemeClr w14:val="tx1"/>
            </w14:solidFill>
          </w14:textFill>
        </w:rPr>
      </w:pPr>
    </w:p>
    <w:p>
      <w:pPr>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 xml:space="preserve"> </w:t>
      </w:r>
    </w:p>
    <w:p>
      <w:pPr>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p>
    <w:p>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pPr>
        <w:spacing w:line="360" w:lineRule="auto"/>
        <w:rPr>
          <w:rFonts w:ascii="仿宋" w:hAnsi="仿宋" w:eastAsia="仿宋" w:cs="仿宋"/>
          <w:b/>
          <w:bCs/>
          <w:color w:val="000000" w:themeColor="text1"/>
          <w:sz w:val="32"/>
          <w:szCs w:val="32"/>
          <w:highlight w:val="none"/>
          <w14:textFill>
            <w14:solidFill>
              <w14:schemeClr w14:val="tx1"/>
            </w14:solidFill>
          </w14:textFill>
        </w:rPr>
      </w:pPr>
    </w:p>
    <w:p>
      <w:pPr>
        <w:spacing w:line="360" w:lineRule="auto"/>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采购人：浙江交通职业技术学院</w:t>
      </w:r>
    </w:p>
    <w:p>
      <w:pPr>
        <w:spacing w:line="360" w:lineRule="auto"/>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采购代理机构：杭州博实招标代理有限公司</w:t>
      </w:r>
    </w:p>
    <w:p>
      <w:pPr>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2022年7月</w:t>
      </w:r>
      <w:r>
        <w:rPr>
          <w:rFonts w:hint="eastAsia" w:ascii="仿宋" w:hAnsi="仿宋" w:eastAsia="仿宋" w:cs="仿宋"/>
          <w:color w:val="000000" w:themeColor="text1"/>
          <w:sz w:val="24"/>
          <w:highlight w:val="none"/>
          <w14:textFill>
            <w14:solidFill>
              <w14:schemeClr w14:val="tx1"/>
            </w14:solidFill>
          </w14:textFill>
        </w:rPr>
        <w:br w:type="page"/>
      </w:r>
      <w:bookmarkStart w:id="1" w:name="_Hlt67893495"/>
      <w:bookmarkEnd w:id="1"/>
    </w:p>
    <w:p>
      <w:pPr>
        <w:spacing w:line="360" w:lineRule="auto"/>
        <w:jc w:val="center"/>
        <w:rPr>
          <w:rFonts w:ascii="仿宋" w:hAnsi="仿宋" w:eastAsia="仿宋" w:cs="仿宋"/>
          <w:color w:val="000000" w:themeColor="text1"/>
          <w:sz w:val="24"/>
          <w:highlight w:val="none"/>
          <w14:textFill>
            <w14:solidFill>
              <w14:schemeClr w14:val="tx1"/>
            </w14:solidFill>
          </w14:textFill>
        </w:rPr>
      </w:pPr>
    </w:p>
    <w:p>
      <w:pPr>
        <w:spacing w:line="360" w:lineRule="auto"/>
        <w:jc w:val="center"/>
        <w:rPr>
          <w:rFonts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pPr>
        <w:spacing w:line="360" w:lineRule="auto"/>
        <w:rPr>
          <w:rFonts w:ascii="仿宋" w:hAnsi="仿宋" w:eastAsia="仿宋" w:cs="仿宋"/>
          <w:color w:val="000000" w:themeColor="text1"/>
          <w:sz w:val="32"/>
          <w:szCs w:val="32"/>
          <w:highlight w:val="none"/>
          <w14:textFill>
            <w14:solidFill>
              <w14:schemeClr w14:val="tx1"/>
            </w14:solidFill>
          </w14:textFill>
        </w:rPr>
      </w:pPr>
    </w:p>
    <w:p>
      <w:pPr>
        <w:spacing w:line="360" w:lineRule="auto"/>
        <w:rPr>
          <w:rFonts w:ascii="仿宋" w:hAnsi="仿宋" w:eastAsia="仿宋" w:cs="仿宋"/>
          <w:color w:val="000000" w:themeColor="text1"/>
          <w:sz w:val="32"/>
          <w:szCs w:val="32"/>
          <w:highlight w:val="none"/>
          <w14:textFill>
            <w14:solidFill>
              <w14:schemeClr w14:val="tx1"/>
            </w14:solidFill>
          </w14:textFill>
        </w:rPr>
      </w:pP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第一部分      竞争性磋商公告</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第二部分      供应商须知</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第三部分      采购需求</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第四部分      评审办法</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第五部分      拟签订的合同文本</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第六部分      应提交的有关格式范例</w:t>
      </w:r>
    </w:p>
    <w:p>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bookmarkStart w:id="2" w:name="_Hlt91233176"/>
      <w:bookmarkEnd w:id="2"/>
      <w:bookmarkStart w:id="3" w:name="_Toc91899869"/>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pPr>
        <w:spacing w:line="360" w:lineRule="auto"/>
        <w:rPr>
          <w:rFonts w:ascii="仿宋" w:hAnsi="仿宋" w:eastAsia="仿宋" w:cs="仿宋"/>
          <w:color w:val="000000" w:themeColor="text1"/>
          <w:sz w:val="24"/>
          <w:highlight w:val="none"/>
          <w14:textFill>
            <w14:solidFill>
              <w14:schemeClr w14:val="tx1"/>
            </w14:solidFill>
          </w14:textFill>
        </w:rPr>
      </w:pPr>
    </w:p>
    <w:p>
      <w:pPr>
        <w:adjustRightInd/>
        <w:spacing w:line="360" w:lineRule="auto"/>
        <w:jc w:val="center"/>
        <w:outlineLvl w:val="0"/>
        <w:rPr>
          <w:rFonts w:ascii="仿宋" w:hAnsi="仿宋" w:eastAsia="仿宋" w:cs="仿宋"/>
          <w:b/>
          <w:color w:val="000000" w:themeColor="text1"/>
          <w:sz w:val="36"/>
          <w:szCs w:val="20"/>
          <w:highlight w:val="none"/>
          <w14:textFill>
            <w14:solidFill>
              <w14:schemeClr w14:val="tx1"/>
            </w14:solidFill>
          </w14:textFill>
        </w:rPr>
      </w:pPr>
      <w:bookmarkStart w:id="4"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3"/>
      <w:bookmarkEnd w:id="4"/>
      <w:bookmarkStart w:id="5" w:name="_Hlt74728647"/>
      <w:bookmarkEnd w:id="5"/>
      <w:bookmarkStart w:id="6" w:name="_Hlt74707423"/>
      <w:bookmarkEnd w:id="6"/>
      <w:bookmarkStart w:id="7" w:name="_Hlt74729822"/>
      <w:bookmarkEnd w:id="7"/>
      <w:bookmarkStart w:id="8" w:name="_Hlt74649545"/>
      <w:bookmarkEnd w:id="8"/>
      <w:bookmarkStart w:id="9" w:name="第二部分"/>
      <w:bookmarkStart w:id="10" w:name="_Toc91899870"/>
      <w:bookmarkStart w:id="11" w:name="_Toc91899871"/>
      <w:r>
        <w:rPr>
          <w:rFonts w:hint="eastAsia" w:ascii="仿宋" w:hAnsi="仿宋" w:eastAsia="仿宋" w:cs="仿宋"/>
          <w:b/>
          <w:color w:val="000000" w:themeColor="text1"/>
          <w:sz w:val="36"/>
          <w:szCs w:val="20"/>
          <w:highlight w:val="none"/>
          <w14:textFill>
            <w14:solidFill>
              <w14:schemeClr w14:val="tx1"/>
            </w14:solidFill>
          </w14:textFill>
        </w:rPr>
        <w:t>第一部分 竞争性磋商公告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工程测量实训室扩建</w:t>
      </w:r>
      <w:r>
        <w:rPr>
          <w:rFonts w:hint="eastAsia" w:ascii="仿宋" w:hAnsi="仿宋" w:eastAsia="仿宋" w:cs="仿宋"/>
          <w:color w:val="000000" w:themeColor="text1"/>
          <w:sz w:val="24"/>
          <w:highlight w:val="none"/>
          <w:u w:val="single"/>
          <w14:textFill>
            <w14:solidFill>
              <w14:schemeClr w14:val="tx1"/>
            </w14:solidFill>
          </w14:textFill>
        </w:rPr>
        <w:t>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"https://www.zcygov.cn/）获取（下载）招标文件，并于2021年" </w:instrText>
      </w:r>
      <w:r>
        <w:rPr>
          <w:color w:val="000000" w:themeColor="text1"/>
          <w:highlight w:val="none"/>
          <w14:textFill>
            <w14:solidFill>
              <w14:schemeClr w14:val="tx1"/>
            </w14:solidFill>
          </w14:textFill>
        </w:rPr>
        <w:fldChar w:fldCharType="separate"/>
      </w:r>
      <w:r>
        <w:rPr>
          <w:rStyle w:val="76"/>
          <w:rFonts w:hint="eastAsia" w:ascii="仿宋" w:hAnsi="仿宋" w:eastAsia="仿宋" w:cs="仿宋"/>
          <w:snapToGrid/>
          <w:color w:val="000000" w:themeColor="text1"/>
          <w:kern w:val="2"/>
          <w:sz w:val="24"/>
          <w:szCs w:val="24"/>
          <w:highlight w:val="none"/>
          <w:u w:val="single"/>
          <w14:textFill>
            <w14:solidFill>
              <w14:schemeClr w14:val="tx1"/>
            </w14:solidFill>
          </w14:textFill>
        </w:rPr>
        <w:t>https://www.zcygov.cn/）获取（下载）采购文件，并于</w:t>
      </w:r>
      <w:r>
        <w:rPr>
          <w:rFonts w:hint="eastAsia" w:ascii="仿宋" w:hAnsi="仿宋" w:eastAsia="仿宋" w:cs="仿宋"/>
          <w:color w:val="000000" w:themeColor="text1"/>
          <w:sz w:val="24"/>
          <w:highlight w:val="none"/>
          <w:u w:val="single"/>
          <w14:textFill>
            <w14:solidFill>
              <w14:schemeClr w14:val="tx1"/>
            </w14:solidFill>
          </w14:textFill>
        </w:rPr>
        <w:t>2022年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8</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w:t>
      </w:r>
      <w:r>
        <w:rPr>
          <w:rFonts w:hint="eastAsia" w:ascii="仿宋" w:hAnsi="仿宋" w:eastAsia="仿宋" w:cs="仿宋"/>
          <w:color w:val="000000" w:themeColor="text1"/>
          <w:sz w:val="24"/>
          <w:highlight w:val="none"/>
          <w:u w:val="single"/>
          <w:lang w:val="en-US" w:eastAsia="zh-CN"/>
          <w14:textFill>
            <w14:solidFill>
              <w14:schemeClr w14:val="tx1"/>
            </w14:solidFill>
          </w14:textFill>
        </w:rPr>
        <w:t>00</w:t>
      </w:r>
      <w:r>
        <w:rPr>
          <w:rFonts w:hint="eastAsia" w:ascii="仿宋" w:hAnsi="仿宋" w:eastAsia="仿宋" w:cs="仿宋"/>
          <w:color w:val="000000" w:themeColor="text1"/>
          <w:sz w:val="24"/>
          <w:highlight w:val="none"/>
          <w:u w:val="single"/>
          <w14:textFill>
            <w14:solidFill>
              <w14:schemeClr w14:val="tx1"/>
            </w14:solidFill>
          </w14:textFill>
        </w:rPr>
        <w:t>分</w:t>
      </w:r>
      <w:r>
        <w:rPr>
          <w:rFonts w:hint="eastAsia" w:ascii="仿宋" w:hAnsi="仿宋" w:eastAsia="仿宋" w:cs="仿宋"/>
          <w:bCs/>
          <w:color w:val="000000" w:themeColor="text1"/>
          <w:sz w:val="24"/>
          <w:highlight w:val="none"/>
          <w:u w:val="single"/>
          <w14:textFill>
            <w14:solidFill>
              <w14:schemeClr w14:val="tx1"/>
            </w14:solidFill>
          </w14:textFill>
        </w:rPr>
        <w:t>00秒</w:t>
      </w:r>
      <w:r>
        <w:rPr>
          <w:rFonts w:hint="eastAsia" w:ascii="仿宋" w:hAnsi="仿宋" w:eastAsia="仿宋" w:cs="仿宋"/>
          <w:bCs/>
          <w:color w:val="000000" w:themeColor="text1"/>
          <w:sz w:val="24"/>
          <w:highlight w:val="none"/>
          <w:u w:val="single"/>
          <w14:textFill>
            <w14:solidFill>
              <w14:schemeClr w14:val="tx1"/>
            </w14:solidFill>
          </w14:textFill>
        </w:rPr>
        <w:fldChar w:fldCharType="end"/>
      </w:r>
      <w:r>
        <w:rPr>
          <w:rFonts w:hint="eastAsia" w:ascii="仿宋" w:hAnsi="仿宋" w:eastAsia="仿宋" w:cs="仿宋"/>
          <w:bCs/>
          <w:color w:val="000000" w:themeColor="text1"/>
          <w:sz w:val="24"/>
          <w:highlight w:val="none"/>
          <w:u w:val="single"/>
          <w14:textFill>
            <w14:solidFill>
              <w14:schemeClr w14:val="tx1"/>
            </w14:solidFill>
          </w14:textFill>
        </w:rPr>
        <w:t>（北京时间）前</w:t>
      </w:r>
      <w:r>
        <w:rPr>
          <w:rFonts w:hint="eastAsia" w:ascii="仿宋" w:hAnsi="仿宋" w:eastAsia="仿宋" w:cs="仿宋"/>
          <w:color w:val="000000" w:themeColor="text1"/>
          <w:sz w:val="24"/>
          <w:highlight w:val="none"/>
          <w:u w:val="single"/>
          <w14:textFill>
            <w14:solidFill>
              <w14:schemeClr w14:val="tx1"/>
            </w14:solidFill>
          </w14:textFill>
        </w:rPr>
        <w:t>提交（上传）响应文件。</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一、项目基本情况                                            </w:t>
      </w:r>
    </w:p>
    <w:p>
      <w:pPr>
        <w:snapToGrid w:val="0"/>
        <w:spacing w:line="360" w:lineRule="auto"/>
        <w:ind w:firstLine="482"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lang w:eastAsia="zh-CN"/>
          <w14:textFill>
            <w14:solidFill>
              <w14:schemeClr w14:val="tx1"/>
            </w14:solidFill>
          </w14:textFill>
        </w:rPr>
        <w:t>BSZB2022-AZZC128</w:t>
      </w:r>
    </w:p>
    <w:p>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浙江交通职业技术学院</w:t>
      </w:r>
      <w:r>
        <w:rPr>
          <w:rFonts w:hint="eastAsia" w:ascii="仿宋" w:hAnsi="仿宋" w:eastAsia="仿宋" w:cs="仿宋"/>
          <w:color w:val="000000" w:themeColor="text1"/>
          <w:sz w:val="24"/>
          <w:highlight w:val="none"/>
          <w:lang w:eastAsia="zh-CN"/>
          <w14:textFill>
            <w14:solidFill>
              <w14:schemeClr w14:val="tx1"/>
            </w14:solidFill>
          </w14:textFill>
        </w:rPr>
        <w:t>工程测量实训室扩建</w:t>
      </w:r>
    </w:p>
    <w:p>
      <w:pPr>
        <w:snapToGrid w:val="0"/>
        <w:spacing w:line="360" w:lineRule="auto"/>
        <w:ind w:firstLine="482" w:firstLineChars="200"/>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Cs/>
          <w:color w:val="000000" w:themeColor="text1"/>
          <w:sz w:val="24"/>
          <w:highlight w:val="none"/>
          <w:lang w:val="en-US" w:eastAsia="zh-CN"/>
          <w14:textFill>
            <w14:solidFill>
              <w14:schemeClr w14:val="tx1"/>
            </w14:solidFill>
          </w14:textFill>
        </w:rPr>
        <w:t>489000</w:t>
      </w:r>
    </w:p>
    <w:p>
      <w:pPr>
        <w:snapToGrid w:val="0"/>
        <w:spacing w:line="360" w:lineRule="auto"/>
        <w:ind w:firstLine="482"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Cs/>
          <w:color w:val="000000" w:themeColor="text1"/>
          <w:sz w:val="24"/>
          <w:highlight w:val="none"/>
          <w:lang w:val="en-US" w:eastAsia="zh-CN"/>
          <w14:textFill>
            <w14:solidFill>
              <w14:schemeClr w14:val="tx1"/>
            </w14:solidFill>
          </w14:textFill>
        </w:rPr>
        <w:t>489000</w:t>
      </w:r>
    </w:p>
    <w:p>
      <w:pPr>
        <w:spacing w:line="360" w:lineRule="auto"/>
        <w:ind w:firstLine="48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采购需求：</w:t>
      </w:r>
      <w:r>
        <w:rPr>
          <w:rFonts w:hint="eastAsia" w:ascii="仿宋" w:hAnsi="仿宋" w:eastAsia="仿宋" w:cs="仿宋"/>
          <w:snapToGrid w:val="0"/>
          <w:color w:val="000000" w:themeColor="text1"/>
          <w:kern w:val="28"/>
          <w:sz w:val="24"/>
          <w:highlight w:val="none"/>
          <w14:textFill>
            <w14:solidFill>
              <w14:schemeClr w14:val="tx1"/>
            </w14:solidFill>
          </w14:textFill>
        </w:rPr>
        <w:t>工程测量实训室扩建项目主要配备三维激光扫描建模设备、高精度测量仪器、专业识图绘图软件、工作平台等，具体详见采购文件第四部分内容。</w:t>
      </w:r>
    </w:p>
    <w:p>
      <w:pPr>
        <w:spacing w:line="360" w:lineRule="auto"/>
        <w:ind w:firstLine="48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项目完成时间：</w:t>
      </w:r>
      <w:r>
        <w:rPr>
          <w:rFonts w:hint="eastAsia" w:ascii="仿宋" w:hAnsi="仿宋" w:eastAsia="仿宋" w:cs="仿宋"/>
          <w:snapToGrid w:val="0"/>
          <w:color w:val="000000" w:themeColor="text1"/>
          <w:kern w:val="28"/>
          <w:sz w:val="24"/>
          <w:highlight w:val="none"/>
          <w14:textFill>
            <w14:solidFill>
              <w14:schemeClr w14:val="tx1"/>
            </w14:solidFill>
          </w14:textFill>
        </w:rPr>
        <w:t>合同签订后30工作日内</w:t>
      </w:r>
    </w:p>
    <w:p>
      <w:pPr>
        <w:pStyle w:val="7"/>
        <w:spacing w:line="360" w:lineRule="auto"/>
        <w:ind w:firstLine="482"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本项目接受联合体：</w:t>
      </w:r>
      <w:r>
        <w:rPr>
          <w:rFonts w:hint="eastAsia" w:ascii="仿宋" w:hAnsi="仿宋" w:eastAsia="仿宋" w:cs="仿宋"/>
          <w:b/>
          <w:color w:val="000000" w:themeColor="text1"/>
          <w:sz w:val="24"/>
          <w:szCs w:val="24"/>
          <w:highlight w:val="none"/>
          <w14:textFill>
            <w14:solidFill>
              <w14:schemeClr w14:val="tx1"/>
            </w14:solidFill>
          </w14:textFill>
        </w:rPr>
        <w:sym w:font="Wingdings 2" w:char="0052"/>
      </w:r>
      <w:r>
        <w:rPr>
          <w:rFonts w:hint="eastAsia" w:ascii="仿宋" w:hAnsi="仿宋" w:eastAsia="仿宋" w:cs="仿宋"/>
          <w:b/>
          <w:color w:val="000000" w:themeColor="text1"/>
          <w:sz w:val="24"/>
          <w:szCs w:val="24"/>
          <w:highlight w:val="none"/>
          <w14:textFill>
            <w14:solidFill>
              <w14:schemeClr w14:val="tx1"/>
            </w14:solidFill>
          </w14:textFill>
        </w:rPr>
        <w:t>是，</w:t>
      </w:r>
      <w:r>
        <w:rPr>
          <w:rFonts w:hint="eastAsia" w:ascii="仿宋" w:hAnsi="仿宋" w:eastAsia="仿宋" w:cs="仿宋"/>
          <w:b/>
          <w:color w:val="000000" w:themeColor="text1"/>
          <w:sz w:val="24"/>
          <w:szCs w:val="24"/>
          <w:highlight w:val="none"/>
          <w14:textFill>
            <w14:solidFill>
              <w14:schemeClr w14:val="tx1"/>
            </w14:solidFill>
          </w14:textFill>
        </w:rPr>
        <w:sym w:font="Wingdings 2" w:char="00A3"/>
      </w:r>
      <w:r>
        <w:rPr>
          <w:rFonts w:hint="eastAsia" w:ascii="仿宋" w:hAnsi="仿宋" w:eastAsia="仿宋" w:cs="仿宋"/>
          <w:b/>
          <w:color w:val="000000" w:themeColor="text1"/>
          <w:sz w:val="24"/>
          <w:szCs w:val="24"/>
          <w:highlight w:val="none"/>
          <w14:textFill>
            <w14:solidFill>
              <w14:schemeClr w14:val="tx1"/>
            </w14:solidFill>
          </w14:textFill>
        </w:rPr>
        <w:t>否</w:t>
      </w:r>
      <w:r>
        <w:rPr>
          <w:rFonts w:hint="eastAsia" w:ascii="仿宋" w:hAnsi="仿宋" w:eastAsia="仿宋" w:cs="仿宋"/>
          <w:color w:val="000000" w:themeColor="text1"/>
          <w:kern w:val="0"/>
          <w:sz w:val="24"/>
          <w:szCs w:val="24"/>
          <w:highlight w:val="none"/>
          <w14:textFill>
            <w14:solidFill>
              <w14:schemeClr w14:val="tx1"/>
            </w14:solidFill>
          </w14:textFill>
        </w:rPr>
        <w:t>。</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w:t>
      </w:r>
      <w:bookmarkStart w:id="12" w:name="_Hlk101132948"/>
      <w:r>
        <w:rPr>
          <w:rFonts w:hint="eastAsia" w:ascii="仿宋" w:hAnsi="仿宋" w:eastAsia="仿宋" w:cs="仿宋"/>
          <w:b/>
          <w:color w:val="000000" w:themeColor="text1"/>
          <w:sz w:val="24"/>
          <w:highlight w:val="none"/>
          <w14:textFill>
            <w14:solidFill>
              <w14:schemeClr w14:val="tx1"/>
            </w14:solidFill>
          </w14:textFill>
        </w:rPr>
        <w:t>申请人的资格要求</w:t>
      </w:r>
      <w:bookmarkEnd w:id="12"/>
      <w:r>
        <w:rPr>
          <w:rFonts w:hint="eastAsia" w:ascii="仿宋" w:hAnsi="仿宋" w:eastAsia="仿宋" w:cs="仿宋"/>
          <w:b/>
          <w:color w:val="000000" w:themeColor="text1"/>
          <w:sz w:val="24"/>
          <w:highlight w:val="none"/>
          <w14:textFill>
            <w14:solidFill>
              <w14:schemeClr w14:val="tx1"/>
            </w14:solidFill>
          </w14:textFill>
        </w:rPr>
        <w:t>：</w:t>
      </w:r>
    </w:p>
    <w:p>
      <w:pPr>
        <w:spacing w:line="360" w:lineRule="auto"/>
        <w:ind w:firstLine="48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 xml:space="preserve">    2.以联合体形式参与的，提供联合协议(本项目不接受联合体或者供应商不以联合体形式参与的，则不需要提供) ；</w:t>
      </w:r>
    </w:p>
    <w:p>
      <w:pPr>
        <w:spacing w:line="360" w:lineRule="auto"/>
        <w:ind w:firstLine="482" w:firstLineChars="20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3.落实政府采购政策需满足的资格要求：</w:t>
      </w:r>
      <w:r>
        <w:rPr>
          <w:rFonts w:hint="eastAsia" w:ascii="仿宋" w:hAnsi="仿宋" w:eastAsia="仿宋" w:cs="仿宋"/>
          <w:b/>
          <w:color w:val="000000" w:themeColor="text1"/>
          <w:sz w:val="24"/>
          <w:highlight w:val="none"/>
          <w:lang w:val="en-US" w:eastAsia="zh-CN"/>
          <w14:textFill>
            <w14:solidFill>
              <w14:schemeClr w14:val="tx1"/>
            </w14:solidFill>
          </w14:textFill>
        </w:rPr>
        <w:t>无。</w:t>
      </w:r>
    </w:p>
    <w:p>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4.本项目的特定资格要求：无。</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三、获取采购文件 </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14:textFill>
            <w14:solidFill>
              <w14:schemeClr w14:val="tx1"/>
            </w14:solidFill>
          </w14:textFill>
        </w:rPr>
        <w:t>2022年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8</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四、响应文件提交（上传）</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截止时间：</w:t>
      </w:r>
      <w:r>
        <w:rPr>
          <w:rFonts w:hint="eastAsia" w:ascii="仿宋" w:hAnsi="仿宋" w:eastAsia="仿宋" w:cs="仿宋"/>
          <w:color w:val="000000" w:themeColor="text1"/>
          <w:sz w:val="24"/>
          <w:highlight w:val="none"/>
          <w:u w:val="single"/>
          <w14:textFill>
            <w14:solidFill>
              <w14:schemeClr w14:val="tx1"/>
            </w14:solidFill>
          </w14:textFill>
        </w:rPr>
        <w:t xml:space="preserve"> 2022年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8</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color w:val="000000" w:themeColor="text1"/>
          <w:sz w:val="24"/>
          <w:highlight w:val="none"/>
          <w:u w:val="single"/>
          <w14:textFill>
            <w14:solidFill>
              <w14:schemeClr w14:val="tx1"/>
            </w14:solidFill>
          </w14:textFill>
        </w:rPr>
        <w:t>点</w:t>
      </w:r>
      <w:r>
        <w:rPr>
          <w:rFonts w:hint="eastAsia" w:ascii="仿宋" w:hAnsi="仿宋" w:eastAsia="仿宋" w:cs="仿宋"/>
          <w:color w:val="000000" w:themeColor="text1"/>
          <w:sz w:val="24"/>
          <w:highlight w:val="none"/>
          <w:u w:val="single"/>
          <w:lang w:val="en-US" w:eastAsia="zh-CN"/>
          <w14:textFill>
            <w14:solidFill>
              <w14:schemeClr w14:val="tx1"/>
            </w14:solidFill>
          </w14:textFill>
        </w:rPr>
        <w:t>00</w:t>
      </w:r>
      <w:r>
        <w:rPr>
          <w:rFonts w:hint="eastAsia" w:ascii="仿宋" w:hAnsi="仿宋" w:eastAsia="仿宋" w:cs="仿宋"/>
          <w:color w:val="000000" w:themeColor="text1"/>
          <w:sz w:val="24"/>
          <w:highlight w:val="none"/>
          <w:u w:val="single"/>
          <w14:textFill>
            <w14:solidFill>
              <w14:schemeClr w14:val="tx1"/>
            </w14:solidFill>
          </w14:textFill>
        </w:rPr>
        <w:t>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五、响应文件开启 </w:t>
      </w:r>
    </w:p>
    <w:p>
      <w:pPr>
        <w:spacing w:line="360" w:lineRule="auto"/>
        <w:ind w:firstLine="482"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开启时间：</w:t>
      </w:r>
      <w:r>
        <w:rPr>
          <w:rFonts w:hint="eastAsia" w:ascii="仿宋" w:hAnsi="仿宋" w:eastAsia="仿宋" w:cs="仿宋"/>
          <w:color w:val="000000" w:themeColor="text1"/>
          <w:sz w:val="24"/>
          <w:highlight w:val="none"/>
          <w:u w:val="single"/>
          <w14:textFill>
            <w14:solidFill>
              <w14:schemeClr w14:val="tx1"/>
            </w14:solidFill>
          </w14:textFill>
        </w:rPr>
        <w:t xml:space="preserve"> 2022年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8</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bookmarkStart w:id="403" w:name="_GoBack"/>
      <w:bookmarkEnd w:id="403"/>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color w:val="000000" w:themeColor="text1"/>
          <w:sz w:val="24"/>
          <w:highlight w:val="none"/>
          <w:u w:val="single"/>
          <w14:textFill>
            <w14:solidFill>
              <w14:schemeClr w14:val="tx1"/>
            </w14:solidFill>
          </w14:textFill>
        </w:rPr>
        <w:t>点</w:t>
      </w:r>
      <w:r>
        <w:rPr>
          <w:rFonts w:hint="eastAsia" w:ascii="仿宋" w:hAnsi="仿宋" w:eastAsia="仿宋" w:cs="仿宋"/>
          <w:color w:val="000000" w:themeColor="text1"/>
          <w:sz w:val="24"/>
          <w:highlight w:val="none"/>
          <w:u w:val="single"/>
          <w:lang w:val="en-US" w:eastAsia="zh-CN"/>
          <w14:textFill>
            <w14:solidFill>
              <w14:schemeClr w14:val="tx1"/>
            </w14:solidFill>
          </w14:textFill>
        </w:rPr>
        <w:t>00</w:t>
      </w:r>
      <w:r>
        <w:rPr>
          <w:rFonts w:hint="eastAsia" w:ascii="仿宋" w:hAnsi="仿宋" w:eastAsia="仿宋" w:cs="仿宋"/>
          <w:color w:val="000000" w:themeColor="text1"/>
          <w:sz w:val="24"/>
          <w:highlight w:val="none"/>
          <w:u w:val="single"/>
          <w14:textFill>
            <w14:solidFill>
              <w14:schemeClr w14:val="tx1"/>
            </w14:solidFill>
          </w14:textFill>
        </w:rPr>
        <w:t>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六、公告期限 </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自本公告发布之日起3个工作日。</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七、其他补充事宜</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采购文件公告期限与竞争性磋商公告的公告期限一致。</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八、对本次采购提出询问、质疑、投诉，请按以下方式联系</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1.采购人信息</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称：浙江交通职业技术学院</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    址：杭州市余杭区古墩路1516号     </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 /</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项目联系人（询问）：姚老师 许老师</w:t>
      </w:r>
    </w:p>
    <w:p>
      <w:pPr>
        <w:snapToGrid w:val="0"/>
        <w:spacing w:line="360" w:lineRule="auto"/>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15658802989 13600538271</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梁</w:t>
      </w:r>
      <w:r>
        <w:rPr>
          <w:rFonts w:hint="eastAsia" w:ascii="仿宋" w:hAnsi="仿宋" w:eastAsia="仿宋" w:cs="仿宋"/>
          <w:color w:val="000000" w:themeColor="text1"/>
          <w:sz w:val="24"/>
          <w:highlight w:val="none"/>
          <w14:textFill>
            <w14:solidFill>
              <w14:schemeClr w14:val="tx1"/>
            </w14:solidFill>
          </w14:textFill>
        </w:rPr>
        <w:t>老师</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质疑联系方式：0571-88481917</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2.采购代理机构信息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称：杭州博实招标代理有限公司</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址：杭州市西湖区振华路200号瑞鼎大厦B座606室</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传    真：0571-56928850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kern w:val="0"/>
          <w:sz w:val="24"/>
          <w:highlight w:val="none"/>
          <w14:textFill>
            <w14:solidFill>
              <w14:schemeClr w14:val="tx1"/>
            </w14:solidFill>
          </w14:textFill>
        </w:rPr>
        <w:t>刘春萍</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项目联系方式（询问）：0571-56928685</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kern w:val="0"/>
          <w:sz w:val="24"/>
          <w:highlight w:val="none"/>
          <w14:textFill>
            <w14:solidFill>
              <w14:schemeClr w14:val="tx1"/>
            </w14:solidFill>
          </w14:textFill>
        </w:rPr>
        <w:t>潘树鸣</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质疑联系方式：0571-87916090</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3.同级政府采购监督管理部门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称：浙江省财政厅政府采购监管处</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址：杭州市环城西路37号</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传    真： /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 系 人： 倪文良、吴聪瑜  </w:t>
      </w:r>
    </w:p>
    <w:p>
      <w:pPr>
        <w:snapToGrid w:val="0"/>
        <w:spacing w:line="360" w:lineRule="auto"/>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监督投诉电话：0571-87057615 、87058489     </w:t>
      </w:r>
      <w:r>
        <w:rPr>
          <w:rFonts w:hint="eastAsia" w:ascii="仿宋" w:hAnsi="仿宋" w:eastAsia="仿宋" w:cs="仿宋"/>
          <w:color w:val="000000" w:themeColor="text1"/>
          <w:highlight w:val="none"/>
          <w14:textFill>
            <w14:solidFill>
              <w14:schemeClr w14:val="tx1"/>
            </w14:solidFill>
          </w14:textFill>
        </w:rPr>
        <w:t xml:space="preserve">  </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pgNumType w:fmt="decimal"/>
          <w:cols w:space="720" w:num="1"/>
          <w:titlePg/>
          <w:docGrid w:linePitch="312" w:charSpace="0"/>
        </w:sect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pPr>
        <w:pStyle w:val="33"/>
        <w:spacing w:line="360" w:lineRule="auto"/>
        <w:jc w:val="center"/>
        <w:rPr>
          <w:rFonts w:ascii="仿宋" w:hAnsi="仿宋" w:eastAsia="仿宋" w:cs="仿宋"/>
          <w:b/>
          <w:snapToGrid/>
          <w:color w:val="000000" w:themeColor="text1"/>
          <w:sz w:val="36"/>
          <w:szCs w:val="20"/>
          <w:highlight w:val="none"/>
          <w14:textFill>
            <w14:solidFill>
              <w14:schemeClr w14:val="tx1"/>
            </w14:solidFill>
          </w14:textFill>
        </w:rPr>
      </w:pPr>
      <w:r>
        <w:rPr>
          <w:rFonts w:hint="eastAsia" w:ascii="仿宋" w:hAnsi="仿宋" w:eastAsia="仿宋" w:cs="仿宋"/>
          <w:b/>
          <w:snapToGrid/>
          <w:color w:val="000000" w:themeColor="text1"/>
          <w:sz w:val="36"/>
          <w:szCs w:val="20"/>
          <w:highlight w:val="none"/>
          <w14:textFill>
            <w14:solidFill>
              <w14:schemeClr w14:val="tx1"/>
            </w14:solidFill>
          </w14:textFill>
        </w:rPr>
        <w:t>第二部分</w:t>
      </w:r>
      <w:bookmarkEnd w:id="9"/>
      <w:r>
        <w:rPr>
          <w:rFonts w:hint="eastAsia" w:ascii="仿宋" w:hAnsi="仿宋" w:eastAsia="仿宋" w:cs="仿宋"/>
          <w:b/>
          <w:snapToGrid/>
          <w:color w:val="000000" w:themeColor="text1"/>
          <w:sz w:val="36"/>
          <w:szCs w:val="20"/>
          <w:highlight w:val="none"/>
          <w14:textFill>
            <w14:solidFill>
              <w14:schemeClr w14:val="tx1"/>
            </w14:solidFill>
          </w14:textFill>
        </w:rPr>
        <w:t xml:space="preserve"> 供应商须知</w:t>
      </w:r>
      <w:bookmarkEnd w:id="10"/>
    </w:p>
    <w:p>
      <w:pPr>
        <w:snapToGrid w:val="0"/>
        <w:spacing w:line="360" w:lineRule="auto"/>
        <w:jc w:val="center"/>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2"/>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171"/>
        <w:gridCol w:w="68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849"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2171" w:type="dxa"/>
            <w:vAlign w:val="center"/>
          </w:tcPr>
          <w:p>
            <w:pPr>
              <w:snapToGrid w:val="0"/>
              <w:spacing w:line="288"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项目属性与核心产品</w:t>
            </w:r>
          </w:p>
        </w:tc>
        <w:tc>
          <w:tcPr>
            <w:tcW w:w="6849" w:type="dxa"/>
            <w:vAlign w:val="center"/>
          </w:tcPr>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货物类，单一产品或</w:t>
            </w:r>
            <w:r>
              <w:rPr>
                <w:rFonts w:hint="eastAsia" w:ascii="仿宋" w:hAnsi="仿宋" w:eastAsia="仿宋" w:cs="仿宋"/>
                <w:color w:val="000000" w:themeColor="text1"/>
                <w:kern w:val="0"/>
                <w:sz w:val="24"/>
                <w:highlight w:val="none"/>
                <w14:textFill>
                  <w14:solidFill>
                    <w14:schemeClr w14:val="tx1"/>
                  </w14:solidFill>
                </w14:textFill>
              </w:rPr>
              <w:t>核心产品为：</w:t>
            </w:r>
            <w:r>
              <w:rPr>
                <w:rFonts w:hint="eastAsia" w:ascii="仿宋" w:hAnsi="仿宋" w:eastAsia="仿宋" w:cs="仿宋"/>
                <w:b w:val="0"/>
                <w:bCs w:val="0"/>
                <w:color w:val="000000" w:themeColor="text1"/>
                <w:kern w:val="0"/>
                <w:sz w:val="24"/>
                <w:szCs w:val="24"/>
                <w:highlight w:val="none"/>
                <w:u w:val="single"/>
                <w:lang w:val="en-US" w:eastAsia="zh-CN" w:bidi="ar-SA"/>
                <w14:textFill>
                  <w14:solidFill>
                    <w14:schemeClr w14:val="tx1"/>
                  </w14:solidFill>
                </w14:textFill>
              </w:rPr>
              <w:t xml:space="preserve"> 三维激光扫描仪 （包含脚架、后处理软件）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A3"/>
            </w:r>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采购标的及其对应的中小企业划分标准所属行业</w:t>
            </w:r>
          </w:p>
        </w:tc>
        <w:tc>
          <w:tcPr>
            <w:tcW w:w="6849" w:type="dxa"/>
            <w:vAlign w:val="center"/>
          </w:tcPr>
          <w:p>
            <w:pPr>
              <w:pStyle w:val="5"/>
              <w:rPr>
                <w:rFonts w:ascii="仿宋" w:eastAsia="仿宋" w:cs="仿宋"/>
                <w:color w:val="000000" w:themeColor="text1"/>
                <w:sz w:val="24"/>
                <w:szCs w:val="24"/>
                <w:highlight w:val="none"/>
                <w:lang w:val="en-US"/>
                <w14:textFill>
                  <w14:solidFill>
                    <w14:schemeClr w14:val="tx1"/>
                  </w14:solidFill>
                </w14:textFill>
              </w:rPr>
            </w:pPr>
            <w:r>
              <w:rPr>
                <w:rFonts w:hint="eastAsia" w:ascii="仿宋" w:eastAsia="仿宋" w:cs="仿宋"/>
                <w:b w:val="0"/>
                <w:bCs w:val="0"/>
                <w:color w:val="000000" w:themeColor="text1"/>
                <w:kern w:val="0"/>
                <w:sz w:val="24"/>
                <w:szCs w:val="24"/>
                <w:highlight w:val="none"/>
                <w14:textFill>
                  <w14:solidFill>
                    <w14:schemeClr w14:val="tx1"/>
                  </w14:solidFill>
                </w14:textFill>
              </w:rPr>
              <w:t>标的：</w:t>
            </w:r>
            <w:r>
              <w:rPr>
                <w:rFonts w:hint="eastAsia" w:ascii="仿宋" w:eastAsia="仿宋" w:cs="仿宋"/>
                <w:b w:val="0"/>
                <w:bCs w:val="0"/>
                <w:color w:val="000000" w:themeColor="text1"/>
                <w:kern w:val="0"/>
                <w:sz w:val="24"/>
                <w:szCs w:val="24"/>
                <w:highlight w:val="none"/>
                <w:u w:val="single"/>
                <w:lang w:val="en-US"/>
                <w14:textFill>
                  <w14:solidFill>
                    <w14:schemeClr w14:val="tx1"/>
                  </w14:solidFill>
                </w14:textFill>
              </w:rPr>
              <w:t>浙江交通职业技术学院</w:t>
            </w:r>
            <w:r>
              <w:rPr>
                <w:rFonts w:hint="eastAsia" w:ascii="仿宋" w:eastAsia="仿宋" w:cs="仿宋"/>
                <w:b w:val="0"/>
                <w:bCs w:val="0"/>
                <w:color w:val="000000" w:themeColor="text1"/>
                <w:sz w:val="24"/>
                <w:szCs w:val="24"/>
                <w:highlight w:val="none"/>
                <w:u w:val="single"/>
                <w:lang w:eastAsia="zh-CN"/>
                <w14:textFill>
                  <w14:solidFill>
                    <w14:schemeClr w14:val="tx1"/>
                  </w14:solidFill>
                </w14:textFill>
              </w:rPr>
              <w:t>工程测量实训室扩建</w:t>
            </w:r>
            <w:r>
              <w:rPr>
                <w:rFonts w:hint="eastAsia" w:ascii="仿宋" w:eastAsia="仿宋" w:cs="仿宋"/>
                <w:b w:val="0"/>
                <w:bCs w:val="0"/>
                <w:color w:val="000000" w:themeColor="text1"/>
                <w:kern w:val="0"/>
                <w:sz w:val="24"/>
                <w:szCs w:val="24"/>
                <w:highlight w:val="none"/>
                <w:u w:val="single"/>
                <w14:textFill>
                  <w14:solidFill>
                    <w14:schemeClr w14:val="tx1"/>
                  </w14:solidFill>
                </w14:textFill>
              </w:rPr>
              <w:t xml:space="preserve"> </w:t>
            </w:r>
            <w:r>
              <w:rPr>
                <w:rFonts w:hint="eastAsia" w:ascii="仿宋" w:eastAsia="仿宋" w:cs="仿宋"/>
                <w:b w:val="0"/>
                <w:bCs w:val="0"/>
                <w:color w:val="000000" w:themeColor="text1"/>
                <w:kern w:val="0"/>
                <w:sz w:val="24"/>
                <w:szCs w:val="24"/>
                <w:highlight w:val="none"/>
                <w14:textFill>
                  <w14:solidFill>
                    <w14:schemeClr w14:val="tx1"/>
                  </w14:solidFill>
                </w14:textFill>
              </w:rPr>
              <w:t>，</w:t>
            </w:r>
            <w:r>
              <w:rPr>
                <w:rFonts w:hint="eastAsia" w:ascii="仿宋" w:eastAsia="仿宋" w:cs="仿宋"/>
                <w:b w:val="0"/>
                <w:bCs w:val="0"/>
                <w:color w:val="000000" w:themeColor="text1"/>
                <w:sz w:val="24"/>
                <w:szCs w:val="24"/>
                <w:highlight w:val="none"/>
                <w14:textFill>
                  <w14:solidFill>
                    <w14:schemeClr w14:val="tx1"/>
                  </w14:solidFill>
                </w14:textFill>
              </w:rPr>
              <w:t>属于</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软件和信息技术服务 </w:t>
            </w:r>
            <w:r>
              <w:rPr>
                <w:rFonts w:hint="eastAsia" w:ascii="仿宋" w:eastAsia="仿宋" w:cs="仿宋"/>
                <w:b w:val="0"/>
                <w:bCs w:val="0"/>
                <w:color w:val="000000" w:themeColor="text1"/>
                <w:sz w:val="24"/>
                <w:szCs w:val="24"/>
                <w:highlight w:val="none"/>
                <w:u w:val="none"/>
                <w:lang w:val="en-US" w:eastAsia="zh-CN"/>
                <w14:textFill>
                  <w14:solidFill>
                    <w14:schemeClr w14:val="tx1"/>
                  </w14:solidFill>
                </w14:textFill>
              </w:rPr>
              <w:t>行业</w:t>
            </w:r>
            <w:r>
              <w:rPr>
                <w:rFonts w:hint="eastAsia" w:ascii="仿宋" w:eastAsia="仿宋" w:cs="仿宋"/>
                <w:b w:val="0"/>
                <w:bCs w:val="0"/>
                <w:color w:val="000000" w:themeColor="text1"/>
                <w:kern w:val="0"/>
                <w:sz w:val="24"/>
                <w:szCs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849" w:type="dxa"/>
            <w:vAlign w:val="center"/>
          </w:tcPr>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本项目不允许采购进口产品。</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A3"/>
            </w:r>
            <w:r>
              <w:rPr>
                <w:rFonts w:hint="eastAsia" w:ascii="仿宋" w:hAnsi="仿宋" w:eastAsia="仿宋" w:cs="仿宋"/>
                <w:color w:val="000000" w:themeColor="text1"/>
                <w:kern w:val="0"/>
                <w:sz w:val="24"/>
                <w:highlight w:val="none"/>
                <w14:textFill>
                  <w14:solidFill>
                    <w14:schemeClr w14:val="tx1"/>
                  </w14:solidFill>
                </w14:textFill>
              </w:rPr>
              <w:t xml:space="preserve"> 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A3"/>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磋商前答疑会或现场考察</w:t>
            </w: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不组织。</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不要求提供。</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A3"/>
            </w:r>
            <w:r>
              <w:rPr>
                <w:rFonts w:hint="eastAsia" w:ascii="仿宋" w:hAnsi="仿宋" w:eastAsia="仿宋" w:cs="仿宋"/>
                <w:color w:val="000000" w:themeColor="text1"/>
                <w:kern w:val="0"/>
                <w:sz w:val="24"/>
                <w:highlight w:val="none"/>
                <w14:textFill>
                  <w14:solidFill>
                    <w14:schemeClr w14:val="tx1"/>
                  </w14:solidFill>
                </w14:textFill>
              </w:rPr>
              <w:t xml:space="preserve"> B要求提供，</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评审办法</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否；</w:t>
            </w:r>
            <w:sdt>
              <w:sdtPr>
                <w:rPr>
                  <w:rFonts w:hint="eastAsia" w:ascii="仿宋" w:hAnsi="仿宋" w:eastAsia="仿宋" w:cs="仿宋"/>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成交供应商提供的样品，采购人、采购机构将通知未成交供应商在规定的时间内取回，逾期未取回的，采购人、采购机构不负保管义务；对于成交供应商提供的样品，采购人将进行保管、封存，并作为履约验收的参考。</w:t>
            </w:r>
          </w:p>
          <w:p>
            <w:pPr>
              <w:spacing w:line="360"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2171" w:type="dxa"/>
            <w:vAlign w:val="center"/>
          </w:tcPr>
          <w:p>
            <w:pPr>
              <w:snapToGrid w:val="0"/>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方案讲解演示</w:t>
            </w: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不组织。</w:t>
            </w:r>
          </w:p>
          <w:p>
            <w:pPr>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B组织。</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（1）在评审时安排每个供应商进行方案讲解演示。每个供应商时间不超过20分钟，讲解次序以响应文件解密时间先后次序为准，讲解演示人员不超过3人。讲解演示结束后按要求解答磋商小组提问。</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（2）方案讲解演示可选择以下其中一种方式：</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方式一：政采云平台在线讲解演示。政采云平台在线讲解需供应商根据政采云平台操作要求做好准备工作，提前完善软硬件配置环境。</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方式二：现场讲解演示。现场讲解地点为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，讲解演示所用电脑等设备由供应商自备。现场讲解演示人员进场时提供讲解人员名单（加盖公章或授权代表签名）及身份证明，否则不得讲解演示。</w:t>
            </w:r>
          </w:p>
          <w:p>
            <w:pPr>
              <w:snapToGrid w:val="0"/>
              <w:spacing w:line="360" w:lineRule="auto"/>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34" w:hRule="atLeast"/>
        </w:trPr>
        <w:tc>
          <w:tcPr>
            <w:tcW w:w="714" w:type="dxa"/>
            <w:vMerge w:val="restart"/>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2171" w:type="dxa"/>
            <w:vMerge w:val="restart"/>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供应商应当提供的资格、资信证明文件</w:t>
            </w: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（1）资格证明文件：见采购文件第二部分11.1。</w:t>
            </w:r>
          </w:p>
          <w:p>
            <w:pPr>
              <w:spacing w:line="360" w:lineRule="auto"/>
              <w:rPr>
                <w:rFonts w:ascii="仿宋" w:hAnsi="仿宋" w:eastAsia="仿宋" w:cs="仿宋"/>
                <w:snapToGrid w:val="0"/>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p>
        </w:tc>
        <w:tc>
          <w:tcPr>
            <w:tcW w:w="2171" w:type="dxa"/>
            <w:vMerge w:val="continue"/>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p>
        </w:tc>
        <w:tc>
          <w:tcPr>
            <w:tcW w:w="6849"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（2）资信证明文件：根据采购文件第四部分评审标准提供。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2171" w:type="dxa"/>
            <w:vAlign w:val="center"/>
          </w:tcPr>
          <w:p>
            <w:pPr>
              <w:snapToGrid w:val="0"/>
              <w:spacing w:line="360" w:lineRule="auto"/>
              <w:jc w:val="center"/>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r>
              <w:rPr>
                <w:rFonts w:hint="eastAsia" w:ascii="仿宋" w:hAnsi="仿宋" w:eastAsia="仿宋" w:cs="仿宋"/>
                <w:b/>
                <w:color w:val="000000" w:themeColor="text1"/>
                <w:sz w:val="24"/>
                <w:highlight w:val="none"/>
                <w:lang w:eastAsia="zh-CN"/>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本项目不适用</w:t>
            </w:r>
            <w:r>
              <w:rPr>
                <w:rFonts w:hint="eastAsia" w:ascii="仿宋" w:hAnsi="仿宋" w:eastAsia="仿宋" w:cs="仿宋"/>
                <w:b/>
                <w:color w:val="000000" w:themeColor="text1"/>
                <w:sz w:val="24"/>
                <w:highlight w:val="none"/>
                <w:lang w:eastAsia="zh-CN"/>
                <w14:textFill>
                  <w14:solidFill>
                    <w14:schemeClr w14:val="tx1"/>
                  </w14:solidFill>
                </w14:textFill>
              </w:rPr>
              <w:t>）</w:t>
            </w:r>
          </w:p>
        </w:tc>
        <w:tc>
          <w:tcPr>
            <w:tcW w:w="6849" w:type="dxa"/>
            <w:vAlign w:val="center"/>
          </w:tcPr>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采购人拟采购的产品属于品目清单范围的</w:t>
            </w:r>
            <w:r>
              <w:rPr>
                <w:rFonts w:hint="eastAsia" w:ascii="仿宋" w:hAnsi="仿宋" w:eastAsia="仿宋" w:cs="仿宋"/>
                <w:b/>
                <w:bCs/>
                <w:color w:val="000000" w:themeColor="text1"/>
                <w:kern w:val="0"/>
                <w:sz w:val="24"/>
                <w:highlight w:val="none"/>
                <w14:textFill>
                  <w14:solidFill>
                    <w14:schemeClr w14:val="tx1"/>
                  </w14:solidFill>
                </w14:textFill>
              </w:rPr>
              <w:t>（依据文号：财库【2019】18号、【2019】19号）</w:t>
            </w:r>
            <w:r>
              <w:rPr>
                <w:rFonts w:hint="eastAsia" w:ascii="仿宋" w:hAnsi="仿宋" w:eastAsia="仿宋" w:cs="仿宋"/>
                <w:color w:val="000000" w:themeColor="text1"/>
                <w:kern w:val="0"/>
                <w:sz w:val="24"/>
                <w:highlight w:val="none"/>
                <w14:textFill>
                  <w14:solidFill>
                    <w14:schemeClr w14:val="tx1"/>
                  </w14:solidFill>
                </w14:textFill>
              </w:rPr>
              <w:t>，采购人及其委托的采购代理机构将依据国家确定的认证机构出具的、处于有效期之内的节能产品、环境标志产品认证证书，对获得证书的产品实施政府优先采购或强制采购。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报价要求</w:t>
            </w:r>
          </w:p>
        </w:tc>
        <w:tc>
          <w:tcPr>
            <w:tcW w:w="6849" w:type="dxa"/>
            <w:vAlign w:val="center"/>
          </w:tcPr>
          <w:p>
            <w:pPr>
              <w:snapToGrid w:val="0"/>
              <w:spacing w:line="360" w:lineRule="auto"/>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仿宋" w:hAnsi="仿宋" w:eastAsia="仿宋" w:cs="仿宋"/>
                <w:color w:val="000000" w:themeColor="text1"/>
                <w:sz w:val="24"/>
                <w:highlight w:val="none"/>
                <w14:textFill>
                  <w14:solidFill>
                    <w14:schemeClr w14:val="tx1"/>
                  </w14:solidFill>
                </w14:textFill>
              </w:rPr>
              <w:t>报价单是报价的唯一载体</w:t>
            </w:r>
            <w:r>
              <w:rPr>
                <w:rFonts w:hint="eastAsia" w:ascii="仿宋" w:hAnsi="仿宋" w:eastAsia="仿宋" w:cs="仿宋"/>
                <w:color w:val="000000" w:themeColor="text1"/>
                <w:kern w:val="0"/>
                <w:sz w:val="24"/>
                <w:highlight w:val="none"/>
                <w:lang w:val="zh-CN"/>
                <w14:textFill>
                  <w14:solidFill>
                    <w14:schemeClr w14:val="tx1"/>
                  </w14:solidFill>
                </w14:textFill>
              </w:rPr>
              <w:t>。响应文件中价格全部采用人民币报价。采购文件未列明，而供应商认为必需的费用也需列入报价。</w:t>
            </w:r>
            <w:r>
              <w:rPr>
                <w:rFonts w:hint="eastAsia" w:ascii="仿宋" w:hAnsi="仿宋" w:eastAsia="仿宋" w:cs="仿宋"/>
                <w:b/>
                <w:color w:val="000000" w:themeColor="text1"/>
                <w:kern w:val="0"/>
                <w:sz w:val="24"/>
                <w:highlight w:val="none"/>
                <w:lang w:val="zh-CN"/>
                <w14:textFill>
                  <w14:solidFill>
                    <w14:schemeClr w14:val="tx1"/>
                  </w14:solidFill>
                </w14:textFill>
              </w:rPr>
              <w:t>提醒：验收时检测费用由采购人承担，不包含在总价中。</w:t>
            </w:r>
          </w:p>
          <w:p>
            <w:pPr>
              <w:snapToGrid w:val="0"/>
              <w:spacing w:line="360" w:lineRule="auto"/>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最后报价出现下列情形的，响应文件无效：</w:t>
            </w:r>
          </w:p>
          <w:p>
            <w:pPr>
              <w:snapToGrid w:val="0"/>
              <w:spacing w:line="360" w:lineRule="auto"/>
              <w:ind w:firstLine="482" w:firstLineChars="200"/>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响应文件出现不是唯一的、有选择性最后报价的；</w:t>
            </w:r>
          </w:p>
          <w:p>
            <w:pPr>
              <w:snapToGrid w:val="0"/>
              <w:spacing w:line="360" w:lineRule="auto"/>
              <w:ind w:firstLine="482" w:firstLineChars="200"/>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最后报价超过采购文件中规定的预算金额或者最高限价的;</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highlight w:val="none"/>
                <w14:textFill>
                  <w14:solidFill>
                    <w14:schemeClr w14:val="tx1"/>
                  </w14:solidFill>
                </w14:textFill>
              </w:rPr>
              <w:t>;</w:t>
            </w:r>
          </w:p>
          <w:p>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供应商对根据修正原则修正后的报价不确认的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备份响应文件送达地点和签收人员</w:t>
            </w:r>
          </w:p>
        </w:tc>
        <w:tc>
          <w:tcPr>
            <w:tcW w:w="6849" w:type="dxa"/>
            <w:vAlign w:val="center"/>
          </w:tcPr>
          <w:p>
            <w:pPr>
              <w:pStyle w:val="33"/>
              <w:spacing w:line="360" w:lineRule="auto"/>
              <w:rPr>
                <w:rFonts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备份投标文件送达地点：</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u w:val="single"/>
                <w14:textFill>
                  <w14:solidFill>
                    <w14:schemeClr w14:val="tx1"/>
                  </w14:solidFill>
                </w14:textFill>
              </w:rPr>
              <w:t>杭州市拱墅区登云路518号恒策西城时代（云合中心）3幢1706室</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；备份投标文件签收人员联系电话：</w:t>
            </w:r>
            <w:r>
              <w:rPr>
                <w:rFonts w:hint="eastAsia" w:ascii="仿宋" w:hAnsi="仿宋" w:eastAsia="仿宋" w:cs="仿宋"/>
                <w:color w:val="000000" w:themeColor="text1"/>
                <w:sz w:val="24"/>
                <w:szCs w:val="24"/>
                <w:highlight w:val="none"/>
                <w:u w:val="single"/>
                <w14:textFill>
                  <w14:solidFill>
                    <w14:schemeClr w14:val="tx1"/>
                  </w14:solidFill>
                </w14:textFill>
              </w:rPr>
              <w:t xml:space="preserve"> 邓瑞银、</w:t>
            </w:r>
            <w:r>
              <w:rPr>
                <w:rFonts w:hint="eastAsia" w:ascii="仿宋" w:hAnsi="仿宋" w:eastAsia="仿宋" w:cs="仿宋"/>
                <w:color w:val="000000" w:themeColor="text1"/>
                <w:kern w:val="28"/>
                <w:sz w:val="24"/>
                <w:szCs w:val="24"/>
                <w:highlight w:val="none"/>
                <w:u w:val="single"/>
                <w14:textFill>
                  <w14:solidFill>
                    <w14:schemeClr w14:val="tx1"/>
                  </w14:solidFill>
                </w14:textFill>
              </w:rPr>
              <w:t xml:space="preserve">13645711835、86035851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其它说明</w:t>
            </w:r>
          </w:p>
        </w:tc>
        <w:tc>
          <w:tcPr>
            <w:tcW w:w="6849" w:type="dxa"/>
            <w:vAlign w:val="center"/>
          </w:tcPr>
          <w:p>
            <w:pPr>
              <w:spacing w:line="360"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联合体或者以分包方式履行合同的，联合体各方（供应商与分包供应商）分别提供与联合体协议（分包意向协议）中规定的分工内容相应的业绩证明材料，业绩数量以提供材料较少的一方为准。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79" w:hRule="atLeast"/>
        </w:trPr>
        <w:tc>
          <w:tcPr>
            <w:tcW w:w="714" w:type="dxa"/>
            <w:vAlign w:val="center"/>
          </w:tcPr>
          <w:p>
            <w:pPr>
              <w:snapToGrid w:val="0"/>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2171" w:type="dxa"/>
            <w:vAlign w:val="center"/>
          </w:tcPr>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采购代理服务费</w:t>
            </w:r>
          </w:p>
        </w:tc>
        <w:tc>
          <w:tcPr>
            <w:tcW w:w="6849" w:type="dxa"/>
            <w:vAlign w:val="center"/>
          </w:tcPr>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1、本项目按照浙价服[2003]77号文规定的</w:t>
            </w:r>
            <w:r>
              <w:rPr>
                <w:rFonts w:hint="eastAsia" w:ascii="仿宋" w:hAnsi="仿宋" w:eastAsia="仿宋" w:cs="仿宋"/>
                <w:color w:val="000000" w:themeColor="text1"/>
                <w:sz w:val="24"/>
                <w:highlight w:val="none"/>
                <w:lang w:val="en-US" w:eastAsia="zh-CN"/>
                <w14:textFill>
                  <w14:solidFill>
                    <w14:schemeClr w14:val="tx1"/>
                  </w14:solidFill>
                </w14:textFill>
              </w:rPr>
              <w:t>货物</w:t>
            </w:r>
            <w:r>
              <w:rPr>
                <w:rFonts w:hint="eastAsia" w:ascii="仿宋" w:hAnsi="仿宋" w:eastAsia="仿宋" w:cs="仿宋"/>
                <w:color w:val="000000" w:themeColor="text1"/>
                <w:sz w:val="24"/>
                <w:highlight w:val="none"/>
                <w14:textFill>
                  <w14:solidFill>
                    <w14:schemeClr w14:val="tx1"/>
                  </w14:solidFill>
                </w14:textFill>
              </w:rPr>
              <w:t>类收费标准八折向中标单位收取。不足4000元按4000元收取。</w:t>
            </w:r>
          </w:p>
          <w:tbl>
            <w:tblPr>
              <w:tblStyle w:val="62"/>
              <w:tblpPr w:leftFromText="180" w:rightFromText="180" w:vertAnchor="text" w:horzAnchor="page" w:tblpX="93" w:tblpY="11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4"/>
              <w:gridCol w:w="1184"/>
              <w:gridCol w:w="1276"/>
              <w:gridCol w:w="1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trPr>
              <w:tc>
                <w:tcPr>
                  <w:tcW w:w="2714" w:type="dxa"/>
                  <w:shd w:val="clear" w:color="auto" w:fill="auto"/>
                </w:tcPr>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-58420</wp:posOffset>
                            </wp:positionH>
                            <wp:positionV relativeFrom="paragraph">
                              <wp:posOffset>10160</wp:posOffset>
                            </wp:positionV>
                            <wp:extent cx="1544320" cy="901700"/>
                            <wp:effectExtent l="2540" t="3810" r="7620" b="8890"/>
                            <wp:wrapNone/>
                            <wp:docPr id="2" name="直线 16"/>
                            <wp:cNvGraphicFramePr/>
                            <a:graphic xmlns:a="http://schemas.openxmlformats.org/drawingml/2006/main">
                              <a:graphicData uri="http://schemas.microsoft.com/office/word/2010/wordprocessingShape">
                                <wps:wsp>
                                  <wps:cNvCnPr/>
                                  <wps:spPr>
                                    <a:xfrm>
                                      <a:off x="0" y="0"/>
                                      <a:ext cx="1544320" cy="9017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6" o:spid="_x0000_s1026" o:spt="20" style="position:absolute;left:0pt;margin-left:-4.6pt;margin-top:0.8pt;height:71pt;width:121.6pt;z-index:251662336;mso-width-relative:page;mso-height-relative:page;" filled="f" stroked="t" coordsize="21600,21600" o:gfxdata="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UfqvTWAAAA&#10;CAEAAA8AAAAAAAAAAQAgAAAAIgAAAGRycy9kb3ducmV2LnhtbFBLAQIUABQAAAAIAIdO4kB14We5&#10;5gEAANUDAAAOAAAAAAAAAAEAIAAAACUBAABkcnMvZTJvRG9jLnhtbFBLBQYAAAAABgAGAFkBAAB9&#10;BQAAAAA=&#10;">
                            <v:fill on="f" focussize="0,0"/>
                            <v:stroke color="#000000" joinstyle="round"/>
                            <v:imagedata o:title=""/>
                            <o:lock v:ext="edit" aspectratio="f"/>
                          </v:line>
                        </w:pict>
                      </mc:Fallback>
                    </mc:AlternateContent>
                  </w: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-48260</wp:posOffset>
                            </wp:positionH>
                            <wp:positionV relativeFrom="paragraph">
                              <wp:posOffset>10795</wp:posOffset>
                            </wp:positionV>
                            <wp:extent cx="1709420" cy="340360"/>
                            <wp:effectExtent l="635" t="4445" r="12065" b="5715"/>
                            <wp:wrapNone/>
                            <wp:docPr id="1" name="直线 17"/>
                            <wp:cNvGraphicFramePr/>
                            <a:graphic xmlns:a="http://schemas.openxmlformats.org/drawingml/2006/main">
                              <a:graphicData uri="http://schemas.microsoft.com/office/word/2010/wordprocessingShape">
                                <wps:wsp>
                                  <wps:cNvCnPr/>
                                  <wps:spPr>
                                    <a:xfrm>
                                      <a:off x="0" y="0"/>
                                      <a:ext cx="1709420" cy="34036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7" o:spid="_x0000_s1026" o:spt="20" style="position:absolute;left:0pt;margin-left:-3.8pt;margin-top:0.85pt;height:26.8pt;width:134.6pt;z-index:251661312;mso-width-relative:page;mso-height-relative:page;" filled="f" stroked="t" coordsize="21600,21600" o:gfxdata="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HECFE1AAAAAcB&#10;AAAPAAAAAAAAAAEAIAAAACIAAABkcnMvZG93bnJldi54bWxQSwECFAAUAAAACACHTuJADwxubOYB&#10;AADVAwAADgAAAAAAAAABACAAAAAjAQAAZHJzL2Uyb0RvYy54bWxQSwUGAAAAAAYABgBZAQAAewUA&#10;AAAA&#10;">
                            <v:fill on="f" focussize="0,0"/>
                            <v:stroke color="#000000" joinstyle="round"/>
                            <v:imagedata o:title=""/>
                            <o:lock v:ext="edit" aspectratio="f"/>
                          </v:line>
                        </w:pict>
                      </mc:Fallback>
                    </mc:AlternateContent>
                  </w:r>
                  <w:r>
                    <w:rPr>
                      <w:rFonts w:hint="eastAsia" w:ascii="仿宋" w:hAnsi="仿宋" w:eastAsia="仿宋" w:cs="仿宋"/>
                      <w:color w:val="000000" w:themeColor="text1"/>
                      <w:sz w:val="24"/>
                      <w:highlight w:val="none"/>
                      <w14:textFill>
                        <w14:solidFill>
                          <w14:schemeClr w14:val="tx1"/>
                        </w14:solidFill>
                      </w14:textFill>
                    </w:rPr>
                    <w:t xml:space="preserve">                类型</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费率</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中标金额</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（万元）</w:t>
                  </w:r>
                </w:p>
              </w:tc>
              <w:tc>
                <w:tcPr>
                  <w:tcW w:w="1184" w:type="dxa"/>
                  <w:shd w:val="clear" w:color="auto" w:fill="auto"/>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w:t>
                  </w:r>
                </w:p>
              </w:tc>
              <w:tc>
                <w:tcPr>
                  <w:tcW w:w="1276"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w:t>
                  </w:r>
                </w:p>
              </w:tc>
              <w:tc>
                <w:tcPr>
                  <w:tcW w:w="1291"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1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100以下</w:t>
                  </w:r>
                </w:p>
              </w:tc>
              <w:tc>
                <w:tcPr>
                  <w:tcW w:w="118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w:t>
                  </w:r>
                </w:p>
              </w:tc>
              <w:tc>
                <w:tcPr>
                  <w:tcW w:w="1276"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w:t>
                  </w:r>
                </w:p>
              </w:tc>
              <w:tc>
                <w:tcPr>
                  <w:tcW w:w="1291"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271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100-500</w:t>
                  </w:r>
                </w:p>
              </w:tc>
              <w:tc>
                <w:tcPr>
                  <w:tcW w:w="118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276"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0.8%</w:t>
                  </w:r>
                </w:p>
              </w:tc>
              <w:tc>
                <w:tcPr>
                  <w:tcW w:w="1291"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271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500-1000</w:t>
                  </w:r>
                </w:p>
              </w:tc>
              <w:tc>
                <w:tcPr>
                  <w:tcW w:w="1184"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0.8%</w:t>
                  </w:r>
                </w:p>
              </w:tc>
              <w:tc>
                <w:tcPr>
                  <w:tcW w:w="1276"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0.45%</w:t>
                  </w:r>
                </w:p>
              </w:tc>
              <w:tc>
                <w:tcPr>
                  <w:tcW w:w="1291" w:type="dxa"/>
                  <w:shd w:val="clear" w:color="auto" w:fill="FFFFFF"/>
                  <w:vAlign w:val="center"/>
                </w:tcPr>
                <w:p>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0.55%</w:t>
                  </w:r>
                </w:p>
              </w:tc>
            </w:tr>
          </w:tbl>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2、招标代理服务费可以是现金、支票或汇票。</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3、收取时间：成交通知书发出后3个工作日内。</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4、服务费汇款信息：</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收款人：杭州博实招标代理有限公司</w:t>
            </w:r>
          </w:p>
          <w:p>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开户银行：杭州联合农村商业银行股份有限公司丰潭支行</w:t>
            </w:r>
          </w:p>
          <w:p>
            <w:pPr>
              <w:spacing w:line="360"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    号：201000069514479</w:t>
            </w:r>
          </w:p>
        </w:tc>
      </w:tr>
    </w:tbl>
    <w:p>
      <w:pPr>
        <w:snapToGrid w:val="0"/>
        <w:spacing w:line="360" w:lineRule="auto"/>
        <w:jc w:val="center"/>
        <w:rPr>
          <w:rFonts w:ascii="仿宋" w:hAnsi="仿宋" w:eastAsia="仿宋" w:cs="仿宋"/>
          <w:b/>
          <w:color w:val="000000" w:themeColor="text1"/>
          <w:sz w:val="32"/>
          <w:szCs w:val="20"/>
          <w:highlight w:val="none"/>
          <w14:textFill>
            <w14:solidFill>
              <w14:schemeClr w14:val="tx1"/>
            </w14:solidFill>
          </w14:textFill>
        </w:rPr>
      </w:pPr>
    </w:p>
    <w:bookmarkEnd w:id="11"/>
    <w:p>
      <w:pPr>
        <w:widowControl/>
        <w:adjustRightInd/>
        <w:jc w:val="left"/>
        <w:rPr>
          <w:rFonts w:ascii="仿宋" w:hAnsi="仿宋" w:eastAsia="仿宋" w:cs="仿宋"/>
          <w:b/>
          <w:color w:val="000000" w:themeColor="text1"/>
          <w:sz w:val="32"/>
          <w:szCs w:val="20"/>
          <w:highlight w:val="none"/>
          <w14:textFill>
            <w14:solidFill>
              <w14:schemeClr w14:val="tx1"/>
            </w14:solidFill>
          </w14:textFill>
        </w:rPr>
      </w:pPr>
      <w:bookmarkStart w:id="13" w:name="_Toc164416483"/>
      <w:bookmarkStart w:id="14" w:name="第三部分"/>
      <w:r>
        <w:rPr>
          <w:rFonts w:hint="eastAsia" w:ascii="仿宋" w:hAnsi="仿宋" w:eastAsia="仿宋" w:cs="仿宋"/>
          <w:b/>
          <w:color w:val="000000" w:themeColor="text1"/>
          <w:sz w:val="32"/>
          <w:szCs w:val="20"/>
          <w:highlight w:val="none"/>
          <w14:textFill>
            <w14:solidFill>
              <w14:schemeClr w14:val="tx1"/>
            </w14:solidFill>
          </w14:textFill>
        </w:rPr>
        <w:br w:type="page"/>
      </w: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pPr>
        <w:snapToGrid w:val="0"/>
        <w:spacing w:line="360" w:lineRule="auto"/>
        <w:ind w:firstLine="482" w:firstLineChars="200"/>
        <w:jc w:val="left"/>
        <w:outlineLvl w:val="1"/>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pPr>
        <w:snapToGrid w:val="0"/>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本采购文件适用于该项目的采购邀请、响应文件提交、响应文件开启、资格审查及信用信息查询、磋商、评审、成交供应商确定、合同、验收等行为（法律、法规另有规定的，从其规定）。</w:t>
      </w:r>
    </w:p>
    <w:p>
      <w:pPr>
        <w:snapToGrid w:val="0"/>
        <w:spacing w:line="360" w:lineRule="auto"/>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“采购人”系指竞争性磋商公告中载明的本项目的采购人。</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“采购机构”系指竞争性磋商公告中载明的本项目的采购机构。</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“供应商”系指是指提交响应文件和报价、参与竞争性磋商采购活动的法人、其他组织或者自然人。</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2.6“电子交易平台”是指本项目政府采购活动所依托的政府采购云平台（https://www.zcygov.cn/）。</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 “▲” 系指实质性要求条款，“</w:t>
      </w: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系指适用本项目的要求，“</w:t>
      </w:r>
      <w:r>
        <w:rPr>
          <w:rFonts w:hint="eastAsia" w:ascii="仿宋" w:hAnsi="仿宋" w:eastAsia="仿宋" w:cs="仿宋"/>
          <w:color w:val="000000" w:themeColor="text1"/>
          <w:kern w:val="0"/>
          <w:sz w:val="24"/>
          <w:highlight w:val="none"/>
          <w14:textFill>
            <w14:solidFill>
              <w14:schemeClr w14:val="tx1"/>
            </w14:solidFill>
          </w14:textFill>
        </w:rPr>
        <w:sym w:font="Wingdings 2" w:char="00A3"/>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系指不适用本项目的要求，“※”系指磋商过程中可能实质性变动的内容。</w:t>
      </w:r>
    </w:p>
    <w:p>
      <w:pPr>
        <w:snapToGrid w:val="0"/>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pPr>
        <w:spacing w:line="360" w:lineRule="auto"/>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w:t>
      </w:r>
      <w:r>
        <w:rPr>
          <w:rFonts w:hint="eastAsia" w:ascii="仿宋" w:hAnsi="仿宋" w:eastAsia="仿宋" w:cs="仿宋"/>
          <w:b/>
          <w:bCs/>
          <w:color w:val="000000" w:themeColor="text1"/>
          <w:sz w:val="24"/>
          <w:highlight w:val="none"/>
          <w14:textFill>
            <w14:solidFill>
              <w14:schemeClr w14:val="tx1"/>
            </w14:solidFill>
          </w14:textFill>
        </w:rPr>
        <w:t>采购人拟采购的产品属于品目清单范围的（节能产品政府采购品目清单见财库【2019】19号，环境标志产品政府采购品目清单见财库【2019】18号），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采购人拟采购的产品属于政府强制采购的节能产品品目清单范围的，投标人未按招标文件要求提供国家确定的认证机构出具的、处于有效期之内的节能产品认证证书的，投标无效。</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 修缮、装修类项目采购建材的，采购人应将绿色建筑和绿色建材性能、指标等作为实质性条件纳入采购文件和合同。</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3.3支持中小企业发展</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符合中小企业划分标准的个体工商户，在政府采购活动中视同中小企业。</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w:t>
      </w:r>
      <w:r>
        <w:rPr>
          <w:rFonts w:hint="eastAsia" w:ascii="仿宋" w:hAnsi="仿宋" w:eastAsia="仿宋" w:cs="仿宋"/>
          <w:color w:val="000000" w:themeColor="text1"/>
          <w:kern w:val="0"/>
          <w:sz w:val="24"/>
          <w:highlight w:val="none"/>
          <w14:textFill>
            <w14:solidFill>
              <w14:schemeClr w14:val="tx1"/>
            </w14:solidFill>
          </w14:textFill>
        </w:rPr>
        <w:t>在政府采购活动中，供应商提供的货物、工程或者服务符合下列情形的，享受中小企业扶持政策：</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3.3.2.2在工程采购项目中，工程由中小企业承建，即工程施工单位为中小企业；</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3.3.2.3在服务采购项目中，服务由中小企业承接，即提供服务的人员为中小企业依照《中华人民共和国劳动合同法》订立劳动合同的从业人员。</w:t>
      </w:r>
    </w:p>
    <w:p>
      <w:pPr>
        <w:widowControl/>
        <w:snapToGrid w:val="0"/>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widowControl/>
        <w:snapToGrid w:val="0"/>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6%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bCs/>
          <w:color w:val="000000" w:themeColor="text1"/>
          <w:sz w:val="24"/>
          <w:highlight w:val="none"/>
          <w14:textFill>
            <w14:solidFill>
              <w14:schemeClr w14:val="tx1"/>
            </w14:solidFill>
          </w14:textFill>
        </w:rPr>
        <w:t>支持创新发展</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3.4.1 采购人优先采购被认定为首台套产品和“制造精品”的自主创新产品。</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pPr>
        <w:snapToGrid w:val="0"/>
        <w:spacing w:line="360" w:lineRule="auto"/>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仿宋" w:hAnsi="仿宋" w:eastAsia="仿宋" w:cs="仿宋"/>
          <w:color w:val="000000" w:themeColor="text1"/>
          <w:sz w:val="24"/>
          <w:highlight w:val="none"/>
          <w14:textFill>
            <w14:solidFill>
              <w14:schemeClr w14:val="tx1"/>
            </w14:solidFill>
          </w14:textFill>
        </w:rPr>
        <w:cr/>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4. 询问、质疑、投诉</w:t>
      </w:r>
    </w:p>
    <w:p>
      <w:pPr>
        <w:autoSpaceDE w:val="0"/>
        <w:autoSpaceDN w:val="0"/>
        <w:snapToGrid w:val="0"/>
        <w:spacing w:line="360" w:lineRule="auto"/>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4.1供应商询问</w:t>
      </w:r>
    </w:p>
    <w:p>
      <w:pPr>
        <w:autoSpaceDE w:val="0"/>
        <w:autoSpaceDN w:val="0"/>
        <w:snapToGrid w:val="0"/>
        <w:spacing w:line="360" w:lineRule="auto"/>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4.2供应商质疑</w:t>
      </w:r>
    </w:p>
    <w:p>
      <w:pPr>
        <w:pStyle w:val="33"/>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w:t>
      </w:r>
      <w:r>
        <w:rPr>
          <w:rFonts w:hint="eastAsia" w:ascii="仿宋" w:hAnsi="仿宋" w:eastAsia="仿宋" w:cs="仿宋"/>
          <w:color w:val="000000" w:themeColor="text1"/>
          <w:sz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pPr>
        <w:pStyle w:val="33"/>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w:t>
      </w:r>
      <w:r>
        <w:rPr>
          <w:rFonts w:hint="eastAsia" w:ascii="仿宋" w:hAnsi="仿宋" w:eastAsia="仿宋" w:cs="仿宋"/>
          <w:color w:val="000000" w:themeColor="text1"/>
          <w:sz w:val="24"/>
          <w:highlight w:val="none"/>
          <w14:textFill>
            <w14:solidFill>
              <w14:schemeClr w14:val="tx1"/>
            </w14:solidFill>
          </w14:textFill>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pPr>
        <w:pStyle w:val="7"/>
        <w:spacing w:line="360" w:lineRule="auto"/>
        <w:ind w:firstLine="480" w:firstLineChars="200"/>
        <w:rPr>
          <w:rFonts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14:textFill>
            <w14:solidFill>
              <w14:schemeClr w14:val="tx1"/>
            </w14:solidFill>
          </w14:textFill>
        </w:rPr>
        <w:t>4.2.2.1对采购文件提出质疑的，质疑期限为供应商获得采购文件之日或者采购文件公告期限届满之日起计算。</w:t>
      </w:r>
    </w:p>
    <w:p>
      <w:pPr>
        <w:pStyle w:val="33"/>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4.2.2.2对采购过程提出质疑的，质疑期限为各采购程序环节结束之日起计算。</w:t>
      </w:r>
    </w:p>
    <w:p>
      <w:pPr>
        <w:pStyle w:val="33"/>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4.2.2.3对采购结果提出质疑的，质疑期限自采购结果公告期限届满之日起计算。</w:t>
      </w:r>
    </w:p>
    <w:p>
      <w:pPr>
        <w:pStyle w:val="33"/>
        <w:snapToGrid w:val="0"/>
        <w:spacing w:line="360" w:lineRule="auto"/>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w:t>
      </w:r>
      <w:r>
        <w:rPr>
          <w:rFonts w:hint="eastAsia" w:ascii="仿宋" w:hAnsi="仿宋" w:eastAsia="仿宋" w:cs="仿宋"/>
          <w:color w:val="000000" w:themeColor="text1"/>
          <w:sz w:val="24"/>
          <w:highlight w:val="none"/>
          <w14:textFill>
            <w14:solidFill>
              <w14:schemeClr w14:val="tx1"/>
            </w14:solidFill>
          </w14:textFill>
        </w:rPr>
        <w:t>供应商提出质疑应当提交质疑函和必要的证明材料。质疑函应当包括下列内容：</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4.2.3.1供应商的姓名或者名称、地址、邮编、联系人及联系电话；</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4.2.3.2质疑项目的名称、编号；</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4.2.3.3具体、明确的质疑事项和与质疑事项相关的请求；</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4.2.3.4事实依据；</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4.2.3.5必要的法律依据；</w:t>
      </w:r>
    </w:p>
    <w:p>
      <w:pPr>
        <w:pStyle w:val="33"/>
        <w:snapToGrid w:val="0"/>
        <w:spacing w:line="360" w:lineRule="auto"/>
        <w:ind w:firstLine="720" w:firstLineChars="3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4.2.3.6提出质疑的日期。</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4.2.4对同一采购程序环节的质疑，供应商须在法定质疑期内一次性提出。</w:t>
      </w:r>
    </w:p>
    <w:p>
      <w:pPr>
        <w:pStyle w:val="33"/>
        <w:spacing w:line="360" w:lineRule="auto"/>
        <w:ind w:firstLine="480" w:firstLineChars="200"/>
        <w:rPr>
          <w:rFonts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4.2</w:t>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kern w:val="0"/>
          <w:sz w:val="24"/>
          <w:szCs w:val="24"/>
          <w:highlight w:val="none"/>
          <w:lang w:val="zh-CN"/>
          <w14:textFill>
            <w14:solidFill>
              <w14:schemeClr w14:val="tx1"/>
            </w14:solidFill>
          </w14:textFill>
        </w:rPr>
        <w:t>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5个工作日内，在浙江政府采购网的“其他公告”栏目公开质疑答复，答复内容应当完整。质疑函作为附件上传。</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4.2</w:t>
      </w:r>
      <w:r>
        <w:rPr>
          <w:rFonts w:hint="eastAsia" w:ascii="仿宋" w:hAnsi="仿宋" w:eastAsia="仿宋" w:cs="仿宋"/>
          <w:color w:val="000000" w:themeColor="text1"/>
          <w:highlight w:val="none"/>
          <w14:textFill>
            <w14:solidFill>
              <w14:schemeClr w14:val="tx1"/>
            </w14:solidFill>
          </w14:textFill>
        </w:rPr>
        <w:t>.6询问或者质疑事项可能影响采购结果的，采购人应当暂停签订合同，已经签订合同的，应当中止履行合同。</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4.3供应商投诉</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供应商投诉的事项不得超出已质疑事项的范围，基于质疑答复内容提出的投诉事项除外。</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4.3.3供应商投诉应当有明确的请求和必要的证明材料。</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4.3.5 以联合体形式参加政府采购活动的，其投诉应当由组成联合体的所有供应商共同提出。</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4.4在线质疑、投诉。</w:t>
      </w:r>
    </w:p>
    <w:p>
      <w:pPr>
        <w:pStyle w:val="887"/>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30"/>
        <w:snapToGrid w:val="0"/>
        <w:spacing w:before="0"/>
        <w:ind w:firstLine="360"/>
        <w:rPr>
          <w:rFonts w:ascii="仿宋" w:hAnsi="仿宋" w:eastAsia="仿宋" w:cs="仿宋"/>
          <w:color w:val="000000" w:themeColor="text1"/>
          <w:sz w:val="18"/>
          <w:szCs w:val="18"/>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二、采购文件的构成、澄清、修改</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5．采购文件的构成</w:t>
      </w:r>
    </w:p>
    <w:p>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 采购文件包括下列文件及附件：</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5.1.1竞争性磋商公告；</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5.1.2供应商须知；</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5.1.3采购需求；</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5.1.4评审办法；</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5.1.5拟签订的合同文本；</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澄清或者修改的内容为采购文件的组成部分</w:t>
      </w:r>
      <w:r>
        <w:rPr>
          <w:rFonts w:hint="eastAsia" w:ascii="仿宋" w:hAnsi="仿宋" w:eastAsia="仿宋" w:cs="仿宋"/>
          <w:color w:val="000000" w:themeColor="text1"/>
          <w:sz w:val="24"/>
          <w:highlight w:val="none"/>
          <w14:textFill>
            <w14:solidFill>
              <w14:schemeClr w14:val="tx1"/>
            </w14:solidFill>
          </w14:textFill>
        </w:rPr>
        <w:t>。</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6. 采购文件的澄清、修改</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6.1已获取采购文件的潜在供应商，若有问题需要澄清，应于响应文件提交（上传）截止时间前，以书面形式向采购机构提出。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 采购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pPr>
        <w:pStyle w:val="3"/>
        <w:rPr>
          <w:rFonts w:ascii="仿宋" w:hAnsi="仿宋" w:eastAsia="仿宋" w:cs="仿宋"/>
          <w:color w:val="000000" w:themeColor="text1"/>
          <w:sz w:val="18"/>
          <w:szCs w:val="18"/>
          <w:highlight w:val="none"/>
          <w:lang w:val="en-US"/>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三、提交响应文件</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7. 采购文件的获取</w:t>
      </w:r>
    </w:p>
    <w:p>
      <w:pPr>
        <w:spacing w:line="360" w:lineRule="auto"/>
        <w:ind w:firstLine="480" w:firstLineChars="20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详见竞争性磋商公告中获取采购文件的时间期限、地点、方式及采购文件售价。</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8.磋商前答疑会或现场考察</w:t>
      </w:r>
    </w:p>
    <w:p>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采购人组织潜在供应商现场考察或者召开磋商前答疑会的，潜在供应商按第二部分供应商须知前附表的规定参加现场考察或者磋商前答疑会。</w:t>
      </w:r>
    </w:p>
    <w:p>
      <w:pPr>
        <w:pStyle w:val="33"/>
        <w:spacing w:line="360" w:lineRule="auto"/>
        <w:ind w:firstLine="482" w:firstLineChars="20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kern w:val="28"/>
          <w:sz w:val="24"/>
          <w:szCs w:val="24"/>
          <w:highlight w:val="none"/>
          <w14:textFill>
            <w14:solidFill>
              <w14:schemeClr w14:val="tx1"/>
            </w14:solidFill>
          </w14:textFill>
        </w:rPr>
        <w:t>9.磋商保证金</w:t>
      </w:r>
    </w:p>
    <w:p>
      <w:pPr>
        <w:pStyle w:val="7"/>
        <w:spacing w:line="360" w:lineRule="auto"/>
        <w:ind w:firstLine="470" w:firstLineChars="19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本项目不需缴纳磋商保证金。</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10. 响应文件的语言</w:t>
      </w:r>
    </w:p>
    <w:p>
      <w:pPr>
        <w:autoSpaceDE w:val="0"/>
        <w:autoSpaceDN w:val="0"/>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响应文件及供应商与采购有关的来往通知、函件和文件均应使用中文。</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11. 响应文件的组成</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w:t>
      </w:r>
      <w:r>
        <w:rPr>
          <w:rFonts w:hint="eastAsia" w:ascii="仿宋" w:hAnsi="仿宋" w:eastAsia="仿宋" w:cs="仿宋"/>
          <w:b/>
          <w:color w:val="000000" w:themeColor="text1"/>
          <w:sz w:val="24"/>
          <w:highlight w:val="none"/>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11.1.1符合参加政府采购活动应当具备的一般条件的承诺函；</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11.1.2</w:t>
      </w:r>
      <w:bookmarkStart w:id="15" w:name="_Hlk101259339"/>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w:t>
      </w:r>
      <w:bookmarkStart w:id="16" w:name="_Hlk101257010"/>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bookmarkEnd w:id="15"/>
      <w:bookmarkEnd w:id="16"/>
      <w:r>
        <w:rPr>
          <w:rFonts w:hint="eastAsia" w:ascii="仿宋" w:hAnsi="仿宋" w:eastAsia="仿宋" w:cs="仿宋"/>
          <w:snapToGrid w:val="0"/>
          <w:color w:val="000000" w:themeColor="text1"/>
          <w:kern w:val="28"/>
          <w:sz w:val="24"/>
          <w:szCs w:val="20"/>
          <w:highlight w:val="none"/>
          <w14:textFill>
            <w14:solidFill>
              <w14:schemeClr w14:val="tx1"/>
            </w14:solidFill>
          </w14:textFill>
        </w:rPr>
        <w:t>；</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11.1.3落实政府采购政策需满足的资格要求</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11.1.4本项目的特定资格要求</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11.2.1响应函；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11.2.2授权委托书或法定代表人（单位负责人、自然人本人）身份证明；</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11.2.3分包意向协议（如果有)；</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11.2.4符合性审查资料；</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11.2.5评审标准相应的商务技术资料；</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11.2.6投标标的清单；</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11.2.7商务技术偏离表；</w:t>
      </w:r>
    </w:p>
    <w:p>
      <w:pPr>
        <w:snapToGrid w:val="0"/>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pPr>
        <w:snapToGrid w:val="0"/>
        <w:spacing w:line="360" w:lineRule="auto"/>
        <w:ind w:firstLine="480" w:firstLineChars="200"/>
        <w:rPr>
          <w:rFonts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11.</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11.3.1报价单；</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11.3.2分项报价表；</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11.3.3中小企业声明函。</w:t>
      </w:r>
    </w:p>
    <w:p>
      <w:pPr>
        <w:spacing w:line="360" w:lineRule="auto"/>
        <w:ind w:firstLine="723" w:firstLineChars="3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响应文件含有采购人不能接受的附加条件的，响应文件无效；</w:t>
      </w:r>
    </w:p>
    <w:p>
      <w:pPr>
        <w:spacing w:line="360" w:lineRule="auto"/>
        <w:ind w:firstLine="723" w:firstLineChars="300"/>
        <w:rPr>
          <w:rFonts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供应商提供虚假材料的，响应文件无效。</w:t>
      </w:r>
    </w:p>
    <w:p>
      <w:pPr>
        <w:pStyle w:val="130"/>
        <w:snapToGrid w:val="0"/>
        <w:spacing w:before="0"/>
        <w:ind w:firstLine="482"/>
        <w:outlineLvl w:val="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12</w:t>
      </w:r>
      <w:r>
        <w:rPr>
          <w:rFonts w:hint="eastAsia" w:ascii="仿宋" w:hAnsi="仿宋" w:eastAsia="仿宋" w:cs="仿宋"/>
          <w:b/>
          <w:color w:val="000000" w:themeColor="text1"/>
          <w:kern w:val="0"/>
          <w:szCs w:val="24"/>
          <w:highlight w:val="none"/>
          <w:lang w:val="zh-CN"/>
          <w14:textFill>
            <w14:solidFill>
              <w14:schemeClr w14:val="tx1"/>
            </w14:solidFill>
          </w14:textFill>
        </w:rPr>
        <w:t xml:space="preserve">. </w:t>
      </w:r>
      <w:r>
        <w:rPr>
          <w:rFonts w:hint="eastAsia" w:ascii="仿宋" w:hAnsi="仿宋" w:eastAsia="仿宋" w:cs="仿宋"/>
          <w:b/>
          <w:color w:val="000000" w:themeColor="text1"/>
          <w:szCs w:val="24"/>
          <w:highlight w:val="none"/>
          <w14:textFill>
            <w14:solidFill>
              <w14:schemeClr w14:val="tx1"/>
            </w14:solidFill>
          </w14:textFill>
        </w:rPr>
        <w:t>响应文件的编制</w:t>
      </w:r>
    </w:p>
    <w:p>
      <w:pPr>
        <w:spacing w:line="360" w:lineRule="auto"/>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12.2供应商进行电子投标应安装客户端软件—“政采云电子交易客户端”，并按照采购文件和电子交易平台的要求编制并加密响应文件。供应商未按规定加密的响应文件，电子交易平台将拒收并提示。</w:t>
      </w:r>
    </w:p>
    <w:p>
      <w:pPr>
        <w:snapToGrid w:val="0"/>
        <w:spacing w:line="360" w:lineRule="auto"/>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snapToGrid w:val="0"/>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13.响应文件的签署、盖章</w:t>
      </w:r>
    </w:p>
    <w:p>
      <w:pPr>
        <w:pStyle w:val="130"/>
        <w:snapToGrid w:val="0"/>
        <w:spacing w:before="0"/>
        <w:ind w:firstLine="48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13.1响应文件按照采购文件第六部分格式要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▲供应商的响应文件未按照采购文件要求签署、盖章的，其响应文件无效</w:t>
      </w:r>
      <w:r>
        <w:rPr>
          <w:rFonts w:hint="eastAsia" w:ascii="仿宋" w:hAnsi="仿宋" w:eastAsia="仿宋" w:cs="仿宋"/>
          <w:color w:val="000000" w:themeColor="text1"/>
          <w:szCs w:val="24"/>
          <w:highlight w:val="none"/>
          <w14:textFill>
            <w14:solidFill>
              <w14:schemeClr w14:val="tx1"/>
            </w14:solidFill>
          </w14:textFill>
        </w:rPr>
        <w:t>。</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13.2为确保网上操作合法、有效和安全，供应商应当在响应文件提交（上传）截止时间前完成在“政府采购云平台”的身份认证，确保在电子投标过程中能够对相关数据电文进行加密和使用电子签名。</w:t>
      </w:r>
    </w:p>
    <w:p>
      <w:pPr>
        <w:pStyle w:val="130"/>
        <w:snapToGrid w:val="0"/>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13.3采购文件对响应文件签署、盖章的要求适用于电子签名。</w:t>
      </w:r>
    </w:p>
    <w:p>
      <w:pPr>
        <w:pStyle w:val="130"/>
        <w:snapToGrid w:val="0"/>
        <w:spacing w:before="0"/>
        <w:ind w:firstLine="482"/>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14. 响应文件的提交、补充、修改、撤回</w:t>
      </w:r>
    </w:p>
    <w:p>
      <w:pPr>
        <w:pStyle w:val="130"/>
        <w:snapToGrid w:val="0"/>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pPr>
        <w:pStyle w:val="130"/>
        <w:snapToGrid w:val="0"/>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14.2电子交易平台收到响应文件，将妥善保存并即时向供应商发出确认回执通知。在响应文件提交（上传）截止时间前，除供应商补充、修改或者撤回响应文件外，任何单位和个人不得解密或提取响应文件。</w:t>
      </w:r>
    </w:p>
    <w:p>
      <w:pPr>
        <w:pStyle w:val="130"/>
        <w:snapToGrid w:val="0"/>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14.3采购人、采购机构可以视情况延长响应文件提交的截止时间。在上述情况下，采购机构与供应商以前在响应文件提交截止时间方面的全部权利、责任和义务，将适用于延长至新的响应文件提交截止时间。</w:t>
      </w:r>
    </w:p>
    <w:p>
      <w:pPr>
        <w:pStyle w:val="33"/>
        <w:snapToGrid w:val="0"/>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15.备份响应文件</w:t>
      </w:r>
    </w:p>
    <w:p>
      <w:pPr>
        <w:pStyle w:val="33"/>
        <w:snapToGrid w:val="0"/>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15.1供应商在电子交易平台传输递交响应文件后，还可以在响应文件提交（上传）截止时间前直接提交或者以邮政快递方式递交备份响应文件1份，</w:t>
      </w:r>
      <w:r>
        <w:rPr>
          <w:rFonts w:hint="eastAsia" w:ascii="仿宋" w:hAnsi="仿宋" w:eastAsia="仿宋" w:cs="仿宋"/>
          <w:b/>
          <w:color w:val="000000" w:themeColor="text1"/>
          <w:sz w:val="24"/>
          <w:szCs w:val="24"/>
          <w:highlight w:val="none"/>
          <w14:textFill>
            <w14:solidFill>
              <w14:schemeClr w14:val="tx1"/>
            </w14:solidFill>
          </w14:textFill>
        </w:rPr>
        <w:t>但采购人、采购机构不强制或变相强制供应商提交备份响应文件。</w:t>
      </w:r>
    </w:p>
    <w:p>
      <w:pPr>
        <w:pStyle w:val="33"/>
        <w:snapToGrid w:val="0"/>
        <w:spacing w:line="360" w:lineRule="auto"/>
        <w:ind w:firstLine="480"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15.2备份响应文件须在“政采云投标客户端”制作生成，并储存在U盘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ascii="仿宋" w:hAnsi="仿宋" w:eastAsia="仿宋" w:cs="仿宋"/>
          <w:b/>
          <w:color w:val="000000" w:themeColor="text1"/>
          <w:sz w:val="24"/>
          <w:highlight w:val="none"/>
          <w14:textFill>
            <w14:solidFill>
              <w14:schemeClr w14:val="tx1"/>
            </w14:solidFill>
          </w14:textFill>
        </w:rPr>
        <w:t>不符合上述制作、</w:t>
      </w:r>
      <w:r>
        <w:rPr>
          <w:rFonts w:hint="eastAsia" w:ascii="仿宋" w:hAnsi="仿宋" w:eastAsia="仿宋" w:cs="仿宋"/>
          <w:b/>
          <w:color w:val="000000" w:themeColor="text1"/>
          <w:sz w:val="24"/>
          <w:szCs w:val="24"/>
          <w:highlight w:val="none"/>
          <w14:textFill>
            <w14:solidFill>
              <w14:schemeClr w14:val="tx1"/>
            </w14:solidFill>
          </w14:textFill>
        </w:rPr>
        <w:t>存储、密封规定的备份响应文件将被视为无效或者被拒绝接收。</w:t>
      </w:r>
    </w:p>
    <w:p>
      <w:pPr>
        <w:pStyle w:val="33"/>
        <w:snapToGrid w:val="0"/>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15.3直接提交备份响应文件的，供应商应于响应文件提交（上传）截止时间前在竞争性磋商公告中载明的响应文件开启地点将备份响应文件提交给采购机构，采购机构将拒绝接受逾期送达的备份响应文件。</w:t>
      </w:r>
    </w:p>
    <w:p>
      <w:pPr>
        <w:pStyle w:val="33"/>
        <w:snapToGrid w:val="0"/>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15.4以邮政快递方式递交备份响应文件的，供应商应先将备份响应文件按要求密封和标记，再进行邮政快递包装后邮寄。备份响应文件须在响应文件提交（上传）截止时间之前送达</w:t>
      </w:r>
      <w:r>
        <w:rPr>
          <w:rFonts w:hint="eastAsia" w:ascii="仿宋" w:hAnsi="仿宋" w:eastAsia="仿宋" w:cs="仿宋"/>
          <w:snapToGrid/>
          <w:color w:val="000000" w:themeColor="text1"/>
          <w:sz w:val="24"/>
          <w:szCs w:val="24"/>
          <w:highlight w:val="none"/>
          <w14:textFill>
            <w14:solidFill>
              <w14:schemeClr w14:val="tx1"/>
            </w14:solidFill>
          </w14:textFill>
        </w:rPr>
        <w:t>采购文件第二部分供应商须知前附表规定的备份响应文件送达地点；</w:t>
      </w:r>
      <w:r>
        <w:rPr>
          <w:rFonts w:hint="eastAsia" w:ascii="仿宋" w:hAnsi="仿宋" w:eastAsia="仿宋" w:cs="仿宋"/>
          <w:color w:val="000000" w:themeColor="text1"/>
          <w:sz w:val="24"/>
          <w:szCs w:val="24"/>
          <w:highlight w:val="none"/>
          <w14:textFill>
            <w14:solidFill>
              <w14:schemeClr w14:val="tx1"/>
            </w14:solidFill>
          </w14:textFill>
        </w:rPr>
        <w:t>送达时间以签收人签收时间为准。采购机构将拒绝接受逾期送达的备份响应文件。邮寄过程中，电子备份响应文件发生泄露、遗失、损坏或延期送达等情况的，由供应商自行负责。</w:t>
      </w:r>
    </w:p>
    <w:p>
      <w:pPr>
        <w:pStyle w:val="33"/>
        <w:snapToGrid w:val="0"/>
        <w:spacing w:line="360" w:lineRule="auto"/>
        <w:ind w:firstLine="479" w:firstLineChars="199"/>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15.5供应商仅提交备份响应文件，未在电子交易平台传输递交响应文件的，响应文件无效。</w:t>
      </w:r>
    </w:p>
    <w:p>
      <w:pPr>
        <w:pStyle w:val="130"/>
        <w:spacing w:before="0"/>
        <w:ind w:firstLine="482"/>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16.响应文件的无效处理</w:t>
      </w:r>
    </w:p>
    <w:p>
      <w:pPr>
        <w:pStyle w:val="25"/>
        <w:spacing w:line="360" w:lineRule="auto"/>
        <w:ind w:firstLine="360" w:firstLineChars="150"/>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有采购文件第四部分</w:t>
      </w:r>
      <w:r>
        <w:rPr>
          <w:rFonts w:hint="eastAsia" w:ascii="仿宋" w:hAnsi="仿宋" w:eastAsia="仿宋" w:cs="仿宋"/>
          <w:color w:val="000000" w:themeColor="text1"/>
          <w:highlight w:val="none"/>
          <w14:textFill>
            <w14:solidFill>
              <w14:schemeClr w14:val="tx1"/>
            </w14:solidFill>
          </w14:textFill>
        </w:rPr>
        <w:t>4.2规定</w:t>
      </w:r>
      <w:r>
        <w:rPr>
          <w:rFonts w:hint="eastAsia" w:ascii="仿宋" w:hAnsi="仿宋" w:eastAsia="仿宋" w:cs="仿宋"/>
          <w:color w:val="000000" w:themeColor="text1"/>
          <w:szCs w:val="21"/>
          <w:highlight w:val="none"/>
          <w14:textFill>
            <w14:solidFill>
              <w14:schemeClr w14:val="tx1"/>
            </w14:solidFill>
          </w14:textFill>
        </w:rPr>
        <w:t>的情形之一的，响应文件无效：</w:t>
      </w:r>
    </w:p>
    <w:p>
      <w:pPr>
        <w:pStyle w:val="130"/>
        <w:spacing w:before="0"/>
        <w:ind w:firstLine="482"/>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17.响应文件有效期</w:t>
      </w:r>
    </w:p>
    <w:p>
      <w:pPr>
        <w:spacing w:line="360" w:lineRule="auto"/>
        <w:ind w:firstLine="480" w:firstLineChars="200"/>
        <w:rPr>
          <w:rFonts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17.1响应文件有效期为从提交响应文件的截止之日起90天。▲</w:t>
      </w:r>
      <w:r>
        <w:rPr>
          <w:rFonts w:hint="eastAsia" w:ascii="仿宋" w:hAnsi="仿宋" w:eastAsia="仿宋" w:cs="仿宋"/>
          <w:b/>
          <w:color w:val="000000" w:themeColor="text1"/>
          <w:sz w:val="24"/>
          <w:szCs w:val="20"/>
          <w:highlight w:val="none"/>
          <w14:textFill>
            <w14:solidFill>
              <w14:schemeClr w14:val="tx1"/>
            </w14:solidFill>
          </w14:textFill>
        </w:rPr>
        <w:t>供应商的响应文件中承</w:t>
      </w:r>
      <w:r>
        <w:rPr>
          <w:rFonts w:hint="eastAsia" w:ascii="仿宋" w:hAnsi="仿宋" w:eastAsia="仿宋" w:cs="仿宋"/>
          <w:b/>
          <w:color w:val="000000" w:themeColor="text1"/>
          <w:sz w:val="24"/>
          <w:szCs w:val="21"/>
          <w:highlight w:val="none"/>
          <w14:textFill>
            <w14:solidFill>
              <w14:schemeClr w14:val="tx1"/>
            </w14:solidFill>
          </w14:textFill>
        </w:rPr>
        <w:t>诺的响应文件有效期少于采购文件中载明的响应文件有效期的，响应文件无效。</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17.2响应文件合格投递后，自响应文件提交截止时间起，在响应文件有效期内有效。</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17.3在原定响应文件有效期满之前，如果出现特殊情况，采购机构可以以书面形式通知供应商延长响应文件有效期。供应商同意延长的，不得要求或被允许修改其响应文件，供应商拒绝延长的，其响应文件无效。</w:t>
      </w:r>
    </w:p>
    <w:p>
      <w:pPr>
        <w:pStyle w:val="130"/>
        <w:spacing w:before="0"/>
        <w:ind w:firstLine="643"/>
        <w:rPr>
          <w:rFonts w:ascii="仿宋" w:hAnsi="仿宋" w:eastAsia="仿宋" w:cs="仿宋"/>
          <w:b/>
          <w:color w:val="000000" w:themeColor="text1"/>
          <w:sz w:val="32"/>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四、响应文件开启、资格审查与信用信息查询</w:t>
      </w:r>
    </w:p>
    <w:p>
      <w:pPr>
        <w:pStyle w:val="556"/>
        <w:spacing w:before="0" w:line="360" w:lineRule="auto"/>
        <w:ind w:left="0" w:firstLine="482" w:firstLineChars="200"/>
        <w:contextualSpacing/>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18.响应文件开启</w:t>
      </w:r>
      <w:r>
        <w:rPr>
          <w:rFonts w:hint="eastAsia" w:ascii="仿宋" w:hAnsi="仿宋" w:eastAsia="仿宋" w:cs="仿宋"/>
          <w:color w:val="000000" w:themeColor="text1"/>
          <w:sz w:val="24"/>
          <w:highlight w:val="none"/>
          <w14:textFill>
            <w14:solidFill>
              <w14:schemeClr w14:val="tx1"/>
            </w14:solidFill>
          </w14:textFill>
        </w:rPr>
        <w:t xml:space="preserve"> </w:t>
      </w:r>
    </w:p>
    <w:p>
      <w:pPr>
        <w:pStyle w:val="556"/>
        <w:snapToGrid w:val="0"/>
        <w:spacing w:before="0" w:line="360" w:lineRule="auto"/>
        <w:ind w:left="0" w:firstLine="480" w:firstLineChars="200"/>
        <w:contextualSpacing/>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18.1采购机构按照采购文件规定的时间通过电子交易平台组织响应文件开启，所有供应商均应当准时在线参加。供应商不足3家的，不得开启。</w:t>
      </w:r>
    </w:p>
    <w:p>
      <w:pPr>
        <w:pStyle w:val="556"/>
        <w:snapToGrid w:val="0"/>
        <w:spacing w:before="0" w:line="360" w:lineRule="auto"/>
        <w:ind w:left="0" w:firstLine="480" w:firstLineChars="200"/>
        <w:contextualSpacing/>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18.2响应文件开启时，电子交易平台按响应文件开启时间自动提取所有响应文件。采购机构依托电子交易平台发起开始解密指令，供应商按照平台提示和采购文件的规定在半小时内完成在线解密。</w:t>
      </w:r>
    </w:p>
    <w:p>
      <w:pPr>
        <w:pStyle w:val="556"/>
        <w:snapToGrid w:val="0"/>
        <w:spacing w:before="0" w:line="360" w:lineRule="auto"/>
        <w:ind w:left="0" w:firstLine="480" w:firstLineChars="200"/>
        <w:contextualSpacing/>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18.3</w:t>
      </w:r>
      <w:r>
        <w:rPr>
          <w:rFonts w:hint="eastAsia" w:ascii="仿宋" w:hAnsi="仿宋" w:eastAsia="仿宋" w:cs="仿宋"/>
          <w:b/>
          <w:bCs/>
          <w:color w:val="000000" w:themeColor="text1"/>
          <w:sz w:val="24"/>
          <w:highlight w:val="none"/>
          <w14:textFill>
            <w14:solidFill>
              <w14:schemeClr w14:val="tx1"/>
            </w14:solidFill>
          </w14:textFill>
        </w:rPr>
        <w:t>响应文件未按时解密，供应商提供了备份响应文件的，以备份响应文件作为依据，否则视为响应文件撤回。响应文件已按时解密的，备份响应文件自动失效。</w:t>
      </w:r>
    </w:p>
    <w:p>
      <w:pPr>
        <w:pStyle w:val="556"/>
        <w:spacing w:before="0" w:line="360" w:lineRule="auto"/>
        <w:ind w:left="0" w:firstLine="482" w:firstLineChars="200"/>
        <w:contextualSpacing/>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19、资格审查</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19.1响应文件开启后，</w:t>
      </w:r>
      <w:r>
        <w:rPr>
          <w:rFonts w:hint="eastAsia" w:ascii="仿宋" w:hAnsi="仿宋" w:eastAsia="仿宋" w:cs="仿宋"/>
          <w:color w:val="000000" w:themeColor="text1"/>
          <w:highlight w:val="none"/>
          <w14:textFill>
            <w14:solidFill>
              <w14:schemeClr w14:val="tx1"/>
            </w14:solidFill>
          </w14:textFill>
        </w:rPr>
        <w:t>采购人、采购机构或磋商小组</w:t>
      </w:r>
      <w:r>
        <w:rPr>
          <w:rFonts w:hint="eastAsia" w:ascii="仿宋" w:hAnsi="仿宋" w:eastAsia="仿宋" w:cs="仿宋"/>
          <w:color w:val="000000" w:themeColor="text1"/>
          <w:kern w:val="0"/>
          <w:szCs w:val="24"/>
          <w:highlight w:val="none"/>
          <w14:textFill>
            <w14:solidFill>
              <w14:schemeClr w14:val="tx1"/>
            </w14:solidFill>
          </w14:textFill>
        </w:rPr>
        <w:t>将依法对供应商的资格进行审查。</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19.2</w:t>
      </w:r>
      <w:r>
        <w:rPr>
          <w:rFonts w:hint="eastAsia" w:ascii="仿宋" w:hAnsi="仿宋" w:eastAsia="仿宋" w:cs="仿宋"/>
          <w:color w:val="000000" w:themeColor="text1"/>
          <w:sz w:val="24"/>
          <w:highlight w:val="none"/>
          <w14:textFill>
            <w14:solidFill>
              <w14:schemeClr w14:val="tx1"/>
            </w14:solidFill>
          </w14:textFill>
        </w:rPr>
        <w:t>采购人、采购机构或磋商小组依据法律法规和采购文件的规定，对供应商的资格进行审查。</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19.3供应商未按照采购文件要求提供与</w:t>
      </w:r>
      <w:r>
        <w:rPr>
          <w:rFonts w:hint="eastAsia" w:ascii="仿宋" w:hAnsi="仿宋" w:eastAsia="仿宋" w:cs="仿宋"/>
          <w:color w:val="000000" w:themeColor="text1"/>
          <w:highlight w:val="none"/>
          <w14:textFill>
            <w14:solidFill>
              <w14:schemeClr w14:val="tx1"/>
            </w14:solidFill>
          </w14:textFill>
        </w:rPr>
        <w:t>资格条件相应的</w:t>
      </w:r>
      <w:r>
        <w:rPr>
          <w:rFonts w:hint="eastAsia" w:ascii="仿宋" w:hAnsi="仿宋" w:eastAsia="仿宋" w:cs="仿宋"/>
          <w:color w:val="000000" w:themeColor="text1"/>
          <w:kern w:val="0"/>
          <w:szCs w:val="24"/>
          <w:highlight w:val="none"/>
          <w14:textFill>
            <w14:solidFill>
              <w14:schemeClr w14:val="tx1"/>
            </w14:solidFill>
          </w14:textFill>
        </w:rPr>
        <w:t>有效资格证明材料的，视为</w:t>
      </w:r>
      <w:r>
        <w:rPr>
          <w:rFonts w:hint="eastAsia" w:ascii="仿宋" w:hAnsi="仿宋" w:eastAsia="仿宋" w:cs="仿宋"/>
          <w:color w:val="000000" w:themeColor="text1"/>
          <w:highlight w:val="none"/>
          <w14:textFill>
            <w14:solidFill>
              <w14:schemeClr w14:val="tx1"/>
            </w14:solidFill>
          </w14:textFill>
        </w:rPr>
        <w:t>供应商不具备采购文件中规定的资格要求，其响应文件无效。</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4对未通过资格审查的供应商，采购人或采购机构告知其未通过的原因。</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5合格供应商不足3家的，不再评审。</w:t>
      </w:r>
    </w:p>
    <w:p>
      <w:pPr>
        <w:pStyle w:val="130"/>
        <w:spacing w:before="0"/>
        <w:ind w:firstLine="482"/>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20、信用信息查询</w:t>
      </w:r>
    </w:p>
    <w:p>
      <w:pPr>
        <w:pStyle w:val="130"/>
        <w:spacing w:before="0"/>
        <w:ind w:firstLine="495" w:firstLineChars="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20.1信用信息查询渠道及截止时间：采购机构将在资格审查时通过“信用中国”网站(www.creditchina.gov.cn)、中国政府采购网(www.ccgp.gov.cn)渠道查询供应商接受资格审查时的信用记录。</w:t>
      </w:r>
    </w:p>
    <w:p>
      <w:pPr>
        <w:pStyle w:val="130"/>
        <w:spacing w:before="0"/>
        <w:ind w:firstLine="495" w:firstLineChars="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pPr>
        <w:pStyle w:val="130"/>
        <w:spacing w:before="0"/>
        <w:ind w:firstLine="495" w:firstLineChars="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pPr>
        <w:pStyle w:val="13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themeColor="text1"/>
          <w:highlight w:val="none"/>
          <w14:textFill>
            <w14:solidFill>
              <w14:schemeClr w14:val="tx1"/>
            </w14:solidFill>
          </w14:textFill>
        </w:rPr>
        <w:t>。</w:t>
      </w:r>
    </w:p>
    <w:p>
      <w:pPr>
        <w:pStyle w:val="130"/>
        <w:spacing w:before="0"/>
        <w:ind w:firstLine="0" w:firstLineChars="0"/>
        <w:rPr>
          <w:rFonts w:ascii="仿宋" w:hAnsi="仿宋" w:eastAsia="仿宋" w:cs="仿宋"/>
          <w:color w:val="000000" w:themeColor="text1"/>
          <w:kern w:val="0"/>
          <w:szCs w:val="24"/>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五、评审</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bookmarkStart w:id="17" w:name="_Toc91899903"/>
      <w:r>
        <w:rPr>
          <w:rFonts w:hint="eastAsia" w:ascii="仿宋" w:hAnsi="仿宋" w:eastAsia="仿宋" w:cs="仿宋"/>
          <w:b/>
          <w:color w:val="000000" w:themeColor="text1"/>
          <w:sz w:val="24"/>
          <w:highlight w:val="none"/>
          <w14:textFill>
            <w14:solidFill>
              <w14:schemeClr w14:val="tx1"/>
            </w14:solidFill>
          </w14:textFill>
        </w:rPr>
        <w:t>21.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仿宋" w:hAnsi="仿宋" w:eastAsia="仿宋" w:cs="仿宋"/>
          <w:b/>
          <w:color w:val="000000" w:themeColor="text1"/>
          <w:sz w:val="24"/>
          <w:highlight w:val="none"/>
          <w14:textFill>
            <w14:solidFill>
              <w14:schemeClr w14:val="tx1"/>
            </w14:solidFill>
          </w14:textFill>
        </w:rPr>
        <w:t>详见采购文件第四部分评审办法。</w:t>
      </w:r>
    </w:p>
    <w:p>
      <w:pPr>
        <w:spacing w:line="360" w:lineRule="auto"/>
        <w:rPr>
          <w:rFonts w:ascii="仿宋" w:hAnsi="仿宋" w:eastAsia="仿宋" w:cs="仿宋"/>
          <w:b/>
          <w:color w:val="000000" w:themeColor="text1"/>
          <w:sz w:val="24"/>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六、成交供应商确定</w:t>
      </w:r>
    </w:p>
    <w:p>
      <w:pPr>
        <w:pStyle w:val="25"/>
        <w:spacing w:line="360" w:lineRule="auto"/>
        <w:ind w:left="479" w:leftChars="228" w:firstLine="0" w:firstLineChars="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22. 确定成交供应商</w:t>
      </w:r>
    </w:p>
    <w:p>
      <w:pPr>
        <w:pStyle w:val="130"/>
        <w:snapToGrid w:val="0"/>
        <w:spacing w:before="0"/>
        <w:ind w:firstLine="48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0"/>
        <w:snapToGrid w:val="0"/>
        <w:spacing w:before="0"/>
        <w:ind w:firstLine="482"/>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23. 成交通知与成交结果公告</w:t>
      </w:r>
    </w:p>
    <w:p>
      <w:pPr>
        <w:widowControl/>
        <w:shd w:val="clear" w:color="auto" w:fill="FFFFFF"/>
        <w:spacing w:line="360" w:lineRule="auto"/>
        <w:ind w:firstLine="48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23.1自成交供应商确定之日起1个工作日内，采购机构通过电子交易平台向成交供应商发出成交通知书，同时编制发布采购结果公告。采购机构也可以以纸质形式进行成交通知。</w:t>
      </w:r>
    </w:p>
    <w:p>
      <w:pPr>
        <w:widowControl/>
        <w:shd w:val="clear" w:color="auto" w:fill="FFFFFF"/>
        <w:spacing w:line="360" w:lineRule="auto"/>
        <w:ind w:firstLine="48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成交结果公告内容包括采购人及其委托的采购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23.3公告期限为1个工作日。</w:t>
      </w:r>
    </w:p>
    <w:p>
      <w:pPr>
        <w:snapToGrid w:val="0"/>
        <w:spacing w:line="360" w:lineRule="auto"/>
        <w:ind w:left="120" w:leftChars="57" w:firstLine="482" w:firstLineChars="150"/>
        <w:jc w:val="center"/>
        <w:rPr>
          <w:rFonts w:ascii="仿宋" w:hAnsi="仿宋" w:eastAsia="仿宋" w:cs="仿宋"/>
          <w:b/>
          <w:color w:val="000000" w:themeColor="text1"/>
          <w:sz w:val="32"/>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七、合同授予</w:t>
      </w:r>
    </w:p>
    <w:p>
      <w:pPr>
        <w:pStyle w:val="25"/>
        <w:snapToGrid w:val="0"/>
        <w:spacing w:line="360" w:lineRule="auto"/>
        <w:ind w:left="479" w:leftChars="228" w:firstLine="0" w:firstLineChars="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 xml:space="preserve">24. </w:t>
      </w:r>
      <w:r>
        <w:rPr>
          <w:rFonts w:hint="eastAsia" w:ascii="仿宋" w:hAnsi="仿宋" w:eastAsia="仿宋" w:cs="仿宋"/>
          <w:color w:val="000000" w:themeColor="text1"/>
          <w:highlight w:val="none"/>
          <w14:textFill>
            <w14:solidFill>
              <w14:schemeClr w14:val="tx1"/>
            </w14:solidFill>
          </w14:textFill>
        </w:rPr>
        <w:t>合同主要条款详见第五部分拟签订的合同文本。</w:t>
      </w:r>
    </w:p>
    <w:p>
      <w:pPr>
        <w:pStyle w:val="25"/>
        <w:snapToGrid w:val="0"/>
        <w:spacing w:line="360" w:lineRule="auto"/>
        <w:ind w:left="479" w:leftChars="228" w:firstLine="0" w:firstLineChars="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25. 合同的签订</w:t>
      </w:r>
    </w:p>
    <w:p>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25.1</w:t>
      </w:r>
      <w:r>
        <w:rPr>
          <w:rFonts w:hint="eastAsia" w:ascii="仿宋" w:hAnsi="仿宋" w:eastAsia="仿宋" w:cs="仿宋"/>
          <w:color w:val="000000" w:themeColor="text1"/>
          <w:kern w:val="0"/>
          <w:sz w:val="24"/>
          <w:highlight w:val="none"/>
          <w14:textFill>
            <w14:solidFill>
              <w14:schemeClr w14:val="tx1"/>
            </w14:solidFill>
          </w14:textFill>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pPr>
        <w:pStyle w:val="130"/>
        <w:snapToGrid w:val="0"/>
        <w:spacing w:before="0"/>
        <w:ind w:firstLine="480"/>
        <w:rPr>
          <w:rFonts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25.2成交供应商按规定的日期、时间、地点，由法定代表人或其授权代表与采购人代表签订合同。如成交供应商为联合体的，由联合体成员各方法定代表人或其授权代表与采购人代表签订合同。</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25.4成交供应商拒绝与采购人签订合同的，采购人可以按照评审报告推荐的成交候选人名单排序，确定下一候选人为成交供应商，也可以重新开展政府采购活动。</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25.5采购合同由采购人与成交供应商根据采购文件、响应文件等内容通过政府采购电子交易平台在线签订，自动备案。</w:t>
      </w:r>
    </w:p>
    <w:p>
      <w:pPr>
        <w:pStyle w:val="25"/>
        <w:snapToGrid w:val="0"/>
        <w:spacing w:line="360" w:lineRule="auto"/>
        <w:ind w:left="479" w:leftChars="228" w:firstLine="0" w:firstLineChars="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26. 履约保证金</w:t>
      </w:r>
    </w:p>
    <w:p>
      <w:pPr>
        <w:tabs>
          <w:tab w:val="left" w:pos="0"/>
        </w:tabs>
        <w:snapToGrid w:val="0"/>
        <w:spacing w:line="360" w:lineRule="auto"/>
        <w:ind w:firstLine="482"/>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拟签订的合同文本要求成交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pStyle w:val="5"/>
        <w:snapToGrid w:val="0"/>
        <w:ind w:left="0" w:firstLine="480" w:firstLineChars="200"/>
        <w:rPr>
          <w:rFonts w:ascii="仿宋" w:eastAsia="仿宋" w:cs="仿宋"/>
          <w:color w:val="000000" w:themeColor="text1"/>
          <w:highlight w:val="none"/>
          <w:lang w:val="en-US"/>
          <w14:textFill>
            <w14:solidFill>
              <w14:schemeClr w14:val="tx1"/>
            </w14:solidFill>
          </w14:textFill>
        </w:rPr>
      </w:pPr>
      <w:r>
        <w:rPr>
          <w:rFonts w:hint="eastAsia" w:ascii="仿宋" w:eastAsia="仿宋" w:cs="仿宋"/>
          <w:b w:val="0"/>
          <w:bCs w:val="0"/>
          <w:snapToGrid w:val="0"/>
          <w:color w:val="000000" w:themeColor="text1"/>
          <w:kern w:val="28"/>
          <w:sz w:val="24"/>
          <w:highlight w:val="none"/>
          <w14:textFill>
            <w14:solidFill>
              <w14:schemeClr w14:val="tx1"/>
            </w14:solidFill>
          </w14:textFill>
        </w:rPr>
        <w:t>供应商</w:t>
      </w:r>
      <w:r>
        <w:rPr>
          <w:rFonts w:hint="eastAsia" w:ascii="仿宋" w:eastAsia="仿宋" w:cs="仿宋"/>
          <w:b w:val="0"/>
          <w:bCs w:val="0"/>
          <w:snapToGrid w:val="0"/>
          <w:color w:val="000000" w:themeColor="text1"/>
          <w:kern w:val="28"/>
          <w:sz w:val="24"/>
          <w:highlight w:val="none"/>
          <w:lang w:val="en-US"/>
          <w14:textFill>
            <w14:solidFill>
              <w14:schemeClr w14:val="tx1"/>
            </w14:solidFill>
          </w14:textFill>
        </w:rPr>
        <w:t>可</w:t>
      </w:r>
      <w:r>
        <w:rPr>
          <w:rFonts w:hint="eastAsia" w:ascii="仿宋" w:eastAsia="仿宋" w:cs="仿宋"/>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 w:hAnsi="仿宋" w:eastAsia="仿宋" w:cs="仿宋"/>
          <w:b/>
          <w:color w:val="000000" w:themeColor="text1"/>
          <w:sz w:val="32"/>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八、电子交易活动的中止</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b/>
          <w:color w:val="000000" w:themeColor="text1"/>
          <w:szCs w:val="24"/>
          <w:highlight w:val="none"/>
          <w14:textFill>
            <w14:solidFill>
              <w14:schemeClr w14:val="tx1"/>
            </w14:solidFill>
          </w14:textFill>
        </w:rPr>
        <w:t>7. 电子交易活动的中止。</w:t>
      </w:r>
      <w:r>
        <w:rPr>
          <w:rFonts w:hint="eastAsia" w:ascii="仿宋" w:hAnsi="仿宋" w:eastAsia="仿宋" w:cs="仿宋"/>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27.1电子交易平台发生故障而无法登录访问的； </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27.2电子交易平台应用或数据库出现错误，不能进行正常操作的；</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27.3电子交易平台发现严重安全漏洞，有潜在泄密危险的；</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27.4病毒发作导致不能进行正常操作的； </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27.5其他无法保证电子交易的公平、公正和安全的情况。</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color w:val="000000" w:themeColor="text1"/>
          <w:sz w:val="24"/>
          <w:highlight w:val="none"/>
          <w14:textFill>
            <w14:solidFill>
              <w14:schemeClr w14:val="tx1"/>
            </w14:solidFill>
          </w14:textFill>
        </w:rPr>
      </w:pPr>
    </w:p>
    <w:p>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九、验收</w:t>
      </w:r>
    </w:p>
    <w:p>
      <w:pPr>
        <w:pStyle w:val="25"/>
        <w:spacing w:line="360" w:lineRule="auto"/>
        <w:ind w:firstLine="482"/>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29.验收</w:t>
      </w:r>
    </w:p>
    <w:p>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29.2采购人可以邀请参加本项目的其他供应商或者第三方机构参与验收。参与验收的供应商或者第三方机构的意见作为验收书的参考资料一并存档。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7"/>
    <w:p>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bookmarkStart w:id="18" w:name="_Hlt74707468"/>
      <w:bookmarkEnd w:id="18"/>
      <w:bookmarkStart w:id="19" w:name="_Hlt68073093"/>
      <w:bookmarkEnd w:id="19"/>
      <w:bookmarkStart w:id="20" w:name="_Hlt75236101"/>
      <w:bookmarkEnd w:id="20"/>
      <w:bookmarkStart w:id="21" w:name="_Hlt75236011"/>
      <w:bookmarkEnd w:id="21"/>
      <w:bookmarkStart w:id="22" w:name="_Hlt74729768"/>
      <w:bookmarkEnd w:id="22"/>
      <w:bookmarkStart w:id="23" w:name="_Hlt68072998"/>
      <w:bookmarkEnd w:id="23"/>
      <w:bookmarkStart w:id="24" w:name="_Hlt74714665"/>
      <w:bookmarkEnd w:id="24"/>
      <w:bookmarkStart w:id="25" w:name="_Hlt68403820"/>
      <w:bookmarkEnd w:id="25"/>
      <w:bookmarkStart w:id="26" w:name="_Hlt68072990"/>
      <w:bookmarkEnd w:id="26"/>
      <w:bookmarkStart w:id="27" w:name="_Hlt74730295"/>
      <w:bookmarkEnd w:id="27"/>
      <w:bookmarkStart w:id="28" w:name="_Hlt75236290"/>
      <w:bookmarkEnd w:id="28"/>
      <w:bookmarkStart w:id="29" w:name="_Hlt68057669"/>
      <w:bookmarkEnd w:id="29"/>
    </w:p>
    <w:bookmarkEnd w:id="13"/>
    <w:bookmarkEnd w:id="14"/>
    <w:p>
      <w:pPr>
        <w:pStyle w:val="33"/>
        <w:numPr>
          <w:ilvl w:val="0"/>
          <w:numId w:val="1"/>
        </w:numPr>
        <w:spacing w:line="360" w:lineRule="auto"/>
        <w:jc w:val="center"/>
        <w:rPr>
          <w:rFonts w:ascii="仿宋" w:hAnsi="仿宋" w:eastAsia="仿宋" w:cs="仿宋"/>
          <w:b/>
          <w:snapToGrid/>
          <w:color w:val="000000" w:themeColor="text1"/>
          <w:sz w:val="36"/>
          <w:szCs w:val="20"/>
          <w:highlight w:val="none"/>
          <w14:textFill>
            <w14:solidFill>
              <w14:schemeClr w14:val="tx1"/>
            </w14:solidFill>
          </w14:textFill>
        </w:rPr>
      </w:pPr>
      <w:bookmarkStart w:id="30" w:name="第四部分"/>
      <w:r>
        <w:rPr>
          <w:rFonts w:hint="eastAsia" w:ascii="仿宋" w:hAnsi="仿宋" w:eastAsia="仿宋" w:cs="仿宋"/>
          <w:b/>
          <w:snapToGrid/>
          <w:color w:val="000000" w:themeColor="text1"/>
          <w:sz w:val="36"/>
          <w:szCs w:val="20"/>
          <w:highlight w:val="none"/>
          <w14:textFill>
            <w14:solidFill>
              <w14:schemeClr w14:val="tx1"/>
            </w14:solidFill>
          </w14:textFill>
        </w:rPr>
        <w:t>采购需求</w:t>
      </w:r>
    </w:p>
    <w:p>
      <w:pPr>
        <w:pStyle w:val="130"/>
        <w:snapToGrid w:val="0"/>
        <w:spacing w:before="0"/>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 xml:space="preserve"> 一、建设内容</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工程测量实训室扩建项目主要配备三维激光扫描建模设备、高精度测量仪器、专业识图绘图软件、工作平台等。此次扩建，配备的测绘三维激光扫描仪、高精度测量水准仪，无人机等，用于古桥保护项目的基础测量数据获取与处理，完成古桥或桥梁三维激光扫描、建模、古桥地区图形采集，水准测量等，同时用于高职院校技能大赛高职组《工程测量》需要完成的比赛项目及相关教学演示、学生科研项目。实训室扩建项目的三维激光扫描仪、高精度水准仪、无人机等测量设备，可满足一个班级教师教学演示及学生操作训练，以及师生科研能力培养锻炼。</w:t>
      </w:r>
    </w:p>
    <w:p>
      <w:pPr>
        <w:pStyle w:val="130"/>
        <w:snapToGrid w:val="0"/>
        <w:spacing w:before="0"/>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二、采购清单</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56"/>
        <w:gridCol w:w="1005"/>
        <w:gridCol w:w="7198"/>
        <w:gridCol w:w="456"/>
        <w:gridCol w:w="4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0" w:type="auto"/>
            <w:noWrap w:val="0"/>
            <w:vAlign w:val="center"/>
          </w:tcPr>
          <w:p>
            <w:pPr>
              <w:pStyle w:val="25"/>
              <w:ind w:left="0" w:lef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1678"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仪器</w:t>
            </w:r>
          </w:p>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名称</w:t>
            </w:r>
          </w:p>
        </w:tc>
        <w:tc>
          <w:tcPr>
            <w:tcW w:w="11368"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设备参数</w:t>
            </w:r>
          </w:p>
        </w:tc>
        <w:tc>
          <w:tcPr>
            <w:tcW w:w="456" w:type="dxa"/>
            <w:noWrap w:val="0"/>
            <w:vAlign w:val="center"/>
          </w:tcPr>
          <w:p>
            <w:pPr>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单位</w:t>
            </w:r>
          </w:p>
        </w:tc>
        <w:tc>
          <w:tcPr>
            <w:tcW w:w="336" w:type="dxa"/>
            <w:noWrap w:val="0"/>
            <w:vAlign w:val="center"/>
          </w:tcPr>
          <w:p>
            <w:pPr>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0"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1678" w:type="dxa"/>
            <w:noWrap w:val="0"/>
            <w:vAlign w:val="center"/>
          </w:tcPr>
          <w:p>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三维激光扫描仪 （包含脚架、后处理软件）</w:t>
            </w:r>
          </w:p>
        </w:tc>
        <w:tc>
          <w:tcPr>
            <w:tcW w:w="11368" w:type="dxa"/>
            <w:noWrap w:val="0"/>
            <w:vAlign w:val="top"/>
          </w:tcPr>
          <w:tbl>
            <w:tblPr>
              <w:tblStyle w:val="62"/>
              <w:tblW w:w="5000" w:type="pct"/>
              <w:tblInd w:w="0" w:type="dxa"/>
              <w:tblLayout w:type="autofit"/>
              <w:tblCellMar>
                <w:top w:w="0" w:type="dxa"/>
                <w:left w:w="108" w:type="dxa"/>
                <w:bottom w:w="0" w:type="dxa"/>
                <w:right w:w="108" w:type="dxa"/>
              </w:tblCellMar>
            </w:tblPr>
            <w:tblGrid>
              <w:gridCol w:w="1894"/>
              <w:gridCol w:w="5088"/>
            </w:tblGrid>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激光类型</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脉冲式</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最大测距（m）</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80%反射率，≥300</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最小测距（m）</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80%反射率，2</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扫描光学系统</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竖直面旋转镜面，水平面旋转基座</w:t>
                  </w:r>
                </w:p>
              </w:tc>
            </w:tr>
            <w:tr>
              <w:tblPrEx>
                <w:tblCellMar>
                  <w:top w:w="0" w:type="dxa"/>
                  <w:left w:w="108" w:type="dxa"/>
                  <w:bottom w:w="0" w:type="dxa"/>
                  <w:right w:w="108" w:type="dxa"/>
                </w:tblCellMar>
              </w:tblPrEx>
              <w:trPr>
                <w:trHeight w:val="10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角度分表率</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1.35′</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扫描速率（p/s）</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≥60,000</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激光等级</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ClassI</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激光波长(nm)</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905</w:t>
                  </w:r>
                </w:p>
              </w:tc>
            </w:tr>
            <w:tr>
              <w:tblPrEx>
                <w:tblCellMar>
                  <w:top w:w="0" w:type="dxa"/>
                  <w:left w:w="108" w:type="dxa"/>
                  <w:bottom w:w="0" w:type="dxa"/>
                  <w:right w:w="108" w:type="dxa"/>
                </w:tblCellMar>
              </w:tblPrEx>
              <w:trPr>
                <w:trHeight w:val="90" w:hRule="atLeast"/>
              </w:trPr>
              <w:tc>
                <w:tcPr>
                  <w:tcW w:w="1356"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回波模式</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单次回波</w:t>
                  </w:r>
                </w:p>
              </w:tc>
            </w:tr>
            <w:tr>
              <w:tblPrEx>
                <w:tblCellMar>
                  <w:top w:w="0" w:type="dxa"/>
                  <w:left w:w="108" w:type="dxa"/>
                  <w:bottom w:w="0" w:type="dxa"/>
                  <w:right w:w="108" w:type="dxa"/>
                </w:tblCellMar>
              </w:tblPrEx>
              <w:trPr>
                <w:trHeight w:val="90" w:hRule="atLeast"/>
              </w:trPr>
              <w:tc>
                <w:tcPr>
                  <w:tcW w:w="1356"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激光发散度(mRad)</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0.37</w:t>
                  </w:r>
                </w:p>
              </w:tc>
            </w:tr>
            <w:tr>
              <w:tblPrEx>
                <w:tblCellMar>
                  <w:top w:w="0" w:type="dxa"/>
                  <w:left w:w="108" w:type="dxa"/>
                  <w:bottom w:w="0" w:type="dxa"/>
                  <w:right w:w="108" w:type="dxa"/>
                </w:tblCellMar>
              </w:tblPrEx>
              <w:trPr>
                <w:trHeight w:val="90" w:hRule="atLeast"/>
              </w:trPr>
              <w:tc>
                <w:tcPr>
                  <w:tcW w:w="1356"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扫描视场(°)</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水平360，垂直180； 可加载垂直旋转云台(垂直360)</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水平测角分辨率(°)</w:t>
                  </w:r>
                </w:p>
              </w:tc>
              <w:tc>
                <w:tcPr>
                  <w:tcW w:w="3643" w:type="pct"/>
                  <w:shd w:val="clear" w:color="000000" w:fill="FFFFFF"/>
                  <w:noWrap/>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0.0225 º</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垂直测角分辨率(°)</w:t>
                  </w:r>
                </w:p>
              </w:tc>
              <w:tc>
                <w:tcPr>
                  <w:tcW w:w="3643" w:type="pct"/>
                  <w:shd w:val="clear" w:color="000000" w:fill="FFFFFF"/>
                  <w:noWrap/>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0.0225 º</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测距精度（mm）</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＜5mm @ 50m；＜30mm 300m</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系统重量（㎏）</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≤6.5kg（不含电池）</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工作温度（℃）</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从-10℃到50℃</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存储温度（℃）</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从-25℃到80℃</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供电方式（V DC）</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内置电池</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平均功耗（W）</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12V,40W</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摄像机分辨(pixel)</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内置专业数码相机，像素≥1070万像素</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单个电池工作时间(H小时)</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5h</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电池数量</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2块</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数据存储(GB)</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32GB（可扩充至64G）</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数据传输方式</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WIFI、USB接口、支持无线传输</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防水等级</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IP65</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操作模式</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Wi-Fi无线连接、通过智能手机或平板电脑界面实现远程操控</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补偿器</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改为范围±10°，精度20秒的倾斜补偿器</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数据后处理软件</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软件著作权 （便于后期定制开发和维护）</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认证及相关测试</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CE认证</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播报系统</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人声语音播报</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触摸屏操作</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LED触屏控制系统</w:t>
                  </w:r>
                </w:p>
              </w:tc>
            </w:tr>
            <w:tr>
              <w:tblPrEx>
                <w:tblCellMar>
                  <w:top w:w="0" w:type="dxa"/>
                  <w:left w:w="108" w:type="dxa"/>
                  <w:bottom w:w="0" w:type="dxa"/>
                  <w:right w:w="108" w:type="dxa"/>
                </w:tblCellMar>
              </w:tblPrEx>
              <w:trPr>
                <w:trHeight w:val="519"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相机辅助定向功能</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点击LCD屏幕上相机视频窗口的任意位置，仪器自动旋转并对准该位置。当仪器对准目标后，可以输入站点GPS坐标和观察点GPS坐标，然后仪器自动计算方向。</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单站测量速度</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平均3分钟</w:t>
                  </w:r>
                </w:p>
              </w:tc>
            </w:tr>
            <w:tr>
              <w:tblPrEx>
                <w:tblCellMar>
                  <w:top w:w="0" w:type="dxa"/>
                  <w:left w:w="108" w:type="dxa"/>
                  <w:bottom w:w="0" w:type="dxa"/>
                  <w:right w:w="108" w:type="dxa"/>
                </w:tblCellMar>
              </w:tblPrEx>
              <w:trPr>
                <w:trHeight w:val="90"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与GNSS接收机联合作业</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自带快速释放器，扫描仪不通过旋转螺 纹装卸GNSS，使用更加方便；</w:t>
                  </w:r>
                </w:p>
              </w:tc>
            </w:tr>
            <w:tr>
              <w:tblPrEx>
                <w:tblCellMar>
                  <w:top w:w="0" w:type="dxa"/>
                  <w:left w:w="108" w:type="dxa"/>
                  <w:bottom w:w="0" w:type="dxa"/>
                  <w:right w:w="108" w:type="dxa"/>
                </w:tblCellMar>
              </w:tblPrEx>
              <w:trPr>
                <w:trHeight w:val="439" w:hRule="atLeast"/>
              </w:trPr>
              <w:tc>
                <w:tcPr>
                  <w:tcW w:w="1356" w:type="pct"/>
                  <w:shd w:val="clear" w:color="auto" w:fill="auto"/>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3D全景展示</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可量测的3D全景汇报展示系统</w:t>
                  </w:r>
                </w:p>
              </w:tc>
            </w:tr>
            <w:tr>
              <w:tblPrEx>
                <w:tblCellMar>
                  <w:top w:w="0" w:type="dxa"/>
                  <w:left w:w="108" w:type="dxa"/>
                  <w:bottom w:w="0" w:type="dxa"/>
                  <w:right w:w="108" w:type="dxa"/>
                </w:tblCellMar>
              </w:tblPrEx>
              <w:trPr>
                <w:trHeight w:val="439" w:hRule="atLeast"/>
              </w:trPr>
              <w:tc>
                <w:tcPr>
                  <w:tcW w:w="1356" w:type="pct"/>
                  <w:shd w:val="clear" w:color="auto" w:fill="auto"/>
                  <w:noWrap w:val="0"/>
                  <w:vAlign w:val="center"/>
                </w:tcPr>
                <w:p>
                  <w:pPr>
                    <w:ind w:left="-71" w:leftChars="-34"/>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数据处理软件功能  </w:t>
                  </w:r>
                </w:p>
              </w:tc>
              <w:tc>
                <w:tcPr>
                  <w:tcW w:w="3643" w:type="pct"/>
                  <w:shd w:val="clear" w:color="000000" w:fill="FFFFFF"/>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1）支持txt、dat、tov等格式导入.</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2）可对点云进行粗差点剔除、均匀化抽稀、点云分割、水平面纠正等预处理；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3）可删除指定高度点云、删除距离扫描中心指定点云等功能；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4）可通过点云制作全息影像；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5）支持选点拼接、三面拼接、GPS+一个面拼接、GPS+二个面拼接、二维影像拼接、标靶球拼接等拼接方式，并支持选点GPS定向；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6）支持点云两点、多点量测、面积量测、高度量测和坡度量测；</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7）支持点云平面约束分类、TIN渐进加密分类和绝对高程分类法；</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8）支持点云体积计算、平整面计算；</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9）支持测图功能，点云立面线提取、杆状地物提取、单个面片拟合线、多个面片拟合线等功能，能结合CAD在线联机测图；</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10）支持DEM计算、等高线计算和水平剖分点云等功能；</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11）软件支持批处理，可导出txt、las、dat等格式。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 xml:space="preserve">12）支持自动化立面线提取，可导出2D、3D矢量图（DXF格式）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13）专业用于三维激光扫描数据后处理</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14）支持内置相机照片自动贴附点云，点云带有RGB属性；</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15）可自定义虚拟测站，任意选取另存点云；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16）可进行点拼接（粗拼），根据空间假定模型的重合度自动精拼；</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17）支持基于点云生成漫游视频。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18）支持自动化断面线制作。</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19）支持点云自动化拼接               </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20）自定义虚拟扫描</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21）支持横截面制作与编辑</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22）支持三维量测（面积、体积、距离）以及智能化标注</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23）支持地理配准和自由选取测量参照点</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24）支持点云平差、姿态互换</w:t>
                  </w:r>
                  <w:r>
                    <w:rPr>
                      <w:rFonts w:hint="eastAsia" w:ascii="仿宋" w:hAnsi="仿宋" w:eastAsia="仿宋" w:cs="仿宋"/>
                      <w:color w:val="000000" w:themeColor="text1"/>
                      <w:sz w:val="24"/>
                      <w:szCs w:val="24"/>
                      <w:highlight w:val="none"/>
                      <w14:textFill>
                        <w14:solidFill>
                          <w14:schemeClr w14:val="tx1"/>
                        </w14:solidFill>
                      </w14:textFill>
                    </w:rPr>
                    <w:br w:type="textWrapping"/>
                  </w:r>
                  <w:r>
                    <w:rPr>
                      <w:rFonts w:hint="eastAsia" w:ascii="仿宋" w:hAnsi="仿宋" w:eastAsia="仿宋" w:cs="仿宋"/>
                      <w:color w:val="000000" w:themeColor="text1"/>
                      <w:sz w:val="24"/>
                      <w:szCs w:val="24"/>
                      <w:highlight w:val="none"/>
                      <w14:textFill>
                        <w14:solidFill>
                          <w14:schemeClr w14:val="tx1"/>
                        </w14:solidFill>
                      </w14:textFill>
                    </w:rPr>
                    <w:t>25）支持点云多样化显示</w:t>
                  </w:r>
                </w:p>
              </w:tc>
            </w:tr>
          </w:tbl>
          <w:p>
            <w:pPr>
              <w:rPr>
                <w:rFonts w:hint="eastAsia" w:ascii="仿宋" w:hAnsi="仿宋" w:eastAsia="仿宋" w:cs="仿宋"/>
                <w:color w:val="000000" w:themeColor="text1"/>
                <w:sz w:val="24"/>
                <w:szCs w:val="24"/>
                <w:highlight w:val="none"/>
                <w14:textFill>
                  <w14:solidFill>
                    <w14:schemeClr w14:val="tx1"/>
                  </w14:solidFill>
                </w14:textFill>
              </w:rPr>
            </w:pP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167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高精度电子水准仪（含3米铟钢尺、尺撑）</w:t>
            </w:r>
          </w:p>
        </w:tc>
        <w:tc>
          <w:tcPr>
            <w:tcW w:w="11368" w:type="dxa"/>
            <w:noWrap w:val="0"/>
            <w:vAlign w:val="top"/>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高程测量每公里往返标准偏差（ISO17123-2）：铟瓦标尺 0.7mm 光学测量 2.0mm</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★距离测量：距离测量精度 D≤10m:10mm;D&gt;10m:D*0.001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★测距范围：电子 1.8m~105m</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★最小显示：高度 0.1mm/0.01mm 可选</w:t>
            </w:r>
          </w:p>
          <w:p>
            <w:pPr>
              <w:ind w:firstLine="1200" w:firstLineChars="5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距离 0.01m/1m 测量时间 一般条件下小于3秒</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数据存储：内存 16MBit，20000点，256个文件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点号：递增/递减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接口： USB 外部存储 SD 卡</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望远镜：放大倍率 32× 分辨率 3″视场角 1o20″ 乘常数100 加常数0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水准器灵敏度：圆水准器 8′/2mm</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补偿器：类型 磁阻尼摆式补偿器 补偿范围 ≥12′ 补偿误差 0.30″/1′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显示：3．0＂ TFT LCD 带照明160×64点阵液屏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自动断电：5分钟/OFF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水平度盘：刻度值 1°/1gon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外形尺寸：L×B×H 230mm×150mm×210mm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重量：含电池 2.5kg（含电池）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工作温度：-20℃~50℃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防尘防水：IP54</w:t>
            </w: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套</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167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无人机</w:t>
            </w:r>
          </w:p>
        </w:tc>
        <w:tc>
          <w:tcPr>
            <w:tcW w:w="1136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飞行器</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重量（含桨和电池）： 1391 g</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最大起飞海拔高度：6000 m</w:t>
            </w:r>
          </w:p>
          <w:p>
            <w:pPr>
              <w:snapToGrid w:val="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★飞行时间：约 30 分钟</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工作环境温度：0℃至 40℃</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悬停精度：启用 RTK 且 RTK 正常工作时：垂直：±0.1 m；水平：±0.1 m</w:t>
            </w:r>
          </w:p>
          <w:p>
            <w:pPr>
              <w:ind w:firstLine="1440" w:firstLineChars="6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未启用 RTK：垂直：±0.1 m（视觉定位正常工作时）；±0.5 m（GNSS 定位正常工作时）</w:t>
            </w:r>
          </w:p>
          <w:p>
            <w:pPr>
              <w:ind w:firstLine="1440" w:firstLineChars="6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水平：±0.3 m（视觉定位正常工作时）；±1.5 m（GNSS 定位正常工作时）</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图像位置补偿：相机中心相对于机载D-RTK天线相位中心的位置，体轴系下：（36, 0, 192）mm，照片EXIF坐标已补偿。体轴系的XYZ轴正向分别指向飞行器前、右、下方</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GNSS</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单频高灵敏度 GNSS：GPS+BeiDou+Galileo（亚洲地区）；GPS+GLONASS+Galileo（其他地区）</w:t>
            </w:r>
          </w:p>
          <w:p>
            <w:pPr>
              <w:ind w:left="4560" w:hanging="4560" w:hangingChars="19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多频多系统高精度 RTK GNSS：使用频点：GPS：L1/L2；GLONASS：L1/L2；BeiDou：B1/B2；Galileo：E1/E5首次定位时间：&lt; 50 s</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★定位精度：垂直 1.5 cm + 1 ppm（RMS）；水平 1 cm + 1 ppm（RMS）1 ppm 是指飞行器每移动 1 km 误差增加 1 mm</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相机</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★影像传感器：1 英寸 CMOS；有效像素 2000 万（总像素 2048 万）</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★镜头：FOV 84°；8.8 mm / 24 mm（35 mm 格式等效）；</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光圈 f/2.8 - f/11；带自动对焦（对焦距离 1 m -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ISO 范围：视频：100 - 3200（自动）100 - 6400（手动）；照片：100 - 3200（自动）100 - 12800（手动）</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快门速度：电子快门 8 - 1/8000 s机械快门 8 - 1/2000 s</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照片最大分辨率：4864×3648（4:3）；5472×3648（3:2）</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支持存储卡类型：写入速度≥15 MB/s，传输速度为 Class 10 及以上或达到 UHS-1 评级的 microSD 卡，最大支持 128 GB 容量</w:t>
            </w: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套</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p>
        </w:tc>
        <w:tc>
          <w:tcPr>
            <w:tcW w:w="167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三维建模软件</w:t>
            </w:r>
          </w:p>
        </w:tc>
        <w:tc>
          <w:tcPr>
            <w:tcW w:w="11368" w:type="dxa"/>
            <w:noWrap w:val="0"/>
            <w:vAlign w:val="center"/>
          </w:tcPr>
          <w:tbl>
            <w:tblPr>
              <w:tblStyle w:val="62"/>
              <w:tblW w:w="4998" w:type="pct"/>
              <w:jc w:val="center"/>
              <w:tblLayout w:type="autofit"/>
              <w:tblCellMar>
                <w:top w:w="0" w:type="dxa"/>
                <w:left w:w="108" w:type="dxa"/>
                <w:bottom w:w="0" w:type="dxa"/>
                <w:right w:w="108" w:type="dxa"/>
              </w:tblCellMar>
            </w:tblPr>
            <w:tblGrid>
              <w:gridCol w:w="1828"/>
              <w:gridCol w:w="5151"/>
            </w:tblGrid>
            <w:tr>
              <w:tblPrEx>
                <w:tblCellMar>
                  <w:top w:w="0" w:type="dxa"/>
                  <w:left w:w="108" w:type="dxa"/>
                  <w:bottom w:w="0" w:type="dxa"/>
                  <w:right w:w="108" w:type="dxa"/>
                </w:tblCellMar>
              </w:tblPrEx>
              <w:trPr>
                <w:trHeight w:val="447"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三维重建自动分块</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当用以重建的照片数量大于当前电脑配置（内存）可支持的照片数量时，算法自动进入分块处理，以满足重建需求</w:t>
                  </w:r>
                </w:p>
              </w:tc>
            </w:tr>
            <w:tr>
              <w:tblPrEx>
                <w:tblCellMar>
                  <w:top w:w="0" w:type="dxa"/>
                  <w:left w:w="108" w:type="dxa"/>
                  <w:bottom w:w="0" w:type="dxa"/>
                  <w:right w:w="108" w:type="dxa"/>
                </w:tblCellMar>
              </w:tblPrEx>
              <w:trPr>
                <w:trHeight w:val="37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全自动二维/三维重建</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对于飞行器拍摄的照片，全自动完成二维/三维重建,所有参数均内置，无需用户设定</w:t>
                  </w:r>
                </w:p>
              </w:tc>
            </w:tr>
            <w:tr>
              <w:tblPrEx>
                <w:tblCellMar>
                  <w:top w:w="0" w:type="dxa"/>
                  <w:left w:w="108" w:type="dxa"/>
                  <w:bottom w:w="0" w:type="dxa"/>
                  <w:right w:w="108" w:type="dxa"/>
                </w:tblCellMar>
              </w:tblPrEx>
              <w:trPr>
                <w:trHeight w:val="447"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建模效率高</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能够进行快速的三维建模，普通1080Ti配置的PC处理100张照片的高精度三维重建耗时不超过1小时</w:t>
                  </w:r>
                </w:p>
              </w:tc>
            </w:tr>
            <w:tr>
              <w:tblPrEx>
                <w:tblCellMar>
                  <w:top w:w="0" w:type="dxa"/>
                  <w:left w:w="108" w:type="dxa"/>
                  <w:bottom w:w="0" w:type="dxa"/>
                  <w:right w:w="108" w:type="dxa"/>
                </w:tblCellMar>
              </w:tblPrEx>
              <w:trPr>
                <w:trHeight w:val="300"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内存占用小</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能够支持普通PC的快速建模，如16G电脑至少支持1500张影像的三维建模</w:t>
                  </w:r>
                </w:p>
              </w:tc>
            </w:tr>
            <w:tr>
              <w:tblPrEx>
                <w:tblCellMar>
                  <w:top w:w="0" w:type="dxa"/>
                  <w:left w:w="108" w:type="dxa"/>
                  <w:bottom w:w="0" w:type="dxa"/>
                  <w:right w:w="108" w:type="dxa"/>
                </w:tblCellMar>
              </w:tblPrEx>
              <w:trPr>
                <w:trHeight w:val="19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排队重建</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支持同时开启多个任务，多任务排队重建</w:t>
                  </w:r>
                </w:p>
              </w:tc>
            </w:tr>
            <w:tr>
              <w:tblPrEx>
                <w:tblCellMar>
                  <w:top w:w="0" w:type="dxa"/>
                  <w:left w:w="108" w:type="dxa"/>
                  <w:bottom w:w="0" w:type="dxa"/>
                  <w:right w:w="108" w:type="dxa"/>
                </w:tblCellMar>
              </w:tblPrEx>
              <w:trPr>
                <w:trHeight w:val="37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二维正射图多任务叠加显示</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可将生成的多个二维模型进行叠加显示，加载效率为秒级</w:t>
                  </w:r>
                </w:p>
              </w:tc>
            </w:tr>
            <w:tr>
              <w:tblPrEx>
                <w:tblCellMar>
                  <w:top w:w="0" w:type="dxa"/>
                  <w:left w:w="108" w:type="dxa"/>
                  <w:bottom w:w="0" w:type="dxa"/>
                  <w:right w:w="108" w:type="dxa"/>
                </w:tblCellMar>
              </w:tblPrEx>
              <w:trPr>
                <w:trHeight w:val="64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照片定位</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1. 可查看该模型的对应的所有拍照点  2. 点击模型上任意一处，该处对应的拍照点会高亮显示，同时每个拍照点的原图会展示，选中任意一张原图，该图对应的拍照点会再高亮显示</w:t>
                  </w:r>
                </w:p>
              </w:tc>
            </w:tr>
            <w:tr>
              <w:tblPrEx>
                <w:tblCellMar>
                  <w:top w:w="0" w:type="dxa"/>
                  <w:left w:w="108" w:type="dxa"/>
                  <w:bottom w:w="0" w:type="dxa"/>
                  <w:right w:w="108" w:type="dxa"/>
                </w:tblCellMar>
              </w:tblPrEx>
              <w:trPr>
                <w:trHeight w:val="238"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bidi="ar"/>
                      <w14:textFill>
                        <w14:solidFill>
                          <w14:schemeClr w14:val="tx1"/>
                        </w14:solidFill>
                      </w14:textFill>
                    </w:rPr>
                    <w:t>精度质量报告</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可根据像控点刺点结果，生成详细的质量报告</w:t>
                  </w:r>
                </w:p>
              </w:tc>
            </w:tr>
            <w:tr>
              <w:tblPrEx>
                <w:tblCellMar>
                  <w:top w:w="0" w:type="dxa"/>
                  <w:left w:w="108" w:type="dxa"/>
                  <w:bottom w:w="0" w:type="dxa"/>
                  <w:right w:w="108" w:type="dxa"/>
                </w:tblCellMar>
              </w:tblPrEx>
              <w:trPr>
                <w:trHeight w:val="37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支持一键打开任务文件夹</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支持通过任务库的任务更多选项或快捷键打卡该任务对应的文件夹</w:t>
                  </w:r>
                </w:p>
              </w:tc>
            </w:tr>
            <w:tr>
              <w:tblPrEx>
                <w:tblCellMar>
                  <w:top w:w="0" w:type="dxa"/>
                  <w:left w:w="108" w:type="dxa"/>
                  <w:bottom w:w="0" w:type="dxa"/>
                  <w:right w:w="108" w:type="dxa"/>
                </w:tblCellMar>
              </w:tblPrEx>
              <w:trPr>
                <w:trHeight w:val="37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支持控制点、检查点功能</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可导入控制点、检查点，并可通过刺点结果实时调整预刺位置</w:t>
                  </w:r>
                </w:p>
              </w:tc>
            </w:tr>
            <w:tr>
              <w:tblPrEx>
                <w:tblCellMar>
                  <w:top w:w="0" w:type="dxa"/>
                  <w:left w:w="108" w:type="dxa"/>
                  <w:bottom w:w="0" w:type="dxa"/>
                  <w:right w:w="108" w:type="dxa"/>
                </w:tblCellMar>
              </w:tblPrEx>
              <w:trPr>
                <w:trHeight w:val="19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POS导入</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支持POS文件导入，POS精度可自定义</w:t>
                  </w:r>
                </w:p>
              </w:tc>
            </w:tr>
            <w:tr>
              <w:tblPrEx>
                <w:tblCellMar>
                  <w:top w:w="0" w:type="dxa"/>
                  <w:left w:w="108" w:type="dxa"/>
                  <w:bottom w:w="0" w:type="dxa"/>
                  <w:right w:w="108" w:type="dxa"/>
                </w:tblCellMar>
              </w:tblPrEx>
              <w:trPr>
                <w:trHeight w:val="35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支持电力线场景重建</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支持电力线场景重建，可输出标准las格式点云</w:t>
                  </w:r>
                </w:p>
              </w:tc>
            </w:tr>
            <w:tr>
              <w:tblPrEx>
                <w:tblCellMar>
                  <w:top w:w="0" w:type="dxa"/>
                  <w:left w:w="108" w:type="dxa"/>
                  <w:bottom w:w="0" w:type="dxa"/>
                  <w:right w:w="108" w:type="dxa"/>
                </w:tblCellMar>
              </w:tblPrEx>
              <w:trPr>
                <w:trHeight w:val="46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5航线倾斜航线任务规划</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对规划的目标测区生成朝向测区的5组不同角度的航线：下视、左视、右视、前视、后视。5个航线任务自动分别执行。</w:t>
                  </w:r>
                </w:p>
              </w:tc>
            </w:tr>
            <w:tr>
              <w:tblPrEx>
                <w:tblCellMar>
                  <w:top w:w="0" w:type="dxa"/>
                  <w:left w:w="108" w:type="dxa"/>
                  <w:bottom w:w="0" w:type="dxa"/>
                  <w:right w:w="108" w:type="dxa"/>
                </w:tblCellMar>
              </w:tblPrEx>
              <w:trPr>
                <w:trHeight w:val="372"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三维航线规划</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1.可基于重建好的三维模型进行航线规划  2.可在三维航线规划中设置自动录制视频和定时拍照</w:t>
                  </w:r>
                </w:p>
              </w:tc>
            </w:tr>
            <w:tr>
              <w:tblPrEx>
                <w:tblCellMar>
                  <w:top w:w="0" w:type="dxa"/>
                  <w:left w:w="108" w:type="dxa"/>
                  <w:bottom w:w="0" w:type="dxa"/>
                  <w:right w:w="108" w:type="dxa"/>
                </w:tblCellMar>
              </w:tblPrEx>
              <w:trPr>
                <w:trHeight w:val="300"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带状航线</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支持带状航线规划，并能自动切割大面积带状测区，分段规划航线</w:t>
                  </w:r>
                </w:p>
              </w:tc>
            </w:tr>
            <w:tr>
              <w:tblPrEx>
                <w:tblCellMar>
                  <w:top w:w="0" w:type="dxa"/>
                  <w:left w:w="108" w:type="dxa"/>
                  <w:bottom w:w="0" w:type="dxa"/>
                  <w:right w:w="108" w:type="dxa"/>
                </w:tblCellMar>
              </w:tblPrEx>
              <w:trPr>
                <w:trHeight w:val="594"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限飞功能/NFZ</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1. 更新限飞区的显示（更新静态限飞区、支持联网状态下动态限飞区的更新） 2. 支持查看限飞解禁证书，并选择开启或关闭 3. 支持跳转到官网进行限飞解禁申请</w:t>
                  </w:r>
                </w:p>
              </w:tc>
            </w:tr>
            <w:tr>
              <w:tblPrEx>
                <w:tblCellMar>
                  <w:top w:w="0" w:type="dxa"/>
                  <w:left w:w="108" w:type="dxa"/>
                  <w:bottom w:w="0" w:type="dxa"/>
                  <w:right w:w="108" w:type="dxa"/>
                </w:tblCellMar>
              </w:tblPrEx>
              <w:trPr>
                <w:trHeight w:val="305" w:hRule="atLeast"/>
                <w:jc w:val="center"/>
              </w:trPr>
              <w:tc>
                <w:tcPr>
                  <w:tcW w:w="910" w:type="pct"/>
                  <w:noWrap w:val="0"/>
                  <w:vAlign w:val="center"/>
                </w:tcPr>
                <w:p>
                  <w:pPr>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相对高度</w:t>
                  </w:r>
                </w:p>
              </w:tc>
              <w:tc>
                <w:tcPr>
                  <w:tcW w:w="2563" w:type="pct"/>
                  <w:noWrap w:val="0"/>
                  <w:vAlign w:val="center"/>
                </w:tcPr>
                <w:p>
                  <w:pP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航线任务规划时，支持设置起飞点到测区的相对高度，执行实际测区的重叠率</w:t>
                  </w:r>
                </w:p>
              </w:tc>
            </w:tr>
          </w:tbl>
          <w:p>
            <w:pPr>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套</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p>
        </w:tc>
        <w:tc>
          <w:tcPr>
            <w:tcW w:w="167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三维测图软件</w:t>
            </w:r>
          </w:p>
        </w:tc>
        <w:tc>
          <w:tcPr>
            <w:tcW w:w="1136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★1、自主研发的软件内核，不依赖第三方软件；</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2、基于实景三维模型、航空影像进行裸眼测图采集，可满足1:500地形图、地籍测量精度要求；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3、支持导入las格式点云数据，可对点云数据进行高程着色、实现数据三维浏览，基于点云进行矢量采集；</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4、支持基于地面近景影像（手持单反相机、街景采集车）多数据源影像多模式测图，支持自动化三维建模软件高精度空三成果的导入；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5、提供大场景数据区块划分与工程配置功能，支持多窗口多视角协同作业，二三维联动，支持多角度影像自动检索；</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6、提供矢量图层的管理编辑功能，包括新建、删除、编辑、显示\隐藏等功能；</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7、矢量数据提供国标编码，并且编码体系可管理，多种方式检索，符号样式与2017版图式一致；</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8、提供对点、线等类型矢量实现提取，软件导入一体化模型，在模型上获取矢量高度，参考影像数据完成矢量测图；</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9、能根据倾斜影像数据，实现矢量测图过程中完成对房屋屋檐的改正，减少后期外业工作量；</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10、提供垂直辅助功能，多视角观测精准定位目标物，支持按指定高度切割模型以去除植被等遮挡物；</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11.支持矢量自动贴地；</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12、支持自动提取高程点，按范围提取或沿线提取；</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13、支持三维视图中的图形编辑，包括移动、修测、打断、裁剪等；</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14、支持导入外业检查点，进行精度检查，导出报告；</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★15、提供测图矢量导入导出，支持.dwg、.dxf、.shp、.mdb等格式，其中.dwg成果支持与CASS10.1版本对接，编码、图式一致；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16、支持DEM/DSM与DOM叠加生成OSGB模型；</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17、自有符号化系统，既可以在自主作业软件中独立实现符号化，也可以在CAD中按地形图符号成图；</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18、支持方格网法土方量计算；</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19、支持高程点生成三角网，根据三角网自动提取等高线；</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20、支持添加50*50、50*40标准图廓以及自定义尺寸的矩形图廓；</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21、支持数据自动分幅输出，分幅图中自动插入图廓。</w:t>
            </w: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套</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0" w:type="auto"/>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w:t>
            </w:r>
          </w:p>
        </w:tc>
        <w:tc>
          <w:tcPr>
            <w:tcW w:w="1678" w:type="dxa"/>
            <w:noWrap w:val="0"/>
            <w:vAlign w:val="center"/>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影像数据处理工作站</w:t>
            </w:r>
          </w:p>
        </w:tc>
        <w:tc>
          <w:tcPr>
            <w:tcW w:w="11368" w:type="dxa"/>
            <w:noWrap w:val="0"/>
            <w:vAlign w:val="top"/>
          </w:tcPr>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★CPU：INTEL I9-10900K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风扇：航嘉B360 ARGB三冷排风扇</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主板 ：华硕B560 PLUS</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★内存：32G 3200*4</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★固态：三星9A1  256G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机械：8T企业盘</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★显卡：RTX3070TI  8G D6 三风扇 </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机箱风扇： 散热风扇</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显示器：27寸IPS屏</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键鼠：USB键盘、USB光电鼠标</w:t>
            </w:r>
          </w:p>
          <w:p>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操作系统：预装微软正版Windows10 64位（简体中文）或以上版本</w:t>
            </w:r>
          </w:p>
        </w:tc>
        <w:tc>
          <w:tcPr>
            <w:tcW w:w="45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w:t>
            </w:r>
          </w:p>
        </w:tc>
        <w:tc>
          <w:tcPr>
            <w:tcW w:w="336" w:type="dxa"/>
            <w:noWrap w:val="0"/>
            <w:vAlign w:val="center"/>
          </w:tcPr>
          <w:p>
            <w:pPr>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r>
    </w:tbl>
    <w:p>
      <w:pPr>
        <w:pStyle w:val="130"/>
        <w:snapToGrid w:val="0"/>
        <w:spacing w:before="0"/>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lang w:val="en-US" w:eastAsia="zh-CN"/>
          <w14:textFill>
            <w14:solidFill>
              <w14:schemeClr w14:val="tx1"/>
            </w14:solidFill>
          </w14:textFill>
        </w:rPr>
        <w:t>三</w:t>
      </w:r>
      <w:r>
        <w:rPr>
          <w:rFonts w:hint="eastAsia" w:ascii="仿宋" w:hAnsi="仿宋" w:eastAsia="仿宋" w:cs="仿宋"/>
          <w:b/>
          <w:bCs/>
          <w:color w:val="000000" w:themeColor="text1"/>
          <w:highlight w:val="none"/>
          <w14:textFill>
            <w14:solidFill>
              <w14:schemeClr w14:val="tx1"/>
            </w14:solidFill>
          </w14:textFill>
        </w:rPr>
        <w:t>、商务要求</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1、项目完成时间：合同签订后30日内。</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2、本项目质保期：3年。项目质保期为通过验收之日起开始计算。</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（1）因供应商的原因出现问题，应免费到现场进行再次调试，直至系统恢复正常为止。</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（2）保修期内，免费提供维修及软件维护、升级等技术支持服务；所有产品维修服务、软件维护、升级均为上门服务，由此产生的费用均不再收取。</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在质保期内，系统故障，供应商应在接到报修通知后，在2小时内提出解决方案和操作建议，远程指导争取当日解决，如不能解决，维修人员应在48小时内到达现场，查明故障原因并予以解决；对于损坏的设备，供应商在接到采购人通知后，在3天内完成损坏设备的维修更换，使系统或设备恢复正常工作。备件、人员、交通等费用完全由供应商承担。</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3、技术支持：供应商应及时免费提供合同货物软件（如有）的升级，免费提供合同货物新功能和应用的资料。</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4、培训：</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（1）供应商应对采购人免费进行培训。</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（2）供应商应提供相应的培训计划。</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（3）供应商应对上述内容的实现方式、地点、人数、时间在投标响应文件中详细说明。</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5、安装调试：</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（1）安装地点：采购人指定地点。</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（2）安装完成时间：如在规定的时间内由于供应商的原因不能完成安装和调试，供应商应承担由此给采购人造成的损失。</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（3）安装标准：符合我国国家有关技术规范要求和技术标准，所有的软件和硬件必须保证同时安装到位。</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（4）供应商应免费提供合同货物的安装服务。</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（5）供应商在投标文件中应提供安装调试计划、对安装场地和环境的要求。</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6、验收：</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供应商应提供合同货物的有效检验文件，经采购人认可后，与货物的性能指标一起作为合同货物验收标准。采购人对合同货物验收合格后，双方共同签署验收合格证书，并负担由此给采购人造成的损失，直到验收合格为止。</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供应商应于磋商响应文件中提供合同货物的验收标准和检测办法，并在验收中提供采购人认可的相应检测手段，验收标准应符合中国有关的国家、地方、行业的标准，如若成交，经采购人确认后作为验收的依据。</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（3）如供应商委托国内代理（或其他机构）负责安装或配合安装，应在签约时指明，但供应商仍要对合同货物及其安装质量负全部责任。</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7、备品备件及耗材：供应商应提供质保期满后主要零部件报价单、质保期满后维护费、软件升级及其关服务内容。磋商响应文件标明常用备品备件及耗材的报价，并承诺所报价格不高于市场价格。</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8、履约保证金</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合同签订后7个工作日内，成交供应商应以支票/汇票/电汇/或金融机构、担保机构出据的保函等非现金形式，向采购人提交合同金额1%的履约保证金；合同履行完毕，经采购人相关部门验收合格后，按合同约定扣除相关款项（如有）后7个工作日内无息退还。 </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9、合同款的支付</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合同生效以及具备项目实施条件后7个工作日内，采购人支付合同总价40%的预付款；合同履行完毕并经采购人验收合格，成交人提供正式发票后，由采购人在7个工作日内付清剩余合同款项。                    </w:t>
      </w:r>
    </w:p>
    <w:p>
      <w:pPr>
        <w:pStyle w:val="130"/>
        <w:snapToGrid w:val="0"/>
        <w:spacing w:before="0"/>
        <w:ind w:firstLine="480"/>
        <w:rPr>
          <w:rFonts w:hint="eastAsia" w:ascii="仿宋" w:hAnsi="仿宋" w:eastAsia="仿宋" w:cs="仿宋"/>
          <w:color w:val="000000" w:themeColor="text1"/>
          <w:highlight w:val="none"/>
          <w14:textFill>
            <w14:solidFill>
              <w14:schemeClr w14:val="tx1"/>
            </w14:solidFill>
          </w14:textFill>
        </w:rPr>
        <w:sectPr>
          <w:headerReference r:id="rId8" w:type="default"/>
          <w:footerReference r:id="rId9" w:type="default"/>
          <w:pgSz w:w="11906" w:h="16838"/>
          <w:pgMar w:top="1247" w:right="1134" w:bottom="1134" w:left="1417" w:header="720" w:footer="879" w:gutter="0"/>
          <w:pgNumType w:fmt="decimal"/>
          <w:cols w:space="720" w:num="1"/>
          <w:docGrid w:type="lines" w:linePitch="389" w:charSpace="0"/>
        </w:sectPr>
      </w:pPr>
    </w:p>
    <w:p>
      <w:pPr>
        <w:snapToGrid w:val="0"/>
        <w:spacing w:line="360" w:lineRule="auto"/>
        <w:jc w:val="cente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第四部分</w:t>
      </w:r>
      <w:bookmarkStart w:id="31" w:name="_Toc184310313"/>
      <w:bookmarkEnd w:id="31"/>
      <w:bookmarkStart w:id="32" w:name="_Toc184308048"/>
      <w:bookmarkEnd w:id="32"/>
      <w:bookmarkStart w:id="33" w:name="_Toc184310284"/>
      <w:bookmarkEnd w:id="33"/>
      <w:bookmarkStart w:id="34" w:name="_Toc184313244"/>
      <w:bookmarkEnd w:id="34"/>
      <w:bookmarkStart w:id="35" w:name="_Toc184313293"/>
      <w:bookmarkEnd w:id="35"/>
      <w:bookmarkStart w:id="36" w:name="_Toc184312105"/>
      <w:bookmarkEnd w:id="36"/>
      <w:bookmarkStart w:id="37" w:name="_Toc184314429"/>
      <w:bookmarkEnd w:id="37"/>
      <w:bookmarkStart w:id="38" w:name="_Toc184312116"/>
      <w:bookmarkEnd w:id="38"/>
      <w:bookmarkStart w:id="39" w:name="_Toc184312113"/>
      <w:bookmarkEnd w:id="39"/>
      <w:bookmarkStart w:id="40" w:name="_Toc184314460"/>
      <w:bookmarkEnd w:id="40"/>
      <w:bookmarkStart w:id="41" w:name="_Toc184313262"/>
      <w:bookmarkEnd w:id="41"/>
      <w:bookmarkStart w:id="42" w:name="_Toc184314471"/>
      <w:bookmarkEnd w:id="42"/>
      <w:bookmarkStart w:id="43" w:name="_Toc184314469"/>
      <w:bookmarkEnd w:id="43"/>
      <w:bookmarkStart w:id="44" w:name="_Toc184313278"/>
      <w:bookmarkEnd w:id="44"/>
      <w:bookmarkStart w:id="45" w:name="_Toc184312083"/>
      <w:bookmarkEnd w:id="45"/>
      <w:bookmarkStart w:id="46" w:name="_Toc184308063"/>
      <w:bookmarkEnd w:id="46"/>
      <w:bookmarkStart w:id="47" w:name="_Toc184308067"/>
      <w:bookmarkEnd w:id="47"/>
      <w:bookmarkStart w:id="48" w:name="_Toc184308046"/>
      <w:bookmarkEnd w:id="48"/>
      <w:bookmarkStart w:id="49" w:name="_Toc184308059"/>
      <w:bookmarkEnd w:id="49"/>
      <w:bookmarkStart w:id="50" w:name="_Toc184313243"/>
      <w:bookmarkEnd w:id="50"/>
      <w:bookmarkStart w:id="51" w:name="_Toc184313295"/>
      <w:bookmarkEnd w:id="51"/>
      <w:bookmarkStart w:id="52" w:name="_Toc184314446"/>
      <w:bookmarkEnd w:id="52"/>
      <w:bookmarkStart w:id="53" w:name="_Toc184313250"/>
      <w:bookmarkEnd w:id="53"/>
      <w:bookmarkStart w:id="54" w:name="_Toc184313298"/>
      <w:bookmarkEnd w:id="54"/>
      <w:bookmarkStart w:id="55" w:name="_Toc184314441"/>
      <w:bookmarkEnd w:id="55"/>
      <w:bookmarkStart w:id="56" w:name="_Toc184314482"/>
      <w:bookmarkEnd w:id="56"/>
      <w:bookmarkStart w:id="57" w:name="_Toc184308073"/>
      <w:bookmarkEnd w:id="57"/>
      <w:bookmarkStart w:id="58" w:name="_Toc184310309"/>
      <w:bookmarkEnd w:id="58"/>
      <w:bookmarkStart w:id="59" w:name="_Toc184312088"/>
      <w:bookmarkEnd w:id="59"/>
      <w:bookmarkStart w:id="60" w:name="_Toc184313302"/>
      <w:bookmarkEnd w:id="60"/>
      <w:bookmarkStart w:id="61" w:name="_Toc184310299"/>
      <w:bookmarkEnd w:id="61"/>
      <w:bookmarkStart w:id="62" w:name="_Toc184308056"/>
      <w:bookmarkEnd w:id="62"/>
      <w:bookmarkStart w:id="63" w:name="_Toc184313272"/>
      <w:bookmarkEnd w:id="63"/>
      <w:bookmarkStart w:id="64" w:name="_Toc184313299"/>
      <w:bookmarkEnd w:id="64"/>
      <w:bookmarkStart w:id="65" w:name="_Toc184308052"/>
      <w:bookmarkEnd w:id="65"/>
      <w:bookmarkStart w:id="66" w:name="_Toc184313283"/>
      <w:bookmarkEnd w:id="66"/>
      <w:bookmarkStart w:id="67" w:name="_Toc184314427"/>
      <w:bookmarkEnd w:id="67"/>
      <w:bookmarkStart w:id="68" w:name="_Toc184313274"/>
      <w:bookmarkEnd w:id="68"/>
      <w:bookmarkStart w:id="69" w:name="_Toc184314478"/>
      <w:bookmarkEnd w:id="69"/>
      <w:bookmarkStart w:id="70" w:name="_Toc184310336"/>
      <w:bookmarkEnd w:id="70"/>
      <w:bookmarkStart w:id="71" w:name="_Toc184310295"/>
      <w:bookmarkEnd w:id="71"/>
      <w:bookmarkStart w:id="72" w:name="_Toc184313288"/>
      <w:bookmarkEnd w:id="72"/>
      <w:bookmarkStart w:id="73" w:name="_Toc184310320"/>
      <w:bookmarkEnd w:id="73"/>
      <w:bookmarkStart w:id="74" w:name="_Toc184314472"/>
      <w:bookmarkEnd w:id="74"/>
      <w:bookmarkStart w:id="75" w:name="_Toc184310293"/>
      <w:bookmarkEnd w:id="75"/>
      <w:bookmarkStart w:id="76" w:name="_Toc184313247"/>
      <w:bookmarkEnd w:id="76"/>
      <w:bookmarkStart w:id="77" w:name="_Toc184308045"/>
      <w:bookmarkEnd w:id="77"/>
      <w:bookmarkStart w:id="78" w:name="_Toc184314411"/>
      <w:bookmarkEnd w:id="78"/>
      <w:bookmarkStart w:id="79" w:name="_Toc184310323"/>
      <w:bookmarkEnd w:id="79"/>
      <w:bookmarkStart w:id="80" w:name="_Toc184314421"/>
      <w:bookmarkEnd w:id="80"/>
      <w:bookmarkStart w:id="81" w:name="_Toc184308108"/>
      <w:bookmarkEnd w:id="81"/>
      <w:bookmarkStart w:id="82" w:name="_Toc184310341"/>
      <w:bookmarkEnd w:id="82"/>
      <w:bookmarkStart w:id="83" w:name="_Toc184310300"/>
      <w:bookmarkEnd w:id="83"/>
      <w:bookmarkStart w:id="84" w:name="_Toc184314445"/>
      <w:bookmarkEnd w:id="84"/>
      <w:bookmarkStart w:id="85" w:name="_Toc184313297"/>
      <w:bookmarkEnd w:id="85"/>
      <w:bookmarkStart w:id="86" w:name="_Toc184312107"/>
      <w:bookmarkEnd w:id="86"/>
      <w:bookmarkStart w:id="87" w:name="_Toc184314432"/>
      <w:bookmarkEnd w:id="87"/>
      <w:bookmarkStart w:id="88" w:name="_Toc184310292"/>
      <w:bookmarkEnd w:id="88"/>
      <w:bookmarkStart w:id="89" w:name="_Toc184312139"/>
      <w:bookmarkEnd w:id="89"/>
      <w:bookmarkStart w:id="90" w:name="_Toc184312138"/>
      <w:bookmarkEnd w:id="90"/>
      <w:bookmarkStart w:id="91" w:name="_Toc184312069"/>
      <w:bookmarkEnd w:id="91"/>
      <w:bookmarkStart w:id="92" w:name="_Toc184314453"/>
      <w:bookmarkEnd w:id="92"/>
      <w:bookmarkStart w:id="93" w:name="_Toc184308094"/>
      <w:bookmarkEnd w:id="93"/>
      <w:bookmarkStart w:id="94" w:name="_Toc184310296"/>
      <w:bookmarkEnd w:id="94"/>
      <w:bookmarkStart w:id="95" w:name="_Toc184310280"/>
      <w:bookmarkEnd w:id="95"/>
      <w:bookmarkStart w:id="96" w:name="_Toc184313269"/>
      <w:bookmarkEnd w:id="96"/>
      <w:bookmarkStart w:id="97" w:name="_Toc184312118"/>
      <w:bookmarkEnd w:id="97"/>
      <w:bookmarkStart w:id="98" w:name="_Toc184313256"/>
      <w:bookmarkEnd w:id="98"/>
      <w:bookmarkStart w:id="99" w:name="_Toc184314464"/>
      <w:bookmarkEnd w:id="99"/>
      <w:bookmarkStart w:id="100" w:name="_Toc184313252"/>
      <w:bookmarkEnd w:id="100"/>
      <w:bookmarkStart w:id="101" w:name="_Toc184312124"/>
      <w:bookmarkEnd w:id="101"/>
      <w:bookmarkStart w:id="102" w:name="_Toc184308061"/>
      <w:bookmarkEnd w:id="102"/>
      <w:bookmarkStart w:id="103" w:name="_Toc184313268"/>
      <w:bookmarkEnd w:id="103"/>
      <w:bookmarkStart w:id="104" w:name="_Toc184313259"/>
      <w:bookmarkEnd w:id="104"/>
      <w:bookmarkStart w:id="105" w:name="_Toc184308071"/>
      <w:bookmarkEnd w:id="105"/>
      <w:bookmarkStart w:id="106" w:name="_Toc184312100"/>
      <w:bookmarkEnd w:id="106"/>
      <w:bookmarkStart w:id="107" w:name="_Toc184312117"/>
      <w:bookmarkEnd w:id="107"/>
      <w:bookmarkStart w:id="108" w:name="_Toc184312111"/>
      <w:bookmarkEnd w:id="108"/>
      <w:bookmarkStart w:id="109" w:name="_Toc184308039"/>
      <w:bookmarkEnd w:id="109"/>
      <w:bookmarkStart w:id="110" w:name="_Toc184308053"/>
      <w:bookmarkEnd w:id="110"/>
      <w:bookmarkStart w:id="111" w:name="_Toc184313240"/>
      <w:bookmarkEnd w:id="111"/>
      <w:bookmarkStart w:id="112" w:name="_Toc184312080"/>
      <w:bookmarkEnd w:id="112"/>
      <w:bookmarkStart w:id="113" w:name="_Toc184310316"/>
      <w:bookmarkEnd w:id="113"/>
      <w:bookmarkStart w:id="114" w:name="_Toc184312085"/>
      <w:bookmarkEnd w:id="114"/>
      <w:bookmarkStart w:id="115" w:name="_Toc184314438"/>
      <w:bookmarkEnd w:id="115"/>
      <w:bookmarkStart w:id="116" w:name="_Toc184312132"/>
      <w:bookmarkEnd w:id="116"/>
      <w:bookmarkStart w:id="117" w:name="_Toc184308098"/>
      <w:bookmarkEnd w:id="117"/>
      <w:bookmarkStart w:id="118" w:name="_Toc184313280"/>
      <w:bookmarkEnd w:id="118"/>
      <w:bookmarkStart w:id="119" w:name="_Toc184312089"/>
      <w:bookmarkEnd w:id="119"/>
      <w:bookmarkStart w:id="120" w:name="_Toc184308055"/>
      <w:bookmarkEnd w:id="120"/>
      <w:bookmarkStart w:id="121" w:name="_Toc184313284"/>
      <w:bookmarkEnd w:id="121"/>
      <w:bookmarkStart w:id="122" w:name="_Toc184312087"/>
      <w:bookmarkEnd w:id="122"/>
      <w:bookmarkStart w:id="123" w:name="_Toc184310318"/>
      <w:bookmarkEnd w:id="123"/>
      <w:bookmarkStart w:id="124" w:name="_Toc184312090"/>
      <w:bookmarkEnd w:id="124"/>
      <w:bookmarkStart w:id="125" w:name="_Toc184314468"/>
      <w:bookmarkEnd w:id="125"/>
      <w:bookmarkStart w:id="126" w:name="_Toc184313309"/>
      <w:bookmarkEnd w:id="126"/>
      <w:bookmarkStart w:id="127" w:name="_Toc184313246"/>
      <w:bookmarkEnd w:id="127"/>
      <w:bookmarkStart w:id="128" w:name="_Toc184314466"/>
      <w:bookmarkEnd w:id="128"/>
      <w:bookmarkStart w:id="129" w:name="_Toc184312074"/>
      <w:bookmarkEnd w:id="129"/>
      <w:bookmarkStart w:id="130" w:name="_Toc184314410"/>
      <w:bookmarkEnd w:id="130"/>
      <w:bookmarkStart w:id="131" w:name="_Toc184312084"/>
      <w:bookmarkEnd w:id="131"/>
      <w:bookmarkStart w:id="132" w:name="_Toc184312119"/>
      <w:bookmarkEnd w:id="132"/>
      <w:bookmarkStart w:id="133" w:name="_Toc184310301"/>
      <w:bookmarkEnd w:id="133"/>
      <w:bookmarkStart w:id="134" w:name="_Toc184310281"/>
      <w:bookmarkEnd w:id="134"/>
      <w:bookmarkStart w:id="135" w:name="_Toc184308064"/>
      <w:bookmarkEnd w:id="135"/>
      <w:bookmarkStart w:id="136" w:name="_Toc184313275"/>
      <w:bookmarkEnd w:id="136"/>
      <w:bookmarkStart w:id="137" w:name="_Toc184310307"/>
      <w:bookmarkEnd w:id="137"/>
      <w:bookmarkStart w:id="138" w:name="_Toc184314436"/>
      <w:bookmarkEnd w:id="138"/>
      <w:bookmarkStart w:id="139" w:name="_Toc184312082"/>
      <w:bookmarkEnd w:id="139"/>
      <w:bookmarkStart w:id="140" w:name="_Toc184310305"/>
      <w:bookmarkEnd w:id="140"/>
      <w:bookmarkStart w:id="141" w:name="_Toc184313291"/>
      <w:bookmarkEnd w:id="141"/>
      <w:bookmarkStart w:id="142" w:name="_Toc184313282"/>
      <w:bookmarkEnd w:id="142"/>
      <w:bookmarkStart w:id="143" w:name="_Toc184310274"/>
      <w:bookmarkEnd w:id="143"/>
      <w:bookmarkStart w:id="144" w:name="_Toc184312121"/>
      <w:bookmarkEnd w:id="144"/>
      <w:bookmarkStart w:id="145" w:name="_Toc184310285"/>
      <w:bookmarkEnd w:id="145"/>
      <w:bookmarkStart w:id="146" w:name="_Toc184313294"/>
      <w:bookmarkEnd w:id="146"/>
      <w:bookmarkStart w:id="147" w:name="_Toc184313304"/>
      <w:bookmarkEnd w:id="147"/>
      <w:bookmarkStart w:id="148" w:name="_Toc184310294"/>
      <w:bookmarkEnd w:id="148"/>
      <w:bookmarkStart w:id="149" w:name="_Toc184312095"/>
      <w:bookmarkEnd w:id="149"/>
      <w:bookmarkStart w:id="150" w:name="_Toc184313292"/>
      <w:bookmarkEnd w:id="150"/>
      <w:bookmarkStart w:id="151" w:name="_Toc184308040"/>
      <w:bookmarkEnd w:id="151"/>
      <w:bookmarkStart w:id="152" w:name="_Toc184312077"/>
      <w:bookmarkEnd w:id="152"/>
      <w:bookmarkStart w:id="153" w:name="_Toc184314422"/>
      <w:bookmarkEnd w:id="153"/>
      <w:bookmarkStart w:id="154" w:name="_Toc184310330"/>
      <w:bookmarkEnd w:id="154"/>
      <w:bookmarkStart w:id="155" w:name="_Toc184313253"/>
      <w:bookmarkEnd w:id="155"/>
      <w:bookmarkStart w:id="156" w:name="_Toc184312125"/>
      <w:bookmarkEnd w:id="156"/>
      <w:bookmarkStart w:id="157" w:name="_Toc184310283"/>
      <w:bookmarkEnd w:id="157"/>
      <w:bookmarkStart w:id="158" w:name="_Toc184310325"/>
      <w:bookmarkEnd w:id="158"/>
      <w:bookmarkStart w:id="159" w:name="_Toc184313305"/>
      <w:bookmarkEnd w:id="159"/>
      <w:bookmarkStart w:id="160" w:name="_Toc184314456"/>
      <w:bookmarkEnd w:id="160"/>
      <w:bookmarkStart w:id="161" w:name="_Toc184312129"/>
      <w:bookmarkEnd w:id="161"/>
      <w:bookmarkStart w:id="162" w:name="_Toc184313242"/>
      <w:bookmarkEnd w:id="162"/>
      <w:bookmarkStart w:id="163" w:name="_Toc184314480"/>
      <w:bookmarkEnd w:id="163"/>
      <w:bookmarkStart w:id="164" w:name="_Toc184312091"/>
      <w:bookmarkEnd w:id="164"/>
      <w:bookmarkStart w:id="165" w:name="_Toc184312097"/>
      <w:bookmarkEnd w:id="165"/>
      <w:bookmarkStart w:id="166" w:name="_Toc184313265"/>
      <w:bookmarkEnd w:id="166"/>
      <w:bookmarkStart w:id="167" w:name="_Toc184312070"/>
      <w:bookmarkEnd w:id="167"/>
      <w:bookmarkStart w:id="168" w:name="_Toc184310331"/>
      <w:bookmarkEnd w:id="168"/>
      <w:bookmarkStart w:id="169" w:name="_Toc184308099"/>
      <w:bookmarkEnd w:id="169"/>
      <w:bookmarkStart w:id="170" w:name="_Toc184313238"/>
      <w:bookmarkEnd w:id="170"/>
      <w:bookmarkStart w:id="171" w:name="_Toc184310289"/>
      <w:bookmarkEnd w:id="171"/>
      <w:bookmarkStart w:id="172" w:name="_Toc184308076"/>
      <w:bookmarkEnd w:id="172"/>
      <w:bookmarkStart w:id="173" w:name="_Toc184310286"/>
      <w:bookmarkEnd w:id="173"/>
      <w:bookmarkStart w:id="174" w:name="_Toc184310317"/>
      <w:bookmarkEnd w:id="174"/>
      <w:bookmarkStart w:id="175" w:name="_Toc184313290"/>
      <w:bookmarkEnd w:id="175"/>
      <w:bookmarkStart w:id="176" w:name="_Toc184312114"/>
      <w:bookmarkEnd w:id="176"/>
      <w:bookmarkStart w:id="177" w:name="_Toc184312110"/>
      <w:bookmarkEnd w:id="177"/>
      <w:bookmarkStart w:id="178" w:name="_Toc184310304"/>
      <w:bookmarkEnd w:id="178"/>
      <w:bookmarkStart w:id="179" w:name="_Toc184308081"/>
      <w:bookmarkEnd w:id="179"/>
      <w:bookmarkStart w:id="180" w:name="_Toc184308066"/>
      <w:bookmarkEnd w:id="180"/>
      <w:bookmarkStart w:id="181" w:name="_Toc184313281"/>
      <w:bookmarkEnd w:id="181"/>
      <w:bookmarkStart w:id="182" w:name="_Toc184310297"/>
      <w:bookmarkEnd w:id="182"/>
      <w:bookmarkStart w:id="183" w:name="_Toc184314461"/>
      <w:bookmarkEnd w:id="183"/>
      <w:bookmarkStart w:id="184" w:name="_Toc184308065"/>
      <w:bookmarkEnd w:id="184"/>
      <w:bookmarkStart w:id="185" w:name="_Toc184314465"/>
      <w:bookmarkEnd w:id="185"/>
      <w:bookmarkStart w:id="186" w:name="_Toc184313285"/>
      <w:bookmarkEnd w:id="186"/>
      <w:bookmarkStart w:id="187" w:name="_Toc184313241"/>
      <w:bookmarkEnd w:id="187"/>
      <w:bookmarkStart w:id="188" w:name="_Toc184308047"/>
      <w:bookmarkEnd w:id="188"/>
      <w:bookmarkStart w:id="189" w:name="_Toc184308037"/>
      <w:bookmarkEnd w:id="189"/>
      <w:bookmarkStart w:id="190" w:name="_Toc184314412"/>
      <w:bookmarkEnd w:id="190"/>
      <w:bookmarkStart w:id="191" w:name="_Toc184310310"/>
      <w:bookmarkEnd w:id="191"/>
      <w:bookmarkStart w:id="192" w:name="_Toc184308051"/>
      <w:bookmarkEnd w:id="192"/>
      <w:bookmarkStart w:id="193" w:name="_Toc184308106"/>
      <w:bookmarkEnd w:id="193"/>
      <w:bookmarkStart w:id="194" w:name="_Toc184310308"/>
      <w:bookmarkEnd w:id="194"/>
      <w:bookmarkStart w:id="195" w:name="_Toc184308097"/>
      <w:bookmarkEnd w:id="195"/>
      <w:bookmarkStart w:id="196" w:name="_Toc184313261"/>
      <w:bookmarkEnd w:id="196"/>
      <w:bookmarkStart w:id="197" w:name="_Toc184308088"/>
      <w:bookmarkEnd w:id="197"/>
      <w:bookmarkStart w:id="198" w:name="_Toc184312076"/>
      <w:bookmarkEnd w:id="198"/>
      <w:bookmarkStart w:id="199" w:name="_Toc184313301"/>
      <w:bookmarkEnd w:id="199"/>
      <w:bookmarkStart w:id="200" w:name="_Toc184312133"/>
      <w:bookmarkEnd w:id="200"/>
      <w:bookmarkStart w:id="201" w:name="_Toc184310291"/>
      <w:bookmarkEnd w:id="201"/>
      <w:bookmarkStart w:id="202" w:name="_Toc184308104"/>
      <w:bookmarkEnd w:id="202"/>
      <w:bookmarkStart w:id="203" w:name="_Toc184314414"/>
      <w:bookmarkEnd w:id="203"/>
      <w:bookmarkStart w:id="204" w:name="_Toc184312093"/>
      <w:bookmarkEnd w:id="204"/>
      <w:bookmarkStart w:id="205" w:name="_Toc184314455"/>
      <w:bookmarkEnd w:id="205"/>
      <w:bookmarkStart w:id="206" w:name="_Toc184313258"/>
      <w:bookmarkEnd w:id="206"/>
      <w:bookmarkStart w:id="207" w:name="_Toc184310278"/>
      <w:bookmarkEnd w:id="207"/>
      <w:bookmarkStart w:id="208" w:name="_Toc184314424"/>
      <w:bookmarkEnd w:id="208"/>
      <w:bookmarkStart w:id="209" w:name="_Toc184308085"/>
      <w:bookmarkEnd w:id="209"/>
      <w:bookmarkStart w:id="210" w:name="_Toc184308080"/>
      <w:bookmarkEnd w:id="210"/>
      <w:bookmarkStart w:id="211" w:name="_Toc184312130"/>
      <w:bookmarkEnd w:id="211"/>
      <w:bookmarkStart w:id="212" w:name="_Toc184314457"/>
      <w:bookmarkEnd w:id="212"/>
      <w:bookmarkStart w:id="213" w:name="_Toc184314467"/>
      <w:bookmarkEnd w:id="213"/>
      <w:bookmarkStart w:id="214" w:name="_Toc184314423"/>
      <w:bookmarkEnd w:id="214"/>
      <w:bookmarkStart w:id="215" w:name="_Toc184313260"/>
      <w:bookmarkEnd w:id="215"/>
      <w:bookmarkStart w:id="216" w:name="_Toc184308092"/>
      <w:bookmarkEnd w:id="216"/>
      <w:bookmarkStart w:id="217" w:name="_Toc184313239"/>
      <w:bookmarkEnd w:id="217"/>
      <w:bookmarkStart w:id="218" w:name="_Toc184312081"/>
      <w:bookmarkEnd w:id="218"/>
      <w:bookmarkStart w:id="219" w:name="_Toc184312099"/>
      <w:bookmarkEnd w:id="219"/>
      <w:bookmarkStart w:id="220" w:name="_Toc184308069"/>
      <w:bookmarkEnd w:id="220"/>
      <w:bookmarkStart w:id="221" w:name="_Toc184308100"/>
      <w:bookmarkEnd w:id="221"/>
      <w:bookmarkStart w:id="222" w:name="_Toc184313254"/>
      <w:bookmarkEnd w:id="222"/>
      <w:bookmarkStart w:id="223" w:name="_Toc184312123"/>
      <w:bookmarkEnd w:id="223"/>
      <w:bookmarkStart w:id="224" w:name="_Toc184314458"/>
      <w:bookmarkEnd w:id="224"/>
      <w:bookmarkStart w:id="225" w:name="_Toc184312115"/>
      <w:bookmarkEnd w:id="225"/>
      <w:bookmarkStart w:id="226" w:name="_Toc184313289"/>
      <w:bookmarkEnd w:id="226"/>
      <w:bookmarkStart w:id="227" w:name="_Toc184310282"/>
      <w:bookmarkEnd w:id="227"/>
      <w:bookmarkStart w:id="228" w:name="_Toc184314434"/>
      <w:bookmarkEnd w:id="228"/>
      <w:bookmarkStart w:id="229" w:name="_Toc184310338"/>
      <w:bookmarkEnd w:id="229"/>
      <w:bookmarkStart w:id="230" w:name="_Toc184312102"/>
      <w:bookmarkEnd w:id="230"/>
      <w:bookmarkStart w:id="231" w:name="_Toc184312073"/>
      <w:bookmarkEnd w:id="231"/>
      <w:bookmarkStart w:id="232" w:name="_Toc184308070"/>
      <w:bookmarkEnd w:id="232"/>
      <w:bookmarkStart w:id="233" w:name="_Toc184308091"/>
      <w:bookmarkEnd w:id="233"/>
      <w:bookmarkStart w:id="234" w:name="_Toc184310312"/>
      <w:bookmarkEnd w:id="234"/>
      <w:bookmarkStart w:id="235" w:name="_Toc184312120"/>
      <w:bookmarkEnd w:id="235"/>
      <w:bookmarkStart w:id="236" w:name="_Toc184312079"/>
      <w:bookmarkEnd w:id="236"/>
      <w:bookmarkStart w:id="237" w:name="_Toc184308078"/>
      <w:bookmarkEnd w:id="237"/>
      <w:bookmarkStart w:id="238" w:name="_Toc184313296"/>
      <w:bookmarkEnd w:id="238"/>
      <w:bookmarkStart w:id="239" w:name="_Toc184314452"/>
      <w:bookmarkEnd w:id="239"/>
      <w:bookmarkStart w:id="240" w:name="_Toc184314451"/>
      <w:bookmarkEnd w:id="240"/>
      <w:bookmarkStart w:id="241" w:name="_Toc184313267"/>
      <w:bookmarkEnd w:id="241"/>
      <w:bookmarkStart w:id="242" w:name="_Toc184308043"/>
      <w:bookmarkEnd w:id="242"/>
      <w:bookmarkStart w:id="243" w:name="_Toc184308058"/>
      <w:bookmarkEnd w:id="243"/>
      <w:bookmarkStart w:id="244" w:name="_Toc184314479"/>
      <w:bookmarkEnd w:id="244"/>
      <w:bookmarkStart w:id="245" w:name="_Toc184308054"/>
      <w:bookmarkEnd w:id="245"/>
      <w:bookmarkStart w:id="246" w:name="_Toc184313270"/>
      <w:bookmarkEnd w:id="246"/>
      <w:bookmarkStart w:id="247" w:name="_Toc184312131"/>
      <w:bookmarkEnd w:id="247"/>
      <w:bookmarkStart w:id="248" w:name="_Toc184313264"/>
      <w:bookmarkEnd w:id="248"/>
      <w:bookmarkStart w:id="249" w:name="_Toc184308093"/>
      <w:bookmarkEnd w:id="249"/>
      <w:bookmarkStart w:id="250" w:name="_Toc184314418"/>
      <w:bookmarkEnd w:id="250"/>
      <w:bookmarkStart w:id="251" w:name="_Toc184313286"/>
      <w:bookmarkEnd w:id="251"/>
      <w:bookmarkStart w:id="252" w:name="_Toc184313287"/>
      <w:bookmarkEnd w:id="252"/>
      <w:bookmarkStart w:id="253" w:name="_Toc184313263"/>
      <w:bookmarkEnd w:id="253"/>
      <w:bookmarkStart w:id="254" w:name="_Toc184314433"/>
      <w:bookmarkEnd w:id="254"/>
      <w:bookmarkStart w:id="255" w:name="_Toc184313300"/>
      <w:bookmarkEnd w:id="255"/>
      <w:bookmarkStart w:id="256" w:name="_Toc184310275"/>
      <w:bookmarkEnd w:id="256"/>
      <w:bookmarkStart w:id="257" w:name="_Toc184310335"/>
      <w:bookmarkEnd w:id="257"/>
      <w:bookmarkStart w:id="258" w:name="_Toc184308050"/>
      <w:bookmarkEnd w:id="258"/>
      <w:bookmarkStart w:id="259" w:name="_Toc184308082"/>
      <w:bookmarkEnd w:id="259"/>
      <w:bookmarkStart w:id="260" w:name="_Toc184310303"/>
      <w:bookmarkEnd w:id="260"/>
      <w:bookmarkStart w:id="261" w:name="_Toc184310273"/>
      <w:bookmarkEnd w:id="261"/>
      <w:bookmarkStart w:id="262" w:name="_Toc184314430"/>
      <w:bookmarkEnd w:id="262"/>
      <w:bookmarkStart w:id="263" w:name="_Toc184310302"/>
      <w:bookmarkEnd w:id="263"/>
      <w:bookmarkStart w:id="264" w:name="_Toc184308083"/>
      <w:bookmarkEnd w:id="264"/>
      <w:bookmarkStart w:id="265" w:name="_Toc184308036"/>
      <w:bookmarkEnd w:id="265"/>
      <w:bookmarkStart w:id="266" w:name="_Toc184312072"/>
      <w:bookmarkEnd w:id="266"/>
      <w:bookmarkStart w:id="267" w:name="_Toc184310342"/>
      <w:bookmarkEnd w:id="267"/>
      <w:bookmarkStart w:id="268" w:name="_Toc184310329"/>
      <w:bookmarkEnd w:id="268"/>
      <w:bookmarkStart w:id="269" w:name="_Toc184314440"/>
      <w:bookmarkEnd w:id="269"/>
      <w:bookmarkStart w:id="270" w:name="_Toc184312101"/>
      <w:bookmarkEnd w:id="270"/>
      <w:bookmarkStart w:id="271" w:name="_Toc184308096"/>
      <w:bookmarkEnd w:id="271"/>
      <w:bookmarkStart w:id="272" w:name="_Toc184313248"/>
      <w:bookmarkEnd w:id="272"/>
      <w:bookmarkStart w:id="273" w:name="_Toc184310339"/>
      <w:bookmarkEnd w:id="273"/>
      <w:bookmarkStart w:id="274" w:name="_Toc184310324"/>
      <w:bookmarkEnd w:id="274"/>
      <w:bookmarkStart w:id="275" w:name="_Toc184314476"/>
      <w:bookmarkEnd w:id="275"/>
      <w:bookmarkStart w:id="276" w:name="_Toc184310315"/>
      <w:bookmarkEnd w:id="276"/>
      <w:bookmarkStart w:id="277" w:name="_Toc184308072"/>
      <w:bookmarkEnd w:id="277"/>
      <w:bookmarkStart w:id="278" w:name="_Toc184313308"/>
      <w:bookmarkEnd w:id="278"/>
      <w:bookmarkStart w:id="279" w:name="_Toc184312126"/>
      <w:bookmarkEnd w:id="279"/>
      <w:bookmarkStart w:id="280" w:name="_Toc184310314"/>
      <w:bookmarkEnd w:id="280"/>
      <w:bookmarkStart w:id="281" w:name="_Toc184313310"/>
      <w:bookmarkEnd w:id="281"/>
      <w:bookmarkStart w:id="282" w:name="_Toc184310276"/>
      <w:bookmarkEnd w:id="282"/>
      <w:bookmarkStart w:id="283" w:name="_Toc184314473"/>
      <w:bookmarkEnd w:id="283"/>
      <w:bookmarkStart w:id="284" w:name="_Toc184308038"/>
      <w:bookmarkEnd w:id="284"/>
      <w:bookmarkStart w:id="285" w:name="_Toc184310306"/>
      <w:bookmarkEnd w:id="285"/>
      <w:bookmarkStart w:id="286" w:name="_Toc184314419"/>
      <w:bookmarkEnd w:id="286"/>
      <w:bookmarkStart w:id="287" w:name="_Toc184312096"/>
      <w:bookmarkEnd w:id="287"/>
      <w:bookmarkStart w:id="288" w:name="_Toc184313303"/>
      <w:bookmarkEnd w:id="288"/>
      <w:bookmarkStart w:id="289" w:name="_Toc184313245"/>
      <w:bookmarkEnd w:id="289"/>
      <w:bookmarkStart w:id="290" w:name="_Toc184314470"/>
      <w:bookmarkEnd w:id="290"/>
      <w:bookmarkStart w:id="291" w:name="_Toc184312094"/>
      <w:bookmarkEnd w:id="291"/>
      <w:bookmarkStart w:id="292" w:name="_Toc184308101"/>
      <w:bookmarkEnd w:id="292"/>
      <w:bookmarkStart w:id="293" w:name="_Toc184314462"/>
      <w:bookmarkEnd w:id="293"/>
      <w:bookmarkStart w:id="294" w:name="_Toc184312092"/>
      <w:bookmarkEnd w:id="294"/>
      <w:bookmarkStart w:id="295" w:name="_Toc184314415"/>
      <w:bookmarkEnd w:id="295"/>
      <w:bookmarkStart w:id="296" w:name="_Toc184312108"/>
      <w:bookmarkEnd w:id="296"/>
      <w:bookmarkStart w:id="297" w:name="_Toc184312128"/>
      <w:bookmarkEnd w:id="297"/>
      <w:bookmarkStart w:id="298" w:name="_Toc184314474"/>
      <w:bookmarkEnd w:id="298"/>
      <w:bookmarkStart w:id="299" w:name="_Toc184314450"/>
      <w:bookmarkEnd w:id="299"/>
      <w:bookmarkStart w:id="300" w:name="_Toc184314442"/>
      <w:bookmarkEnd w:id="300"/>
      <w:bookmarkStart w:id="301" w:name="_Toc184312112"/>
      <w:bookmarkEnd w:id="301"/>
      <w:bookmarkStart w:id="302" w:name="_Toc184314439"/>
      <w:bookmarkEnd w:id="302"/>
      <w:bookmarkStart w:id="303" w:name="_Toc184308075"/>
      <w:bookmarkEnd w:id="303"/>
      <w:bookmarkStart w:id="304" w:name="_Toc184314437"/>
      <w:bookmarkEnd w:id="304"/>
      <w:bookmarkStart w:id="305" w:name="_Toc184313251"/>
      <w:bookmarkEnd w:id="305"/>
      <w:bookmarkStart w:id="306" w:name="_Toc184312068"/>
      <w:bookmarkEnd w:id="306"/>
      <w:bookmarkStart w:id="307" w:name="_Toc184310287"/>
      <w:bookmarkEnd w:id="307"/>
      <w:bookmarkStart w:id="308" w:name="_Toc184310298"/>
      <w:bookmarkEnd w:id="308"/>
      <w:bookmarkStart w:id="309" w:name="_Toc184308095"/>
      <w:bookmarkEnd w:id="309"/>
      <w:bookmarkStart w:id="310" w:name="_Toc184310332"/>
      <w:bookmarkEnd w:id="310"/>
      <w:bookmarkStart w:id="311" w:name="_Toc184312137"/>
      <w:bookmarkEnd w:id="311"/>
      <w:bookmarkStart w:id="312" w:name="_Toc184308062"/>
      <w:bookmarkEnd w:id="312"/>
      <w:bookmarkStart w:id="313" w:name="_Toc184308084"/>
      <w:bookmarkEnd w:id="313"/>
      <w:bookmarkStart w:id="314" w:name="_Toc184314481"/>
      <w:bookmarkEnd w:id="314"/>
      <w:bookmarkStart w:id="315" w:name="_Toc184310279"/>
      <w:bookmarkEnd w:id="315"/>
      <w:bookmarkStart w:id="316" w:name="_Toc184312134"/>
      <w:bookmarkEnd w:id="316"/>
      <w:bookmarkStart w:id="317" w:name="_Toc184308044"/>
      <w:bookmarkEnd w:id="317"/>
      <w:bookmarkStart w:id="318" w:name="_Toc184308041"/>
      <w:bookmarkEnd w:id="318"/>
      <w:bookmarkStart w:id="319" w:name="_Toc184308090"/>
      <w:bookmarkEnd w:id="319"/>
      <w:bookmarkStart w:id="320" w:name="_Toc184314454"/>
      <w:bookmarkEnd w:id="320"/>
      <w:bookmarkStart w:id="321" w:name="_Toc184308049"/>
      <w:bookmarkEnd w:id="321"/>
      <w:bookmarkStart w:id="322" w:name="_Toc184314435"/>
      <w:bookmarkEnd w:id="322"/>
      <w:bookmarkStart w:id="323" w:name="_Toc184312075"/>
      <w:bookmarkEnd w:id="323"/>
      <w:bookmarkStart w:id="324" w:name="_Toc184308102"/>
      <w:bookmarkEnd w:id="324"/>
      <w:bookmarkStart w:id="325" w:name="_Toc184308086"/>
      <w:bookmarkEnd w:id="325"/>
      <w:bookmarkStart w:id="326" w:name="_Toc184310337"/>
      <w:bookmarkEnd w:id="326"/>
      <w:bookmarkStart w:id="327" w:name="_Toc184314428"/>
      <w:bookmarkEnd w:id="327"/>
      <w:bookmarkStart w:id="328" w:name="_Toc184310319"/>
      <w:bookmarkEnd w:id="328"/>
      <w:bookmarkStart w:id="329" w:name="_Toc184310321"/>
      <w:bookmarkEnd w:id="329"/>
      <w:bookmarkStart w:id="330" w:name="_Toc184314449"/>
      <w:bookmarkEnd w:id="330"/>
      <w:bookmarkStart w:id="331" w:name="_Toc184313277"/>
      <w:bookmarkEnd w:id="331"/>
      <w:bookmarkStart w:id="332" w:name="_Toc184310343"/>
      <w:bookmarkEnd w:id="332"/>
      <w:bookmarkStart w:id="333" w:name="_Toc184310333"/>
      <w:bookmarkEnd w:id="333"/>
      <w:bookmarkStart w:id="334" w:name="_Toc184310327"/>
      <w:bookmarkEnd w:id="334"/>
      <w:bookmarkStart w:id="335" w:name="_Toc184312103"/>
      <w:bookmarkEnd w:id="335"/>
      <w:bookmarkStart w:id="336" w:name="_Toc184314444"/>
      <w:bookmarkEnd w:id="336"/>
      <w:bookmarkStart w:id="337" w:name="_Toc184314443"/>
      <w:bookmarkEnd w:id="337"/>
      <w:bookmarkStart w:id="338" w:name="_Toc184312135"/>
      <w:bookmarkEnd w:id="338"/>
      <w:bookmarkStart w:id="339" w:name="_Toc184312122"/>
      <w:bookmarkEnd w:id="339"/>
      <w:bookmarkStart w:id="340" w:name="_Toc184310328"/>
      <w:bookmarkEnd w:id="340"/>
      <w:bookmarkStart w:id="341" w:name="_Toc184314417"/>
      <w:bookmarkEnd w:id="341"/>
      <w:bookmarkStart w:id="342" w:name="_Toc184308079"/>
      <w:bookmarkEnd w:id="342"/>
      <w:bookmarkStart w:id="343" w:name="_Toc184313249"/>
      <w:bookmarkEnd w:id="343"/>
      <w:bookmarkStart w:id="344" w:name="_Toc184312104"/>
      <w:bookmarkEnd w:id="344"/>
      <w:bookmarkStart w:id="345" w:name="_Toc184314463"/>
      <w:bookmarkEnd w:id="345"/>
      <w:bookmarkStart w:id="346" w:name="_Toc184313257"/>
      <w:bookmarkEnd w:id="346"/>
      <w:bookmarkStart w:id="347" w:name="_Toc184312098"/>
      <w:bookmarkEnd w:id="347"/>
      <w:bookmarkStart w:id="348" w:name="_Toc184308042"/>
      <w:bookmarkEnd w:id="348"/>
      <w:bookmarkStart w:id="349" w:name="_Toc184312086"/>
      <w:bookmarkEnd w:id="349"/>
      <w:bookmarkStart w:id="350" w:name="_Toc184314416"/>
      <w:bookmarkEnd w:id="350"/>
      <w:bookmarkStart w:id="351" w:name="_Toc184312127"/>
      <w:bookmarkEnd w:id="351"/>
      <w:bookmarkStart w:id="352" w:name="_Toc184314448"/>
      <w:bookmarkEnd w:id="352"/>
      <w:bookmarkStart w:id="353" w:name="_Toc184313271"/>
      <w:bookmarkEnd w:id="353"/>
      <w:bookmarkStart w:id="354" w:name="_Toc184310340"/>
      <w:bookmarkEnd w:id="354"/>
      <w:bookmarkStart w:id="355" w:name="_Toc184310334"/>
      <w:bookmarkEnd w:id="355"/>
      <w:bookmarkStart w:id="356" w:name="_Toc184308107"/>
      <w:bookmarkEnd w:id="356"/>
      <w:bookmarkStart w:id="357" w:name="_Toc184314459"/>
      <w:bookmarkEnd w:id="357"/>
      <w:bookmarkStart w:id="358" w:name="_Toc184308068"/>
      <w:bookmarkEnd w:id="358"/>
      <w:bookmarkStart w:id="359" w:name="_Toc184314475"/>
      <w:bookmarkEnd w:id="359"/>
      <w:bookmarkStart w:id="360" w:name="_Toc184312136"/>
      <w:bookmarkEnd w:id="360"/>
      <w:bookmarkStart w:id="361" w:name="_Toc184308089"/>
      <w:bookmarkEnd w:id="361"/>
      <w:bookmarkStart w:id="362" w:name="_Toc184310322"/>
      <w:bookmarkEnd w:id="362"/>
      <w:bookmarkStart w:id="363" w:name="_Toc184310272"/>
      <w:bookmarkEnd w:id="363"/>
      <w:bookmarkStart w:id="364" w:name="_Toc184313255"/>
      <w:bookmarkEnd w:id="364"/>
      <w:bookmarkStart w:id="365" w:name="_Toc184308103"/>
      <w:bookmarkEnd w:id="365"/>
      <w:bookmarkStart w:id="366" w:name="_Toc184310344"/>
      <w:bookmarkEnd w:id="366"/>
      <w:bookmarkStart w:id="367" w:name="_Toc184312078"/>
      <w:bookmarkEnd w:id="367"/>
      <w:bookmarkStart w:id="368" w:name="_Toc184314447"/>
      <w:bookmarkEnd w:id="368"/>
      <w:bookmarkStart w:id="369" w:name="_Toc184308105"/>
      <w:bookmarkEnd w:id="369"/>
      <w:bookmarkStart w:id="370" w:name="_Toc184314431"/>
      <w:bookmarkEnd w:id="370"/>
      <w:bookmarkStart w:id="371" w:name="_Toc184314426"/>
      <w:bookmarkEnd w:id="371"/>
      <w:bookmarkStart w:id="372" w:name="_Toc184312106"/>
      <w:bookmarkEnd w:id="372"/>
      <w:bookmarkStart w:id="373" w:name="_Toc184308077"/>
      <w:bookmarkEnd w:id="373"/>
      <w:bookmarkStart w:id="374" w:name="_Toc184308057"/>
      <w:bookmarkEnd w:id="374"/>
      <w:bookmarkStart w:id="375" w:name="_Toc184310277"/>
      <w:bookmarkEnd w:id="375"/>
      <w:bookmarkStart w:id="376" w:name="_Toc184314477"/>
      <w:bookmarkEnd w:id="376"/>
      <w:bookmarkStart w:id="377" w:name="_Toc184314413"/>
      <w:bookmarkEnd w:id="377"/>
      <w:bookmarkStart w:id="378" w:name="_Toc184313273"/>
      <w:bookmarkEnd w:id="378"/>
      <w:bookmarkStart w:id="379" w:name="_Toc184310288"/>
      <w:bookmarkEnd w:id="379"/>
      <w:bookmarkStart w:id="380" w:name="_Toc184310311"/>
      <w:bookmarkEnd w:id="380"/>
      <w:bookmarkStart w:id="381" w:name="_Toc184310326"/>
      <w:bookmarkEnd w:id="381"/>
      <w:bookmarkStart w:id="382" w:name="_Toc184308087"/>
      <w:bookmarkEnd w:id="382"/>
      <w:bookmarkStart w:id="383" w:name="_Toc184313266"/>
      <w:bookmarkEnd w:id="383"/>
      <w:bookmarkStart w:id="384" w:name="_Toc184313279"/>
      <w:bookmarkEnd w:id="384"/>
      <w:bookmarkStart w:id="385" w:name="_Toc184313306"/>
      <w:bookmarkEnd w:id="385"/>
      <w:bookmarkStart w:id="386" w:name="_Toc184313276"/>
      <w:bookmarkEnd w:id="386"/>
      <w:bookmarkStart w:id="387" w:name="_Toc184308060"/>
      <w:bookmarkEnd w:id="387"/>
      <w:bookmarkStart w:id="388" w:name="_Toc184308074"/>
      <w:bookmarkEnd w:id="388"/>
      <w:bookmarkStart w:id="389" w:name="_Toc184313307"/>
      <w:bookmarkEnd w:id="389"/>
      <w:bookmarkStart w:id="390" w:name="_Toc184310290"/>
      <w:bookmarkEnd w:id="390"/>
      <w:bookmarkStart w:id="391" w:name="_Toc184314420"/>
      <w:bookmarkEnd w:id="391"/>
      <w:bookmarkStart w:id="392" w:name="_Toc184312071"/>
      <w:bookmarkEnd w:id="392"/>
      <w:bookmarkStart w:id="393" w:name="_Toc184312109"/>
      <w:bookmarkEnd w:id="393"/>
      <w:bookmarkStart w:id="394" w:name="_Toc184314425"/>
      <w:bookmarkEnd w:id="394"/>
      <w:bookmarkStart w:id="395" w:name="_Toc184312067"/>
      <w:bookmarkEnd w:id="395"/>
      <w:r>
        <w:rPr>
          <w:rFonts w:hint="eastAsia" w:ascii="仿宋" w:hAnsi="仿宋" w:eastAsia="仿宋" w:cs="仿宋"/>
          <w:b/>
          <w:color w:val="000000" w:themeColor="text1"/>
          <w:sz w:val="36"/>
          <w:szCs w:val="20"/>
          <w:highlight w:val="none"/>
          <w14:textFill>
            <w14:solidFill>
              <w14:schemeClr w14:val="tx1"/>
            </w14:solidFill>
          </w14:textFill>
        </w:rPr>
        <w:t xml:space="preserve"> 评审办法</w:t>
      </w:r>
    </w:p>
    <w:p>
      <w:pPr>
        <w:snapToGrid w:val="0"/>
        <w:spacing w:line="360" w:lineRule="auto"/>
        <w:jc w:val="center"/>
        <w:rPr>
          <w:rFonts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一、评审方法</w:t>
      </w:r>
    </w:p>
    <w:p>
      <w:pPr>
        <w:adjustRightInd/>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综合评分法，是指响应文件满足磋商文件全部实质性要求且按评审因素的量化指标评审得分最高的供应商为成交候选供应商的评审方法。</w:t>
      </w:r>
    </w:p>
    <w:p>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二、评审标准</w:t>
      </w:r>
    </w:p>
    <w:p>
      <w:pPr>
        <w:spacing w:line="360" w:lineRule="auto"/>
        <w:ind w:firstLine="472" w:firstLineChars="196"/>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评审标准：</w:t>
      </w:r>
    </w:p>
    <w:tbl>
      <w:tblPr>
        <w:tblStyle w:val="62"/>
        <w:tblW w:w="9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1468"/>
        <w:gridCol w:w="6649"/>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序号</w:t>
            </w:r>
          </w:p>
        </w:tc>
        <w:tc>
          <w:tcPr>
            <w:tcW w:w="1468"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评分内容</w:t>
            </w:r>
          </w:p>
        </w:tc>
        <w:tc>
          <w:tcPr>
            <w:tcW w:w="6649"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评分细则</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1</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投标人资质</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响应供应商</w:t>
            </w:r>
            <w:r>
              <w:rPr>
                <w:rFonts w:hint="eastAsia" w:ascii="仿宋" w:hAnsi="仿宋" w:eastAsia="仿宋" w:cs="仿宋"/>
                <w:bCs/>
                <w:color w:val="000000" w:themeColor="text1"/>
                <w:sz w:val="24"/>
                <w:szCs w:val="24"/>
                <w:highlight w:val="none"/>
                <w14:textFill>
                  <w14:solidFill>
                    <w14:schemeClr w14:val="tx1"/>
                  </w14:solidFill>
                </w14:textFill>
              </w:rPr>
              <w:t>具有测绘航空摄影、摄影测量与遥感、工程测量、地理信息系统乙级及以上资质,每提供一个得1分，最高得4分（提供有效的证书复印件，未提供不得分）。</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2</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同类业绩</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响应供应商</w:t>
            </w:r>
            <w:r>
              <w:rPr>
                <w:rFonts w:hint="eastAsia" w:ascii="仿宋" w:hAnsi="仿宋" w:eastAsia="仿宋" w:cs="仿宋"/>
                <w:bCs/>
                <w:color w:val="000000" w:themeColor="text1"/>
                <w:sz w:val="24"/>
                <w:szCs w:val="24"/>
                <w:highlight w:val="none"/>
                <w14:textFill>
                  <w14:solidFill>
                    <w14:schemeClr w14:val="tx1"/>
                  </w14:solidFill>
                </w14:textFill>
              </w:rPr>
              <w:t>2018年1月1日（以合同签订时间为准）至今同类项目实施业绩，每提供1个合同得1分，最多3分（提供合同复印件，未提供不得分）</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3</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9" w:hRule="atLeast"/>
          <w:jc w:val="center"/>
        </w:trPr>
        <w:tc>
          <w:tcPr>
            <w:tcW w:w="799" w:type="dxa"/>
            <w:noWrap w:val="0"/>
            <w:vAlign w:val="center"/>
          </w:tcPr>
          <w:p>
            <w:pPr>
              <w:widowControl w:val="0"/>
              <w:spacing w:line="36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3</w:t>
            </w:r>
          </w:p>
        </w:tc>
        <w:tc>
          <w:tcPr>
            <w:tcW w:w="146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jc w:val="left"/>
              <w:textAlignment w:val="auto"/>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政策分</w:t>
            </w:r>
          </w:p>
        </w:tc>
        <w:tc>
          <w:tcPr>
            <w:tcW w:w="664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textAlignment w:val="auto"/>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报价</w:t>
            </w:r>
            <w:r>
              <w:rPr>
                <w:rFonts w:hint="eastAsia" w:ascii="仿宋" w:hAnsi="仿宋" w:eastAsia="仿宋" w:cs="仿宋"/>
                <w:color w:val="000000" w:themeColor="text1"/>
                <w:sz w:val="24"/>
                <w:szCs w:val="24"/>
                <w:highlight w:val="none"/>
                <w14:textFill>
                  <w14:solidFill>
                    <w14:schemeClr w14:val="tx1"/>
                  </w14:solidFill>
                </w14:textFill>
              </w:rPr>
              <w:t>产品提供市场监管总局关于发布参与实施政府采购节能产品、环境标志产品认证机构名录的公告（2019第16号）通过《参与实施政府采购节能产品认证机构名录》认证机构认证的环境标志产品认证证书或者证书的查询网址及截图的每提供1个得0.5分，最多得1分；节能产品认证证书或者证书的查询网址及截图的每提供1个得0.5分，最多得1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jc w:val="center"/>
              <w:textAlignment w:val="auto"/>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7"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4</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产品性能</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根据所投产品的整体性能情况、与本项目需求的偏离情况进行打分，全部满足得2</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分，其中“★”条款为重要技术指标，每不满足一处扣1分，扣完为止。一般技术指标，每不满足一处扣0.5分，扣完为止。</w:t>
            </w:r>
          </w:p>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（提供包括但不限于官网和功能截图或相应检测报告或产品图册或其他类似效力的相关证明材料佐证）。</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25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5</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投标人管理体系认证</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响应供应商</w:t>
            </w:r>
            <w:r>
              <w:rPr>
                <w:rFonts w:hint="eastAsia" w:ascii="仿宋" w:hAnsi="仿宋" w:eastAsia="仿宋" w:cs="仿宋"/>
                <w:bCs/>
                <w:color w:val="000000" w:themeColor="text1"/>
                <w:sz w:val="24"/>
                <w:szCs w:val="24"/>
                <w:highlight w:val="none"/>
                <w14:textFill>
                  <w14:solidFill>
                    <w14:schemeClr w14:val="tx1"/>
                  </w14:solidFill>
                </w14:textFill>
              </w:rPr>
              <w:t>具有质量管理体系认证证书、环境管理体系认证证书、职业健康安全管理体系认证证书，每提供一个得1分，最多得3分（提供有效的证书复印件，未提供不得分）。</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99" w:type="dxa"/>
            <w:vMerge w:val="restart"/>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6</w:t>
            </w:r>
          </w:p>
        </w:tc>
        <w:tc>
          <w:tcPr>
            <w:tcW w:w="1468" w:type="dxa"/>
            <w:vMerge w:val="restart"/>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项目交付</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实施</w:t>
            </w:r>
            <w:r>
              <w:rPr>
                <w:rFonts w:hint="eastAsia" w:ascii="仿宋" w:hAnsi="仿宋" w:eastAsia="仿宋" w:cs="仿宋"/>
                <w:bCs/>
                <w:color w:val="000000" w:themeColor="text1"/>
                <w:sz w:val="24"/>
                <w:szCs w:val="24"/>
                <w:highlight w:val="none"/>
                <w:lang w:val="zh-CN"/>
                <w14:textFill>
                  <w14:solidFill>
                    <w14:schemeClr w14:val="tx1"/>
                  </w14:solidFill>
                </w14:textFill>
              </w:rPr>
              <w:t>方案</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6</w:t>
            </w:r>
            <w:r>
              <w:rPr>
                <w:rFonts w:hint="eastAsia" w:ascii="仿宋" w:hAnsi="仿宋" w:eastAsia="仿宋" w:cs="仿宋"/>
                <w:bCs/>
                <w:color w:val="000000" w:themeColor="text1"/>
                <w:sz w:val="24"/>
                <w:szCs w:val="24"/>
                <w:highlight w:val="none"/>
                <w:lang w:val="zh-CN"/>
                <w14:textFill>
                  <w14:solidFill>
                    <w14:schemeClr w14:val="tx1"/>
                  </w14:solidFill>
                </w14:textFill>
              </w:rPr>
              <w:t>.1方案完整性、全面性。</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799" w:type="dxa"/>
            <w:vMerge w:val="continue"/>
            <w:noWrap w:val="0"/>
            <w:vAlign w:val="center"/>
          </w:tcPr>
          <w:p>
            <w:pPr>
              <w:spacing w:line="400" w:lineRule="exact"/>
              <w:ind w:firstLine="420"/>
              <w:jc w:val="center"/>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1468" w:type="dxa"/>
            <w:vMerge w:val="continue"/>
            <w:noWrap w:val="0"/>
            <w:vAlign w:val="center"/>
          </w:tcPr>
          <w:p>
            <w:pPr>
              <w:spacing w:line="400" w:lineRule="exact"/>
              <w:ind w:firstLine="420"/>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6</w:t>
            </w:r>
            <w:r>
              <w:rPr>
                <w:rFonts w:hint="eastAsia" w:ascii="仿宋" w:hAnsi="仿宋" w:eastAsia="仿宋" w:cs="仿宋"/>
                <w:bCs/>
                <w:color w:val="000000" w:themeColor="text1"/>
                <w:sz w:val="24"/>
                <w:szCs w:val="24"/>
                <w:highlight w:val="none"/>
                <w:lang w:val="zh-CN"/>
                <w14:textFill>
                  <w14:solidFill>
                    <w14:schemeClr w14:val="tx1"/>
                  </w14:solidFill>
                </w14:textFill>
              </w:rPr>
              <w:t>.2产品选型合理性、配置方案及满足用户要求的优化程度。</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799" w:type="dxa"/>
            <w:vMerge w:val="continue"/>
            <w:noWrap w:val="0"/>
            <w:vAlign w:val="center"/>
          </w:tcPr>
          <w:p>
            <w:pPr>
              <w:spacing w:line="400" w:lineRule="exact"/>
              <w:ind w:firstLine="420"/>
              <w:jc w:val="center"/>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1468" w:type="dxa"/>
            <w:vMerge w:val="continue"/>
            <w:noWrap w:val="0"/>
            <w:vAlign w:val="center"/>
          </w:tcPr>
          <w:p>
            <w:pPr>
              <w:spacing w:line="400" w:lineRule="exact"/>
              <w:ind w:firstLine="420"/>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6</w:t>
            </w:r>
            <w:r>
              <w:rPr>
                <w:rFonts w:hint="eastAsia" w:ascii="仿宋" w:hAnsi="仿宋" w:eastAsia="仿宋" w:cs="仿宋"/>
                <w:bCs/>
                <w:color w:val="000000" w:themeColor="text1"/>
                <w:sz w:val="24"/>
                <w:szCs w:val="24"/>
                <w:highlight w:val="none"/>
                <w:lang w:val="zh-CN"/>
                <w14:textFill>
                  <w14:solidFill>
                    <w14:schemeClr w14:val="tx1"/>
                  </w14:solidFill>
                </w14:textFill>
              </w:rPr>
              <w:t>.3产品结构、性能、特点、功能等方案详尽、描述完整。</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799" w:type="dxa"/>
            <w:vMerge w:val="continue"/>
            <w:noWrap w:val="0"/>
            <w:vAlign w:val="center"/>
          </w:tcPr>
          <w:p>
            <w:pPr>
              <w:spacing w:line="400" w:lineRule="exact"/>
              <w:ind w:firstLine="420"/>
              <w:jc w:val="center"/>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1468" w:type="dxa"/>
            <w:vMerge w:val="continue"/>
            <w:noWrap w:val="0"/>
            <w:vAlign w:val="center"/>
          </w:tcPr>
          <w:p>
            <w:pPr>
              <w:spacing w:line="400" w:lineRule="exact"/>
              <w:ind w:firstLine="420"/>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6.4方案描述完整，具有项目针对性，详细说明施工部署、时间进度、人员安排、施工流程、安全措施内容。</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7</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人员安排</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拟派的项目负责人具有中级职称证书的得2分，具有高级职称证书的得3分（职称证书不重复计分）；具有项目管理专业硕士学位的得2分；本项最高得5分。（提供有效的证书复印件，未提供不得分）</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5</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99" w:type="dxa"/>
            <w:vMerge w:val="restart"/>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8</w:t>
            </w:r>
          </w:p>
        </w:tc>
        <w:tc>
          <w:tcPr>
            <w:tcW w:w="1468" w:type="dxa"/>
            <w:vMerge w:val="restart"/>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售后服务</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8</w:t>
            </w:r>
            <w:r>
              <w:rPr>
                <w:rFonts w:hint="eastAsia" w:ascii="仿宋" w:hAnsi="仿宋" w:eastAsia="仿宋" w:cs="仿宋"/>
                <w:bCs/>
                <w:color w:val="000000" w:themeColor="text1"/>
                <w:sz w:val="24"/>
                <w:szCs w:val="24"/>
                <w:highlight w:val="none"/>
                <w:lang w:val="zh-CN"/>
                <w14:textFill>
                  <w14:solidFill>
                    <w14:schemeClr w14:val="tx1"/>
                  </w14:solidFill>
                </w14:textFill>
              </w:rPr>
              <w:t>.1售后服务响应时间满足采购文件要求的，得1分。</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1</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799" w:type="dxa"/>
            <w:vMerge w:val="continue"/>
            <w:noWrap w:val="0"/>
            <w:vAlign w:val="center"/>
          </w:tcPr>
          <w:p>
            <w:pPr>
              <w:spacing w:line="400" w:lineRule="exact"/>
              <w:ind w:firstLine="420"/>
              <w:jc w:val="center"/>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1468" w:type="dxa"/>
            <w:vMerge w:val="continue"/>
            <w:noWrap w:val="0"/>
            <w:vAlign w:val="center"/>
          </w:tcPr>
          <w:p>
            <w:pPr>
              <w:spacing w:line="400" w:lineRule="exact"/>
              <w:ind w:firstLine="420"/>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8</w:t>
            </w:r>
            <w:r>
              <w:rPr>
                <w:rFonts w:hint="eastAsia" w:ascii="仿宋" w:hAnsi="仿宋" w:eastAsia="仿宋" w:cs="仿宋"/>
                <w:bCs/>
                <w:color w:val="000000" w:themeColor="text1"/>
                <w:sz w:val="24"/>
                <w:szCs w:val="24"/>
                <w:highlight w:val="none"/>
                <w:lang w:val="zh-CN"/>
                <w14:textFill>
                  <w14:solidFill>
                    <w14:schemeClr w14:val="tx1"/>
                  </w14:solidFill>
                </w14:textFill>
              </w:rPr>
              <w:t>.2</w:t>
            </w:r>
            <w:r>
              <w:rPr>
                <w:rFonts w:hint="eastAsia" w:ascii="仿宋" w:hAnsi="仿宋" w:eastAsia="仿宋" w:cs="仿宋"/>
                <w:bCs/>
                <w:color w:val="000000" w:themeColor="text1"/>
                <w:sz w:val="24"/>
                <w:szCs w:val="24"/>
                <w:highlight w:val="none"/>
                <w14:textFill>
                  <w14:solidFill>
                    <w14:schemeClr w14:val="tx1"/>
                  </w14:solidFill>
                </w14:textFill>
              </w:rPr>
              <w:t>提供详细、合理的售后服务方案</w:t>
            </w:r>
            <w:r>
              <w:rPr>
                <w:rFonts w:hint="eastAsia" w:ascii="仿宋" w:hAnsi="仿宋" w:eastAsia="仿宋" w:cs="仿宋"/>
                <w:bCs/>
                <w:color w:val="000000" w:themeColor="text1"/>
                <w:sz w:val="24"/>
                <w:szCs w:val="24"/>
                <w:highlight w:val="none"/>
                <w:lang w:eastAsia="zh-CN"/>
                <w14:textFill>
                  <w14:solidFill>
                    <w14:schemeClr w14:val="tx1"/>
                  </w14:solidFill>
                </w14:textFill>
              </w:rPr>
              <w:t>，</w:t>
            </w:r>
            <w:r>
              <w:rPr>
                <w:rFonts w:hint="eastAsia" w:ascii="仿宋" w:hAnsi="仿宋" w:eastAsia="仿宋" w:cs="仿宋"/>
                <w:bCs/>
                <w:color w:val="000000" w:themeColor="text1"/>
                <w:sz w:val="24"/>
                <w:szCs w:val="24"/>
                <w:highlight w:val="none"/>
                <w14:textFill>
                  <w14:solidFill>
                    <w14:schemeClr w14:val="tx1"/>
                  </w14:solidFill>
                </w14:textFill>
              </w:rPr>
              <w:t>售后维护措施，售后机构、人员信息等内容。</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jc w:val="center"/>
        </w:trPr>
        <w:tc>
          <w:tcPr>
            <w:tcW w:w="799" w:type="dxa"/>
            <w:vMerge w:val="continue"/>
            <w:noWrap w:val="0"/>
            <w:vAlign w:val="center"/>
          </w:tcPr>
          <w:p>
            <w:pPr>
              <w:spacing w:line="400" w:lineRule="exact"/>
              <w:ind w:firstLine="420"/>
              <w:jc w:val="center"/>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1468" w:type="dxa"/>
            <w:vMerge w:val="continue"/>
            <w:noWrap w:val="0"/>
            <w:vAlign w:val="center"/>
          </w:tcPr>
          <w:p>
            <w:pPr>
              <w:spacing w:line="400" w:lineRule="exact"/>
              <w:ind w:firstLine="420"/>
              <w:rPr>
                <w:rFonts w:hint="eastAsia" w:ascii="仿宋" w:hAnsi="仿宋" w:eastAsia="仿宋" w:cs="仿宋"/>
                <w:bCs/>
                <w:color w:val="000000" w:themeColor="text1"/>
                <w:sz w:val="24"/>
                <w:szCs w:val="24"/>
                <w:highlight w:val="none"/>
                <w:lang w:val="zh-CN"/>
                <w14:textFill>
                  <w14:solidFill>
                    <w14:schemeClr w14:val="tx1"/>
                  </w14:solidFill>
                </w14:textFill>
              </w:rPr>
            </w:pP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8</w:t>
            </w:r>
            <w:r>
              <w:rPr>
                <w:rFonts w:hint="eastAsia" w:ascii="仿宋" w:hAnsi="仿宋" w:eastAsia="仿宋" w:cs="仿宋"/>
                <w:bCs/>
                <w:color w:val="000000" w:themeColor="text1"/>
                <w:sz w:val="24"/>
                <w:szCs w:val="24"/>
                <w:highlight w:val="none"/>
                <w:lang w:val="zh-CN"/>
                <w14:textFill>
                  <w14:solidFill>
                    <w14:schemeClr w14:val="tx1"/>
                  </w14:solidFill>
                </w14:textFill>
              </w:rPr>
              <w:t>.3</w:t>
            </w:r>
            <w:r>
              <w:rPr>
                <w:rFonts w:hint="eastAsia" w:ascii="仿宋" w:hAnsi="仿宋" w:eastAsia="仿宋" w:cs="仿宋"/>
                <w:bCs/>
                <w:color w:val="000000" w:themeColor="text1"/>
                <w:sz w:val="24"/>
                <w:szCs w:val="24"/>
                <w:highlight w:val="none"/>
                <w14:textFill>
                  <w14:solidFill>
                    <w14:schemeClr w14:val="tx1"/>
                  </w14:solidFill>
                </w14:textFill>
              </w:rPr>
              <w:t>是否具有较强的本地化服务能力，在本地是否拥有常驻服务和技术支持机构（非本地供应商在项目所在地是否有分公司或办事处或承诺在领取中标通知书7个工作日内设定本地化售后服务点），能提供快速的售后服务响应。</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2</w:t>
            </w:r>
            <w:r>
              <w:rPr>
                <w:rFonts w:hint="eastAsia" w:ascii="仿宋" w:hAnsi="仿宋" w:eastAsia="仿宋" w:cs="仿宋"/>
                <w:bCs/>
                <w:color w:val="000000" w:themeColor="text1"/>
                <w:sz w:val="24"/>
                <w:szCs w:val="24"/>
                <w:highlight w:val="none"/>
                <w:lang w:val="zh-CN"/>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99"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9</w:t>
            </w:r>
          </w:p>
        </w:tc>
        <w:tc>
          <w:tcPr>
            <w:tcW w:w="1468"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配件耗材</w:t>
            </w:r>
          </w:p>
        </w:tc>
        <w:tc>
          <w:tcPr>
            <w:tcW w:w="6649" w:type="dxa"/>
            <w:noWrap w:val="0"/>
            <w:vAlign w:val="center"/>
          </w:tcPr>
          <w:p>
            <w:pPr>
              <w:spacing w:line="400" w:lineRule="exact"/>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bCs/>
                <w:color w:val="000000" w:themeColor="text1"/>
                <w:sz w:val="24"/>
                <w:szCs w:val="24"/>
                <w:highlight w:val="none"/>
                <w:lang w:val="zh-CN"/>
                <w14:textFill>
                  <w14:solidFill>
                    <w14:schemeClr w14:val="tx1"/>
                  </w14:solidFill>
                </w14:textFill>
              </w:rPr>
              <w:t>质保期满后配件、附件、备品备件的准备和保障措施。</w:t>
            </w:r>
          </w:p>
        </w:tc>
        <w:tc>
          <w:tcPr>
            <w:tcW w:w="802" w:type="dxa"/>
            <w:noWrap w:val="0"/>
            <w:vAlign w:val="center"/>
          </w:tcPr>
          <w:p>
            <w:pPr>
              <w:spacing w:line="400" w:lineRule="exact"/>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1" w:hRule="atLeast"/>
          <w:jc w:val="center"/>
        </w:trPr>
        <w:tc>
          <w:tcPr>
            <w:tcW w:w="799" w:type="dxa"/>
            <w:noWrap w:val="0"/>
            <w:vAlign w:val="center"/>
          </w:tcPr>
          <w:p>
            <w:pPr>
              <w:spacing w:line="400" w:lineRule="exact"/>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10</w:t>
            </w:r>
          </w:p>
        </w:tc>
        <w:tc>
          <w:tcPr>
            <w:tcW w:w="1468" w:type="dxa"/>
            <w:noWrap w:val="0"/>
            <w:vAlign w:val="center"/>
          </w:tcPr>
          <w:p>
            <w:pPr>
              <w:spacing w:line="324" w:lineRule="auto"/>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价格评审</w:t>
            </w:r>
          </w:p>
        </w:tc>
        <w:tc>
          <w:tcPr>
            <w:tcW w:w="6649" w:type="dxa"/>
            <w:noWrap w:val="0"/>
            <w:vAlign w:val="center"/>
          </w:tcPr>
          <w:p>
            <w:pPr>
              <w:autoSpaceDE w:val="0"/>
              <w:autoSpaceDN w:val="0"/>
              <w:spacing w:line="324" w:lineRule="auto"/>
              <w:textAlignment w:val="bottom"/>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有效投标报价的最低价作为评标基准价，其最低报价为满分；按［投标报价得分=（评标基准价/投标报价）*</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0］的计算公式计算。</w:t>
            </w:r>
          </w:p>
          <w:p>
            <w:pPr>
              <w:autoSpaceDE w:val="0"/>
              <w:autoSpaceDN w:val="0"/>
              <w:spacing w:line="324" w:lineRule="auto"/>
              <w:textAlignment w:val="bottom"/>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评标过程中，不得去掉报价中的最高报价和最低报价。</w:t>
            </w:r>
          </w:p>
          <w:p>
            <w:pPr>
              <w:spacing w:line="324" w:lineRule="auto"/>
              <w:rPr>
                <w:rFonts w:hint="eastAsia" w:ascii="仿宋" w:hAnsi="仿宋" w:eastAsia="仿宋" w:cs="仿宋"/>
                <w:bCs/>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因落实政府采购政策需要进行价格调整的，以调整后的价格计算评标基准价和投标报价。</w:t>
            </w:r>
          </w:p>
        </w:tc>
        <w:tc>
          <w:tcPr>
            <w:tcW w:w="802" w:type="dxa"/>
            <w:noWrap w:val="0"/>
            <w:vAlign w:val="center"/>
          </w:tcPr>
          <w:p>
            <w:pPr>
              <w:spacing w:line="324" w:lineRule="auto"/>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0分</w:t>
            </w:r>
          </w:p>
        </w:tc>
      </w:tr>
    </w:tbl>
    <w:p>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三、评审程序</w:t>
      </w:r>
    </w:p>
    <w:p>
      <w:pPr>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磋商小组应当对符合资格的供应商的响应文件进行符合性审查，以确定其是否满足采购文件的实质性要求。不满足采购文件的实质性要求的，响应文件无效。</w:t>
      </w:r>
    </w:p>
    <w:p>
      <w:pPr>
        <w:spacing w:line="360" w:lineRule="auto"/>
        <w:ind w:firstLine="472" w:firstLineChars="19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磋商。</w:t>
      </w:r>
      <w:r>
        <w:rPr>
          <w:rFonts w:hint="eastAsia" w:ascii="仿宋" w:hAnsi="仿宋" w:eastAsia="仿宋" w:cs="仿宋"/>
          <w:color w:val="000000" w:themeColor="text1"/>
          <w:sz w:val="24"/>
          <w:highlight w:val="none"/>
          <w14:textFill>
            <w14:solidFill>
              <w14:schemeClr w14:val="tx1"/>
            </w14:solidFill>
          </w14:textFill>
        </w:rPr>
        <w:t>磋商小组将对确定为实质性响应本采购文件的响应文件进行详细评价和比较，主要就资信、服务方案内容、服务承诺等磋商小组认为与本次采购有关的因素与</w:t>
      </w:r>
      <w:r>
        <w:rPr>
          <w:rFonts w:hint="eastAsia" w:ascii="仿宋" w:hAnsi="仿宋" w:eastAsia="仿宋" w:cs="仿宋"/>
          <w:color w:val="000000" w:themeColor="text1"/>
          <w:kern w:val="0"/>
          <w:sz w:val="24"/>
          <w:highlight w:val="none"/>
          <w14:textFill>
            <w14:solidFill>
              <w14:schemeClr w14:val="tx1"/>
            </w14:solidFill>
          </w14:textFill>
        </w:rPr>
        <w:t>符合性审查合格的</w:t>
      </w:r>
      <w:r>
        <w:rPr>
          <w:rFonts w:hint="eastAsia" w:ascii="仿宋" w:hAnsi="仿宋" w:eastAsia="仿宋" w:cs="仿宋"/>
          <w:color w:val="000000" w:themeColor="text1"/>
          <w:sz w:val="24"/>
          <w:highlight w:val="none"/>
          <w14:textFill>
            <w14:solidFill>
              <w14:schemeClr w14:val="tx1"/>
            </w14:solidFill>
          </w14:textFill>
        </w:rPr>
        <w:t>供应商逐一进行磋商。</w:t>
      </w:r>
    </w:p>
    <w:p>
      <w:pPr>
        <w:spacing w:line="360" w:lineRule="auto"/>
        <w:ind w:firstLine="470" w:firstLineChars="196"/>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3.2.1 </w:t>
      </w:r>
      <w:r>
        <w:rPr>
          <w:rFonts w:hint="eastAsia" w:ascii="仿宋" w:hAnsi="仿宋" w:eastAsia="仿宋" w:cs="仿宋"/>
          <w:color w:val="000000" w:themeColor="text1"/>
          <w:sz w:val="24"/>
          <w:highlight w:val="none"/>
          <w14:textFill>
            <w14:solidFill>
              <w14:schemeClr w14:val="tx1"/>
            </w14:solidFill>
          </w14:textFill>
        </w:rPr>
        <w:t>供应商逐家回答磋商小组的提问；</w:t>
      </w:r>
      <w:r>
        <w:rPr>
          <w:rFonts w:hint="eastAsia" w:ascii="仿宋" w:hAnsi="仿宋" w:eastAsia="仿宋" w:cs="仿宋"/>
          <w:b/>
          <w:color w:val="000000" w:themeColor="text1"/>
          <w:sz w:val="24"/>
          <w:highlight w:val="none"/>
          <w14:textFill>
            <w14:solidFill>
              <w14:schemeClr w14:val="tx1"/>
            </w14:solidFill>
          </w14:textFill>
        </w:rPr>
        <w:t>逐家磋商一次为一个轮次，磋商轮次根据实际情况进行。</w:t>
      </w:r>
    </w:p>
    <w:p>
      <w:pPr>
        <w:spacing w:line="360" w:lineRule="auto"/>
        <w:ind w:firstLine="470" w:firstLineChars="19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3.2.2 </w:t>
      </w:r>
      <w:r>
        <w:rPr>
          <w:rFonts w:hint="eastAsia" w:ascii="仿宋" w:hAnsi="仿宋" w:eastAsia="仿宋" w:cs="仿宋"/>
          <w:color w:val="000000" w:themeColor="text1"/>
          <w:sz w:val="24"/>
          <w:highlight w:val="none"/>
          <w14:textFill>
            <w14:solidFill>
              <w14:schemeClr w14:val="tx1"/>
            </w14:solidFill>
          </w14:textFill>
        </w:rPr>
        <w:t>供应商应按磋商小组通知的时间在线或以邮件回复做出承诺或回复，承诺或回复的内容须由供应商法定代表人或授权代表签署，并作为响应文件的补充部分。</w:t>
      </w:r>
    </w:p>
    <w:p>
      <w:pPr>
        <w:spacing w:line="360" w:lineRule="auto"/>
        <w:ind w:firstLine="470" w:firstLineChars="196"/>
        <w:rPr>
          <w:rFonts w:ascii="仿宋" w:hAnsi="仿宋" w:eastAsia="仿宋" w:cs="仿宋"/>
          <w:bCs/>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 在磋商过程中，磋商小组可以根据磋商文件和磋商情况实质性变动采购需求中的“※”号技术、服务要求以及合同草案中的“※”号条款，但不得变动磋商文件中的其他内容。实质性变动的内容，须经采购人代表确认。磋商文件有实质性变动的，磋商小组将以书面形式通知所有</w:t>
      </w:r>
      <w:r>
        <w:rPr>
          <w:rFonts w:hint="eastAsia" w:ascii="仿宋" w:hAnsi="仿宋" w:eastAsia="仿宋" w:cs="仿宋"/>
          <w:color w:val="000000" w:themeColor="text1"/>
          <w:kern w:val="0"/>
          <w:sz w:val="24"/>
          <w:highlight w:val="none"/>
          <w14:textFill>
            <w14:solidFill>
              <w14:schemeClr w14:val="tx1"/>
            </w14:solidFill>
          </w14:textFill>
        </w:rPr>
        <w:t>符合性审查合格的</w:t>
      </w:r>
      <w:r>
        <w:rPr>
          <w:rFonts w:hint="eastAsia" w:ascii="仿宋" w:hAnsi="仿宋" w:eastAsia="仿宋" w:cs="仿宋"/>
          <w:color w:val="000000" w:themeColor="text1"/>
          <w:sz w:val="24"/>
          <w:highlight w:val="none"/>
          <w14:textFill>
            <w14:solidFill>
              <w14:schemeClr w14:val="tx1"/>
            </w14:solidFill>
          </w14:textFill>
        </w:rPr>
        <w:t xml:space="preserve">供应商。 </w:t>
      </w:r>
    </w:p>
    <w:p>
      <w:pPr>
        <w:spacing w:line="360" w:lineRule="auto"/>
        <w:ind w:firstLine="472" w:firstLineChars="196"/>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3.3最后报价</w:t>
      </w:r>
    </w:p>
    <w:p>
      <w:pPr>
        <w:spacing w:line="360" w:lineRule="auto"/>
        <w:ind w:firstLine="470"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3.3.1 磋商文件能够详细列明采购标的的技术、服务要求的，磋商结束后，磋商小组应当要求所有符合性审查合格的供应商在规定时间内提交最后报价，提交最后报价的供应商不得少于3家。</w:t>
      </w:r>
    </w:p>
    <w:p>
      <w:pPr>
        <w:spacing w:line="360" w:lineRule="auto"/>
        <w:ind w:firstLine="470"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3.3.3 已提交响应文件的供应商，在提交最后报价之前，可以根据磋商情况退出磋商</w:t>
      </w:r>
    </w:p>
    <w:p>
      <w:pPr>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 综合评分。</w:t>
      </w:r>
      <w:r>
        <w:rPr>
          <w:rFonts w:hint="eastAsia" w:ascii="仿宋" w:hAnsi="仿宋" w:eastAsia="仿宋" w:cs="仿宋"/>
          <w:bCs/>
          <w:color w:val="000000" w:themeColor="text1"/>
          <w:kern w:val="0"/>
          <w:sz w:val="24"/>
          <w:highlight w:val="none"/>
          <w14:textFill>
            <w14:solidFill>
              <w14:schemeClr w14:val="tx1"/>
            </w14:solidFill>
          </w14:textFill>
        </w:rPr>
        <w:t>经磋商确定最终采购需求和提交最后报价的供应商后，</w:t>
      </w:r>
      <w:r>
        <w:rPr>
          <w:rFonts w:hint="eastAsia" w:ascii="仿宋" w:hAnsi="仿宋" w:eastAsia="仿宋" w:cs="仿宋"/>
          <w:color w:val="000000" w:themeColor="text1"/>
          <w:kern w:val="0"/>
          <w:sz w:val="24"/>
          <w:highlight w:val="none"/>
          <w14:textFill>
            <w14:solidFill>
              <w14:schemeClr w14:val="tx1"/>
            </w14:solidFill>
          </w14:textFill>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3.5汇总商务技术得分。</w:t>
      </w:r>
      <w:r>
        <w:rPr>
          <w:rFonts w:hint="eastAsia" w:ascii="仿宋" w:hAnsi="仿宋" w:eastAsia="仿宋" w:cs="仿宋"/>
          <w:color w:val="000000" w:themeColor="text1"/>
          <w:kern w:val="0"/>
          <w:sz w:val="24"/>
          <w:highlight w:val="none"/>
          <w14:textFill>
            <w14:solidFill>
              <w14:schemeClr w14:val="tx1"/>
            </w14:solidFill>
          </w14:textFill>
        </w:rPr>
        <w:t>磋商小组各成员应当独立对每个供应商的商务和技术文件进行评价，并汇总商务技术得分情况。</w:t>
      </w:r>
    </w:p>
    <w:p>
      <w:pPr>
        <w:spacing w:line="360" w:lineRule="auto"/>
        <w:ind w:firstLine="472" w:firstLineChars="196"/>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3.6报价评审。</w:t>
      </w:r>
    </w:p>
    <w:p>
      <w:pPr>
        <w:pStyle w:val="130"/>
        <w:spacing w:before="0"/>
        <w:ind w:firstLine="508" w:firstLineChars="212"/>
        <w:rPr>
          <w:rFonts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3.6.1响应文件报价出现前后不一致的，按照下列规定修正：</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3.6.1.1响应文件中报价表内容与响应文件中相应内容不一致的，以报价表为准。</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3.6.1.2大写金额和小写金额不一致的，以大写金额为准。</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3.6.1.3单价金额小数点或者百分比有明显错位的，以报价表的总价为准，并修改单价。</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3.6.1.4总价金额与按单价汇总金额不一致的，以单价金额计算结果为准。</w:t>
      </w:r>
    </w:p>
    <w:p>
      <w:pPr>
        <w:pStyle w:val="130"/>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3.6.1.5同时出现两种以上不一致的，按照3.6.1规定的顺序修正。修正后的报价经供应商确认后产生约束力。</w:t>
      </w:r>
    </w:p>
    <w:p>
      <w:pPr>
        <w:snapToGrid w:val="0"/>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3.6.2响应文件出现不是唯一的、有选择性最后报价的，响应文件无效。</w:t>
      </w:r>
    </w:p>
    <w:p>
      <w:pPr>
        <w:snapToGrid w:val="0"/>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3.6.3最后报价超过采购文件中规定的预算金额或者最高限价的，响应文件无效。</w:t>
      </w:r>
    </w:p>
    <w:p>
      <w:pPr>
        <w:snapToGrid w:val="0"/>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3.6.4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3.7排序与推荐。</w:t>
      </w:r>
      <w:r>
        <w:rPr>
          <w:rFonts w:hint="eastAsia" w:ascii="仿宋" w:hAnsi="仿宋" w:eastAsia="仿宋" w:cs="仿宋"/>
          <w:color w:val="000000" w:themeColor="text1"/>
          <w:kern w:val="0"/>
          <w:sz w:val="24"/>
          <w:highlight w:val="none"/>
          <w14:textFill>
            <w14:solidFill>
              <w14:schemeClr w14:val="tx1"/>
            </w14:solidFill>
          </w14:textFill>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供应商提供相同品牌产品（单一产品采购项目中的该产品或者非单一产品采购项目的核心产品）且通过资格审查、符合性审查的不同供应商参加同一合同项下磋商的，按一家供应商计算，评审后得分最高的同品牌供应商获得成交供应商推荐资格；评审得分相同的，采取随机抽取方式确定，其他同品牌供应商不作为成交候选人。</w:t>
      </w:r>
    </w:p>
    <w:p>
      <w:pPr>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3.8编写评审报告。</w:t>
      </w:r>
      <w:r>
        <w:rPr>
          <w:rFonts w:hint="eastAsia" w:ascii="仿宋" w:hAnsi="仿宋" w:eastAsia="仿宋" w:cs="仿宋"/>
          <w:color w:val="000000" w:themeColor="text1"/>
          <w:kern w:val="0"/>
          <w:sz w:val="24"/>
          <w:highlight w:val="none"/>
          <w14:textFill>
            <w14:solidFill>
              <w14:schemeClr w14:val="tx1"/>
            </w14:solidFill>
          </w14:textFill>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四、评审中的其他事项</w:t>
      </w:r>
    </w:p>
    <w:p>
      <w:pPr>
        <w:pStyle w:val="130"/>
        <w:spacing w:before="0"/>
        <w:ind w:firstLine="472" w:firstLineChars="196"/>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4.1供应商澄清、说明或者补正。</w:t>
      </w:r>
      <w:r>
        <w:rPr>
          <w:rFonts w:hint="eastAsia" w:ascii="仿宋" w:hAnsi="仿宋" w:eastAsia="仿宋" w:cs="仿宋"/>
          <w:color w:val="000000" w:themeColor="text1"/>
          <w:kern w:val="0"/>
          <w:szCs w:val="24"/>
          <w:highlight w:val="none"/>
          <w14:textFill>
            <w14:solidFill>
              <w14:schemeClr w14:val="tx1"/>
            </w14:solidFill>
          </w14:textFill>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5"/>
        <w:spacing w:line="360" w:lineRule="auto"/>
        <w:ind w:left="954" w:leftChars="226" w:hanging="479" w:firstLineChars="0"/>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4.2响应文件无效。</w:t>
      </w:r>
      <w:r>
        <w:rPr>
          <w:rFonts w:hint="eastAsia" w:ascii="仿宋" w:hAnsi="仿宋" w:eastAsia="仿宋" w:cs="仿宋"/>
          <w:color w:val="000000" w:themeColor="text1"/>
          <w:szCs w:val="21"/>
          <w:highlight w:val="none"/>
          <w14:textFill>
            <w14:solidFill>
              <w14:schemeClr w14:val="tx1"/>
            </w14:solidFill>
          </w14:textFill>
        </w:rPr>
        <w:t>有下列情形之一的，响应文件无效：</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4.2.1供应商不具备采购文件中规定的资格要求的（供应商未提供有效的资格文件的，视为供应商不具备采购文件中规定的资格要求）。</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4.2.2响应文件未按照采购文件要求签署、盖章的。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4.2.3采购人拟采购的产品属于政府强制采购的节能产品品目清单范围的，供应商未按采购文件要求提供国家确定的认证机构出具的、处于有效期之内的节能产品认证证书的。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4.2.4响应文件含有采购人不能接受的附加条件的。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4.2.5响应文件中承诺的响应文件有效期少于采购文件中载明的响应文件有效期的。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4.2.6响应文件出现不是唯一的、有选择性最后报价的。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4.2.7最后报价超过采购文件中规定的预算金额或者最高限价的。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4.2.8报价明显低于其他通过符合性审查供应商的报价，有可能影响产品质量或者不能诚信履约的，未能按要求提供书面说明或者提交相关证明材料，不能证明其报价合理性的；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4.2.9供应商对根据修正原则修正后的报价不确认的。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4.2.10供应商提供虚假材料响应的。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4.2.11供应商有恶意串通、妨碍其他供应商的竞争行为、损害采购人或者其他供应商的合法权益情形的。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4.2.12供应商仅提交备份响应文件，未在电子交易平台传输递交响应文件的，响应文件无效。</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4.2.13 响应文件不满足采购文件的其它实质性要求的。</w:t>
      </w:r>
    </w:p>
    <w:p>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pPr>
        <w:pStyle w:val="25"/>
        <w:snapToGrid w:val="0"/>
        <w:spacing w:line="360" w:lineRule="auto"/>
        <w:ind w:firstLine="472" w:firstLineChars="196"/>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5.1符合专业条件的供应商或者对采购文件作实质响应的供应商不足3家的。</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5.3供应商的报价均超过了采购预算，采购人不能支付的。</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废标后，采购机构应当将废标理由通知所有供应商。</w:t>
      </w:r>
    </w:p>
    <w:p>
      <w:pPr>
        <w:pStyle w:val="25"/>
        <w:snapToGrid w:val="0"/>
        <w:spacing w:line="360" w:lineRule="auto"/>
        <w:ind w:firstLine="482"/>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6.重新开展采购。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有政府采购法第七十一条、第七十二条规定的违法行为之一，影响或者可能影响成交结果的，依照下列规定处理：</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6.1未确定成交供应商的，终止本次政府采购活动，重新开展政府采购活动。</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6.2已确定成交供应商但尚未签订政府采购合同的，成交结果无效，从合格的成交候选供应商中另行确定成交供应商；没有合格的成交候选供应商的，重新开展政府采购活动。</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6.3政府采购合同已签订但尚未履行的，撤销合同，从合格的成交候选供应商中另行确定成交供应商；没有合格的成交候选供应商的，重新开展政府采购活动。</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6.4政府采购合同已经履行，给采购人、供应商造成损失的，由责任人承担赔偿责任。</w:t>
      </w:r>
    </w:p>
    <w:p>
      <w:pPr>
        <w:pStyle w:val="25"/>
        <w:snapToGrid w:val="0"/>
        <w:spacing w:line="360" w:lineRule="auto"/>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6.5政府采购当事人有其他违反政府采购法或者政府采购法实施条例等法律法规规定的行为，经改正后仍然影响或者可能影响成交结果或者依法被认定为成交无效的，依照6.1-6.4规定处理。</w:t>
      </w:r>
    </w:p>
    <w:p>
      <w:pPr>
        <w:pStyle w:val="25"/>
        <w:snapToGrid w:val="0"/>
        <w:spacing w:line="360" w:lineRule="auto"/>
        <w:ind w:firstLine="0" w:firstLineChars="0"/>
        <w:rPr>
          <w:rFonts w:ascii="仿宋" w:hAnsi="仿宋" w:eastAsia="仿宋" w:cs="仿宋"/>
          <w:color w:val="000000" w:themeColor="text1"/>
          <w:highlight w:val="none"/>
          <w14:textFill>
            <w14:solidFill>
              <w14:schemeClr w14:val="tx1"/>
            </w14:solidFill>
          </w14:textFill>
        </w:rPr>
        <w:sectPr>
          <w:headerReference r:id="rId10" w:type="default"/>
          <w:footerReference r:id="rId11" w:type="default"/>
          <w:pgSz w:w="11907" w:h="16840"/>
          <w:pgMar w:top="1440" w:right="1080" w:bottom="1440" w:left="1080" w:header="851" w:footer="851" w:gutter="0"/>
          <w:pgNumType w:fmt="decimal"/>
          <w:cols w:space="720" w:num="1"/>
        </w:sectPr>
      </w:pPr>
    </w:p>
    <w:bookmarkEnd w:id="30"/>
    <w:p>
      <w:pPr>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bookmarkStart w:id="396" w:name="第五部分"/>
      <w:bookmarkStart w:id="397" w:name="_Toc86217003"/>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pPr>
        <w:pStyle w:val="33"/>
        <w:spacing w:line="360" w:lineRule="auto"/>
        <w:ind w:firstLine="420"/>
        <w:rPr>
          <w:rFonts w:ascii="仿宋" w:hAnsi="仿宋" w:eastAsia="仿宋" w:cs="仿宋"/>
          <w:color w:val="000000" w:themeColor="text1"/>
          <w:sz w:val="24"/>
          <w:szCs w:val="24"/>
          <w:highlight w:val="none"/>
          <w14:textFill>
            <w14:solidFill>
              <w14:schemeClr w14:val="tx1"/>
            </w14:solidFill>
          </w14:textFill>
        </w:rPr>
      </w:pP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甲  方（委托方）： </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乙  方（受托方）： </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采购代理机构（鉴证方）：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根据《中华人民共和国民法典》等法律法规和浙江交通职业技术学院工程测量实训室扩建（采购编号：BSZB2022-AZZC128），磋商文件，磋商响应文件、磋商记录等相关材料；经双方协商，同意签订本合同，共同遵守。</w:t>
      </w:r>
    </w:p>
    <w:p>
      <w:pPr>
        <w:pStyle w:val="25"/>
        <w:snapToGrid w:val="0"/>
        <w:spacing w:line="360" w:lineRule="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 xml:space="preserve">一、采购产品清单及合同价格    </w:t>
      </w:r>
      <w:r>
        <w:rPr>
          <w:rFonts w:hint="eastAsia" w:ascii="仿宋" w:hAnsi="仿宋" w:eastAsia="仿宋" w:cs="仿宋"/>
          <w:b/>
          <w:bCs/>
          <w:color w:val="000000" w:themeColor="text1"/>
          <w:kern w:val="0"/>
          <w:highlight w:val="none"/>
          <w14:textFill>
            <w14:solidFill>
              <w14:schemeClr w14:val="tx1"/>
            </w14:solidFill>
          </w14:textFill>
        </w:rPr>
        <w:t xml:space="preserve">   </w:t>
      </w:r>
      <w:r>
        <w:rPr>
          <w:rFonts w:hint="eastAsia" w:ascii="仿宋" w:hAnsi="仿宋" w:eastAsia="仿宋" w:cs="仿宋"/>
          <w:color w:val="000000" w:themeColor="text1"/>
          <w:kern w:val="0"/>
          <w:highlight w:val="none"/>
          <w14:textFill>
            <w14:solidFill>
              <w14:schemeClr w14:val="tx1"/>
            </w14:solidFill>
          </w14:textFill>
        </w:rPr>
        <w:t xml:space="preserve">  </w:t>
      </w:r>
      <w:r>
        <w:rPr>
          <w:rFonts w:hint="eastAsia" w:ascii="仿宋" w:hAnsi="仿宋" w:eastAsia="仿宋" w:cs="仿宋"/>
          <w:bCs/>
          <w:color w:val="000000" w:themeColor="text1"/>
          <w:sz w:val="24"/>
          <w:szCs w:val="24"/>
          <w:highlight w:val="none"/>
          <w14:textFill>
            <w14:solidFill>
              <w14:schemeClr w14:val="tx1"/>
            </w14:solidFill>
          </w14:textFill>
        </w:rPr>
        <w:t xml:space="preserve">               </w:t>
      </w:r>
    </w:p>
    <w:tbl>
      <w:tblPr>
        <w:tblStyle w:val="62"/>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1"/>
        <w:gridCol w:w="3316"/>
        <w:gridCol w:w="1289"/>
        <w:gridCol w:w="1289"/>
        <w:gridCol w:w="1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2211"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品名</w:t>
            </w:r>
          </w:p>
        </w:tc>
        <w:tc>
          <w:tcPr>
            <w:tcW w:w="3316"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技术参数</w:t>
            </w: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数量</w:t>
            </w: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单价</w:t>
            </w:r>
          </w:p>
        </w:tc>
        <w:tc>
          <w:tcPr>
            <w:tcW w:w="1352"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2211"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3316"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352" w:type="dxa"/>
            <w:tcBorders>
              <w:bottom w:val="single" w:color="auto" w:sz="4" w:space="0"/>
            </w:tcBorders>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2211"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3316"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352" w:type="dxa"/>
            <w:tcBorders>
              <w:bottom w:val="single" w:color="auto" w:sz="4" w:space="0"/>
            </w:tcBorders>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2211"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3316"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289"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c>
          <w:tcPr>
            <w:tcW w:w="1352" w:type="dxa"/>
            <w:tcBorders>
              <w:bottom w:val="single" w:color="auto" w:sz="4" w:space="0"/>
            </w:tcBorders>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8105" w:type="dxa"/>
            <w:gridSpan w:val="4"/>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合计：</w:t>
            </w:r>
          </w:p>
        </w:tc>
        <w:tc>
          <w:tcPr>
            <w:tcW w:w="1352" w:type="dxa"/>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9457" w:type="dxa"/>
            <w:gridSpan w:val="5"/>
            <w:noWrap w:val="0"/>
            <w:vAlign w:val="center"/>
          </w:tcPr>
          <w:p>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 xml:space="preserve">合同总价（人民币大写）： </w:t>
            </w:r>
          </w:p>
        </w:tc>
      </w:tr>
    </w:tbl>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注：本合同价已经包括货款、标准附件、备品备件、专用工具、资料手册、包装、运输、装卸、保险、税金、货到就位以及安装、调试、培训、保修等一切税金和费用。</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二、质量保证</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1、乙方所提供的货物技术规格符合采购文件规定的技术规格，货物符合中华人民共和国的设计和制造生产标准或行业标准。</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2、乙方应保证货物是全新、未使用过的原装合格正品（包括零部件），并完全符合甲方要求的质量、规格和性能要求。如货物安装或配置了软件，乙方保证相关软件均为正版软件。</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三、技术资料</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1、乙方应按采购文件规定的时间向甲方提供使用货物的有关技术资料。</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没有甲方事先书面同意，乙方不得将由甲方提供的有关合同或任何合同条文、规格、计划、图纸、样品或资料提供给与履行本合同无关的任何其他人。即向履行本合同有关的人员提供，也是应注意保密并限于履行合同的必需范围。</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四、知识产权</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1、乙方应保证所提供的货物或其任何一部分均不会侵犯任何第三方产权。</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五、产权担保</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1、乙方保证所交付的货物的所有权完全属于乙方且无任何抵押、查封等产权瑕疵。</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六、转包或分包</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1、本合同范围的货物，应由乙方直接供应，不得转让他人供应；</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2、除非得到甲方的书面同意，乙方不得将本合同范围的货物全部或部分分包给他人供应；</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3、如有转让和未经甲方同意的分包行为，甲方有权解除合同，没收履约保证金并追究乙方的违约责任。</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七、项目实施时间、地点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1、项目完成时间：合同签订后    天内。</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2、实施地点：浙江交通职业技术学院。</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八、履约保证金</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合同签订后7个工作日内，乙方应以支票/汇票/电汇/或金融机构、担保机构出据的保函等非现金形式，向甲方提交合同金额</w:t>
      </w:r>
      <w:r>
        <w:rPr>
          <w:rFonts w:hint="eastAsia" w:ascii="仿宋" w:hAnsi="仿宋" w:eastAsia="仿宋" w:cs="仿宋"/>
          <w:color w:val="000000" w:themeColor="text1"/>
          <w:highlight w:val="none"/>
          <w:lang w:val="en-US" w:eastAsia="zh-CN"/>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%的履约保证金；合同履约完毕，经甲方相关部门验收合格后，按合同约定扣除相关款项（如有）后7个工作日内无息退还。 </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九、付款方式</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合同生效以及具备项目实施条件后7个工作日内，甲方支付合同总价40%的预付款；合同履行完毕并经甲方验收合格，乙方提供正式发票后，由甲方在7个工作日内付清剩余合同款项。</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十、税费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本合同执行中相关的一切税费均由乙方承担。</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十一、售后服务</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1、设备（产品）质保期   年。产品质保期为通过验收之日起开始计算。</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2、因乙方的原因出现问题，应免费到现场进行再次调试，直至系统恢复正常为止。</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3、保修期内，免费提供维修及软件维护、升级等技术支持服务；所有产品维修服务、软件维护、升级均为上门服务，由此产生的费用均不再收取。</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在质保期内，发生系统故障等问题，乙方应在接到报修通知后，在2小时内提出解决方案和操作建议，远程指导争取当日解决，如不能解决，维修人员应在48小时内到达现场，查明故障原因并予以解决；对于损坏的设备，供应商在接到甲方通知后，在3天内完成损坏设备的维修更换，使系统或设备恢复正常工作。备件、人员、交通等费用完全由乙方承担。</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5、技术支持：乙方应及时免费提供合同货物软件（如有）的升级，免费提供合同货物新功能和应用的资料。</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十二、培训</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十三、安装调试（若需要安装调试）</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1、安装地点：甲方指定地点。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2、安装标准：符合我国国家有关技术规范要求和技术标准。</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3、乙方应免费提供合同货物的安装服务。</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4、乙方在投标文件中应提供安装调试计划、对安装场地和环境的要求。</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十四、验收</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应提供合同货物的有效检验文件，经甲方认可后，与货物的性能指标一起作为合同货物验收标准。甲方对合同货物验收合格后，双方共同签署验收合格证书，验收中发现合同货物达不到验收标准或合同规定的性能指标，乙方必须更换合同货物，并负担由此给甲方造成的损失，直到验收合格为止。</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2、乙方应于投标文件中提供合同货物的验收标准和检测办法，并在验收中提供甲方认可的相应检测手段，验收标准应符合中国有关的国家、地方、行业的标准，经甲方确认后作为验收的依据。</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3、如乙方委托国内代理（或其他机构）负责安装或配合安装，应在签约时指明，但乙方仍要对合同货物及其安装质量负全部责任。</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4、验收费用由乙方承担。</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十五、货物包装、发运及运输</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1、乙方应在货物发运前对其进行满足运输距离、防潮、防震、防锈和防破损装卸等要求包装，以保证货物安全运达甲方指定地点。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2、使用说明书、质量检验证明书、随配附件和工具以及清单一并附于货物内。</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3、乙方在货物发运手续办理毕后24小时内货到甲方48小时前通知甲方，以准备接货。</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4、货物在交付甲方前发生的风险均由乙方负责。</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5、货物在规定的交付期限内由乙方送达甲方指定的地点视为交付，乙方同时需通知甲方货物已送达。</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十六、违约责任</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1、甲方无正当理由拒收货物的，甲方向乙方偿付拒收货款总值的百分之五的违约金。</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2、甲方无故逾期验收和支付手续的，甲方应按逾期付款总额每日万分之五向乙方支付违约金。</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乙方逾期交付货物的，乙方应按逾期交货总额每日千分之六向甲方支付违约金，由甲方从待付款中扣除。逾期超过约定日期10个工作日不能交货的，甲方解除本合同。乙方因逾期交货或因其他违约行为导致甲方解除合同的，乙方应向甲方支付合同总价5%的违约金，如造成甲方损失超过违约金的，超出部分由乙方继续承担赔偿责任。</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十七、不可抗力事件处理</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1、在合同有效期内，任何一方因不可抗力事件导致不能履行合同，则合同发行期可延长，其延长与不可抗力影响期相同。</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2、不可抗力事件发生后，应立即通知对方，并寄送有关权威机构出具的证明。</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3、不可抗力事件延续120天以上，双方应通过友好协商，确定是否继续履行合同。</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十八、诉讼</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1、双方在执行合同中所发生的一切争议，应通过协商解决。如协商不成，可向甲方所在地法院起诉。</w:t>
      </w:r>
    </w:p>
    <w:p>
      <w:pPr>
        <w:pStyle w:val="25"/>
        <w:snapToGrid w:val="0"/>
        <w:spacing w:line="360" w:lineRule="auto"/>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十九、合同的生效及其它</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1、本合同经甲方、乙方、鉴证方三方法定代表人或其委托人签字并加盖公章后生效。</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2、本合同未尽事宜，遵照《民法典》有关条文执行。</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3、本合同正本一式伍份，具有同等法律效力，甲乙双方各执二份、鉴证方执一份。合同自签字盖章之日起生效。</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甲方：                                  乙方：</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地址：                                  地址：</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法定代表人（或委托代理人）签字：        法定代表人（或委托代理人）签字：</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开户银行：                              开户银行：</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帐号：                                  帐号：</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鉴证方：杭州博实招标代理有限公司</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法定代表人或授权委托人（签字）：</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地址：杭州市西湖区振华路200号瑞鼎大厦B-606 </w:t>
      </w: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p>
    <w:p>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sectPr>
          <w:pgSz w:w="11906" w:h="16838"/>
          <w:pgMar w:top="1247" w:right="1134" w:bottom="1134" w:left="1417" w:header="720" w:footer="879" w:gutter="0"/>
          <w:pgNumType w:fmt="decimal"/>
          <w:cols w:space="720" w:num="1"/>
          <w:docGrid w:type="lines" w:linePitch="389" w:charSpace="0"/>
        </w:sectPr>
      </w:pPr>
      <w:r>
        <w:rPr>
          <w:rFonts w:hint="eastAsia" w:ascii="仿宋" w:hAnsi="仿宋" w:eastAsia="仿宋" w:cs="仿宋"/>
          <w:color w:val="000000" w:themeColor="text1"/>
          <w:highlight w:val="none"/>
          <w14:textFill>
            <w14:solidFill>
              <w14:schemeClr w14:val="tx1"/>
            </w14:solidFill>
          </w14:textFill>
        </w:rPr>
        <w:t xml:space="preserve">                                            签订日期：</w:t>
      </w:r>
    </w:p>
    <w:p>
      <w:pPr>
        <w:jc w:val="cente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w:t>
      </w:r>
      <w:bookmarkEnd w:id="396"/>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397"/>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仿宋"/>
          <w:color w:val="000000" w:themeColor="text1"/>
          <w:sz w:val="24"/>
          <w:highlight w:val="none"/>
          <w14:textFill>
            <w14:solidFill>
              <w14:schemeClr w14:val="tx1"/>
            </w14:solidFill>
          </w14:textFill>
        </w:rPr>
        <w:t>………………………………………………………………（页码）</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（3）落实政府采购政策需满足的资格要求………………………………（页码）</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（4）本项目的特定资格要求………………………………………………（页码）</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工程测量实训室扩建</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BSZB2022-AZZC128</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政府采购活动，郑重承诺：</w:t>
      </w:r>
    </w:p>
    <w:p>
      <w:pPr>
        <w:snapToGrid w:val="0"/>
        <w:spacing w:line="360" w:lineRule="auto"/>
        <w:ind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widowControl/>
        <w:spacing w:line="360" w:lineRule="auto"/>
        <w:ind w:firstLine="482" w:firstLineChars="200"/>
        <w:jc w:val="center"/>
        <w:rPr>
          <w:rFonts w:ascii="仿宋" w:hAnsi="仿宋" w:eastAsia="仿宋" w:cs="仿宋"/>
          <w:b/>
          <w:color w:val="000000" w:themeColor="text1"/>
          <w:kern w:val="0"/>
          <w:sz w:val="24"/>
          <w:highlight w:val="none"/>
          <w14:textFill>
            <w14:solidFill>
              <w14:schemeClr w14:val="tx1"/>
            </w14:solidFill>
          </w14:textFill>
        </w:rPr>
      </w:pPr>
    </w:p>
    <w:p>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二、联合协议（如果有）</w:t>
      </w:r>
    </w:p>
    <w:p>
      <w:pPr>
        <w:widowControl/>
        <w:spacing w:line="360" w:lineRule="auto"/>
        <w:ind w:firstLine="643" w:firstLineChars="200"/>
        <w:jc w:val="center"/>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pPr>
        <w:spacing w:line="348"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（以联合体形式投标的，提供联合协议；不接受联合体投标或者投标人不以联合体形式投标的，提供非联合体投标声明函）</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（联合体所有成员名称）</w:t>
      </w:r>
      <w:r>
        <w:rPr>
          <w:rFonts w:hint="eastAsia" w:ascii="仿宋" w:hAnsi="仿宋" w:eastAsia="仿宋" w:cs="仿宋"/>
          <w:color w:val="000000" w:themeColor="text1"/>
          <w:sz w:val="24"/>
          <w:highlight w:val="none"/>
          <w14:textFill>
            <w14:solidFill>
              <w14:schemeClr w14:val="tx1"/>
            </w14:solidFill>
          </w14:textFill>
        </w:rPr>
        <w:t>自愿</w:t>
      </w:r>
      <w:r>
        <w:rPr>
          <w:rFonts w:hint="eastAsia" w:ascii="仿宋" w:hAnsi="仿宋" w:eastAsia="仿宋" w:cs="仿宋"/>
          <w:color w:val="000000" w:themeColor="text1"/>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sz w:val="24"/>
          <w:highlight w:val="none"/>
          <w14:textFill>
            <w14:solidFill>
              <w14:schemeClr w14:val="tx1"/>
            </w14:solidFill>
          </w14:textFill>
        </w:rPr>
        <w:t>参加（项目名称）【招标编号：（采购编号）】</w:t>
      </w:r>
      <w:r>
        <w:rPr>
          <w:rFonts w:hint="eastAsia" w:ascii="仿宋" w:hAnsi="仿宋" w:eastAsia="仿宋" w:cs="仿宋"/>
          <w:color w:val="000000" w:themeColor="text1"/>
          <w:sz w:val="24"/>
          <w:highlight w:val="none"/>
          <w:lang w:val="zh-CN"/>
          <w14:textFill>
            <w14:solidFill>
              <w14:schemeClr w14:val="tx1"/>
            </w14:solidFill>
          </w14:textFill>
        </w:rPr>
        <w:t xml:space="preserve">投标。 </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一、各方一致决定，</w:t>
      </w:r>
      <w:r>
        <w:rPr>
          <w:rFonts w:hint="eastAsia" w:ascii="仿宋" w:hAnsi="仿宋" w:eastAsia="仿宋" w:cs="仿宋"/>
          <w:color w:val="000000" w:themeColor="text1"/>
          <w:sz w:val="24"/>
          <w:highlight w:val="none"/>
          <w:u w:val="single"/>
          <w14:textFill>
            <w14:solidFill>
              <w14:schemeClr w14:val="tx1"/>
            </w14:solidFill>
          </w14:textFill>
        </w:rPr>
        <w:t>（某联合体成员名称）</w:t>
      </w:r>
      <w:r>
        <w:rPr>
          <w:rFonts w:hint="eastAsia" w:ascii="仿宋" w:hAnsi="仿宋" w:eastAsia="仿宋" w:cs="仿宋"/>
          <w:color w:val="000000" w:themeColor="text1"/>
          <w:sz w:val="24"/>
          <w:highlight w:val="none"/>
          <w14:textFill>
            <w14:solidFill>
              <w14:schemeClr w14:val="tx1"/>
            </w14:solidFill>
          </w14:textFill>
        </w:rPr>
        <w:t>为联合体</w:t>
      </w:r>
      <w:r>
        <w:rPr>
          <w:rFonts w:hint="eastAsia" w:ascii="仿宋" w:hAnsi="仿宋" w:eastAsia="仿宋" w:cs="仿宋"/>
          <w:color w:val="000000" w:themeColor="text1"/>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三、本次联合投标中，分工如下：</w:t>
      </w:r>
      <w:r>
        <w:rPr>
          <w:rFonts w:hint="eastAsia" w:ascii="仿宋" w:hAnsi="仿宋" w:eastAsia="仿宋" w:cs="仿宋"/>
          <w:color w:val="000000" w:themeColor="text1"/>
          <w:sz w:val="24"/>
          <w:highlight w:val="none"/>
          <w:u w:val="single"/>
          <w14:textFill>
            <w14:solidFill>
              <w14:schemeClr w14:val="tx1"/>
            </w14:solidFill>
          </w14:textFill>
        </w:rPr>
        <w:t>（联合体其中一方成员名称）</w:t>
      </w:r>
      <w:r>
        <w:rPr>
          <w:rFonts w:hint="eastAsia" w:ascii="仿宋" w:hAnsi="仿宋" w:eastAsia="仿宋" w:cs="仿宋"/>
          <w:color w:val="000000" w:themeColor="text1"/>
          <w:sz w:val="24"/>
          <w:highlight w:val="none"/>
          <w:lang w:val="zh-CN"/>
          <w14:textFill>
            <w14:solidFill>
              <w14:schemeClr w14:val="tx1"/>
            </w14:solidFill>
          </w14:textFill>
        </w:rPr>
        <w:t>承担的工作和义务为：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48" w:lineRule="auto"/>
        <w:ind w:firstLine="576"/>
        <w:rPr>
          <w:rFonts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四、</w:t>
      </w:r>
      <w:r>
        <w:rPr>
          <w:rFonts w:hint="eastAsia" w:ascii="仿宋" w:hAnsi="仿宋" w:eastAsia="仿宋" w:cs="仿宋"/>
          <w:color w:val="000000" w:themeColor="text1"/>
          <w:sz w:val="24"/>
          <w:highlight w:val="none"/>
          <w:u w:val="single"/>
          <w14:textFill>
            <w14:solidFill>
              <w14:schemeClr w14:val="tx1"/>
            </w14:solidFill>
          </w14:textFill>
        </w:rPr>
        <w:t>（联合体其中一方成员名称）</w:t>
      </w:r>
      <w:r>
        <w:rPr>
          <w:rFonts w:hint="eastAsia" w:ascii="仿宋" w:hAnsi="仿宋" w:eastAsia="仿宋" w:cs="仿宋"/>
          <w:color w:val="000000" w:themeColor="text1"/>
          <w:sz w:val="24"/>
          <w:highlight w:val="none"/>
          <w14:textFill>
            <w14:solidFill>
              <w14:schemeClr w14:val="tx1"/>
            </w14:solidFill>
          </w14:textFill>
        </w:rPr>
        <w:t>提供的全部货物由小微企业制造，其合同份额占到合同总金额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%以上；</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b/>
          <w:color w:val="000000" w:themeColor="text1"/>
          <w:sz w:val="24"/>
          <w:highlight w:val="none"/>
          <w:lang w:val="zh-CN"/>
          <w14:textFill>
            <w14:solidFill>
              <w14:schemeClr w14:val="tx1"/>
            </w14:solidFill>
          </w14:textFill>
        </w:rPr>
        <w:t xml:space="preserve">（未预留份额专门面向中小企业采购的的采购项目，以及预留份额中的非预留部分采购包，接受联合体投标的，联合体其中一方提供的货物全部由小微企业制造，且其合同份额占到合同总金额 </w:t>
      </w: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color w:val="000000" w:themeColor="text1"/>
          <w:sz w:val="24"/>
          <w:highlight w:val="none"/>
          <w:lang w:val="zh-CN"/>
          <w14:textFill>
            <w14:solidFill>
              <w14:schemeClr w14:val="tx1"/>
            </w14:solidFill>
          </w14:textFill>
        </w:rPr>
        <w:t>0%以上，对联合体报价给予</w:t>
      </w:r>
      <w:r>
        <w:rPr>
          <w:rFonts w:hint="eastAsia" w:ascii="仿宋" w:hAnsi="仿宋" w:eastAsia="仿宋" w:cs="仿宋"/>
          <w:b/>
          <w:color w:val="000000" w:themeColor="text1"/>
          <w:sz w:val="24"/>
          <w:highlight w:val="none"/>
          <w14:textFill>
            <w14:solidFill>
              <w14:schemeClr w14:val="tx1"/>
            </w14:solidFill>
          </w14:textFill>
        </w:rPr>
        <w:t>6</w:t>
      </w:r>
      <w:r>
        <w:rPr>
          <w:rFonts w:hint="eastAsia" w:ascii="仿宋" w:hAnsi="仿宋" w:eastAsia="仿宋" w:cs="仿宋"/>
          <w:b/>
          <w:color w:val="000000" w:themeColor="text1"/>
          <w:sz w:val="24"/>
          <w:highlight w:val="none"/>
          <w:lang w:val="zh-CN"/>
          <w14:textFill>
            <w14:solidFill>
              <w14:schemeClr w14:val="tx1"/>
            </w14:solidFill>
          </w14:textFill>
        </w:rPr>
        <w:t>%的扣除）</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六、有关本次联合投标的其他事宜：</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1、联合体各方不再单独参加或者与其他供应商另外组成联合体参加同一合同项下的政府采购活动。</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2、联合体中有同类资质的各方按照联合体分工承担相同工作的，按照资质等级较低的供应商确定资质等级。</w:t>
      </w:r>
    </w:p>
    <w:p>
      <w:pPr>
        <w:snapToGrid w:val="0"/>
        <w:spacing w:line="348"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3、本协议提交采购人、采购机构后，联合体各方不得以任何形式对上述内容进行修改或撤销。</w:t>
      </w:r>
    </w:p>
    <w:p>
      <w:pPr>
        <w:snapToGrid w:val="0"/>
        <w:spacing w:line="348" w:lineRule="auto"/>
        <w:ind w:firstLine="3360" w:firstLineChars="1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联合体成员名称(电子签名/公章)：</w:t>
      </w:r>
    </w:p>
    <w:p>
      <w:pPr>
        <w:snapToGrid w:val="0"/>
        <w:spacing w:line="348" w:lineRule="auto"/>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日期：  年  月   日</w:t>
      </w:r>
    </w:p>
    <w:p>
      <w:pPr>
        <w:snapToGrid w:val="0"/>
        <w:spacing w:line="34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snapToGrid w:val="0"/>
        <w:spacing w:line="348" w:lineRule="auto"/>
        <w:ind w:right="480"/>
        <w:rPr>
          <w:rFonts w:ascii="仿宋" w:hAnsi="仿宋" w:eastAsia="仿宋" w:cs="仿宋"/>
          <w:b/>
          <w:color w:val="000000" w:themeColor="text1"/>
          <w:sz w:val="24"/>
          <w:highlight w:val="none"/>
          <w14:textFill>
            <w14:solidFill>
              <w14:schemeClr w14:val="tx1"/>
            </w14:solidFill>
          </w14:textFill>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pPr>
        <w:widowControl/>
        <w:spacing w:line="360" w:lineRule="auto"/>
        <w:ind w:firstLine="562" w:firstLineChars="200"/>
        <w:jc w:val="center"/>
        <w:rPr>
          <w:rFonts w:ascii="仿宋" w:hAnsi="仿宋" w:eastAsia="仿宋" w:cs="仿宋"/>
          <w:b/>
          <w:color w:val="000000" w:themeColor="text1"/>
          <w:kern w:val="0"/>
          <w:sz w:val="28"/>
          <w:szCs w:val="28"/>
          <w:highlight w:val="none"/>
          <w:lang w:val="zh-CN"/>
          <w14:textFill>
            <w14:solidFill>
              <w14:schemeClr w14:val="tx1"/>
            </w14:solidFill>
          </w14:textFill>
        </w:rPr>
      </w:pPr>
      <w:r>
        <w:rPr>
          <w:rFonts w:hint="eastAsia" w:ascii="仿宋" w:hAnsi="仿宋" w:eastAsia="仿宋" w:cs="仿宋"/>
          <w:b/>
          <w:color w:val="000000" w:themeColor="text1"/>
          <w:kern w:val="0"/>
          <w:sz w:val="28"/>
          <w:szCs w:val="28"/>
          <w:highlight w:val="none"/>
          <w:lang w:val="zh-CN"/>
          <w14:textFill>
            <w14:solidFill>
              <w14:schemeClr w14:val="tx1"/>
            </w14:solidFill>
          </w14:textFill>
        </w:rPr>
        <w:t>非联合体投标声明函</w:t>
      </w:r>
    </w:p>
    <w:p>
      <w:pPr>
        <w:shd w:val="clear" w:color="auto" w:fill="FFFFFF"/>
        <w:snapToGrid w:val="0"/>
        <w:spacing w:line="360" w:lineRule="auto"/>
        <w:rPr>
          <w:rFonts w:ascii="仿宋" w:hAnsi="仿宋" w:eastAsia="仿宋" w:cs="仿宋"/>
          <w:color w:val="000000" w:themeColor="text1"/>
          <w:sz w:val="28"/>
          <w:szCs w:val="28"/>
          <w:highlight w:val="none"/>
          <w14:textFill>
            <w14:solidFill>
              <w14:schemeClr w14:val="tx1"/>
            </w14:solidFill>
          </w14:textFill>
        </w:rPr>
      </w:pPr>
    </w:p>
    <w:p>
      <w:pPr>
        <w:shd w:val="clear" w:color="auto" w:fill="FFFFFF"/>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shd w:val="clear" w:color="auto" w:fill="FFFFFF"/>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我公司郑重承诺：本次投标为非联合体投标。</w:t>
      </w:r>
    </w:p>
    <w:p>
      <w:pPr>
        <w:shd w:val="clear" w:color="auto" w:fill="FFFFFF"/>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特此承诺！</w:t>
      </w:r>
    </w:p>
    <w:p>
      <w:pPr>
        <w:snapToGrid w:val="0"/>
        <w:spacing w:line="360" w:lineRule="auto"/>
        <w:ind w:firstLine="5520" w:firstLineChars="23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5520" w:firstLineChars="23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5520" w:firstLineChars="23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三、落实政府采购政策需满足的资格要求</w:t>
      </w:r>
    </w:p>
    <w:p>
      <w:pPr>
        <w:rPr>
          <w:rFonts w:ascii="仿宋" w:hAnsi="仿宋" w:eastAsia="仿宋" w:cs="仿宋"/>
          <w:color w:val="000000" w:themeColor="text1"/>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无</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四、本项目的特定资格要求</w:t>
      </w:r>
    </w:p>
    <w:p>
      <w:pPr>
        <w:spacing w:line="360" w:lineRule="auto"/>
        <w:jc w:val="center"/>
        <w:rPr>
          <w:rFonts w:ascii="仿宋" w:hAnsi="仿宋" w:eastAsia="仿宋" w:cs="仿宋"/>
          <w:color w:val="000000" w:themeColor="text1"/>
          <w:sz w:val="24"/>
          <w:highlight w:val="none"/>
          <w14:textFill>
            <w14:solidFill>
              <w14:schemeClr w14:val="tx1"/>
            </w14:solidFill>
          </w14:textFill>
        </w:rPr>
      </w:pPr>
    </w:p>
    <w:p>
      <w:pPr>
        <w:rPr>
          <w:rFonts w:ascii="仿宋" w:hAnsi="仿宋" w:eastAsia="仿宋" w:cs="仿宋"/>
          <w:color w:val="000000" w:themeColor="text1"/>
          <w:highlight w:val="none"/>
          <w14:textFill>
            <w14:solidFill>
              <w14:schemeClr w14:val="tx1"/>
            </w14:solidFill>
          </w14:textFill>
        </w:rPr>
      </w:pPr>
    </w:p>
    <w:p>
      <w:pPr>
        <w:widowControl/>
        <w:spacing w:line="360" w:lineRule="auto"/>
        <w:ind w:left="15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left="15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left="150"/>
        <w:jc w:val="center"/>
        <w:rPr>
          <w:rFonts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left="15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无</w:t>
      </w: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pPr>
        <w:spacing w:line="360" w:lineRule="auto"/>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pPr>
        <w:numPr>
          <w:ilvl w:val="255"/>
          <w:numId w:val="0"/>
        </w:num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（1）响应函………………………………………………………………………………（页码）</w:t>
      </w:r>
    </w:p>
    <w:p>
      <w:pPr>
        <w:numPr>
          <w:ilvl w:val="255"/>
          <w:numId w:val="0"/>
        </w:num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（3）分包意向协议………………………………………………………………………（页码）</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（4）符合性审查资料……………………………………………………………………（页码）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（5）评审标准相应的商务技术资料……………………………………………………（页码）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（6）投标标的清单………………………………………………………………………（页码）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（7）商务技术偏离表……………………………………………………………………（页码）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sz w:val="24"/>
          <w:highlight w:val="none"/>
          <w14:textFill>
            <w14:solidFill>
              <w14:schemeClr w14:val="tx1"/>
            </w14:solidFill>
          </w14:textFill>
        </w:rPr>
        <w:t>…………………………………………………（页码）</w:t>
      </w:r>
    </w:p>
    <w:p>
      <w:pPr>
        <w:snapToGrid w:val="0"/>
        <w:spacing w:line="360" w:lineRule="auto"/>
        <w:jc w:val="center"/>
        <w:rPr>
          <w:rFonts w:ascii="仿宋" w:hAnsi="仿宋" w:eastAsia="仿宋" w:cs="仿宋"/>
          <w:b/>
          <w:color w:val="000000" w:themeColor="text1"/>
          <w:kern w:val="0"/>
          <w:sz w:val="24"/>
          <w:szCs w:val="32"/>
          <w:highlight w:val="none"/>
          <w:lang w:val="zh-CN"/>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一、响应函</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hd w:val="clear" w:color="auto" w:fill="FFFFFF"/>
        <w:snapToGrid w:val="0"/>
        <w:spacing w:line="360" w:lineRule="auto"/>
        <w:rPr>
          <w:rFonts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我方参与你方组织的</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工程测量实训室扩建</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BSZB2022-AZZC128</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采购的有关活动，并对此项目提交响应文件及报价。为此：</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1、我方承诺响应文件有效期从提交响应文件的截止之日起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本响应文件在响应文件有效期满之前均具有约束力。</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2、我方的响应文件包括以下内容：</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2.1.1承诺函；</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w:t>
      </w:r>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联合协议（如果有)；</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2.1.3落实政府采购政策需满足的资格要求（如果有）；</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2.1.4本项目的特定资格要求（如果有）。</w:t>
      </w:r>
    </w:p>
    <w:p>
      <w:pPr>
        <w:snapToGrid w:val="0"/>
        <w:spacing w:line="360" w:lineRule="auto"/>
        <w:ind w:left="210" w:leftChars="1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2.2.1响应函；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2.2.3分包意向协议（如果有）；</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2.2.4符合性审查资料；</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2.2.5评审标准相应的商务技术资料；</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2.2.6投标标的清单；</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2.2.7商务技术偏离表；</w:t>
      </w:r>
    </w:p>
    <w:p>
      <w:pPr>
        <w:snapToGrid w:val="0"/>
        <w:spacing w:line="360" w:lineRule="auto"/>
        <w:ind w:left="420" w:leftChars="2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pPr>
        <w:snapToGrid w:val="0"/>
        <w:spacing w:line="360" w:lineRule="auto"/>
        <w:ind w:left="420" w:leftChars="2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2.3.1</w:t>
      </w:r>
      <w:r>
        <w:rPr>
          <w:rFonts w:hint="eastAsia" w:ascii="仿宋" w:hAnsi="仿宋" w:eastAsia="仿宋" w:cs="仿宋"/>
          <w:color w:val="000000" w:themeColor="text1"/>
          <w:sz w:val="24"/>
          <w:highlight w:val="none"/>
          <w14:textFill>
            <w14:solidFill>
              <w14:schemeClr w14:val="tx1"/>
            </w14:solidFill>
          </w14:textFill>
        </w:rPr>
        <w:t>报价单</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60" w:lineRule="auto"/>
        <w:ind w:left="420" w:leftChars="2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2.3.2</w:t>
      </w:r>
      <w:r>
        <w:rPr>
          <w:rFonts w:hint="eastAsia" w:ascii="仿宋" w:hAnsi="仿宋" w:eastAsia="仿宋" w:cs="仿宋"/>
          <w:color w:val="000000" w:themeColor="text1"/>
          <w:sz w:val="24"/>
          <w:highlight w:val="none"/>
          <w14:textFill>
            <w14:solidFill>
              <w14:schemeClr w14:val="tx1"/>
            </w14:solidFill>
          </w14:textFill>
        </w:rPr>
        <w:t>分项报价表</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2.3.3中小企业声明函（如果有）。</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3、我方承诺除商务技术偏离表列出的偏离外，我方响应采购文件的全部要求。</w:t>
      </w:r>
    </w:p>
    <w:p>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4、如我方成交，我方承诺：</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4.1在收到成交通知书后，在成交通知书规定的期限内与你方签订合同； </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4.3按照采购文件要求提交履约保证金； </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napToGrid w:val="0"/>
        <w:spacing w:line="360" w:lineRule="auto"/>
        <w:ind w:left="420" w:leftChars="200" w:firstLine="4200" w:firstLineChars="1750"/>
        <w:rPr>
          <w:rFonts w:ascii="仿宋" w:hAnsi="仿宋" w:eastAsia="仿宋" w:cs="仿宋"/>
          <w:color w:val="000000" w:themeColor="text1"/>
          <w:kern w:val="0"/>
          <w:sz w:val="24"/>
          <w:highlight w:val="none"/>
          <w:u w:val="single"/>
          <w14:textFill>
            <w14:solidFill>
              <w14:schemeClr w14:val="tx1"/>
            </w14:solidFill>
          </w14:textFill>
        </w:rPr>
      </w:pP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snapToGrid w:val="0"/>
        <w:spacing w:line="360" w:lineRule="auto"/>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二、授权委托书或法定代表人（单位负责人、自然人本人）身份证明</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授权委托书（适用于非联合体</w:t>
      </w:r>
      <w:r>
        <w:rPr>
          <w:rFonts w:hint="eastAsia" w:ascii="仿宋" w:hAnsi="仿宋" w:eastAsia="仿宋" w:cs="仿宋"/>
          <w:b/>
          <w:bCs/>
          <w:color w:val="000000" w:themeColor="text1"/>
          <w:sz w:val="32"/>
          <w:szCs w:val="32"/>
          <w:highlight w:val="none"/>
          <w14:textFill>
            <w14:solidFill>
              <w14:schemeClr w14:val="tx1"/>
            </w14:solidFill>
          </w14:textFill>
        </w:rPr>
        <w:t>响应</w:t>
      </w:r>
      <w:r>
        <w:rPr>
          <w:rFonts w:hint="eastAsia" w:ascii="仿宋" w:hAnsi="仿宋" w:eastAsia="仿宋" w:cs="仿宋"/>
          <w:b/>
          <w:bCs/>
          <w:color w:val="000000" w:themeColor="text1"/>
          <w:sz w:val="32"/>
          <w:szCs w:val="32"/>
          <w:highlight w:val="none"/>
          <w:lang w:val="zh-CN"/>
          <w14:textFill>
            <w14:solidFill>
              <w14:schemeClr w14:val="tx1"/>
            </w14:solidFill>
          </w14:textFill>
        </w:rPr>
        <w:t>）</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snapToGrid w:val="0"/>
        <w:spacing w:line="360" w:lineRule="auto"/>
        <w:ind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工程测量实训室扩建</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BSZB2022-AZZC128</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的一切事项，其法律后果由我方承担。</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pPr>
        <w:snapToGrid w:val="0"/>
        <w:spacing w:line="360" w:lineRule="auto"/>
        <w:ind w:left="4549" w:leftChars="216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napToGrid w:val="0"/>
        <w:spacing w:line="360" w:lineRule="auto"/>
        <w:rPr>
          <w:rFonts w:ascii="仿宋" w:hAnsi="仿宋" w:eastAsia="仿宋" w:cs="仿宋"/>
          <w:color w:val="000000" w:themeColor="text1"/>
          <w:kern w:val="0"/>
          <w:sz w:val="24"/>
          <w:highlight w:val="none"/>
          <w:lang w:val="zh-CN"/>
          <w14:textFill>
            <w14:solidFill>
              <w14:schemeClr w14:val="tx1"/>
            </w14:solidFill>
          </w14:textFill>
        </w:rPr>
      </w:pP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授权委托书（适用于联合体</w:t>
      </w:r>
      <w:r>
        <w:rPr>
          <w:rFonts w:hint="eastAsia" w:ascii="仿宋" w:hAnsi="仿宋" w:eastAsia="仿宋" w:cs="仿宋"/>
          <w:b/>
          <w:bCs/>
          <w:color w:val="000000" w:themeColor="text1"/>
          <w:sz w:val="32"/>
          <w:szCs w:val="32"/>
          <w:highlight w:val="none"/>
          <w14:textFill>
            <w14:solidFill>
              <w14:schemeClr w14:val="tx1"/>
            </w14:solidFill>
          </w14:textFill>
        </w:rPr>
        <w:t>响应</w:t>
      </w:r>
      <w:r>
        <w:rPr>
          <w:rFonts w:hint="eastAsia" w:ascii="仿宋" w:hAnsi="仿宋" w:eastAsia="仿宋" w:cs="仿宋"/>
          <w:b/>
          <w:bCs/>
          <w:color w:val="000000" w:themeColor="text1"/>
          <w:sz w:val="32"/>
          <w:szCs w:val="32"/>
          <w:highlight w:val="none"/>
          <w:lang w:val="zh-CN"/>
          <w14:textFill>
            <w14:solidFill>
              <w14:schemeClr w14:val="tx1"/>
            </w14:solidFill>
          </w14:textFill>
        </w:rPr>
        <w:t>）</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14:textFill>
            <w14:solidFill>
              <w14:schemeClr w14:val="tx1"/>
            </w14:solidFill>
          </w14:textFill>
        </w:rPr>
        <w:t>（项目名称）【项目编号：（采购编号）】</w:t>
      </w:r>
      <w:r>
        <w:rPr>
          <w:rFonts w:hint="eastAsia" w:ascii="仿宋" w:hAnsi="仿宋" w:eastAsia="仿宋" w:cs="仿宋"/>
          <w:color w:val="000000" w:themeColor="text1"/>
          <w:kern w:val="0"/>
          <w:sz w:val="24"/>
          <w:highlight w:val="none"/>
          <w:lang w:val="zh-CN"/>
          <w14:textFill>
            <w14:solidFill>
              <w14:schemeClr w14:val="tx1"/>
            </w14:solidFill>
          </w14:textFill>
        </w:rPr>
        <w:t>政府采购</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的一切事项，其法律后果由我方承担。</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rPr>
          <w:rFonts w:ascii="仿宋" w:hAnsi="仿宋" w:eastAsia="仿宋" w:cs="仿宋"/>
          <w:color w:val="000000" w:themeColor="text1"/>
          <w:highlight w:val="none"/>
          <w14:textFill>
            <w14:solidFill>
              <w14:schemeClr w14:val="tx1"/>
            </w14:solidFill>
          </w14:textFill>
        </w:rPr>
      </w:pPr>
    </w:p>
    <w:p>
      <w:pPr>
        <w:snapToGrid w:val="0"/>
        <w:spacing w:line="360" w:lineRule="auto"/>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bCs/>
          <w:color w:val="000000" w:themeColor="text1"/>
          <w:sz w:val="32"/>
          <w:szCs w:val="32"/>
          <w:highlight w:val="none"/>
          <w14:textFill>
            <w14:solidFill>
              <w14:schemeClr w14:val="tx1"/>
            </w14:solidFill>
          </w14:textFill>
        </w:rPr>
        <w:t>的身份证明（适用于法定代表人、单位负责人或者自然人本人代表供应商参加响应）</w:t>
      </w:r>
    </w:p>
    <w:p>
      <w:pPr>
        <w:pStyle w:val="148"/>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8"/>
              <w:adjustRightIn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pPr>
              <w:pStyle w:val="148"/>
              <w:adjustRightInd w:val="0"/>
              <w:spacing w:line="360" w:lineRule="auto"/>
              <w:rPr>
                <w:rFonts w:ascii="仿宋" w:hAnsi="仿宋" w:eastAsia="仿宋" w:cs="仿宋"/>
                <w:bCs/>
                <w:color w:val="000000" w:themeColor="text1"/>
                <w:sz w:val="24"/>
                <w:highlight w:val="none"/>
                <w14:textFill>
                  <w14:solidFill>
                    <w14:schemeClr w14:val="tx1"/>
                  </w14:solidFill>
                </w14:textFill>
              </w:rPr>
            </w:pPr>
          </w:p>
        </w:tc>
      </w:tr>
    </w:tbl>
    <w:p>
      <w:pPr>
        <w:snapToGrid w:val="0"/>
        <w:spacing w:line="360" w:lineRule="auto"/>
        <w:ind w:firstLine="576"/>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pacing w:line="360" w:lineRule="auto"/>
        <w:jc w:val="center"/>
        <w:rPr>
          <w:rFonts w:ascii="仿宋" w:hAnsi="仿宋" w:eastAsia="仿宋" w:cs="仿宋"/>
          <w:color w:val="000000" w:themeColor="text1"/>
          <w:kern w:val="0"/>
          <w:sz w:val="24"/>
          <w:highlight w:val="none"/>
          <w:lang w:val="zh-CN"/>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rPr>
          <w:rFonts w:ascii="仿宋" w:hAnsi="仿宋" w:eastAsia="仿宋" w:cs="仿宋"/>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三、分包意向协议</w:t>
      </w:r>
    </w:p>
    <w:p>
      <w:pPr>
        <w:widowControl/>
        <w:spacing w:line="360" w:lineRule="auto"/>
        <w:ind w:firstLine="120" w:firstLineChars="50"/>
        <w:jc w:val="left"/>
        <w:rPr>
          <w:rFonts w:ascii="仿宋" w:hAnsi="仿宋" w:eastAsia="仿宋" w:cs="仿宋"/>
          <w:color w:val="000000" w:themeColor="text1"/>
          <w:sz w:val="24"/>
          <w:highlight w:val="none"/>
          <w14:textFill>
            <w14:solidFill>
              <w14:schemeClr w14:val="tx1"/>
            </w14:solidFill>
          </w14:textFill>
        </w:rPr>
      </w:pPr>
      <w:bookmarkStart w:id="398" w:name="_Hlk101169080"/>
    </w:p>
    <w:p>
      <w:pPr>
        <w:widowControl/>
        <w:spacing w:line="360" w:lineRule="auto"/>
        <w:ind w:firstLine="120" w:firstLineChars="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成交后以分包方式履行合同的，提供分包意向协议(附件6)；采购人不同意分包或者供应商成交后不以分包方式履行合同的，则不需要提供。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bookmarkEnd w:id="398"/>
    <w:p>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四、符合性审查资料</w:t>
      </w:r>
    </w:p>
    <w:p>
      <w:pPr>
        <w:jc w:val="center"/>
        <w:rPr>
          <w:rFonts w:ascii="仿宋" w:hAnsi="仿宋" w:eastAsia="仿宋" w:cs="仿宋"/>
          <w:b/>
          <w:color w:val="000000" w:themeColor="text1"/>
          <w:kern w:val="0"/>
          <w:sz w:val="32"/>
          <w:szCs w:val="32"/>
          <w:highlight w:val="none"/>
          <w14:textFill>
            <w14:solidFill>
              <w14:schemeClr w14:val="tx1"/>
            </w14:solidFill>
          </w14:textFill>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4848"/>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89" w:type="dxa"/>
            <w:vAlign w:val="center"/>
          </w:tcPr>
          <w:p>
            <w:pPr>
              <w:snapToGrid w:val="0"/>
              <w:spacing w:line="240" w:lineRule="atLeas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4848" w:type="dxa"/>
            <w:vAlign w:val="center"/>
          </w:tcPr>
          <w:p>
            <w:pPr>
              <w:snapToGrid w:val="0"/>
              <w:spacing w:line="240" w:lineRule="atLeas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2551" w:type="dxa"/>
            <w:vAlign w:val="center"/>
          </w:tcPr>
          <w:p>
            <w:pPr>
              <w:snapToGrid w:val="0"/>
              <w:spacing w:line="240" w:lineRule="atLeas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418" w:type="dxa"/>
            <w:vAlign w:val="center"/>
          </w:tcPr>
          <w:p>
            <w:pPr>
              <w:snapToGrid w:val="0"/>
              <w:spacing w:line="240" w:lineRule="atLeas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响应文件中的</w:t>
            </w:r>
          </w:p>
          <w:p>
            <w:pPr>
              <w:snapToGrid w:val="0"/>
              <w:spacing w:line="240" w:lineRule="atLeas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9"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4848"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响应文件按照采购文件要求签署、盖章。</w:t>
            </w:r>
          </w:p>
        </w:tc>
        <w:tc>
          <w:tcPr>
            <w:tcW w:w="2551"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需要使用电子签名或者签字盖章的响应文件的组成部分</w:t>
            </w:r>
          </w:p>
        </w:tc>
        <w:tc>
          <w:tcPr>
            <w:tcW w:w="1418"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见响应文件</w:t>
            </w:r>
          </w:p>
          <w:p>
            <w:pP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9" w:type="dxa"/>
            <w:vAlign w:val="center"/>
          </w:tcPr>
          <w:p>
            <w:pPr>
              <w:spacing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4848"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采购人拟采购的产品属于政府强制采购的节能产品品目清单范围的</w:t>
            </w:r>
            <w:r>
              <w:rPr>
                <w:rFonts w:hint="eastAsia" w:ascii="仿宋" w:hAnsi="仿宋" w:eastAsia="仿宋" w:cs="仿宋"/>
                <w:b/>
                <w:bCs/>
                <w:color w:val="000000" w:themeColor="text1"/>
                <w:sz w:val="24"/>
                <w:highlight w:val="none"/>
                <w14:textFill>
                  <w14:solidFill>
                    <w14:schemeClr w14:val="tx1"/>
                  </w14:solidFill>
                </w14:textFill>
              </w:rPr>
              <w:t>（财库【2019】19号）</w:t>
            </w:r>
            <w:r>
              <w:rPr>
                <w:rFonts w:hint="eastAsia" w:ascii="仿宋" w:hAnsi="仿宋" w:eastAsia="仿宋" w:cs="仿宋"/>
                <w:color w:val="000000" w:themeColor="text1"/>
                <w:sz w:val="24"/>
                <w:highlight w:val="none"/>
                <w14:textFill>
                  <w14:solidFill>
                    <w14:schemeClr w14:val="tx1"/>
                  </w14:solidFill>
                </w14:textFill>
              </w:rPr>
              <w:t>，投标人按招标文件要求提供国家确定的认证机构</w:t>
            </w:r>
            <w:r>
              <w:rPr>
                <w:rFonts w:hint="eastAsia" w:ascii="仿宋" w:hAnsi="仿宋" w:eastAsia="仿宋" w:cs="仿宋"/>
                <w:b/>
                <w:bCs/>
                <w:color w:val="000000" w:themeColor="text1"/>
                <w:sz w:val="24"/>
                <w:highlight w:val="none"/>
                <w14:textFill>
                  <w14:solidFill>
                    <w14:schemeClr w14:val="tx1"/>
                  </w14:solidFill>
                </w14:textFill>
              </w:rPr>
              <w:t>（2019年第16号）</w:t>
            </w:r>
            <w:r>
              <w:rPr>
                <w:rFonts w:hint="eastAsia" w:ascii="仿宋" w:hAnsi="仿宋" w:eastAsia="仿宋" w:cs="仿宋"/>
                <w:color w:val="000000" w:themeColor="text1"/>
                <w:sz w:val="24"/>
                <w:highlight w:val="none"/>
                <w14:textFill>
                  <w14:solidFill>
                    <w14:schemeClr w14:val="tx1"/>
                  </w14:solidFill>
                </w14:textFill>
              </w:rPr>
              <w:t>出具的、处于有效期之内的节能产品认证证书。</w:t>
            </w:r>
          </w:p>
        </w:tc>
        <w:tc>
          <w:tcPr>
            <w:tcW w:w="2551"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节能产品认证证书（本项目拟采购的产品不属于政府强制采购的节能产品品目清单范围的，无需提供）</w:t>
            </w:r>
          </w:p>
        </w:tc>
        <w:tc>
          <w:tcPr>
            <w:tcW w:w="1418"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见响应文件</w:t>
            </w:r>
          </w:p>
          <w:p>
            <w:pPr>
              <w:pStyle w:val="5"/>
              <w:jc w:val="both"/>
              <w:rPr>
                <w:rFonts w:ascii="仿宋" w:eastAsia="仿宋" w:cs="仿宋"/>
                <w:color w:val="000000" w:themeColor="text1"/>
                <w:highlight w:val="none"/>
                <w:lang w:val="en-US"/>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第</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lang w:val="en-US"/>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9"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4848"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响应文件中承诺的响应文件有效期不少于采购文件中载明的响应文件有效期。</w:t>
            </w:r>
          </w:p>
        </w:tc>
        <w:tc>
          <w:tcPr>
            <w:tcW w:w="2551"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响应函</w:t>
            </w:r>
          </w:p>
        </w:tc>
        <w:tc>
          <w:tcPr>
            <w:tcW w:w="1418" w:type="dxa"/>
            <w:vAlign w:val="center"/>
          </w:tcPr>
          <w:p>
            <w:pP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见响应文件第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9"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4848" w:type="dxa"/>
            <w:vAlign w:val="center"/>
          </w:tcPr>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响应文件满足采购文件的其它实质性要求。</w:t>
            </w:r>
          </w:p>
        </w:tc>
        <w:tc>
          <w:tcPr>
            <w:tcW w:w="2551"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采购文件其它实质性要求相应的材料（“▲” 系指实质性要求条款，采购文件无其它实质性要求的，无需提供）</w:t>
            </w:r>
          </w:p>
        </w:tc>
        <w:tc>
          <w:tcPr>
            <w:tcW w:w="1418" w:type="dxa"/>
            <w:vAlign w:val="center"/>
          </w:tcPr>
          <w:p>
            <w:pP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见响应文件第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五、评审标准相应的商务技术资料</w:t>
      </w:r>
    </w:p>
    <w:p>
      <w:pPr>
        <w:snapToGrid w:val="0"/>
        <w:spacing w:line="360" w:lineRule="auto"/>
        <w:jc w:val="left"/>
        <w:rPr>
          <w:rFonts w:ascii="仿宋" w:hAnsi="仿宋" w:eastAsia="仿宋" w:cs="仿宋"/>
          <w:b/>
          <w:color w:val="000000" w:themeColor="text1"/>
          <w:sz w:val="24"/>
          <w:highlight w:val="none"/>
          <w14:textFill>
            <w14:solidFill>
              <w14:schemeClr w14:val="tx1"/>
            </w14:solidFill>
          </w14:textFill>
        </w:rPr>
      </w:pPr>
    </w:p>
    <w:p>
      <w:pPr>
        <w:snapToGrid w:val="0"/>
        <w:spacing w:line="360" w:lineRule="auto"/>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（按采购文件第四部分评审办法“响应文件中评审标准相应的商务技术资料目录”提供资料。）</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rPr>
          <w:rFonts w:ascii="仿宋" w:hAnsi="仿宋" w:eastAsia="仿宋" w:cs="仿宋"/>
          <w:b/>
          <w:bCs/>
          <w:color w:val="000000" w:themeColor="text1"/>
          <w:sz w:val="32"/>
          <w:szCs w:val="32"/>
          <w:highlight w:val="none"/>
          <w14:textFill>
            <w14:solidFill>
              <w14:schemeClr w14:val="tx1"/>
            </w14:solidFill>
          </w14:textFill>
        </w:rPr>
        <w:sectPr>
          <w:footerReference r:id="rId17" w:type="first"/>
          <w:footerReference r:id="rId16" w:type="default"/>
          <w:pgSz w:w="11906" w:h="16838"/>
          <w:pgMar w:top="1440" w:right="1080" w:bottom="1440" w:left="1080" w:header="851" w:footer="992" w:gutter="0"/>
          <w:pgNumType w:fmt="decimal"/>
          <w:cols w:space="720" w:num="1"/>
          <w:titlePg/>
          <w:docGrid w:linePitch="312" w:charSpace="0"/>
        </w:sectPr>
      </w:pPr>
      <w:r>
        <w:rPr>
          <w:rFonts w:hint="eastAsia" w:ascii="仿宋" w:hAnsi="仿宋" w:eastAsia="仿宋" w:cs="仿宋_GB2312"/>
          <w:b/>
          <w:color w:val="000000" w:themeColor="text1"/>
          <w:kern w:val="0"/>
          <w:sz w:val="32"/>
          <w:szCs w:val="32"/>
          <w:highlight w:val="none"/>
          <w14:textFill>
            <w14:solidFill>
              <w14:schemeClr w14:val="tx1"/>
            </w14:solidFill>
          </w14:textFill>
        </w:rPr>
        <w:br w:type="page"/>
      </w: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六、投标标的清单</w:t>
      </w:r>
    </w:p>
    <w:p>
      <w:pPr>
        <w:pStyle w:val="79"/>
        <w:ind w:firstLine="0" w:firstLineChars="0"/>
        <w:rPr>
          <w:color w:val="000000" w:themeColor="text1"/>
          <w:highlight w:val="none"/>
          <w14:textFill>
            <w14:solidFill>
              <w14:schemeClr w14:val="tx1"/>
            </w14:solidFill>
          </w14:textFill>
        </w:rPr>
      </w:pPr>
    </w:p>
    <w:tbl>
      <w:tblPr>
        <w:tblStyle w:val="62"/>
        <w:tblW w:w="0" w:type="auto"/>
        <w:tblInd w:w="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6"/>
        <w:gridCol w:w="1864"/>
        <w:gridCol w:w="1385"/>
        <w:gridCol w:w="6020"/>
        <w:gridCol w:w="863"/>
        <w:gridCol w:w="1647"/>
        <w:gridCol w:w="1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089"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序号</w:t>
            </w:r>
          </w:p>
        </w:tc>
        <w:tc>
          <w:tcPr>
            <w:tcW w:w="1917"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产品名称</w:t>
            </w:r>
          </w:p>
        </w:tc>
        <w:tc>
          <w:tcPr>
            <w:tcW w:w="1420"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产品型号</w:t>
            </w:r>
          </w:p>
        </w:tc>
        <w:tc>
          <w:tcPr>
            <w:tcW w:w="6219"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主要规格、功能、技术参数（请响应供应商必须详细列出所投货物具体参数、指标和性能）</w:t>
            </w:r>
          </w:p>
        </w:tc>
        <w:tc>
          <w:tcPr>
            <w:tcW w:w="878"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数量</w:t>
            </w:r>
          </w:p>
        </w:tc>
        <w:tc>
          <w:tcPr>
            <w:tcW w:w="1683"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品牌、产地</w:t>
            </w:r>
          </w:p>
        </w:tc>
        <w:tc>
          <w:tcPr>
            <w:tcW w:w="1294" w:type="dxa"/>
            <w:noWrap w:val="0"/>
            <w:vAlign w:val="center"/>
          </w:tcPr>
          <w:p>
            <w:pPr>
              <w:jc w:val="center"/>
              <w:rPr>
                <w:rFonts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仿宋" w:eastAsia="仿宋_GB2312"/>
                <w:b/>
                <w:bCs/>
                <w:color w:val="000000" w:themeColor="text1"/>
                <w:sz w:val="24"/>
                <w:szCs w:val="24"/>
                <w:highlight w:val="none"/>
                <w14:textFill>
                  <w14:solidFill>
                    <w14:schemeClr w14:val="tx1"/>
                  </w14:solidFill>
                </w14:textFill>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917"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420"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621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878"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683"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294"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917"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420"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621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878"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683"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294"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917"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420"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621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878"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683"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294"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917"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420"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621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878"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683"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294"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917"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420"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6219"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878"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683"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c>
          <w:tcPr>
            <w:tcW w:w="1294" w:type="dxa"/>
            <w:noWrap w:val="0"/>
            <w:vAlign w:val="top"/>
          </w:tcPr>
          <w:p>
            <w:pPr>
              <w:spacing w:line="500" w:lineRule="exact"/>
              <w:ind w:firstLine="480"/>
              <w:rPr>
                <w:rFonts w:ascii="宋体" w:hAnsi="宋体" w:cs="宋体"/>
                <w:color w:val="000000" w:themeColor="text1"/>
                <w:sz w:val="24"/>
                <w:szCs w:val="24"/>
                <w:highlight w:val="none"/>
                <w14:textFill>
                  <w14:solidFill>
                    <w14:schemeClr w14:val="tx1"/>
                  </w14:solidFill>
                </w14:textFill>
              </w:rPr>
            </w:pPr>
          </w:p>
        </w:tc>
      </w:tr>
    </w:tbl>
    <w:p>
      <w:pPr>
        <w:pStyle w:val="79"/>
        <w:ind w:firstLine="0" w:firstLineChars="0"/>
        <w:rPr>
          <w:color w:val="000000" w:themeColor="text1"/>
          <w:highlight w:val="none"/>
          <w14:textFill>
            <w14:solidFill>
              <w14:schemeClr w14:val="tx1"/>
            </w14:solidFill>
          </w14:textFill>
        </w:rPr>
        <w:sectPr>
          <w:pgSz w:w="16838" w:h="11906" w:orient="landscape"/>
          <w:pgMar w:top="1083" w:right="1440" w:bottom="1083" w:left="1440" w:header="851" w:footer="992" w:gutter="0"/>
          <w:pgNumType w:fmt="decimal"/>
          <w:cols w:space="0" w:num="1"/>
          <w:titlePg/>
          <w:docGrid w:linePitch="312" w:charSpace="0"/>
        </w:sectPr>
      </w:pPr>
    </w:p>
    <w:p>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七、商务技术偏离表</w:t>
      </w:r>
    </w:p>
    <w:p>
      <w:pPr>
        <w:pStyle w:val="61"/>
        <w:ind w:left="840" w:leftChars="400" w:firstLine="0" w:firstLineChars="0"/>
        <w:rPr>
          <w:rFonts w:ascii="仿宋" w:hAnsi="仿宋" w:eastAsia="仿宋" w:cs="仿宋"/>
          <w:color w:val="000000" w:themeColor="text1"/>
          <w:highlight w:val="none"/>
          <w14:textFill>
            <w14:solidFill>
              <w14:schemeClr w14:val="tx1"/>
            </w14:solidFill>
          </w14:textFill>
        </w:rPr>
      </w:pP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采购文件章节及具体内容</w:t>
            </w:r>
          </w:p>
        </w:tc>
        <w:tc>
          <w:tcPr>
            <w:tcW w:w="3546" w:type="dxa"/>
          </w:tcPr>
          <w:p>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响应文件章节及具体内容</w:t>
            </w:r>
          </w:p>
        </w:tc>
        <w:tc>
          <w:tcPr>
            <w:tcW w:w="1276" w:type="dxa"/>
          </w:tcPr>
          <w:p>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ascii="仿宋" w:hAnsi="仿宋" w:eastAsia="仿宋" w:cs="仿宋"/>
                <w:b/>
                <w:color w:val="000000" w:themeColor="text1"/>
                <w:kern w:val="0"/>
                <w:sz w:val="32"/>
                <w:szCs w:val="32"/>
                <w:highlight w:val="none"/>
                <w14:textFill>
                  <w14:solidFill>
                    <w14:schemeClr w14:val="tx1"/>
                  </w14:solidFill>
                </w14:textFill>
              </w:rPr>
            </w:pPr>
          </w:p>
        </w:tc>
      </w:tr>
    </w:tbl>
    <w:p>
      <w:pPr>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供应商保证：除商务技术偏离表列出的偏离外，供应商响应采购文件的全部要求</w:t>
      </w:r>
    </w:p>
    <w:p>
      <w:pPr>
        <w:jc w:val="center"/>
        <w:rPr>
          <w:rFonts w:ascii="仿宋" w:hAnsi="仿宋" w:eastAsia="仿宋" w:cs="仿宋"/>
          <w:b/>
          <w:color w:val="000000" w:themeColor="text1"/>
          <w:kern w:val="0"/>
          <w:sz w:val="32"/>
          <w:szCs w:val="32"/>
          <w:highlight w:val="none"/>
          <w14:textFill>
            <w14:solidFill>
              <w14:schemeClr w14:val="tx1"/>
            </w14:solidFill>
          </w14:textFill>
        </w:rPr>
      </w:pP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ind w:firstLine="1911" w:firstLineChars="595"/>
        <w:rPr>
          <w:rFonts w:ascii="仿宋" w:hAnsi="仿宋" w:eastAsia="仿宋" w:cs="仿宋"/>
          <w:b/>
          <w:bCs/>
          <w:color w:val="000000" w:themeColor="text1"/>
          <w:sz w:val="32"/>
          <w:szCs w:val="32"/>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napToGrid w:val="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八</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p>
    <w:p>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五、不为项目有关人员个人装修住房、婚丧嫁娶、配偶子女工作安排等提供好处；</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spacing w:line="360" w:lineRule="auto"/>
        <w:jc w:val="center"/>
        <w:rPr>
          <w:rFonts w:ascii="仿宋" w:hAnsi="仿宋" w:eastAsia="仿宋" w:cs="仿宋"/>
          <w:b/>
          <w:bCs/>
          <w:color w:val="000000" w:themeColor="text1"/>
          <w:sz w:val="24"/>
          <w:highlight w:val="none"/>
          <w14:textFill>
            <w14:solidFill>
              <w14:schemeClr w14:val="tx1"/>
            </w14:solidFill>
          </w14:textFill>
        </w:rPr>
        <w:sectPr>
          <w:pgSz w:w="11906" w:h="16838"/>
          <w:pgMar w:top="1440" w:right="1080" w:bottom="1440" w:left="1080" w:header="851" w:footer="992" w:gutter="0"/>
          <w:pgNumType w:fmt="decimal"/>
          <w:cols w:space="720" w:num="1"/>
          <w:titlePg/>
          <w:docGrid w:linePitch="312" w:charSpace="0"/>
        </w:sectPr>
      </w:pP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（1）报价单…………………………………………………………………………（页码）</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（2）分项报价表……………………………………………………………………（页码）</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（3）中小企业声明函………………………………………………………………（页码）</w:t>
      </w: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sectPr>
          <w:footerReference r:id="rId20" w:type="first"/>
          <w:headerReference r:id="rId18" w:type="default"/>
          <w:footerReference r:id="rId19" w:type="default"/>
          <w:pgSz w:w="11906" w:h="16838"/>
          <w:pgMar w:top="1440" w:right="1080" w:bottom="1440" w:left="1080" w:header="851" w:footer="992" w:gutter="0"/>
          <w:pgNumType w:fmt="decimal"/>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一、报价单</w:t>
      </w:r>
    </w:p>
    <w:p>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pPr>
        <w:snapToGrid w:val="0"/>
        <w:spacing w:line="360" w:lineRule="auto"/>
        <w:ind w:firstLine="482"/>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按你方采购文件要求，我们，本响应文件签字方，谨此向你方发出要约如下：如你方接受本投标，我方承诺按照如下报价单的价格完成</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工程测量实训室扩建</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BSZB2022-AZZC128</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tbl>
      <w:tblPr>
        <w:tblStyle w:val="62"/>
        <w:tblW w:w="0" w:type="auto"/>
        <w:tblInd w:w="136" w:type="dxa"/>
        <w:tblLayout w:type="fixed"/>
        <w:tblCellMar>
          <w:top w:w="0" w:type="dxa"/>
          <w:left w:w="108" w:type="dxa"/>
          <w:bottom w:w="0" w:type="dxa"/>
          <w:right w:w="108" w:type="dxa"/>
        </w:tblCellMar>
      </w:tblPr>
      <w:tblGrid>
        <w:gridCol w:w="839"/>
        <w:gridCol w:w="2698"/>
        <w:gridCol w:w="3248"/>
        <w:gridCol w:w="2954"/>
      </w:tblGrid>
      <w:tr>
        <w:tblPrEx>
          <w:tblCellMar>
            <w:top w:w="0" w:type="dxa"/>
            <w:left w:w="108" w:type="dxa"/>
            <w:bottom w:w="0" w:type="dxa"/>
            <w:right w:w="108" w:type="dxa"/>
          </w:tblCellMar>
        </w:tblPrEx>
        <w:trPr>
          <w:trHeight w:val="1173" w:hRule="atLeast"/>
        </w:trPr>
        <w:tc>
          <w:tcPr>
            <w:tcW w:w="839" w:type="dxa"/>
            <w:tcBorders>
              <w:top w:val="single" w:color="000000" w:sz="4" w:space="0"/>
              <w:left w:val="single" w:color="000000" w:sz="4" w:space="0"/>
              <w:bottom w:val="single" w:color="000000" w:sz="4" w:space="0"/>
            </w:tcBorders>
            <w:vAlign w:val="center"/>
          </w:tcPr>
          <w:p>
            <w:pPr>
              <w:spacing w:line="30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序号</w:t>
            </w:r>
          </w:p>
        </w:tc>
        <w:tc>
          <w:tcPr>
            <w:tcW w:w="2698" w:type="dxa"/>
            <w:tcBorders>
              <w:top w:val="single" w:color="000000" w:sz="4" w:space="0"/>
              <w:left w:val="single" w:color="000000" w:sz="4" w:space="0"/>
              <w:bottom w:val="single" w:color="000000" w:sz="4" w:space="0"/>
            </w:tcBorders>
            <w:vAlign w:val="center"/>
          </w:tcPr>
          <w:p>
            <w:pPr>
              <w:autoSpaceDE w:val="0"/>
              <w:spacing w:line="300" w:lineRule="exact"/>
              <w:jc w:val="center"/>
              <w:textAlignment w:val="bottom"/>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项目内容</w:t>
            </w:r>
          </w:p>
        </w:tc>
        <w:tc>
          <w:tcPr>
            <w:tcW w:w="3248" w:type="dxa"/>
            <w:tcBorders>
              <w:top w:val="single" w:color="000000" w:sz="4" w:space="0"/>
              <w:left w:val="single" w:color="000000" w:sz="4" w:space="0"/>
              <w:bottom w:val="single" w:color="000000" w:sz="4" w:space="0"/>
            </w:tcBorders>
            <w:vAlign w:val="center"/>
          </w:tcPr>
          <w:p>
            <w:pPr>
              <w:spacing w:line="30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总报价</w:t>
            </w:r>
          </w:p>
          <w:p>
            <w:pPr>
              <w:spacing w:line="30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（人民币：元）</w:t>
            </w:r>
          </w:p>
        </w:tc>
        <w:tc>
          <w:tcPr>
            <w:tcW w:w="295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项目完成时间</w:t>
            </w:r>
          </w:p>
        </w:tc>
      </w:tr>
      <w:tr>
        <w:tblPrEx>
          <w:tblCellMar>
            <w:top w:w="0" w:type="dxa"/>
            <w:left w:w="108" w:type="dxa"/>
            <w:bottom w:w="0" w:type="dxa"/>
            <w:right w:w="108" w:type="dxa"/>
          </w:tblCellMar>
        </w:tblPrEx>
        <w:trPr>
          <w:trHeight w:val="1285" w:hRule="atLeast"/>
        </w:trPr>
        <w:tc>
          <w:tcPr>
            <w:tcW w:w="839" w:type="dxa"/>
            <w:tcBorders>
              <w:top w:val="single" w:color="000000" w:sz="4" w:space="0"/>
              <w:left w:val="single" w:color="000000" w:sz="4" w:space="0"/>
              <w:bottom w:val="single" w:color="000000" w:sz="4" w:space="0"/>
            </w:tcBorders>
            <w:vAlign w:val="center"/>
          </w:tcPr>
          <w:p>
            <w:pPr>
              <w:spacing w:line="50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w:t>
            </w:r>
          </w:p>
        </w:tc>
        <w:tc>
          <w:tcPr>
            <w:tcW w:w="2698" w:type="dxa"/>
            <w:tcBorders>
              <w:top w:val="single" w:color="000000" w:sz="4" w:space="0"/>
              <w:left w:val="single" w:color="000000" w:sz="4" w:space="0"/>
              <w:bottom w:val="single" w:color="000000" w:sz="4" w:space="0"/>
            </w:tcBorders>
            <w:vAlign w:val="center"/>
          </w:tcPr>
          <w:p>
            <w:pPr>
              <w:autoSpaceDE w:val="0"/>
              <w:snapToGrid w:val="0"/>
              <w:spacing w:line="400" w:lineRule="exact"/>
              <w:jc w:val="center"/>
              <w:textAlignment w:val="bottom"/>
              <w:rPr>
                <w:rFonts w:ascii="仿宋" w:hAnsi="仿宋" w:eastAsia="仿宋" w:cs="仿宋"/>
                <w:bCs/>
                <w:color w:val="000000" w:themeColor="text1"/>
                <w:sz w:val="24"/>
                <w:highlight w:val="none"/>
                <w14:textFill>
                  <w14:solidFill>
                    <w14:schemeClr w14:val="tx1"/>
                  </w14:solidFill>
                </w14:textFill>
              </w:rPr>
            </w:pPr>
          </w:p>
        </w:tc>
        <w:tc>
          <w:tcPr>
            <w:tcW w:w="3248" w:type="dxa"/>
            <w:tcBorders>
              <w:top w:val="single" w:color="000000" w:sz="4" w:space="0"/>
              <w:left w:val="single" w:color="000000" w:sz="4" w:space="0"/>
              <w:bottom w:val="single" w:color="000000" w:sz="4" w:space="0"/>
            </w:tcBorders>
            <w:vAlign w:val="center"/>
          </w:tcPr>
          <w:p>
            <w:pPr>
              <w:snapToGrid w:val="0"/>
              <w:spacing w:line="500" w:lineRule="exact"/>
              <w:jc w:val="center"/>
              <w:rPr>
                <w:rFonts w:ascii="仿宋" w:hAnsi="仿宋" w:eastAsia="仿宋" w:cs="仿宋"/>
                <w:bCs/>
                <w:color w:val="000000" w:themeColor="text1"/>
                <w:sz w:val="24"/>
                <w:highlight w:val="none"/>
                <w14:textFill>
                  <w14:solidFill>
                    <w14:schemeClr w14:val="tx1"/>
                  </w14:solidFill>
                </w14:textFill>
              </w:rPr>
            </w:pPr>
          </w:p>
        </w:tc>
        <w:tc>
          <w:tcPr>
            <w:tcW w:w="2954" w:type="dxa"/>
            <w:tcBorders>
              <w:top w:val="single" w:color="000000" w:sz="4" w:space="0"/>
              <w:left w:val="single" w:color="000000" w:sz="4" w:space="0"/>
              <w:bottom w:val="single" w:color="000000" w:sz="4" w:space="0"/>
              <w:right w:val="single" w:color="000000" w:sz="4" w:space="0"/>
            </w:tcBorders>
            <w:vAlign w:val="center"/>
          </w:tcPr>
          <w:p>
            <w:pPr>
              <w:snapToGrid w:val="0"/>
              <w:spacing w:line="500" w:lineRule="exact"/>
              <w:jc w:val="center"/>
              <w:rPr>
                <w:rFonts w:ascii="仿宋" w:hAnsi="仿宋" w:eastAsia="仿宋" w:cs="仿宋"/>
                <w:bCs/>
                <w:color w:val="000000" w:themeColor="text1"/>
                <w:sz w:val="24"/>
                <w:highlight w:val="none"/>
                <w14:textFill>
                  <w14:solidFill>
                    <w14:schemeClr w14:val="tx1"/>
                  </w14:solidFill>
                </w14:textFill>
              </w:rPr>
            </w:pPr>
          </w:p>
        </w:tc>
      </w:tr>
      <w:tr>
        <w:tblPrEx>
          <w:tblCellMar>
            <w:top w:w="0" w:type="dxa"/>
            <w:left w:w="108" w:type="dxa"/>
            <w:bottom w:w="0" w:type="dxa"/>
            <w:right w:w="108" w:type="dxa"/>
          </w:tblCellMar>
        </w:tblPrEx>
        <w:trPr>
          <w:trHeight w:val="1295" w:hRule="atLeast"/>
        </w:trPr>
        <w:tc>
          <w:tcPr>
            <w:tcW w:w="9739" w:type="dxa"/>
            <w:gridSpan w:val="4"/>
            <w:tcBorders>
              <w:top w:val="single" w:color="000000" w:sz="4" w:space="0"/>
              <w:left w:val="single" w:color="000000" w:sz="4" w:space="0"/>
              <w:bottom w:val="single" w:color="000000" w:sz="4" w:space="0"/>
              <w:right w:val="single" w:color="000000" w:sz="4" w:space="0"/>
            </w:tcBorders>
            <w:vAlign w:val="center"/>
          </w:tcPr>
          <w:p>
            <w:pPr>
              <w:snapToGrid w:val="0"/>
              <w:spacing w:line="50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合计（大写）：</w:t>
            </w:r>
          </w:p>
        </w:tc>
      </w:tr>
    </w:tbl>
    <w:p>
      <w:pPr>
        <w:spacing w:line="360" w:lineRule="auto"/>
        <w:ind w:firstLine="482" w:firstLineChars="200"/>
        <w:rPr>
          <w:rFonts w:ascii="仿宋" w:hAnsi="仿宋" w:eastAsia="仿宋" w:cs="仿宋"/>
          <w:b/>
          <w:color w:val="000000" w:themeColor="text1"/>
          <w:kern w:val="0"/>
          <w:sz w:val="24"/>
          <w:highlight w:val="none"/>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hint="eastAsia" w:ascii="仿宋" w:hAnsi="仿宋" w:eastAsia="仿宋" w:cs="仿宋"/>
          <w:color w:val="000000" w:themeColor="text1"/>
          <w:kern w:val="2"/>
          <w:sz w:val="32"/>
          <w:szCs w:val="32"/>
          <w:highlight w:val="none"/>
          <w:lang w:val="en-US" w:eastAsia="zh-CN"/>
          <w14:textFill>
            <w14:solidFill>
              <w14:schemeClr w14:val="tx1"/>
            </w14:solidFill>
          </w14:textFill>
        </w:rPr>
        <w:sectPr>
          <w:footerReference r:id="rId23" w:type="first"/>
          <w:headerReference r:id="rId21" w:type="default"/>
          <w:footerReference r:id="rId22" w:type="default"/>
          <w:pgSz w:w="11906" w:h="16838"/>
          <w:pgMar w:top="1440" w:right="1083" w:bottom="1440" w:left="1083" w:header="851" w:footer="992" w:gutter="0"/>
          <w:pgNumType w:fmt="decimal"/>
          <w:cols w:space="0" w:num="1"/>
          <w:titlePg/>
          <w:docGrid w:linePitch="312" w:charSpace="0"/>
        </w:sect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日</w:t>
      </w:r>
    </w:p>
    <w:p>
      <w:pPr>
        <w:pStyle w:val="692"/>
        <w:keepNext w:val="0"/>
        <w:pageBreakBefore w:val="0"/>
        <w:tabs>
          <w:tab w:val="clear" w:pos="720"/>
        </w:tabs>
        <w:snapToGrid w:val="0"/>
        <w:spacing w:before="120" w:after="120"/>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二、分项报价表</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4"/>
        <w:gridCol w:w="2344"/>
        <w:gridCol w:w="2952"/>
        <w:gridCol w:w="1186"/>
        <w:gridCol w:w="2442"/>
        <w:gridCol w:w="1620"/>
        <w:gridCol w:w="27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2"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序号</w:t>
            </w:r>
          </w:p>
        </w:tc>
        <w:tc>
          <w:tcPr>
            <w:tcW w:w="234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名称</w:t>
            </w:r>
          </w:p>
        </w:tc>
        <w:tc>
          <w:tcPr>
            <w:tcW w:w="295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功能、技术参数</w:t>
            </w:r>
          </w:p>
        </w:tc>
        <w:tc>
          <w:tcPr>
            <w:tcW w:w="1186"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数量</w:t>
            </w:r>
          </w:p>
        </w:tc>
        <w:tc>
          <w:tcPr>
            <w:tcW w:w="244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原产地、制造商名称</w:t>
            </w: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单价</w:t>
            </w: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总价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65"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34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设备</w:t>
            </w:r>
          </w:p>
        </w:tc>
        <w:tc>
          <w:tcPr>
            <w:tcW w:w="295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186"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44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34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95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186"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44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34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95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186"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44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8924" w:type="dxa"/>
            <w:gridSpan w:val="4"/>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安装、调试</w:t>
            </w: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8924" w:type="dxa"/>
            <w:gridSpan w:val="4"/>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技术服务</w:t>
            </w: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8924" w:type="dxa"/>
            <w:gridSpan w:val="4"/>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运输费和保险费</w:t>
            </w: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8924" w:type="dxa"/>
            <w:gridSpan w:val="4"/>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其他：</w:t>
            </w:r>
          </w:p>
        </w:tc>
        <w:tc>
          <w:tcPr>
            <w:tcW w:w="1620"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904"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c>
          <w:tcPr>
            <w:tcW w:w="6482" w:type="dxa"/>
            <w:gridSpan w:val="3"/>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税费及附加</w:t>
            </w:r>
          </w:p>
        </w:tc>
        <w:tc>
          <w:tcPr>
            <w:tcW w:w="4062" w:type="dxa"/>
            <w:gridSpan w:val="2"/>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税费率：%</w:t>
            </w: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00" w:hRule="atLeast"/>
          <w:jc w:val="center"/>
        </w:trPr>
        <w:tc>
          <w:tcPr>
            <w:tcW w:w="11448" w:type="dxa"/>
            <w:gridSpan w:val="6"/>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总报价</w:t>
            </w:r>
          </w:p>
        </w:tc>
        <w:tc>
          <w:tcPr>
            <w:tcW w:w="2792" w:type="dxa"/>
            <w:noWrap w:val="0"/>
            <w:vAlign w:val="center"/>
          </w:tcPr>
          <w:p>
            <w:pPr>
              <w:spacing w:line="400" w:lineRule="exact"/>
              <w:ind w:left="-720" w:firstLine="792" w:firstLineChars="330"/>
              <w:jc w:val="center"/>
              <w:rPr>
                <w:rFonts w:hint="eastAsia" w:ascii="仿宋" w:hAnsi="仿宋" w:eastAsia="仿宋" w:cs="仿宋"/>
                <w:bCs/>
                <w:color w:val="000000" w:themeColor="text1"/>
                <w:sz w:val="24"/>
                <w:szCs w:val="24"/>
                <w:highlight w:val="none"/>
                <w14:textFill>
                  <w14:solidFill>
                    <w14:schemeClr w14:val="tx1"/>
                  </w14:solidFill>
                </w14:textFill>
              </w:rPr>
            </w:pPr>
          </w:p>
        </w:tc>
      </w:tr>
    </w:tbl>
    <w:p>
      <w:pPr>
        <w:snapToGrid w:val="0"/>
        <w:spacing w:line="360" w:lineRule="auto"/>
        <w:ind w:firstLine="4560" w:firstLineChars="1900"/>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hint="eastAsia" w:ascii="仿宋" w:hAnsi="仿宋" w:eastAsia="仿宋" w:cs="仿宋"/>
          <w:color w:val="000000" w:themeColor="text1"/>
          <w:sz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10080" w:firstLineChars="4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keepNext w:val="0"/>
        <w:keepLines w:val="0"/>
        <w:pageBreakBefore w:val="0"/>
        <w:widowControl w:val="0"/>
        <w:kinsoku/>
        <w:wordWrap/>
        <w:overflowPunct/>
        <w:topLinePunct w:val="0"/>
        <w:autoSpaceDE/>
        <w:autoSpaceDN/>
        <w:bidi w:val="0"/>
        <w:adjustRightInd w:val="0"/>
        <w:snapToGrid w:val="0"/>
        <w:spacing w:line="360" w:lineRule="auto"/>
        <w:ind w:firstLine="4560" w:firstLineChars="1900"/>
        <w:textAlignment w:val="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日期：  年    月    日</w:t>
      </w:r>
    </w:p>
    <w:p>
      <w:pPr>
        <w:rPr>
          <w:rFonts w:hint="default" w:eastAsia="宋体"/>
          <w:color w:val="000000" w:themeColor="text1"/>
          <w:highlight w:val="none"/>
          <w:lang w:val="en-US" w:eastAsia="zh-CN"/>
          <w14:textFill>
            <w14:solidFill>
              <w14:schemeClr w14:val="tx1"/>
            </w14:solidFill>
          </w14:textFill>
        </w:rPr>
        <w:sectPr>
          <w:pgSz w:w="16838" w:h="11906" w:orient="landscape"/>
          <w:pgMar w:top="1083" w:right="1440" w:bottom="1083" w:left="1440" w:header="851" w:footer="992" w:gutter="0"/>
          <w:pgNumType w:fmt="decimal"/>
          <w:cols w:space="0" w:num="1"/>
          <w:titlePg/>
          <w:rtlGutter w:val="0"/>
          <w:docGrid w:linePitch="312" w:charSpace="0"/>
        </w:sectPr>
      </w:pPr>
      <w:r>
        <w:rPr>
          <w:rFonts w:hint="eastAsia"/>
          <w:color w:val="000000" w:themeColor="text1"/>
          <w:highlight w:val="none"/>
          <w:lang w:val="en-US" w:eastAsia="zh-CN"/>
          <w14:textFill>
            <w14:solidFill>
              <w14:schemeClr w14:val="tx1"/>
            </w14:solidFill>
          </w14:textFill>
        </w:rPr>
        <w:t xml:space="preserve">            </w:t>
      </w:r>
    </w:p>
    <w:p>
      <w:pPr>
        <w:pStyle w:val="692"/>
        <w:keepNext w:val="0"/>
        <w:pageBreakBefore w:val="0"/>
        <w:tabs>
          <w:tab w:val="clear" w:pos="720"/>
        </w:tabs>
        <w:snapToGrid w:val="0"/>
        <w:spacing w:before="120" w:after="120"/>
        <w:jc w:val="center"/>
        <w:outlineLvl w:val="9"/>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三、</w:t>
      </w:r>
      <w:r>
        <w:rPr>
          <w:rFonts w:hint="eastAsia" w:ascii="仿宋" w:hAnsi="仿宋" w:eastAsia="仿宋" w:cs="仿宋"/>
          <w:color w:val="000000" w:themeColor="text1"/>
          <w:sz w:val="32"/>
          <w:szCs w:val="32"/>
          <w:highlight w:val="none"/>
          <w14:textFill>
            <w14:solidFill>
              <w14:schemeClr w14:val="tx1"/>
            </w14:solidFill>
          </w14:textFill>
        </w:rPr>
        <w:t>中小企业声明函</w:t>
      </w:r>
      <w:bookmarkStart w:id="399" w:name="_Hlk101259491"/>
      <w:r>
        <w:rPr>
          <w:rFonts w:hint="eastAsia" w:ascii="仿宋" w:hAnsi="仿宋" w:eastAsia="仿宋" w:cs="仿宋"/>
          <w:color w:val="000000" w:themeColor="text1"/>
          <w:sz w:val="32"/>
          <w:szCs w:val="32"/>
          <w:highlight w:val="none"/>
          <w14:textFill>
            <w14:solidFill>
              <w14:schemeClr w14:val="tx1"/>
            </w14:solidFill>
          </w14:textFill>
        </w:rPr>
        <w:t>（如果有）</w:t>
      </w:r>
      <w:bookmarkEnd w:id="399"/>
    </w:p>
    <w:p>
      <w:pPr>
        <w:widowControl/>
        <w:spacing w:line="360" w:lineRule="auto"/>
        <w:ind w:firstLine="120" w:firstLineChars="5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2"/>
        <w:keepNext w:val="0"/>
        <w:pageBreakBefore w:val="0"/>
        <w:tabs>
          <w:tab w:val="clear" w:pos="720"/>
        </w:tabs>
        <w:snapToGrid w:val="0"/>
        <w:spacing w:before="120" w:after="120"/>
        <w:ind w:firstLine="643"/>
        <w:outlineLvl w:val="9"/>
        <w:rPr>
          <w:rFonts w:ascii="仿宋" w:hAnsi="仿宋" w:eastAsia="仿宋" w:cs="仿宋"/>
          <w:b w:val="0"/>
          <w:color w:val="000000" w:themeColor="text1"/>
          <w:sz w:val="32"/>
          <w:szCs w:val="32"/>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pPr>
        <w:jc w:val="left"/>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pPr>
        <w:pStyle w:val="4"/>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000000" w:themeColor="text1"/>
          <w:highlight w:val="none"/>
          <w14:textFill>
            <w14:solidFill>
              <w14:schemeClr w14:val="tx1"/>
            </w14:solidFill>
          </w14:textFill>
        </w:rPr>
      </w:pPr>
      <w:bookmarkStart w:id="400" w:name="_Toc465665161"/>
      <w:r>
        <w:rPr>
          <w:rFonts w:hint="eastAsia" w:ascii="仿宋" w:hAnsi="仿宋" w:eastAsia="仿宋" w:cs="仿宋"/>
          <w:color w:val="000000" w:themeColor="text1"/>
          <w:highlight w:val="none"/>
          <w14:textFill>
            <w14:solidFill>
              <w14:schemeClr w14:val="tx1"/>
            </w14:solidFill>
          </w14:textFill>
        </w:rPr>
        <w:t>附件</w:t>
      </w:r>
      <w:bookmarkEnd w:id="400"/>
    </w:p>
    <w:p>
      <w:pPr>
        <w:spacing w:line="360" w:lineRule="auto"/>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w:t>
      </w: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bookmarkStart w:id="401" w:name="OLE_LINK14"/>
      <w:bookmarkStart w:id="402" w:name="OLE_LINK13"/>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401"/>
    <w:bookmarkEnd w:id="402"/>
    <w:p>
      <w:pPr>
        <w:spacing w:line="360" w:lineRule="auto"/>
        <w:rPr>
          <w:rFonts w:ascii="仿宋" w:hAnsi="仿宋" w:eastAsia="仿宋" w:cs="仿宋"/>
          <w:b/>
          <w:color w:val="000000" w:themeColor="text1"/>
          <w:spacing w:val="6"/>
          <w:sz w:val="30"/>
          <w:szCs w:val="30"/>
          <w:highlight w:val="none"/>
          <w14:textFill>
            <w14:solidFill>
              <w14:schemeClr w14:val="tx1"/>
            </w14:solidFill>
          </w14:textFill>
        </w:rPr>
      </w:pP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tabs>
          <w:tab w:val="left" w:pos="4860"/>
        </w:tabs>
        <w:spacing w:line="360" w:lineRule="auto"/>
        <w:ind w:right="1560" w:firstLine="480" w:firstLineChars="200"/>
        <w:jc w:val="center"/>
        <w:rPr>
          <w:rFonts w:ascii="仿宋" w:hAnsi="仿宋" w:eastAsia="仿宋" w:cs="仿宋"/>
          <w:color w:val="000000" w:themeColor="text1"/>
          <w:sz w:val="24"/>
          <w:highlight w:val="none"/>
          <w14:textFill>
            <w14:solidFill>
              <w14:schemeClr w14:val="tx1"/>
            </w14:solidFill>
          </w14:textFill>
        </w:rPr>
      </w:pP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附件2：质疑函范本及制作说明</w:t>
      </w: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pPr>
        <w:snapToGrid w:val="0"/>
        <w:spacing w:before="240" w:beforeLines="100"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000000" w:themeColor="text1"/>
          <w:sz w:val="30"/>
          <w:szCs w:val="30"/>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附件3：投诉书范本及制作说明</w:t>
      </w:r>
    </w:p>
    <w:p>
      <w:pPr>
        <w:spacing w:line="360" w:lineRule="auto"/>
        <w:jc w:val="center"/>
        <w:rPr>
          <w:rFonts w:ascii="仿宋" w:hAnsi="仿宋" w:eastAsia="仿宋" w:cs="仿宋"/>
          <w:b/>
          <w:color w:val="000000" w:themeColor="text1"/>
          <w:sz w:val="24"/>
          <w:highlight w:val="none"/>
          <w14:textFill>
            <w14:solidFill>
              <w14:schemeClr w14:val="tx1"/>
            </w14:solidFill>
          </w14:textFill>
        </w:rPr>
      </w:pPr>
    </w:p>
    <w:p>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tabs>
          <w:tab w:val="left" w:pos="6510"/>
        </w:tabs>
        <w:spacing w:line="360"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tabs>
          <w:tab w:val="left" w:pos="6510"/>
        </w:tabs>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pPr>
        <w:spacing w:line="360" w:lineRule="auto"/>
        <w:ind w:firstLine="480" w:firstLineChars="20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ind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p>
    <w:p>
      <w:pPr>
        <w:spacing w:line="360"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pPr>
        <w:widowControl/>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color w:val="000000" w:themeColor="text1"/>
          <w:sz w:val="24"/>
          <w:highlight w:val="none"/>
          <w14:textFill>
            <w14:solidFill>
              <w14:schemeClr w14:val="tx1"/>
            </w14:solidFill>
          </w14:textFill>
        </w:rPr>
      </w:pPr>
    </w:p>
    <w:p>
      <w:pPr>
        <w:pStyle w:val="79"/>
        <w:rPr>
          <w:rFonts w:ascii="仿宋" w:hAnsi="仿宋" w:eastAsia="仿宋" w:cs="仿宋"/>
          <w:color w:val="000000" w:themeColor="text1"/>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附件4：</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pPr>
        <w:spacing w:line="360" w:lineRule="auto"/>
        <w:rPr>
          <w:rFonts w:ascii="仿宋" w:hAnsi="仿宋" w:eastAsia="仿宋" w:cs="仿宋"/>
          <w:color w:val="000000" w:themeColor="text1"/>
          <w:sz w:val="24"/>
          <w:highlight w:val="none"/>
          <w:u w:val="single"/>
          <w14:textFill>
            <w14:solidFill>
              <w14:schemeClr w14:val="tx1"/>
            </w14:solidFill>
          </w14:textFill>
        </w:rPr>
      </w:pPr>
    </w:p>
    <w:p>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(供应商全称)是中华人民共和国依法登记注册的合法企业，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你方组织的（项目名称）项目【项目编号：（采购编号）】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pPr>
        <w:spacing w:line="360" w:lineRule="auto"/>
        <w:ind w:firstLine="494"/>
        <w:rPr>
          <w:rFonts w:ascii="仿宋" w:hAnsi="仿宋" w:eastAsia="仿宋" w:cs="仿宋"/>
          <w:color w:val="000000" w:themeColor="text1"/>
          <w:sz w:val="24"/>
          <w:highlight w:val="none"/>
          <w14:textFill>
            <w14:solidFill>
              <w14:schemeClr w14:val="tx1"/>
            </w14:solidFill>
          </w14:textFill>
        </w:rPr>
      </w:pPr>
    </w:p>
    <w:p>
      <w:pPr>
        <w:spacing w:line="360" w:lineRule="auto"/>
        <w:ind w:firstLine="494"/>
        <w:rPr>
          <w:rFonts w:ascii="仿宋" w:hAnsi="仿宋" w:eastAsia="仿宋" w:cs="仿宋"/>
          <w:color w:val="000000" w:themeColor="text1"/>
          <w:sz w:val="24"/>
          <w:highlight w:val="none"/>
          <w14:textFill>
            <w14:solidFill>
              <w14:schemeClr w14:val="tx1"/>
            </w14:solidFill>
          </w14:textFill>
        </w:rPr>
      </w:pPr>
    </w:p>
    <w:p>
      <w:pPr>
        <w:spacing w:line="360" w:lineRule="auto"/>
        <w:ind w:firstLine="494"/>
        <w:rPr>
          <w:rFonts w:ascii="仿宋" w:hAnsi="仿宋" w:eastAsia="仿宋" w:cs="仿宋"/>
          <w:color w:val="000000" w:themeColor="text1"/>
          <w:sz w:val="24"/>
          <w:highlight w:val="none"/>
          <w14:textFill>
            <w14:solidFill>
              <w14:schemeClr w14:val="tx1"/>
            </w14:solidFill>
          </w14:textFill>
        </w:rPr>
      </w:pPr>
    </w:p>
    <w:p>
      <w:pPr>
        <w:spacing w:line="360" w:lineRule="auto"/>
        <w:ind w:firstLine="494"/>
        <w:rPr>
          <w:rFonts w:ascii="仿宋" w:hAnsi="仿宋" w:eastAsia="仿宋" w:cs="仿宋"/>
          <w:color w:val="000000" w:themeColor="text1"/>
          <w:sz w:val="24"/>
          <w:highlight w:val="none"/>
          <w14:textFill>
            <w14:solidFill>
              <w14:schemeClr w14:val="tx1"/>
            </w14:solidFill>
          </w14:textFill>
        </w:rPr>
      </w:pPr>
    </w:p>
    <w:p>
      <w:pPr>
        <w:spacing w:line="360" w:lineRule="auto"/>
        <w:ind w:right="48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供应商（法定名称章）：</w:t>
      </w:r>
    </w:p>
    <w:p>
      <w:pPr>
        <w:ind w:right="1440" w:firstLine="494"/>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pPr>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法定名称章（印模）                供应商“XX专用章”（印模）</w:t>
      </w: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附件5：</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（以联合体形式投标的，提供联合协议；不接受联合体投标或者投标人不以联合体形式投标的，则不需要提供）</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（联合体所有成员名称）</w:t>
      </w:r>
      <w:r>
        <w:rPr>
          <w:rFonts w:hint="eastAsia" w:ascii="仿宋" w:hAnsi="仿宋" w:eastAsia="仿宋" w:cs="仿宋"/>
          <w:color w:val="000000" w:themeColor="text1"/>
          <w:sz w:val="24"/>
          <w:highlight w:val="none"/>
          <w14:textFill>
            <w14:solidFill>
              <w14:schemeClr w14:val="tx1"/>
            </w14:solidFill>
          </w14:textFill>
        </w:rPr>
        <w:t>自愿</w:t>
      </w:r>
      <w:r>
        <w:rPr>
          <w:rFonts w:hint="eastAsia" w:ascii="仿宋" w:hAnsi="仿宋" w:eastAsia="仿宋" w:cs="仿宋"/>
          <w:color w:val="000000" w:themeColor="text1"/>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sz w:val="24"/>
          <w:highlight w:val="none"/>
          <w14:textFill>
            <w14:solidFill>
              <w14:schemeClr w14:val="tx1"/>
            </w14:solidFill>
          </w14:textFill>
        </w:rPr>
        <w:t>参加（项目名称）【招标编号：（采购编号）】</w:t>
      </w:r>
      <w:r>
        <w:rPr>
          <w:rFonts w:hint="eastAsia" w:ascii="仿宋" w:hAnsi="仿宋" w:eastAsia="仿宋" w:cs="仿宋"/>
          <w:color w:val="000000" w:themeColor="text1"/>
          <w:sz w:val="24"/>
          <w:highlight w:val="none"/>
          <w:lang w:val="zh-CN"/>
          <w14:textFill>
            <w14:solidFill>
              <w14:schemeClr w14:val="tx1"/>
            </w14:solidFill>
          </w14:textFill>
        </w:rPr>
        <w:t xml:space="preserve">投标。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一、各方一致决定，</w:t>
      </w:r>
      <w:r>
        <w:rPr>
          <w:rFonts w:hint="eastAsia" w:ascii="仿宋" w:hAnsi="仿宋" w:eastAsia="仿宋" w:cs="仿宋"/>
          <w:color w:val="000000" w:themeColor="text1"/>
          <w:sz w:val="24"/>
          <w:highlight w:val="none"/>
          <w:u w:val="single"/>
          <w14:textFill>
            <w14:solidFill>
              <w14:schemeClr w14:val="tx1"/>
            </w14:solidFill>
          </w14:textFill>
        </w:rPr>
        <w:t>（某联合体成员名称）</w:t>
      </w:r>
      <w:r>
        <w:rPr>
          <w:rFonts w:hint="eastAsia" w:ascii="仿宋" w:hAnsi="仿宋" w:eastAsia="仿宋" w:cs="仿宋"/>
          <w:color w:val="000000" w:themeColor="text1"/>
          <w:sz w:val="24"/>
          <w:highlight w:val="none"/>
          <w14:textFill>
            <w14:solidFill>
              <w14:schemeClr w14:val="tx1"/>
            </w14:solidFill>
          </w14:textFill>
        </w:rPr>
        <w:t>为联合体</w:t>
      </w:r>
      <w:r>
        <w:rPr>
          <w:rFonts w:hint="eastAsia" w:ascii="仿宋" w:hAnsi="仿宋" w:eastAsia="仿宋" w:cs="仿宋"/>
          <w:color w:val="000000" w:themeColor="text1"/>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三、本次联合投标中，分工如下：</w:t>
      </w:r>
      <w:r>
        <w:rPr>
          <w:rFonts w:hint="eastAsia" w:ascii="仿宋" w:hAnsi="仿宋" w:eastAsia="仿宋" w:cs="仿宋"/>
          <w:color w:val="000000" w:themeColor="text1"/>
          <w:sz w:val="24"/>
          <w:highlight w:val="none"/>
          <w:u w:val="single"/>
          <w14:textFill>
            <w14:solidFill>
              <w14:schemeClr w14:val="tx1"/>
            </w14:solidFill>
          </w14:textFill>
        </w:rPr>
        <w:t>（联合体其中一方成员名称）</w:t>
      </w:r>
      <w:r>
        <w:rPr>
          <w:rFonts w:hint="eastAsia" w:ascii="仿宋" w:hAnsi="仿宋" w:eastAsia="仿宋" w:cs="仿宋"/>
          <w:color w:val="000000" w:themeColor="text1"/>
          <w:sz w:val="24"/>
          <w:highlight w:val="none"/>
          <w:lang w:val="zh-CN"/>
          <w14:textFill>
            <w14:solidFill>
              <w14:schemeClr w14:val="tx1"/>
            </w14:solidFill>
          </w14:textFill>
        </w:rPr>
        <w:t>承担的工作和义务为：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60" w:lineRule="auto"/>
        <w:ind w:firstLine="576"/>
        <w:rPr>
          <w:rFonts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四、</w:t>
      </w:r>
      <w:r>
        <w:rPr>
          <w:rFonts w:hint="eastAsia" w:ascii="仿宋" w:hAnsi="仿宋" w:eastAsia="仿宋" w:cs="仿宋"/>
          <w:color w:val="000000" w:themeColor="text1"/>
          <w:sz w:val="24"/>
          <w:highlight w:val="none"/>
          <w:u w:val="single"/>
          <w14:textFill>
            <w14:solidFill>
              <w14:schemeClr w14:val="tx1"/>
            </w14:solidFill>
          </w14:textFill>
        </w:rPr>
        <w:t>（联合体其中一方成员名称）</w:t>
      </w:r>
      <w:r>
        <w:rPr>
          <w:rFonts w:hint="eastAsia" w:ascii="仿宋" w:hAnsi="仿宋" w:eastAsia="仿宋" w:cs="仿宋"/>
          <w:color w:val="000000" w:themeColor="text1"/>
          <w:sz w:val="24"/>
          <w:highlight w:val="none"/>
          <w14:textFill>
            <w14:solidFill>
              <w14:schemeClr w14:val="tx1"/>
            </w14:solidFill>
          </w14:textFill>
        </w:rPr>
        <w:t>提供的全部货物由小微企业制造，其合同份额占到合同总金额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%以上；</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b/>
          <w:color w:val="000000" w:themeColor="text1"/>
          <w:sz w:val="24"/>
          <w:highlight w:val="none"/>
          <w:lang w:val="zh-CN"/>
          <w14:textFill>
            <w14:solidFill>
              <w14:schemeClr w14:val="tx1"/>
            </w14:solidFill>
          </w14:textFill>
        </w:rPr>
        <w:t xml:space="preserve">（未预留份额专门面向中小企业采购的的采购项目，以及预留份额中的非预留部分采购包，接受联合体投标的，联合体其中一方提供的货物全部由小微企业制造，且其合同份额占到合同总金额 </w:t>
      </w: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color w:val="000000" w:themeColor="text1"/>
          <w:sz w:val="24"/>
          <w:highlight w:val="none"/>
          <w:lang w:val="zh-CN"/>
          <w14:textFill>
            <w14:solidFill>
              <w14:schemeClr w14:val="tx1"/>
            </w14:solidFill>
          </w14:textFill>
        </w:rPr>
        <w:t>0%以上，对联合体报价给予</w:t>
      </w:r>
      <w:r>
        <w:rPr>
          <w:rFonts w:hint="eastAsia" w:ascii="仿宋" w:hAnsi="仿宋" w:eastAsia="仿宋" w:cs="仿宋"/>
          <w:b/>
          <w:color w:val="000000" w:themeColor="text1"/>
          <w:sz w:val="24"/>
          <w:highlight w:val="none"/>
          <w14:textFill>
            <w14:solidFill>
              <w14:schemeClr w14:val="tx1"/>
            </w14:solidFill>
          </w14:textFill>
        </w:rPr>
        <w:t>6</w:t>
      </w:r>
      <w:r>
        <w:rPr>
          <w:rFonts w:hint="eastAsia" w:ascii="仿宋" w:hAnsi="仿宋" w:eastAsia="仿宋" w:cs="仿宋"/>
          <w:b/>
          <w:color w:val="000000" w:themeColor="text1"/>
          <w:sz w:val="24"/>
          <w:highlight w:val="none"/>
          <w:lang w:val="zh-CN"/>
          <w14:textFill>
            <w14:solidFill>
              <w14:schemeClr w14:val="tx1"/>
            </w14:solidFill>
          </w14:textFill>
        </w:rPr>
        <w:t>%的扣除）</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六、有关本次联合投标的其他事宜：</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联合体成员名称(电子签名/公章)：</w:t>
      </w:r>
    </w:p>
    <w:p>
      <w:pPr>
        <w:snapToGrid w:val="0"/>
        <w:spacing w:line="360" w:lineRule="auto"/>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日期：  年  月   日</w:t>
      </w: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pPr>
        <w:snapToGrid w:val="0"/>
        <w:spacing w:line="360" w:lineRule="auto"/>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附件6：</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pPr>
        <w:spacing w:line="360" w:lineRule="auto"/>
        <w:ind w:firstLine="120" w:firstLineChars="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（投标人名称）</w:t>
      </w:r>
      <w:r>
        <w:rPr>
          <w:rFonts w:hint="eastAsia" w:ascii="仿宋" w:hAnsi="仿宋" w:eastAsia="仿宋" w:cs="仿宋"/>
          <w:color w:val="000000" w:themeColor="text1"/>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sz w:val="24"/>
          <w:highlight w:val="none"/>
          <w:u w:val="single"/>
          <w14:textFill>
            <w14:solidFill>
              <w14:schemeClr w14:val="tx1"/>
            </w14:solidFill>
          </w14:textFill>
        </w:rPr>
        <w:t>（投标人名称）</w:t>
      </w:r>
      <w:r>
        <w:rPr>
          <w:rFonts w:hint="eastAsia" w:ascii="仿宋" w:hAnsi="仿宋" w:eastAsia="仿宋" w:cs="仿宋"/>
          <w:color w:val="000000" w:themeColor="text1"/>
          <w:sz w:val="24"/>
          <w:highlight w:val="none"/>
          <w14:textFill>
            <w14:solidFill>
              <w14:schemeClr w14:val="tx1"/>
            </w14:solidFill>
          </w14:textFill>
        </w:rPr>
        <w:t>与</w:t>
      </w:r>
      <w:r>
        <w:rPr>
          <w:rFonts w:hint="eastAsia" w:ascii="仿宋" w:hAnsi="仿宋" w:eastAsia="仿宋" w:cs="仿宋"/>
          <w:color w:val="000000" w:themeColor="text1"/>
          <w:sz w:val="24"/>
          <w:highlight w:val="none"/>
          <w:u w:val="single"/>
          <w14:textFill>
            <w14:solidFill>
              <w14:schemeClr w14:val="tx1"/>
            </w14:solidFill>
          </w14:textFill>
        </w:rPr>
        <w:t>（所有分包供应商名称）</w:t>
      </w:r>
      <w:r>
        <w:rPr>
          <w:rFonts w:hint="eastAsia" w:ascii="仿宋" w:hAnsi="仿宋" w:eastAsia="仿宋" w:cs="仿宋"/>
          <w:color w:val="000000" w:themeColor="text1"/>
          <w:sz w:val="24"/>
          <w:highlight w:val="none"/>
          <w14:textFill>
            <w14:solidFill>
              <w14:schemeClr w14:val="tx1"/>
            </w14:solidFill>
          </w14:textFill>
        </w:rPr>
        <w:t>达成分包意向协议</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一、分包标的及数量</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（投标人名称）</w:t>
      </w:r>
      <w:r>
        <w:rPr>
          <w:rFonts w:hint="eastAsia" w:ascii="仿宋" w:hAnsi="仿宋" w:eastAsia="仿宋" w:cs="仿宋"/>
          <w:color w:val="000000" w:themeColor="text1"/>
          <w:sz w:val="24"/>
          <w:highlight w:val="none"/>
          <w:lang w:val="zh-CN"/>
          <w14:textFill>
            <w14:solidFill>
              <w14:schemeClr w14:val="tx1"/>
            </w14:solidFill>
          </w14:textFill>
        </w:rPr>
        <w:t>将</w:t>
      </w:r>
      <w:r>
        <w:rPr>
          <w:rFonts w:hint="eastAsia" w:ascii="仿宋" w:hAnsi="仿宋" w:eastAsia="仿宋" w:cs="仿宋"/>
          <w:color w:val="000000" w:themeColor="text1"/>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sz w:val="24"/>
          <w:highlight w:val="none"/>
          <w:u w:val="single"/>
          <w14:textFill>
            <w14:solidFill>
              <w14:schemeClr w14:val="tx1"/>
            </w14:solidFill>
          </w14:textFill>
        </w:rPr>
        <w:t>（某分包供应商名称）</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（某分包供应商名称），</w:t>
      </w:r>
      <w:r>
        <w:rPr>
          <w:rFonts w:hint="eastAsia" w:ascii="仿宋" w:hAnsi="仿宋" w:eastAsia="仿宋" w:cs="仿宋"/>
          <w:color w:val="000000" w:themeColor="text1"/>
          <w:sz w:val="24"/>
          <w:highlight w:val="none"/>
          <w:lang w:val="zh-CN"/>
          <w14:textFill>
            <w14:solidFill>
              <w14:schemeClr w14:val="tx1"/>
            </w14:solidFill>
          </w14:textFill>
        </w:rPr>
        <w:t>具备承</w:t>
      </w:r>
      <w:r>
        <w:rPr>
          <w:rFonts w:hint="eastAsia" w:ascii="仿宋" w:hAnsi="仿宋" w:eastAsia="仿宋" w:cs="仿宋"/>
          <w:color w:val="000000" w:themeColor="text1"/>
          <w:sz w:val="24"/>
          <w:highlight w:val="none"/>
          <w14:textFill>
            <w14:solidFill>
              <w14:schemeClr w14:val="tx1"/>
            </w14:solidFill>
          </w14:textFill>
        </w:rPr>
        <w:t>担</w:t>
      </w:r>
      <w:r>
        <w:rPr>
          <w:rFonts w:hint="eastAsia" w:ascii="仿宋" w:hAnsi="仿宋" w:eastAsia="仿宋" w:cs="仿宋"/>
          <w:color w:val="000000" w:themeColor="text1"/>
          <w:sz w:val="24"/>
          <w:highlight w:val="none"/>
          <w:u w:val="single"/>
          <w:lang w:val="zh-CN"/>
          <w14:textFill>
            <w14:solidFill>
              <w14:schemeClr w14:val="tx1"/>
            </w14:solidFill>
          </w14:textFill>
        </w:rPr>
        <w:t>XX工作内容</w:t>
      </w:r>
      <w:r>
        <w:rPr>
          <w:rFonts w:hint="eastAsia" w:ascii="仿宋" w:hAnsi="仿宋" w:eastAsia="仿宋" w:cs="仿宋"/>
          <w:color w:val="000000" w:themeColor="text1"/>
          <w:sz w:val="24"/>
          <w:highlight w:val="none"/>
          <w:lang w:val="zh-CN"/>
          <w14:textFill>
            <w14:solidFill>
              <w14:schemeClr w14:val="tx1"/>
            </w14:solidFill>
          </w14:textFill>
        </w:rPr>
        <w:t>相应资质条件且不得再次分包；</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二、分包工作履行期限、地点、方式</w:t>
      </w:r>
    </w:p>
    <w:p>
      <w:pPr>
        <w:snapToGrid w:val="0"/>
        <w:spacing w:line="360" w:lineRule="auto"/>
        <w:ind w:firstLine="576"/>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三、质量</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四、价款或者报酬</w:t>
      </w:r>
    </w:p>
    <w:p>
      <w:pPr>
        <w:snapToGrid w:val="0"/>
        <w:spacing w:line="360" w:lineRule="auto"/>
        <w:ind w:firstLine="720" w:firstLineChars="3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napToGrid w:val="0"/>
        <w:spacing w:line="360" w:lineRule="auto"/>
        <w:ind w:left="573" w:leftChars="273"/>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五、违约责任</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六、争议解决的办法</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napToGrid w:val="0"/>
        <w:spacing w:line="360" w:lineRule="auto"/>
        <w:ind w:firstLine="576"/>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七、其他</w:t>
      </w:r>
    </w:p>
    <w:p>
      <w:pPr>
        <w:snapToGrid w:val="0"/>
        <w:spacing w:line="360" w:lineRule="auto"/>
        <w:ind w:firstLine="576"/>
        <w:rPr>
          <w:rFonts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（分包供应商名称）提供的货物全部由小微企业制造，</w:t>
      </w:r>
      <w:r>
        <w:rPr>
          <w:rFonts w:hint="eastAsia" w:ascii="仿宋" w:hAnsi="仿宋" w:eastAsia="仿宋" w:cs="仿宋"/>
          <w:color w:val="000000" w:themeColor="text1"/>
          <w:sz w:val="24"/>
          <w:highlight w:val="none"/>
          <w14:textFill>
            <w14:solidFill>
              <w14:schemeClr w14:val="tx1"/>
            </w14:solidFill>
          </w14:textFill>
        </w:rPr>
        <w:t>其合同份额占到合同总金额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%以上。</w:t>
      </w:r>
      <w:r>
        <w:rPr>
          <w:rFonts w:hint="eastAsia" w:ascii="仿宋" w:hAnsi="仿宋" w:eastAsia="仿宋" w:cs="仿宋"/>
          <w:b/>
          <w:color w:val="000000" w:themeColor="text1"/>
          <w:sz w:val="24"/>
          <w:highlight w:val="none"/>
          <w:lang w:val="zh-CN"/>
          <w14:textFill>
            <w14:solidFill>
              <w14:schemeClr w14:val="tx1"/>
            </w14:solidFill>
          </w14:textFill>
        </w:rPr>
        <w:t xml:space="preserve">（未预留份额专门面向中小企业采购的的采购项目，以及预留份额中的非预留部分采购包，允许分包的，分包供应商提供的货物全部由小微企业制造，且其合同份额占到合同总金额 </w:t>
      </w: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color w:val="000000" w:themeColor="text1"/>
          <w:sz w:val="24"/>
          <w:highlight w:val="none"/>
          <w:lang w:val="zh-CN"/>
          <w14:textFill>
            <w14:solidFill>
              <w14:schemeClr w14:val="tx1"/>
            </w14:solidFill>
          </w14:textFill>
        </w:rPr>
        <w:t>0%以上的，对大中型企业的报价给予</w:t>
      </w:r>
      <w:r>
        <w:rPr>
          <w:rFonts w:hint="eastAsia" w:ascii="仿宋" w:hAnsi="仿宋" w:eastAsia="仿宋" w:cs="仿宋"/>
          <w:b/>
          <w:color w:val="000000" w:themeColor="text1"/>
          <w:sz w:val="24"/>
          <w:highlight w:val="none"/>
          <w14:textFill>
            <w14:solidFill>
              <w14:schemeClr w14:val="tx1"/>
            </w14:solidFill>
          </w14:textFill>
        </w:rPr>
        <w:t>6</w:t>
      </w:r>
      <w:r>
        <w:rPr>
          <w:rFonts w:hint="eastAsia" w:ascii="仿宋" w:hAnsi="仿宋" w:eastAsia="仿宋" w:cs="仿宋"/>
          <w:b/>
          <w:color w:val="000000" w:themeColor="text1"/>
          <w:sz w:val="24"/>
          <w:highlight w:val="none"/>
          <w:lang w:val="zh-CN"/>
          <w14:textFill>
            <w14:solidFill>
              <w14:schemeClr w14:val="tx1"/>
            </w14:solidFill>
          </w14:textFill>
        </w:rPr>
        <w:t>%的扣除）</w:t>
      </w:r>
    </w:p>
    <w:p>
      <w:pPr>
        <w:snapToGrid w:val="0"/>
        <w:spacing w:line="360" w:lineRule="auto"/>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ind w:firstLine="5640" w:firstLineChars="235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分包供应商名称：</w:t>
      </w:r>
    </w:p>
    <w:p>
      <w:pPr>
        <w:spacing w:line="360" w:lineRule="auto"/>
        <w:ind w:right="42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日期：  年  月   日</w:t>
      </w: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附件7：</w:t>
      </w:r>
      <w:r>
        <w:rPr>
          <w:rFonts w:hint="eastAsia" w:ascii="仿宋" w:hAnsi="仿宋" w:eastAsia="仿宋" w:cs="仿宋"/>
          <w:b/>
          <w:color w:val="000000" w:themeColor="text1"/>
          <w:sz w:val="32"/>
          <w:szCs w:val="32"/>
          <w:highlight w:val="none"/>
          <w14:textFill>
            <w14:solidFill>
              <w14:schemeClr w14:val="tx1"/>
            </w14:solidFill>
          </w14:textFill>
        </w:rPr>
        <w:t>中小企业声明函</w:t>
      </w:r>
    </w:p>
    <w:p>
      <w:pPr>
        <w:spacing w:line="360" w:lineRule="auto"/>
        <w:jc w:val="center"/>
        <w:rPr>
          <w:rFonts w:ascii="仿宋" w:hAnsi="仿宋" w:eastAsia="仿宋" w:cs="仿宋"/>
          <w:color w:val="000000" w:themeColor="text1"/>
          <w:sz w:val="24"/>
          <w:highlight w:val="none"/>
          <w:u w:val="single"/>
          <w14:textFill>
            <w14:solidFill>
              <w14:schemeClr w14:val="tx1"/>
            </w14:solidFill>
          </w14:textFill>
        </w:rPr>
      </w:pPr>
    </w:p>
    <w:p>
      <w:pPr>
        <w:spacing w:line="360" w:lineRule="auto"/>
        <w:jc w:val="center"/>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中小企业声明函（服务）</w:t>
      </w:r>
    </w:p>
    <w:p>
      <w:pPr>
        <w:spacing w:line="360" w:lineRule="auto"/>
        <w:ind w:firstLine="360" w:firstLineChars="1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 （单位名称） 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 xml:space="preserve"> ；承建（承接）企业为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 xml:space="preserve"> ；承建（承接）企业为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注：1、填写要求：</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①从业人员、营业收入、资产总额填报上一年度数据，无上一年度数据的新成立企业可不填报；</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②中型企业、小型企业、微型企业等3种企业类型，结合以上数据，依据《中小企业划型标准规定》（工信部联企业〔2011〕300号）确定中小企业划型标准规定。</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③《中小企业声明函》格式不得擅自调整，格式中划横线的部分需要各投标人按实际情况如实填写，括号中的内容是对拟填写内容的说明。</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numPr>
          <w:ilvl w:val="0"/>
          <w:numId w:val="2"/>
        </w:numPr>
        <w:spacing w:line="360" w:lineRule="auto"/>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p>
    <w:p>
      <w:pPr>
        <w:spacing w:line="360" w:lineRule="auto"/>
        <w:jc w:val="center"/>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中小企业声明函（货物）</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 （单位名称） 的（项目名称）采购活动，提供的货物全部由符合政策要求的中小企业制造。相关企业（含联合体中的中小企业、签订分包意向协议的中小企业）的具体情况如下：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注：1、填写要求：</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①从业人员、营业收入、资产总额填报上一年度数据，无上一年度数据的新成立企业可不填报；</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②中型企业、小型企业、微型企业等3种企业类型，结合以上数据，依据《中小企业划型标准规定》（工信部联企业〔2011〕300号）确定中小企业划型标准规定。</w:t>
      </w:r>
    </w:p>
    <w:p>
      <w:pPr>
        <w:spacing w:line="360" w:lineRule="auto"/>
        <w:ind w:firstLine="482" w:firstLineChars="200"/>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本项目为货物类项目，属于【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80"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③</w:t>
      </w:r>
      <w:r>
        <w:rPr>
          <w:rFonts w:hint="eastAsia" w:ascii="仿宋" w:hAnsi="仿宋" w:eastAsia="仿宋" w:cs="仿宋"/>
          <w:b/>
          <w:bCs/>
          <w:color w:val="000000" w:themeColor="text1"/>
          <w:sz w:val="24"/>
          <w:highlight w:val="none"/>
          <w14:textFill>
            <w14:solidFill>
              <w14:schemeClr w14:val="tx1"/>
            </w14:solidFill>
          </w14:textFill>
        </w:rPr>
        <w:t>如采购内容包含有多个标的物时，各投标人必须针对所有标的物制造商情况进行说明，且标的物品牌应与报价明细表上的品牌一致。只有当每个采购标的物都由中小企业生产且使用该中小企业商号或者注册商标的，才能视作中小企业投标。</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④《中小企业声明函》格式不得擅自调整，格式中划横线的部分需要各投标人按实际情况如实填写，括号中的内容是对拟填写内容的说明。</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⑤投标人提供的《中小企业声明函》与实际情况不符的或者未按以上要求填写的，中小企业声明函无效，不享受中小企业扶持政策。声明内容不实的，属于提供虚假材料谋取中标、成交的，依法承担法律责任。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pPr>
        <w:pStyle w:val="25"/>
        <w:rPr>
          <w:rFonts w:ascii="仿宋" w:hAnsi="仿宋" w:eastAsia="仿宋" w:cs="仿宋"/>
          <w:color w:val="000000" w:themeColor="text1"/>
          <w:highlight w:val="none"/>
          <w14:textFill>
            <w14:solidFill>
              <w14:schemeClr w14:val="tx1"/>
            </w14:solidFill>
          </w14:textFill>
        </w:rPr>
      </w:pP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79"/>
        <w:rPr>
          <w:rFonts w:ascii="仿宋" w:hAnsi="仿宋" w:eastAsia="仿宋" w:cs="仿宋"/>
          <w:color w:val="000000" w:themeColor="text1"/>
          <w:highlight w:val="none"/>
          <w14:textFill>
            <w14:solidFill>
              <w14:schemeClr w14:val="tx1"/>
            </w14:solidFill>
          </w14:textFill>
        </w:rPr>
      </w:pPr>
    </w:p>
    <w:sectPr>
      <w:headerReference r:id="rId25" w:type="first"/>
      <w:footerReference r:id="rId27" w:type="first"/>
      <w:headerReference r:id="rId24" w:type="default"/>
      <w:footerReference r:id="rId26" w:type="default"/>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Arial"/>
    <w:panose1 w:val="020B0604020202020204"/>
    <w:charset w:val="00"/>
    <w:family w:val="auto"/>
    <w:pitch w:val="default"/>
    <w:sig w:usb0="00000000" w:usb1="00000000" w:usb2="0000003F" w:usb3="00000000" w:csb0="003F01F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ind w:firstLine="360"/>
      <w:rPr>
        <w:rFonts w:hint="eastAsia" w:ascii="仿宋" w:hAnsi="仿宋" w:eastAsia="仿宋" w:cs="仿宋"/>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23</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23</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ind w:firstLine="360"/>
      <w:rPr>
        <w:rFonts w:ascii="仿宋" w:hAnsi="仿宋" w:eastAsia="仿宋" w:cs="仿宋"/>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10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10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r>
      <w:rPr>
        <w:rFonts w:hint="eastAsia" w:ascii="仿宋" w:hAnsi="仿宋" w:eastAsia="仿宋" w:cs="仿宋"/>
      </w:rPr>
      <w:t>杭州博实招标代理有限公司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21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21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p>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right"/>
      <w:rPr>
        <w:rFonts w:ascii="仿宋_GB2312" w:eastAsia="仿宋_GB2312"/>
        <w:i/>
        <w:u w:val="single"/>
      </w:rPr>
    </w:pPr>
    <w:r>
      <w:rPr>
        <w:rFonts w:hint="eastAsia"/>
      </w:rPr>
      <w:t>浙江省</w:t>
    </w:r>
    <w:r>
      <w:rPr>
        <w:lang w:val="zh-CN"/>
      </w:rPr>
      <w:t>政府采购</w:t>
    </w: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rFonts w:hint="eastAsia"/>
      </w:rPr>
      <w:t>浙江省</w:t>
    </w:r>
    <w:r>
      <w:rPr>
        <w:lang w:val="zh-CN"/>
      </w:rPr>
      <w:t>政府采购</w:t>
    </w: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right"/>
      <w:rPr>
        <w:rFonts w:hint="eastAsia"/>
      </w:rPr>
    </w:pPr>
    <w:r>
      <w:rPr>
        <w:rFonts w:hint="eastAsia"/>
      </w:rPr>
      <w:t>浙江省</w:t>
    </w:r>
    <w:r>
      <w:rPr>
        <w:lang w:val="zh-CN"/>
      </w:rPr>
      <w:t>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right"/>
    </w:pPr>
    <w:r>
      <w:rPr>
        <w:rFonts w:hint="eastAsia"/>
      </w:rPr>
      <w:t>浙江省</w:t>
    </w:r>
    <w:r>
      <w:rPr>
        <w:lang w:val="zh-CN"/>
      </w:rPr>
      <w:t>政府采购</w:t>
    </w: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right"/>
      <w:rPr>
        <w:rFonts w:ascii="仿宋_GB2312" w:eastAsia="仿宋_GB2312"/>
        <w:b/>
        <w:i/>
        <w:u w:val="single"/>
      </w:rPr>
    </w:pPr>
    <w:r>
      <w:rPr>
        <w:rFonts w:hint="eastAsia"/>
      </w:rPr>
      <w:t>浙江省</w:t>
    </w:r>
    <w:r>
      <w:rPr>
        <w:lang w:val="zh-CN"/>
      </w:rPr>
      <w:t>政府采购</w:t>
    </w:r>
    <w:r>
      <w:rPr>
        <w:rFonts w:hint="eastAsia"/>
        <w:lang w:val="zh-CN"/>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right"/>
    </w:pPr>
    <w:r>
      <w:t></w:t>
    </w:r>
    <w:r>
      <w:rPr>
        <w:rFonts w:hint="eastAsia"/>
      </w:rPr>
      <w:t>浙江省</w:t>
    </w:r>
    <w:r>
      <w:rPr>
        <w:lang w:val="zh-CN"/>
      </w:rPr>
      <w:t>政府采购</w:t>
    </w:r>
    <w:r>
      <w:rPr>
        <w:rFonts w:hint="eastAsia"/>
        <w:lang w:val="zh-CN"/>
      </w:rPr>
      <w:t>竞争性磋商文件</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rPr>
      <w:t>浙江省</w:t>
    </w:r>
    <w:r>
      <w:rPr>
        <w:lang w:val="zh-CN"/>
      </w:rPr>
      <w:t>政府采购</w:t>
    </w:r>
    <w:r>
      <w:rPr>
        <w:rFonts w:hint="eastAsia"/>
        <w:lang w:val="zh-CN"/>
      </w:rPr>
      <w:t>竞争性磋商文件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rPr>
        <w:rFonts w:ascii="仿宋_GB2312"/>
        <w:b/>
        <w:i/>
        <w:iCs/>
        <w:u w:val="single"/>
      </w:rPr>
    </w:pPr>
    <w:r>
      <w:rPr>
        <w:rFonts w:hint="eastAsia"/>
      </w:rPr>
      <w:t>浙江省</w:t>
    </w:r>
    <w:r>
      <w:rPr>
        <w:lang w:val="zh-CN"/>
      </w:rPr>
      <w:t>政府采购</w:t>
    </w:r>
    <w:r>
      <w:rPr>
        <w:rFonts w:hint="eastAsia"/>
        <w:lang w:val="zh-CN"/>
      </w:rPr>
      <w:t>竞争性磋商文件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rFonts w:hint="eastAsia"/>
        <w:lang w:val="en-US" w:eastAsia="zh-CN"/>
      </w:rPr>
      <w:t xml:space="preserve">                                                                            </w:t>
    </w:r>
    <w:r>
      <w:rPr>
        <w:rFonts w:hint="eastAsia"/>
      </w:rPr>
      <w:t>浙江省</w:t>
    </w:r>
    <w:r>
      <w:rPr>
        <w:lang w:val="zh-CN"/>
      </w:rPr>
      <w:t>政府采购</w:t>
    </w:r>
    <w:r>
      <w:rPr>
        <w:rFonts w:hint="eastAsia"/>
        <w:lang w:val="zh-CN"/>
      </w:rPr>
      <w:t>竞争性磋商文件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pPr>
    <w:r>
      <w:t></w:t>
    </w:r>
    <w:r>
      <w:rPr>
        <w:rFonts w:hint="eastAsia"/>
        <w:lang w:val="en-US" w:eastAsia="zh-CN"/>
      </w:rPr>
      <w:t xml:space="preserve">                                                                     </w:t>
    </w:r>
    <w:r>
      <w:rPr>
        <w:rFonts w:hint="eastAsia"/>
      </w:rPr>
      <w:t>浙江省</w:t>
    </w:r>
    <w:r>
      <w:rPr>
        <w:lang w:val="zh-CN"/>
      </w:rPr>
      <w:t>政府采购</w:t>
    </w:r>
    <w:r>
      <w:rPr>
        <w:rFonts w:hint="eastAsia"/>
        <w:lang w:val="zh-CN"/>
      </w:rPr>
      <w:t>竞争性磋商文件</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6B9E31"/>
    <w:multiLevelType w:val="singleLevel"/>
    <w:tmpl w:val="946B9E31"/>
    <w:lvl w:ilvl="0" w:tentative="0">
      <w:start w:val="3"/>
      <w:numFmt w:val="chineseCounting"/>
      <w:suff w:val="space"/>
      <w:lvlText w:val="第%1部分"/>
      <w:lvlJc w:val="left"/>
      <w:rPr>
        <w:rFonts w:hint="eastAsia"/>
      </w:rPr>
    </w:lvl>
  </w:abstractNum>
  <w:abstractNum w:abstractNumId="1">
    <w:nsid w:val="DF54788C"/>
    <w:multiLevelType w:val="singleLevel"/>
    <w:tmpl w:val="DF54788C"/>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19"/>
  <w:drawingGridVerticalSpacing w:val="156"/>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ExMTYzOWE2MGE5NTMzYTcyZmY4NThkYjQ3YWJiYjAifQ=="/>
  </w:docVars>
  <w:rsids>
    <w:rsidRoot w:val="00172A27"/>
    <w:rsid w:val="00000451"/>
    <w:rsid w:val="0000108B"/>
    <w:rsid w:val="0000133D"/>
    <w:rsid w:val="00001509"/>
    <w:rsid w:val="000032B2"/>
    <w:rsid w:val="0000363B"/>
    <w:rsid w:val="0000549C"/>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E64"/>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2B46"/>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B85"/>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2C49"/>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0C09"/>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85"/>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8D8"/>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36B"/>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65D"/>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B"/>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42E"/>
    <w:rsid w:val="00E56795"/>
    <w:rsid w:val="00E56EC6"/>
    <w:rsid w:val="00E57932"/>
    <w:rsid w:val="00E606C4"/>
    <w:rsid w:val="00E60811"/>
    <w:rsid w:val="00E60AB8"/>
    <w:rsid w:val="00E60F75"/>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754"/>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DBD"/>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2D7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3D15"/>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57A"/>
    <w:rsid w:val="01EC2C57"/>
    <w:rsid w:val="025F0711"/>
    <w:rsid w:val="026B2E25"/>
    <w:rsid w:val="02824D4D"/>
    <w:rsid w:val="02AF1D34"/>
    <w:rsid w:val="02DC4B10"/>
    <w:rsid w:val="02DD76CE"/>
    <w:rsid w:val="02F36323"/>
    <w:rsid w:val="02F5619C"/>
    <w:rsid w:val="0326446A"/>
    <w:rsid w:val="032D5555"/>
    <w:rsid w:val="036634D2"/>
    <w:rsid w:val="037C523C"/>
    <w:rsid w:val="03DD35E4"/>
    <w:rsid w:val="04076900"/>
    <w:rsid w:val="040B06F3"/>
    <w:rsid w:val="041A5A3B"/>
    <w:rsid w:val="042311BA"/>
    <w:rsid w:val="042B157A"/>
    <w:rsid w:val="045C66AC"/>
    <w:rsid w:val="048F763B"/>
    <w:rsid w:val="049F330E"/>
    <w:rsid w:val="04AA775C"/>
    <w:rsid w:val="04AF1889"/>
    <w:rsid w:val="04C64E6C"/>
    <w:rsid w:val="04F66F48"/>
    <w:rsid w:val="051B364E"/>
    <w:rsid w:val="05251E14"/>
    <w:rsid w:val="058727A8"/>
    <w:rsid w:val="058A40EC"/>
    <w:rsid w:val="05A16594"/>
    <w:rsid w:val="05A7762D"/>
    <w:rsid w:val="05FC28AF"/>
    <w:rsid w:val="060E5941"/>
    <w:rsid w:val="06110FAF"/>
    <w:rsid w:val="061E21DC"/>
    <w:rsid w:val="06493CA7"/>
    <w:rsid w:val="065A6178"/>
    <w:rsid w:val="066F1CF3"/>
    <w:rsid w:val="06930BB8"/>
    <w:rsid w:val="06FA5386"/>
    <w:rsid w:val="07245D42"/>
    <w:rsid w:val="07264C62"/>
    <w:rsid w:val="072B28EB"/>
    <w:rsid w:val="07415A44"/>
    <w:rsid w:val="0779354C"/>
    <w:rsid w:val="08061376"/>
    <w:rsid w:val="083E3532"/>
    <w:rsid w:val="08452D77"/>
    <w:rsid w:val="086401F8"/>
    <w:rsid w:val="08751CAA"/>
    <w:rsid w:val="087E4C40"/>
    <w:rsid w:val="088678C1"/>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CB190D"/>
    <w:rsid w:val="09E04166"/>
    <w:rsid w:val="0A1C0718"/>
    <w:rsid w:val="0A3E7710"/>
    <w:rsid w:val="0A5569D9"/>
    <w:rsid w:val="0A5B7E63"/>
    <w:rsid w:val="0A6E7EBE"/>
    <w:rsid w:val="0A703465"/>
    <w:rsid w:val="0AA374A5"/>
    <w:rsid w:val="0AAB7649"/>
    <w:rsid w:val="0ABC5606"/>
    <w:rsid w:val="0ABE0AF3"/>
    <w:rsid w:val="0ACC2AB1"/>
    <w:rsid w:val="0B30404E"/>
    <w:rsid w:val="0B3741C1"/>
    <w:rsid w:val="0B4C599F"/>
    <w:rsid w:val="0B4C6C14"/>
    <w:rsid w:val="0B547599"/>
    <w:rsid w:val="0B631A88"/>
    <w:rsid w:val="0B683D45"/>
    <w:rsid w:val="0B7F3F11"/>
    <w:rsid w:val="0B884417"/>
    <w:rsid w:val="0BC1638D"/>
    <w:rsid w:val="0BF6188C"/>
    <w:rsid w:val="0BF73C91"/>
    <w:rsid w:val="0C170175"/>
    <w:rsid w:val="0C571A41"/>
    <w:rsid w:val="0C5C1171"/>
    <w:rsid w:val="0C5E1CBC"/>
    <w:rsid w:val="0C615B50"/>
    <w:rsid w:val="0C772825"/>
    <w:rsid w:val="0C8445DA"/>
    <w:rsid w:val="0C87121B"/>
    <w:rsid w:val="0CC007F7"/>
    <w:rsid w:val="0CC617AC"/>
    <w:rsid w:val="0CE618DF"/>
    <w:rsid w:val="0CFE707A"/>
    <w:rsid w:val="0D063BDA"/>
    <w:rsid w:val="0D08375F"/>
    <w:rsid w:val="0D184CFB"/>
    <w:rsid w:val="0D2111EE"/>
    <w:rsid w:val="0D490B57"/>
    <w:rsid w:val="0D4A7419"/>
    <w:rsid w:val="0D7F4CA0"/>
    <w:rsid w:val="0D827401"/>
    <w:rsid w:val="0D84094E"/>
    <w:rsid w:val="0D8A00E9"/>
    <w:rsid w:val="0D8D589E"/>
    <w:rsid w:val="0DA01C73"/>
    <w:rsid w:val="0DAD015A"/>
    <w:rsid w:val="0DD63300"/>
    <w:rsid w:val="0DF50604"/>
    <w:rsid w:val="0DF702FE"/>
    <w:rsid w:val="0E060E51"/>
    <w:rsid w:val="0E5604B2"/>
    <w:rsid w:val="0E6B5A05"/>
    <w:rsid w:val="0E6D5D79"/>
    <w:rsid w:val="0E924011"/>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6D1B47"/>
    <w:rsid w:val="106E1DC1"/>
    <w:rsid w:val="106F1968"/>
    <w:rsid w:val="107D4B15"/>
    <w:rsid w:val="108A3C80"/>
    <w:rsid w:val="10A50A13"/>
    <w:rsid w:val="10AD0034"/>
    <w:rsid w:val="10C26171"/>
    <w:rsid w:val="10C50464"/>
    <w:rsid w:val="10E433F2"/>
    <w:rsid w:val="10F33360"/>
    <w:rsid w:val="10FC16EA"/>
    <w:rsid w:val="10FD54F6"/>
    <w:rsid w:val="110F1D40"/>
    <w:rsid w:val="11266F33"/>
    <w:rsid w:val="118963A1"/>
    <w:rsid w:val="11B13894"/>
    <w:rsid w:val="11C6522A"/>
    <w:rsid w:val="11E104CC"/>
    <w:rsid w:val="11E20309"/>
    <w:rsid w:val="11F052D6"/>
    <w:rsid w:val="11FF19BD"/>
    <w:rsid w:val="121A5D2A"/>
    <w:rsid w:val="12255233"/>
    <w:rsid w:val="12530213"/>
    <w:rsid w:val="127723A9"/>
    <w:rsid w:val="12862074"/>
    <w:rsid w:val="12883966"/>
    <w:rsid w:val="129E45B4"/>
    <w:rsid w:val="12D81596"/>
    <w:rsid w:val="13072A44"/>
    <w:rsid w:val="130D1EB8"/>
    <w:rsid w:val="13373F63"/>
    <w:rsid w:val="135F4BE2"/>
    <w:rsid w:val="1390516E"/>
    <w:rsid w:val="139B1A0A"/>
    <w:rsid w:val="139D25C7"/>
    <w:rsid w:val="13BF3CE4"/>
    <w:rsid w:val="141008D8"/>
    <w:rsid w:val="14125FE6"/>
    <w:rsid w:val="144F6201"/>
    <w:rsid w:val="146D271E"/>
    <w:rsid w:val="14982588"/>
    <w:rsid w:val="149A5AD9"/>
    <w:rsid w:val="14A7619D"/>
    <w:rsid w:val="150536C3"/>
    <w:rsid w:val="150C1963"/>
    <w:rsid w:val="151447A0"/>
    <w:rsid w:val="15163AA4"/>
    <w:rsid w:val="1518258B"/>
    <w:rsid w:val="152B4878"/>
    <w:rsid w:val="154A6454"/>
    <w:rsid w:val="15762120"/>
    <w:rsid w:val="15CF3B68"/>
    <w:rsid w:val="15E90228"/>
    <w:rsid w:val="164B3423"/>
    <w:rsid w:val="166F3F97"/>
    <w:rsid w:val="1673639A"/>
    <w:rsid w:val="16A8729C"/>
    <w:rsid w:val="16B33777"/>
    <w:rsid w:val="16BC70A7"/>
    <w:rsid w:val="16C6339E"/>
    <w:rsid w:val="172F2D79"/>
    <w:rsid w:val="17557BEF"/>
    <w:rsid w:val="17696ABA"/>
    <w:rsid w:val="17C86AF8"/>
    <w:rsid w:val="17D349C1"/>
    <w:rsid w:val="17D36722"/>
    <w:rsid w:val="17F36BB4"/>
    <w:rsid w:val="1830729E"/>
    <w:rsid w:val="1870062C"/>
    <w:rsid w:val="18817102"/>
    <w:rsid w:val="18830A15"/>
    <w:rsid w:val="18852B28"/>
    <w:rsid w:val="188B5321"/>
    <w:rsid w:val="18BA2933"/>
    <w:rsid w:val="18C9423E"/>
    <w:rsid w:val="18E33B8B"/>
    <w:rsid w:val="19932372"/>
    <w:rsid w:val="19A20DD5"/>
    <w:rsid w:val="19A5136D"/>
    <w:rsid w:val="19AE03F1"/>
    <w:rsid w:val="1A060E9B"/>
    <w:rsid w:val="1A071A03"/>
    <w:rsid w:val="1A1F16AE"/>
    <w:rsid w:val="1A3B5C77"/>
    <w:rsid w:val="1A700410"/>
    <w:rsid w:val="1A984BAD"/>
    <w:rsid w:val="1AB8220E"/>
    <w:rsid w:val="1AE4166C"/>
    <w:rsid w:val="1AE5529A"/>
    <w:rsid w:val="1AF06CFB"/>
    <w:rsid w:val="1AF11B8D"/>
    <w:rsid w:val="1AF829CA"/>
    <w:rsid w:val="1B11359C"/>
    <w:rsid w:val="1B1C63FE"/>
    <w:rsid w:val="1B226450"/>
    <w:rsid w:val="1B2A271F"/>
    <w:rsid w:val="1B34650D"/>
    <w:rsid w:val="1B530544"/>
    <w:rsid w:val="1B713184"/>
    <w:rsid w:val="1BA209CF"/>
    <w:rsid w:val="1BB4777D"/>
    <w:rsid w:val="1BD75AB8"/>
    <w:rsid w:val="1C014730"/>
    <w:rsid w:val="1C0459C2"/>
    <w:rsid w:val="1C1B3B4A"/>
    <w:rsid w:val="1C597F1C"/>
    <w:rsid w:val="1C7725CD"/>
    <w:rsid w:val="1C88086E"/>
    <w:rsid w:val="1C9C1EC1"/>
    <w:rsid w:val="1CEA091E"/>
    <w:rsid w:val="1D266CE1"/>
    <w:rsid w:val="1D3963AF"/>
    <w:rsid w:val="1D3D0FE5"/>
    <w:rsid w:val="1D6A673C"/>
    <w:rsid w:val="1D7019C1"/>
    <w:rsid w:val="1D9247AE"/>
    <w:rsid w:val="1DB567EC"/>
    <w:rsid w:val="1DF51A98"/>
    <w:rsid w:val="1E3D060F"/>
    <w:rsid w:val="1E3F7D2E"/>
    <w:rsid w:val="1E4134E4"/>
    <w:rsid w:val="1E5062B3"/>
    <w:rsid w:val="1E523514"/>
    <w:rsid w:val="1E593351"/>
    <w:rsid w:val="1E714A66"/>
    <w:rsid w:val="1E802593"/>
    <w:rsid w:val="1E8B6156"/>
    <w:rsid w:val="1EA703CC"/>
    <w:rsid w:val="1EB7330C"/>
    <w:rsid w:val="1EE60C30"/>
    <w:rsid w:val="1F0A0FF3"/>
    <w:rsid w:val="1F247119"/>
    <w:rsid w:val="1F5771FF"/>
    <w:rsid w:val="1F904124"/>
    <w:rsid w:val="1FE868A9"/>
    <w:rsid w:val="20034907"/>
    <w:rsid w:val="20173E4B"/>
    <w:rsid w:val="20277AB7"/>
    <w:rsid w:val="204E48BC"/>
    <w:rsid w:val="208921B3"/>
    <w:rsid w:val="20973DEB"/>
    <w:rsid w:val="20B26522"/>
    <w:rsid w:val="20B44310"/>
    <w:rsid w:val="210203C2"/>
    <w:rsid w:val="210743EB"/>
    <w:rsid w:val="211116EB"/>
    <w:rsid w:val="21344DAE"/>
    <w:rsid w:val="216133FC"/>
    <w:rsid w:val="217A3E43"/>
    <w:rsid w:val="21D56769"/>
    <w:rsid w:val="21E52EF3"/>
    <w:rsid w:val="21FB5D7B"/>
    <w:rsid w:val="22015E94"/>
    <w:rsid w:val="220B1C3D"/>
    <w:rsid w:val="221D1D20"/>
    <w:rsid w:val="22334A87"/>
    <w:rsid w:val="228C33C0"/>
    <w:rsid w:val="22BE6801"/>
    <w:rsid w:val="22C97BAA"/>
    <w:rsid w:val="231856C2"/>
    <w:rsid w:val="233500BF"/>
    <w:rsid w:val="23377FF7"/>
    <w:rsid w:val="23600665"/>
    <w:rsid w:val="236B425F"/>
    <w:rsid w:val="23836192"/>
    <w:rsid w:val="23901F29"/>
    <w:rsid w:val="239C0061"/>
    <w:rsid w:val="23AA2B1F"/>
    <w:rsid w:val="23B908A4"/>
    <w:rsid w:val="23E95BEF"/>
    <w:rsid w:val="23FD0064"/>
    <w:rsid w:val="23FE6B29"/>
    <w:rsid w:val="242B2707"/>
    <w:rsid w:val="245375B0"/>
    <w:rsid w:val="24642C0A"/>
    <w:rsid w:val="249D7D0A"/>
    <w:rsid w:val="24B22173"/>
    <w:rsid w:val="24B95AD9"/>
    <w:rsid w:val="24BE24DA"/>
    <w:rsid w:val="24CA57DE"/>
    <w:rsid w:val="24CF5825"/>
    <w:rsid w:val="24D663E6"/>
    <w:rsid w:val="24D77F2B"/>
    <w:rsid w:val="24F66673"/>
    <w:rsid w:val="253B4BF3"/>
    <w:rsid w:val="258B00E2"/>
    <w:rsid w:val="25987D07"/>
    <w:rsid w:val="25A917A6"/>
    <w:rsid w:val="25BE27CC"/>
    <w:rsid w:val="25C669DF"/>
    <w:rsid w:val="25CD5C2C"/>
    <w:rsid w:val="25F74A5C"/>
    <w:rsid w:val="26123E5C"/>
    <w:rsid w:val="2628662C"/>
    <w:rsid w:val="262D45DE"/>
    <w:rsid w:val="26871DC8"/>
    <w:rsid w:val="26A53EF9"/>
    <w:rsid w:val="26A94201"/>
    <w:rsid w:val="26AC274F"/>
    <w:rsid w:val="27044A29"/>
    <w:rsid w:val="271A065C"/>
    <w:rsid w:val="271D34C8"/>
    <w:rsid w:val="2749750B"/>
    <w:rsid w:val="276142BF"/>
    <w:rsid w:val="27783712"/>
    <w:rsid w:val="27907362"/>
    <w:rsid w:val="28333E1D"/>
    <w:rsid w:val="28454BD6"/>
    <w:rsid w:val="28455253"/>
    <w:rsid w:val="28551971"/>
    <w:rsid w:val="285B1C53"/>
    <w:rsid w:val="289F7086"/>
    <w:rsid w:val="28C32028"/>
    <w:rsid w:val="28CC490F"/>
    <w:rsid w:val="28DE40AA"/>
    <w:rsid w:val="29345E77"/>
    <w:rsid w:val="294C65AD"/>
    <w:rsid w:val="29770BEE"/>
    <w:rsid w:val="29806583"/>
    <w:rsid w:val="298B3C4C"/>
    <w:rsid w:val="29F26D24"/>
    <w:rsid w:val="2A15033F"/>
    <w:rsid w:val="2A1662C1"/>
    <w:rsid w:val="2A19294A"/>
    <w:rsid w:val="2A1C7367"/>
    <w:rsid w:val="2A2815FA"/>
    <w:rsid w:val="2A6D6092"/>
    <w:rsid w:val="2A7D76B4"/>
    <w:rsid w:val="2AC925F8"/>
    <w:rsid w:val="2B437463"/>
    <w:rsid w:val="2B6D742E"/>
    <w:rsid w:val="2B7807EE"/>
    <w:rsid w:val="2BA50BF7"/>
    <w:rsid w:val="2BAA0DB1"/>
    <w:rsid w:val="2BBF00EC"/>
    <w:rsid w:val="2BC37CFD"/>
    <w:rsid w:val="2BD5237F"/>
    <w:rsid w:val="2BE536CE"/>
    <w:rsid w:val="2BE758D9"/>
    <w:rsid w:val="2C09049E"/>
    <w:rsid w:val="2C0A653C"/>
    <w:rsid w:val="2C191F85"/>
    <w:rsid w:val="2C5A5AE9"/>
    <w:rsid w:val="2C5B0BCA"/>
    <w:rsid w:val="2C5E4F2F"/>
    <w:rsid w:val="2CE82D6F"/>
    <w:rsid w:val="2D343236"/>
    <w:rsid w:val="2D504A22"/>
    <w:rsid w:val="2D6E3934"/>
    <w:rsid w:val="2DD15014"/>
    <w:rsid w:val="2DEB64EE"/>
    <w:rsid w:val="2DF72DE4"/>
    <w:rsid w:val="2E0220AF"/>
    <w:rsid w:val="2E0803A7"/>
    <w:rsid w:val="2E1343CB"/>
    <w:rsid w:val="2E4B082A"/>
    <w:rsid w:val="2E5B623B"/>
    <w:rsid w:val="2E5D4E86"/>
    <w:rsid w:val="2E5D790B"/>
    <w:rsid w:val="2E9A3C18"/>
    <w:rsid w:val="2EBB0FEE"/>
    <w:rsid w:val="2EC63002"/>
    <w:rsid w:val="2F0A6B38"/>
    <w:rsid w:val="2F6A0710"/>
    <w:rsid w:val="2F946CCB"/>
    <w:rsid w:val="2FD25781"/>
    <w:rsid w:val="2FDC745C"/>
    <w:rsid w:val="2FFD7934"/>
    <w:rsid w:val="300B56C9"/>
    <w:rsid w:val="303622EB"/>
    <w:rsid w:val="30733ACD"/>
    <w:rsid w:val="308C3862"/>
    <w:rsid w:val="309379D8"/>
    <w:rsid w:val="30A270F7"/>
    <w:rsid w:val="30BD0C93"/>
    <w:rsid w:val="30DF1478"/>
    <w:rsid w:val="30EC586F"/>
    <w:rsid w:val="31232BD7"/>
    <w:rsid w:val="319C6071"/>
    <w:rsid w:val="31AC537E"/>
    <w:rsid w:val="31E3679B"/>
    <w:rsid w:val="31E732FD"/>
    <w:rsid w:val="32517576"/>
    <w:rsid w:val="326C4624"/>
    <w:rsid w:val="326C5384"/>
    <w:rsid w:val="329D365A"/>
    <w:rsid w:val="32BE5C2C"/>
    <w:rsid w:val="32D63C1D"/>
    <w:rsid w:val="32F40620"/>
    <w:rsid w:val="32FB6478"/>
    <w:rsid w:val="332410BB"/>
    <w:rsid w:val="33263B3F"/>
    <w:rsid w:val="336963EB"/>
    <w:rsid w:val="33816EEB"/>
    <w:rsid w:val="33EB55CD"/>
    <w:rsid w:val="33EC4C02"/>
    <w:rsid w:val="340D2360"/>
    <w:rsid w:val="3410665D"/>
    <w:rsid w:val="34211214"/>
    <w:rsid w:val="342E63AB"/>
    <w:rsid w:val="34950E68"/>
    <w:rsid w:val="34986E94"/>
    <w:rsid w:val="34AF62C9"/>
    <w:rsid w:val="34C042E2"/>
    <w:rsid w:val="34CB4388"/>
    <w:rsid w:val="34FA6E12"/>
    <w:rsid w:val="34FC65EB"/>
    <w:rsid w:val="351A24E7"/>
    <w:rsid w:val="3537059E"/>
    <w:rsid w:val="354D7158"/>
    <w:rsid w:val="358D5588"/>
    <w:rsid w:val="35EF74CF"/>
    <w:rsid w:val="363A3B40"/>
    <w:rsid w:val="364917C3"/>
    <w:rsid w:val="365302AE"/>
    <w:rsid w:val="36607A0A"/>
    <w:rsid w:val="366E227C"/>
    <w:rsid w:val="366F2E0D"/>
    <w:rsid w:val="367B6A5C"/>
    <w:rsid w:val="36A74ADA"/>
    <w:rsid w:val="36AD60D5"/>
    <w:rsid w:val="36B224F9"/>
    <w:rsid w:val="36EC0CC9"/>
    <w:rsid w:val="36ED6946"/>
    <w:rsid w:val="373F410B"/>
    <w:rsid w:val="37A662B4"/>
    <w:rsid w:val="37EE7094"/>
    <w:rsid w:val="38296C89"/>
    <w:rsid w:val="383002EB"/>
    <w:rsid w:val="38400DD2"/>
    <w:rsid w:val="38586797"/>
    <w:rsid w:val="387E6AA8"/>
    <w:rsid w:val="38BC0149"/>
    <w:rsid w:val="38D14DC4"/>
    <w:rsid w:val="38D87D1C"/>
    <w:rsid w:val="393A4AD4"/>
    <w:rsid w:val="39636459"/>
    <w:rsid w:val="396B7F6C"/>
    <w:rsid w:val="39B417A9"/>
    <w:rsid w:val="39FC5695"/>
    <w:rsid w:val="39FE55E4"/>
    <w:rsid w:val="3A006D8E"/>
    <w:rsid w:val="3A0D2036"/>
    <w:rsid w:val="3A204F94"/>
    <w:rsid w:val="3A3651E5"/>
    <w:rsid w:val="3A461CF6"/>
    <w:rsid w:val="3A5244D1"/>
    <w:rsid w:val="3A744481"/>
    <w:rsid w:val="3A8C7BEF"/>
    <w:rsid w:val="3A906246"/>
    <w:rsid w:val="3AD278A1"/>
    <w:rsid w:val="3B2349B7"/>
    <w:rsid w:val="3B405A26"/>
    <w:rsid w:val="3B616CFF"/>
    <w:rsid w:val="3B6259F6"/>
    <w:rsid w:val="3B6E011D"/>
    <w:rsid w:val="3B976654"/>
    <w:rsid w:val="3BC01EFC"/>
    <w:rsid w:val="3BCA786A"/>
    <w:rsid w:val="3BD31E2F"/>
    <w:rsid w:val="3BF15831"/>
    <w:rsid w:val="3C105946"/>
    <w:rsid w:val="3C471448"/>
    <w:rsid w:val="3C513E29"/>
    <w:rsid w:val="3C5F759A"/>
    <w:rsid w:val="3C6115BF"/>
    <w:rsid w:val="3C6C525A"/>
    <w:rsid w:val="3CB579EE"/>
    <w:rsid w:val="3CCE23CB"/>
    <w:rsid w:val="3CD17D17"/>
    <w:rsid w:val="3D3C7F39"/>
    <w:rsid w:val="3D440F09"/>
    <w:rsid w:val="3D4504A0"/>
    <w:rsid w:val="3D5D3F0A"/>
    <w:rsid w:val="3D8734BB"/>
    <w:rsid w:val="3D9A11D4"/>
    <w:rsid w:val="3DA16D89"/>
    <w:rsid w:val="3DA364BE"/>
    <w:rsid w:val="3DE041CB"/>
    <w:rsid w:val="3E0D48F6"/>
    <w:rsid w:val="3E0F11FF"/>
    <w:rsid w:val="3E1868B4"/>
    <w:rsid w:val="3E1A1A30"/>
    <w:rsid w:val="3E377251"/>
    <w:rsid w:val="3E42664B"/>
    <w:rsid w:val="3E5A7334"/>
    <w:rsid w:val="3E7B5D6B"/>
    <w:rsid w:val="3E843E66"/>
    <w:rsid w:val="3E8F51FE"/>
    <w:rsid w:val="3E926F87"/>
    <w:rsid w:val="3E9A59DE"/>
    <w:rsid w:val="3EAF4836"/>
    <w:rsid w:val="3EC33DFA"/>
    <w:rsid w:val="3F060E16"/>
    <w:rsid w:val="3F1D1096"/>
    <w:rsid w:val="3F2F0234"/>
    <w:rsid w:val="3F3B26F7"/>
    <w:rsid w:val="3F560199"/>
    <w:rsid w:val="3F6363FE"/>
    <w:rsid w:val="3F756B8F"/>
    <w:rsid w:val="3F95482B"/>
    <w:rsid w:val="3FE94F8F"/>
    <w:rsid w:val="4019356B"/>
    <w:rsid w:val="402129EA"/>
    <w:rsid w:val="4037194C"/>
    <w:rsid w:val="40516185"/>
    <w:rsid w:val="40592157"/>
    <w:rsid w:val="406E1CAE"/>
    <w:rsid w:val="40A0133A"/>
    <w:rsid w:val="40C31A53"/>
    <w:rsid w:val="40FF545D"/>
    <w:rsid w:val="410067C8"/>
    <w:rsid w:val="416176D3"/>
    <w:rsid w:val="416402A4"/>
    <w:rsid w:val="418F0D2A"/>
    <w:rsid w:val="41D01505"/>
    <w:rsid w:val="41D873D1"/>
    <w:rsid w:val="422E231A"/>
    <w:rsid w:val="42474939"/>
    <w:rsid w:val="424C3C57"/>
    <w:rsid w:val="42613FF3"/>
    <w:rsid w:val="42660D96"/>
    <w:rsid w:val="428667D2"/>
    <w:rsid w:val="42A6360C"/>
    <w:rsid w:val="42CD1CE0"/>
    <w:rsid w:val="42E1381E"/>
    <w:rsid w:val="42ED6459"/>
    <w:rsid w:val="42FE58DD"/>
    <w:rsid w:val="43174B3D"/>
    <w:rsid w:val="434B790E"/>
    <w:rsid w:val="4360274F"/>
    <w:rsid w:val="43977AB6"/>
    <w:rsid w:val="43A3342B"/>
    <w:rsid w:val="43AF64F0"/>
    <w:rsid w:val="43BA364A"/>
    <w:rsid w:val="43C006FD"/>
    <w:rsid w:val="43C77C27"/>
    <w:rsid w:val="43DE09EE"/>
    <w:rsid w:val="43F641B2"/>
    <w:rsid w:val="44002FAD"/>
    <w:rsid w:val="441C37AA"/>
    <w:rsid w:val="44246774"/>
    <w:rsid w:val="449101DD"/>
    <w:rsid w:val="44DE1391"/>
    <w:rsid w:val="44F73053"/>
    <w:rsid w:val="451B225C"/>
    <w:rsid w:val="452410C9"/>
    <w:rsid w:val="45317DFB"/>
    <w:rsid w:val="453E0776"/>
    <w:rsid w:val="456D3CE4"/>
    <w:rsid w:val="4579042C"/>
    <w:rsid w:val="457F0571"/>
    <w:rsid w:val="45851176"/>
    <w:rsid w:val="45A1437C"/>
    <w:rsid w:val="45C55BC2"/>
    <w:rsid w:val="45C63B94"/>
    <w:rsid w:val="460E7DA5"/>
    <w:rsid w:val="46422483"/>
    <w:rsid w:val="4659254A"/>
    <w:rsid w:val="465B0637"/>
    <w:rsid w:val="465E3F0D"/>
    <w:rsid w:val="466A16E6"/>
    <w:rsid w:val="46893F2B"/>
    <w:rsid w:val="46C444E6"/>
    <w:rsid w:val="46C4686E"/>
    <w:rsid w:val="46E306B8"/>
    <w:rsid w:val="477B778F"/>
    <w:rsid w:val="478203EC"/>
    <w:rsid w:val="479C22A8"/>
    <w:rsid w:val="47B025FA"/>
    <w:rsid w:val="47B74364"/>
    <w:rsid w:val="47F11C3D"/>
    <w:rsid w:val="4809698F"/>
    <w:rsid w:val="48096FB1"/>
    <w:rsid w:val="4811697D"/>
    <w:rsid w:val="487A3E25"/>
    <w:rsid w:val="488B5503"/>
    <w:rsid w:val="48937E21"/>
    <w:rsid w:val="489A0361"/>
    <w:rsid w:val="48B94FF3"/>
    <w:rsid w:val="48E37AAB"/>
    <w:rsid w:val="48FD4B4C"/>
    <w:rsid w:val="490A68E0"/>
    <w:rsid w:val="491055FE"/>
    <w:rsid w:val="495F5B3E"/>
    <w:rsid w:val="496F77D7"/>
    <w:rsid w:val="497654FD"/>
    <w:rsid w:val="49B64211"/>
    <w:rsid w:val="49D41AAC"/>
    <w:rsid w:val="49F6167F"/>
    <w:rsid w:val="4A064FA0"/>
    <w:rsid w:val="4A16615C"/>
    <w:rsid w:val="4A221AC2"/>
    <w:rsid w:val="4A35464A"/>
    <w:rsid w:val="4A4424D7"/>
    <w:rsid w:val="4A590F64"/>
    <w:rsid w:val="4A672607"/>
    <w:rsid w:val="4AB82D0F"/>
    <w:rsid w:val="4AEB7664"/>
    <w:rsid w:val="4AFD7C19"/>
    <w:rsid w:val="4B0567D1"/>
    <w:rsid w:val="4B236AAE"/>
    <w:rsid w:val="4B2F799D"/>
    <w:rsid w:val="4B707271"/>
    <w:rsid w:val="4B9739F7"/>
    <w:rsid w:val="4BA608B0"/>
    <w:rsid w:val="4BE720B4"/>
    <w:rsid w:val="4BEE2503"/>
    <w:rsid w:val="4BF727EA"/>
    <w:rsid w:val="4C245A30"/>
    <w:rsid w:val="4C3A0C0B"/>
    <w:rsid w:val="4C567B1E"/>
    <w:rsid w:val="4CB25D57"/>
    <w:rsid w:val="4CB6685F"/>
    <w:rsid w:val="4CC367FE"/>
    <w:rsid w:val="4D077F3C"/>
    <w:rsid w:val="4D123355"/>
    <w:rsid w:val="4D2A3B31"/>
    <w:rsid w:val="4D312C52"/>
    <w:rsid w:val="4D697710"/>
    <w:rsid w:val="4D905305"/>
    <w:rsid w:val="4D964A72"/>
    <w:rsid w:val="4D9C1254"/>
    <w:rsid w:val="4D9C5D37"/>
    <w:rsid w:val="4D9E5B15"/>
    <w:rsid w:val="4DD2749E"/>
    <w:rsid w:val="4E7715CF"/>
    <w:rsid w:val="4E793892"/>
    <w:rsid w:val="4E800872"/>
    <w:rsid w:val="4EC569ED"/>
    <w:rsid w:val="4ED50EA1"/>
    <w:rsid w:val="4ED83FFC"/>
    <w:rsid w:val="4EEC050C"/>
    <w:rsid w:val="4F0A6873"/>
    <w:rsid w:val="4F104EC3"/>
    <w:rsid w:val="4F183DED"/>
    <w:rsid w:val="4F47354A"/>
    <w:rsid w:val="4F911C54"/>
    <w:rsid w:val="4FBE481F"/>
    <w:rsid w:val="4FE625E0"/>
    <w:rsid w:val="4FED1775"/>
    <w:rsid w:val="5021480F"/>
    <w:rsid w:val="505C301C"/>
    <w:rsid w:val="50681F00"/>
    <w:rsid w:val="50962ECB"/>
    <w:rsid w:val="50A42E38"/>
    <w:rsid w:val="50A4577F"/>
    <w:rsid w:val="50B73D1F"/>
    <w:rsid w:val="50BD5BC9"/>
    <w:rsid w:val="50C11EEE"/>
    <w:rsid w:val="50E97CFC"/>
    <w:rsid w:val="50FA4028"/>
    <w:rsid w:val="510D65B7"/>
    <w:rsid w:val="511157AB"/>
    <w:rsid w:val="512F6AED"/>
    <w:rsid w:val="5142540C"/>
    <w:rsid w:val="5176689F"/>
    <w:rsid w:val="518832C8"/>
    <w:rsid w:val="519D3C50"/>
    <w:rsid w:val="51A0432A"/>
    <w:rsid w:val="51A86090"/>
    <w:rsid w:val="51B7396D"/>
    <w:rsid w:val="522E4CC3"/>
    <w:rsid w:val="5244713B"/>
    <w:rsid w:val="525941F7"/>
    <w:rsid w:val="52615633"/>
    <w:rsid w:val="526F4DE4"/>
    <w:rsid w:val="52902B95"/>
    <w:rsid w:val="52977FD4"/>
    <w:rsid w:val="52A25790"/>
    <w:rsid w:val="52A63D47"/>
    <w:rsid w:val="52A96B6F"/>
    <w:rsid w:val="52B45975"/>
    <w:rsid w:val="52D94AA4"/>
    <w:rsid w:val="52EA3A62"/>
    <w:rsid w:val="52F50BB8"/>
    <w:rsid w:val="53097272"/>
    <w:rsid w:val="53193986"/>
    <w:rsid w:val="531E0F9C"/>
    <w:rsid w:val="534C1537"/>
    <w:rsid w:val="53544462"/>
    <w:rsid w:val="535E7E67"/>
    <w:rsid w:val="5397158E"/>
    <w:rsid w:val="54013861"/>
    <w:rsid w:val="54300401"/>
    <w:rsid w:val="54487265"/>
    <w:rsid w:val="544D6070"/>
    <w:rsid w:val="54605E1E"/>
    <w:rsid w:val="54B3506A"/>
    <w:rsid w:val="54CA0D16"/>
    <w:rsid w:val="54DD4057"/>
    <w:rsid w:val="54E7490F"/>
    <w:rsid w:val="550764A4"/>
    <w:rsid w:val="550B2BF6"/>
    <w:rsid w:val="55214EB5"/>
    <w:rsid w:val="55364EFD"/>
    <w:rsid w:val="553C0AC9"/>
    <w:rsid w:val="555D4828"/>
    <w:rsid w:val="55794BB0"/>
    <w:rsid w:val="557A4C8B"/>
    <w:rsid w:val="558931E1"/>
    <w:rsid w:val="55923347"/>
    <w:rsid w:val="55925180"/>
    <w:rsid w:val="55983B1B"/>
    <w:rsid w:val="55A8376B"/>
    <w:rsid w:val="55DC29B6"/>
    <w:rsid w:val="55DD4241"/>
    <w:rsid w:val="560D60D6"/>
    <w:rsid w:val="562E599A"/>
    <w:rsid w:val="566B6D1E"/>
    <w:rsid w:val="568C24CB"/>
    <w:rsid w:val="56EB0A77"/>
    <w:rsid w:val="57032A2C"/>
    <w:rsid w:val="570F5219"/>
    <w:rsid w:val="572E78E5"/>
    <w:rsid w:val="5739256A"/>
    <w:rsid w:val="575D12B5"/>
    <w:rsid w:val="57610A87"/>
    <w:rsid w:val="577B1140"/>
    <w:rsid w:val="577B7F21"/>
    <w:rsid w:val="577F181B"/>
    <w:rsid w:val="57921984"/>
    <w:rsid w:val="579737F0"/>
    <w:rsid w:val="57982CDF"/>
    <w:rsid w:val="57AB7B30"/>
    <w:rsid w:val="57AF5251"/>
    <w:rsid w:val="57B26373"/>
    <w:rsid w:val="57B63F04"/>
    <w:rsid w:val="57CD20C2"/>
    <w:rsid w:val="57D675AB"/>
    <w:rsid w:val="57D95FDD"/>
    <w:rsid w:val="58566B38"/>
    <w:rsid w:val="58917D2F"/>
    <w:rsid w:val="5894085C"/>
    <w:rsid w:val="58AE4F0C"/>
    <w:rsid w:val="58B85899"/>
    <w:rsid w:val="58DC11CA"/>
    <w:rsid w:val="58E363A9"/>
    <w:rsid w:val="59056607"/>
    <w:rsid w:val="595E1678"/>
    <w:rsid w:val="596D5BD4"/>
    <w:rsid w:val="597E3DD8"/>
    <w:rsid w:val="597F386C"/>
    <w:rsid w:val="59F80043"/>
    <w:rsid w:val="5A09252F"/>
    <w:rsid w:val="5A0B2778"/>
    <w:rsid w:val="5A2A46CB"/>
    <w:rsid w:val="5A2A7C7B"/>
    <w:rsid w:val="5A3E2560"/>
    <w:rsid w:val="5A5D3B6E"/>
    <w:rsid w:val="5A5E2716"/>
    <w:rsid w:val="5A637A76"/>
    <w:rsid w:val="5A6D33BA"/>
    <w:rsid w:val="5A792B1F"/>
    <w:rsid w:val="5A874767"/>
    <w:rsid w:val="5AA85BE2"/>
    <w:rsid w:val="5AAD6F28"/>
    <w:rsid w:val="5ABE2749"/>
    <w:rsid w:val="5AD63A24"/>
    <w:rsid w:val="5AE51A4D"/>
    <w:rsid w:val="5B2E1A1D"/>
    <w:rsid w:val="5B843A1C"/>
    <w:rsid w:val="5B873E3F"/>
    <w:rsid w:val="5B9738C7"/>
    <w:rsid w:val="5BC36C26"/>
    <w:rsid w:val="5BCF7C49"/>
    <w:rsid w:val="5C02690E"/>
    <w:rsid w:val="5C196DA7"/>
    <w:rsid w:val="5C2A048C"/>
    <w:rsid w:val="5C4D2220"/>
    <w:rsid w:val="5C80234E"/>
    <w:rsid w:val="5C88401D"/>
    <w:rsid w:val="5C8A680C"/>
    <w:rsid w:val="5CC33D54"/>
    <w:rsid w:val="5D0C4701"/>
    <w:rsid w:val="5D0F0395"/>
    <w:rsid w:val="5D221076"/>
    <w:rsid w:val="5D397964"/>
    <w:rsid w:val="5D5A391C"/>
    <w:rsid w:val="5D5F10C0"/>
    <w:rsid w:val="5D790E2F"/>
    <w:rsid w:val="5D891B7B"/>
    <w:rsid w:val="5D92680F"/>
    <w:rsid w:val="5DAD38EE"/>
    <w:rsid w:val="5DFC4D34"/>
    <w:rsid w:val="5E006862"/>
    <w:rsid w:val="5E0207B9"/>
    <w:rsid w:val="5E1834A1"/>
    <w:rsid w:val="5E261785"/>
    <w:rsid w:val="5E2D6537"/>
    <w:rsid w:val="5E4A7017"/>
    <w:rsid w:val="5E552BBA"/>
    <w:rsid w:val="5E611C10"/>
    <w:rsid w:val="5E7A0F3F"/>
    <w:rsid w:val="5EFC7377"/>
    <w:rsid w:val="5F06174D"/>
    <w:rsid w:val="5F3A3602"/>
    <w:rsid w:val="5F45733B"/>
    <w:rsid w:val="5F4767B2"/>
    <w:rsid w:val="5F6277C6"/>
    <w:rsid w:val="5F6D0B1D"/>
    <w:rsid w:val="5F8D0B82"/>
    <w:rsid w:val="5FCC5339"/>
    <w:rsid w:val="5FE34A5B"/>
    <w:rsid w:val="5FFE1E36"/>
    <w:rsid w:val="60232584"/>
    <w:rsid w:val="607330CE"/>
    <w:rsid w:val="607D37A6"/>
    <w:rsid w:val="6081403D"/>
    <w:rsid w:val="60825176"/>
    <w:rsid w:val="608C30E9"/>
    <w:rsid w:val="609F2AC4"/>
    <w:rsid w:val="60A56859"/>
    <w:rsid w:val="60D64B9B"/>
    <w:rsid w:val="60FA2EE8"/>
    <w:rsid w:val="61054A27"/>
    <w:rsid w:val="610A52BC"/>
    <w:rsid w:val="610A53B4"/>
    <w:rsid w:val="610D059B"/>
    <w:rsid w:val="611D2366"/>
    <w:rsid w:val="6138383D"/>
    <w:rsid w:val="61421856"/>
    <w:rsid w:val="615227C4"/>
    <w:rsid w:val="6162474A"/>
    <w:rsid w:val="61654E3F"/>
    <w:rsid w:val="6182292A"/>
    <w:rsid w:val="619511C7"/>
    <w:rsid w:val="619F7F92"/>
    <w:rsid w:val="61F94C26"/>
    <w:rsid w:val="62000E56"/>
    <w:rsid w:val="62023ED4"/>
    <w:rsid w:val="624346B6"/>
    <w:rsid w:val="624F3E49"/>
    <w:rsid w:val="62632286"/>
    <w:rsid w:val="62885958"/>
    <w:rsid w:val="62CE3ED5"/>
    <w:rsid w:val="62F40B65"/>
    <w:rsid w:val="62FC2CFE"/>
    <w:rsid w:val="63024505"/>
    <w:rsid w:val="635600A5"/>
    <w:rsid w:val="635B1DB5"/>
    <w:rsid w:val="63711FED"/>
    <w:rsid w:val="63880DDC"/>
    <w:rsid w:val="638D750D"/>
    <w:rsid w:val="63AC6CC0"/>
    <w:rsid w:val="63E853DA"/>
    <w:rsid w:val="63FD4460"/>
    <w:rsid w:val="64055776"/>
    <w:rsid w:val="641F5B67"/>
    <w:rsid w:val="64240056"/>
    <w:rsid w:val="643E143A"/>
    <w:rsid w:val="6440683D"/>
    <w:rsid w:val="64491666"/>
    <w:rsid w:val="648B6EEF"/>
    <w:rsid w:val="64C158BF"/>
    <w:rsid w:val="64CE2EAA"/>
    <w:rsid w:val="652C751B"/>
    <w:rsid w:val="653C3090"/>
    <w:rsid w:val="657038D9"/>
    <w:rsid w:val="65854376"/>
    <w:rsid w:val="658767BE"/>
    <w:rsid w:val="65892531"/>
    <w:rsid w:val="65E41BD1"/>
    <w:rsid w:val="65E65D95"/>
    <w:rsid w:val="66030EAB"/>
    <w:rsid w:val="66065FEC"/>
    <w:rsid w:val="66195831"/>
    <w:rsid w:val="662E75B1"/>
    <w:rsid w:val="66321CE5"/>
    <w:rsid w:val="66342C2E"/>
    <w:rsid w:val="663E784C"/>
    <w:rsid w:val="668B6A45"/>
    <w:rsid w:val="67081FDE"/>
    <w:rsid w:val="67112C4A"/>
    <w:rsid w:val="672F3F24"/>
    <w:rsid w:val="673E055F"/>
    <w:rsid w:val="67551CE3"/>
    <w:rsid w:val="675C250A"/>
    <w:rsid w:val="67A22552"/>
    <w:rsid w:val="67B22DCC"/>
    <w:rsid w:val="67BE71AA"/>
    <w:rsid w:val="67CF7323"/>
    <w:rsid w:val="67D90273"/>
    <w:rsid w:val="67DE5875"/>
    <w:rsid w:val="67E55852"/>
    <w:rsid w:val="67EB1AB4"/>
    <w:rsid w:val="67FA1285"/>
    <w:rsid w:val="68551F4F"/>
    <w:rsid w:val="687C10C9"/>
    <w:rsid w:val="68840C16"/>
    <w:rsid w:val="68876EFB"/>
    <w:rsid w:val="68884654"/>
    <w:rsid w:val="689F444F"/>
    <w:rsid w:val="68B96DBB"/>
    <w:rsid w:val="68CA2805"/>
    <w:rsid w:val="68E937A3"/>
    <w:rsid w:val="68FB149A"/>
    <w:rsid w:val="693E15D3"/>
    <w:rsid w:val="69627681"/>
    <w:rsid w:val="6977531D"/>
    <w:rsid w:val="69793349"/>
    <w:rsid w:val="69972978"/>
    <w:rsid w:val="69CB5582"/>
    <w:rsid w:val="69CC2BFF"/>
    <w:rsid w:val="69DF102E"/>
    <w:rsid w:val="69FD55B8"/>
    <w:rsid w:val="6A0B1C62"/>
    <w:rsid w:val="6A2406C8"/>
    <w:rsid w:val="6A9A1ADF"/>
    <w:rsid w:val="6ADE0BD1"/>
    <w:rsid w:val="6AE81378"/>
    <w:rsid w:val="6AE96859"/>
    <w:rsid w:val="6AF9611F"/>
    <w:rsid w:val="6B147746"/>
    <w:rsid w:val="6B24787C"/>
    <w:rsid w:val="6B325362"/>
    <w:rsid w:val="6B573233"/>
    <w:rsid w:val="6B5B6274"/>
    <w:rsid w:val="6B8E2E58"/>
    <w:rsid w:val="6B8F0831"/>
    <w:rsid w:val="6B935D53"/>
    <w:rsid w:val="6BD61FBC"/>
    <w:rsid w:val="6C103F35"/>
    <w:rsid w:val="6C196F71"/>
    <w:rsid w:val="6C226FCB"/>
    <w:rsid w:val="6C31226F"/>
    <w:rsid w:val="6C517EC7"/>
    <w:rsid w:val="6C552F0B"/>
    <w:rsid w:val="6C8C67B7"/>
    <w:rsid w:val="6C9D744C"/>
    <w:rsid w:val="6CDE737B"/>
    <w:rsid w:val="6D167928"/>
    <w:rsid w:val="6D26299B"/>
    <w:rsid w:val="6D4772EC"/>
    <w:rsid w:val="6D635AD2"/>
    <w:rsid w:val="6D9078AF"/>
    <w:rsid w:val="6DAA3FEF"/>
    <w:rsid w:val="6DC0172B"/>
    <w:rsid w:val="6DCB690C"/>
    <w:rsid w:val="6DD41A5B"/>
    <w:rsid w:val="6DF43C2E"/>
    <w:rsid w:val="6DF51CA3"/>
    <w:rsid w:val="6DF778A7"/>
    <w:rsid w:val="6E7837FF"/>
    <w:rsid w:val="6E8335BD"/>
    <w:rsid w:val="6E870FFB"/>
    <w:rsid w:val="6E8E12EF"/>
    <w:rsid w:val="6E972936"/>
    <w:rsid w:val="6ED446C5"/>
    <w:rsid w:val="6EDE7B06"/>
    <w:rsid w:val="6F2A7D94"/>
    <w:rsid w:val="6F8331F1"/>
    <w:rsid w:val="6FAE1A09"/>
    <w:rsid w:val="6FD75BF8"/>
    <w:rsid w:val="707723D0"/>
    <w:rsid w:val="70C8281B"/>
    <w:rsid w:val="70F5661B"/>
    <w:rsid w:val="71153C78"/>
    <w:rsid w:val="71360107"/>
    <w:rsid w:val="713B688E"/>
    <w:rsid w:val="7148279F"/>
    <w:rsid w:val="719C7804"/>
    <w:rsid w:val="71D43752"/>
    <w:rsid w:val="71F1796A"/>
    <w:rsid w:val="71FB63D5"/>
    <w:rsid w:val="72154626"/>
    <w:rsid w:val="72262B5D"/>
    <w:rsid w:val="72283FF7"/>
    <w:rsid w:val="722E7212"/>
    <w:rsid w:val="723A0474"/>
    <w:rsid w:val="725923E4"/>
    <w:rsid w:val="72864BF7"/>
    <w:rsid w:val="729023FC"/>
    <w:rsid w:val="72EC0317"/>
    <w:rsid w:val="73207DD4"/>
    <w:rsid w:val="73966B0A"/>
    <w:rsid w:val="73C0646E"/>
    <w:rsid w:val="73CD73DD"/>
    <w:rsid w:val="73E77E2D"/>
    <w:rsid w:val="742222F5"/>
    <w:rsid w:val="74476126"/>
    <w:rsid w:val="74670CFC"/>
    <w:rsid w:val="74706664"/>
    <w:rsid w:val="747F3682"/>
    <w:rsid w:val="748408CE"/>
    <w:rsid w:val="749C4185"/>
    <w:rsid w:val="75067759"/>
    <w:rsid w:val="752E6DCD"/>
    <w:rsid w:val="7551380D"/>
    <w:rsid w:val="75600BE5"/>
    <w:rsid w:val="7564475C"/>
    <w:rsid w:val="7583797F"/>
    <w:rsid w:val="75D20F1D"/>
    <w:rsid w:val="75D307FB"/>
    <w:rsid w:val="75DA2C18"/>
    <w:rsid w:val="75F5266C"/>
    <w:rsid w:val="75F54412"/>
    <w:rsid w:val="761D08E0"/>
    <w:rsid w:val="765D347C"/>
    <w:rsid w:val="76826699"/>
    <w:rsid w:val="769153C1"/>
    <w:rsid w:val="76C87133"/>
    <w:rsid w:val="76CD08D5"/>
    <w:rsid w:val="76D43165"/>
    <w:rsid w:val="76DB4B92"/>
    <w:rsid w:val="77052AA4"/>
    <w:rsid w:val="77136511"/>
    <w:rsid w:val="77316029"/>
    <w:rsid w:val="77340A39"/>
    <w:rsid w:val="77351FD0"/>
    <w:rsid w:val="77472422"/>
    <w:rsid w:val="777F31F2"/>
    <w:rsid w:val="77D1700D"/>
    <w:rsid w:val="77EC04CC"/>
    <w:rsid w:val="78342A30"/>
    <w:rsid w:val="78775729"/>
    <w:rsid w:val="78A42DB0"/>
    <w:rsid w:val="78A656AB"/>
    <w:rsid w:val="78B2245C"/>
    <w:rsid w:val="78E172CC"/>
    <w:rsid w:val="78EA1D1F"/>
    <w:rsid w:val="79036DC3"/>
    <w:rsid w:val="7904172F"/>
    <w:rsid w:val="790F7E27"/>
    <w:rsid w:val="791B7535"/>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BA2B78"/>
    <w:rsid w:val="7BEE0103"/>
    <w:rsid w:val="7C0A0FE4"/>
    <w:rsid w:val="7C254906"/>
    <w:rsid w:val="7C572CA5"/>
    <w:rsid w:val="7C590818"/>
    <w:rsid w:val="7C7C10F6"/>
    <w:rsid w:val="7C853BEA"/>
    <w:rsid w:val="7C881368"/>
    <w:rsid w:val="7CE27788"/>
    <w:rsid w:val="7D0C32F1"/>
    <w:rsid w:val="7D0F408D"/>
    <w:rsid w:val="7D491C6C"/>
    <w:rsid w:val="7D5429C0"/>
    <w:rsid w:val="7D6E6D43"/>
    <w:rsid w:val="7D951CD7"/>
    <w:rsid w:val="7DB57A34"/>
    <w:rsid w:val="7DE60973"/>
    <w:rsid w:val="7DEF0916"/>
    <w:rsid w:val="7E1E5218"/>
    <w:rsid w:val="7E4636DA"/>
    <w:rsid w:val="7E6C679B"/>
    <w:rsid w:val="7E707F66"/>
    <w:rsid w:val="7E8E6F76"/>
    <w:rsid w:val="7E9A4E1F"/>
    <w:rsid w:val="7EA7723A"/>
    <w:rsid w:val="7EF56FBB"/>
    <w:rsid w:val="7F0768EB"/>
    <w:rsid w:val="7F143BEC"/>
    <w:rsid w:val="7F17496E"/>
    <w:rsid w:val="7F2F7F0A"/>
    <w:rsid w:val="7F715AF2"/>
    <w:rsid w:val="7F7B47F9"/>
    <w:rsid w:val="7F886E69"/>
    <w:rsid w:val="7F8C6497"/>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20"/>
    <w:qFormat/>
    <w:uiPriority w:val="0"/>
    <w:pPr>
      <w:ind w:firstLine="420"/>
    </w:pPr>
    <w:rPr>
      <w:rFonts w:hAnsi="Calibri" w:cs="Times New Roman"/>
      <w:snapToGrid/>
      <w:szCs w:val="20"/>
    </w:rPr>
  </w:style>
  <w:style w:type="paragraph" w:styleId="3">
    <w:name w:val="Body Text"/>
    <w:basedOn w:val="1"/>
    <w:next w:val="1"/>
    <w:link w:val="429"/>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next w:val="3"/>
    <w:link w:val="192"/>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1"/>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5"/>
    <w:qFormat/>
    <w:uiPriority w:val="0"/>
    <w:rPr>
      <w:b/>
      <w:bCs/>
    </w:rPr>
  </w:style>
  <w:style w:type="paragraph" w:styleId="61">
    <w:name w:val="Body Text First Indent 2"/>
    <w:basedOn w:val="25"/>
    <w:next w:val="1"/>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Normal Indent1"/>
    <w:basedOn w:val="1"/>
    <w:qFormat/>
    <w:uiPriority w:val="0"/>
    <w:pPr>
      <w:ind w:firstLine="420" w:firstLineChars="200"/>
    </w:pPr>
  </w:style>
  <w:style w:type="paragraph" w:customStyle="1" w:styleId="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10"/>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6"/>
    <w:qFormat/>
    <w:uiPriority w:val="0"/>
    <w:rPr>
      <w:rFonts w:ascii="宋体"/>
      <w:kern w:val="2"/>
      <w:sz w:val="24"/>
      <w:szCs w:val="21"/>
      <w:lang w:val="zh-CN"/>
    </w:rPr>
  </w:style>
  <w:style w:type="character" w:customStyle="1" w:styleId="181">
    <w:name w:val="标题 9 字符"/>
    <w:link w:val="13"/>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7"/>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20"/>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8"/>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表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2"/>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1"/>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2"/>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1"/>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0"/>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8"/>
    <w:qFormat/>
    <w:uiPriority w:val="0"/>
    <w:rPr>
      <w:b w:val="0"/>
      <w:sz w:val="20"/>
    </w:rPr>
  </w:style>
  <w:style w:type="paragraph" w:customStyle="1" w:styleId="892">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样式 标题 2 + Times New Roman 四号 非加粗 段前: 5 磅 段后: 0 磅 行距: 固定值 20..."/>
    <w:basedOn w:val="5"/>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3">
    <w:name w:val="p16"/>
    <w:basedOn w:val="1"/>
    <w:qFormat/>
    <w:uiPriority w:val="0"/>
    <w:pPr>
      <w:widowControl/>
      <w:spacing w:before="100" w:after="100"/>
      <w:jc w:val="left"/>
    </w:pPr>
    <w:rPr>
      <w:rFonts w:ascii="宋体" w:hAnsi="宋体" w:cs="宋体"/>
      <w:color w:val="000000"/>
      <w:kern w:val="0"/>
      <w:sz w:val="24"/>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customXml" Target="../customXml/item2.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header" Target="header10.xml"/><Relationship Id="rId24" Type="http://schemas.openxmlformats.org/officeDocument/2006/relationships/header" Target="header9.xml"/><Relationship Id="rId23" Type="http://schemas.openxmlformats.org/officeDocument/2006/relationships/footer" Target="footer13.xml"/><Relationship Id="rId22" Type="http://schemas.openxmlformats.org/officeDocument/2006/relationships/footer" Target="footer12.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0D50E61-DB40-48D5-8852-90E2085569BB}">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34371</Words>
  <Characters>36762</Characters>
  <Lines>276</Lines>
  <Paragraphs>77</Paragraphs>
  <TotalTime>3</TotalTime>
  <ScaleCrop>false</ScaleCrop>
  <LinksUpToDate>false</LinksUpToDate>
  <CharactersWithSpaces>41601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2022-05-06T23:35:00Z</dcterms:created>
  <dc:creator>玥</dc:creator>
  <cp:lastModifiedBy>Heart、✨</cp:lastModifiedBy>
  <cp:lastPrinted>2022-07-19T08:17:00Z</cp:lastPrinted>
  <dcterms:modified xsi:type="dcterms:W3CDTF">2022-07-20T01:18:17Z</dcterms:modified>
  <dc:title>杭州市市民卡扩大发卡工程</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B0730B6F37474F3D992CB4A8620BA8A5</vt:lpwstr>
  </property>
  <property fmtid="{D5CDD505-2E9C-101B-9397-08002B2CF9AE}" pid="5" name="commondata">
    <vt:lpwstr>eyJoZGlkIjoiNGNlMmFkMDQ1NDY0ZmRiM2Q0NjY4NTFjN2IwMTllYjMifQ==</vt:lpwstr>
  </property>
</Properties>
</file>