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24"/>
          <w:highlight w:val="none"/>
        </w:rPr>
      </w:pPr>
    </w:p>
    <w:p>
      <w:pPr>
        <w:adjustRightInd/>
        <w:spacing w:line="360" w:lineRule="auto"/>
        <w:jc w:val="center"/>
        <w:rPr>
          <w:rFonts w:ascii="仿宋" w:hAnsi="仿宋" w:eastAsia="仿宋" w:cs="仿宋_GB2312"/>
          <w:b/>
          <w:color w:val="auto"/>
          <w:sz w:val="48"/>
          <w:szCs w:val="48"/>
          <w:highlight w:val="none"/>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浙江交通职业技术学院智慧平安校园建设</w:t>
      </w: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w:t>
      </w: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 xml:space="preserve"> （电子招投标）</w:t>
      </w: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编号:BSZB2022-AZZG041</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spacing w:line="360" w:lineRule="auto"/>
        <w:jc w:val="center"/>
        <w:rPr>
          <w:rFonts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采购人：浙江交通职业技术学院</w:t>
      </w:r>
    </w:p>
    <w:p>
      <w:pPr>
        <w:spacing w:line="360" w:lineRule="auto"/>
        <w:jc w:val="center"/>
        <w:rPr>
          <w:rFonts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采购代理机构：杭州博实招标代理有限公司</w:t>
      </w:r>
    </w:p>
    <w:p>
      <w:pPr>
        <w:snapToGrid w:val="0"/>
        <w:spacing w:line="360" w:lineRule="auto"/>
        <w:jc w:val="center"/>
        <w:rPr>
          <w:rFonts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2022年4月</w:t>
      </w:r>
      <w:r>
        <w:rPr>
          <w:rFonts w:hint="eastAsia" w:ascii="仿宋" w:hAnsi="仿宋" w:eastAsia="仿宋" w:cs="仿宋_GB2312"/>
          <w:bCs/>
          <w:color w:val="auto"/>
          <w:sz w:val="32"/>
          <w:szCs w:val="32"/>
          <w:highlight w:val="none"/>
          <w:lang w:val="en-US" w:eastAsia="zh-CN"/>
        </w:rPr>
        <w:t>19</w:t>
      </w:r>
      <w:r>
        <w:rPr>
          <w:rFonts w:hint="eastAsia" w:ascii="仿宋" w:hAnsi="仿宋" w:eastAsia="仿宋" w:cs="仿宋_GB2312"/>
          <w:bCs/>
          <w:color w:val="auto"/>
          <w:sz w:val="32"/>
          <w:szCs w:val="32"/>
          <w:highlight w:val="none"/>
        </w:rPr>
        <w:t>日</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 w:hAnsi="仿宋" w:eastAsia="仿宋"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 w:hAnsi="仿宋" w:eastAsia="仿宋"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highlight w:val="none"/>
          <w:u w:val="single"/>
        </w:rPr>
      </w:pPr>
      <w:r>
        <w:rPr>
          <w:rFonts w:hint="eastAsia" w:ascii="仿宋" w:hAnsi="仿宋" w:eastAsia="仿宋" w:cs="仿宋_GB2312"/>
          <w:color w:val="auto"/>
          <w:sz w:val="24"/>
          <w:highlight w:val="none"/>
          <w:u w:val="single"/>
        </w:rPr>
        <w:t>浙江交通职业技术学院智慧平安校园建设</w:t>
      </w:r>
      <w:r>
        <w:rPr>
          <w:rFonts w:hint="eastAsia" w:ascii="仿宋" w:hAnsi="仿宋" w:eastAsia="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7"/>
          <w:rFonts w:ascii="仿宋" w:hAnsi="仿宋" w:eastAsia="仿宋" w:cs="Times New Roman"/>
          <w:snapToGrid/>
          <w:color w:val="auto"/>
          <w:kern w:val="2"/>
          <w:sz w:val="24"/>
          <w:szCs w:val="24"/>
          <w:highlight w:val="none"/>
        </w:rPr>
        <w:t>https://www.zcygov.cn/）获取（下载）招标文件，并于</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w:t>
      </w:r>
      <w:r>
        <w:rPr>
          <w:rFonts w:hint="eastAsia" w:ascii="仿宋" w:hAnsi="仿宋" w:eastAsia="仿宋"/>
          <w:color w:val="auto"/>
          <w:sz w:val="24"/>
          <w:highlight w:val="none"/>
          <w:u w:val="single"/>
          <w:lang w:val="en-US" w:eastAsia="zh-CN"/>
        </w:rPr>
        <w:t>5</w:t>
      </w:r>
      <w:r>
        <w:rPr>
          <w:rFonts w:hint="eastAsia"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9</w:t>
      </w:r>
      <w:r>
        <w:rPr>
          <w:rFonts w:hint="eastAsia" w:ascii="仿宋" w:hAnsi="仿宋" w:eastAsia="仿宋"/>
          <w:color w:val="auto"/>
          <w:sz w:val="24"/>
          <w:highlight w:val="none"/>
          <w:u w:val="single"/>
        </w:rPr>
        <w:t>日1</w:t>
      </w:r>
      <w:r>
        <w:rPr>
          <w:rFonts w:hint="eastAsia" w:ascii="仿宋" w:hAnsi="仿宋" w:eastAsia="仿宋"/>
          <w:color w:val="auto"/>
          <w:sz w:val="24"/>
          <w:highlight w:val="none"/>
          <w:u w:val="single"/>
          <w:lang w:val="en-US" w:eastAsia="zh-CN"/>
        </w:rPr>
        <w:t>3</w:t>
      </w:r>
      <w:r>
        <w:rPr>
          <w:rFonts w:hint="eastAsia" w:ascii="仿宋" w:hAnsi="仿宋" w:eastAsia="仿宋"/>
          <w:color w:val="auto"/>
          <w:sz w:val="24"/>
          <w:highlight w:val="none"/>
          <w:u w:val="single"/>
        </w:rPr>
        <w:t>点</w:t>
      </w:r>
      <w:r>
        <w:rPr>
          <w:rFonts w:hint="eastAsia" w:ascii="仿宋" w:hAnsi="仿宋" w:eastAsia="仿宋"/>
          <w:color w:val="auto"/>
          <w:sz w:val="24"/>
          <w:highlight w:val="none"/>
          <w:u w:val="single"/>
          <w:lang w:val="en-US" w:eastAsia="zh-CN"/>
        </w:rPr>
        <w:t>3</w:t>
      </w:r>
      <w:r>
        <w:rPr>
          <w:rFonts w:hint="eastAsia" w:ascii="仿宋" w:hAnsi="仿宋" w:eastAsia="仿宋"/>
          <w:color w:val="auto"/>
          <w:sz w:val="24"/>
          <w:highlight w:val="none"/>
          <w:u w:val="single"/>
        </w:rPr>
        <w:t>0分</w:t>
      </w:r>
      <w:r>
        <w:rPr>
          <w:rFonts w:hint="eastAsia" w:ascii="仿宋" w:hAnsi="仿宋" w:eastAsia="仿宋"/>
          <w:bCs/>
          <w:color w:val="auto"/>
          <w:sz w:val="24"/>
          <w:highlight w:val="none"/>
          <w:u w:val="single"/>
        </w:rPr>
        <w:t>00秒</w:t>
      </w:r>
      <w:r>
        <w:rPr>
          <w:rFonts w:hint="eastAsia" w:ascii="仿宋" w:hAnsi="仿宋" w:eastAsia="仿宋"/>
          <w:bCs/>
          <w:color w:val="auto"/>
          <w:sz w:val="24"/>
          <w:highlight w:val="none"/>
          <w:u w:val="single"/>
        </w:rPr>
        <w:fldChar w:fldCharType="end"/>
      </w:r>
      <w:r>
        <w:rPr>
          <w:rFonts w:hint="eastAsia" w:ascii="仿宋" w:hAnsi="仿宋" w:eastAsia="仿宋"/>
          <w:bCs/>
          <w:color w:val="auto"/>
          <w:sz w:val="24"/>
          <w:highlight w:val="none"/>
        </w:rPr>
        <w:t>（北京时间）前</w:t>
      </w:r>
      <w:r>
        <w:rPr>
          <w:rFonts w:hint="eastAsia" w:ascii="仿宋" w:hAnsi="仿宋" w:eastAsia="仿宋"/>
          <w:color w:val="auto"/>
          <w:sz w:val="24"/>
          <w:highlight w:val="none"/>
        </w:rPr>
        <w:t>递交（上传）投标文件。</w:t>
      </w:r>
    </w:p>
    <w:p>
      <w:pPr>
        <w:spacing w:line="360" w:lineRule="auto"/>
        <w:ind w:firstLine="480" w:firstLineChars="200"/>
        <w:rPr>
          <w:rFonts w:ascii="仿宋" w:hAnsi="仿宋" w:eastAsia="仿宋"/>
          <w:bCs/>
          <w:color w:val="auto"/>
          <w:sz w:val="24"/>
          <w:highlight w:val="none"/>
        </w:rPr>
      </w:pPr>
      <w:r>
        <w:rPr>
          <w:rFonts w:hint="eastAsia" w:ascii="仿宋" w:hAnsi="仿宋" w:eastAsia="仿宋"/>
          <w:bCs/>
          <w:color w:val="auto"/>
          <w:sz w:val="24"/>
          <w:highlight w:val="none"/>
        </w:rPr>
        <w:t>一、项目基本情况</w:t>
      </w:r>
      <w:r>
        <w:rPr>
          <w:rFonts w:ascii="仿宋" w:hAnsi="仿宋" w:eastAsia="仿宋"/>
          <w:bCs/>
          <w:color w:val="auto"/>
          <w:sz w:val="24"/>
          <w:highlight w:val="none"/>
        </w:rPr>
        <w:t xml:space="preserve">                                            </w:t>
      </w:r>
    </w:p>
    <w:p>
      <w:pPr>
        <w:adjustRightInd/>
        <w:spacing w:line="360" w:lineRule="auto"/>
        <w:ind w:firstLine="482" w:firstLineChars="200"/>
        <w:jc w:val="left"/>
        <w:rPr>
          <w:rFonts w:ascii="仿宋" w:hAnsi="仿宋" w:eastAsia="仿宋" w:cs="仿宋_GB2312"/>
          <w:bCs/>
          <w:color w:val="auto"/>
          <w:sz w:val="48"/>
          <w:szCs w:val="48"/>
          <w:highlight w:val="none"/>
        </w:rPr>
      </w:pPr>
      <w:r>
        <w:rPr>
          <w:rFonts w:hint="eastAsia" w:ascii="仿宋" w:hAnsi="仿宋" w:eastAsia="仿宋"/>
          <w:b/>
          <w:color w:val="auto"/>
          <w:sz w:val="24"/>
          <w:highlight w:val="none"/>
        </w:rPr>
        <w:t>项目编号：</w:t>
      </w:r>
      <w:r>
        <w:rPr>
          <w:rFonts w:hint="eastAsia" w:ascii="仿宋" w:hAnsi="仿宋" w:eastAsia="仿宋" w:cs="仿宋_GB2312"/>
          <w:bCs/>
          <w:color w:val="auto"/>
          <w:sz w:val="24"/>
          <w:highlight w:val="none"/>
        </w:rPr>
        <w:t>BSZB2022-AZZG041</w:t>
      </w:r>
    </w:p>
    <w:p>
      <w:pPr>
        <w:spacing w:line="360" w:lineRule="auto"/>
        <w:rPr>
          <w:rFonts w:ascii="仿宋" w:hAnsi="仿宋" w:eastAsia="仿宋"/>
          <w:bCs/>
          <w:color w:val="auto"/>
          <w:sz w:val="24"/>
          <w:highlight w:val="none"/>
        </w:rPr>
      </w:pPr>
      <w:r>
        <w:rPr>
          <w:rFonts w:ascii="仿宋" w:hAnsi="仿宋" w:eastAsia="仿宋"/>
          <w:bCs/>
          <w:color w:val="auto"/>
          <w:sz w:val="24"/>
          <w:highlight w:val="none"/>
        </w:rPr>
        <w:t xml:space="preserve">    </w:t>
      </w:r>
      <w:r>
        <w:rPr>
          <w:rFonts w:ascii="仿宋" w:hAnsi="仿宋" w:eastAsia="仿宋"/>
          <w:b/>
          <w:color w:val="auto"/>
          <w:sz w:val="24"/>
          <w:highlight w:val="none"/>
        </w:rPr>
        <w:t>项目名称：</w:t>
      </w:r>
      <w:r>
        <w:rPr>
          <w:rFonts w:hint="eastAsia" w:ascii="仿宋" w:hAnsi="仿宋" w:eastAsia="仿宋" w:cs="仿宋_GB2312"/>
          <w:bCs/>
          <w:color w:val="auto"/>
          <w:sz w:val="24"/>
          <w:highlight w:val="none"/>
        </w:rPr>
        <w:t>浙江交通职业技术学院智慧平安校园建设</w:t>
      </w:r>
    </w:p>
    <w:p>
      <w:pPr>
        <w:spacing w:line="360" w:lineRule="auto"/>
        <w:rPr>
          <w:rFonts w:ascii="仿宋" w:hAnsi="仿宋" w:eastAsia="仿宋"/>
          <w:b/>
          <w:color w:val="auto"/>
          <w:sz w:val="24"/>
          <w:highlight w:val="none"/>
        </w:rPr>
      </w:pPr>
      <w:r>
        <w:rPr>
          <w:rFonts w:ascii="仿宋" w:hAnsi="仿宋" w:eastAsia="仿宋"/>
          <w:bCs/>
          <w:color w:val="auto"/>
          <w:sz w:val="24"/>
          <w:highlight w:val="none"/>
        </w:rPr>
        <w:t xml:space="preserve"> </w:t>
      </w:r>
      <w:r>
        <w:rPr>
          <w:rFonts w:ascii="仿宋" w:hAnsi="仿宋" w:eastAsia="仿宋"/>
          <w:b/>
          <w:color w:val="auto"/>
          <w:sz w:val="24"/>
          <w:highlight w:val="none"/>
        </w:rPr>
        <w:t xml:space="preserve">   预算金额（元）：</w:t>
      </w:r>
      <w:r>
        <w:rPr>
          <w:rFonts w:hint="eastAsia" w:ascii="仿宋" w:hAnsi="仿宋" w:eastAsia="仿宋"/>
          <w:b/>
          <w:color w:val="auto"/>
          <w:sz w:val="24"/>
          <w:highlight w:val="none"/>
        </w:rPr>
        <w:t>8000000元</w:t>
      </w:r>
      <w:r>
        <w:rPr>
          <w:rFonts w:hint="eastAsia" w:ascii="仿宋" w:hAnsi="仿宋" w:eastAsia="仿宋" w:cs="仿宋_GB2312"/>
          <w:b/>
          <w:color w:val="auto"/>
          <w:sz w:val="24"/>
          <w:highlight w:val="none"/>
        </w:rPr>
        <w:t xml:space="preserve"> </w:t>
      </w:r>
    </w:p>
    <w:p>
      <w:pPr>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最高限价（元）：8000000元</w:t>
      </w:r>
    </w:p>
    <w:p>
      <w:pPr>
        <w:pStyle w:val="6"/>
        <w:spacing w:line="360" w:lineRule="auto"/>
        <w:ind w:firstLine="480"/>
        <w:rPr>
          <w:rFonts w:ascii="仿宋" w:hAnsi="仿宋" w:eastAsia="仿宋" w:cs="仿宋_GB2312"/>
          <w:b/>
          <w:snapToGrid/>
          <w:color w:val="auto"/>
          <w:kern w:val="2"/>
          <w:sz w:val="24"/>
          <w:szCs w:val="24"/>
          <w:highlight w:val="none"/>
        </w:rPr>
      </w:pPr>
      <w:r>
        <w:rPr>
          <w:rFonts w:hint="eastAsia" w:ascii="仿宋" w:hAnsi="仿宋" w:eastAsia="仿宋"/>
          <w:b/>
          <w:color w:val="auto"/>
          <w:sz w:val="24"/>
          <w:highlight w:val="none"/>
        </w:rPr>
        <w:t>采购需求：</w:t>
      </w:r>
      <w:r>
        <w:rPr>
          <w:rFonts w:hint="eastAsia" w:ascii="仿宋" w:hAnsi="仿宋" w:eastAsia="仿宋" w:cs="仿宋_GB2312"/>
          <w:color w:val="auto"/>
          <w:sz w:val="24"/>
          <w:highlight w:val="none"/>
        </w:rPr>
        <w:t>本项目采购需求主要由定制开发综合平台管理应用平台软件及安防设施设备相关的硬件2部分组成；新建智慧平安校园指挥大厅，校园内监控增补及覆盖，人脸抓拍及智能分析、轨迹追踪系统设备，车辆管理、违章检测、道路指示疏散建设，校园AI智慧报警建设，校内楼宇出入口人脸门禁管理系统，智慧消防系统，宿舍人员管理系统，与各部门数据中心对接，定制开发智慧平安校园管理平台软件及三维地图应用，（详细采购清单及采购要求见招标文件第三部分）。</w:t>
      </w:r>
    </w:p>
    <w:p>
      <w:pPr>
        <w:spacing w:line="360" w:lineRule="auto"/>
        <w:ind w:firstLine="482" w:firstLineChars="200"/>
        <w:rPr>
          <w:rFonts w:ascii="仿宋" w:hAnsi="仿宋" w:eastAsia="仿宋"/>
          <w:b/>
          <w:strike/>
          <w:color w:val="auto"/>
          <w:sz w:val="24"/>
          <w:highlight w:val="none"/>
        </w:rPr>
      </w:pPr>
      <w:r>
        <w:rPr>
          <w:rFonts w:hint="eastAsia" w:ascii="仿宋" w:hAnsi="仿宋" w:eastAsia="仿宋"/>
          <w:b/>
          <w:color w:val="auto"/>
          <w:sz w:val="24"/>
          <w:highlight w:val="none"/>
        </w:rPr>
        <w:t>合同履约期限：</w:t>
      </w:r>
    </w:p>
    <w:p>
      <w:pPr>
        <w:spacing w:line="360" w:lineRule="auto"/>
        <w:ind w:left="420" w:leftChars="200"/>
        <w:rPr>
          <w:rFonts w:hint="eastAsia" w:ascii="仿宋" w:hAnsi="仿宋" w:eastAsia="仿宋" w:cs="仿宋_GB2312"/>
          <w:snapToGrid w:val="0"/>
          <w:color w:val="auto"/>
          <w:kern w:val="28"/>
          <w:sz w:val="24"/>
          <w:szCs w:val="20"/>
          <w:highlight w:val="none"/>
          <w:lang w:val="en-US" w:eastAsia="zh-CN" w:bidi="ar-SA"/>
        </w:rPr>
      </w:pPr>
      <w:r>
        <w:rPr>
          <w:rFonts w:hint="eastAsia" w:ascii="仿宋" w:hAnsi="仿宋" w:eastAsia="仿宋" w:cs="仿宋_GB2312"/>
          <w:snapToGrid w:val="0"/>
          <w:color w:val="auto"/>
          <w:kern w:val="28"/>
          <w:sz w:val="24"/>
          <w:szCs w:val="20"/>
          <w:highlight w:val="none"/>
          <w:lang w:val="en-US" w:eastAsia="zh-CN" w:bidi="ar-SA"/>
        </w:rPr>
        <w:t>软件部分：开发时间为合同签订后2个半月内完成并提供甲方进行评测，3个月内上线试运行。</w:t>
      </w:r>
    </w:p>
    <w:p>
      <w:pPr>
        <w:spacing w:line="360" w:lineRule="auto"/>
        <w:ind w:left="420" w:leftChars="200"/>
        <w:rPr>
          <w:rFonts w:hint="eastAsia" w:ascii="仿宋" w:hAnsi="仿宋" w:eastAsia="仿宋" w:cs="仿宋_GB2312"/>
          <w:snapToGrid w:val="0"/>
          <w:color w:val="auto"/>
          <w:kern w:val="28"/>
          <w:sz w:val="24"/>
          <w:szCs w:val="20"/>
          <w:highlight w:val="none"/>
          <w:lang w:val="en-US" w:eastAsia="zh-CN" w:bidi="ar-SA"/>
        </w:rPr>
      </w:pPr>
      <w:r>
        <w:rPr>
          <w:rFonts w:hint="eastAsia" w:ascii="仿宋" w:hAnsi="仿宋" w:eastAsia="仿宋" w:cs="仿宋_GB2312"/>
          <w:snapToGrid w:val="0"/>
          <w:color w:val="auto"/>
          <w:kern w:val="28"/>
          <w:sz w:val="24"/>
          <w:szCs w:val="20"/>
          <w:highlight w:val="none"/>
          <w:lang w:val="en-US" w:eastAsia="zh-CN" w:bidi="ar-SA"/>
        </w:rPr>
        <w:t>硬件部分：施工周期为合同签订后120天，4楼指挥中心建设在2022年8月15日前完成装修、完成设备调试，2022年9月1日前正式移交并投入使用。</w:t>
      </w:r>
    </w:p>
    <w:p>
      <w:pPr>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本项目接受联合体投标：</w:t>
      </w:r>
      <w:sdt>
        <w:sdtPr>
          <w:rPr>
            <w:rFonts w:hint="eastAsia" w:ascii="仿宋" w:hAnsi="仿宋" w:eastAsia="仿宋"/>
            <w:b/>
            <w:color w:val="auto"/>
            <w:sz w:val="24"/>
            <w:highlight w:val="none"/>
          </w:rPr>
          <w:id w:val="2035453831"/>
          <w14:checkbox>
            <w14:checked w14:val="0"/>
            <w14:checkedState w14:val="00FE" w14:font="Wingdings"/>
            <w14:uncheckedState w14:val="2610" w14:font="MS Gothic"/>
          </w14:checkbox>
        </w:sdtPr>
        <w:sdtEndPr>
          <w:rPr>
            <w:rFonts w:hint="eastAsia" w:ascii="仿宋" w:hAnsi="仿宋" w:eastAsia="仿宋"/>
            <w:b/>
            <w:color w:val="auto"/>
            <w:sz w:val="24"/>
            <w:highlight w:val="none"/>
          </w:rPr>
        </w:sdtEndPr>
        <w:sdtContent>
          <w:r>
            <w:rPr>
              <w:rFonts w:ascii="Segoe UI Symbol" w:hAnsi="Segoe UI Symbol" w:eastAsia="仿宋" w:cs="Segoe UI Symbol"/>
              <w:b/>
              <w:color w:val="auto"/>
              <w:sz w:val="24"/>
              <w:highlight w:val="none"/>
            </w:rPr>
            <w:t>☐</w:t>
          </w:r>
        </w:sdtContent>
      </w:sdt>
      <w:r>
        <w:rPr>
          <w:rFonts w:hint="eastAsia" w:ascii="仿宋" w:hAnsi="仿宋" w:eastAsia="仿宋"/>
          <w:b/>
          <w:color w:val="auto"/>
          <w:sz w:val="24"/>
          <w:highlight w:val="none"/>
        </w:rPr>
        <w:t>是，</w:t>
      </w:r>
      <w:sdt>
        <w:sdtPr>
          <w:rPr>
            <w:rFonts w:hint="eastAsia" w:ascii="仿宋" w:hAnsi="仿宋" w:eastAsia="仿宋"/>
            <w:b/>
            <w:color w:val="auto"/>
            <w:sz w:val="24"/>
            <w:highlight w:val="none"/>
          </w:rPr>
          <w:id w:val="-1765526721"/>
          <w14:checkbox>
            <w14:checked w14:val="1"/>
            <w14:checkedState w14:val="00FE" w14:font="Wingdings"/>
            <w14:uncheckedState w14:val="2610" w14:font="MS Gothic"/>
          </w14:checkbox>
        </w:sdtPr>
        <w:sdtEndPr>
          <w:rPr>
            <w:rFonts w:hint="eastAsia" w:ascii="仿宋" w:hAnsi="仿宋" w:eastAsia="仿宋"/>
            <w:b/>
            <w:color w:val="auto"/>
            <w:sz w:val="24"/>
            <w:highlight w:val="none"/>
          </w:rPr>
        </w:sdtEndPr>
        <w:sdtContent>
          <w:r>
            <w:rPr>
              <w:rFonts w:ascii="Wingdings" w:hAnsi="Wingdings" w:eastAsia="仿宋" w:cs="Calibri"/>
              <w:b/>
              <w:color w:val="auto"/>
              <w:sz w:val="24"/>
              <w:highlight w:val="none"/>
            </w:rPr>
            <w:t></w:t>
          </w:r>
        </w:sdtContent>
      </w:sdt>
      <w:r>
        <w:rPr>
          <w:rFonts w:hint="eastAsia" w:ascii="仿宋" w:hAnsi="仿宋" w:eastAsia="仿宋"/>
          <w:b/>
          <w:color w:val="auto"/>
          <w:sz w:val="24"/>
          <w:highlight w:val="none"/>
        </w:rPr>
        <w:t>否。</w:t>
      </w:r>
    </w:p>
    <w:p>
      <w:pPr>
        <w:spacing w:line="360" w:lineRule="auto"/>
        <w:ind w:firstLine="480" w:firstLineChars="200"/>
        <w:rPr>
          <w:rFonts w:ascii="仿宋" w:hAnsi="仿宋" w:eastAsia="仿宋"/>
          <w:bCs/>
          <w:color w:val="auto"/>
          <w:sz w:val="24"/>
          <w:highlight w:val="none"/>
        </w:rPr>
      </w:pPr>
      <w:r>
        <w:rPr>
          <w:rFonts w:hint="eastAsia" w:ascii="仿宋" w:hAnsi="仿宋" w:eastAsia="仿宋"/>
          <w:bCs/>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 w:hAnsi="仿宋" w:eastAsia="仿宋"/>
          <w:color w:val="auto"/>
          <w:sz w:val="24"/>
          <w:highlight w:val="none"/>
        </w:rPr>
      </w:pPr>
      <w:sdt>
        <w:sdtPr>
          <w:rPr>
            <w:rFonts w:hint="eastAsia" w:ascii="仿宋" w:hAnsi="仿宋" w:eastAsia="仿宋" w:cs="Arial"/>
            <w:color w:val="auto"/>
            <w:kern w:val="0"/>
            <w:sz w:val="24"/>
            <w:highlight w:val="none"/>
          </w:rPr>
          <w:id w:val="1928616923"/>
          <w14:checkbox>
            <w14:checked w14:val="1"/>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Wingdings" w:hAnsi="Wingdings" w:eastAsia="仿宋" w:cs="Calibri"/>
              <w:color w:val="auto"/>
              <w:kern w:val="0"/>
              <w:sz w:val="24"/>
              <w:highlight w:val="none"/>
            </w:rPr>
            <w:t></w:t>
          </w:r>
        </w:sdtContent>
      </w:sdt>
      <w:r>
        <w:rPr>
          <w:rFonts w:hint="eastAsia" w:ascii="仿宋" w:hAnsi="仿宋" w:eastAsia="仿宋"/>
          <w:color w:val="auto"/>
          <w:sz w:val="24"/>
          <w:highlight w:val="none"/>
        </w:rPr>
        <w:t>无；</w:t>
      </w:r>
    </w:p>
    <w:p>
      <w:pPr>
        <w:spacing w:line="360" w:lineRule="auto"/>
        <w:ind w:firstLine="480" w:firstLineChars="200"/>
        <w:rPr>
          <w:rFonts w:ascii="仿宋" w:hAnsi="仿宋" w:eastAsia="仿宋"/>
          <w:color w:val="auto"/>
          <w:sz w:val="24"/>
          <w:highlight w:val="none"/>
        </w:rPr>
      </w:pPr>
      <w:sdt>
        <w:sdtPr>
          <w:rPr>
            <w:rFonts w:hint="eastAsia" w:ascii="仿宋" w:hAnsi="仿宋" w:eastAsia="仿宋" w:cs="Arial"/>
            <w:color w:val="auto"/>
            <w:kern w:val="0"/>
            <w:sz w:val="24"/>
            <w:highlight w:val="none"/>
          </w:rPr>
          <w:id w:val="-1024704304"/>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s="Arial"/>
          <w:color w:val="auto"/>
          <w:kern w:val="0"/>
          <w:sz w:val="24"/>
          <w:highlight w:val="none"/>
        </w:rPr>
        <w:t>专</w:t>
      </w:r>
      <w:r>
        <w:rPr>
          <w:rFonts w:hint="eastAsia" w:ascii="仿宋" w:hAnsi="仿宋" w:eastAsia="仿宋"/>
          <w:color w:val="auto"/>
          <w:sz w:val="24"/>
          <w:highlight w:val="none"/>
        </w:rPr>
        <w:t>门面向中小企业</w:t>
      </w:r>
    </w:p>
    <w:p>
      <w:pPr>
        <w:spacing w:line="360" w:lineRule="auto"/>
        <w:ind w:firstLine="897" w:firstLineChars="374"/>
        <w:rPr>
          <w:rFonts w:ascii="仿宋" w:hAnsi="仿宋" w:eastAsia="仿宋"/>
          <w:color w:val="auto"/>
          <w:sz w:val="24"/>
          <w:highlight w:val="none"/>
          <w:u w:val="single"/>
        </w:rPr>
      </w:pPr>
      <w:sdt>
        <w:sdtPr>
          <w:rPr>
            <w:rFonts w:hint="eastAsia" w:ascii="仿宋" w:hAnsi="仿宋" w:eastAsia="仿宋" w:cs="Arial"/>
            <w:color w:val="auto"/>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olor w:val="auto"/>
          <w:sz w:val="24"/>
          <w:highlight w:val="none"/>
        </w:rPr>
        <w:t>货物全部由符合政策要求的中小企业制造，提供中小企业声明函；</w:t>
      </w:r>
    </w:p>
    <w:p>
      <w:pPr>
        <w:spacing w:line="360" w:lineRule="auto"/>
        <w:ind w:firstLine="897" w:firstLineChars="374"/>
        <w:rPr>
          <w:rFonts w:ascii="仿宋" w:hAnsi="仿宋" w:eastAsia="仿宋"/>
          <w:color w:val="auto"/>
          <w:sz w:val="24"/>
          <w:highlight w:val="none"/>
        </w:rPr>
      </w:pPr>
      <w:sdt>
        <w:sdtPr>
          <w:rPr>
            <w:rFonts w:hint="eastAsia" w:ascii="仿宋" w:hAnsi="仿宋" w:eastAsia="仿宋" w:cs="Arial"/>
            <w:color w:val="auto"/>
            <w:kern w:val="0"/>
            <w:sz w:val="24"/>
            <w:highlight w:val="none"/>
          </w:rPr>
          <w:id w:val="-1152604937"/>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olor w:val="auto"/>
          <w:sz w:val="24"/>
          <w:highlight w:val="none"/>
        </w:rPr>
        <w:t>货物全部由符合政策要求的小微企业制造，提供中小企业声明函；</w:t>
      </w:r>
    </w:p>
    <w:p>
      <w:pPr>
        <w:spacing w:line="360" w:lineRule="auto"/>
        <w:ind w:firstLine="897" w:firstLineChars="374"/>
        <w:rPr>
          <w:rFonts w:ascii="仿宋" w:hAnsi="仿宋" w:eastAsia="仿宋"/>
          <w:color w:val="auto"/>
          <w:sz w:val="24"/>
          <w:highlight w:val="none"/>
        </w:rPr>
      </w:pPr>
      <w:sdt>
        <w:sdtPr>
          <w:rPr>
            <w:rFonts w:hint="eastAsia" w:ascii="仿宋" w:hAnsi="仿宋" w:eastAsia="仿宋" w:cs="Arial"/>
            <w:color w:val="auto"/>
            <w:kern w:val="0"/>
            <w:sz w:val="24"/>
            <w:highlight w:val="none"/>
          </w:rPr>
          <w:id w:val="-333685401"/>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olor w:val="auto"/>
          <w:sz w:val="24"/>
          <w:highlight w:val="none"/>
        </w:rPr>
      </w:pPr>
      <w:sdt>
        <w:sdtPr>
          <w:rPr>
            <w:rFonts w:hint="eastAsia" w:ascii="仿宋" w:hAnsi="仿宋" w:eastAsia="仿宋" w:cs="Arial"/>
            <w:color w:val="auto"/>
            <w:kern w:val="0"/>
            <w:sz w:val="24"/>
            <w:highlight w:val="none"/>
          </w:rPr>
          <w:id w:val="-2141025358"/>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olor w:val="auto"/>
          <w:sz w:val="24"/>
          <w:highlight w:val="none"/>
        </w:rPr>
      </w:pPr>
      <w:sdt>
        <w:sdtPr>
          <w:rPr>
            <w:rFonts w:hint="eastAsia" w:ascii="仿宋" w:hAnsi="仿宋" w:eastAsia="仿宋" w:cs="Arial"/>
            <w:color w:val="auto"/>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olor w:val="auto"/>
          <w:sz w:val="24"/>
          <w:highlight w:val="none"/>
        </w:rPr>
        <w:t>要求以联合体形式参加，提供联合协议和中小企业声明函，联合协议中中小企业合同金额应当达到</w:t>
      </w:r>
      <w:r>
        <w:rPr>
          <w:rFonts w:ascii="仿宋" w:hAnsi="仿宋" w:eastAsia="仿宋"/>
          <w:color w:val="auto"/>
          <w:sz w:val="24"/>
          <w:highlight w:val="none"/>
          <w:u w:val="single"/>
        </w:rPr>
        <w:t xml:space="preserve">  </w:t>
      </w:r>
      <w:r>
        <w:rPr>
          <w:rFonts w:ascii="仿宋" w:hAnsi="仿宋" w:eastAsia="仿宋"/>
          <w:color w:val="auto"/>
          <w:sz w:val="24"/>
          <w:highlight w:val="none"/>
        </w:rPr>
        <w:t>%，小</w:t>
      </w:r>
      <w:r>
        <w:rPr>
          <w:rFonts w:hint="eastAsia" w:ascii="仿宋" w:hAnsi="仿宋" w:eastAsia="仿宋"/>
          <w:color w:val="auto"/>
          <w:sz w:val="24"/>
          <w:highlight w:val="none"/>
        </w:rPr>
        <w:t>微企业合同金额应当达到</w:t>
      </w:r>
      <w:r>
        <w:rPr>
          <w:rFonts w:ascii="仿宋" w:hAnsi="仿宋" w:eastAsia="仿宋"/>
          <w:color w:val="auto"/>
          <w:sz w:val="24"/>
          <w:highlight w:val="none"/>
          <w:u w:val="single"/>
        </w:rPr>
        <w:t xml:space="preserve"> </w:t>
      </w:r>
      <w:r>
        <w:rPr>
          <w:rFonts w:ascii="仿宋" w:hAnsi="仿宋" w:eastAsia="仿宋"/>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sdt>
        <w:sdtPr>
          <w:rPr>
            <w:rFonts w:hint="eastAsia" w:ascii="仿宋" w:hAnsi="仿宋" w:eastAsia="仿宋" w:cs="Arial"/>
            <w:color w:val="auto"/>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olor w:val="auto"/>
          <w:sz w:val="24"/>
          <w:highlight w:val="none"/>
        </w:rPr>
        <w:t>要求合同分包，提供分包意向协议和中小企业声明函，分包意向协议中中小企业合同金额应当达到达到</w:t>
      </w:r>
      <w:r>
        <w:rPr>
          <w:rFonts w:ascii="仿宋" w:hAnsi="仿宋" w:eastAsia="仿宋"/>
          <w:color w:val="auto"/>
          <w:sz w:val="24"/>
          <w:highlight w:val="none"/>
          <w:u w:val="single"/>
        </w:rPr>
        <w:t xml:space="preserve">  </w:t>
      </w:r>
      <w:r>
        <w:rPr>
          <w:rFonts w:ascii="仿宋" w:hAnsi="仿宋" w:eastAsia="仿宋"/>
          <w:color w:val="auto"/>
          <w:sz w:val="24"/>
          <w:highlight w:val="none"/>
        </w:rPr>
        <w:t xml:space="preserve">% </w:t>
      </w:r>
      <w:r>
        <w:rPr>
          <w:rFonts w:hint="eastAsia" w:ascii="仿宋" w:hAnsi="仿宋" w:eastAsia="仿宋"/>
          <w:color w:val="auto"/>
          <w:sz w:val="24"/>
          <w:highlight w:val="none"/>
        </w:rPr>
        <w:t>，小微企业合同金额应当达到</w:t>
      </w:r>
      <w:r>
        <w:rPr>
          <w:rFonts w:ascii="仿宋" w:hAnsi="仿宋" w:eastAsia="仿宋"/>
          <w:color w:val="auto"/>
          <w:sz w:val="24"/>
          <w:highlight w:val="none"/>
          <w:u w:val="single"/>
        </w:rPr>
        <w:t xml:space="preserve"> </w:t>
      </w:r>
      <w:r>
        <w:rPr>
          <w:rFonts w:ascii="仿宋" w:hAnsi="仿宋" w:eastAsia="仿宋"/>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spacing w:line="360" w:lineRule="auto"/>
        <w:ind w:firstLine="512" w:firstLineChars="200"/>
        <w:rPr>
          <w:rFonts w:ascii="仿宋" w:hAnsi="仿宋" w:eastAsia="仿宋" w:cs="宋体"/>
          <w:color w:val="auto"/>
          <w:spacing w:val="8"/>
          <w:kern w:val="0"/>
          <w:sz w:val="24"/>
          <w:highlight w:val="none"/>
        </w:rPr>
      </w:pPr>
      <w:r>
        <w:rPr>
          <w:rFonts w:hint="eastAsia" w:ascii="仿宋" w:hAnsi="仿宋" w:eastAsia="仿宋" w:cs="宋体"/>
          <w:color w:val="auto"/>
          <w:spacing w:val="8"/>
          <w:kern w:val="0"/>
          <w:sz w:val="24"/>
          <w:highlight w:val="none"/>
        </w:rPr>
        <w:t>3.本项目的特定资格要求：无；</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4.</w:t>
      </w:r>
      <w:r>
        <w:rPr>
          <w:rFonts w:hint="eastAsia" w:ascii="仿宋" w:hAnsi="仿宋" w:eastAsia="仿宋"/>
          <w:color w:val="auto"/>
          <w:sz w:val="24"/>
          <w:highlight w:val="none"/>
        </w:rPr>
        <w:t>单位负责人为同一人或者存在直接控股、管理关系的不同供应商，不得参加同一合同项下的政府采购活动；</w:t>
      </w:r>
      <w:r>
        <w:rPr>
          <w:rFonts w:ascii="仿宋" w:hAnsi="仿宋" w:eastAsia="仿宋" w:cs="仿宋_GB2312"/>
          <w:color w:val="auto"/>
          <w:sz w:val="24"/>
          <w:highlight w:val="none"/>
        </w:rPr>
        <w:t>为采购项目提供整体设计、规范编制或者项目管理、监理、检测等服务后</w:t>
      </w:r>
      <w:r>
        <w:rPr>
          <w:rFonts w:hint="eastAsia" w:ascii="仿宋" w:hAnsi="仿宋" w:eastAsia="仿宋" w:cs="仿宋_GB2312"/>
          <w:color w:val="auto"/>
          <w:sz w:val="24"/>
          <w:highlight w:val="none"/>
        </w:rPr>
        <w:t>不得</w:t>
      </w:r>
      <w:r>
        <w:rPr>
          <w:rFonts w:ascii="仿宋" w:hAnsi="仿宋" w:eastAsia="仿宋" w:cs="仿宋_GB2312"/>
          <w:color w:val="auto"/>
          <w:sz w:val="24"/>
          <w:highlight w:val="none"/>
        </w:rPr>
        <w:t>再参加该采购项目的其他采购活动。</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三、获取招标文件</w:t>
      </w:r>
      <w:r>
        <w:rPr>
          <w:rFonts w:ascii="仿宋" w:hAnsi="仿宋" w:eastAsia="仿宋"/>
          <w:b/>
          <w:color w:val="auto"/>
          <w:sz w:val="24"/>
          <w:highlight w:val="none"/>
        </w:rPr>
        <w:t xml:space="preserve">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时间：</w:t>
      </w:r>
      <w:r>
        <w:rPr>
          <w:rFonts w:ascii="仿宋" w:hAnsi="仿宋" w:eastAsia="仿宋"/>
          <w:color w:val="auto"/>
          <w:sz w:val="24"/>
          <w:highlight w:val="none"/>
        </w:rPr>
        <w:t>/至</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w:t>
      </w:r>
      <w:r>
        <w:rPr>
          <w:rFonts w:hint="eastAsia" w:ascii="仿宋" w:hAnsi="仿宋" w:eastAsia="仿宋"/>
          <w:color w:val="auto"/>
          <w:sz w:val="24"/>
          <w:highlight w:val="none"/>
          <w:u w:val="single"/>
          <w:lang w:val="en-US" w:eastAsia="zh-CN"/>
        </w:rPr>
        <w:t>5</w:t>
      </w:r>
      <w:r>
        <w:rPr>
          <w:rFonts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9</w:t>
      </w:r>
      <w:r>
        <w:rPr>
          <w:rFonts w:ascii="仿宋" w:hAnsi="仿宋" w:eastAsia="仿宋"/>
          <w:color w:val="auto"/>
          <w:sz w:val="24"/>
          <w:highlight w:val="none"/>
          <w:u w:val="single"/>
        </w:rPr>
        <w:t>日</w:t>
      </w:r>
      <w:r>
        <w:rPr>
          <w:rFonts w:hint="eastAsia" w:ascii="仿宋" w:hAnsi="仿宋" w:eastAsia="仿宋"/>
          <w:color w:val="auto"/>
          <w:sz w:val="24"/>
          <w:highlight w:val="none"/>
        </w:rPr>
        <w:t>，每天上午</w:t>
      </w:r>
      <w:r>
        <w:rPr>
          <w:rFonts w:ascii="仿宋" w:hAnsi="仿宋" w:eastAsia="仿宋"/>
          <w:color w:val="auto"/>
          <w:sz w:val="24"/>
          <w:highlight w:val="none"/>
        </w:rPr>
        <w:t xml:space="preserve">00:00至12:00 </w:t>
      </w:r>
      <w:r>
        <w:rPr>
          <w:rFonts w:hint="eastAsia" w:ascii="仿宋" w:hAnsi="仿宋" w:eastAsia="仿宋"/>
          <w:color w:val="auto"/>
          <w:sz w:val="24"/>
          <w:highlight w:val="none"/>
        </w:rPr>
        <w:t>，下午</w:t>
      </w:r>
      <w:r>
        <w:rPr>
          <w:rFonts w:ascii="仿宋" w:hAnsi="仿宋" w:eastAsia="仿宋"/>
          <w:color w:val="auto"/>
          <w:sz w:val="24"/>
          <w:highlight w:val="none"/>
        </w:rPr>
        <w:t>12:00至23:59（北京时间，线上获取法定节假日均可，线下获取文件法定节假日除外）</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方式：</w:t>
      </w:r>
      <w:r>
        <w:rPr>
          <w:rFonts w:hint="eastAsia" w:ascii="仿宋" w:hAnsi="仿宋" w:eastAsia="仿宋"/>
          <w:color w:val="auto"/>
          <w:sz w:val="24"/>
          <w:highlight w:val="none"/>
        </w:rPr>
        <w:t>供应商登录政采云平台</w:t>
      </w:r>
      <w:r>
        <w:rPr>
          <w:rFonts w:ascii="仿宋" w:hAnsi="仿宋" w:eastAsia="仿宋"/>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售价（元）：</w:t>
      </w:r>
      <w:r>
        <w:rPr>
          <w:rFonts w:ascii="仿宋" w:hAnsi="仿宋" w:eastAsia="仿宋"/>
          <w:color w:val="auto"/>
          <w:sz w:val="24"/>
          <w:highlight w:val="none"/>
        </w:rPr>
        <w:t xml:space="preserve">0 </w:t>
      </w:r>
      <w:r>
        <w:rPr>
          <w:rFonts w:ascii="仿宋" w:hAnsi="仿宋" w:eastAsia="仿宋"/>
          <w:color w:val="auto"/>
          <w:sz w:val="24"/>
          <w:highlight w:val="none"/>
        </w:rPr>
        <w:tab/>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四、提交投标文件截止时间、开标时间和地点</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提交投标文件截止时间：</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w:t>
      </w:r>
      <w:r>
        <w:rPr>
          <w:rFonts w:hint="eastAsia" w:ascii="仿宋" w:hAnsi="仿宋" w:eastAsia="仿宋"/>
          <w:color w:val="auto"/>
          <w:sz w:val="24"/>
          <w:highlight w:val="none"/>
          <w:u w:val="single"/>
          <w:lang w:val="en-US" w:eastAsia="zh-CN"/>
        </w:rPr>
        <w:t>5</w:t>
      </w:r>
      <w:r>
        <w:rPr>
          <w:rFonts w:hint="eastAsia"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9</w:t>
      </w:r>
      <w:r>
        <w:rPr>
          <w:rFonts w:hint="eastAsia" w:ascii="仿宋" w:hAnsi="仿宋" w:eastAsia="仿宋"/>
          <w:color w:val="auto"/>
          <w:sz w:val="24"/>
          <w:highlight w:val="none"/>
          <w:u w:val="single"/>
        </w:rPr>
        <w:t>日1</w:t>
      </w:r>
      <w:r>
        <w:rPr>
          <w:rFonts w:hint="eastAsia" w:ascii="仿宋" w:hAnsi="仿宋" w:eastAsia="仿宋"/>
          <w:color w:val="auto"/>
          <w:sz w:val="24"/>
          <w:highlight w:val="none"/>
          <w:u w:val="single"/>
          <w:lang w:val="en-US" w:eastAsia="zh-CN"/>
        </w:rPr>
        <w:t>3</w:t>
      </w:r>
      <w:r>
        <w:rPr>
          <w:rFonts w:hint="eastAsia" w:ascii="仿宋" w:hAnsi="仿宋" w:eastAsia="仿宋"/>
          <w:color w:val="auto"/>
          <w:sz w:val="24"/>
          <w:highlight w:val="none"/>
          <w:u w:val="single"/>
        </w:rPr>
        <w:t>点</w:t>
      </w:r>
      <w:r>
        <w:rPr>
          <w:rFonts w:hint="eastAsia" w:ascii="仿宋" w:hAnsi="仿宋" w:eastAsia="仿宋"/>
          <w:color w:val="auto"/>
          <w:sz w:val="24"/>
          <w:highlight w:val="none"/>
          <w:u w:val="single"/>
          <w:lang w:val="en-US" w:eastAsia="zh-CN"/>
        </w:rPr>
        <w:t>3</w:t>
      </w:r>
      <w:r>
        <w:rPr>
          <w:rFonts w:hint="eastAsia" w:ascii="仿宋" w:hAnsi="仿宋" w:eastAsia="仿宋"/>
          <w:color w:val="auto"/>
          <w:sz w:val="24"/>
          <w:highlight w:val="none"/>
          <w:u w:val="single"/>
        </w:rPr>
        <w:t>0分</w:t>
      </w:r>
      <w:r>
        <w:rPr>
          <w:rFonts w:hint="eastAsia" w:ascii="仿宋" w:hAnsi="仿宋" w:eastAsia="仿宋"/>
          <w:bCs/>
          <w:color w:val="auto"/>
          <w:sz w:val="24"/>
          <w:highlight w:val="none"/>
          <w:u w:val="single"/>
        </w:rPr>
        <w:t xml:space="preserve"> </w:t>
      </w:r>
      <w:r>
        <w:rPr>
          <w:rFonts w:hint="eastAsia" w:ascii="仿宋" w:hAnsi="仿宋" w:eastAsia="仿宋"/>
          <w:color w:val="auto"/>
          <w:sz w:val="24"/>
          <w:highlight w:val="none"/>
        </w:rPr>
        <w:t>（北京时间）</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pacing w:line="360" w:lineRule="auto"/>
        <w:ind w:firstLine="482" w:firstLineChars="200"/>
        <w:rPr>
          <w:rFonts w:ascii="仿宋" w:hAnsi="仿宋" w:eastAsia="仿宋"/>
          <w:bCs/>
          <w:color w:val="auto"/>
          <w:sz w:val="24"/>
          <w:highlight w:val="none"/>
          <w:u w:val="single"/>
        </w:rPr>
      </w:pPr>
      <w:r>
        <w:rPr>
          <w:rFonts w:hint="eastAsia" w:ascii="仿宋" w:hAnsi="仿宋" w:eastAsia="仿宋"/>
          <w:b/>
          <w:color w:val="auto"/>
          <w:sz w:val="24"/>
          <w:highlight w:val="none"/>
        </w:rPr>
        <w:t>开标时间：</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w:t>
      </w:r>
      <w:r>
        <w:rPr>
          <w:rFonts w:hint="eastAsia" w:ascii="仿宋" w:hAnsi="仿宋" w:eastAsia="仿宋"/>
          <w:color w:val="auto"/>
          <w:sz w:val="24"/>
          <w:highlight w:val="none"/>
          <w:u w:val="single"/>
          <w:lang w:val="en-US" w:eastAsia="zh-CN"/>
        </w:rPr>
        <w:t>5</w:t>
      </w:r>
      <w:r>
        <w:rPr>
          <w:rFonts w:hint="eastAsia"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9</w:t>
      </w:r>
      <w:r>
        <w:rPr>
          <w:rFonts w:hint="eastAsia" w:ascii="仿宋" w:hAnsi="仿宋" w:eastAsia="仿宋"/>
          <w:color w:val="auto"/>
          <w:sz w:val="24"/>
          <w:highlight w:val="none"/>
          <w:u w:val="single"/>
        </w:rPr>
        <w:t>日1</w:t>
      </w:r>
      <w:r>
        <w:rPr>
          <w:rFonts w:hint="eastAsia" w:ascii="仿宋" w:hAnsi="仿宋" w:eastAsia="仿宋"/>
          <w:color w:val="auto"/>
          <w:sz w:val="24"/>
          <w:highlight w:val="none"/>
          <w:u w:val="single"/>
          <w:lang w:val="en-US" w:eastAsia="zh-CN"/>
        </w:rPr>
        <w:t>3</w:t>
      </w:r>
      <w:r>
        <w:rPr>
          <w:rFonts w:hint="eastAsia" w:ascii="仿宋" w:hAnsi="仿宋" w:eastAsia="仿宋"/>
          <w:color w:val="auto"/>
          <w:sz w:val="24"/>
          <w:highlight w:val="none"/>
          <w:u w:val="single"/>
        </w:rPr>
        <w:t>点</w:t>
      </w:r>
      <w:r>
        <w:rPr>
          <w:rFonts w:hint="eastAsia" w:ascii="仿宋" w:hAnsi="仿宋" w:eastAsia="仿宋"/>
          <w:color w:val="auto"/>
          <w:sz w:val="24"/>
          <w:highlight w:val="none"/>
          <w:u w:val="single"/>
          <w:lang w:val="en-US" w:eastAsia="zh-CN"/>
        </w:rPr>
        <w:t>3</w:t>
      </w:r>
      <w:r>
        <w:rPr>
          <w:rFonts w:hint="eastAsia" w:ascii="仿宋" w:hAnsi="仿宋" w:eastAsia="仿宋"/>
          <w:color w:val="auto"/>
          <w:sz w:val="24"/>
          <w:highlight w:val="none"/>
          <w:u w:val="single"/>
        </w:rPr>
        <w:t>0分</w:t>
      </w:r>
      <w:r>
        <w:rPr>
          <w:rFonts w:hint="eastAsia" w:ascii="仿宋" w:hAnsi="仿宋" w:eastAsia="仿宋"/>
          <w:bCs/>
          <w:color w:val="auto"/>
          <w:sz w:val="24"/>
          <w:highlight w:val="none"/>
          <w:u w:val="single"/>
        </w:rPr>
        <w:t xml:space="preserve">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开标地点（网址）：</w:t>
      </w:r>
      <w:r>
        <w:rPr>
          <w:rFonts w:ascii="仿宋" w:hAnsi="仿宋" w:eastAsia="仿宋"/>
          <w:color w:val="auto"/>
          <w:sz w:val="24"/>
          <w:highlight w:val="none"/>
        </w:rPr>
        <w:t>政</w:t>
      </w:r>
      <w:r>
        <w:rPr>
          <w:rFonts w:hint="eastAsia" w:ascii="仿宋" w:hAnsi="仿宋" w:eastAsia="仿宋"/>
          <w:color w:val="auto"/>
          <w:sz w:val="24"/>
          <w:highlight w:val="none"/>
        </w:rPr>
        <w:t>采云平台（</w:t>
      </w:r>
      <w:r>
        <w:rPr>
          <w:rFonts w:ascii="仿宋" w:hAnsi="仿宋" w:eastAsia="仿宋"/>
          <w:color w:val="auto"/>
          <w:sz w:val="24"/>
          <w:highlight w:val="none"/>
        </w:rPr>
        <w:t>https://www.zcygov.cn/）</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五、公告期限</w:t>
      </w:r>
      <w:r>
        <w:rPr>
          <w:rFonts w:ascii="仿宋" w:hAnsi="仿宋" w:eastAsia="仿宋"/>
          <w:b/>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自本公告发布之日起</w:t>
      </w:r>
      <w:r>
        <w:rPr>
          <w:rFonts w:ascii="仿宋" w:hAnsi="仿宋" w:eastAsia="仿宋"/>
          <w:color w:val="auto"/>
          <w:sz w:val="24"/>
          <w:highlight w:val="none"/>
        </w:rPr>
        <w:t>5个工作日。</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六、其他补充事宜</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4.其他事项：（1）需要落实的政府采购政策：包括节约资源、保护环境、支持创新、促进中小企业发展等。详见招标文件的第二部分总则。（2）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w:t>
      </w:r>
      <w:r>
        <w:rPr>
          <w:rFonts w:hint="eastAsia" w:ascii="仿宋_GB2312" w:hAnsi="仿宋" w:eastAsia="仿宋_GB2312"/>
          <w:color w:val="auto"/>
          <w:sz w:val="24"/>
          <w:highlight w:val="none"/>
        </w:rPr>
        <w:t>代理</w:t>
      </w:r>
      <w:r>
        <w:rPr>
          <w:rFonts w:ascii="仿宋_GB2312" w:hAnsi="仿宋" w:eastAsia="仿宋_GB2312"/>
          <w:color w:val="auto"/>
          <w:sz w:val="24"/>
          <w:highlight w:val="none"/>
        </w:rPr>
        <w:t>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七、对本次采购提出询问、质疑、投诉，请按以下方式联系</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1.采购人信息</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名    称：</w:t>
      </w:r>
      <w:r>
        <w:rPr>
          <w:rFonts w:hint="eastAsia" w:ascii="仿宋" w:hAnsi="仿宋" w:eastAsia="仿宋"/>
          <w:color w:val="auto"/>
          <w:sz w:val="24"/>
          <w:highlight w:val="none"/>
        </w:rPr>
        <w:t>浙江交通职业技术学院</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地    址：</w:t>
      </w:r>
      <w:r>
        <w:rPr>
          <w:rFonts w:hint="eastAsia" w:ascii="仿宋" w:hAnsi="仿宋" w:eastAsia="仿宋"/>
          <w:color w:val="auto"/>
          <w:sz w:val="24"/>
          <w:highlight w:val="none"/>
        </w:rPr>
        <w:t>杭州市余杭区古墩路151</w:t>
      </w:r>
      <w:r>
        <w:rPr>
          <w:rFonts w:ascii="仿宋" w:hAnsi="仿宋" w:eastAsia="仿宋"/>
          <w:color w:val="auto"/>
          <w:sz w:val="24"/>
          <w:highlight w:val="none"/>
        </w:rPr>
        <w:t>6</w:t>
      </w:r>
      <w:r>
        <w:rPr>
          <w:rFonts w:hint="eastAsia" w:ascii="仿宋" w:hAnsi="仿宋" w:eastAsia="仿宋"/>
          <w:color w:val="auto"/>
          <w:sz w:val="24"/>
          <w:highlight w:val="none"/>
        </w:rPr>
        <w:t>号</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传</w:t>
      </w:r>
      <w:r>
        <w:rPr>
          <w:rFonts w:ascii="仿宋" w:hAnsi="仿宋" w:eastAsia="仿宋"/>
          <w:color w:val="auto"/>
          <w:sz w:val="24"/>
          <w:highlight w:val="none"/>
        </w:rPr>
        <w:t xml:space="preserve">    真：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项目联系人（询问）： 杨志平</w:t>
      </w:r>
    </w:p>
    <w:p>
      <w:pPr>
        <w:spacing w:line="360" w:lineRule="auto"/>
        <w:ind w:firstLine="480"/>
        <w:rPr>
          <w:rFonts w:ascii="仿宋" w:hAnsi="仿宋" w:eastAsia="仿宋"/>
          <w:color w:val="auto"/>
          <w:sz w:val="24"/>
          <w:highlight w:val="none"/>
        </w:rPr>
      </w:pPr>
      <w:r>
        <w:rPr>
          <w:rFonts w:ascii="仿宋" w:hAnsi="仿宋" w:eastAsia="仿宋"/>
          <w:color w:val="auto"/>
          <w:sz w:val="24"/>
          <w:highlight w:val="none"/>
        </w:rPr>
        <w:t>项目联系方式（询问）：</w:t>
      </w:r>
      <w:r>
        <w:rPr>
          <w:rFonts w:hint="eastAsia" w:ascii="仿宋" w:hAnsi="仿宋" w:eastAsia="仿宋"/>
          <w:color w:val="auto"/>
          <w:sz w:val="24"/>
          <w:highlight w:val="none"/>
        </w:rPr>
        <w:t>18969133219</w:t>
      </w:r>
    </w:p>
    <w:p>
      <w:pPr>
        <w:spacing w:line="360" w:lineRule="auto"/>
        <w:ind w:firstLine="480"/>
        <w:rPr>
          <w:rFonts w:ascii="仿宋" w:hAnsi="仿宋" w:eastAsia="仿宋"/>
          <w:color w:val="auto"/>
          <w:sz w:val="24"/>
          <w:highlight w:val="none"/>
        </w:rPr>
      </w:pPr>
      <w:r>
        <w:rPr>
          <w:rFonts w:ascii="仿宋" w:hAnsi="仿宋" w:eastAsia="仿宋"/>
          <w:color w:val="auto"/>
          <w:sz w:val="24"/>
          <w:highlight w:val="none"/>
        </w:rPr>
        <w:t>质疑联系人：</w:t>
      </w:r>
      <w:r>
        <w:rPr>
          <w:rFonts w:hint="eastAsia" w:ascii="仿宋" w:hAnsi="仿宋" w:eastAsia="仿宋"/>
          <w:color w:val="auto"/>
          <w:sz w:val="24"/>
          <w:highlight w:val="none"/>
        </w:rPr>
        <w:t>梁老师</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质疑联系方式：</w:t>
      </w:r>
      <w:r>
        <w:rPr>
          <w:rFonts w:hint="eastAsia" w:ascii="仿宋" w:hAnsi="仿宋" w:eastAsia="仿宋"/>
          <w:color w:val="auto"/>
          <w:sz w:val="24"/>
          <w:highlight w:val="none"/>
        </w:rPr>
        <w:t>0571-88481917</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2.采购代理机构信息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名</w:t>
      </w:r>
      <w:r>
        <w:rPr>
          <w:rFonts w:ascii="仿宋" w:hAnsi="仿宋" w:eastAsia="仿宋"/>
          <w:color w:val="auto"/>
          <w:sz w:val="24"/>
          <w:highlight w:val="none"/>
        </w:rPr>
        <w:t xml:space="preserve">    </w:t>
      </w:r>
      <w:r>
        <w:rPr>
          <w:rFonts w:hint="eastAsia" w:ascii="仿宋" w:hAnsi="仿宋" w:eastAsia="仿宋"/>
          <w:color w:val="auto"/>
          <w:sz w:val="24"/>
          <w:highlight w:val="none"/>
        </w:rPr>
        <w:t>称：杭州博实招标代理有限公司</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 xml:space="preserve">址：杭州市西湖区振华路200号瑞鼎大厦B座606室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w:t>
      </w:r>
      <w:r>
        <w:rPr>
          <w:rFonts w:ascii="仿宋" w:hAnsi="仿宋" w:eastAsia="仿宋"/>
          <w:color w:val="auto"/>
          <w:sz w:val="24"/>
          <w:highlight w:val="none"/>
        </w:rPr>
        <w:t xml:space="preserve">   传    真：/             </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项目联系人（询问）：</w:t>
      </w:r>
      <w:r>
        <w:rPr>
          <w:rFonts w:hint="eastAsia" w:ascii="仿宋" w:hAnsi="仿宋" w:eastAsia="仿宋"/>
          <w:color w:val="auto"/>
          <w:sz w:val="24"/>
          <w:highlight w:val="none"/>
        </w:rPr>
        <w:t xml:space="preserve"> 刘春萍</w:t>
      </w:r>
      <w:r>
        <w:rPr>
          <w:rFonts w:ascii="仿宋" w:hAnsi="仿宋" w:eastAsia="仿宋"/>
          <w:color w:val="auto"/>
          <w:sz w:val="24"/>
          <w:highlight w:val="none"/>
        </w:rPr>
        <w:t xml:space="preserve">       </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项目联系方式（询问）：</w:t>
      </w:r>
      <w:r>
        <w:rPr>
          <w:rFonts w:hint="eastAsia" w:ascii="仿宋" w:hAnsi="仿宋" w:eastAsia="仿宋"/>
          <w:color w:val="auto"/>
          <w:sz w:val="24"/>
          <w:highlight w:val="none"/>
        </w:rPr>
        <w:t>0571-56828685</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质疑联系人：</w:t>
      </w:r>
      <w:r>
        <w:rPr>
          <w:rFonts w:hint="eastAsia" w:ascii="仿宋" w:hAnsi="仿宋" w:eastAsia="仿宋"/>
          <w:color w:val="auto"/>
          <w:sz w:val="24"/>
          <w:highlight w:val="none"/>
        </w:rPr>
        <w:t xml:space="preserve"> 潘树鸣 </w:t>
      </w:r>
      <w:r>
        <w:rPr>
          <w:rFonts w:ascii="仿宋" w:hAnsi="仿宋" w:eastAsia="仿宋"/>
          <w:color w:val="auto"/>
          <w:sz w:val="24"/>
          <w:highlight w:val="none"/>
        </w:rPr>
        <w:t xml:space="preserve">            </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质疑联系方式：</w:t>
      </w:r>
      <w:r>
        <w:rPr>
          <w:rFonts w:hint="eastAsia" w:ascii="仿宋" w:hAnsi="仿宋" w:eastAsia="仿宋"/>
          <w:color w:val="auto"/>
          <w:sz w:val="24"/>
          <w:highlight w:val="none"/>
        </w:rPr>
        <w:t>0571-87916090</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3.同级政府采购监督管理部门            </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w:t>
      </w:r>
      <w:r>
        <w:rPr>
          <w:rFonts w:hint="eastAsia" w:ascii="仿宋" w:hAnsi="仿宋" w:eastAsia="仿宋"/>
          <w:color w:val="auto"/>
          <w:sz w:val="24"/>
          <w:highlight w:val="none"/>
        </w:rPr>
        <w:t>名    称：浙江省财政厅政府采购监管处</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地    址：杭州市环城西路37号</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 xml:space="preserve">传    真： </w:t>
      </w:r>
      <w:r>
        <w:rPr>
          <w:rFonts w:ascii="仿宋" w:hAnsi="仿宋" w:eastAsia="仿宋"/>
          <w:color w:val="auto"/>
          <w:sz w:val="24"/>
          <w:highlight w:val="none"/>
        </w:rPr>
        <w:t>/</w:t>
      </w:r>
      <w:r>
        <w:rPr>
          <w:rFonts w:hint="eastAsia" w:ascii="仿宋" w:hAnsi="仿宋" w:eastAsia="仿宋"/>
          <w:color w:val="auto"/>
          <w:sz w:val="24"/>
          <w:highlight w:val="none"/>
        </w:rPr>
        <w:t xml:space="preserve"> </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联 系 人： 倪文良  吴聪瑜</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 xml:space="preserve">监督投诉电话：0571-87057615、87058489     </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若对项目采购电子交易系统操作有疑问，可登录政采云（</w:t>
      </w:r>
      <w:r>
        <w:rPr>
          <w:rFonts w:ascii="仿宋" w:hAnsi="仿宋" w:eastAsia="仿宋"/>
          <w:color w:val="auto"/>
          <w:sz w:val="24"/>
          <w:highlight w:val="none"/>
        </w:rPr>
        <w:t>https://www.zcygov.cn/），点击右侧咨询小采，获取采小蜜智能服务管家帮助，或拨打政</w:t>
      </w:r>
      <w:r>
        <w:rPr>
          <w:rFonts w:hint="eastAsia" w:ascii="仿宋" w:hAnsi="仿宋" w:eastAsia="仿宋"/>
          <w:color w:val="auto"/>
          <w:sz w:val="24"/>
          <w:highlight w:val="none"/>
        </w:rPr>
        <w:t>采云服务热线</w:t>
      </w:r>
      <w:r>
        <w:rPr>
          <w:rFonts w:ascii="仿宋" w:hAnsi="仿宋" w:eastAsia="仿宋"/>
          <w:color w:val="auto"/>
          <w:sz w:val="24"/>
          <w:highlight w:val="none"/>
        </w:rPr>
        <w:t>400-881-7190获取热线服务帮助。</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CA问题联系电话（人工）：</w:t>
      </w:r>
      <w:r>
        <w:rPr>
          <w:rFonts w:hint="eastAsia" w:ascii="仿宋" w:hAnsi="仿宋" w:eastAsia="仿宋"/>
          <w:color w:val="auto"/>
          <w:sz w:val="24"/>
          <w:highlight w:val="none"/>
        </w:rPr>
        <w:t>汇信</w:t>
      </w:r>
      <w:r>
        <w:rPr>
          <w:rFonts w:ascii="仿宋" w:hAnsi="仿宋" w:eastAsia="仿宋"/>
          <w:color w:val="auto"/>
          <w:sz w:val="24"/>
          <w:highlight w:val="none"/>
        </w:rPr>
        <w:t>CA 400-888-4636；天谷CA 400-087-8198。</w:t>
      </w:r>
    </w:p>
    <w:p>
      <w:pPr>
        <w:pStyle w:val="33"/>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63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71"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63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_GB2312"/>
                <w:color w:val="auto"/>
                <w:kern w:val="0"/>
                <w:sz w:val="24"/>
                <w:highlight w:val="none"/>
                <w:lang w:val="zh-CN"/>
              </w:rPr>
            </w:pPr>
            <w:r>
              <w:rPr>
                <w:rFonts w:hint="eastAsia" w:ascii="仿宋" w:hAnsi="仿宋" w:eastAsia="仿宋"/>
                <w:color w:val="auto"/>
                <w:kern w:val="0"/>
                <w:sz w:val="24"/>
                <w:highlight w:val="none"/>
                <w:lang w:val="zh-CN"/>
              </w:rPr>
              <w:t>有关本项目实施所需的所有费用（含税费）均计入报价。</w:t>
            </w:r>
            <w:r>
              <w:rPr>
                <w:rFonts w:hint="eastAsia" w:ascii="仿宋" w:hAnsi="仿宋" w:eastAsia="仿宋" w:cs="仿宋_GB2312"/>
                <w:color w:val="auto"/>
                <w:sz w:val="24"/>
                <w:highlight w:val="none"/>
              </w:rPr>
              <w:t>开标一览表（报价表）</w:t>
            </w:r>
            <w:r>
              <w:rPr>
                <w:rFonts w:hint="eastAsia" w:ascii="仿宋" w:hAnsi="仿宋" w:eastAsia="仿宋"/>
                <w:color w:val="auto"/>
                <w:sz w:val="24"/>
                <w:highlight w:val="none"/>
              </w:rPr>
              <w:t>是报价的唯一载体</w:t>
            </w:r>
            <w:r>
              <w:rPr>
                <w:rFonts w:hint="eastAsia" w:ascii="仿宋" w:hAnsi="仿宋" w:eastAsia="仿宋" w:cs="仿宋_GB2312"/>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仿宋" w:hAnsi="仿宋" w:eastAsia="仿宋" w:cs="仿宋_GB2312"/>
                <w:b/>
                <w:bCs/>
                <w:color w:val="auto"/>
                <w:sz w:val="24"/>
                <w:highlight w:val="none"/>
                <w:lang w:val="zh-CN"/>
              </w:rPr>
            </w:pPr>
            <w:r>
              <w:rPr>
                <w:rFonts w:hint="eastAsia" w:ascii="仿宋" w:hAnsi="仿宋" w:eastAsia="仿宋" w:cs="仿宋_GB2312"/>
                <w:b/>
                <w:bCs/>
                <w:color w:val="auto"/>
                <w:sz w:val="24"/>
                <w:highlight w:val="none"/>
                <w:lang w:val="zh-CN"/>
              </w:rPr>
              <w:t>投标报价出现下列情形的，投标无效：</w:t>
            </w:r>
          </w:p>
          <w:p>
            <w:pPr>
              <w:snapToGrid w:val="0"/>
              <w:spacing w:line="360" w:lineRule="auto"/>
              <w:jc w:val="left"/>
              <w:rPr>
                <w:rFonts w:ascii="仿宋" w:hAnsi="仿宋" w:eastAsia="仿宋" w:cs="仿宋_GB2312"/>
                <w:b/>
                <w:bCs/>
                <w:color w:val="auto"/>
                <w:sz w:val="24"/>
                <w:highlight w:val="none"/>
                <w:lang w:val="zh-CN"/>
              </w:rPr>
            </w:pPr>
            <w:r>
              <w:rPr>
                <w:rFonts w:hint="eastAsia" w:ascii="仿宋" w:hAnsi="仿宋" w:eastAsia="仿宋" w:cs="仿宋_GB2312"/>
                <w:b/>
                <w:bCs/>
                <w:color w:val="auto"/>
                <w:sz w:val="24"/>
                <w:highlight w:val="none"/>
                <w:lang w:val="zh-CN"/>
              </w:rPr>
              <w:t>(</w:t>
            </w:r>
            <w:r>
              <w:rPr>
                <w:rFonts w:hint="eastAsia" w:ascii="仿宋" w:hAnsi="仿宋" w:eastAsia="仿宋" w:cs="仿宋_GB2312"/>
                <w:b/>
                <w:bCs/>
                <w:color w:val="auto"/>
                <w:sz w:val="24"/>
                <w:highlight w:val="none"/>
                <w:lang w:val="en-US" w:eastAsia="zh-CN"/>
              </w:rPr>
              <w:t>1</w:t>
            </w:r>
            <w:r>
              <w:rPr>
                <w:rFonts w:hint="eastAsia" w:ascii="仿宋" w:hAnsi="仿宋" w:eastAsia="仿宋" w:cs="仿宋_GB2312"/>
                <w:b/>
                <w:bCs/>
                <w:color w:val="auto"/>
                <w:sz w:val="24"/>
                <w:highlight w:val="none"/>
                <w:lang w:val="zh-CN"/>
              </w:rPr>
              <w:t>)投标文件出现不是唯一的、有选择性投标报价的；</w:t>
            </w:r>
          </w:p>
          <w:p>
            <w:pPr>
              <w:snapToGrid w:val="0"/>
              <w:spacing w:line="360" w:lineRule="auto"/>
              <w:jc w:val="left"/>
              <w:rPr>
                <w:rFonts w:ascii="仿宋" w:hAnsi="仿宋" w:eastAsia="仿宋" w:cs="仿宋_GB2312"/>
                <w:b/>
                <w:bCs/>
                <w:color w:val="auto"/>
                <w:sz w:val="24"/>
                <w:highlight w:val="none"/>
                <w:lang w:val="zh-CN"/>
              </w:rPr>
            </w:pPr>
            <w:r>
              <w:rPr>
                <w:rFonts w:hint="eastAsia" w:ascii="仿宋" w:hAnsi="仿宋" w:eastAsia="仿宋" w:cs="仿宋_GB2312"/>
                <w:b/>
                <w:bCs/>
                <w:color w:val="auto"/>
                <w:sz w:val="24"/>
                <w:highlight w:val="none"/>
                <w:lang w:val="zh-CN"/>
              </w:rPr>
              <w:t>(</w:t>
            </w:r>
            <w:r>
              <w:rPr>
                <w:rFonts w:hint="eastAsia" w:ascii="仿宋" w:hAnsi="仿宋" w:eastAsia="仿宋" w:cs="仿宋_GB2312"/>
                <w:b/>
                <w:bCs/>
                <w:color w:val="auto"/>
                <w:sz w:val="24"/>
                <w:highlight w:val="none"/>
                <w:lang w:val="en-US" w:eastAsia="zh-CN"/>
              </w:rPr>
              <w:t>2</w:t>
            </w:r>
            <w:r>
              <w:rPr>
                <w:rFonts w:hint="eastAsia" w:ascii="仿宋" w:hAnsi="仿宋" w:eastAsia="仿宋" w:cs="仿宋_GB2312"/>
                <w:b/>
                <w:bCs/>
                <w:color w:val="auto"/>
                <w:sz w:val="24"/>
                <w:highlight w:val="none"/>
                <w:lang w:val="zh-CN"/>
              </w:rPr>
              <w:t>)投标报价超过招标文件中规定的预算金额或者最高限价的;</w:t>
            </w:r>
          </w:p>
          <w:p>
            <w:pPr>
              <w:snapToGrid w:val="0"/>
              <w:spacing w:line="360" w:lineRule="auto"/>
              <w:jc w:val="left"/>
              <w:rPr>
                <w:rFonts w:ascii="仿宋" w:hAnsi="仿宋" w:eastAsia="仿宋" w:cs="仿宋_GB2312"/>
                <w:b/>
                <w:bCs/>
                <w:color w:val="auto"/>
                <w:sz w:val="24"/>
                <w:highlight w:val="none"/>
              </w:rPr>
            </w:pPr>
            <w:r>
              <w:rPr>
                <w:rFonts w:hint="eastAsia" w:ascii="仿宋" w:hAnsi="仿宋" w:eastAsia="仿宋" w:cs="仿宋_GB2312"/>
                <w:b/>
                <w:bCs/>
                <w:color w:val="auto"/>
                <w:sz w:val="24"/>
                <w:highlight w:val="none"/>
                <w:lang w:val="zh-CN"/>
              </w:rPr>
              <w:t>(</w:t>
            </w:r>
            <w:r>
              <w:rPr>
                <w:rFonts w:hint="eastAsia" w:ascii="仿宋" w:hAnsi="仿宋" w:eastAsia="仿宋" w:cs="仿宋_GB2312"/>
                <w:b/>
                <w:bCs/>
                <w:color w:val="auto"/>
                <w:sz w:val="24"/>
                <w:highlight w:val="none"/>
                <w:lang w:val="en-US" w:eastAsia="zh-CN"/>
              </w:rPr>
              <w:t>3</w:t>
            </w:r>
            <w:r>
              <w:rPr>
                <w:rFonts w:hint="eastAsia" w:ascii="仿宋" w:hAnsi="仿宋" w:eastAsia="仿宋" w:cs="仿宋_GB2312"/>
                <w:b/>
                <w:bCs/>
                <w:color w:val="auto"/>
                <w:sz w:val="24"/>
                <w:highlight w:val="none"/>
                <w:lang w:val="zh-CN"/>
              </w:rPr>
              <w:t>)</w:t>
            </w:r>
            <w:r>
              <w:rPr>
                <w:rFonts w:hint="eastAsia" w:ascii="仿宋" w:hAnsi="仿宋" w:eastAsia="仿宋" w:cs="仿宋_GB2312"/>
                <w:b/>
                <w:bCs/>
                <w:color w:val="auto"/>
                <w:sz w:val="24"/>
                <w:highlight w:val="none"/>
              </w:rPr>
              <w:t>报价明显低于其他通过符合性审查投标人的报价，有可能影响产品质量或者不能诚信履约的，未能按要求提供书面说明或者提交相关证明材料证明其报价合理性的;</w:t>
            </w:r>
          </w:p>
          <w:p>
            <w:pPr>
              <w:snapToGrid w:val="0"/>
              <w:spacing w:line="360" w:lineRule="auto"/>
              <w:jc w:val="left"/>
              <w:rPr>
                <w:rFonts w:ascii="仿宋" w:hAnsi="仿宋" w:eastAsia="仿宋"/>
                <w:color w:val="auto"/>
                <w:sz w:val="24"/>
                <w:highlight w:val="none"/>
              </w:rPr>
            </w:pPr>
            <w:r>
              <w:rPr>
                <w:rFonts w:hint="eastAsia" w:ascii="仿宋" w:hAnsi="仿宋" w:eastAsia="仿宋" w:cs="仿宋_GB2312"/>
                <w:b/>
                <w:bCs/>
                <w:color w:val="auto"/>
                <w:sz w:val="24"/>
                <w:highlight w:val="none"/>
                <w:lang w:val="zh-CN"/>
              </w:rPr>
              <w:t>(</w:t>
            </w:r>
            <w:r>
              <w:rPr>
                <w:rFonts w:hint="eastAsia" w:ascii="仿宋" w:hAnsi="仿宋" w:eastAsia="仿宋" w:cs="仿宋_GB2312"/>
                <w:b/>
                <w:bCs/>
                <w:color w:val="auto"/>
                <w:sz w:val="24"/>
                <w:highlight w:val="none"/>
              </w:rPr>
              <w:t>4</w:t>
            </w:r>
            <w:r>
              <w:rPr>
                <w:rFonts w:hint="eastAsia" w:ascii="仿宋" w:hAnsi="仿宋" w:eastAsia="仿宋" w:cs="仿宋_GB2312"/>
                <w:b/>
                <w:bCs/>
                <w:color w:val="auto"/>
                <w:sz w:val="24"/>
                <w:highlight w:val="none"/>
                <w:lang w:val="zh-CN"/>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2"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分包</w:t>
            </w:r>
          </w:p>
        </w:tc>
        <w:tc>
          <w:tcPr>
            <w:tcW w:w="634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477286927"/>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s="Arial"/>
                <w:color w:val="auto"/>
                <w:kern w:val="0"/>
                <w:sz w:val="24"/>
                <w:highlight w:val="none"/>
              </w:rPr>
              <w:t xml:space="preserve"> A</w:t>
            </w:r>
            <w:r>
              <w:rPr>
                <w:rFonts w:hint="eastAsia" w:ascii="仿宋" w:hAnsi="仿宋" w:eastAsia="仿宋"/>
                <w:color w:val="auto"/>
                <w:sz w:val="24"/>
                <w:highlight w:val="none"/>
              </w:rPr>
              <w:t>同意将非主体、非关键性的</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工作分包。</w:t>
            </w:r>
          </w:p>
          <w:p>
            <w:pPr>
              <w:spacing w:line="360" w:lineRule="auto"/>
              <w:rPr>
                <w:rFonts w:ascii="仿宋" w:hAnsi="仿宋" w:eastAsia="仿宋" w:cs="仿宋_GB2312"/>
                <w:color w:val="auto"/>
                <w:sz w:val="24"/>
                <w:highlight w:val="none"/>
              </w:rPr>
            </w:pPr>
            <w:sdt>
              <w:sdtPr>
                <w:rPr>
                  <w:rFonts w:hint="eastAsia" w:ascii="仿宋" w:hAnsi="仿宋" w:eastAsia="仿宋" w:cs="Arial"/>
                  <w:color w:val="auto"/>
                  <w:kern w:val="0"/>
                  <w:sz w:val="24"/>
                  <w:highlight w:val="none"/>
                </w:rPr>
                <w:id w:val="-1276331357"/>
                <w14:checkbox>
                  <w14:checked w14:val="1"/>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r>
              <w:rPr>
                <w:rFonts w:ascii="仿宋" w:hAnsi="仿宋" w:eastAsia="仿宋" w:cs="Arial"/>
                <w:color w:val="auto"/>
                <w:kern w:val="0"/>
                <w:sz w:val="24"/>
                <w:highlight w:val="none"/>
              </w:rPr>
              <w:t xml:space="preserve"> B</w:t>
            </w:r>
            <w:r>
              <w:rPr>
                <w:rFonts w:hint="eastAsia" w:ascii="仿宋" w:hAnsi="仿宋" w:eastAsia="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投标人应当提供的资格、资信证明文件</w:t>
            </w:r>
          </w:p>
        </w:tc>
        <w:tc>
          <w:tcPr>
            <w:tcW w:w="634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1）资格证明文件：见招标文件第二部分11.1。</w:t>
            </w:r>
          </w:p>
          <w:p>
            <w:pPr>
              <w:spacing w:line="360" w:lineRule="auto"/>
              <w:rPr>
                <w:rFonts w:ascii="仿宋" w:hAnsi="仿宋" w:eastAsia="仿宋" w:cs="Arial"/>
                <w:snapToGrid w:val="0"/>
                <w:color w:val="auto"/>
                <w:kern w:val="0"/>
                <w:szCs w:val="21"/>
                <w:highlight w:val="none"/>
              </w:rPr>
            </w:pPr>
            <w:r>
              <w:rPr>
                <w:rFonts w:hint="eastAsia" w:ascii="仿宋" w:hAnsi="仿宋" w:eastAsia="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8" w:hRule="atLeast"/>
          <w:tblHeader/>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p>
        </w:tc>
        <w:tc>
          <w:tcPr>
            <w:tcW w:w="634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634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不组织。如有需要可与采购公告中采购人项目联系人联系，自行前往。</w:t>
            </w:r>
          </w:p>
          <w:p>
            <w:pPr>
              <w:spacing w:line="360" w:lineRule="auto"/>
              <w:rPr>
                <w:rFonts w:ascii="仿宋" w:hAnsi="仿宋" w:eastAsia="仿宋"/>
                <w:color w:val="auto"/>
                <w:sz w:val="24"/>
                <w:szCs w:val="20"/>
                <w:highlight w:val="none"/>
              </w:rPr>
            </w:pPr>
            <w:sdt>
              <w:sdtPr>
                <w:rPr>
                  <w:rFonts w:hint="eastAsia" w:ascii="仿宋" w:hAnsi="仿宋" w:eastAsia="仿宋" w:cs="Arial"/>
                  <w:color w:val="auto"/>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B组织，</w:t>
            </w:r>
            <w:r>
              <w:rPr>
                <w:rFonts w:hint="eastAsia" w:ascii="仿宋" w:hAnsi="仿宋" w:eastAsia="仿宋"/>
                <w:color w:val="auto"/>
                <w:sz w:val="24"/>
                <w:highlight w:val="none"/>
              </w:rPr>
              <w:t>时间：</w:t>
            </w:r>
            <w:r>
              <w:rPr>
                <w:rFonts w:ascii="仿宋" w:hAnsi="仿宋" w:eastAsia="仿宋"/>
                <w:color w:val="auto"/>
                <w:sz w:val="24"/>
                <w:highlight w:val="none"/>
                <w:u w:val="single"/>
              </w:rPr>
              <w:t xml:space="preserve">      </w:t>
            </w:r>
            <w:r>
              <w:rPr>
                <w:rFonts w:ascii="仿宋" w:hAnsi="仿宋" w:eastAsia="仿宋"/>
                <w:color w:val="auto"/>
                <w:sz w:val="24"/>
                <w:highlight w:val="none"/>
              </w:rPr>
              <w:t>,地点：</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，联系人：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，联系方式：</w:t>
            </w:r>
            <w:r>
              <w:rPr>
                <w:rFonts w:ascii="仿宋" w:hAnsi="仿宋" w:eastAsia="仿宋"/>
                <w:color w:val="auto"/>
                <w:sz w:val="24"/>
                <w:highlight w:val="none"/>
                <w:u w:val="single"/>
              </w:rPr>
              <w:t xml:space="preserve">      </w:t>
            </w:r>
            <w:r>
              <w:rPr>
                <w:rFonts w:hint="eastAsia" w:ascii="仿宋" w:hAnsi="仿宋" w:eastAsia="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样品提供</w:t>
            </w:r>
          </w:p>
        </w:tc>
        <w:tc>
          <w:tcPr>
            <w:tcW w:w="634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Wingdings" w:hAnsi="Wingdings" w:eastAsia="仿宋" w:cs="Calibri"/>
                    <w:color w:val="auto"/>
                    <w:kern w:val="0"/>
                    <w:sz w:val="24"/>
                    <w:highlight w:val="none"/>
                  </w:rPr>
                  <w:t></w:t>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不要求提供。</w:t>
            </w:r>
          </w:p>
          <w:p>
            <w:pPr>
              <w:spacing w:line="360" w:lineRule="auto"/>
              <w:rPr>
                <w:rFonts w:ascii="仿宋" w:hAnsi="仿宋" w:eastAsia="仿宋"/>
                <w:color w:val="auto"/>
                <w:kern w:val="0"/>
                <w:sz w:val="24"/>
                <w:highlight w:val="none"/>
              </w:rPr>
            </w:pPr>
            <w:sdt>
              <w:sdtPr>
                <w:rPr>
                  <w:rFonts w:hint="eastAsia" w:ascii="仿宋" w:hAnsi="仿宋" w:eastAsia="仿宋" w:cs="Arial"/>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B</w:t>
            </w:r>
            <w:r>
              <w:rPr>
                <w:rFonts w:hint="eastAsia" w:ascii="仿宋" w:hAnsi="仿宋" w:eastAsia="仿宋"/>
                <w:color w:val="auto"/>
                <w:kern w:val="0"/>
                <w:sz w:val="24"/>
                <w:highlight w:val="none"/>
              </w:rPr>
              <w:t>要求提供，</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 w:hAnsi="仿宋" w:eastAsia="仿宋"/>
                <w:color w:val="auto"/>
                <w:sz w:val="24"/>
                <w:highlight w:val="none"/>
                <w:u w:val="single"/>
              </w:rPr>
              <w:t>评标办法</w:t>
            </w:r>
            <w:r>
              <w:rPr>
                <w:rFonts w:hint="eastAsia" w:ascii="仿宋" w:hAnsi="仿宋" w:eastAsia="仿宋"/>
                <w:color w:val="auto"/>
                <w:kern w:val="0"/>
                <w:sz w:val="24"/>
                <w:highlight w:val="none"/>
              </w:rPr>
              <w:t>；</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4）是否需要随样品提交检测报告</w:t>
            </w:r>
            <w:r>
              <w:rPr>
                <w:rFonts w:hint="eastAsia" w:ascii="仿宋" w:hAnsi="仿宋" w:eastAsia="仿宋"/>
                <w:color w:val="auto"/>
                <w:kern w:val="0"/>
                <w:sz w:val="24"/>
                <w:highlight w:val="none"/>
              </w:rPr>
              <w:t>：</w:t>
            </w:r>
            <w:sdt>
              <w:sdtPr>
                <w:rPr>
                  <w:rFonts w:hint="eastAsia" w:ascii="仿宋" w:hAnsi="仿宋" w:eastAsia="仿宋" w:cs="Arial"/>
                  <w:color w:val="auto"/>
                  <w:kern w:val="0"/>
                  <w:sz w:val="24"/>
                  <w:highlight w:val="none"/>
                </w:rPr>
                <w:id w:val="1303421454"/>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否；</w:t>
            </w:r>
            <w:sdt>
              <w:sdtPr>
                <w:rPr>
                  <w:rFonts w:hint="eastAsia" w:ascii="仿宋" w:hAnsi="仿宋" w:eastAsia="仿宋" w:cs="Arial"/>
                  <w:color w:val="auto"/>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是，检测机构的要求</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；检测内容</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5）提供样品的时间：</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；地点：</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；联系人</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w:t>
            </w:r>
            <w:r>
              <w:rPr>
                <w:rFonts w:hint="eastAsia" w:ascii="仿宋" w:hAnsi="仿宋" w:eastAsia="仿宋"/>
                <w:color w:val="auto"/>
                <w:kern w:val="28"/>
                <w:sz w:val="24"/>
                <w:highlight w:val="none"/>
              </w:rPr>
              <w:t>联系电话：</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(6)采购活动结束后，对于未中标人提供的样品，</w:t>
            </w:r>
            <w:r>
              <w:rPr>
                <w:rFonts w:hint="eastAsia" w:ascii="仿宋" w:hAnsi="仿宋" w:eastAsia="仿宋"/>
                <w:color w:val="auto"/>
                <w:sz w:val="24"/>
                <w:highlight w:val="none"/>
              </w:rPr>
              <w:t>采购人、采购代理机构将通知</w:t>
            </w:r>
            <w:r>
              <w:rPr>
                <w:rFonts w:ascii="仿宋" w:hAnsi="仿宋" w:eastAsia="仿宋"/>
                <w:color w:val="auto"/>
                <w:sz w:val="24"/>
                <w:highlight w:val="none"/>
              </w:rPr>
              <w:t>未中标人</w:t>
            </w:r>
            <w:r>
              <w:rPr>
                <w:rFonts w:hint="eastAsia" w:ascii="仿宋" w:hAnsi="仿宋" w:eastAsia="仿宋"/>
                <w:color w:val="auto"/>
                <w:sz w:val="24"/>
                <w:highlight w:val="none"/>
              </w:rPr>
              <w:t>在规定的时间内取回，逾期未取回的，采购人、采购代理机构不负保管义务</w:t>
            </w:r>
            <w:r>
              <w:rPr>
                <w:rFonts w:ascii="仿宋" w:hAnsi="仿宋" w:eastAsia="仿宋"/>
                <w:color w:val="auto"/>
                <w:sz w:val="24"/>
                <w:highlight w:val="none"/>
              </w:rPr>
              <w:t>；对于中标人提供的样品，</w:t>
            </w:r>
            <w:r>
              <w:rPr>
                <w:rFonts w:hint="eastAsia" w:ascii="仿宋" w:hAnsi="仿宋" w:eastAsia="仿宋"/>
                <w:color w:val="auto"/>
                <w:sz w:val="24"/>
                <w:highlight w:val="none"/>
              </w:rPr>
              <w:t>采购人将进</w:t>
            </w:r>
            <w:r>
              <w:rPr>
                <w:rFonts w:ascii="仿宋" w:hAnsi="仿宋" w:eastAsia="仿宋"/>
                <w:color w:val="auto"/>
                <w:sz w:val="24"/>
                <w:highlight w:val="none"/>
              </w:rPr>
              <w:t>行保管、封存，并作为履约验收的参考。</w:t>
            </w:r>
          </w:p>
          <w:p>
            <w:pPr>
              <w:spacing w:line="360" w:lineRule="auto"/>
              <w:rPr>
                <w:rFonts w:ascii="仿宋" w:hAnsi="仿宋" w:eastAsia="仿宋"/>
                <w:b/>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Cs/>
                <w:color w:val="auto"/>
                <w:sz w:val="24"/>
                <w:highlight w:val="none"/>
              </w:rPr>
            </w:pPr>
            <w:r>
              <w:rPr>
                <w:rFonts w:hint="eastAsia" w:ascii="仿宋" w:hAnsi="仿宋" w:eastAsia="仿宋" w:cs="仿宋_GB2312"/>
                <w:b/>
                <w:color w:val="auto"/>
                <w:sz w:val="24"/>
                <w:highlight w:val="none"/>
              </w:rPr>
              <w:t>软件平台讲解演示</w:t>
            </w:r>
          </w:p>
        </w:tc>
        <w:tc>
          <w:tcPr>
            <w:tcW w:w="634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859348549"/>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MS Gothic" w:hAnsi="MS Gothic" w:eastAsia="仿宋" w:cs="Segoe UI Symbol"/>
                    <w:color w:val="auto"/>
                    <w:kern w:val="0"/>
                    <w:sz w:val="24"/>
                    <w:highlight w:val="none"/>
                  </w:rPr>
                  <w:t>☐</w:t>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不组织。</w:t>
            </w:r>
          </w:p>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174071719"/>
                <w14:checkbox>
                  <w14:checked w14:val="1"/>
                  <w14:checkedState w14:val="00FE" w14:font="Wingdings"/>
                  <w14:uncheckedState w14:val="2610" w14:font="MS Gothic"/>
                </w14:checkbox>
              </w:sdtPr>
              <w:sdtEndPr>
                <w:rPr>
                  <w:rFonts w:hint="eastAsia" w:ascii="仿宋" w:hAnsi="仿宋" w:eastAsia="仿宋" w:cs="Times New Roman"/>
                  <w:color w:val="auto"/>
                  <w:kern w:val="0"/>
                  <w:sz w:val="24"/>
                  <w:highlight w:val="none"/>
                </w:rPr>
              </w:sdtEndPr>
              <w:sdtContent>
                <w:r>
                  <w:rPr>
                    <w:rFonts w:hint="eastAsia" w:ascii="仿宋" w:hAnsi="仿宋" w:eastAsia="仿宋" w:cs="Arial"/>
                    <w:color w:val="auto"/>
                    <w:kern w:val="0"/>
                    <w:sz w:val="24"/>
                    <w:highlight w:val="none"/>
                  </w:rPr>
                  <w:sym w:font="Wingdings" w:char="F0FE"/>
                </w:r>
              </w:sdtContent>
            </w:sdt>
            <w:r>
              <w:rPr>
                <w:rFonts w:ascii="仿宋" w:hAnsi="仿宋" w:eastAsia="仿宋"/>
                <w:color w:val="auto"/>
                <w:sz w:val="24"/>
                <w:highlight w:val="none"/>
              </w:rPr>
              <w:t>B组织。</w:t>
            </w:r>
          </w:p>
          <w:p>
            <w:pPr>
              <w:spacing w:line="360" w:lineRule="auto"/>
              <w:rPr>
                <w:rFonts w:ascii="仿宋" w:hAnsi="仿宋" w:eastAsia="仿宋"/>
                <w:b w:val="0"/>
                <w:bCs w:val="0"/>
                <w:color w:val="auto"/>
                <w:sz w:val="24"/>
                <w:highlight w:val="none"/>
              </w:rPr>
            </w:pPr>
            <w:r>
              <w:rPr>
                <w:rFonts w:hint="eastAsia" w:ascii="仿宋" w:hAnsi="仿宋" w:eastAsia="仿宋" w:cs="仿宋_GB2312"/>
                <w:b w:val="0"/>
                <w:bCs w:val="0"/>
                <w:color w:val="auto"/>
                <w:sz w:val="24"/>
                <w:highlight w:val="none"/>
                <w:lang w:val="zh-CN"/>
              </w:rPr>
              <w:t>(</w:t>
            </w:r>
            <w:r>
              <w:rPr>
                <w:rFonts w:hint="eastAsia" w:ascii="仿宋" w:hAnsi="仿宋" w:eastAsia="仿宋" w:cs="仿宋_GB2312"/>
                <w:b w:val="0"/>
                <w:bCs w:val="0"/>
                <w:color w:val="auto"/>
                <w:sz w:val="24"/>
                <w:highlight w:val="none"/>
                <w:lang w:val="en-US" w:eastAsia="zh-CN"/>
              </w:rPr>
              <w:t>1</w:t>
            </w:r>
            <w:r>
              <w:rPr>
                <w:rFonts w:hint="eastAsia" w:ascii="仿宋" w:hAnsi="仿宋" w:eastAsia="仿宋" w:cs="仿宋_GB2312"/>
                <w:b w:val="0"/>
                <w:bCs w:val="0"/>
                <w:color w:val="auto"/>
                <w:sz w:val="24"/>
                <w:highlight w:val="none"/>
                <w:lang w:val="zh-CN"/>
              </w:rPr>
              <w:t>)</w:t>
            </w:r>
            <w:r>
              <w:rPr>
                <w:rFonts w:hint="eastAsia" w:ascii="仿宋" w:hAnsi="仿宋" w:eastAsia="仿宋"/>
                <w:b w:val="0"/>
                <w:bCs w:val="0"/>
                <w:color w:val="auto"/>
                <w:sz w:val="24"/>
                <w:highlight w:val="none"/>
              </w:rPr>
              <w:t>投标人应按采购需求及评分细则要求提供产品功能演示。</w:t>
            </w:r>
          </w:p>
          <w:p>
            <w:pPr>
              <w:spacing w:line="360" w:lineRule="auto"/>
              <w:rPr>
                <w:rFonts w:ascii="仿宋" w:hAnsi="仿宋" w:eastAsia="仿宋"/>
                <w:b w:val="0"/>
                <w:bCs w:val="0"/>
                <w:color w:val="auto"/>
                <w:sz w:val="24"/>
                <w:highlight w:val="none"/>
                <w:lang w:val="zh-CN"/>
              </w:rPr>
            </w:pPr>
            <w:r>
              <w:rPr>
                <w:rFonts w:hint="eastAsia" w:ascii="仿宋" w:hAnsi="仿宋" w:eastAsia="仿宋" w:cs="仿宋_GB2312"/>
                <w:b w:val="0"/>
                <w:bCs w:val="0"/>
                <w:color w:val="auto"/>
                <w:sz w:val="24"/>
                <w:highlight w:val="none"/>
                <w:lang w:val="zh-CN"/>
              </w:rPr>
              <w:t>(</w:t>
            </w:r>
            <w:r>
              <w:rPr>
                <w:rFonts w:hint="eastAsia" w:ascii="仿宋" w:hAnsi="仿宋" w:eastAsia="仿宋" w:cs="仿宋_GB2312"/>
                <w:b w:val="0"/>
                <w:bCs w:val="0"/>
                <w:color w:val="auto"/>
                <w:sz w:val="24"/>
                <w:highlight w:val="none"/>
                <w:lang w:val="en-US" w:eastAsia="zh-CN"/>
              </w:rPr>
              <w:t>2</w:t>
            </w:r>
            <w:r>
              <w:rPr>
                <w:rFonts w:hint="eastAsia" w:ascii="仿宋" w:hAnsi="仿宋" w:eastAsia="仿宋" w:cs="仿宋_GB2312"/>
                <w:b w:val="0"/>
                <w:bCs w:val="0"/>
                <w:color w:val="auto"/>
                <w:sz w:val="24"/>
                <w:highlight w:val="none"/>
                <w:lang w:val="zh-CN"/>
              </w:rPr>
              <w:t>)</w:t>
            </w:r>
            <w:r>
              <w:rPr>
                <w:rFonts w:hint="eastAsia" w:ascii="仿宋" w:hAnsi="仿宋" w:eastAsia="仿宋"/>
                <w:b w:val="0"/>
                <w:bCs w:val="0"/>
                <w:color w:val="auto"/>
                <w:sz w:val="24"/>
                <w:highlight w:val="none"/>
              </w:rPr>
              <w:t>演示内容由投标人</w:t>
            </w:r>
            <w:r>
              <w:rPr>
                <w:rFonts w:hint="eastAsia" w:ascii="仿宋" w:hAnsi="仿宋" w:eastAsia="仿宋"/>
                <w:b w:val="0"/>
                <w:bCs w:val="0"/>
                <w:color w:val="auto"/>
                <w:sz w:val="24"/>
                <w:highlight w:val="none"/>
                <w:lang w:val="zh-CN"/>
              </w:rPr>
              <w:t>自行摄录</w:t>
            </w:r>
            <w:r>
              <w:rPr>
                <w:rFonts w:hint="eastAsia" w:ascii="仿宋" w:hAnsi="仿宋" w:eastAsia="仿宋"/>
                <w:b w:val="0"/>
                <w:bCs w:val="0"/>
                <w:color w:val="auto"/>
                <w:sz w:val="24"/>
                <w:highlight w:val="none"/>
              </w:rPr>
              <w:t>,U盘存储，与备份文件一起，在投标截止时间（</w:t>
            </w:r>
            <w:r>
              <w:rPr>
                <w:rFonts w:hint="eastAsia" w:ascii="仿宋" w:hAnsi="仿宋" w:eastAsia="仿宋"/>
                <w:b w:val="0"/>
                <w:bCs w:val="0"/>
                <w:color w:val="auto"/>
                <w:sz w:val="24"/>
                <w:highlight w:val="none"/>
                <w:lang w:val="zh-CN"/>
              </w:rPr>
              <w:t>202</w:t>
            </w:r>
            <w:r>
              <w:rPr>
                <w:rFonts w:hint="eastAsia" w:ascii="仿宋" w:hAnsi="仿宋" w:eastAsia="仿宋"/>
                <w:b w:val="0"/>
                <w:bCs w:val="0"/>
                <w:color w:val="auto"/>
                <w:sz w:val="24"/>
                <w:highlight w:val="none"/>
              </w:rPr>
              <w:t>2</w:t>
            </w:r>
            <w:r>
              <w:rPr>
                <w:rFonts w:hint="eastAsia" w:ascii="仿宋" w:hAnsi="仿宋" w:eastAsia="仿宋"/>
                <w:b w:val="0"/>
                <w:bCs w:val="0"/>
                <w:color w:val="auto"/>
                <w:sz w:val="24"/>
                <w:highlight w:val="none"/>
                <w:lang w:val="zh-CN"/>
              </w:rPr>
              <w:t>年</w:t>
            </w:r>
            <w:r>
              <w:rPr>
                <w:rFonts w:hint="eastAsia" w:ascii="仿宋" w:hAnsi="仿宋" w:eastAsia="仿宋"/>
                <w:b w:val="0"/>
                <w:bCs w:val="0"/>
                <w:color w:val="auto"/>
                <w:sz w:val="24"/>
                <w:highlight w:val="none"/>
                <w:lang w:val="en-US" w:eastAsia="zh-CN"/>
              </w:rPr>
              <w:t>5</w:t>
            </w:r>
            <w:r>
              <w:rPr>
                <w:rFonts w:hint="eastAsia" w:ascii="仿宋" w:hAnsi="仿宋" w:eastAsia="仿宋"/>
                <w:b w:val="0"/>
                <w:bCs w:val="0"/>
                <w:color w:val="auto"/>
                <w:sz w:val="24"/>
                <w:highlight w:val="none"/>
                <w:lang w:val="zh-CN"/>
              </w:rPr>
              <w:t>月</w:t>
            </w:r>
            <w:r>
              <w:rPr>
                <w:rFonts w:hint="eastAsia" w:ascii="仿宋" w:hAnsi="仿宋" w:eastAsia="仿宋"/>
                <w:b w:val="0"/>
                <w:bCs w:val="0"/>
                <w:color w:val="auto"/>
                <w:sz w:val="24"/>
                <w:highlight w:val="none"/>
                <w:lang w:val="en-US" w:eastAsia="zh-CN"/>
              </w:rPr>
              <w:t>9</w:t>
            </w:r>
            <w:r>
              <w:rPr>
                <w:rFonts w:hint="eastAsia" w:ascii="仿宋" w:hAnsi="仿宋" w:eastAsia="仿宋"/>
                <w:b w:val="0"/>
                <w:bCs w:val="0"/>
                <w:color w:val="auto"/>
                <w:sz w:val="24"/>
                <w:highlight w:val="none"/>
                <w:lang w:val="zh-CN"/>
              </w:rPr>
              <w:t>日</w:t>
            </w:r>
            <w:r>
              <w:rPr>
                <w:rFonts w:hint="eastAsia" w:ascii="仿宋" w:hAnsi="仿宋" w:eastAsia="仿宋"/>
                <w:b w:val="0"/>
                <w:bCs w:val="0"/>
                <w:color w:val="auto"/>
                <w:sz w:val="24"/>
                <w:highlight w:val="none"/>
                <w:lang w:val="en-US" w:eastAsia="zh-CN"/>
              </w:rPr>
              <w:t>13:30</w:t>
            </w:r>
            <w:r>
              <w:rPr>
                <w:rFonts w:hint="eastAsia" w:ascii="仿宋" w:hAnsi="仿宋" w:eastAsia="仿宋"/>
                <w:b w:val="0"/>
                <w:bCs w:val="0"/>
                <w:color w:val="auto"/>
                <w:sz w:val="24"/>
                <w:highlight w:val="none"/>
              </w:rPr>
              <w:t>）前，</w:t>
            </w:r>
            <w:r>
              <w:rPr>
                <w:rFonts w:hint="eastAsia" w:ascii="仿宋" w:hAnsi="仿宋" w:eastAsia="仿宋"/>
                <w:b w:val="0"/>
                <w:bCs w:val="0"/>
                <w:color w:val="auto"/>
                <w:sz w:val="24"/>
                <w:highlight w:val="none"/>
                <w:lang w:val="zh-CN"/>
              </w:rPr>
              <w:t>以邮寄方式送至采购代理机构。</w:t>
            </w:r>
          </w:p>
          <w:p>
            <w:pPr>
              <w:spacing w:line="360" w:lineRule="auto"/>
              <w:rPr>
                <w:rFonts w:ascii="仿宋" w:hAnsi="仿宋" w:eastAsia="仿宋"/>
                <w:b w:val="0"/>
                <w:bCs w:val="0"/>
                <w:color w:val="auto"/>
                <w:sz w:val="24"/>
                <w:highlight w:val="none"/>
              </w:rPr>
            </w:pPr>
            <w:r>
              <w:rPr>
                <w:rFonts w:hint="eastAsia" w:ascii="仿宋" w:hAnsi="仿宋" w:eastAsia="仿宋" w:cs="仿宋_GB2312"/>
                <w:b w:val="0"/>
                <w:bCs w:val="0"/>
                <w:color w:val="auto"/>
                <w:sz w:val="24"/>
                <w:highlight w:val="none"/>
                <w:lang w:val="zh-CN"/>
              </w:rPr>
              <w:t>(</w:t>
            </w:r>
            <w:r>
              <w:rPr>
                <w:rFonts w:hint="eastAsia" w:ascii="仿宋" w:hAnsi="仿宋" w:eastAsia="仿宋" w:cs="仿宋_GB2312"/>
                <w:b w:val="0"/>
                <w:bCs w:val="0"/>
                <w:color w:val="auto"/>
                <w:sz w:val="24"/>
                <w:highlight w:val="none"/>
                <w:lang w:val="en-US" w:eastAsia="zh-CN"/>
              </w:rPr>
              <w:t>3</w:t>
            </w:r>
            <w:r>
              <w:rPr>
                <w:rFonts w:hint="eastAsia" w:ascii="仿宋" w:hAnsi="仿宋" w:eastAsia="仿宋" w:cs="仿宋_GB2312"/>
                <w:b w:val="0"/>
                <w:bCs w:val="0"/>
                <w:color w:val="auto"/>
                <w:sz w:val="24"/>
                <w:highlight w:val="none"/>
                <w:lang w:val="zh-CN"/>
              </w:rPr>
              <w:t>)</w:t>
            </w:r>
            <w:r>
              <w:rPr>
                <w:rFonts w:hint="eastAsia" w:ascii="仿宋" w:hAnsi="仿宋" w:eastAsia="仿宋"/>
                <w:b w:val="0"/>
                <w:bCs w:val="0"/>
                <w:color w:val="auto"/>
                <w:sz w:val="24"/>
                <w:highlight w:val="none"/>
              </w:rPr>
              <w:t>投标人</w:t>
            </w:r>
            <w:r>
              <w:rPr>
                <w:rFonts w:hint="eastAsia" w:ascii="仿宋" w:hAnsi="仿宋" w:eastAsia="仿宋"/>
                <w:b w:val="0"/>
                <w:bCs w:val="0"/>
                <w:color w:val="auto"/>
                <w:sz w:val="24"/>
                <w:highlight w:val="none"/>
                <w:lang w:val="zh-CN"/>
              </w:rPr>
              <w:t>应确保演示视频的质量并配有</w:t>
            </w:r>
            <w:r>
              <w:rPr>
                <w:rFonts w:hint="eastAsia" w:ascii="仿宋" w:hAnsi="仿宋" w:eastAsia="仿宋"/>
                <w:b w:val="0"/>
                <w:bCs w:val="0"/>
                <w:color w:val="auto"/>
                <w:sz w:val="24"/>
                <w:highlight w:val="none"/>
              </w:rPr>
              <w:t>清晰、详细的</w:t>
            </w:r>
            <w:r>
              <w:rPr>
                <w:rFonts w:hint="eastAsia" w:ascii="仿宋" w:hAnsi="仿宋" w:eastAsia="仿宋"/>
                <w:b w:val="0"/>
                <w:bCs w:val="0"/>
                <w:color w:val="auto"/>
                <w:sz w:val="24"/>
                <w:highlight w:val="none"/>
                <w:lang w:val="zh-CN"/>
              </w:rPr>
              <w:t>解说</w:t>
            </w:r>
            <w:r>
              <w:rPr>
                <w:rFonts w:hint="eastAsia" w:ascii="仿宋" w:hAnsi="仿宋" w:eastAsia="仿宋"/>
                <w:b w:val="0"/>
                <w:bCs w:val="0"/>
                <w:color w:val="auto"/>
                <w:szCs w:val="21"/>
                <w:highlight w:val="none"/>
                <w:lang w:val="zh-CN"/>
              </w:rPr>
              <w:t>，</w:t>
            </w:r>
            <w:r>
              <w:rPr>
                <w:rFonts w:hint="eastAsia" w:ascii="仿宋" w:hAnsi="仿宋" w:eastAsia="仿宋"/>
                <w:b w:val="0"/>
                <w:bCs w:val="0"/>
                <w:color w:val="auto"/>
                <w:sz w:val="24"/>
                <w:highlight w:val="none"/>
                <w:lang w:val="zh-CN"/>
              </w:rPr>
              <w:t>时间</w:t>
            </w:r>
            <w:r>
              <w:rPr>
                <w:rFonts w:hint="eastAsia" w:ascii="仿宋" w:hAnsi="仿宋" w:eastAsia="仿宋"/>
                <w:b w:val="0"/>
                <w:bCs w:val="0"/>
                <w:color w:val="auto"/>
                <w:sz w:val="24"/>
                <w:highlight w:val="none"/>
                <w:lang w:val="en-US" w:eastAsia="zh-CN"/>
              </w:rPr>
              <w:t>控制在15分钟以内。</w:t>
            </w:r>
            <w:r>
              <w:rPr>
                <w:rFonts w:hint="eastAsia" w:ascii="仿宋" w:hAnsi="仿宋" w:eastAsia="仿宋"/>
                <w:b w:val="0"/>
                <w:bCs w:val="0"/>
                <w:color w:val="auto"/>
                <w:sz w:val="24"/>
                <w:highlight w:val="none"/>
                <w:lang w:val="zh-CN"/>
              </w:rPr>
              <w:t>因</w:t>
            </w:r>
            <w:r>
              <w:rPr>
                <w:rFonts w:hint="eastAsia" w:ascii="仿宋" w:hAnsi="仿宋" w:eastAsia="仿宋"/>
                <w:b w:val="0"/>
                <w:bCs w:val="0"/>
                <w:color w:val="auto"/>
                <w:sz w:val="24"/>
                <w:highlight w:val="none"/>
              </w:rPr>
              <w:t>投标人自身原因导致无法演示或者演示效果不理想的，责任自负。</w:t>
            </w:r>
          </w:p>
          <w:p>
            <w:pPr>
              <w:spacing w:line="360" w:lineRule="auto"/>
              <w:rPr>
                <w:rFonts w:ascii="仿宋" w:hAnsi="仿宋" w:eastAsia="仿宋" w:cs="仿宋_GB2312"/>
                <w:b/>
                <w:color w:val="auto"/>
                <w:kern w:val="0"/>
                <w:sz w:val="24"/>
                <w:highlight w:val="none"/>
                <w:lang w:val="zh-CN"/>
              </w:rPr>
            </w:pPr>
            <w:r>
              <w:rPr>
                <w:rFonts w:hint="eastAsia" w:ascii="仿宋" w:hAnsi="仿宋" w:eastAsia="仿宋" w:cs="仿宋_GB2312"/>
                <w:b w:val="0"/>
                <w:bCs w:val="0"/>
                <w:color w:val="auto"/>
                <w:sz w:val="24"/>
                <w:highlight w:val="none"/>
                <w:lang w:val="zh-CN"/>
              </w:rPr>
              <w:t>(</w:t>
            </w:r>
            <w:r>
              <w:rPr>
                <w:rFonts w:hint="eastAsia" w:ascii="仿宋" w:hAnsi="仿宋" w:eastAsia="仿宋" w:cs="仿宋_GB2312"/>
                <w:b w:val="0"/>
                <w:bCs w:val="0"/>
                <w:color w:val="auto"/>
                <w:sz w:val="24"/>
                <w:highlight w:val="none"/>
              </w:rPr>
              <w:t>4</w:t>
            </w:r>
            <w:r>
              <w:rPr>
                <w:rFonts w:hint="eastAsia" w:ascii="仿宋" w:hAnsi="仿宋" w:eastAsia="仿宋" w:cs="仿宋_GB2312"/>
                <w:b w:val="0"/>
                <w:bCs w:val="0"/>
                <w:color w:val="auto"/>
                <w:sz w:val="24"/>
                <w:highlight w:val="none"/>
                <w:lang w:val="zh-CN"/>
              </w:rPr>
              <w:t>)</w:t>
            </w:r>
            <w:r>
              <w:rPr>
                <w:rFonts w:hint="eastAsia" w:ascii="仿宋" w:hAnsi="仿宋" w:eastAsia="仿宋"/>
                <w:b w:val="0"/>
                <w:bCs w:val="0"/>
                <w:color w:val="auto"/>
                <w:sz w:val="24"/>
                <w:highlight w:val="none"/>
              </w:rPr>
              <w:t>邮寄信息详见本附表第11项。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是否允许采购进口产品</w:t>
            </w:r>
          </w:p>
        </w:tc>
        <w:tc>
          <w:tcPr>
            <w:tcW w:w="634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Arial"/>
                <w:color w:val="auto"/>
                <w:kern w:val="0"/>
                <w:sz w:val="24"/>
                <w:highlight w:val="none"/>
              </w:rPr>
            </w:pPr>
            <w:sdt>
              <w:sdtPr>
                <w:rPr>
                  <w:rFonts w:hint="eastAsia" w:ascii="仿宋" w:hAnsi="仿宋" w:eastAsia="仿宋" w:cs="Arial"/>
                  <w:color w:val="auto"/>
                  <w:kern w:val="0"/>
                  <w:sz w:val="24"/>
                  <w:highlight w:val="none"/>
                </w:rPr>
                <w:id w:val="-1828425707"/>
                <w14:checkbox>
                  <w14:checked w14:val="1"/>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r>
              <w:rPr>
                <w:rFonts w:hint="eastAsia" w:ascii="仿宋" w:hAnsi="仿宋" w:eastAsia="仿宋" w:cs="Arial"/>
                <w:color w:val="auto"/>
                <w:kern w:val="0"/>
                <w:sz w:val="24"/>
                <w:highlight w:val="none"/>
              </w:rPr>
              <w:t>本项目不允许采购进口产品。</w:t>
            </w:r>
          </w:p>
          <w:p>
            <w:pPr>
              <w:spacing w:line="360" w:lineRule="auto"/>
              <w:rPr>
                <w:rFonts w:ascii="仿宋" w:hAnsi="仿宋" w:eastAsia="仿宋"/>
                <w:color w:val="auto"/>
                <w:highlight w:val="none"/>
              </w:rPr>
            </w:pPr>
            <w:sdt>
              <w:sdtPr>
                <w:rPr>
                  <w:rFonts w:hint="eastAsia" w:ascii="仿宋" w:hAnsi="仿宋" w:eastAsia="仿宋" w:cs="Arial"/>
                  <w:color w:val="auto"/>
                  <w:kern w:val="0"/>
                  <w:sz w:val="24"/>
                  <w:highlight w:val="none"/>
                </w:rPr>
                <w:id w:val="-52852824"/>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项目属性与核心产品</w:t>
            </w:r>
          </w:p>
        </w:tc>
        <w:tc>
          <w:tcPr>
            <w:tcW w:w="634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18727868"/>
                <w14:checkbox>
                  <w14:checked w14:val="1"/>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Wingdings" w:hAnsi="Wingdings" w:eastAsia="仿宋" w:cs="Calibri"/>
                    <w:color w:val="auto"/>
                    <w:kern w:val="0"/>
                    <w:sz w:val="24"/>
                    <w:highlight w:val="none"/>
                  </w:rPr>
                  <w:t></w:t>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货物类，单一产品或</w:t>
            </w:r>
            <w:r>
              <w:rPr>
                <w:rFonts w:hint="eastAsia" w:ascii="仿宋" w:hAnsi="仿宋" w:eastAsia="仿宋"/>
                <w:color w:val="auto"/>
                <w:kern w:val="0"/>
                <w:sz w:val="24"/>
                <w:highlight w:val="none"/>
              </w:rPr>
              <w:t>核心产品为：</w:t>
            </w:r>
            <w:r>
              <w:rPr>
                <w:rFonts w:hint="eastAsia" w:ascii="仿宋" w:hAnsi="仿宋" w:eastAsia="仿宋"/>
                <w:color w:val="auto"/>
                <w:sz w:val="24"/>
                <w:highlight w:val="none"/>
                <w:u w:val="single"/>
              </w:rPr>
              <w:t xml:space="preserve"> 智慧平安校园综合安全管理平台软件 </w:t>
            </w: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474885559"/>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s="Arial"/>
                <w:color w:val="auto"/>
                <w:kern w:val="0"/>
                <w:sz w:val="24"/>
                <w:highlight w:val="none"/>
              </w:rPr>
              <w:t>B</w:t>
            </w:r>
            <w:r>
              <w:rPr>
                <w:rFonts w:hint="eastAsia" w:ascii="仿宋" w:hAnsi="仿宋" w:eastAsia="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采购标的对应的中小企业划分标准所属行业</w:t>
            </w:r>
          </w:p>
        </w:tc>
        <w:tc>
          <w:tcPr>
            <w:tcW w:w="63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left="1440" w:hanging="1440" w:hangingChars="6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w:t>
            </w:r>
            <w:r>
              <w:rPr>
                <w:rFonts w:ascii="仿宋" w:hAnsi="仿宋" w:eastAsia="仿宋" w:cs="Arial"/>
                <w:color w:val="auto"/>
                <w:kern w:val="0"/>
                <w:sz w:val="24"/>
                <w:highlight w:val="none"/>
              </w:rPr>
              <w:t>1</w:t>
            </w:r>
            <w:r>
              <w:rPr>
                <w:rFonts w:hint="eastAsia" w:ascii="仿宋" w:hAnsi="仿宋" w:eastAsia="仿宋" w:cs="Arial"/>
                <w:color w:val="auto"/>
                <w:kern w:val="0"/>
                <w:sz w:val="24"/>
                <w:highlight w:val="none"/>
              </w:rPr>
              <w:t>）标的： 浙江交通职业技术学院智慧平安校园建设，属</w:t>
            </w:r>
          </w:p>
          <w:p>
            <w:pPr>
              <w:snapToGrid w:val="0"/>
              <w:spacing w:line="360" w:lineRule="auto"/>
              <w:ind w:left="1440" w:hanging="1440" w:hangingChars="600"/>
              <w:rPr>
                <w:rFonts w:ascii="仿宋" w:hAnsi="仿宋" w:eastAsia="仿宋"/>
                <w:color w:val="auto"/>
                <w:highlight w:val="none"/>
              </w:rPr>
            </w:pPr>
            <w:r>
              <w:rPr>
                <w:rFonts w:hint="eastAsia" w:ascii="仿宋" w:hAnsi="仿宋" w:eastAsia="仿宋" w:cs="Arial"/>
                <w:color w:val="auto"/>
                <w:kern w:val="0"/>
                <w:sz w:val="24"/>
                <w:highlight w:val="none"/>
              </w:rPr>
              <w:t>于</w:t>
            </w:r>
            <w:r>
              <w:rPr>
                <w:rFonts w:hint="eastAsia" w:ascii="仿宋" w:hAnsi="仿宋" w:eastAsia="仿宋"/>
                <w:color w:val="auto"/>
                <w:sz w:val="24"/>
                <w:highlight w:val="none"/>
                <w:u w:val="single"/>
              </w:rPr>
              <w:t xml:space="preserve"> 软件和信息技术服务 </w:t>
            </w:r>
            <w:r>
              <w:rPr>
                <w:rFonts w:hint="eastAsia" w:ascii="仿宋" w:hAnsi="仿宋" w:eastAsia="仿宋" w:cs="Arial"/>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节能产品、环境标志产品</w:t>
            </w:r>
          </w:p>
        </w:tc>
        <w:tc>
          <w:tcPr>
            <w:tcW w:w="63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highlight w:val="none"/>
              </w:rPr>
            </w:pPr>
            <w:r>
              <w:rPr>
                <w:rFonts w:hint="eastAsia" w:ascii="仿宋" w:hAnsi="仿宋" w:eastAsia="仿宋"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备份投标文件送达地点和签收人员</w:t>
            </w:r>
            <w:r>
              <w:rPr>
                <w:rFonts w:ascii="仿宋" w:hAnsi="仿宋" w:eastAsia="仿宋" w:cs="仿宋_GB2312"/>
                <w:b/>
                <w:color w:val="auto"/>
                <w:sz w:val="24"/>
                <w:highlight w:val="none"/>
              </w:rPr>
              <w:t xml:space="preserve"> </w:t>
            </w:r>
          </w:p>
        </w:tc>
        <w:tc>
          <w:tcPr>
            <w:tcW w:w="6343" w:type="dxa"/>
            <w:tcBorders>
              <w:top w:val="single" w:color="000000" w:sz="8" w:space="0"/>
              <w:left w:val="single" w:color="000000" w:sz="2" w:space="0"/>
              <w:bottom w:val="single" w:color="000000" w:sz="8" w:space="0"/>
              <w:right w:val="single" w:color="000000" w:sz="8" w:space="0"/>
            </w:tcBorders>
            <w:vAlign w:val="center"/>
          </w:tcPr>
          <w:p>
            <w:pPr>
              <w:pStyle w:val="33"/>
              <w:spacing w:after="120" w:line="360" w:lineRule="auto"/>
              <w:rPr>
                <w:rFonts w:ascii="仿宋" w:hAnsi="仿宋" w:eastAsia="仿宋"/>
                <w:color w:val="auto"/>
                <w:kern w:val="28"/>
                <w:sz w:val="24"/>
                <w:highlight w:val="none"/>
              </w:rPr>
            </w:pPr>
            <w:r>
              <w:rPr>
                <w:rFonts w:hint="eastAsia" w:ascii="仿宋" w:hAnsi="仿宋" w:eastAsia="仿宋" w:cs="Times New Roman"/>
                <w:color w:val="auto"/>
                <w:kern w:val="28"/>
                <w:sz w:val="24"/>
                <w:szCs w:val="24"/>
                <w:highlight w:val="none"/>
              </w:rPr>
              <w:t>备份投标文件送达地点：</w:t>
            </w:r>
            <w:r>
              <w:rPr>
                <w:rFonts w:hint="eastAsia" w:ascii="仿宋" w:hAnsi="仿宋" w:eastAsia="仿宋"/>
                <w:color w:val="auto"/>
                <w:sz w:val="24"/>
                <w:highlight w:val="none"/>
                <w:u w:val="single"/>
              </w:rPr>
              <w:t xml:space="preserve"> </w:t>
            </w:r>
            <w:r>
              <w:rPr>
                <w:rFonts w:hint="eastAsia" w:ascii="仿宋" w:hAnsi="仿宋" w:eastAsia="仿宋" w:cs="Times New Roman"/>
                <w:color w:val="auto"/>
                <w:kern w:val="28"/>
                <w:sz w:val="24"/>
                <w:szCs w:val="24"/>
                <w:highlight w:val="none"/>
                <w:u w:val="single"/>
              </w:rPr>
              <w:t>杭州市拱墅区登云路518号恒策西城时代3幢1706室</w:t>
            </w:r>
            <w:r>
              <w:rPr>
                <w:rFonts w:ascii="仿宋" w:hAnsi="仿宋" w:eastAsia="仿宋"/>
                <w:color w:val="auto"/>
                <w:sz w:val="24"/>
                <w:highlight w:val="none"/>
                <w:u w:val="single"/>
              </w:rPr>
              <w:t xml:space="preserve"> </w:t>
            </w:r>
            <w:r>
              <w:rPr>
                <w:rFonts w:hint="eastAsia" w:ascii="仿宋" w:hAnsi="仿宋" w:eastAsia="仿宋" w:cs="Times New Roman"/>
                <w:color w:val="auto"/>
                <w:kern w:val="28"/>
                <w:sz w:val="24"/>
                <w:szCs w:val="24"/>
                <w:highlight w:val="none"/>
              </w:rPr>
              <w:t>；备份投标文件签收人员联系电话：</w:t>
            </w:r>
            <w:r>
              <w:rPr>
                <w:rFonts w:hint="eastAsia" w:ascii="仿宋" w:hAnsi="仿宋" w:eastAsia="仿宋"/>
                <w:color w:val="auto"/>
                <w:sz w:val="24"/>
                <w:highlight w:val="none"/>
                <w:u w:val="single"/>
              </w:rPr>
              <w:t xml:space="preserve"> 邓瑞银、</w:t>
            </w:r>
            <w:r>
              <w:rPr>
                <w:rFonts w:hint="eastAsia" w:ascii="仿宋" w:hAnsi="仿宋" w:eastAsia="仿宋" w:cs="Times New Roman"/>
                <w:color w:val="auto"/>
                <w:kern w:val="28"/>
                <w:sz w:val="24"/>
                <w:szCs w:val="24"/>
                <w:highlight w:val="none"/>
                <w:u w:val="single"/>
              </w:rPr>
              <w:t xml:space="preserve">13645711835  </w:t>
            </w:r>
            <w:r>
              <w:rPr>
                <w:rFonts w:hint="eastAsia" w:ascii="仿宋" w:hAnsi="仿宋" w:eastAsia="仿宋" w:cs="仿宋_GB2312"/>
                <w:color w:val="auto"/>
                <w:sz w:val="24"/>
                <w:szCs w:val="24"/>
                <w:highlight w:val="none"/>
              </w:rPr>
              <w:t>。</w:t>
            </w:r>
            <w:r>
              <w:rPr>
                <w:rFonts w:hint="eastAsia" w:ascii="仿宋" w:hAnsi="仿宋" w:eastAsia="仿宋" w:cs="仿宋_GB2312"/>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20" w:lineRule="exact"/>
              <w:rPr>
                <w:rFonts w:ascii="仿宋" w:hAnsi="仿宋" w:eastAsia="仿宋" w:cs="仿宋_GB2312"/>
                <w:b/>
                <w:color w:val="auto"/>
                <w:sz w:val="24"/>
                <w:highlight w:val="none"/>
              </w:rPr>
            </w:pPr>
            <w:r>
              <w:rPr>
                <w:rFonts w:hint="eastAsia" w:ascii="仿宋_GB2312" w:hAnsi="仿宋" w:eastAsia="仿宋_GB2312" w:cs="仿宋_GB2312"/>
                <w:b/>
                <w:color w:val="auto"/>
                <w:sz w:val="24"/>
                <w:highlight w:val="none"/>
              </w:rPr>
              <w:t>招标代理费的收取</w:t>
            </w:r>
          </w:p>
        </w:tc>
        <w:tc>
          <w:tcPr>
            <w:tcW w:w="6343" w:type="dxa"/>
            <w:tcBorders>
              <w:top w:val="single" w:color="000000" w:sz="8" w:space="0"/>
              <w:left w:val="single" w:color="000000" w:sz="2" w:space="0"/>
              <w:bottom w:val="single" w:color="000000" w:sz="8" w:space="0"/>
              <w:right w:val="single" w:color="000000" w:sz="8" w:space="0"/>
            </w:tcBorders>
            <w:vAlign w:val="center"/>
          </w:tcPr>
          <w:p>
            <w:pPr>
              <w:spacing w:line="320" w:lineRule="exact"/>
              <w:rPr>
                <w:rFonts w:ascii="仿宋" w:hAnsi="仿宋" w:eastAsia="仿宋" w:cs="仿宋"/>
                <w:color w:val="auto"/>
                <w:sz w:val="24"/>
                <w:highlight w:val="none"/>
              </w:rPr>
            </w:pPr>
            <w:r>
              <w:rPr>
                <w:rFonts w:hint="eastAsia" w:ascii="仿宋" w:hAnsi="仿宋" w:eastAsia="仿宋" w:cs="仿宋"/>
                <w:color w:val="auto"/>
                <w:sz w:val="24"/>
                <w:highlight w:val="none"/>
              </w:rPr>
              <w:t>（1）本项目按照浙价服[2003]77号文规定的货物类收费标准八折向中标单位收取。</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093"/>
              <w:gridCol w:w="100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953" w:type="dxa"/>
                  <w:shd w:val="clear" w:color="auto" w:fill="auto"/>
                </w:tcPr>
                <w:p>
                  <w:pPr>
                    <w:widowControl/>
                    <w:spacing w:line="320" w:lineRule="exact"/>
                    <w:jc w:val="center"/>
                    <w:rPr>
                      <w:rStyle w:val="71"/>
                      <w:rFonts w:ascii="仿宋" w:hAnsi="仿宋" w:eastAsia="仿宋" w:cs="仿宋"/>
                      <w:b w:val="0"/>
                      <w:bCs w:val="0"/>
                      <w:color w:val="auto"/>
                      <w:kern w:val="0"/>
                      <w:sz w:val="24"/>
                      <w:highlight w:val="none"/>
                      <w:shd w:val="clear" w:color="auto" w:fill="FFFFFF"/>
                    </w:rPr>
                  </w:pPr>
                  <w:r>
                    <w:rPr>
                      <w:rFonts w:ascii="仿宋" w:hAnsi="仿宋" w:eastAsia="仿宋" w:cs="仿宋"/>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1270</wp:posOffset>
                            </wp:positionV>
                            <wp:extent cx="984250" cy="752475"/>
                            <wp:effectExtent l="3175" t="3810" r="3175" b="5715"/>
                            <wp:wrapNone/>
                            <wp:docPr id="9" name="直接连接符 9"/>
                            <wp:cNvGraphicFramePr/>
                            <a:graphic xmlns:a="http://schemas.openxmlformats.org/drawingml/2006/main">
                              <a:graphicData uri="http://schemas.microsoft.com/office/word/2010/wordprocessingShape">
                                <wps:wsp>
                                  <wps:cNvCnPr/>
                                  <wps:spPr>
                                    <a:xfrm>
                                      <a:off x="0" y="0"/>
                                      <a:ext cx="984250" cy="7524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3pt;margin-top:0.1pt;height:59.25pt;width:77.5pt;z-index:251662336;mso-width-relative:page;mso-height-relative:page;" filled="f" stroked="t" coordsize="21600,21600" o:gfxdata="UEsDBAoAAAAAAIdO4kAAAAAAAAAAAAAAAAAEAAAAZHJzL1BLAwQUAAAACACHTuJAEYdMQtcAAAAI AQAADwAAAGRycy9kb3ducmV2LnhtbE2PzU7DMBCE75V4B2uRuFStnRCVKsTpAciNS1sQ1228JBHx Oo3dH3h63FN7m9WMZr4tVmfbiyONvnOsIZkrEMS1Mx03Gj621WwJwgdkg71j0vBLHlbl3aTA3LgT r+m4CY2IJexz1NCGMORS+roli37uBuLofbvRYojn2Egz4imW216mSi2kxY7jQosDvbRU/2wOVoOv Pmlf/U3rqfp6bByl+9f3N9T64T5RzyACncM1DBf8iA5lZNq5Axsveg2zRC1iVEMK4mJnWQZiF0Wy fAJZFvL2gfIfUEsDBBQAAAAIAIdO4kCHrIOI2QEAAJwDAAAOAAAAZHJzL2Uyb0RvYy54bWytU82O 0zAQviPxDpbvNN1ow26jpnvYslwQVAIeYOqfxJL/ZJumfQleAIkbnDhy521YHoOxG7q7cEGIHCYz 9ufP832ZLK/2RpOdCFE529Gz2ZwSYZnjyvYdffvm5sklJTGB5aCdFR09iEivVo8fLUffitoNTnMR CJLY2I6+o0NKvq2qyAZhIM6cFxY3pQsGEpahr3iAEdmNrur5/Gk1usB9cEzEiKvr4yZdFX4pBUuv pIwiEd1R7C2VGErc5litltD2Afyg2NQG/EMXBpTFS09Ua0hA3gX1B5VRLLjoZJoxZyonpWKiaEA1 Z/Pf1LwewIuiBc2J/mRT/H+07OVuE4jiHV1QYsHgJ7r98PX7+08/vn3EePvlM1lkk0YfW8Re202Y qug3ISvey2DyG7WQfTH2cDJW7BNhuLi4PK8btJ/h1kVTn180mbO6O+xDTM+FMyQnHdXKZt3Qwu5F TEfoL0he1paMyNrUDXICjo3UkDA1HoVE25ez0WnFb5TW+UQM/fZaB7KDPAjlmVp4AMuXrCEOR1zZ yjBoBwH8meUkHTxaZHGWaW7BCE6JFjj6OSvIBEr/DRLVa5upRRnTSWf2+ehszraOH4rhVa5wBIpp 07jmGbtfY37/p1r9BFBLAwQKAAAAAACHTuJAAAAAAAAAAAAAAAAABgAAAF9yZWxzL1BLAwQUAAAA CACHTuJAihRmPNEAAACUAQAACwAAAF9yZWxzLy5yZWxzpZDBasMwDIbvg72D0X1xmsMYo04vo9Br 6R7A2IpjGltGMtn69vMOg2X0tqN+oe8T//7wmRa1IkukbGDX9aAwO/IxBwPvl+PTCyipNnu7UEYD NxQ4jI8P+zMutrYjmWMR1ShZDMy1lletxc2YrHRUMLfNRJxsbSMHXay72oB66Ptnzb8ZMG6Y6uQN 8MkPoC630sx/2Ck6JqGpdo6SpmmK7h5VB7Zlju7INuEbuUazHLAa8CwaB2pZ134EfV+/+6fe00c+ 47rVfoeM649Xb7ocvwBQSwMEFAAAAAgAh07iQH7m5SD3AAAA4QEAABMAAABbQ29udGVudF9UeXBl c10ueG1slZFBTsMwEEX3SNzB8hYlTrtACCXpgrRLQKgcYGRPEotkbHlMaG+Pk7YbRJFY2jP/vye7 3BzGQUwY2Dqq5CovpEDSzljqKvm+32UPUnAEMjA4wkoekeWmvr0p90ePLFKauJJ9jP5RKdY9jsC5 80hp0rowQkzH0CkP+gM6VOuiuFfaUUSKWZw7ZF022MLnEMX2kK5PJgEHluLptDizKgneD1ZDTKZq IvODkp0JeUouO9xbz3dJQ6pfCfPkOuCce0lPE6xB8QohPsOYNJQJrIz7ooBT/nfJbDly5trWasyb wE2KveF0sbrWjmvXOP3f8u2SunSr5YPqb1BLAQIUABQAAAAIAIdO4kB+5uUg9wAAAOEBAAATAAAA AAAAAAEAIAAAAEkEAABbQ29udGVudF9UeXBlc10ueG1sUEsBAhQACgAAAAAAh07iQAAAAAAAAAAA AAAAAAYAAAAAAAAAAAAQAAAAKwMAAF9yZWxzL1BLAQIUABQAAAAIAIdO4kCKFGY80QAAAJQBAAAL AAAAAAAAAAEAIAAAAE8DAABfcmVscy8ucmVsc1BLAQIUAAoAAAAAAIdO4kAAAAAAAAAAAAAAAAAE AAAAAAAAAAAAEAAAAAAAAABkcnMvUEsBAhQAFAAAAAgAh07iQBGHTELXAAAACAEAAA8AAAAAAAAA AQAgAAAAIgAAAGRycy9kb3ducmV2LnhtbFBLAQIUABQAAAAIAIdO4kCHrIOI2QEAAJwDAAAOAAAA AAAAAAEAIAAAACYBAABkcnMvZTJvRG9jLnhtbFBLBQYAAAAABgAGAFkBAABxBQAAAAA= ">
                            <v:fill on="f" focussize="0,0"/>
                            <v:stroke color="#000000" joinstyle="round"/>
                            <v:imagedata o:title=""/>
                            <o:lock v:ext="edit" aspectratio="f"/>
                          </v:line>
                        </w:pict>
                      </mc:Fallback>
                    </mc:AlternateContent>
                  </w:r>
                  <w:r>
                    <w:rPr>
                      <w:rFonts w:ascii="仿宋" w:hAnsi="仿宋" w:eastAsia="仿宋" w:cs="仿宋"/>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10795</wp:posOffset>
                            </wp:positionV>
                            <wp:extent cx="1183005" cy="361950"/>
                            <wp:effectExtent l="1270" t="4445" r="4445" b="14605"/>
                            <wp:wrapNone/>
                            <wp:docPr id="10" name="直接连接符 10"/>
                            <wp:cNvGraphicFramePr/>
                            <a:graphic xmlns:a="http://schemas.openxmlformats.org/drawingml/2006/main">
                              <a:graphicData uri="http://schemas.microsoft.com/office/word/2010/wordprocessingShape">
                                <wps:wsp>
                                  <wps:cNvCnPr/>
                                  <wps:spPr>
                                    <a:xfrm>
                                      <a:off x="0" y="0"/>
                                      <a:ext cx="1183005" cy="361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8pt;margin-top:0.85pt;height:28.5pt;width:93.15pt;z-index:251661312;mso-width-relative:page;mso-height-relative:page;" filled="f" stroked="t" coordsize="21600,21600" o:gfxdata="UEsDBAoAAAAAAIdO4kAAAAAAAAAAAAAAAAAEAAAAZHJzL1BLAwQUAAAACACHTuJAAOkoXtQAAAAH AQAADwAAAGRycy9kb3ducmV2LnhtbE2OS0/DMBCE70j8B2uRuFSt3SKaKsTpAciNCy2I6zZekoh4 ncbuA3492xOc9jGjma9Yn32vjjTGLrCF+cyAIq6D67ix8LatpitQMSE77AOThW+KsC6vrwrMXTjx Kx03qVESwjFHC21KQ651rFvyGGdhIBbtM4wek5xjo92IJwn3vV4Ys9QeO5aGFgd6bKn+2hy8hVi9 0776mdQT83HXBFrsn16e0drbm7l5AJXonP7McMEXdCiFaRcO7KLqLUyzpTjln4G6yNlKlp2Fe5m6 LPR//vIXUEsDBBQAAAAIAIdO4kCMdcc83QEAAJ8DAAAOAAAAZHJzL2Uyb0RvYy54bWytU82O0zAQ viPxDpbvNElXXe1GTfewZbkgqAQ8wNR2Gkv+k8c07UvwAkjc4MSRO2/D7mMwdkvZXS4IkYMz9sx8 nu/Ll/nVzhq2VRG1dx1vJjVnygkvtdt0/N3bm2cXnGECJ8F4pzq+V8ivFk+fzMfQqqkfvJEqMgJx 2I6h40NKoa0qFIOygBMflKNk76OFRNu4qWSEkdCtqaZ1fV6NPsoQvVCIdLo8JPmi4Pe9Eul136NK zHScZktljWVd57VazKHdRAiDFscx4B+msKAdXXqCWkIC9j7qP6CsFtGj79NEeFv5vtdCFQ7Epqkf sXkzQFCFC4mD4SQT/j9Y8Wq7ikxL+nYkjwNL3+j247cfHz7fff9E6+3XL4wyJNMYsKXqa7eKxx2G Vcycd320+U1s2K5Iuz9Jq3aJCTpsmouzup5xJih3dt5czgpo9bs7REwvlLcsBx032mXq0ML2JSa6 kUp/leRj49jY8cvZNGMCOac3kCi0gbig25Re9EbLG21M7sC4WV+byLaQvVCezItwH5TlS5aAw6Gu pA4uGRTI506ytA8kkiM78zyCVZIzo8j9OSJAaBNo8zeVdLVxuUEVpx55ZqEP0uZo7eW+KF7lHbmg THx0bLbZ/T3F9/+rxU9QSwMECgAAAAAAh07iQAAAAAAAAAAAAAAAAAYAAABfcmVscy9QSwMEFAAA AAgAh07iQIoUZjzRAAAAlAEAAAsAAABfcmVscy8ucmVsc6WQwWrDMAyG74O9g9F9cZrDGKNOL6PQ a+kewNiKYxpbRjLZ+vbzDoNl9LajfqHvE//+8JkWtSJLpGxg1/WgMDvyMQcD75fj0wsoqTZ7u1BG AzcUOIyPD/szLra2I5ljEdUoWQzMtZZXrcXNmKx0VDC3zUScbG0jB12su9qAeuj7Z82/GTBumOrk DfDJD6Aut9LMf9gpOiahqXaOkqZpiu4eVQe2ZY7uyDbhG7lGsxywGvAsGgdqWdd+BH1fv/un3tNH PuO61X6HjOuPV2+6HL8AUEsDBBQAAAAIAIdO4kB+5uUg9wAAAOEBAAATAAAAW0NvbnRlbnRfVHlw ZXNdLnhtbJWRQU7DMBBF90jcwfIWJU67QAgl6YK0S0CoHGBkTxKLZGx5TGhvj5O2G0SRWNoz/78n u9wcxkFMGNg6quQqL6RA0s5Y6ir5vt9lD1JwBDIwOMJKHpHlpr69KfdHjyxSmriSfYz+USnWPY7A ufNIadK6MEJMx9ApD/oDOlTrorhX2lFEilmcO2RdNtjC5xDF9pCuTyYBB5bi6bQ4syoJ3g9WQ0ym aiLzg5KdCXlKLjvcW893SUOqXwnz5DrgnHtJTxOsQfEKIT7DmDSUCayM+6KAU/53yWw5cuba1mrM m8BNir3hdLG61o5r1zj93/Ltkrp0q+WD6m9QSwECFAAUAAAACACHTuJAfublIPcAAADhAQAAEwAA AAAAAAABACAAAABKBAAAW0NvbnRlbnRfVHlwZXNdLnhtbFBLAQIUAAoAAAAAAIdO4kAAAAAAAAAA AAAAAAAGAAAAAAAAAAAAEAAAACwDAABfcmVscy9QSwECFAAUAAAACACHTuJAihRmPNEAAACUAQAA CwAAAAAAAAABACAAAABQAwAAX3JlbHMvLnJlbHNQSwECFAAKAAAAAACHTuJAAAAAAAAAAAAAAAAA BAAAAAAAAAAAABAAAAAAAAAAZHJzL1BLAQIUABQAAAAIAIdO4kAA6She1AAAAAcBAAAPAAAAAAAA AAEAIAAAACIAAABkcnMvZG93bnJldi54bWxQSwECFAAUAAAACACHTuJAjHXHPN0BAACfAwAADgAA AAAAAAABACAAAAAjAQAAZHJzL2Uyb0RvYy54bWxQSwUGAAAAAAYABgBZAQAAcgUAAAAA ">
                            <v:fill on="f" focussize="0,0"/>
                            <v:stroke color="#000000" joinstyle="round"/>
                            <v:imagedata o:title=""/>
                            <o:lock v:ext="edit" aspectratio="f"/>
                          </v:line>
                        </w:pict>
                      </mc:Fallback>
                    </mc:AlternateContent>
                  </w:r>
                  <w:r>
                    <w:rPr>
                      <w:rStyle w:val="71"/>
                      <w:rFonts w:hint="eastAsia" w:ascii="仿宋" w:hAnsi="仿宋" w:eastAsia="仿宋" w:cs="仿宋"/>
                      <w:b w:val="0"/>
                      <w:bCs w:val="0"/>
                      <w:color w:val="auto"/>
                      <w:kern w:val="0"/>
                      <w:sz w:val="24"/>
                      <w:highlight w:val="none"/>
                      <w:shd w:val="clear" w:color="auto" w:fill="FFFFFF"/>
                    </w:rPr>
                    <w:t xml:space="preserve">     类型</w:t>
                  </w:r>
                </w:p>
                <w:p>
                  <w:pPr>
                    <w:widowControl/>
                    <w:spacing w:line="320" w:lineRule="exact"/>
                    <w:jc w:val="center"/>
                    <w:rPr>
                      <w:rStyle w:val="71"/>
                      <w:rFonts w:ascii="仿宋" w:hAnsi="仿宋" w:eastAsia="仿宋" w:cs="仿宋"/>
                      <w:b w:val="0"/>
                      <w:bCs w:val="0"/>
                      <w:color w:val="auto"/>
                      <w:kern w:val="0"/>
                      <w:sz w:val="24"/>
                      <w:highlight w:val="none"/>
                      <w:shd w:val="clear" w:color="auto" w:fill="FFFFFF"/>
                    </w:rPr>
                  </w:pPr>
                  <w:r>
                    <w:rPr>
                      <w:rStyle w:val="71"/>
                      <w:rFonts w:hint="eastAsia" w:ascii="仿宋" w:hAnsi="仿宋" w:eastAsia="仿宋" w:cs="仿宋"/>
                      <w:b w:val="0"/>
                      <w:bCs w:val="0"/>
                      <w:color w:val="auto"/>
                      <w:kern w:val="0"/>
                      <w:sz w:val="24"/>
                      <w:highlight w:val="none"/>
                      <w:shd w:val="clear" w:color="auto" w:fill="FFFFFF"/>
                    </w:rPr>
                    <w:t xml:space="preserve">    费率</w:t>
                  </w:r>
                </w:p>
                <w:p>
                  <w:pPr>
                    <w:widowControl/>
                    <w:spacing w:line="320" w:lineRule="exact"/>
                    <w:rPr>
                      <w:rStyle w:val="71"/>
                      <w:rFonts w:ascii="仿宋" w:hAnsi="仿宋" w:eastAsia="仿宋" w:cs="仿宋"/>
                      <w:b w:val="0"/>
                      <w:bCs w:val="0"/>
                      <w:color w:val="auto"/>
                      <w:kern w:val="0"/>
                      <w:sz w:val="24"/>
                      <w:highlight w:val="none"/>
                      <w:shd w:val="clear" w:color="auto" w:fill="FFFFFF"/>
                    </w:rPr>
                  </w:pPr>
                  <w:r>
                    <w:rPr>
                      <w:rStyle w:val="71"/>
                      <w:rFonts w:hint="eastAsia" w:ascii="仿宋" w:hAnsi="仿宋" w:eastAsia="仿宋" w:cs="仿宋"/>
                      <w:b w:val="0"/>
                      <w:bCs w:val="0"/>
                      <w:color w:val="auto"/>
                      <w:kern w:val="0"/>
                      <w:sz w:val="24"/>
                      <w:highlight w:val="none"/>
                      <w:shd w:val="clear" w:color="auto" w:fill="FFFFFF"/>
                    </w:rPr>
                    <w:t>中标金额</w:t>
                  </w:r>
                </w:p>
              </w:tc>
              <w:tc>
                <w:tcPr>
                  <w:tcW w:w="1093" w:type="dxa"/>
                  <w:shd w:val="clear" w:color="auto" w:fill="auto"/>
                  <w:vAlign w:val="center"/>
                </w:tcPr>
                <w:p>
                  <w:pPr>
                    <w:widowControl/>
                    <w:spacing w:line="320" w:lineRule="exact"/>
                    <w:jc w:val="center"/>
                    <w:rPr>
                      <w:rStyle w:val="71"/>
                      <w:rFonts w:ascii="仿宋" w:hAnsi="仿宋" w:eastAsia="仿宋" w:cs="仿宋"/>
                      <w:b w:val="0"/>
                      <w:bCs w:val="0"/>
                      <w:color w:val="auto"/>
                      <w:kern w:val="0"/>
                      <w:sz w:val="24"/>
                      <w:highlight w:val="none"/>
                      <w:shd w:val="clear" w:color="auto" w:fill="FFFFFF"/>
                    </w:rPr>
                  </w:pPr>
                  <w:r>
                    <w:rPr>
                      <w:rFonts w:hint="eastAsia" w:ascii="仿宋" w:hAnsi="仿宋" w:eastAsia="仿宋" w:cs="仿宋"/>
                      <w:color w:val="auto"/>
                      <w:kern w:val="0"/>
                      <w:sz w:val="24"/>
                      <w:highlight w:val="none"/>
                    </w:rPr>
                    <w:t>货物</w:t>
                  </w:r>
                </w:p>
              </w:tc>
              <w:tc>
                <w:tcPr>
                  <w:tcW w:w="1004" w:type="dxa"/>
                  <w:shd w:val="clear" w:color="auto" w:fill="FFFFFF"/>
                  <w:vAlign w:val="center"/>
                </w:tcPr>
                <w:p>
                  <w:pPr>
                    <w:widowControl/>
                    <w:spacing w:line="320" w:lineRule="exact"/>
                    <w:jc w:val="center"/>
                    <w:rPr>
                      <w:rStyle w:val="71"/>
                      <w:rFonts w:ascii="仿宋" w:hAnsi="仿宋" w:eastAsia="仿宋" w:cs="仿宋"/>
                      <w:color w:val="auto"/>
                      <w:kern w:val="0"/>
                      <w:sz w:val="24"/>
                      <w:highlight w:val="none"/>
                      <w:shd w:val="clear" w:color="auto" w:fill="FFFFFF"/>
                    </w:rPr>
                  </w:pPr>
                  <w:r>
                    <w:rPr>
                      <w:rFonts w:hint="eastAsia" w:ascii="仿宋" w:hAnsi="仿宋" w:eastAsia="仿宋" w:cs="仿宋"/>
                      <w:color w:val="auto"/>
                      <w:kern w:val="0"/>
                      <w:sz w:val="24"/>
                      <w:highlight w:val="none"/>
                    </w:rPr>
                    <w:t>服务</w:t>
                  </w:r>
                </w:p>
              </w:tc>
              <w:tc>
                <w:tcPr>
                  <w:tcW w:w="1074" w:type="dxa"/>
                  <w:shd w:val="clear" w:color="auto" w:fill="FFFFFF"/>
                  <w:vAlign w:val="center"/>
                </w:tcPr>
                <w:p>
                  <w:pPr>
                    <w:widowControl/>
                    <w:spacing w:line="320" w:lineRule="exact"/>
                    <w:jc w:val="center"/>
                    <w:rPr>
                      <w:rStyle w:val="71"/>
                      <w:rFonts w:ascii="仿宋" w:hAnsi="仿宋" w:eastAsia="仿宋" w:cs="仿宋"/>
                      <w:color w:val="auto"/>
                      <w:kern w:val="0"/>
                      <w:sz w:val="24"/>
                      <w:highlight w:val="none"/>
                      <w:shd w:val="clear" w:color="auto" w:fill="FFFFFF"/>
                    </w:rPr>
                  </w:pPr>
                  <w:r>
                    <w:rPr>
                      <w:rFonts w:hint="eastAsia" w:ascii="仿宋" w:hAnsi="仿宋" w:eastAsia="仿宋" w:cs="仿宋"/>
                      <w:color w:val="auto"/>
                      <w:kern w:val="0"/>
                      <w:sz w:val="24"/>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53" w:type="dxa"/>
                  <w:shd w:val="clear" w:color="auto" w:fill="FFFFFF"/>
                </w:tcPr>
                <w:p>
                  <w:pPr>
                    <w:widowControl/>
                    <w:spacing w:line="320" w:lineRule="exact"/>
                    <w:jc w:val="center"/>
                    <w:rPr>
                      <w:rStyle w:val="71"/>
                      <w:rFonts w:ascii="仿宋" w:hAnsi="仿宋" w:eastAsia="仿宋" w:cs="仿宋"/>
                      <w:color w:val="auto"/>
                      <w:kern w:val="0"/>
                      <w:sz w:val="24"/>
                      <w:highlight w:val="none"/>
                      <w:shd w:val="clear" w:color="auto" w:fill="FFFFFF"/>
                    </w:rPr>
                  </w:pPr>
                  <w:r>
                    <w:rPr>
                      <w:rFonts w:hint="eastAsia" w:ascii="仿宋" w:hAnsi="仿宋" w:eastAsia="仿宋" w:cs="仿宋"/>
                      <w:color w:val="auto"/>
                      <w:kern w:val="0"/>
                      <w:sz w:val="24"/>
                      <w:highlight w:val="none"/>
                    </w:rPr>
                    <w:t>100以下</w:t>
                  </w:r>
                </w:p>
              </w:tc>
              <w:tc>
                <w:tcPr>
                  <w:tcW w:w="1093" w:type="dxa"/>
                  <w:shd w:val="clear" w:color="auto" w:fill="FFFFFF"/>
                </w:tcPr>
                <w:p>
                  <w:pPr>
                    <w:widowControl/>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1004" w:type="dxa"/>
                  <w:shd w:val="clear" w:color="auto" w:fill="FFFFFF"/>
                </w:tcPr>
                <w:p>
                  <w:pPr>
                    <w:widowControl/>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1074" w:type="dxa"/>
                  <w:shd w:val="clear" w:color="auto" w:fill="FFFFFF"/>
                </w:tcPr>
                <w:p>
                  <w:pPr>
                    <w:widowControl/>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53" w:type="dxa"/>
                  <w:shd w:val="clear" w:color="auto" w:fill="FFFFFF"/>
                </w:tcPr>
                <w:p>
                  <w:pPr>
                    <w:widowControl/>
                    <w:spacing w:line="320" w:lineRule="exact"/>
                    <w:jc w:val="center"/>
                    <w:rPr>
                      <w:rStyle w:val="71"/>
                      <w:rFonts w:ascii="仿宋" w:hAnsi="仿宋" w:eastAsia="仿宋" w:cs="仿宋"/>
                      <w:color w:val="auto"/>
                      <w:kern w:val="0"/>
                      <w:sz w:val="24"/>
                      <w:highlight w:val="none"/>
                      <w:shd w:val="clear" w:color="auto" w:fill="FFFFFF"/>
                    </w:rPr>
                  </w:pPr>
                  <w:r>
                    <w:rPr>
                      <w:rFonts w:hint="eastAsia" w:ascii="仿宋" w:hAnsi="仿宋" w:eastAsia="仿宋" w:cs="仿宋"/>
                      <w:color w:val="auto"/>
                      <w:kern w:val="0"/>
                      <w:sz w:val="24"/>
                      <w:highlight w:val="none"/>
                    </w:rPr>
                    <w:t>100-500</w:t>
                  </w:r>
                </w:p>
              </w:tc>
              <w:tc>
                <w:tcPr>
                  <w:tcW w:w="1093" w:type="dxa"/>
                  <w:shd w:val="clear" w:color="auto" w:fill="FFFFFF"/>
                </w:tcPr>
                <w:p>
                  <w:pPr>
                    <w:widowControl/>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1004" w:type="dxa"/>
                  <w:shd w:val="clear" w:color="auto" w:fill="FFFFFF"/>
                </w:tcPr>
                <w:p>
                  <w:pPr>
                    <w:widowControl/>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0.8%</w:t>
                  </w:r>
                </w:p>
              </w:tc>
              <w:tc>
                <w:tcPr>
                  <w:tcW w:w="1074" w:type="dxa"/>
                  <w:shd w:val="clear" w:color="auto" w:fill="FFFFFF"/>
                </w:tcPr>
                <w:p>
                  <w:pPr>
                    <w:widowControl/>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53" w:type="dxa"/>
                  <w:shd w:val="clear" w:color="auto" w:fill="FFFFFF"/>
                </w:tcPr>
                <w:p>
                  <w:pPr>
                    <w:widowControl/>
                    <w:spacing w:line="320" w:lineRule="exact"/>
                    <w:jc w:val="center"/>
                    <w:rPr>
                      <w:rStyle w:val="71"/>
                      <w:rFonts w:ascii="仿宋" w:hAnsi="仿宋" w:eastAsia="仿宋" w:cs="仿宋"/>
                      <w:color w:val="auto"/>
                      <w:kern w:val="0"/>
                      <w:sz w:val="24"/>
                      <w:highlight w:val="none"/>
                      <w:shd w:val="clear" w:color="auto" w:fill="FFFFFF"/>
                    </w:rPr>
                  </w:pPr>
                  <w:r>
                    <w:rPr>
                      <w:rFonts w:hint="eastAsia" w:ascii="仿宋" w:hAnsi="仿宋" w:eastAsia="仿宋" w:cs="仿宋"/>
                      <w:color w:val="auto"/>
                      <w:kern w:val="0"/>
                      <w:sz w:val="24"/>
                      <w:highlight w:val="none"/>
                    </w:rPr>
                    <w:t>500-1000</w:t>
                  </w:r>
                </w:p>
              </w:tc>
              <w:tc>
                <w:tcPr>
                  <w:tcW w:w="1093" w:type="dxa"/>
                  <w:shd w:val="clear" w:color="auto" w:fill="FFFFFF"/>
                </w:tcPr>
                <w:p>
                  <w:pPr>
                    <w:widowControl/>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0.8%</w:t>
                  </w:r>
                </w:p>
              </w:tc>
              <w:tc>
                <w:tcPr>
                  <w:tcW w:w="1004" w:type="dxa"/>
                  <w:shd w:val="clear" w:color="auto" w:fill="FFFFFF"/>
                </w:tcPr>
                <w:p>
                  <w:pPr>
                    <w:widowControl/>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0.45%</w:t>
                  </w:r>
                </w:p>
              </w:tc>
              <w:tc>
                <w:tcPr>
                  <w:tcW w:w="1074" w:type="dxa"/>
                  <w:shd w:val="clear" w:color="auto" w:fill="FFFFFF"/>
                </w:tcPr>
                <w:p>
                  <w:pPr>
                    <w:widowControl/>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0.55%</w:t>
                  </w:r>
                </w:p>
              </w:tc>
            </w:tr>
          </w:tbl>
          <w:p>
            <w:pPr>
              <w:spacing w:line="320" w:lineRule="exact"/>
              <w:rPr>
                <w:rFonts w:ascii="仿宋" w:hAnsi="仿宋" w:eastAsia="仿宋" w:cs="仿宋"/>
                <w:color w:val="auto"/>
                <w:sz w:val="24"/>
                <w:highlight w:val="none"/>
              </w:rPr>
            </w:pPr>
            <w:r>
              <w:rPr>
                <w:rFonts w:hint="eastAsia" w:ascii="仿宋" w:hAnsi="仿宋" w:eastAsia="仿宋" w:cs="仿宋"/>
                <w:color w:val="auto"/>
                <w:sz w:val="24"/>
                <w:highlight w:val="none"/>
              </w:rPr>
              <w:t>（2）招标代理服务费可以是现金、支票或汇票。</w:t>
            </w:r>
          </w:p>
          <w:p>
            <w:pPr>
              <w:spacing w:line="320" w:lineRule="exact"/>
              <w:rPr>
                <w:rFonts w:ascii="仿宋" w:hAnsi="仿宋" w:eastAsia="仿宋" w:cs="仿宋"/>
                <w:color w:val="auto"/>
                <w:sz w:val="24"/>
                <w:highlight w:val="none"/>
              </w:rPr>
            </w:pPr>
            <w:r>
              <w:rPr>
                <w:rFonts w:hint="eastAsia" w:ascii="仿宋" w:hAnsi="仿宋" w:eastAsia="仿宋" w:cs="仿宋"/>
                <w:color w:val="auto"/>
                <w:sz w:val="24"/>
                <w:highlight w:val="none"/>
              </w:rPr>
              <w:t>（3）收取时间：中标通知书发出后3个工作日内。</w:t>
            </w:r>
          </w:p>
          <w:p>
            <w:pPr>
              <w:spacing w:line="320" w:lineRule="exact"/>
              <w:rPr>
                <w:rFonts w:ascii="仿宋" w:hAnsi="仿宋" w:eastAsia="仿宋" w:cs="仿宋"/>
                <w:color w:val="auto"/>
                <w:sz w:val="24"/>
                <w:highlight w:val="none"/>
              </w:rPr>
            </w:pPr>
            <w:r>
              <w:rPr>
                <w:rFonts w:hint="eastAsia" w:ascii="仿宋" w:hAnsi="仿宋" w:eastAsia="仿宋" w:cs="仿宋"/>
                <w:color w:val="auto"/>
                <w:sz w:val="24"/>
                <w:highlight w:val="none"/>
              </w:rPr>
              <w:t>（4）汇款信息：</w:t>
            </w:r>
          </w:p>
          <w:p>
            <w:pPr>
              <w:spacing w:line="320" w:lineRule="exact"/>
              <w:rPr>
                <w:rFonts w:ascii="仿宋" w:hAnsi="仿宋" w:eastAsia="仿宋" w:cs="仿宋"/>
                <w:color w:val="auto"/>
                <w:sz w:val="24"/>
                <w:highlight w:val="none"/>
              </w:rPr>
            </w:pPr>
            <w:r>
              <w:rPr>
                <w:rFonts w:hint="eastAsia" w:ascii="仿宋" w:hAnsi="仿宋" w:eastAsia="仿宋" w:cs="仿宋"/>
                <w:color w:val="auto"/>
                <w:sz w:val="24"/>
                <w:highlight w:val="none"/>
              </w:rPr>
              <w:t>收款人：杭州博实招标代理有限公司</w:t>
            </w:r>
          </w:p>
          <w:p>
            <w:pPr>
              <w:spacing w:line="320" w:lineRule="exact"/>
              <w:rPr>
                <w:rFonts w:ascii="仿宋" w:hAnsi="仿宋" w:eastAsia="仿宋" w:cs="仿宋"/>
                <w:color w:val="auto"/>
                <w:sz w:val="24"/>
                <w:highlight w:val="none"/>
              </w:rPr>
            </w:pPr>
            <w:r>
              <w:rPr>
                <w:rFonts w:hint="eastAsia" w:ascii="仿宋" w:hAnsi="仿宋" w:eastAsia="仿宋" w:cs="仿宋"/>
                <w:color w:val="auto"/>
                <w:sz w:val="24"/>
                <w:highlight w:val="none"/>
              </w:rPr>
              <w:t>开户银行：杭州联合农村商业银行股份有限公司丰潭支行</w:t>
            </w:r>
          </w:p>
          <w:p>
            <w:pPr>
              <w:spacing w:line="320" w:lineRule="exact"/>
              <w:rPr>
                <w:rFonts w:ascii="仿宋" w:hAnsi="仿宋" w:eastAsia="仿宋"/>
                <w:snapToGrid w:val="0"/>
                <w:color w:val="auto"/>
                <w:kern w:val="28"/>
                <w:sz w:val="24"/>
                <w:highlight w:val="none"/>
              </w:rPr>
            </w:pPr>
            <w:r>
              <w:rPr>
                <w:rFonts w:hint="eastAsia" w:ascii="仿宋" w:hAnsi="仿宋" w:eastAsia="仿宋" w:cs="仿宋"/>
                <w:color w:val="auto"/>
                <w:sz w:val="24"/>
                <w:highlight w:val="none"/>
              </w:rPr>
              <w:t>账号：201000069514479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特别说明</w:t>
            </w:r>
          </w:p>
        </w:tc>
        <w:tc>
          <w:tcPr>
            <w:tcW w:w="634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无</w:t>
            </w:r>
            <w:r>
              <w:rPr>
                <w:rFonts w:hint="eastAsia" w:ascii="仿宋" w:hAnsi="仿宋" w:eastAsia="仿宋" w:cs="宋体"/>
                <w:b/>
                <w:color w:val="auto"/>
                <w:kern w:val="0"/>
                <w:sz w:val="24"/>
                <w:highlight w:val="none"/>
              </w:rPr>
              <w:t>。</w:t>
            </w:r>
          </w:p>
        </w:tc>
      </w:tr>
    </w:tbl>
    <w:p>
      <w:pPr>
        <w:pStyle w:val="2"/>
        <w:rPr>
          <w:rFonts w:ascii="仿宋" w:hAnsi="仿宋" w:eastAsia="仿宋"/>
          <w:color w:val="auto"/>
          <w:highlight w:val="none"/>
        </w:rPr>
      </w:pPr>
    </w:p>
    <w:p>
      <w:pPr>
        <w:pStyle w:val="2"/>
        <w:rPr>
          <w:rFonts w:ascii="仿宋" w:hAnsi="仿宋" w:eastAsia="仿宋"/>
          <w:color w:val="auto"/>
          <w:highlight w:val="none"/>
        </w:rPr>
      </w:pPr>
    </w:p>
    <w:p>
      <w:pPr>
        <w:pStyle w:val="2"/>
        <w:rPr>
          <w:rFonts w:ascii="仿宋" w:hAnsi="仿宋" w:eastAsia="仿宋"/>
          <w:color w:val="auto"/>
          <w:highlight w:val="none"/>
        </w:rPr>
      </w:pPr>
    </w:p>
    <w:p>
      <w:pPr>
        <w:pStyle w:val="2"/>
        <w:rPr>
          <w:rFonts w:ascii="仿宋" w:hAnsi="仿宋" w:eastAsia="仿宋"/>
          <w:color w:val="auto"/>
          <w:highlight w:val="none"/>
        </w:rPr>
      </w:pPr>
    </w:p>
    <w:p>
      <w:pPr>
        <w:snapToGrid w:val="0"/>
        <w:spacing w:line="360" w:lineRule="auto"/>
        <w:rPr>
          <w:rFonts w:ascii="仿宋" w:hAnsi="仿宋" w:eastAsia="仿宋" w:cs="仿宋_GB2312"/>
          <w:b/>
          <w:color w:val="auto"/>
          <w:sz w:val="32"/>
          <w:szCs w:val="20"/>
          <w:highlight w:val="none"/>
        </w:rPr>
      </w:pPr>
    </w:p>
    <w:bookmarkEnd w:id="10"/>
    <w:p>
      <w:pPr>
        <w:rPr>
          <w:rFonts w:ascii="仿宋" w:hAnsi="仿宋" w:eastAsia="仿宋" w:cs="仿宋_GB2312"/>
          <w:b/>
          <w:color w:val="auto"/>
          <w:sz w:val="32"/>
          <w:szCs w:val="20"/>
          <w:highlight w:val="none"/>
        </w:rPr>
      </w:pPr>
      <w:bookmarkStart w:id="11" w:name="第三部分"/>
      <w:bookmarkStart w:id="12" w:name="_Toc164416483"/>
      <w:r>
        <w:rPr>
          <w:rFonts w:hint="eastAsia" w:ascii="仿宋" w:hAnsi="仿宋" w:eastAsia="仿宋" w:cs="仿宋_GB2312"/>
          <w:b/>
          <w:color w:val="auto"/>
          <w:sz w:val="32"/>
          <w:szCs w:val="20"/>
          <w:highlight w:val="none"/>
        </w:rPr>
        <w:br w:type="page"/>
      </w:r>
    </w:p>
    <w:p>
      <w:pPr>
        <w:adjustRightInd/>
        <w:spacing w:line="360" w:lineRule="auto"/>
        <w:ind w:firstLine="3845" w:firstLineChars="1197"/>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一、总则</w:t>
      </w:r>
    </w:p>
    <w:p>
      <w:pPr>
        <w:snapToGrid w:val="0"/>
        <w:spacing w:line="360" w:lineRule="auto"/>
        <w:ind w:firstLine="482" w:firstLineChars="200"/>
        <w:jc w:val="left"/>
        <w:outlineLvl w:val="1"/>
        <w:rPr>
          <w:rFonts w:ascii="仿宋" w:hAnsi="仿宋" w:eastAsia="仿宋"/>
          <w:b/>
          <w:color w:val="auto"/>
          <w:sz w:val="24"/>
          <w:highlight w:val="none"/>
        </w:rPr>
      </w:pPr>
      <w:r>
        <w:rPr>
          <w:rFonts w:ascii="仿宋" w:hAnsi="仿宋" w:eastAsia="仿宋"/>
          <w:b/>
          <w:color w:val="auto"/>
          <w:sz w:val="24"/>
          <w:highlight w:val="none"/>
        </w:rPr>
        <w:t>1.</w:t>
      </w:r>
      <w:r>
        <w:rPr>
          <w:rFonts w:hint="eastAsia" w:ascii="仿宋" w:hAnsi="仿宋" w:eastAsia="仿宋"/>
          <w:b/>
          <w:color w:val="auto"/>
          <w:sz w:val="24"/>
          <w:highlight w:val="none"/>
        </w:rPr>
        <w:t>适用范围</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本招标文件适用于该项目的招标、投标、开标、资格审查及信用信息查询、评标、定标、合同、验收等行为（法律、法规另有规定的，从其规定）。</w:t>
      </w:r>
    </w:p>
    <w:p>
      <w:pPr>
        <w:snapToGrid w:val="0"/>
        <w:spacing w:line="360" w:lineRule="auto"/>
        <w:ind w:firstLine="482" w:firstLineChars="200"/>
        <w:jc w:val="left"/>
        <w:rPr>
          <w:rFonts w:ascii="仿宋" w:hAnsi="仿宋" w:eastAsia="仿宋" w:cs="仿宋_GB2312"/>
          <w:b/>
          <w:color w:val="auto"/>
          <w:sz w:val="24"/>
          <w:highlight w:val="none"/>
        </w:rPr>
      </w:pPr>
      <w:r>
        <w:rPr>
          <w:rFonts w:ascii="仿宋" w:hAnsi="仿宋" w:eastAsia="仿宋" w:cs="仿宋_GB2312"/>
          <w:b/>
          <w:color w:val="auto"/>
          <w:sz w:val="24"/>
          <w:highlight w:val="none"/>
        </w:rPr>
        <w:t>2.定义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 </w:t>
      </w:r>
      <w:r>
        <w:rPr>
          <w:rFonts w:hint="eastAsia" w:ascii="仿宋" w:hAnsi="仿宋" w:eastAsia="仿宋"/>
          <w:color w:val="auto"/>
          <w:sz w:val="24"/>
          <w:highlight w:val="none"/>
        </w:rPr>
        <w:t>“采购人”系指招标公告中载明的本项目的采购人。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2.2 </w:t>
      </w:r>
      <w:r>
        <w:rPr>
          <w:rFonts w:hint="eastAsia" w:ascii="仿宋" w:hAnsi="仿宋" w:eastAsia="仿宋"/>
          <w:color w:val="auto"/>
          <w:sz w:val="24"/>
          <w:highlight w:val="none"/>
        </w:rPr>
        <w:t>“采购代理机构”系指招标公告中载明的本项目的采购代理机构。</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 </w:t>
      </w:r>
      <w:r>
        <w:rPr>
          <w:rFonts w:hint="eastAsia" w:ascii="仿宋" w:hAnsi="仿宋" w:eastAsia="仿宋"/>
          <w:color w:val="auto"/>
          <w:sz w:val="24"/>
          <w:highlight w:val="none"/>
        </w:rPr>
        <w:t>“投标人”系指是指响应招标、参加投标竞争的法人、其他组织或者自然人。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 </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 </w:t>
      </w:r>
      <w:r>
        <w:rPr>
          <w:rFonts w:hint="eastAsia" w:ascii="仿宋" w:hAnsi="仿宋" w:eastAsia="仿宋"/>
          <w:color w:val="auto"/>
          <w:sz w:val="24"/>
          <w:highlight w:val="none"/>
        </w:rPr>
        <w:t>“▲”</w:t>
      </w:r>
      <w:r>
        <w:rPr>
          <w:rFonts w:ascii="仿宋" w:hAnsi="仿宋" w:eastAsia="仿宋"/>
          <w:color w:val="auto"/>
          <w:sz w:val="24"/>
          <w:highlight w:val="none"/>
        </w:rPr>
        <w:t xml:space="preserve"> </w:t>
      </w:r>
      <w:r>
        <w:rPr>
          <w:rFonts w:hint="eastAsia" w:ascii="仿宋" w:hAnsi="仿宋" w:eastAsia="仿宋"/>
          <w:color w:val="auto"/>
          <w:sz w:val="24"/>
          <w:highlight w:val="none"/>
        </w:rPr>
        <w:t>系指实质性要求条款，“</w:t>
      </w:r>
      <w:r>
        <w:rPr>
          <w:rFonts w:hint="eastAsia" w:ascii="仿宋" w:hAnsi="仿宋" w:eastAsia="仿宋" w:cs="仿宋"/>
          <w:b/>
          <w:bCs/>
          <w:color w:val="auto"/>
          <w:sz w:val="24"/>
          <w:highlight w:val="none"/>
        </w:rPr>
        <w:t>※</w:t>
      </w:r>
      <w:r>
        <w:rPr>
          <w:rFonts w:hint="eastAsia" w:ascii="仿宋" w:hAnsi="仿宋" w:eastAsia="仿宋"/>
          <w:color w:val="auto"/>
          <w:sz w:val="24"/>
          <w:highlight w:val="none"/>
        </w:rPr>
        <w:t>”系产品采购项目中单一产品或核心产品，“</w:t>
      </w:r>
      <w:sdt>
        <w:sdtPr>
          <w:rPr>
            <w:rFonts w:hint="eastAsia" w:ascii="仿宋" w:hAnsi="仿宋" w:eastAsia="仿宋" w:cs="Arial"/>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Wingdings" w:hAnsi="Wingdings" w:eastAsia="仿宋" w:cs="Arial"/>
              <w:color w:val="auto"/>
              <w:kern w:val="0"/>
              <w:sz w:val="24"/>
              <w:highlight w:val="none"/>
            </w:rPr>
            <w:t></w:t>
          </w:r>
        </w:sdtContent>
      </w:sdt>
      <w:r>
        <w:rPr>
          <w:rFonts w:hint="eastAsia" w:ascii="仿宋" w:hAnsi="仿宋" w:eastAsia="仿宋"/>
          <w:color w:val="auto"/>
          <w:sz w:val="24"/>
          <w:highlight w:val="none"/>
        </w:rPr>
        <w:t>”</w:t>
      </w:r>
      <w:r>
        <w:rPr>
          <w:rFonts w:ascii="仿宋" w:hAnsi="仿宋" w:eastAsia="仿宋"/>
          <w:color w:val="auto"/>
          <w:sz w:val="24"/>
          <w:highlight w:val="none"/>
        </w:rPr>
        <w:t xml:space="preserve"> </w:t>
      </w:r>
      <w:r>
        <w:rPr>
          <w:rFonts w:hint="eastAsia" w:ascii="仿宋" w:hAnsi="仿宋" w:eastAsia="仿宋"/>
          <w:color w:val="auto"/>
          <w:sz w:val="24"/>
          <w:highlight w:val="none"/>
        </w:rPr>
        <w:t>系指适用本项目的要求，“</w:t>
      </w:r>
      <w:sdt>
        <w:sdtPr>
          <w:rPr>
            <w:rFonts w:hint="eastAsia" w:ascii="仿宋" w:hAnsi="仿宋" w:eastAsia="仿宋" w:cs="Arial"/>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olor w:val="auto"/>
          <w:sz w:val="24"/>
          <w:highlight w:val="none"/>
        </w:rPr>
        <w:t>”</w:t>
      </w:r>
      <w:r>
        <w:rPr>
          <w:rFonts w:ascii="仿宋" w:hAnsi="仿宋" w:eastAsia="仿宋"/>
          <w:color w:val="auto"/>
          <w:sz w:val="24"/>
          <w:highlight w:val="none"/>
        </w:rPr>
        <w:t xml:space="preserve"> </w:t>
      </w:r>
      <w:r>
        <w:rPr>
          <w:rFonts w:hint="eastAsia" w:ascii="仿宋" w:hAnsi="仿宋" w:eastAsia="仿宋"/>
          <w:color w:val="auto"/>
          <w:sz w:val="24"/>
          <w:highlight w:val="none"/>
        </w:rPr>
        <w:t>系指不适用本项目的要求。</w:t>
      </w:r>
    </w:p>
    <w:p>
      <w:pPr>
        <w:spacing w:line="360" w:lineRule="auto"/>
        <w:ind w:firstLine="482" w:firstLineChars="200"/>
        <w:rPr>
          <w:rFonts w:ascii="仿宋" w:hAnsi="仿宋" w:eastAsia="仿宋"/>
          <w:b/>
          <w:color w:val="auto"/>
          <w:sz w:val="24"/>
          <w:highlight w:val="none"/>
        </w:rPr>
      </w:pPr>
      <w:r>
        <w:rPr>
          <w:rFonts w:ascii="仿宋" w:hAnsi="仿宋" w:eastAsia="仿宋"/>
          <w:b/>
          <w:color w:val="auto"/>
          <w:sz w:val="24"/>
          <w:highlight w:val="none"/>
        </w:rPr>
        <w:t>3.</w:t>
      </w:r>
      <w:r>
        <w:rPr>
          <w:rFonts w:ascii="仿宋" w:hAnsi="仿宋" w:eastAsia="仿宋"/>
          <w:color w:val="auto"/>
          <w:highlight w:val="none"/>
        </w:rPr>
        <w:t xml:space="preserve"> </w:t>
      </w:r>
      <w:r>
        <w:rPr>
          <w:rFonts w:hint="eastAsia" w:ascii="仿宋" w:hAnsi="仿宋" w:eastAsia="仿宋"/>
          <w:b/>
          <w:color w:val="auto"/>
          <w:sz w:val="24"/>
          <w:highlight w:val="none"/>
        </w:rPr>
        <w:t>采购项目需要落实的政府采购政策</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3.1 </w:t>
      </w:r>
      <w:r>
        <w:rPr>
          <w:rFonts w:hint="eastAsia" w:ascii="仿宋" w:hAnsi="仿宋" w:eastAsia="仿宋"/>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3.2 </w:t>
      </w:r>
      <w:r>
        <w:rPr>
          <w:rFonts w:hint="eastAsia" w:ascii="仿宋" w:hAnsi="仿宋" w:eastAsia="仿宋"/>
          <w:color w:val="auto"/>
          <w:sz w:val="24"/>
          <w:highlight w:val="none"/>
        </w:rPr>
        <w:t>支持绿色发展</w:t>
      </w:r>
    </w:p>
    <w:p>
      <w:pPr>
        <w:spacing w:line="360" w:lineRule="auto"/>
        <w:ind w:firstLine="480" w:firstLineChars="200"/>
        <w:rPr>
          <w:rFonts w:ascii="仿宋" w:hAnsi="仿宋" w:eastAsia="仿宋"/>
          <w:b/>
          <w:color w:val="auto"/>
          <w:sz w:val="24"/>
          <w:highlight w:val="none"/>
        </w:rPr>
      </w:pPr>
      <w:r>
        <w:rPr>
          <w:rFonts w:ascii="仿宋" w:hAnsi="仿宋" w:eastAsia="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3.2.2 </w:t>
      </w:r>
      <w:r>
        <w:rPr>
          <w:rFonts w:hint="eastAsia" w:ascii="仿宋" w:hAnsi="仿宋" w:eastAsia="仿宋"/>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3.2.3</w:t>
      </w:r>
      <w:r>
        <w:rPr>
          <w:rFonts w:hint="eastAsia" w:ascii="仿宋" w:hAnsi="仿宋" w:eastAsia="仿宋"/>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3.3支持中小企业发展</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bCs/>
          <w:color w:val="auto"/>
          <w:sz w:val="24"/>
          <w:highlight w:val="none"/>
        </w:rPr>
        <w:t>3.3.2</w:t>
      </w:r>
      <w:r>
        <w:rPr>
          <w:rFonts w:hint="eastAsia" w:ascii="仿宋" w:hAnsi="仿宋" w:eastAsia="仿宋"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3.3.3</w:t>
      </w:r>
      <w:r>
        <w:rPr>
          <w:rFonts w:hint="eastAsia" w:ascii="仿宋" w:hAnsi="仿宋" w:eastAsia="仿宋"/>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olor w:val="auto"/>
          <w:sz w:val="24"/>
          <w:highlight w:val="none"/>
        </w:rPr>
        <w:t>10%的扣除，用扣除后的价格参与评审。接受大中型企业与小微企业组成联合体或者允许大中型企业向一家或者多家小微企业分包的</w:t>
      </w:r>
      <w:r>
        <w:rPr>
          <w:rFonts w:hint="eastAsia" w:ascii="仿宋" w:hAnsi="仿宋" w:eastAsia="仿宋"/>
          <w:color w:val="auto"/>
          <w:sz w:val="24"/>
          <w:highlight w:val="none"/>
        </w:rPr>
        <w:t>政府</w:t>
      </w:r>
      <w:r>
        <w:rPr>
          <w:rFonts w:ascii="仿宋" w:hAnsi="仿宋" w:eastAsia="仿宋"/>
          <w:color w:val="auto"/>
          <w:sz w:val="24"/>
          <w:highlight w:val="none"/>
        </w:rPr>
        <w:t>采购</w:t>
      </w:r>
      <w:r>
        <w:rPr>
          <w:rFonts w:hint="eastAsia" w:ascii="仿宋" w:hAnsi="仿宋" w:eastAsia="仿宋"/>
          <w:color w:val="auto"/>
          <w:sz w:val="24"/>
          <w:highlight w:val="none"/>
        </w:rPr>
        <w:t>货物或服务</w:t>
      </w:r>
      <w:r>
        <w:rPr>
          <w:rFonts w:ascii="仿宋" w:hAnsi="仿宋" w:eastAsia="仿宋"/>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3.3.6</w:t>
      </w:r>
      <w:r>
        <w:rPr>
          <w:rFonts w:hint="eastAsia" w:ascii="仿宋" w:hAnsi="仿宋" w:eastAsia="仿宋"/>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3.3.7中小企业享受扶持政策获得政府采购合同的，小微企业不得将合同分包给大中型企业，中型企业不得将合同分包给大型企业</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3.4</w:t>
      </w:r>
      <w:r>
        <w:rPr>
          <w:rFonts w:hint="eastAsia" w:ascii="仿宋" w:hAnsi="仿宋" w:eastAsia="仿宋"/>
          <w:bCs/>
          <w:color w:val="auto"/>
          <w:sz w:val="24"/>
          <w:highlight w:val="none"/>
        </w:rPr>
        <w:t>支持创新发展</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3.4.1 采购人优先采购被认定</w:t>
      </w:r>
      <w:r>
        <w:rPr>
          <w:rFonts w:hint="eastAsia" w:ascii="仿宋" w:hAnsi="仿宋" w:eastAsia="仿宋"/>
          <w:color w:val="auto"/>
          <w:sz w:val="24"/>
          <w:highlight w:val="none"/>
        </w:rPr>
        <w:t>为首台套产品和“制造精品”的自主创新产品。</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3.4.2首台套产品</w:t>
      </w:r>
      <w:r>
        <w:rPr>
          <w:rFonts w:hint="eastAsia" w:ascii="仿宋" w:hAnsi="仿宋" w:eastAsia="仿宋"/>
          <w:color w:val="auto"/>
          <w:sz w:val="24"/>
          <w:highlight w:val="none"/>
        </w:rPr>
        <w:t>被纳入《首台套产品推广应用指导目录》之日起</w:t>
      </w:r>
      <w:r>
        <w:rPr>
          <w:rFonts w:ascii="仿宋" w:hAnsi="仿宋" w:eastAsia="仿宋"/>
          <w:color w:val="auto"/>
          <w:sz w:val="24"/>
          <w:highlight w:val="none"/>
        </w:rPr>
        <w:t>2年内，以及产品核心技术高于国内领先水平，并具有明晰自主知识产权的“制造精品”产品，</w:t>
      </w:r>
      <w:r>
        <w:rPr>
          <w:rFonts w:hint="eastAsia" w:ascii="仿宋" w:hAnsi="仿宋" w:eastAsia="仿宋"/>
          <w:color w:val="auto"/>
          <w:sz w:val="24"/>
          <w:highlight w:val="none"/>
        </w:rPr>
        <w:t>自认定之日起</w:t>
      </w:r>
      <w:r>
        <w:rPr>
          <w:rFonts w:ascii="仿宋" w:hAnsi="仿宋" w:eastAsia="仿宋"/>
          <w:color w:val="auto"/>
          <w:sz w:val="24"/>
          <w:highlight w:val="none"/>
        </w:rPr>
        <w:t>2年内视同已具备相应销售业绩，参加政府采购活动</w:t>
      </w:r>
      <w:r>
        <w:rPr>
          <w:rFonts w:hint="eastAsia" w:ascii="仿宋" w:hAnsi="仿宋" w:eastAsia="仿宋"/>
          <w:color w:val="auto"/>
          <w:sz w:val="24"/>
          <w:highlight w:val="none"/>
        </w:rPr>
        <w:t>时业绩分值为满分。</w:t>
      </w:r>
    </w:p>
    <w:p>
      <w:pPr>
        <w:spacing w:line="360" w:lineRule="auto"/>
        <w:ind w:firstLine="482" w:firstLineChars="200"/>
        <w:rPr>
          <w:rFonts w:ascii="仿宋" w:hAnsi="仿宋" w:eastAsia="仿宋"/>
          <w:b/>
          <w:color w:val="auto"/>
          <w:sz w:val="24"/>
          <w:highlight w:val="none"/>
        </w:rPr>
      </w:pPr>
      <w:r>
        <w:rPr>
          <w:rFonts w:ascii="仿宋" w:hAnsi="仿宋" w:eastAsia="仿宋"/>
          <w:b/>
          <w:color w:val="auto"/>
          <w:sz w:val="24"/>
          <w:highlight w:val="none"/>
        </w:rPr>
        <w:t xml:space="preserve">4. </w:t>
      </w:r>
      <w:r>
        <w:rPr>
          <w:rFonts w:hint="eastAsia" w:ascii="仿宋" w:hAnsi="仿宋" w:eastAsia="仿宋"/>
          <w:b/>
          <w:color w:val="auto"/>
          <w:sz w:val="24"/>
          <w:highlight w:val="none"/>
        </w:rPr>
        <w:t>询问、质疑、投诉</w:t>
      </w:r>
    </w:p>
    <w:p>
      <w:pPr>
        <w:autoSpaceDE w:val="0"/>
        <w:autoSpaceDN w:val="0"/>
        <w:spacing w:line="360" w:lineRule="auto"/>
        <w:ind w:firstLine="480" w:firstLineChars="200"/>
        <w:jc w:val="left"/>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4.1供应商询问</w:t>
      </w:r>
    </w:p>
    <w:p>
      <w:pPr>
        <w:autoSpaceDE w:val="0"/>
        <w:autoSpaceDN w:val="0"/>
        <w:spacing w:line="360" w:lineRule="auto"/>
        <w:ind w:firstLine="480" w:firstLineChars="200"/>
        <w:jc w:val="left"/>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供应商对政府采购活动事项有疑问的，可以提出询问，采购人或者采购代理机构应当在</w:t>
      </w:r>
      <w:r>
        <w:rPr>
          <w:rFonts w:ascii="仿宋" w:hAnsi="仿宋" w:eastAsia="仿宋" w:cs="微软雅黑"/>
          <w:color w:val="auto"/>
          <w:kern w:val="0"/>
          <w:sz w:val="24"/>
          <w:highlight w:val="none"/>
          <w:lang w:val="zh-CN"/>
        </w:rPr>
        <w:t>3个工作日内对供应</w:t>
      </w:r>
      <w:r>
        <w:rPr>
          <w:rFonts w:hint="eastAsia" w:ascii="仿宋" w:hAnsi="仿宋" w:eastAsia="仿宋"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4.2供应商质疑</w:t>
      </w:r>
    </w:p>
    <w:p>
      <w:pPr>
        <w:pStyle w:val="33"/>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.2供应商认为招标文件、采购过程和中标结果使自己的权益受到损害的，可以在知道或者应知其权益受到损害之日起七个工作日内，以书面形式向采购人或者采购</w:t>
      </w:r>
      <w:r>
        <w:rPr>
          <w:rFonts w:hint="eastAsia" w:ascii="仿宋" w:hAnsi="仿宋" w:eastAsia="仿宋"/>
          <w:color w:val="auto"/>
          <w:sz w:val="24"/>
          <w:highlight w:val="none"/>
        </w:rPr>
        <w:t>代理</w:t>
      </w:r>
      <w:r>
        <w:rPr>
          <w:rFonts w:ascii="仿宋" w:hAnsi="仿宋" w:eastAsia="仿宋"/>
          <w:color w:val="auto"/>
          <w:sz w:val="24"/>
          <w:highlight w:val="none"/>
        </w:rPr>
        <w:t>机构提出质疑，否则，采购人或者采购</w:t>
      </w:r>
      <w:r>
        <w:rPr>
          <w:rFonts w:hint="eastAsia" w:ascii="仿宋" w:hAnsi="仿宋" w:eastAsia="仿宋"/>
          <w:color w:val="auto"/>
          <w:sz w:val="24"/>
          <w:highlight w:val="none"/>
        </w:rPr>
        <w:t>代理</w:t>
      </w:r>
      <w:r>
        <w:rPr>
          <w:rFonts w:ascii="仿宋" w:hAnsi="仿宋" w:eastAsia="仿宋"/>
          <w:color w:val="auto"/>
          <w:sz w:val="24"/>
          <w:highlight w:val="none"/>
        </w:rPr>
        <w:t>机构不予受理：</w:t>
      </w:r>
    </w:p>
    <w:p>
      <w:pPr>
        <w:pStyle w:val="6"/>
        <w:spacing w:line="360" w:lineRule="auto"/>
        <w:ind w:firstLine="480" w:firstLineChars="200"/>
        <w:rPr>
          <w:rFonts w:ascii="仿宋" w:hAnsi="仿宋" w:eastAsia="仿宋"/>
          <w:snapToGrid/>
          <w:color w:val="auto"/>
          <w:kern w:val="2"/>
          <w:sz w:val="24"/>
          <w:highlight w:val="none"/>
        </w:rPr>
      </w:pPr>
      <w:r>
        <w:rPr>
          <w:rFonts w:ascii="仿宋" w:hAnsi="仿宋" w:eastAsia="仿宋"/>
          <w:snapToGrid/>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4.2.2.3对采购结果提出质疑的，质疑期限自采购结果公告期限届满之日起计算。</w:t>
      </w:r>
    </w:p>
    <w:p>
      <w:pPr>
        <w:pStyle w:val="33"/>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w:t>
      </w:r>
      <w:r>
        <w:rPr>
          <w:rFonts w:hint="eastAsia" w:ascii="仿宋" w:hAnsi="仿宋" w:eastAsia="仿宋"/>
          <w:color w:val="auto"/>
          <w:sz w:val="24"/>
          <w:highlight w:val="none"/>
        </w:rPr>
        <w:t>供应商提出质疑应当提交质疑函和必要的证明材料。质疑函应当包括下列内容：</w:t>
      </w:r>
    </w:p>
    <w:p>
      <w:pPr>
        <w:pStyle w:val="33"/>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4.2.3.1</w:t>
      </w:r>
      <w:r>
        <w:rPr>
          <w:rFonts w:hint="eastAsia" w:ascii="仿宋" w:hAnsi="仿宋" w:eastAsia="仿宋" w:cs="微软雅黑"/>
          <w:color w:val="auto"/>
          <w:kern w:val="0"/>
          <w:sz w:val="24"/>
          <w:highlight w:val="none"/>
          <w:lang w:val="zh-CN"/>
        </w:rPr>
        <w:t>供应商的姓名或者名称、地址、邮编、联系人及联系电话；</w:t>
      </w:r>
    </w:p>
    <w:p>
      <w:pPr>
        <w:pStyle w:val="33"/>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4.2.3.2</w:t>
      </w:r>
      <w:r>
        <w:rPr>
          <w:rFonts w:hint="eastAsia" w:ascii="仿宋" w:hAnsi="仿宋" w:eastAsia="仿宋" w:cs="微软雅黑"/>
          <w:color w:val="auto"/>
          <w:kern w:val="0"/>
          <w:sz w:val="24"/>
          <w:highlight w:val="none"/>
          <w:lang w:val="zh-CN"/>
        </w:rPr>
        <w:t>质疑项目的名称、编号；</w:t>
      </w:r>
    </w:p>
    <w:p>
      <w:pPr>
        <w:pStyle w:val="33"/>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4.2.3.3</w:t>
      </w:r>
      <w:r>
        <w:rPr>
          <w:rFonts w:hint="eastAsia" w:ascii="仿宋" w:hAnsi="仿宋" w:eastAsia="仿宋" w:cs="微软雅黑"/>
          <w:color w:val="auto"/>
          <w:kern w:val="0"/>
          <w:sz w:val="24"/>
          <w:highlight w:val="none"/>
          <w:lang w:val="zh-CN"/>
        </w:rPr>
        <w:t>具体、明确的质疑事项和与质疑事项相关的请求；</w:t>
      </w:r>
    </w:p>
    <w:p>
      <w:pPr>
        <w:pStyle w:val="33"/>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4.2.3.4</w:t>
      </w:r>
      <w:r>
        <w:rPr>
          <w:rFonts w:hint="eastAsia" w:ascii="仿宋" w:hAnsi="仿宋" w:eastAsia="仿宋" w:cs="微软雅黑"/>
          <w:color w:val="auto"/>
          <w:kern w:val="0"/>
          <w:sz w:val="24"/>
          <w:highlight w:val="none"/>
          <w:lang w:val="zh-CN"/>
        </w:rPr>
        <w:t>事实依据；</w:t>
      </w:r>
    </w:p>
    <w:p>
      <w:pPr>
        <w:pStyle w:val="33"/>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4.2.3.5</w:t>
      </w:r>
      <w:r>
        <w:rPr>
          <w:rFonts w:hint="eastAsia" w:ascii="仿宋" w:hAnsi="仿宋" w:eastAsia="仿宋" w:cs="微软雅黑"/>
          <w:color w:val="auto"/>
          <w:kern w:val="0"/>
          <w:sz w:val="24"/>
          <w:highlight w:val="none"/>
          <w:lang w:val="zh-CN"/>
        </w:rPr>
        <w:t>必要的法律依据；</w:t>
      </w:r>
    </w:p>
    <w:p>
      <w:pPr>
        <w:pStyle w:val="33"/>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4.2.3.6</w:t>
      </w:r>
      <w:r>
        <w:rPr>
          <w:rFonts w:hint="eastAsia" w:ascii="仿宋" w:hAnsi="仿宋" w:eastAsia="仿宋" w:cs="微软雅黑"/>
          <w:color w:val="auto"/>
          <w:kern w:val="0"/>
          <w:sz w:val="24"/>
          <w:highlight w:val="none"/>
          <w:lang w:val="zh-CN"/>
        </w:rPr>
        <w:t>提出质疑的日期。</w:t>
      </w:r>
    </w:p>
    <w:p>
      <w:pPr>
        <w:pStyle w:val="33"/>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33"/>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质疑函范本及制作说明详见附件2。</w:t>
      </w:r>
    </w:p>
    <w:p>
      <w:pPr>
        <w:pStyle w:val="33"/>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浙江政府采购网的“其他公告”栏目公开质疑答复，答复内容应当完整。质疑函作为附件上传。</w:t>
      </w:r>
    </w:p>
    <w:p>
      <w:pPr>
        <w:pStyle w:val="33"/>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4.2.5询问或者质疑事项可能影响采购结果的，采购人应当暂停签订合同，已经签订合同的，应当中止履行合同。</w:t>
      </w:r>
    </w:p>
    <w:p>
      <w:pPr>
        <w:pStyle w:val="33"/>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4.3供应商投诉</w:t>
      </w:r>
    </w:p>
    <w:p>
      <w:pPr>
        <w:pStyle w:val="33"/>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4.3.1质疑供应商对采购人、采购代理机构的答复不满意或者采购人、采购代理机构未在规定的时间内作出答复的，可以在答复期满后十五个工作日内向同级政府采购监督管理部门提出投诉。</w:t>
      </w:r>
    </w:p>
    <w:p>
      <w:pPr>
        <w:pStyle w:val="33"/>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4.3.2供应商投诉的事项不得超出已质疑事项的范围，基于质疑答复内容提出的投诉事项除外。</w:t>
      </w:r>
    </w:p>
    <w:p>
      <w:pPr>
        <w:pStyle w:val="33"/>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4.3.3供应商投诉应当有明确的请求和必要的证明材料。</w:t>
      </w:r>
    </w:p>
    <w:p>
      <w:pPr>
        <w:pStyle w:val="33"/>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4.3.</w:t>
      </w:r>
      <w:r>
        <w:rPr>
          <w:rFonts w:hint="eastAsia" w:ascii="仿宋" w:hAnsi="仿宋" w:eastAsia="仿宋" w:cs="微软雅黑"/>
          <w:color w:val="auto"/>
          <w:kern w:val="0"/>
          <w:sz w:val="24"/>
          <w:highlight w:val="none"/>
          <w:lang w:val="en-US" w:eastAsia="zh-CN"/>
        </w:rPr>
        <w:t>4</w:t>
      </w:r>
      <w:r>
        <w:rPr>
          <w:rFonts w:hint="eastAsia" w:ascii="仿宋" w:hAnsi="仿宋" w:eastAsia="仿宋" w:cs="微软雅黑"/>
          <w:color w:val="auto"/>
          <w:kern w:val="0"/>
          <w:sz w:val="24"/>
          <w:highlight w:val="none"/>
          <w:lang w:val="zh-CN"/>
        </w:rPr>
        <w:t xml:space="preserve"> 以联合体形式参加政府采购活动的，其投诉应当由组成联合体的所有供应商共同提出。</w:t>
      </w:r>
    </w:p>
    <w:p>
      <w:pPr>
        <w:pStyle w:val="33"/>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投诉书范本及制作说明详见附件3。</w:t>
      </w:r>
    </w:p>
    <w:p>
      <w:pPr>
        <w:pStyle w:val="159"/>
        <w:snapToGrid w:val="0"/>
        <w:spacing w:before="0"/>
        <w:ind w:firstLine="360"/>
        <w:rPr>
          <w:rFonts w:ascii="仿宋" w:hAnsi="仿宋" w:eastAsia="仿宋" w:cs="仿宋_GB2312"/>
          <w:color w:val="auto"/>
          <w:sz w:val="18"/>
          <w:szCs w:val="18"/>
          <w:highlight w:val="none"/>
        </w:rPr>
      </w:pPr>
    </w:p>
    <w:p>
      <w:pPr>
        <w:adjustRightInd/>
        <w:spacing w:line="360" w:lineRule="auto"/>
        <w:jc w:val="center"/>
        <w:outlineLvl w:val="0"/>
        <w:rPr>
          <w:rFonts w:ascii="仿宋" w:hAnsi="仿宋" w:eastAsia="仿宋" w:cs="仿宋_GB2312"/>
          <w:b/>
          <w:color w:val="auto"/>
          <w:sz w:val="32"/>
          <w:szCs w:val="20"/>
          <w:highlight w:val="none"/>
        </w:rPr>
      </w:pPr>
      <w:r>
        <w:rPr>
          <w:rFonts w:ascii="仿宋" w:hAnsi="仿宋" w:eastAsia="仿宋" w:cs="仿宋_GB2312"/>
          <w:b/>
          <w:color w:val="auto"/>
          <w:sz w:val="32"/>
          <w:szCs w:val="20"/>
          <w:highlight w:val="none"/>
        </w:rPr>
        <w:t xml:space="preserve">      二、招标文件的构成、澄清、修改</w:t>
      </w:r>
    </w:p>
    <w:p>
      <w:pPr>
        <w:pStyle w:val="33"/>
        <w:spacing w:line="360" w:lineRule="auto"/>
        <w:ind w:firstLine="482" w:firstLineChars="200"/>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5．招标文件的构成</w:t>
      </w:r>
    </w:p>
    <w:p>
      <w:pPr>
        <w:pStyle w:val="33"/>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 xml:space="preserve">5.1 </w:t>
      </w:r>
      <w:r>
        <w:rPr>
          <w:rFonts w:hint="eastAsia" w:ascii="仿宋" w:hAnsi="仿宋" w:eastAsia="仿宋" w:cs="仿宋_GB2312"/>
          <w:color w:val="auto"/>
          <w:sz w:val="24"/>
          <w:szCs w:val="24"/>
          <w:highlight w:val="none"/>
        </w:rPr>
        <w:t>招标文件包括下列文件及附件：</w:t>
      </w:r>
    </w:p>
    <w:p>
      <w:pPr>
        <w:pStyle w:val="33"/>
        <w:tabs>
          <w:tab w:val="left" w:pos="840"/>
        </w:tabs>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5.1.1招标公告；</w:t>
      </w:r>
    </w:p>
    <w:p>
      <w:pPr>
        <w:pStyle w:val="33"/>
        <w:tabs>
          <w:tab w:val="left" w:pos="840"/>
        </w:tabs>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5.1.2投标人须知；</w:t>
      </w:r>
    </w:p>
    <w:p>
      <w:pPr>
        <w:pStyle w:val="33"/>
        <w:tabs>
          <w:tab w:val="left" w:pos="840"/>
        </w:tabs>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5.1.3采购需求；</w:t>
      </w:r>
    </w:p>
    <w:p>
      <w:pPr>
        <w:pStyle w:val="33"/>
        <w:tabs>
          <w:tab w:val="left" w:pos="840"/>
        </w:tabs>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5.1.4评标</w:t>
      </w:r>
      <w:r>
        <w:rPr>
          <w:rFonts w:hint="eastAsia" w:ascii="仿宋" w:hAnsi="仿宋" w:eastAsia="仿宋" w:cs="仿宋_GB2312"/>
          <w:color w:val="auto"/>
          <w:sz w:val="24"/>
          <w:szCs w:val="24"/>
          <w:highlight w:val="none"/>
        </w:rPr>
        <w:t>办</w:t>
      </w:r>
      <w:r>
        <w:rPr>
          <w:rFonts w:ascii="仿宋" w:hAnsi="仿宋" w:eastAsia="仿宋" w:cs="仿宋_GB2312"/>
          <w:color w:val="auto"/>
          <w:sz w:val="24"/>
          <w:szCs w:val="24"/>
          <w:highlight w:val="none"/>
        </w:rPr>
        <w:t>法；</w:t>
      </w:r>
    </w:p>
    <w:p>
      <w:pPr>
        <w:pStyle w:val="33"/>
        <w:tabs>
          <w:tab w:val="left" w:pos="840"/>
        </w:tabs>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5.1.5</w:t>
      </w:r>
      <w:r>
        <w:rPr>
          <w:rFonts w:hint="eastAsia" w:ascii="仿宋" w:hAnsi="仿宋" w:eastAsia="仿宋" w:cs="仿宋_GB2312"/>
          <w:color w:val="auto"/>
          <w:sz w:val="24"/>
          <w:szCs w:val="24"/>
          <w:highlight w:val="none"/>
        </w:rPr>
        <w:t>拟签订的合同文本；</w:t>
      </w:r>
    </w:p>
    <w:p>
      <w:pPr>
        <w:pStyle w:val="33"/>
        <w:tabs>
          <w:tab w:val="left" w:pos="840"/>
        </w:tabs>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5.1.6</w:t>
      </w:r>
      <w:r>
        <w:rPr>
          <w:rFonts w:hint="eastAsia" w:ascii="仿宋" w:hAnsi="仿宋" w:eastAsia="仿宋" w:cs="仿宋_GB2312"/>
          <w:color w:val="auto"/>
          <w:sz w:val="24"/>
          <w:szCs w:val="24"/>
          <w:highlight w:val="none"/>
        </w:rPr>
        <w:t>应提交的有关格式范例。</w:t>
      </w:r>
    </w:p>
    <w:p>
      <w:pPr>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5.2与本项目有关的</w:t>
      </w:r>
      <w:r>
        <w:rPr>
          <w:rFonts w:hint="eastAsia" w:ascii="仿宋" w:hAnsi="仿宋" w:eastAsia="仿宋"/>
          <w:bCs/>
          <w:color w:val="auto"/>
          <w:sz w:val="24"/>
          <w:highlight w:val="none"/>
        </w:rPr>
        <w:t>澄清或者修改的内容为招标文件的组成部分</w:t>
      </w:r>
      <w:r>
        <w:rPr>
          <w:rFonts w:hint="eastAsia" w:ascii="仿宋" w:hAnsi="仿宋" w:eastAsia="仿宋" w:cs="仿宋_GB2312"/>
          <w:color w:val="auto"/>
          <w:sz w:val="24"/>
          <w:highlight w:val="none"/>
        </w:rPr>
        <w:t>。</w:t>
      </w:r>
    </w:p>
    <w:p>
      <w:pPr>
        <w:pStyle w:val="33"/>
        <w:spacing w:line="360" w:lineRule="auto"/>
        <w:ind w:firstLine="482" w:firstLineChars="200"/>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6. </w:t>
      </w:r>
      <w:r>
        <w:rPr>
          <w:rFonts w:hint="eastAsia" w:ascii="仿宋" w:hAnsi="仿宋" w:eastAsia="仿宋" w:cs="仿宋_GB2312"/>
          <w:b/>
          <w:color w:val="auto"/>
          <w:sz w:val="24"/>
          <w:szCs w:val="24"/>
          <w:highlight w:val="none"/>
        </w:rPr>
        <w:t>招标文件的澄清、修改</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6.1已获取招标文件的潜在投标人，若有问题需要澄清，应于投标截止时间前，以书面形式向采购</w:t>
      </w:r>
      <w:r>
        <w:rPr>
          <w:rFonts w:hint="eastAsia" w:ascii="仿宋" w:hAnsi="仿宋" w:eastAsia="仿宋" w:cs="仿宋_GB2312"/>
          <w:color w:val="auto"/>
          <w:highlight w:val="none"/>
        </w:rPr>
        <w:t>代理</w:t>
      </w:r>
      <w:r>
        <w:rPr>
          <w:rFonts w:ascii="仿宋" w:hAnsi="仿宋" w:eastAsia="仿宋" w:cs="仿宋_GB2312"/>
          <w:color w:val="auto"/>
          <w:highlight w:val="none"/>
        </w:rPr>
        <w:t>机构提出。</w:t>
      </w:r>
    </w:p>
    <w:p>
      <w:pPr>
        <w:pStyle w:val="159"/>
        <w:snapToGrid w:val="0"/>
        <w:spacing w:before="0"/>
        <w:ind w:firstLine="480"/>
        <w:rPr>
          <w:rFonts w:ascii="仿宋" w:hAnsi="仿宋" w:eastAsia="仿宋"/>
          <w:color w:val="auto"/>
          <w:highlight w:val="none"/>
        </w:rPr>
      </w:pPr>
      <w:r>
        <w:rPr>
          <w:rFonts w:ascii="仿宋" w:hAnsi="仿宋" w:eastAsia="仿宋"/>
          <w:color w:val="auto"/>
          <w:highlight w:val="none"/>
        </w:rPr>
        <w:t xml:space="preserve">6.2 </w:t>
      </w:r>
      <w:r>
        <w:rPr>
          <w:rFonts w:hint="eastAsia" w:ascii="仿宋" w:hAnsi="仿宋" w:eastAsia="仿宋"/>
          <w:color w:val="auto"/>
          <w:highlight w:val="none"/>
        </w:rPr>
        <w:t>采购</w:t>
      </w:r>
      <w:r>
        <w:rPr>
          <w:rFonts w:hint="eastAsia" w:ascii="仿宋" w:hAnsi="仿宋" w:eastAsia="仿宋" w:cs="仿宋_GB2312"/>
          <w:color w:val="auto"/>
          <w:highlight w:val="none"/>
        </w:rPr>
        <w:t>代理</w:t>
      </w:r>
      <w:r>
        <w:rPr>
          <w:rFonts w:hint="eastAsia" w:ascii="仿宋" w:hAnsi="仿宋" w:eastAsia="仿宋"/>
          <w:color w:val="auto"/>
          <w:highlight w:val="none"/>
        </w:rPr>
        <w:t>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_GB2312"/>
          <w:color w:val="auto"/>
          <w:sz w:val="18"/>
          <w:szCs w:val="18"/>
          <w:highlight w:val="none"/>
          <w:lang w:val="en-US"/>
        </w:rPr>
      </w:pPr>
      <w:r>
        <w:rPr>
          <w:rFonts w:ascii="仿宋" w:hAnsi="仿宋" w:eastAsia="仿宋" w:cs="仿宋_GB2312"/>
          <w:color w:val="auto"/>
          <w:szCs w:val="24"/>
          <w:highlight w:val="none"/>
          <w:lang w:val="en-US"/>
        </w:rPr>
        <w:t xml:space="preserve">    </w:t>
      </w:r>
    </w:p>
    <w:p>
      <w:pPr>
        <w:adjustRightInd/>
        <w:spacing w:line="360" w:lineRule="auto"/>
        <w:jc w:val="center"/>
        <w:outlineLvl w:val="0"/>
        <w:rPr>
          <w:rFonts w:ascii="仿宋" w:hAnsi="仿宋" w:eastAsia="仿宋" w:cs="仿宋_GB2312"/>
          <w:b/>
          <w:color w:val="auto"/>
          <w:sz w:val="30"/>
          <w:szCs w:val="20"/>
          <w:highlight w:val="none"/>
        </w:rPr>
      </w:pPr>
      <w:r>
        <w:rPr>
          <w:rFonts w:hint="eastAsia" w:ascii="仿宋" w:hAnsi="仿宋" w:eastAsia="仿宋" w:cs="仿宋_GB2312"/>
          <w:b/>
          <w:color w:val="auto"/>
          <w:sz w:val="30"/>
          <w:szCs w:val="20"/>
          <w:highlight w:val="none"/>
        </w:rPr>
        <w:t>三、投标</w:t>
      </w:r>
    </w:p>
    <w:p>
      <w:pPr>
        <w:pStyle w:val="33"/>
        <w:spacing w:line="360" w:lineRule="auto"/>
        <w:ind w:firstLine="482" w:firstLineChars="200"/>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7. </w:t>
      </w:r>
      <w:r>
        <w:rPr>
          <w:rFonts w:hint="eastAsia" w:ascii="仿宋" w:hAnsi="仿宋" w:eastAsia="仿宋" w:cs="仿宋_GB2312"/>
          <w:b/>
          <w:color w:val="auto"/>
          <w:sz w:val="24"/>
          <w:szCs w:val="24"/>
          <w:highlight w:val="none"/>
        </w:rPr>
        <w:t>招标文件的获取</w:t>
      </w:r>
    </w:p>
    <w:p>
      <w:pPr>
        <w:spacing w:line="360" w:lineRule="auto"/>
        <w:ind w:firstLine="480" w:firstLineChars="200"/>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详见招标公告中获取招标文件的时间期限、地点、方式及招标文件售价。</w:t>
      </w:r>
    </w:p>
    <w:p>
      <w:pPr>
        <w:pStyle w:val="33"/>
        <w:spacing w:line="360" w:lineRule="auto"/>
        <w:ind w:firstLine="482" w:firstLineChars="200"/>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8.开标前答疑会或现场考察</w:t>
      </w:r>
    </w:p>
    <w:p>
      <w:pPr>
        <w:pStyle w:val="33"/>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ind w:firstLine="482" w:firstLineChars="200"/>
        <w:rPr>
          <w:rFonts w:ascii="仿宋" w:hAnsi="仿宋" w:eastAsia="仿宋" w:cs="仿宋_GB2312"/>
          <w:b/>
          <w:color w:val="auto"/>
          <w:szCs w:val="24"/>
          <w:highlight w:val="none"/>
        </w:rPr>
      </w:pPr>
      <w:r>
        <w:rPr>
          <w:rFonts w:ascii="仿宋" w:hAnsi="仿宋" w:eastAsia="仿宋"/>
          <w:b/>
          <w:color w:val="auto"/>
          <w:kern w:val="28"/>
          <w:sz w:val="24"/>
          <w:szCs w:val="24"/>
          <w:highlight w:val="none"/>
        </w:rPr>
        <w:t>9.投标保证金</w:t>
      </w:r>
    </w:p>
    <w:p>
      <w:pPr>
        <w:pStyle w:val="6"/>
        <w:spacing w:line="360" w:lineRule="auto"/>
        <w:ind w:firstLine="470" w:firstLineChars="196"/>
        <w:rPr>
          <w:rFonts w:ascii="仿宋" w:hAnsi="仿宋" w:eastAsia="仿宋" w:cs="仿宋_GB2312"/>
          <w:color w:val="auto"/>
          <w:sz w:val="24"/>
          <w:highlight w:val="none"/>
        </w:rPr>
      </w:pPr>
      <w:r>
        <w:rPr>
          <w:rFonts w:hint="eastAsia" w:ascii="仿宋" w:hAnsi="仿宋" w:eastAsia="仿宋" w:cs="仿宋_GB2312"/>
          <w:color w:val="auto"/>
          <w:sz w:val="24"/>
          <w:highlight w:val="none"/>
        </w:rPr>
        <w:t>本项目不需缴纳投标保证金。</w:t>
      </w:r>
    </w:p>
    <w:p>
      <w:pPr>
        <w:pStyle w:val="33"/>
        <w:spacing w:line="360" w:lineRule="auto"/>
        <w:ind w:firstLine="482" w:firstLineChars="200"/>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10. </w:t>
      </w:r>
      <w:r>
        <w:rPr>
          <w:rFonts w:hint="eastAsia" w:ascii="仿宋" w:hAnsi="仿宋" w:eastAsia="仿宋" w:cs="仿宋_GB2312"/>
          <w:b/>
          <w:color w:val="auto"/>
          <w:sz w:val="24"/>
          <w:szCs w:val="24"/>
          <w:highlight w:val="none"/>
        </w:rPr>
        <w:t>投标文件的语言</w:t>
      </w:r>
    </w:p>
    <w:p>
      <w:pPr>
        <w:autoSpaceDE w:val="0"/>
        <w:autoSpaceDN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投标文件及投标人与采购有关的来往通知、函件和文件均应使用中文。</w:t>
      </w:r>
    </w:p>
    <w:p>
      <w:pPr>
        <w:pStyle w:val="33"/>
        <w:spacing w:line="360" w:lineRule="auto"/>
        <w:ind w:firstLine="482" w:firstLineChars="200"/>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11. </w:t>
      </w:r>
      <w:r>
        <w:rPr>
          <w:rFonts w:hint="eastAsia" w:ascii="仿宋" w:hAnsi="仿宋" w:eastAsia="仿宋" w:cs="仿宋_GB2312"/>
          <w:b/>
          <w:color w:val="auto"/>
          <w:sz w:val="24"/>
          <w:szCs w:val="24"/>
          <w:highlight w:val="none"/>
        </w:rPr>
        <w:t>投标文件的组成</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11.1</w:t>
      </w:r>
      <w:r>
        <w:rPr>
          <w:rFonts w:hint="eastAsia" w:ascii="仿宋" w:hAnsi="仿宋" w:eastAsia="仿宋" w:cs="仿宋_GB2312"/>
          <w:b/>
          <w:color w:val="auto"/>
          <w:sz w:val="24"/>
          <w:highlight w:val="none"/>
        </w:rPr>
        <w:t>资格文件</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11.1.1符合参加政府采购活动应当具备的一般条件的承诺函；</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11.1.2落实政府采购政策需满足的资格要求；</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11.1.3本项目的特定资格要求。</w:t>
      </w:r>
    </w:p>
    <w:p>
      <w:pPr>
        <w:snapToGrid w:val="0"/>
        <w:spacing w:line="360" w:lineRule="auto"/>
        <w:ind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 xml:space="preserve">  </w:t>
      </w:r>
      <w:r>
        <w:rPr>
          <w:rFonts w:hint="eastAsia" w:ascii="仿宋" w:hAnsi="仿宋" w:eastAsia="仿宋" w:cs="仿宋_GB2312"/>
          <w:color w:val="auto"/>
          <w:sz w:val="24"/>
          <w:highlight w:val="none"/>
        </w:rPr>
        <w:t>商务技术</w:t>
      </w:r>
      <w:r>
        <w:rPr>
          <w:rFonts w:hint="eastAsia" w:ascii="仿宋" w:hAnsi="仿宋" w:eastAsia="仿宋" w:cs="仿宋_GB2312"/>
          <w:color w:val="auto"/>
          <w:sz w:val="24"/>
          <w:highlight w:val="none"/>
          <w:lang w:val="zh-CN"/>
        </w:rPr>
        <w:t>文件：</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11.2.1投标函；</w:t>
      </w:r>
      <w:r>
        <w:rPr>
          <w:rFonts w:ascii="仿宋" w:hAnsi="仿宋" w:eastAsia="仿宋" w:cs="仿宋_GB2312"/>
          <w:color w:val="auto"/>
          <w:sz w:val="24"/>
          <w:highlight w:val="none"/>
          <w:lang w:val="zh-CN"/>
        </w:rPr>
        <w:t xml:space="preserve">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11.2.2授权委托书或法定代表人（单位负责人、自然人本人）身份证明；</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11.2.3联合协议；</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11.2.4分包意向协议；</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11.2.5符合性审查资料；</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11.2.6评标标准相应的商务技术资料；</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11.2.7商务技术偏离表；</w:t>
      </w:r>
    </w:p>
    <w:p>
      <w:pPr>
        <w:snapToGrid w:val="0"/>
        <w:spacing w:line="360" w:lineRule="auto"/>
        <w:ind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8</w:t>
      </w:r>
      <w:r>
        <w:rPr>
          <w:rFonts w:hint="eastAsia" w:ascii="仿宋" w:hAnsi="仿宋" w:eastAsia="仿宋" w:cs="仿宋_GB2312"/>
          <w:color w:val="auto"/>
          <w:sz w:val="24"/>
          <w:highlight w:val="none"/>
          <w:lang w:val="zh-CN"/>
        </w:rPr>
        <w:t>政府采购供应商廉洁自律承诺书；</w:t>
      </w:r>
    </w:p>
    <w:p>
      <w:pPr>
        <w:snapToGrid w:val="0"/>
        <w:spacing w:line="360" w:lineRule="auto"/>
        <w:ind w:firstLine="480" w:firstLineChars="200"/>
        <w:rPr>
          <w:rFonts w:ascii="仿宋" w:hAnsi="仿宋" w:eastAsia="仿宋" w:cs="仿宋_GB2312"/>
          <w:color w:val="auto"/>
          <w:sz w:val="24"/>
          <w:highlight w:val="none"/>
          <w:u w:val="single"/>
          <w:lang w:val="zh-CN"/>
        </w:rPr>
      </w:pPr>
      <w:r>
        <w:rPr>
          <w:rFonts w:ascii="仿宋" w:hAnsi="仿宋" w:eastAsia="仿宋" w:cs="仿宋_GB2312"/>
          <w:color w:val="auto"/>
          <w:kern w:val="0"/>
          <w:sz w:val="24"/>
          <w:highlight w:val="none"/>
          <w:lang w:val="zh-CN"/>
        </w:rPr>
        <w:t>11.</w:t>
      </w:r>
      <w:r>
        <w:rPr>
          <w:rFonts w:ascii="仿宋" w:hAnsi="仿宋" w:eastAsia="仿宋" w:cs="仿宋_GB2312"/>
          <w:color w:val="auto"/>
          <w:kern w:val="0"/>
          <w:sz w:val="24"/>
          <w:highlight w:val="none"/>
        </w:rPr>
        <w:t>3</w:t>
      </w:r>
      <w:r>
        <w:rPr>
          <w:rFonts w:hint="eastAsia" w:ascii="仿宋" w:hAnsi="仿宋" w:eastAsia="仿宋" w:cs="仿宋_GB2312"/>
          <w:b/>
          <w:color w:val="auto"/>
          <w:sz w:val="24"/>
          <w:highlight w:val="none"/>
        </w:rPr>
        <w:t>报价文件：</w:t>
      </w:r>
      <w:r>
        <w:rPr>
          <w:rFonts w:ascii="仿宋" w:hAnsi="仿宋" w:eastAsia="仿宋" w:cs="仿宋_GB2312"/>
          <w:color w:val="auto"/>
          <w:sz w:val="24"/>
          <w:highlight w:val="none"/>
        </w:rPr>
        <w:t xml:space="preserve">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11.3.1开标一览表（报价表）；</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11.3.2中小企业声明函。</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投标文件含有采购人不能接受的附加条件的，投标无效；</w:t>
      </w:r>
    </w:p>
    <w:p>
      <w:pPr>
        <w:spacing w:line="360" w:lineRule="auto"/>
        <w:ind w:firstLine="482" w:firstLineChars="200"/>
        <w:rPr>
          <w:rFonts w:ascii="仿宋" w:hAnsi="仿宋" w:eastAsia="仿宋" w:cs="仿宋_GB2312"/>
          <w:b/>
          <w:color w:val="auto"/>
          <w:sz w:val="24"/>
          <w:szCs w:val="21"/>
          <w:highlight w:val="none"/>
        </w:rPr>
      </w:pPr>
      <w:r>
        <w:rPr>
          <w:rFonts w:hint="eastAsia" w:ascii="仿宋" w:hAnsi="仿宋" w:eastAsia="仿宋"/>
          <w:b/>
          <w:color w:val="auto"/>
          <w:sz w:val="24"/>
          <w:highlight w:val="none"/>
        </w:rPr>
        <w:t>投标人提供虚假材料投标的，投标无效。</w:t>
      </w:r>
    </w:p>
    <w:p>
      <w:pPr>
        <w:pStyle w:val="159"/>
        <w:snapToGrid w:val="0"/>
        <w:spacing w:before="0"/>
        <w:ind w:firstLine="482"/>
        <w:outlineLvl w:val="0"/>
        <w:rPr>
          <w:rFonts w:ascii="仿宋" w:hAnsi="仿宋" w:eastAsia="仿宋" w:cs="仿宋_GB2312"/>
          <w:b/>
          <w:color w:val="auto"/>
          <w:szCs w:val="24"/>
          <w:highlight w:val="none"/>
        </w:rPr>
      </w:pPr>
      <w:r>
        <w:rPr>
          <w:rFonts w:ascii="仿宋" w:hAnsi="仿宋" w:eastAsia="仿宋" w:cs="仿宋_GB2312"/>
          <w:b/>
          <w:color w:val="auto"/>
          <w:szCs w:val="24"/>
          <w:highlight w:val="none"/>
        </w:rPr>
        <w:t>12</w:t>
      </w:r>
      <w:r>
        <w:rPr>
          <w:rFonts w:ascii="仿宋" w:hAnsi="仿宋" w:eastAsia="仿宋" w:cs="仿宋_GB2312"/>
          <w:b/>
          <w:color w:val="auto"/>
          <w:kern w:val="0"/>
          <w:szCs w:val="24"/>
          <w:highlight w:val="none"/>
          <w:lang w:val="zh-CN"/>
        </w:rPr>
        <w:t xml:space="preserve">. </w:t>
      </w:r>
      <w:r>
        <w:rPr>
          <w:rFonts w:hint="eastAsia" w:ascii="仿宋" w:hAnsi="仿宋" w:eastAsia="仿宋" w:cs="仿宋_GB2312"/>
          <w:b/>
          <w:color w:val="auto"/>
          <w:szCs w:val="24"/>
          <w:highlight w:val="none"/>
        </w:rPr>
        <w:t>投标文件的编制</w:t>
      </w:r>
    </w:p>
    <w:p>
      <w:pPr>
        <w:spacing w:line="360" w:lineRule="auto"/>
        <w:ind w:firstLine="480" w:firstLineChars="200"/>
        <w:rPr>
          <w:rFonts w:ascii="仿宋" w:hAnsi="仿宋" w:eastAsia="仿宋" w:cs="仿宋_GB2312"/>
          <w:b/>
          <w:color w:val="auto"/>
          <w:sz w:val="24"/>
          <w:highlight w:val="none"/>
        </w:rPr>
      </w:pPr>
      <w:r>
        <w:rPr>
          <w:rFonts w:ascii="仿宋" w:hAnsi="仿宋" w:eastAsia="仿宋"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 w:hAnsi="仿宋" w:eastAsia="仿宋"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12.2投标人进行电子投标应安装客户端软件—“政</w:t>
      </w:r>
      <w:r>
        <w:rPr>
          <w:rFonts w:hint="eastAsia" w:ascii="仿宋" w:hAnsi="仿宋" w:eastAsia="仿宋"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12.3使用“政</w:t>
      </w:r>
      <w:r>
        <w:rPr>
          <w:rFonts w:hint="eastAsia" w:ascii="仿宋" w:hAnsi="仿宋" w:eastAsia="仿宋" w:cs="仿宋_GB2312"/>
          <w:color w:val="auto"/>
          <w:kern w:val="0"/>
          <w:sz w:val="24"/>
          <w:highlight w:val="none"/>
          <w:lang w:val="zh-CN"/>
        </w:rPr>
        <w:t>采云电子交易客户端”需要提前申领</w:t>
      </w:r>
      <w:r>
        <w:rPr>
          <w:rFonts w:ascii="仿宋" w:hAnsi="仿宋" w:eastAsia="仿宋"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ind w:firstLine="482" w:firstLineChars="200"/>
        <w:rPr>
          <w:rFonts w:ascii="仿宋" w:hAnsi="仿宋" w:eastAsia="仿宋"/>
          <w:b/>
          <w:color w:val="auto"/>
          <w:sz w:val="24"/>
          <w:highlight w:val="none"/>
        </w:rPr>
      </w:pPr>
      <w:r>
        <w:rPr>
          <w:rFonts w:ascii="仿宋" w:hAnsi="仿宋" w:eastAsia="仿宋"/>
          <w:b/>
          <w:color w:val="auto"/>
          <w:sz w:val="24"/>
          <w:highlight w:val="none"/>
        </w:rPr>
        <w:t>13.投标文件的签署、盖章</w:t>
      </w:r>
    </w:p>
    <w:p>
      <w:pPr>
        <w:pStyle w:val="159"/>
        <w:snapToGrid w:val="0"/>
        <w:spacing w:before="0"/>
        <w:ind w:firstLine="480"/>
        <w:rPr>
          <w:rFonts w:ascii="仿宋" w:hAnsi="仿宋" w:eastAsia="仿宋" w:cs="仿宋_GB2312"/>
          <w:b/>
          <w:color w:val="auto"/>
          <w:highlight w:val="none"/>
        </w:rPr>
      </w:pPr>
      <w:r>
        <w:rPr>
          <w:rFonts w:ascii="仿宋" w:hAnsi="仿宋" w:eastAsia="仿宋" w:cs="仿宋_GB2312"/>
          <w:color w:val="auto"/>
          <w:szCs w:val="24"/>
          <w:highlight w:val="none"/>
        </w:rPr>
        <w:t>13.1投标文件按照招标文件第六部分格式要</w:t>
      </w:r>
      <w:r>
        <w:rPr>
          <w:rFonts w:hint="eastAsia" w:ascii="仿宋" w:hAnsi="仿宋" w:eastAsia="仿宋" w:cs="仿宋_GB2312"/>
          <w:color w:val="auto"/>
          <w:highlight w:val="none"/>
        </w:rPr>
        <w:t>求进行签署、盖章。</w:t>
      </w:r>
      <w:r>
        <w:rPr>
          <w:rFonts w:hint="eastAsia" w:ascii="仿宋" w:hAnsi="仿宋" w:eastAsia="仿宋"/>
          <w:b/>
          <w:color w:val="auto"/>
          <w:highlight w:val="none"/>
        </w:rPr>
        <w:t>▲</w:t>
      </w:r>
      <w:r>
        <w:rPr>
          <w:rFonts w:hint="eastAsia" w:ascii="仿宋" w:hAnsi="仿宋" w:eastAsia="仿宋" w:cs="仿宋_GB2312"/>
          <w:b/>
          <w:color w:val="auto"/>
          <w:highlight w:val="none"/>
        </w:rPr>
        <w:t>投标人的投标文件未按照招标文件要求签署、盖章的，其投标无效</w:t>
      </w:r>
      <w:r>
        <w:rPr>
          <w:rFonts w:hint="eastAsia" w:ascii="仿宋" w:hAnsi="仿宋" w:eastAsia="仿宋" w:cs="仿宋_GB2312"/>
          <w:color w:val="auto"/>
          <w:szCs w:val="24"/>
          <w:highlight w:val="none"/>
        </w:rPr>
        <w:t>。</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59"/>
        <w:snapToGrid w:val="0"/>
        <w:spacing w:before="0"/>
        <w:ind w:firstLine="480"/>
        <w:rPr>
          <w:rFonts w:ascii="仿宋" w:hAnsi="仿宋" w:eastAsia="仿宋" w:cs="仿宋_GB2312"/>
          <w:color w:val="auto"/>
          <w:szCs w:val="24"/>
          <w:highlight w:val="none"/>
        </w:rPr>
      </w:pPr>
      <w:r>
        <w:rPr>
          <w:rFonts w:ascii="仿宋" w:hAnsi="仿宋" w:eastAsia="仿宋" w:cs="仿宋_GB2312"/>
          <w:color w:val="auto"/>
          <w:highlight w:val="none"/>
        </w:rPr>
        <w:t>13.3招标文件对投标文件签署、盖章的要求适用于电子签名。</w:t>
      </w:r>
    </w:p>
    <w:p>
      <w:pPr>
        <w:pStyle w:val="159"/>
        <w:snapToGrid w:val="0"/>
        <w:spacing w:before="0"/>
        <w:ind w:firstLine="482"/>
        <w:rPr>
          <w:rFonts w:ascii="仿宋" w:hAnsi="仿宋" w:eastAsia="仿宋" w:cs="仿宋_GB2312"/>
          <w:b/>
          <w:bCs/>
          <w:color w:val="auto"/>
          <w:highlight w:val="none"/>
        </w:rPr>
      </w:pPr>
      <w:r>
        <w:rPr>
          <w:rFonts w:ascii="仿宋" w:hAnsi="仿宋" w:eastAsia="仿宋" w:cs="仿宋_GB2312"/>
          <w:b/>
          <w:bCs/>
          <w:color w:val="auto"/>
          <w:highlight w:val="none"/>
        </w:rPr>
        <w:t xml:space="preserve">14. </w:t>
      </w:r>
      <w:r>
        <w:rPr>
          <w:rFonts w:hint="eastAsia" w:ascii="仿宋" w:hAnsi="仿宋" w:eastAsia="仿宋" w:cs="仿宋_GB2312"/>
          <w:b/>
          <w:bCs/>
          <w:color w:val="auto"/>
          <w:highlight w:val="none"/>
        </w:rPr>
        <w:t>投标文件的提交、补充、修改、撤回</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 xml:space="preserve">14.1 </w:t>
      </w:r>
      <w:r>
        <w:rPr>
          <w:rFonts w:hint="eastAsia" w:ascii="仿宋" w:hAnsi="仿宋" w:eastAsia="仿宋" w:cs="仿宋_GB2312"/>
          <w:color w:val="auto"/>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14.3采购人、采购</w:t>
      </w:r>
      <w:r>
        <w:rPr>
          <w:rFonts w:hint="eastAsia" w:ascii="仿宋" w:hAnsi="仿宋" w:eastAsia="仿宋" w:cs="仿宋_GB2312"/>
          <w:color w:val="auto"/>
          <w:highlight w:val="none"/>
        </w:rPr>
        <w:t>代理</w:t>
      </w:r>
      <w:r>
        <w:rPr>
          <w:rFonts w:ascii="仿宋" w:hAnsi="仿宋" w:eastAsia="仿宋" w:cs="仿宋_GB2312"/>
          <w:color w:val="auto"/>
          <w:highlight w:val="none"/>
        </w:rPr>
        <w:t>机构可以视情况延长投标文件提交的截止时间。在上述情况下，采购</w:t>
      </w:r>
      <w:r>
        <w:rPr>
          <w:rFonts w:hint="eastAsia" w:ascii="仿宋" w:hAnsi="仿宋" w:eastAsia="仿宋" w:cs="仿宋_GB2312"/>
          <w:color w:val="auto"/>
          <w:highlight w:val="none"/>
        </w:rPr>
        <w:t>代理</w:t>
      </w:r>
      <w:r>
        <w:rPr>
          <w:rFonts w:ascii="仿宋" w:hAnsi="仿宋" w:eastAsia="仿宋" w:cs="仿宋_GB2312"/>
          <w:color w:val="auto"/>
          <w:highlight w:val="none"/>
        </w:rPr>
        <w:t>机构与投标人以前在投标截止期方面的全部权利、责任和义务，将适用于延长至新的投标截止期。</w:t>
      </w:r>
    </w:p>
    <w:p>
      <w:pPr>
        <w:pStyle w:val="33"/>
        <w:spacing w:line="360" w:lineRule="auto"/>
        <w:ind w:firstLine="482" w:firstLineChars="200"/>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15.备份投标文件</w:t>
      </w:r>
    </w:p>
    <w:p>
      <w:pPr>
        <w:pStyle w:val="33"/>
        <w:spacing w:line="360" w:lineRule="auto"/>
        <w:ind w:firstLine="360" w:firstLineChars="15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_GB2312"/>
          <w:b/>
          <w:color w:val="auto"/>
          <w:sz w:val="24"/>
          <w:szCs w:val="24"/>
          <w:highlight w:val="none"/>
        </w:rPr>
        <w:t>但采购人、采购代理机构不强制或变相强制投标人提交备份投标文件。</w:t>
      </w:r>
    </w:p>
    <w:p>
      <w:pPr>
        <w:pStyle w:val="33"/>
        <w:spacing w:line="360" w:lineRule="auto"/>
        <w:ind w:firstLine="480" w:firstLineChars="20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15.2备份投标文件须在“政</w:t>
      </w:r>
      <w:r>
        <w:rPr>
          <w:rFonts w:hint="eastAsia" w:ascii="仿宋" w:hAnsi="仿宋" w:eastAsia="仿宋" w:cs="仿宋_GB2312"/>
          <w:color w:val="auto"/>
          <w:sz w:val="24"/>
          <w:szCs w:val="24"/>
          <w:highlight w:val="none"/>
        </w:rPr>
        <w:t>采云投标客户端”制作生成，并储存在</w:t>
      </w:r>
      <w:r>
        <w:rPr>
          <w:rFonts w:hint="eastAsia" w:ascii="仿宋" w:hAnsi="仿宋" w:eastAsia="仿宋"/>
          <w:color w:val="auto"/>
          <w:sz w:val="24"/>
          <w:highlight w:val="none"/>
        </w:rPr>
        <w:t>U</w:t>
      </w:r>
      <w:r>
        <w:rPr>
          <w:rFonts w:ascii="仿宋" w:hAnsi="仿宋" w:eastAsia="仿宋"/>
          <w:color w:val="auto"/>
          <w:sz w:val="24"/>
          <w:highlight w:val="none"/>
        </w:rPr>
        <w:t>盘</w:t>
      </w:r>
      <w:r>
        <w:rPr>
          <w:rFonts w:hint="eastAsia" w:ascii="仿宋" w:hAnsi="仿宋" w:eastAsia="仿宋" w:cs="仿宋_GB2312"/>
          <w:color w:val="auto"/>
          <w:sz w:val="24"/>
          <w:szCs w:val="24"/>
          <w:highlight w:val="none"/>
        </w:rPr>
        <w:t>中。备份投标文件应当密封包装并在包装上加盖公章并注明投标项目名称，投标人名称</w:t>
      </w:r>
      <w:r>
        <w:rPr>
          <w:rFonts w:ascii="仿宋" w:hAnsi="仿宋" w:eastAsia="仿宋" w:cs="仿宋_GB2312"/>
          <w:color w:val="auto"/>
          <w:sz w:val="24"/>
          <w:szCs w:val="24"/>
          <w:highlight w:val="none"/>
        </w:rPr>
        <w:t>(联合体投标的，包装物封面需注明联合体投标，并注明联合体成员各方的名称和联合协议中约定的牵头人的名称)。</w:t>
      </w:r>
      <w:r>
        <w:rPr>
          <w:rFonts w:hint="eastAsia" w:ascii="仿宋" w:hAnsi="仿宋" w:eastAsia="仿宋"/>
          <w:b/>
          <w:color w:val="auto"/>
          <w:sz w:val="24"/>
          <w:highlight w:val="none"/>
        </w:rPr>
        <w:t>不符合上述制作、</w:t>
      </w:r>
      <w:r>
        <w:rPr>
          <w:rFonts w:hint="eastAsia" w:ascii="仿宋" w:hAnsi="仿宋" w:eastAsia="仿宋" w:cs="仿宋_GB2312"/>
          <w:b/>
          <w:color w:val="auto"/>
          <w:sz w:val="24"/>
          <w:szCs w:val="24"/>
          <w:highlight w:val="none"/>
        </w:rPr>
        <w:t>存储、密封规定的备份投标文件将被视为无效或者被拒绝接收。</w:t>
      </w:r>
    </w:p>
    <w:p>
      <w:pPr>
        <w:pStyle w:val="33"/>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15.3直接提交备份投标文件的，投标人应于投标截止时间前在招标公告中载明的开标地点将备份投标文件提交给采购</w:t>
      </w:r>
      <w:r>
        <w:rPr>
          <w:rFonts w:hint="eastAsia" w:ascii="仿宋" w:hAnsi="仿宋" w:eastAsia="仿宋" w:cs="仿宋_GB2312"/>
          <w:color w:val="auto"/>
          <w:highlight w:val="none"/>
        </w:rPr>
        <w:t>代理</w:t>
      </w:r>
      <w:r>
        <w:rPr>
          <w:rFonts w:ascii="仿宋" w:hAnsi="仿宋" w:eastAsia="仿宋" w:cs="仿宋_GB2312"/>
          <w:color w:val="auto"/>
          <w:sz w:val="24"/>
          <w:szCs w:val="24"/>
          <w:highlight w:val="none"/>
        </w:rPr>
        <w:t>机构，采购</w:t>
      </w:r>
      <w:r>
        <w:rPr>
          <w:rFonts w:hint="eastAsia" w:ascii="仿宋" w:hAnsi="仿宋" w:eastAsia="仿宋" w:cs="仿宋_GB2312"/>
          <w:color w:val="auto"/>
          <w:sz w:val="24"/>
          <w:szCs w:val="24"/>
          <w:highlight w:val="none"/>
        </w:rPr>
        <w:t>代理机构</w:t>
      </w:r>
      <w:r>
        <w:rPr>
          <w:rFonts w:ascii="仿宋" w:hAnsi="仿宋" w:eastAsia="仿宋" w:cs="仿宋_GB2312"/>
          <w:color w:val="auto"/>
          <w:sz w:val="24"/>
          <w:szCs w:val="24"/>
          <w:highlight w:val="none"/>
        </w:rPr>
        <w:t>将拒绝接受逾期送达的备份投标文件。</w:t>
      </w:r>
    </w:p>
    <w:p>
      <w:pPr>
        <w:pStyle w:val="33"/>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_GB2312"/>
          <w:snapToGrid/>
          <w:color w:val="auto"/>
          <w:sz w:val="24"/>
          <w:szCs w:val="24"/>
          <w:highlight w:val="none"/>
        </w:rPr>
        <w:t>招标文件第二部分投标人须知前附表规定的备份投标文件送达地点；</w:t>
      </w:r>
      <w:r>
        <w:rPr>
          <w:rFonts w:hint="eastAsia" w:ascii="仿宋" w:hAnsi="仿宋" w:eastAsia="仿宋" w:cs="仿宋_GB2312"/>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15.5投标人仅提交备份投标文件，没有在电子交易平台传输递交投标文件的，投标无效。</w:t>
      </w:r>
    </w:p>
    <w:p>
      <w:pPr>
        <w:pStyle w:val="159"/>
        <w:spacing w:before="0"/>
        <w:ind w:firstLine="482"/>
        <w:rPr>
          <w:rFonts w:ascii="仿宋" w:hAnsi="仿宋" w:eastAsia="仿宋" w:cs="仿宋_GB2312"/>
          <w:b/>
          <w:color w:val="auto"/>
          <w:szCs w:val="24"/>
          <w:highlight w:val="none"/>
        </w:rPr>
      </w:pPr>
      <w:r>
        <w:rPr>
          <w:rFonts w:ascii="仿宋" w:hAnsi="仿宋" w:eastAsia="仿宋" w:cs="仿宋_GB2312"/>
          <w:b/>
          <w:color w:val="auto"/>
          <w:szCs w:val="24"/>
          <w:highlight w:val="none"/>
        </w:rPr>
        <w:t>16.投标文件的无效处理</w:t>
      </w:r>
    </w:p>
    <w:p>
      <w:pPr>
        <w:pStyle w:val="25"/>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rPr>
        <w:t>有招标文件第四部分</w:t>
      </w:r>
      <w:r>
        <w:rPr>
          <w:rFonts w:hint="eastAsia" w:ascii="仿宋" w:hAnsi="仿宋" w:eastAsia="仿宋"/>
          <w:color w:val="auto"/>
          <w:highlight w:val="none"/>
        </w:rPr>
        <w:t>4.2</w:t>
      </w:r>
      <w:r>
        <w:rPr>
          <w:rFonts w:ascii="仿宋" w:hAnsi="仿宋" w:eastAsia="仿宋"/>
          <w:color w:val="auto"/>
          <w:highlight w:val="none"/>
        </w:rPr>
        <w:t>项规定</w:t>
      </w:r>
      <w:r>
        <w:rPr>
          <w:rFonts w:hint="eastAsia" w:ascii="仿宋" w:hAnsi="仿宋" w:eastAsia="仿宋" w:cs="仿宋_GB2312"/>
          <w:color w:val="auto"/>
          <w:szCs w:val="21"/>
          <w:highlight w:val="none"/>
        </w:rPr>
        <w:t>的情形之一的，投标无效：</w:t>
      </w:r>
    </w:p>
    <w:p>
      <w:pPr>
        <w:pStyle w:val="159"/>
        <w:spacing w:before="0"/>
        <w:ind w:firstLine="482"/>
        <w:rPr>
          <w:rFonts w:ascii="仿宋" w:hAnsi="仿宋" w:eastAsia="仿宋" w:cs="仿宋_GB2312"/>
          <w:b/>
          <w:color w:val="auto"/>
          <w:szCs w:val="24"/>
          <w:highlight w:val="none"/>
        </w:rPr>
      </w:pPr>
      <w:r>
        <w:rPr>
          <w:rFonts w:ascii="仿宋" w:hAnsi="仿宋" w:eastAsia="仿宋" w:cs="仿宋_GB2312"/>
          <w:b/>
          <w:color w:val="auto"/>
          <w:szCs w:val="24"/>
          <w:highlight w:val="none"/>
        </w:rPr>
        <w:t>17.投标有效期</w:t>
      </w:r>
    </w:p>
    <w:p>
      <w:pPr>
        <w:spacing w:line="360" w:lineRule="auto"/>
        <w:ind w:firstLine="480" w:firstLineChars="200"/>
        <w:rPr>
          <w:rFonts w:ascii="仿宋" w:hAnsi="仿宋" w:eastAsia="仿宋" w:cs="仿宋_GB2312"/>
          <w:b/>
          <w:color w:val="auto"/>
          <w:sz w:val="24"/>
          <w:szCs w:val="21"/>
          <w:highlight w:val="none"/>
        </w:rPr>
      </w:pPr>
      <w:r>
        <w:rPr>
          <w:rFonts w:ascii="仿宋" w:hAnsi="仿宋" w:eastAsia="仿宋" w:cs="仿宋_GB2312"/>
          <w:color w:val="auto"/>
          <w:sz w:val="24"/>
          <w:szCs w:val="20"/>
          <w:highlight w:val="none"/>
        </w:rPr>
        <w:t>17.1投标有效期为从提交投标文件的截止之日起90天。▲</w:t>
      </w:r>
      <w:r>
        <w:rPr>
          <w:rFonts w:hint="eastAsia" w:ascii="仿宋" w:hAnsi="仿宋" w:eastAsia="仿宋" w:cs="仿宋_GB2312"/>
          <w:b/>
          <w:color w:val="auto"/>
          <w:sz w:val="24"/>
          <w:szCs w:val="20"/>
          <w:highlight w:val="none"/>
        </w:rPr>
        <w:t>投标人的投标文件中承</w:t>
      </w:r>
      <w:r>
        <w:rPr>
          <w:rFonts w:hint="eastAsia" w:ascii="仿宋" w:hAnsi="仿宋" w:eastAsia="仿宋" w:cs="仿宋_GB2312"/>
          <w:b/>
          <w:color w:val="auto"/>
          <w:sz w:val="24"/>
          <w:szCs w:val="21"/>
          <w:highlight w:val="none"/>
        </w:rPr>
        <w:t>诺的投标有效期少于招标文件中载明的投标有效期的，投标无效。</w:t>
      </w:r>
    </w:p>
    <w:p>
      <w:pPr>
        <w:pStyle w:val="159"/>
        <w:spacing w:before="0"/>
        <w:ind w:firstLine="480"/>
        <w:rPr>
          <w:rFonts w:ascii="仿宋" w:hAnsi="仿宋" w:eastAsia="仿宋" w:cs="仿宋_GB2312"/>
          <w:color w:val="auto"/>
          <w:highlight w:val="none"/>
        </w:rPr>
      </w:pPr>
      <w:r>
        <w:rPr>
          <w:rFonts w:ascii="仿宋" w:hAnsi="仿宋" w:eastAsia="仿宋" w:cs="仿宋_GB2312"/>
          <w:color w:val="auto"/>
          <w:highlight w:val="none"/>
        </w:rPr>
        <w:t>17.2投标文件合格投递后，自投标截止日期起，在投标有效期内有效。</w:t>
      </w:r>
    </w:p>
    <w:p>
      <w:pPr>
        <w:pStyle w:val="159"/>
        <w:spacing w:before="0"/>
        <w:ind w:firstLine="480"/>
        <w:rPr>
          <w:rFonts w:ascii="仿宋" w:hAnsi="仿宋" w:eastAsia="仿宋" w:cs="仿宋_GB2312"/>
          <w:color w:val="auto"/>
          <w:highlight w:val="none"/>
        </w:rPr>
      </w:pPr>
      <w:r>
        <w:rPr>
          <w:rFonts w:ascii="仿宋" w:hAnsi="仿宋" w:eastAsia="仿宋" w:cs="仿宋_GB2312"/>
          <w:color w:val="auto"/>
          <w:highlight w:val="none"/>
        </w:rPr>
        <w:t>17.3在原定投标有效期满之前，如果出现特殊情况，采购</w:t>
      </w:r>
      <w:r>
        <w:rPr>
          <w:rFonts w:hint="eastAsia" w:ascii="仿宋" w:hAnsi="仿宋" w:eastAsia="仿宋" w:cs="仿宋_GB2312"/>
          <w:color w:val="auto"/>
          <w:szCs w:val="24"/>
          <w:highlight w:val="none"/>
        </w:rPr>
        <w:t>代理</w:t>
      </w:r>
      <w:r>
        <w:rPr>
          <w:rFonts w:ascii="仿宋" w:hAnsi="仿宋" w:eastAsia="仿宋" w:cs="仿宋_GB2312"/>
          <w:color w:val="auto"/>
          <w:highlight w:val="none"/>
        </w:rPr>
        <w:t>机构可以以书面形式通知投标人延长投标有效期。投标人同意延长的，不得要求或被允许修改其投标文件，投标人拒绝延长的，其投标无效。</w:t>
      </w:r>
    </w:p>
    <w:p>
      <w:pPr>
        <w:pStyle w:val="159"/>
        <w:spacing w:before="0"/>
        <w:ind w:firstLine="643"/>
        <w:rPr>
          <w:rFonts w:ascii="仿宋" w:hAnsi="仿宋" w:eastAsia="仿宋" w:cs="仿宋_GB2312"/>
          <w:b/>
          <w:color w:val="auto"/>
          <w:sz w:val="32"/>
          <w:highlight w:val="none"/>
        </w:rPr>
      </w:pPr>
    </w:p>
    <w:p>
      <w:pPr>
        <w:pStyle w:val="159"/>
        <w:spacing w:before="0"/>
        <w:ind w:firstLine="1928" w:firstLineChars="600"/>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四、开标、资格审查与信用信息查询</w:t>
      </w:r>
    </w:p>
    <w:p>
      <w:pPr>
        <w:pStyle w:val="558"/>
        <w:spacing w:before="0" w:line="360" w:lineRule="auto"/>
        <w:ind w:left="0" w:firstLine="482" w:firstLineChars="200"/>
        <w:contextualSpacing/>
        <w:rPr>
          <w:rFonts w:ascii="仿宋" w:hAnsi="仿宋" w:eastAsia="仿宋"/>
          <w:color w:val="auto"/>
          <w:sz w:val="24"/>
          <w:highlight w:val="none"/>
        </w:rPr>
      </w:pPr>
      <w:r>
        <w:rPr>
          <w:rFonts w:ascii="仿宋" w:hAnsi="仿宋" w:eastAsia="仿宋" w:cs="仿宋_GB2312"/>
          <w:b/>
          <w:color w:val="auto"/>
          <w:sz w:val="24"/>
          <w:szCs w:val="24"/>
          <w:highlight w:val="none"/>
        </w:rPr>
        <w:t>18.开标</w:t>
      </w:r>
      <w:r>
        <w:rPr>
          <w:rFonts w:ascii="仿宋" w:hAnsi="仿宋" w:eastAsia="仿宋"/>
          <w:color w:val="auto"/>
          <w:sz w:val="24"/>
          <w:highlight w:val="none"/>
        </w:rPr>
        <w:t xml:space="preserve"> </w:t>
      </w:r>
    </w:p>
    <w:p>
      <w:pPr>
        <w:pStyle w:val="558"/>
        <w:spacing w:before="0" w:line="360" w:lineRule="auto"/>
        <w:ind w:left="0" w:firstLine="480" w:firstLineChars="20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18.1采购</w:t>
      </w:r>
      <w:r>
        <w:rPr>
          <w:rFonts w:hint="eastAsia" w:ascii="仿宋" w:hAnsi="仿宋" w:eastAsia="仿宋" w:cs="仿宋_GB2312"/>
          <w:color w:val="auto"/>
          <w:sz w:val="24"/>
          <w:szCs w:val="24"/>
          <w:highlight w:val="none"/>
        </w:rPr>
        <w:t>代理</w:t>
      </w:r>
      <w:r>
        <w:rPr>
          <w:rFonts w:ascii="仿宋" w:hAnsi="仿宋" w:eastAsia="仿宋" w:cs="仿宋_GB2312"/>
          <w:color w:val="auto"/>
          <w:sz w:val="24"/>
          <w:highlight w:val="none"/>
        </w:rPr>
        <w:t>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仿宋" w:hAnsi="仿宋" w:eastAsia="仿宋" w:cs="仿宋_GB2312"/>
          <w:color w:val="auto"/>
          <w:sz w:val="24"/>
          <w:highlight w:val="none"/>
        </w:rPr>
      </w:pPr>
      <w:r>
        <w:rPr>
          <w:rFonts w:hint="eastAsia" w:ascii="仿宋" w:hAnsi="仿宋" w:eastAsia="仿宋" w:cs="仿宋_GB2312"/>
          <w:color w:val="auto"/>
          <w:sz w:val="24"/>
          <w:highlight w:val="none"/>
        </w:rPr>
        <w:t>　</w:t>
      </w:r>
      <w:r>
        <w:rPr>
          <w:rFonts w:ascii="仿宋" w:hAnsi="仿宋" w:eastAsia="仿宋" w:cs="仿宋_GB2312"/>
          <w:color w:val="auto"/>
          <w:sz w:val="24"/>
          <w:highlight w:val="none"/>
        </w:rPr>
        <w:t>18.2开标时，电子交易平台按开标时间自动提取所有投标文件。采购</w:t>
      </w:r>
      <w:r>
        <w:rPr>
          <w:rFonts w:hint="eastAsia" w:ascii="仿宋" w:hAnsi="仿宋" w:eastAsia="仿宋" w:cs="仿宋_GB2312"/>
          <w:color w:val="auto"/>
          <w:sz w:val="24"/>
          <w:szCs w:val="24"/>
          <w:highlight w:val="none"/>
        </w:rPr>
        <w:t>代理</w:t>
      </w:r>
      <w:r>
        <w:rPr>
          <w:rFonts w:ascii="仿宋" w:hAnsi="仿宋" w:eastAsia="仿宋" w:cs="仿宋_GB2312"/>
          <w:color w:val="auto"/>
          <w:sz w:val="24"/>
          <w:highlight w:val="none"/>
        </w:rPr>
        <w:t>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仿宋" w:hAnsi="仿宋" w:eastAsia="仿宋" w:cs="仿宋_GB2312"/>
          <w:b/>
          <w:color w:val="auto"/>
          <w:sz w:val="24"/>
          <w:highlight w:val="none"/>
        </w:rPr>
      </w:pPr>
      <w:r>
        <w:rPr>
          <w:rFonts w:hint="eastAsia" w:ascii="仿宋" w:hAnsi="仿宋" w:eastAsia="仿宋" w:cs="仿宋_GB2312"/>
          <w:color w:val="auto"/>
          <w:sz w:val="24"/>
          <w:highlight w:val="none"/>
        </w:rPr>
        <w:t>　</w:t>
      </w:r>
      <w:r>
        <w:rPr>
          <w:rFonts w:ascii="仿宋" w:hAnsi="仿宋" w:eastAsia="仿宋" w:cs="仿宋_GB2312"/>
          <w:color w:val="auto"/>
          <w:sz w:val="24"/>
          <w:highlight w:val="none"/>
        </w:rPr>
        <w:t>18.3</w:t>
      </w:r>
      <w:r>
        <w:rPr>
          <w:rFonts w:hint="eastAsia" w:ascii="仿宋" w:hAnsi="仿宋" w:eastAsia="仿宋"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pStyle w:val="25"/>
        <w:spacing w:line="360" w:lineRule="auto"/>
        <w:ind w:left="479" w:leftChars="228" w:firstLine="0" w:firstLineChars="0"/>
        <w:rPr>
          <w:rFonts w:ascii="仿宋" w:hAnsi="仿宋" w:eastAsia="仿宋" w:cs="仿宋_GB2312"/>
          <w:b/>
          <w:color w:val="auto"/>
          <w:highlight w:val="none"/>
        </w:rPr>
      </w:pPr>
      <w:r>
        <w:rPr>
          <w:rFonts w:ascii="仿宋" w:hAnsi="仿宋" w:eastAsia="仿宋" w:cs="仿宋_GB2312"/>
          <w:b/>
          <w:color w:val="auto"/>
          <w:highlight w:val="none"/>
        </w:rPr>
        <w:t>19、资格审查</w:t>
      </w:r>
    </w:p>
    <w:p>
      <w:pPr>
        <w:pStyle w:val="159"/>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19.1开标后，采购人或采购</w:t>
      </w:r>
      <w:r>
        <w:rPr>
          <w:rFonts w:hint="eastAsia" w:ascii="仿宋" w:hAnsi="仿宋" w:eastAsia="仿宋" w:cs="仿宋_GB2312"/>
          <w:color w:val="auto"/>
          <w:szCs w:val="24"/>
          <w:highlight w:val="none"/>
        </w:rPr>
        <w:t>代理</w:t>
      </w:r>
      <w:r>
        <w:rPr>
          <w:rFonts w:ascii="仿宋" w:hAnsi="仿宋" w:eastAsia="仿宋" w:cs="Arial"/>
          <w:color w:val="auto"/>
          <w:kern w:val="0"/>
          <w:szCs w:val="24"/>
          <w:highlight w:val="none"/>
        </w:rPr>
        <w:t>机构将依法对投标人的资格进行审查。</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Arial"/>
          <w:color w:val="auto"/>
          <w:kern w:val="0"/>
          <w:sz w:val="24"/>
          <w:highlight w:val="none"/>
        </w:rPr>
        <w:t>19.2</w:t>
      </w:r>
      <w:r>
        <w:rPr>
          <w:rFonts w:hint="eastAsia" w:ascii="仿宋" w:hAnsi="仿宋" w:eastAsia="仿宋" w:cs="仿宋_GB2312"/>
          <w:color w:val="auto"/>
          <w:sz w:val="24"/>
          <w:highlight w:val="none"/>
        </w:rPr>
        <w:t>采购人或采购代理机构依据法律法规和招标文件的规定，对投标人的基本资格条件、特定资格条件进行审查。</w:t>
      </w:r>
    </w:p>
    <w:p>
      <w:pPr>
        <w:pStyle w:val="159"/>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19.3投标人未按照招标文件要求提供与</w:t>
      </w:r>
      <w:r>
        <w:rPr>
          <w:rFonts w:hint="eastAsia" w:ascii="仿宋" w:hAnsi="仿宋" w:eastAsia="仿宋" w:cs="仿宋_GB2312"/>
          <w:color w:val="auto"/>
          <w:highlight w:val="none"/>
        </w:rPr>
        <w:t>基本资格条件、特定资格条件相应的</w:t>
      </w:r>
      <w:r>
        <w:rPr>
          <w:rFonts w:hint="eastAsia" w:ascii="仿宋" w:hAnsi="仿宋" w:eastAsia="仿宋" w:cs="Arial"/>
          <w:color w:val="auto"/>
          <w:kern w:val="0"/>
          <w:szCs w:val="24"/>
          <w:highlight w:val="none"/>
        </w:rPr>
        <w:t>有效资格证明材料的，视为</w:t>
      </w:r>
      <w:r>
        <w:rPr>
          <w:rFonts w:hint="eastAsia" w:ascii="仿宋" w:hAnsi="仿宋" w:eastAsia="仿宋" w:cs="仿宋_GB2312"/>
          <w:color w:val="auto"/>
          <w:highlight w:val="none"/>
        </w:rPr>
        <w:t>投标人不具备招标文件中规定的资格要求，其投标无效。</w:t>
      </w:r>
    </w:p>
    <w:p>
      <w:pPr>
        <w:pStyle w:val="159"/>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4对未通过资格审查的投标人，采购人或采购</w:t>
      </w:r>
      <w:r>
        <w:rPr>
          <w:rFonts w:hint="eastAsia" w:ascii="仿宋" w:hAnsi="仿宋" w:eastAsia="仿宋" w:cs="仿宋_GB2312"/>
          <w:color w:val="auto"/>
          <w:szCs w:val="24"/>
          <w:highlight w:val="none"/>
        </w:rPr>
        <w:t>代理</w:t>
      </w:r>
      <w:r>
        <w:rPr>
          <w:rFonts w:ascii="仿宋" w:hAnsi="仿宋" w:eastAsia="仿宋" w:cs="仿宋_GB2312"/>
          <w:color w:val="auto"/>
          <w:highlight w:val="none"/>
        </w:rPr>
        <w:t>机构告知其未通过的原因。</w:t>
      </w:r>
    </w:p>
    <w:p>
      <w:pPr>
        <w:pStyle w:val="159"/>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5合格投标人不足3家的，不再评标。</w:t>
      </w:r>
    </w:p>
    <w:p>
      <w:pPr>
        <w:pStyle w:val="159"/>
        <w:spacing w:before="0"/>
        <w:ind w:firstLine="482"/>
        <w:rPr>
          <w:rFonts w:ascii="仿宋" w:hAnsi="仿宋" w:eastAsia="仿宋" w:cs="仿宋_GB2312"/>
          <w:b/>
          <w:color w:val="auto"/>
          <w:szCs w:val="24"/>
          <w:highlight w:val="none"/>
        </w:rPr>
      </w:pPr>
      <w:r>
        <w:rPr>
          <w:rFonts w:ascii="仿宋" w:hAnsi="仿宋" w:eastAsia="仿宋" w:cs="仿宋_GB2312"/>
          <w:b/>
          <w:color w:val="auto"/>
          <w:szCs w:val="24"/>
          <w:highlight w:val="none"/>
        </w:rPr>
        <w:t>20、信用信息查询</w:t>
      </w:r>
    </w:p>
    <w:p>
      <w:pPr>
        <w:pStyle w:val="159"/>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20.1信用信息查询渠道及截止时间：采购</w:t>
      </w:r>
      <w:r>
        <w:rPr>
          <w:rFonts w:hint="eastAsia" w:ascii="仿宋" w:hAnsi="仿宋" w:eastAsia="仿宋" w:cs="仿宋_GB2312"/>
          <w:color w:val="auto"/>
          <w:szCs w:val="24"/>
          <w:highlight w:val="none"/>
        </w:rPr>
        <w:t>代理</w:t>
      </w:r>
      <w:r>
        <w:rPr>
          <w:rFonts w:ascii="仿宋" w:hAnsi="仿宋" w:eastAsia="仿宋" w:cs="Arial"/>
          <w:color w:val="auto"/>
          <w:kern w:val="0"/>
          <w:szCs w:val="24"/>
          <w:highlight w:val="none"/>
        </w:rPr>
        <w:t>机构将通过“信用中国”网站(www.creditchina.gov.cn)、中国政府采购网(www.ccgp.gov.cn)渠道查询投标人投标截止时间当天的信用记录。</w:t>
      </w:r>
    </w:p>
    <w:p>
      <w:pPr>
        <w:pStyle w:val="159"/>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20.2信用信息查询记录和证据留存的具体方式：现场查询的投标人的信用记录、查询结果经确认后将与采购文件一起存档。</w:t>
      </w:r>
    </w:p>
    <w:p>
      <w:pPr>
        <w:pStyle w:val="159"/>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59"/>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auto"/>
          <w:highlight w:val="none"/>
        </w:rPr>
        <w:t>。</w:t>
      </w:r>
    </w:p>
    <w:p>
      <w:pPr>
        <w:pStyle w:val="159"/>
        <w:spacing w:before="0"/>
        <w:ind w:firstLine="0" w:firstLineChars="0"/>
        <w:rPr>
          <w:rFonts w:ascii="仿宋" w:hAnsi="仿宋" w:eastAsia="仿宋" w:cs="Arial"/>
          <w:color w:val="auto"/>
          <w:kern w:val="0"/>
          <w:szCs w:val="24"/>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五、评标</w:t>
      </w:r>
    </w:p>
    <w:p>
      <w:pPr>
        <w:spacing w:line="360" w:lineRule="auto"/>
        <w:ind w:firstLine="482" w:firstLineChars="200"/>
        <w:rPr>
          <w:rFonts w:ascii="仿宋" w:hAnsi="仿宋" w:eastAsia="仿宋" w:cs="仿宋_GB2312"/>
          <w:b/>
          <w:color w:val="auto"/>
          <w:sz w:val="24"/>
          <w:highlight w:val="none"/>
        </w:rPr>
      </w:pPr>
      <w:bookmarkStart w:id="13" w:name="_Toc91899903"/>
      <w:r>
        <w:rPr>
          <w:rFonts w:ascii="仿宋" w:hAnsi="仿宋" w:eastAsia="仿宋" w:cs="仿宋_GB2312"/>
          <w:b/>
          <w:color w:val="auto"/>
          <w:sz w:val="24"/>
          <w:highlight w:val="none"/>
        </w:rPr>
        <w:t>21.</w:t>
      </w:r>
      <w:r>
        <w:rPr>
          <w:rFonts w:ascii="仿宋" w:hAnsi="仿宋" w:eastAsia="仿宋"/>
          <w:color w:val="auto"/>
          <w:highlight w:val="none"/>
        </w:rPr>
        <w:t xml:space="preserve"> </w:t>
      </w:r>
      <w:r>
        <w:rPr>
          <w:rFonts w:hint="eastAsia" w:ascii="仿宋" w:hAnsi="仿宋" w:eastAsia="仿宋"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color w:val="auto"/>
          <w:sz w:val="24"/>
          <w:highlight w:val="none"/>
        </w:rPr>
        <w:t>详见招标文件第四部分评标办法。</w:t>
      </w:r>
    </w:p>
    <w:p>
      <w:pPr>
        <w:spacing w:line="360" w:lineRule="auto"/>
        <w:rPr>
          <w:rFonts w:ascii="仿宋" w:hAnsi="仿宋" w:eastAsia="仿宋" w:cs="仿宋_GB2312"/>
          <w:b/>
          <w:color w:val="auto"/>
          <w:sz w:val="24"/>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六、定</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标</w:t>
      </w:r>
    </w:p>
    <w:p>
      <w:pPr>
        <w:pStyle w:val="25"/>
        <w:spacing w:line="360" w:lineRule="auto"/>
        <w:ind w:left="479" w:leftChars="228"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22. </w:t>
      </w:r>
      <w:r>
        <w:rPr>
          <w:rFonts w:hint="eastAsia" w:ascii="仿宋" w:hAnsi="仿宋" w:eastAsia="仿宋" w:cs="仿宋_GB2312"/>
          <w:b/>
          <w:color w:val="auto"/>
          <w:highlight w:val="none"/>
        </w:rPr>
        <w:t>确定中标供应商</w:t>
      </w:r>
    </w:p>
    <w:p>
      <w:pPr>
        <w:pStyle w:val="159"/>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采购人将自收到评审报告之日起</w:t>
      </w:r>
      <w:r>
        <w:rPr>
          <w:rFonts w:ascii="仿宋" w:hAnsi="仿宋" w:eastAsia="仿宋" w:cs="仿宋_GB2312"/>
          <w:color w:val="auto"/>
          <w:szCs w:val="24"/>
          <w:highlight w:val="none"/>
        </w:rPr>
        <w:t>5个工作日内通过电子交易平台在评审报告推荐的中标候选人中按顺序确定中标供应商。</w:t>
      </w:r>
    </w:p>
    <w:p>
      <w:pPr>
        <w:pStyle w:val="159"/>
        <w:snapToGrid w:val="0"/>
        <w:spacing w:before="0"/>
        <w:ind w:firstLine="482"/>
        <w:rPr>
          <w:rFonts w:ascii="仿宋" w:hAnsi="仿宋" w:eastAsia="仿宋" w:cs="仿宋_GB2312"/>
          <w:b/>
          <w:color w:val="auto"/>
          <w:szCs w:val="24"/>
          <w:highlight w:val="none"/>
        </w:rPr>
      </w:pPr>
      <w:r>
        <w:rPr>
          <w:rFonts w:ascii="仿宋" w:hAnsi="仿宋" w:eastAsia="仿宋" w:cs="仿宋_GB2312"/>
          <w:b/>
          <w:color w:val="auto"/>
          <w:szCs w:val="24"/>
          <w:highlight w:val="none"/>
        </w:rPr>
        <w:t xml:space="preserve">23. </w:t>
      </w:r>
      <w:r>
        <w:rPr>
          <w:rFonts w:hint="eastAsia" w:ascii="仿宋" w:hAnsi="仿宋" w:eastAsia="仿宋" w:cs="仿宋_GB2312"/>
          <w:b/>
          <w:color w:val="auto"/>
          <w:szCs w:val="24"/>
          <w:highlight w:val="none"/>
        </w:rPr>
        <w:t>中标通知与中标结果公告</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23.1自中标人确定之日起2个工作日内，采购</w:t>
      </w:r>
      <w:r>
        <w:rPr>
          <w:rFonts w:hint="eastAsia" w:ascii="仿宋" w:hAnsi="仿宋" w:eastAsia="仿宋" w:cs="仿宋_GB2312"/>
          <w:color w:val="auto"/>
          <w:sz w:val="24"/>
          <w:highlight w:val="none"/>
        </w:rPr>
        <w:t>代理</w:t>
      </w:r>
      <w:r>
        <w:rPr>
          <w:rFonts w:ascii="仿宋" w:hAnsi="仿宋" w:eastAsia="仿宋" w:cs="仿宋_GB2312"/>
          <w:color w:val="auto"/>
          <w:sz w:val="24"/>
          <w:highlight w:val="none"/>
        </w:rPr>
        <w:t>机构通过电子交易平台向中标人发出中标通知书，</w:t>
      </w:r>
      <w:r>
        <w:rPr>
          <w:rFonts w:hint="eastAsia" w:ascii="仿宋" w:hAnsi="仿宋" w:eastAsia="仿宋" w:cs="仿宋_GB2312"/>
          <w:color w:val="auto"/>
          <w:sz w:val="24"/>
          <w:highlight w:val="none"/>
        </w:rPr>
        <w:t>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23.2中标结果公告内容包括采购人及其委托的采购</w:t>
      </w:r>
      <w:r>
        <w:rPr>
          <w:rFonts w:hint="eastAsia" w:ascii="仿宋" w:hAnsi="仿宋" w:eastAsia="仿宋" w:cs="仿宋_GB2312"/>
          <w:color w:val="auto"/>
          <w:sz w:val="24"/>
          <w:highlight w:val="none"/>
        </w:rPr>
        <w:t>代理</w:t>
      </w:r>
      <w:r>
        <w:rPr>
          <w:rFonts w:ascii="仿宋" w:hAnsi="仿宋" w:eastAsia="仿宋" w:cs="仿宋_GB2312"/>
          <w:color w:val="auto"/>
          <w:sz w:val="24"/>
          <w:highlight w:val="none"/>
        </w:rPr>
        <w:t>机构的名称、地址、联系方式，项目名称和项目编号，中标人名称、地址和中标金额，主要中标标的</w:t>
      </w:r>
      <w:r>
        <w:rPr>
          <w:rFonts w:hint="eastAsia" w:ascii="仿宋" w:hAnsi="仿宋" w:eastAsia="仿宋"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23.3公告期限为1个工作日。</w:t>
      </w:r>
    </w:p>
    <w:p>
      <w:pPr>
        <w:snapToGrid w:val="0"/>
        <w:spacing w:line="360" w:lineRule="auto"/>
        <w:ind w:left="120" w:leftChars="57" w:firstLine="482" w:firstLineChars="150"/>
        <w:jc w:val="center"/>
        <w:rPr>
          <w:rFonts w:ascii="仿宋" w:hAnsi="仿宋" w:eastAsia="仿宋" w:cs="仿宋_GB2312"/>
          <w:b/>
          <w:color w:val="auto"/>
          <w:sz w:val="32"/>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七、合同授予</w:t>
      </w:r>
    </w:p>
    <w:p>
      <w:pPr>
        <w:pStyle w:val="25"/>
        <w:spacing w:line="360" w:lineRule="auto"/>
        <w:ind w:left="479" w:leftChars="228"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24. </w:t>
      </w:r>
      <w:r>
        <w:rPr>
          <w:rFonts w:hint="eastAsia" w:ascii="仿宋" w:hAnsi="仿宋" w:eastAsia="仿宋" w:cs="仿宋_GB2312"/>
          <w:color w:val="auto"/>
          <w:highlight w:val="none"/>
        </w:rPr>
        <w:t>合同主要条款详见第五部分拟签订的合同文本。</w:t>
      </w:r>
    </w:p>
    <w:p>
      <w:pPr>
        <w:pStyle w:val="25"/>
        <w:spacing w:line="360" w:lineRule="auto"/>
        <w:ind w:left="479" w:leftChars="228"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25. </w:t>
      </w:r>
      <w:r>
        <w:rPr>
          <w:rFonts w:hint="eastAsia" w:ascii="仿宋" w:hAnsi="仿宋" w:eastAsia="仿宋" w:cs="仿宋_GB2312"/>
          <w:b/>
          <w:color w:val="auto"/>
          <w:highlight w:val="none"/>
        </w:rPr>
        <w:t>合同的签订</w:t>
      </w:r>
    </w:p>
    <w:p>
      <w:pPr>
        <w:widowControl/>
        <w:shd w:val="clear" w:color="auto" w:fill="FFFFFF"/>
        <w:spacing w:line="360" w:lineRule="auto"/>
        <w:ind w:firstLine="480"/>
        <w:jc w:val="left"/>
        <w:rPr>
          <w:rFonts w:ascii="仿宋" w:hAnsi="仿宋" w:eastAsia="仿宋" w:cs="Arial"/>
          <w:color w:val="auto"/>
          <w:kern w:val="0"/>
          <w:sz w:val="24"/>
          <w:highlight w:val="none"/>
        </w:rPr>
      </w:pPr>
      <w:r>
        <w:rPr>
          <w:rFonts w:ascii="仿宋" w:hAnsi="仿宋" w:eastAsia="仿宋" w:cs="仿宋_GB2312"/>
          <w:color w:val="auto"/>
          <w:sz w:val="24"/>
          <w:highlight w:val="none"/>
        </w:rPr>
        <w:t>25.1</w:t>
      </w:r>
      <w:r>
        <w:rPr>
          <w:rFonts w:ascii="仿宋" w:hAnsi="仿宋" w:eastAsia="仿宋"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 w:hAnsi="仿宋" w:eastAsia="仿宋" w:cs="Arial"/>
          <w:color w:val="auto"/>
          <w:kern w:val="0"/>
          <w:sz w:val="24"/>
          <w:highlight w:val="none"/>
        </w:rPr>
        <w:t>合同签订之日起2个工作日</w:t>
      </w:r>
      <w:r>
        <w:rPr>
          <w:rFonts w:ascii="仿宋" w:hAnsi="仿宋" w:eastAsia="仿宋" w:cs="Arial"/>
          <w:color w:val="auto"/>
          <w:kern w:val="0"/>
          <w:sz w:val="24"/>
          <w:highlight w:val="none"/>
        </w:rPr>
        <w:t>内依法发布合同公告。</w:t>
      </w:r>
    </w:p>
    <w:p>
      <w:pPr>
        <w:pStyle w:val="159"/>
        <w:snapToGrid w:val="0"/>
        <w:spacing w:before="0"/>
        <w:ind w:firstLine="480"/>
        <w:rPr>
          <w:rFonts w:ascii="仿宋" w:hAnsi="仿宋" w:eastAsia="仿宋"/>
          <w:color w:val="auto"/>
          <w:kern w:val="0"/>
          <w:highlight w:val="none"/>
        </w:rPr>
      </w:pPr>
      <w:r>
        <w:rPr>
          <w:rFonts w:ascii="仿宋" w:hAnsi="仿宋" w:eastAsia="仿宋" w:cs="仿宋_GB2312"/>
          <w:color w:val="auto"/>
          <w:kern w:val="0"/>
          <w:highlight w:val="none"/>
          <w:lang w:val="zh-CN"/>
        </w:rPr>
        <w:t>25.2</w:t>
      </w:r>
      <w:r>
        <w:rPr>
          <w:rFonts w:hint="eastAsia" w:ascii="仿宋" w:hAnsi="仿宋" w:eastAsia="仿宋"/>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25.3如签订合同并生效后，供应商无故拒绝或延期，除按照合同条款处理外，列入不良行为记录一次，并给予通报。</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25.4中标供应</w:t>
      </w:r>
      <w:r>
        <w:rPr>
          <w:rFonts w:hint="eastAsia" w:ascii="仿宋" w:hAnsi="仿宋" w:eastAsia="仿宋"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59"/>
        <w:snapToGrid w:val="0"/>
        <w:spacing w:before="0" w:after="120"/>
        <w:ind w:firstLine="480"/>
        <w:rPr>
          <w:rFonts w:ascii="仿宋" w:hAnsi="仿宋" w:eastAsia="仿宋" w:cs="仿宋_GB2312"/>
          <w:color w:val="auto"/>
          <w:highlight w:val="none"/>
        </w:rPr>
      </w:pPr>
      <w:r>
        <w:rPr>
          <w:rFonts w:ascii="仿宋" w:hAnsi="仿宋" w:eastAsia="仿宋" w:cs="仿宋_GB2312"/>
          <w:color w:val="auto"/>
          <w:highlight w:val="none"/>
        </w:rPr>
        <w:t>25.5采购合同由采购人与中标供应商根据</w:t>
      </w:r>
      <w:r>
        <w:rPr>
          <w:rFonts w:hint="eastAsia" w:ascii="仿宋" w:hAnsi="仿宋" w:eastAsia="仿宋" w:cs="仿宋_GB2312"/>
          <w:color w:val="auto"/>
          <w:highlight w:val="none"/>
        </w:rPr>
        <w:t>招标文件、投标文件等内容通过政府采购电子交易平台在线签订，自动备案。</w:t>
      </w:r>
    </w:p>
    <w:p>
      <w:pPr>
        <w:pStyle w:val="25"/>
        <w:spacing w:line="360" w:lineRule="auto"/>
        <w:ind w:left="479" w:leftChars="228"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26. </w:t>
      </w:r>
      <w:r>
        <w:rPr>
          <w:rFonts w:hint="eastAsia" w:ascii="仿宋" w:hAnsi="仿宋" w:eastAsia="仿宋"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。履约保证金的数额不得超过政府采购合同金额的2.5</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snapToGrid w:val="0"/>
        <w:spacing w:line="360" w:lineRule="auto"/>
        <w:ind w:firstLine="3357" w:firstLineChars="1045"/>
        <w:rPr>
          <w:rFonts w:ascii="仿宋" w:hAnsi="仿宋" w:eastAsia="仿宋" w:cs="仿宋_GB2312"/>
          <w:b/>
          <w:color w:val="auto"/>
          <w:sz w:val="32"/>
          <w:highlight w:val="none"/>
        </w:rPr>
      </w:pPr>
    </w:p>
    <w:p>
      <w:pPr>
        <w:snapToGrid w:val="0"/>
        <w:spacing w:line="360" w:lineRule="auto"/>
        <w:ind w:firstLine="3357" w:firstLineChars="1045"/>
        <w:rPr>
          <w:rFonts w:ascii="仿宋" w:hAnsi="仿宋" w:eastAsia="仿宋"/>
          <w:b/>
          <w:color w:val="auto"/>
          <w:sz w:val="24"/>
          <w:highlight w:val="none"/>
        </w:rPr>
      </w:pPr>
      <w:r>
        <w:rPr>
          <w:rFonts w:hint="eastAsia" w:ascii="仿宋" w:hAnsi="仿宋" w:eastAsia="仿宋" w:cs="仿宋_GB2312"/>
          <w:b/>
          <w:color w:val="auto"/>
          <w:sz w:val="32"/>
          <w:highlight w:val="none"/>
        </w:rPr>
        <w:t>八、电子交易活动的中止</w:t>
      </w:r>
    </w:p>
    <w:p>
      <w:pPr>
        <w:pStyle w:val="159"/>
        <w:snapToGrid w:val="0"/>
        <w:spacing w:before="0"/>
        <w:ind w:firstLine="482"/>
        <w:rPr>
          <w:rFonts w:ascii="仿宋" w:hAnsi="仿宋" w:eastAsia="仿宋" w:cs="仿宋_GB2312"/>
          <w:color w:val="auto"/>
          <w:highlight w:val="none"/>
        </w:rPr>
      </w:pPr>
      <w:r>
        <w:rPr>
          <w:rFonts w:ascii="仿宋" w:hAnsi="仿宋" w:eastAsia="仿宋" w:cs="仿宋_GB2312"/>
          <w:b/>
          <w:bCs/>
          <w:color w:val="auto"/>
          <w:highlight w:val="none"/>
        </w:rPr>
        <w:t>2</w:t>
      </w:r>
      <w:r>
        <w:rPr>
          <w:rFonts w:ascii="仿宋" w:hAnsi="仿宋" w:eastAsia="仿宋" w:cs="仿宋_GB2312"/>
          <w:b/>
          <w:bCs/>
          <w:color w:val="auto"/>
          <w:szCs w:val="24"/>
          <w:highlight w:val="none"/>
        </w:rPr>
        <w:t>7</w:t>
      </w:r>
      <w:r>
        <w:rPr>
          <w:rFonts w:ascii="仿宋" w:hAnsi="仿宋" w:eastAsia="仿宋" w:cs="仿宋_GB2312"/>
          <w:b/>
          <w:color w:val="auto"/>
          <w:szCs w:val="24"/>
          <w:highlight w:val="none"/>
        </w:rPr>
        <w:t xml:space="preserve">. </w:t>
      </w:r>
      <w:r>
        <w:rPr>
          <w:rFonts w:hint="eastAsia" w:ascii="仿宋" w:hAnsi="仿宋" w:eastAsia="仿宋" w:cs="仿宋_GB2312"/>
          <w:b/>
          <w:color w:val="auto"/>
          <w:szCs w:val="24"/>
          <w:highlight w:val="none"/>
        </w:rPr>
        <w:t>电子交易活动的中止。</w:t>
      </w:r>
      <w:r>
        <w:rPr>
          <w:rFonts w:hint="eastAsia" w:ascii="仿宋" w:hAnsi="仿宋" w:eastAsia="仿宋" w:cs="仿宋_GB2312"/>
          <w:color w:val="auto"/>
          <w:highlight w:val="none"/>
        </w:rPr>
        <w:t>采购过程中出现以下情形，导致电子交易平台无法正常运行，或者无法保证电子交易的公平、公正和安全时，采购</w:t>
      </w:r>
      <w:r>
        <w:rPr>
          <w:rFonts w:hint="eastAsia" w:ascii="仿宋" w:hAnsi="仿宋" w:eastAsia="仿宋" w:cs="仿宋_GB2312"/>
          <w:color w:val="auto"/>
          <w:szCs w:val="24"/>
          <w:highlight w:val="none"/>
        </w:rPr>
        <w:t>代理</w:t>
      </w:r>
      <w:r>
        <w:rPr>
          <w:rFonts w:hint="eastAsia" w:ascii="仿宋" w:hAnsi="仿宋" w:eastAsia="仿宋" w:cs="仿宋_GB2312"/>
          <w:color w:val="auto"/>
          <w:highlight w:val="none"/>
        </w:rPr>
        <w:t>机构可中止电子交易活动：</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 xml:space="preserve">27.1电子交易平台发生故障而无法登录访问的； </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27.2电子交易平台应用或数据库出现错误，不能进行正常操作的；</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27.3电子交易平台发现严重安全漏洞，有潜在泄密危险的；</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 xml:space="preserve">27.4病毒发作导致不能进行正常操作的； </w:t>
      </w:r>
    </w:p>
    <w:p>
      <w:pPr>
        <w:pStyle w:val="159"/>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27.5其他无法保证电子交易的公平、公正和安全的情况。</w:t>
      </w:r>
    </w:p>
    <w:p>
      <w:pPr>
        <w:pStyle w:val="159"/>
        <w:snapToGrid w:val="0"/>
        <w:spacing w:before="0"/>
        <w:ind w:firstLine="482"/>
        <w:rPr>
          <w:rFonts w:ascii="仿宋" w:hAnsi="仿宋" w:eastAsia="仿宋" w:cs="仿宋_GB2312"/>
          <w:color w:val="auto"/>
          <w:highlight w:val="none"/>
        </w:rPr>
      </w:pPr>
      <w:r>
        <w:rPr>
          <w:rFonts w:ascii="仿宋" w:hAnsi="仿宋" w:eastAsia="仿宋" w:cs="仿宋_GB2312"/>
          <w:b/>
          <w:bCs/>
          <w:color w:val="auto"/>
          <w:highlight w:val="none"/>
        </w:rPr>
        <w:t>28.</w:t>
      </w:r>
      <w:r>
        <w:rPr>
          <w:rFonts w:ascii="仿宋" w:hAnsi="仿宋" w:eastAsia="仿宋" w:cs="仿宋_GB2312"/>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olor w:val="auto"/>
          <w:sz w:val="24"/>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九、验收</w:t>
      </w:r>
    </w:p>
    <w:p>
      <w:pPr>
        <w:pStyle w:val="25"/>
        <w:spacing w:line="360" w:lineRule="auto"/>
        <w:ind w:firstLine="482"/>
        <w:rPr>
          <w:rFonts w:ascii="仿宋" w:hAnsi="仿宋" w:eastAsia="仿宋" w:cs="仿宋_GB2312"/>
          <w:b/>
          <w:color w:val="auto"/>
          <w:highlight w:val="none"/>
        </w:rPr>
      </w:pPr>
      <w:r>
        <w:rPr>
          <w:rFonts w:ascii="仿宋" w:hAnsi="仿宋" w:eastAsia="仿宋" w:cs="仿宋_GB2312"/>
          <w:b/>
          <w:color w:val="auto"/>
          <w:highlight w:val="none"/>
        </w:rPr>
        <w:t>29.验收</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29.2采购人可以邀请参加本项目的其他投标人或者第三方机构参与验收。参与验收的投标人或者第三方机构的意见作为</w:t>
      </w:r>
      <w:r>
        <w:rPr>
          <w:rFonts w:hint="eastAsia" w:ascii="仿宋" w:hAnsi="仿宋" w:eastAsia="仿宋" w:cs="Helvetica"/>
          <w:color w:val="auto"/>
          <w:kern w:val="0"/>
          <w:sz w:val="24"/>
          <w:highlight w:val="none"/>
        </w:rPr>
        <w:t>验收书的参考资料一并存档。</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_GB2312"/>
          <w:color w:val="auto"/>
          <w:sz w:val="18"/>
          <w:szCs w:val="18"/>
          <w:highlight w:val="none"/>
        </w:rPr>
      </w:pPr>
      <w:r>
        <w:rPr>
          <w:rFonts w:ascii="仿宋" w:hAnsi="仿宋" w:eastAsia="仿宋"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7" w:bottom="468" w:left="1417" w:header="851" w:footer="992" w:gutter="0"/>
          <w:cols w:space="720" w:num="1"/>
          <w:titlePg/>
          <w:docGrid w:linePitch="312" w:charSpace="0"/>
        </w:sectPr>
      </w:pPr>
      <w:bookmarkStart w:id="14" w:name="_Hlt68072990"/>
      <w:bookmarkEnd w:id="14"/>
      <w:bookmarkStart w:id="15" w:name="_Hlt74729768"/>
      <w:bookmarkEnd w:id="15"/>
      <w:bookmarkStart w:id="16" w:name="_Hlt74714665"/>
      <w:bookmarkEnd w:id="16"/>
      <w:bookmarkStart w:id="17" w:name="_Hlt74730295"/>
      <w:bookmarkEnd w:id="17"/>
      <w:bookmarkStart w:id="18" w:name="_Hlt74707468"/>
      <w:bookmarkEnd w:id="18"/>
      <w:bookmarkStart w:id="19" w:name="_Hlt75236011"/>
      <w:bookmarkEnd w:id="19"/>
      <w:bookmarkStart w:id="20" w:name="_Hlt68073093"/>
      <w:bookmarkEnd w:id="20"/>
      <w:bookmarkStart w:id="21" w:name="_Hlt68403820"/>
      <w:bookmarkEnd w:id="21"/>
      <w:bookmarkStart w:id="22" w:name="_Hlt75236101"/>
      <w:bookmarkEnd w:id="22"/>
      <w:bookmarkStart w:id="23" w:name="_Hlt68057669"/>
      <w:bookmarkEnd w:id="23"/>
      <w:bookmarkStart w:id="24" w:name="_Hlt75236290"/>
      <w:bookmarkEnd w:id="24"/>
      <w:bookmarkStart w:id="25" w:name="_Hlt68072998"/>
      <w:bookmarkEnd w:id="25"/>
    </w:p>
    <w:bookmarkEnd w:id="11"/>
    <w:bookmarkEnd w:id="12"/>
    <w:p>
      <w:pPr>
        <w:spacing w:line="360" w:lineRule="auto"/>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pacing w:line="360" w:lineRule="auto"/>
        <w:rPr>
          <w:rFonts w:ascii="仿宋" w:hAnsi="仿宋" w:eastAsia="仿宋"/>
          <w:b/>
          <w:color w:val="auto"/>
          <w:szCs w:val="21"/>
          <w:highlight w:val="none"/>
        </w:rPr>
      </w:pPr>
      <w:bookmarkStart w:id="27" w:name="_Toc83832022"/>
      <w:r>
        <w:rPr>
          <w:rFonts w:hint="eastAsia" w:ascii="仿宋" w:hAnsi="仿宋" w:eastAsia="仿宋"/>
          <w:b/>
          <w:color w:val="auto"/>
          <w:szCs w:val="21"/>
          <w:highlight w:val="none"/>
        </w:rPr>
        <w:t>（一）项目概况</w:t>
      </w:r>
    </w:p>
    <w:p>
      <w:pPr>
        <w:snapToGrid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目前整个校园的安防设备主要依托视频监控系统，现有网络视频监控点位8</w:t>
      </w:r>
      <w:r>
        <w:rPr>
          <w:rFonts w:ascii="仿宋" w:hAnsi="仿宋" w:eastAsia="仿宋"/>
          <w:color w:val="auto"/>
          <w:szCs w:val="21"/>
          <w:highlight w:val="none"/>
        </w:rPr>
        <w:t>50</w:t>
      </w:r>
      <w:r>
        <w:rPr>
          <w:rFonts w:hint="eastAsia" w:ascii="仿宋" w:hAnsi="仿宋" w:eastAsia="仿宋"/>
          <w:color w:val="auto"/>
          <w:szCs w:val="21"/>
          <w:highlight w:val="none"/>
        </w:rPr>
        <w:t>个点位，目前网络摄像机的像素为1</w:t>
      </w:r>
      <w:r>
        <w:rPr>
          <w:rFonts w:ascii="仿宋" w:hAnsi="仿宋" w:eastAsia="仿宋"/>
          <w:color w:val="auto"/>
          <w:szCs w:val="21"/>
          <w:highlight w:val="none"/>
        </w:rPr>
        <w:t>30</w:t>
      </w:r>
      <w:r>
        <w:rPr>
          <w:rFonts w:hint="eastAsia" w:ascii="仿宋" w:hAnsi="仿宋" w:eastAsia="仿宋"/>
          <w:color w:val="auto"/>
          <w:szCs w:val="21"/>
          <w:highlight w:val="none"/>
        </w:rPr>
        <w:t>万和2</w:t>
      </w:r>
      <w:r>
        <w:rPr>
          <w:rFonts w:ascii="仿宋" w:hAnsi="仿宋" w:eastAsia="仿宋"/>
          <w:color w:val="auto"/>
          <w:szCs w:val="21"/>
          <w:highlight w:val="none"/>
        </w:rPr>
        <w:t>00</w:t>
      </w:r>
      <w:r>
        <w:rPr>
          <w:rFonts w:hint="eastAsia" w:ascii="仿宋" w:hAnsi="仿宋" w:eastAsia="仿宋"/>
          <w:color w:val="auto"/>
          <w:szCs w:val="21"/>
          <w:highlight w:val="none"/>
        </w:rPr>
        <w:t>万，大部分监控点位是在2</w:t>
      </w:r>
      <w:r>
        <w:rPr>
          <w:rFonts w:ascii="仿宋" w:hAnsi="仿宋" w:eastAsia="仿宋"/>
          <w:color w:val="auto"/>
          <w:szCs w:val="21"/>
          <w:highlight w:val="none"/>
        </w:rPr>
        <w:t>010</w:t>
      </w:r>
      <w:r>
        <w:rPr>
          <w:rFonts w:hint="eastAsia" w:ascii="仿宋" w:hAnsi="仿宋" w:eastAsia="仿宋"/>
          <w:color w:val="auto"/>
          <w:szCs w:val="21"/>
          <w:highlight w:val="none"/>
        </w:rPr>
        <w:t>年到2</w:t>
      </w:r>
      <w:r>
        <w:rPr>
          <w:rFonts w:ascii="仿宋" w:hAnsi="仿宋" w:eastAsia="仿宋"/>
          <w:color w:val="auto"/>
          <w:szCs w:val="21"/>
          <w:highlight w:val="none"/>
        </w:rPr>
        <w:t>016</w:t>
      </w:r>
      <w:r>
        <w:rPr>
          <w:rFonts w:hint="eastAsia" w:ascii="仿宋" w:hAnsi="仿宋" w:eastAsia="仿宋"/>
          <w:color w:val="auto"/>
          <w:szCs w:val="21"/>
          <w:highlight w:val="none"/>
        </w:rPr>
        <w:t>年期间分批建设，经过几年的运行，前端摄像机已出现老、衰减、夜视效果不好，后端存储时间已不能达到要求，</w:t>
      </w:r>
    </w:p>
    <w:p>
      <w:pPr>
        <w:snapToGrid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目前浙江交通职业技术学院监控系统主要设备（前端摄像机、后端存储主机、监控平台管理主机、监控平台管理软件、运维主机）均为海康威视品牌。后续新建平台软件、硬件设备需将现有系统及设备硬件无缝接入。</w:t>
      </w:r>
    </w:p>
    <w:p>
      <w:pPr>
        <w:snapToGrid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本次浙江交通职业技术学院校园综合安全防范管理平台建设项目基于三维</w:t>
      </w:r>
      <w:r>
        <w:rPr>
          <w:rFonts w:ascii="仿宋" w:hAnsi="仿宋" w:eastAsia="仿宋"/>
          <w:color w:val="auto"/>
          <w:szCs w:val="21"/>
          <w:highlight w:val="none"/>
        </w:rPr>
        <w:t>3D</w:t>
      </w:r>
      <w:r>
        <w:rPr>
          <w:rFonts w:hint="eastAsia" w:ascii="仿宋" w:hAnsi="仿宋" w:eastAsia="仿宋"/>
          <w:color w:val="auto"/>
          <w:szCs w:val="21"/>
          <w:highlight w:val="none"/>
        </w:rPr>
        <w:t>地图的模型可视化的平台基础上定制开发一套校园综合安全防范管理平台。</w:t>
      </w:r>
      <w:bookmarkStart w:id="28" w:name="_Hlk98146556"/>
      <w:r>
        <w:rPr>
          <w:rFonts w:hint="eastAsia" w:ascii="仿宋" w:hAnsi="仿宋" w:eastAsia="仿宋"/>
          <w:color w:val="auto"/>
          <w:szCs w:val="21"/>
          <w:highlight w:val="none"/>
        </w:rPr>
        <w:t>本项目主要由综合平台管理应用软件及安防设施设备相关的硬件2部分组成</w:t>
      </w:r>
      <w:bookmarkEnd w:id="28"/>
      <w:r>
        <w:rPr>
          <w:rFonts w:hint="eastAsia" w:ascii="仿宋" w:hAnsi="仿宋" w:eastAsia="仿宋"/>
          <w:color w:val="auto"/>
          <w:szCs w:val="21"/>
          <w:highlight w:val="none"/>
        </w:rPr>
        <w:t>。</w:t>
      </w:r>
    </w:p>
    <w:p>
      <w:pPr>
        <w:pStyle w:val="278"/>
        <w:numPr>
          <w:ilvl w:val="0"/>
          <w:numId w:val="1"/>
        </w:numPr>
        <w:snapToGrid w:val="0"/>
        <w:ind w:left="357" w:hanging="357" w:firstLineChars="0"/>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定制开发一套</w:t>
      </w:r>
      <w:bookmarkStart w:id="29" w:name="_Hlk97283486"/>
      <w:r>
        <w:rPr>
          <w:rFonts w:hint="eastAsia" w:ascii="仿宋" w:hAnsi="仿宋" w:eastAsia="仿宋"/>
          <w:b/>
          <w:bCs/>
          <w:color w:val="auto"/>
          <w:sz w:val="21"/>
          <w:szCs w:val="21"/>
          <w:highlight w:val="none"/>
        </w:rPr>
        <w:t>校园安全综合管理平台主要功能技术参数表：</w:t>
      </w:r>
      <w:r>
        <w:rPr>
          <w:rFonts w:ascii="仿宋" w:hAnsi="仿宋" w:eastAsia="仿宋"/>
          <w:b/>
          <w:bCs/>
          <w:color w:val="auto"/>
          <w:sz w:val="21"/>
          <w:szCs w:val="21"/>
          <w:highlight w:val="none"/>
        </w:rPr>
        <w:t xml:space="preserve"> </w:t>
      </w:r>
      <w:r>
        <w:rPr>
          <w:rFonts w:hint="eastAsia" w:ascii="仿宋" w:hAnsi="仿宋" w:eastAsia="仿宋"/>
          <w:b/>
          <w:bCs/>
          <w:color w:val="auto"/>
          <w:sz w:val="21"/>
          <w:szCs w:val="21"/>
          <w:highlight w:val="none"/>
        </w:rPr>
        <w:t>（详见</w:t>
      </w:r>
      <w:r>
        <w:rPr>
          <w:rFonts w:hint="eastAsia" w:ascii="仿宋" w:hAnsi="仿宋" w:eastAsia="仿宋"/>
          <w:b/>
          <w:bCs/>
          <w:color w:val="auto"/>
          <w:sz w:val="21"/>
          <w:szCs w:val="21"/>
          <w:highlight w:val="none"/>
          <w:lang w:val="en-US" w:eastAsia="zh-CN"/>
        </w:rPr>
        <w:t>招标文件P62</w:t>
      </w:r>
      <w:r>
        <w:rPr>
          <w:rFonts w:hint="eastAsia" w:ascii="仿宋" w:hAnsi="仿宋" w:eastAsia="仿宋"/>
          <w:b/>
          <w:bCs/>
          <w:color w:val="auto"/>
          <w:sz w:val="21"/>
          <w:szCs w:val="21"/>
          <w:highlight w:val="none"/>
        </w:rPr>
        <w:t>附表1）</w:t>
      </w:r>
      <w:bookmarkEnd w:id="29"/>
    </w:p>
    <w:p>
      <w:pPr>
        <w:pStyle w:val="278"/>
        <w:snapToGrid w:val="0"/>
        <w:ind w:left="357" w:firstLine="420"/>
        <w:rPr>
          <w:rFonts w:ascii="仿宋" w:hAnsi="仿宋" w:eastAsia="仿宋"/>
          <w:color w:val="auto"/>
          <w:sz w:val="21"/>
          <w:szCs w:val="21"/>
          <w:highlight w:val="none"/>
        </w:rPr>
      </w:pPr>
      <w:r>
        <w:rPr>
          <w:rFonts w:hint="eastAsia" w:ascii="仿宋" w:hAnsi="仿宋" w:eastAsia="仿宋"/>
          <w:color w:val="auto"/>
          <w:sz w:val="21"/>
          <w:szCs w:val="21"/>
          <w:highlight w:val="none"/>
        </w:rPr>
        <w:t>本项目定制一套浙江交通职业技术学院平安校园管理平台。该平台是基于校园三维地图虚拟模型为核心基础，在三维虚拟仿真空间上量身定制开发一套适合浙江交通职业技术学院校园安全管理应用平台，该平台面向整个学院师生共同使用的的一套需具有统一门户网站、相关应用管理模块、数据展示模块、实现校内各个部门数据实时互通、具有移动应用端（微信端和钉钉端）等功能的综合应用平台。平台应具有保证软件系统运行完整功能、友好的用户界面及完善的系统管理功能、及后期功能应用扩展冗余等。</w:t>
      </w:r>
    </w:p>
    <w:p>
      <w:pPr>
        <w:pStyle w:val="278"/>
        <w:numPr>
          <w:ilvl w:val="0"/>
          <w:numId w:val="1"/>
        </w:numPr>
        <w:snapToGrid w:val="0"/>
        <w:ind w:left="357" w:hanging="357" w:firstLineChars="0"/>
        <w:rPr>
          <w:rFonts w:ascii="仿宋" w:hAnsi="仿宋" w:eastAsia="仿宋"/>
          <w:b/>
          <w:bCs/>
          <w:color w:val="auto"/>
          <w:sz w:val="21"/>
          <w:szCs w:val="21"/>
          <w:highlight w:val="none"/>
        </w:rPr>
      </w:pPr>
      <w:bookmarkStart w:id="30" w:name="_Hlk97285485"/>
      <w:r>
        <w:rPr>
          <w:rFonts w:hint="eastAsia" w:ascii="仿宋" w:hAnsi="仿宋" w:eastAsia="仿宋"/>
          <w:b/>
          <w:bCs/>
          <w:color w:val="auto"/>
          <w:sz w:val="21"/>
          <w:szCs w:val="21"/>
          <w:highlight w:val="none"/>
        </w:rPr>
        <w:t>平安校园指挥中心及办公区域升级改造（招标文件P70-72附件2和附件3工程量清单）</w:t>
      </w:r>
    </w:p>
    <w:bookmarkEnd w:id="30"/>
    <w:p>
      <w:pPr>
        <w:snapToGrid w:val="0"/>
        <w:spacing w:line="360" w:lineRule="auto"/>
        <w:ind w:left="420" w:hanging="420" w:hangingChars="200"/>
        <w:rPr>
          <w:rFonts w:ascii="仿宋" w:hAnsi="仿宋" w:eastAsia="仿宋"/>
          <w:color w:val="auto"/>
          <w:szCs w:val="21"/>
          <w:highlight w:val="none"/>
        </w:rPr>
      </w:pPr>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   </w:t>
      </w:r>
      <w:r>
        <w:rPr>
          <w:rFonts w:hint="eastAsia" w:ascii="仿宋" w:hAnsi="仿宋" w:eastAsia="仿宋"/>
          <w:color w:val="auto"/>
          <w:szCs w:val="21"/>
          <w:highlight w:val="none"/>
        </w:rPr>
        <w:t xml:space="preserve">    本次项目平安校园指挥中心设置在行政楼4楼，具体指挥中心布局详见机房布局图，本次指挥中心功能区主要由指挥大厅、机房设备间、办公区域、谈话室等组成。整个机房环境装修主要根据装修设计要求对现有墙面拆除及砌筑、进门大厅电动玻璃移门安装、吊顶拆除抬升采用铝合金型材简约装饰，机房照明要求需按照国标要求达到照度要求及消防应急要求，灯具采用L</w:t>
      </w:r>
      <w:r>
        <w:rPr>
          <w:rFonts w:ascii="仿宋" w:hAnsi="仿宋" w:eastAsia="仿宋"/>
          <w:color w:val="auto"/>
          <w:szCs w:val="21"/>
          <w:highlight w:val="none"/>
        </w:rPr>
        <w:t>ED</w:t>
      </w:r>
      <w:r>
        <w:rPr>
          <w:rFonts w:hint="eastAsia" w:ascii="仿宋" w:hAnsi="仿宋" w:eastAsia="仿宋"/>
          <w:color w:val="auto"/>
          <w:szCs w:val="21"/>
          <w:highlight w:val="none"/>
        </w:rPr>
        <w:t>灯，现有消控设备及</w:t>
      </w:r>
      <w:r>
        <w:rPr>
          <w:rFonts w:ascii="仿宋" w:hAnsi="仿宋" w:eastAsia="仿宋"/>
          <w:color w:val="auto"/>
          <w:szCs w:val="21"/>
          <w:highlight w:val="none"/>
        </w:rPr>
        <w:t>LCD</w:t>
      </w:r>
      <w:r>
        <w:rPr>
          <w:rFonts w:hint="eastAsia" w:ascii="仿宋" w:hAnsi="仿宋" w:eastAsia="仿宋"/>
          <w:color w:val="auto"/>
          <w:szCs w:val="21"/>
          <w:highlight w:val="none"/>
        </w:rPr>
        <w:t>大屏的移位及安装调试等，强弱电桥架及线路的拆除及改造、U</w:t>
      </w:r>
      <w:r>
        <w:rPr>
          <w:rFonts w:ascii="仿宋" w:hAnsi="仿宋" w:eastAsia="仿宋"/>
          <w:color w:val="auto"/>
          <w:szCs w:val="21"/>
          <w:highlight w:val="none"/>
        </w:rPr>
        <w:t>PS</w:t>
      </w:r>
      <w:r>
        <w:rPr>
          <w:rFonts w:hint="eastAsia" w:ascii="仿宋" w:hAnsi="仿宋" w:eastAsia="仿宋"/>
          <w:color w:val="auto"/>
          <w:szCs w:val="21"/>
          <w:highlight w:val="none"/>
        </w:rPr>
        <w:t>电源调试、机房安全文化的布置，窗帘的安装等。</w:t>
      </w:r>
    </w:p>
    <w:p>
      <w:pPr>
        <w:snapToGrid w:val="0"/>
        <w:spacing w:line="360" w:lineRule="auto"/>
        <w:ind w:left="315" w:leftChars="150" w:firstLine="525" w:firstLineChars="250"/>
        <w:rPr>
          <w:rFonts w:ascii="仿宋" w:hAnsi="仿宋" w:eastAsia="仿宋"/>
          <w:color w:val="auto"/>
          <w:szCs w:val="21"/>
          <w:highlight w:val="none"/>
        </w:rPr>
      </w:pPr>
      <w:r>
        <w:rPr>
          <w:rFonts w:hint="eastAsia" w:ascii="仿宋" w:hAnsi="仿宋" w:eastAsia="仿宋"/>
          <w:color w:val="auto"/>
          <w:szCs w:val="21"/>
          <w:highlight w:val="none"/>
        </w:rPr>
        <w:t>指挥大厅地面采用防腐高密度强化地板铺装，显示大屏采用小间距全彩屏体拼装安装，大屏显示面积不少于</w:t>
      </w:r>
      <w:r>
        <w:rPr>
          <w:rFonts w:ascii="仿宋" w:hAnsi="仿宋" w:eastAsia="仿宋"/>
          <w:color w:val="auto"/>
          <w:szCs w:val="21"/>
          <w:highlight w:val="none"/>
        </w:rPr>
        <w:t>37</w:t>
      </w:r>
      <w:r>
        <w:rPr>
          <w:rFonts w:hint="eastAsia" w:ascii="仿宋" w:hAnsi="仿宋" w:eastAsia="仿宋"/>
          <w:color w:val="auto"/>
          <w:szCs w:val="21"/>
          <w:highlight w:val="none"/>
        </w:rPr>
        <w:t>方。配置6工位豪华弧形操作台一套。</w:t>
      </w:r>
    </w:p>
    <w:p>
      <w:pPr>
        <w:snapToGrid w:val="0"/>
        <w:spacing w:line="360" w:lineRule="auto"/>
        <w:ind w:left="315" w:leftChars="150" w:firstLine="525" w:firstLineChars="250"/>
        <w:rPr>
          <w:rFonts w:ascii="仿宋" w:hAnsi="仿宋" w:eastAsia="仿宋"/>
          <w:color w:val="auto"/>
          <w:szCs w:val="21"/>
          <w:highlight w:val="none"/>
        </w:rPr>
      </w:pPr>
      <w:r>
        <w:rPr>
          <w:rFonts w:hint="eastAsia" w:ascii="仿宋" w:hAnsi="仿宋" w:eastAsia="仿宋"/>
          <w:color w:val="auto"/>
          <w:szCs w:val="21"/>
          <w:highlight w:val="none"/>
        </w:rPr>
        <w:t>指挥中心强电线路更新，强电由高配房接入，需采用双路供电，配置专用双路电源自动切换配电柜。机房内做好防雷接地要求，所有设备及柜体全部需接地，并达到国家规范要求，主要设备的信号接口需做好防雷保护措施。指挥大厅内的空调采用风管中央空调，设备间地板采用静电地板，空调采用原有柜机。</w:t>
      </w:r>
    </w:p>
    <w:p>
      <w:pPr>
        <w:pStyle w:val="278"/>
        <w:numPr>
          <w:ilvl w:val="0"/>
          <w:numId w:val="1"/>
        </w:numPr>
        <w:snapToGrid w:val="0"/>
        <w:ind w:firstLineChars="0"/>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校园安防专网改造</w:t>
      </w:r>
    </w:p>
    <w:p>
      <w:pPr>
        <w:snapToGrid w:val="0"/>
        <w:spacing w:line="360" w:lineRule="auto"/>
        <w:ind w:left="315" w:leftChars="150" w:firstLine="315" w:firstLineChars="150"/>
        <w:rPr>
          <w:rFonts w:ascii="仿宋" w:hAnsi="仿宋" w:eastAsia="仿宋"/>
          <w:color w:val="auto"/>
          <w:szCs w:val="21"/>
          <w:highlight w:val="none"/>
        </w:rPr>
      </w:pPr>
      <w:r>
        <w:rPr>
          <w:rFonts w:hint="eastAsia" w:ascii="仿宋" w:hAnsi="仿宋" w:eastAsia="仿宋"/>
          <w:color w:val="auto"/>
          <w:szCs w:val="21"/>
          <w:highlight w:val="none"/>
        </w:rPr>
        <w:t>安防专网采用树型网络结构，前段设备使用CAT6网线至接入交换机，接入交换机与汇聚交换机使用单口千兆光链路，汇聚交换机至核心交换机使用双口聚合千兆光链路。</w:t>
      </w:r>
    </w:p>
    <w:p>
      <w:pPr>
        <w:snapToGrid w:val="0"/>
        <w:spacing w:line="360" w:lineRule="auto"/>
        <w:ind w:left="315" w:leftChars="150" w:firstLine="315" w:firstLineChars="150"/>
        <w:rPr>
          <w:rFonts w:ascii="仿宋" w:hAnsi="仿宋" w:eastAsia="仿宋"/>
          <w:color w:val="auto"/>
          <w:szCs w:val="21"/>
          <w:highlight w:val="none"/>
        </w:rPr>
      </w:pPr>
      <w:r>
        <w:rPr>
          <w:rFonts w:hint="eastAsia" w:ascii="仿宋" w:hAnsi="仿宋" w:eastAsia="仿宋"/>
          <w:color w:val="auto"/>
          <w:szCs w:val="21"/>
          <w:highlight w:val="none"/>
        </w:rPr>
        <w:t>项目预配备核心交换机1台，至少满足26台服务器、1</w:t>
      </w:r>
      <w:r>
        <w:rPr>
          <w:rFonts w:ascii="仿宋" w:hAnsi="仿宋" w:eastAsia="仿宋"/>
          <w:color w:val="auto"/>
          <w:szCs w:val="21"/>
          <w:highlight w:val="none"/>
        </w:rPr>
        <w:t>4</w:t>
      </w:r>
      <w:r>
        <w:rPr>
          <w:rFonts w:hint="eastAsia" w:ascii="仿宋" w:hAnsi="仿宋" w:eastAsia="仿宋"/>
          <w:color w:val="auto"/>
          <w:szCs w:val="21"/>
          <w:highlight w:val="none"/>
        </w:rPr>
        <w:t>台汇聚交换机接入，带宽容量至少满足3000台400W像素摄像机接入。预设置网络汇聚点13个，分别位于西南门、海运楼、路桥楼、轨道楼、文体中心、行政楼、第三教学楼、致远桥、学生餐厅、第一教学楼、第四教学楼、游泳馆、7#宿舍楼。前端接入交换机就近接入汇聚交换机，接入交换机间不允许出现级联。</w:t>
      </w:r>
    </w:p>
    <w:p>
      <w:pPr>
        <w:snapToGrid w:val="0"/>
        <w:spacing w:line="360" w:lineRule="auto"/>
        <w:ind w:left="315" w:leftChars="150" w:firstLine="315" w:firstLineChars="150"/>
        <w:rPr>
          <w:rFonts w:ascii="仿宋" w:hAnsi="仿宋" w:eastAsia="仿宋"/>
          <w:color w:val="auto"/>
          <w:szCs w:val="21"/>
          <w:highlight w:val="none"/>
        </w:rPr>
      </w:pPr>
      <w:r>
        <w:rPr>
          <w:rFonts w:hint="eastAsia" w:ascii="仿宋" w:hAnsi="仿宋" w:eastAsia="仿宋"/>
          <w:color w:val="auto"/>
          <w:szCs w:val="21"/>
          <w:highlight w:val="none"/>
        </w:rPr>
        <w:t>交换机支持云端管理，支持图形化运维管理，运维平台能直观的查看核心交换机、汇聚交换机及接入交换机每个端口的接入设备类型、设备运行状态、链路传输实时数据、端口速率等，安防专网网络数据信息需对接到三维地图上做实时动态呈现，实现在三维地图上能直观看到每台机柜内交换机的运行动态数据。</w:t>
      </w:r>
    </w:p>
    <w:p>
      <w:pPr>
        <w:snapToGrid w:val="0"/>
        <w:spacing w:line="360" w:lineRule="auto"/>
        <w:ind w:left="315" w:leftChars="150" w:firstLine="315" w:firstLineChars="150"/>
        <w:rPr>
          <w:rFonts w:ascii="仿宋" w:hAnsi="仿宋" w:eastAsia="仿宋"/>
          <w:color w:val="auto"/>
          <w:szCs w:val="21"/>
          <w:highlight w:val="none"/>
        </w:rPr>
      </w:pPr>
      <w:r>
        <w:rPr>
          <w:rFonts w:hint="eastAsia" w:ascii="仿宋" w:hAnsi="仿宋" w:eastAsia="仿宋"/>
          <w:color w:val="auto"/>
          <w:szCs w:val="21"/>
          <w:highlight w:val="none"/>
        </w:rPr>
        <w:t>项目机房位于行政楼4层，行政楼外西面及校史馆西侧各设置228芯室外光缆交接箱1台，机房敷设3条48芯光缆和一根YJV3*</w:t>
      </w:r>
      <w:r>
        <w:rPr>
          <w:rFonts w:ascii="仿宋" w:hAnsi="仿宋" w:eastAsia="仿宋"/>
          <w:color w:val="auto"/>
          <w:szCs w:val="21"/>
          <w:highlight w:val="none"/>
        </w:rPr>
        <w:t>4</w:t>
      </w:r>
      <w:r>
        <w:rPr>
          <w:rFonts w:hint="eastAsia" w:ascii="仿宋" w:hAnsi="仿宋" w:eastAsia="仿宋"/>
          <w:color w:val="auto"/>
          <w:szCs w:val="21"/>
          <w:highlight w:val="none"/>
        </w:rPr>
        <w:t>室外防水电缆至光缆交接箱，各个汇聚点敷设一条12芯光缆至光缆交接箱。楼栋设备管理机柜至汇聚点敷设6芯光缆连接，为保证用电及设备安全，前端设备箱和汇聚点均需增设漏电保护和防雷装置。</w:t>
      </w:r>
    </w:p>
    <w:p>
      <w:pPr>
        <w:pStyle w:val="2"/>
        <w:rPr>
          <w:rFonts w:ascii="仿宋" w:hAnsi="仿宋" w:eastAsia="仿宋"/>
          <w:color w:val="auto"/>
          <w:highlight w:val="none"/>
        </w:rPr>
      </w:pPr>
      <w:r>
        <w:rPr>
          <w:rFonts w:hint="eastAsia" w:ascii="仿宋" w:hAnsi="仿宋" w:eastAsia="仿宋"/>
          <w:color w:val="auto"/>
          <w:highlight w:val="none"/>
        </w:rPr>
        <w:t xml:space="preserve"> </w:t>
      </w:r>
      <w:r>
        <w:rPr>
          <w:rFonts w:ascii="仿宋" w:hAnsi="仿宋" w:eastAsia="仿宋"/>
          <w:color w:val="auto"/>
          <w:highlight w:val="none"/>
        </w:rPr>
        <w:t xml:space="preserve"> </w:t>
      </w:r>
    </w:p>
    <w:p>
      <w:pPr>
        <w:pStyle w:val="278"/>
        <w:numPr>
          <w:ilvl w:val="0"/>
          <w:numId w:val="1"/>
        </w:numPr>
        <w:snapToGrid w:val="0"/>
        <w:ind w:left="357" w:hanging="357" w:firstLineChars="0"/>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校内公共区域监控点位的覆盖</w:t>
      </w:r>
    </w:p>
    <w:p>
      <w:pPr>
        <w:snapToGrid w:val="0"/>
        <w:spacing w:line="360" w:lineRule="auto"/>
        <w:ind w:left="315" w:leftChars="150" w:firstLine="315" w:firstLineChars="150"/>
        <w:rPr>
          <w:rFonts w:ascii="仿宋" w:hAnsi="仿宋" w:eastAsia="仿宋"/>
          <w:color w:val="auto"/>
          <w:szCs w:val="21"/>
          <w:highlight w:val="none"/>
        </w:rPr>
      </w:pPr>
      <w:r>
        <w:rPr>
          <w:rFonts w:hint="eastAsia" w:ascii="仿宋" w:hAnsi="仿宋" w:eastAsia="仿宋"/>
          <w:color w:val="auto"/>
          <w:szCs w:val="21"/>
          <w:highlight w:val="none"/>
        </w:rPr>
        <w:t>本次项目新增</w:t>
      </w:r>
      <w:r>
        <w:rPr>
          <w:rFonts w:ascii="仿宋" w:hAnsi="仿宋" w:eastAsia="仿宋"/>
          <w:color w:val="auto"/>
          <w:szCs w:val="21"/>
          <w:highlight w:val="none"/>
        </w:rPr>
        <w:t>1090</w:t>
      </w:r>
      <w:r>
        <w:rPr>
          <w:rFonts w:hint="eastAsia" w:ascii="仿宋" w:hAnsi="仿宋" w:eastAsia="仿宋"/>
          <w:color w:val="auto"/>
          <w:szCs w:val="21"/>
          <w:highlight w:val="none"/>
        </w:rPr>
        <w:t>个高清监控点位，（其中人脸抓拍摄像机158个，周界警戒摄像机</w:t>
      </w:r>
      <w:r>
        <w:rPr>
          <w:rFonts w:ascii="仿宋" w:hAnsi="仿宋" w:eastAsia="仿宋"/>
          <w:color w:val="auto"/>
          <w:szCs w:val="21"/>
          <w:highlight w:val="none"/>
        </w:rPr>
        <w:t>78</w:t>
      </w:r>
      <w:r>
        <w:rPr>
          <w:rFonts w:hint="eastAsia" w:ascii="仿宋" w:hAnsi="仿宋" w:eastAsia="仿宋"/>
          <w:color w:val="auto"/>
          <w:szCs w:val="21"/>
          <w:highlight w:val="none"/>
        </w:rPr>
        <w:t>个，河道水域警戒</w:t>
      </w:r>
      <w:r>
        <w:rPr>
          <w:rFonts w:ascii="仿宋" w:hAnsi="仿宋" w:eastAsia="仿宋"/>
          <w:color w:val="auto"/>
          <w:szCs w:val="21"/>
          <w:highlight w:val="none"/>
        </w:rPr>
        <w:t>7</w:t>
      </w:r>
      <w:r>
        <w:rPr>
          <w:rFonts w:hint="eastAsia" w:ascii="仿宋" w:hAnsi="仿宋" w:eastAsia="仿宋"/>
          <w:color w:val="auto"/>
          <w:szCs w:val="21"/>
          <w:highlight w:val="none"/>
        </w:rPr>
        <w:t>个，楼顶预警摄像机6</w:t>
      </w:r>
      <w:r>
        <w:rPr>
          <w:rFonts w:ascii="仿宋" w:hAnsi="仿宋" w:eastAsia="仿宋"/>
          <w:color w:val="auto"/>
          <w:szCs w:val="21"/>
          <w:highlight w:val="none"/>
        </w:rPr>
        <w:t>4</w:t>
      </w:r>
      <w:r>
        <w:rPr>
          <w:rFonts w:hint="eastAsia" w:ascii="仿宋" w:hAnsi="仿宋" w:eastAsia="仿宋"/>
          <w:color w:val="auto"/>
          <w:szCs w:val="21"/>
          <w:highlight w:val="none"/>
        </w:rPr>
        <w:t>个，安消</w:t>
      </w:r>
      <w:r>
        <w:rPr>
          <w:rFonts w:ascii="仿宋" w:hAnsi="仿宋" w:eastAsia="仿宋"/>
          <w:color w:val="auto"/>
          <w:szCs w:val="21"/>
          <w:highlight w:val="none"/>
        </w:rPr>
        <w:t>摄像机</w:t>
      </w:r>
      <w:r>
        <w:rPr>
          <w:rFonts w:hint="eastAsia" w:ascii="仿宋" w:hAnsi="仿宋" w:eastAsia="仿宋"/>
          <w:color w:val="auto"/>
          <w:szCs w:val="21"/>
          <w:highlight w:val="none"/>
        </w:rPr>
        <w:t>6个，电梯</w:t>
      </w:r>
      <w:r>
        <w:rPr>
          <w:rFonts w:ascii="仿宋" w:hAnsi="仿宋" w:eastAsia="仿宋"/>
          <w:color w:val="auto"/>
          <w:szCs w:val="21"/>
          <w:highlight w:val="none"/>
        </w:rPr>
        <w:t>专用摄像机</w:t>
      </w:r>
      <w:r>
        <w:rPr>
          <w:rFonts w:hint="eastAsia" w:ascii="仿宋" w:hAnsi="仿宋" w:eastAsia="仿宋"/>
          <w:color w:val="auto"/>
          <w:szCs w:val="21"/>
          <w:highlight w:val="none"/>
        </w:rPr>
        <w:t>13个</w:t>
      </w:r>
      <w:r>
        <w:rPr>
          <w:rFonts w:ascii="仿宋" w:hAnsi="仿宋" w:eastAsia="仿宋"/>
          <w:color w:val="auto"/>
          <w:szCs w:val="21"/>
          <w:highlight w:val="none"/>
        </w:rPr>
        <w:t>，</w:t>
      </w:r>
      <w:r>
        <w:rPr>
          <w:rFonts w:hint="eastAsia" w:ascii="仿宋" w:hAnsi="仿宋" w:eastAsia="仿宋"/>
          <w:color w:val="auto"/>
          <w:szCs w:val="21"/>
          <w:highlight w:val="none"/>
        </w:rPr>
        <w:t>球智能一体机10台</w:t>
      </w:r>
      <w:r>
        <w:rPr>
          <w:rFonts w:ascii="仿宋" w:hAnsi="仿宋" w:eastAsia="仿宋"/>
          <w:color w:val="auto"/>
          <w:szCs w:val="21"/>
          <w:highlight w:val="none"/>
        </w:rPr>
        <w:t>，</w:t>
      </w:r>
      <w:r>
        <w:rPr>
          <w:rFonts w:hint="eastAsia" w:ascii="仿宋" w:hAnsi="仿宋" w:eastAsia="仿宋"/>
          <w:color w:val="auto"/>
          <w:szCs w:val="21"/>
          <w:highlight w:val="none"/>
        </w:rPr>
        <w:t>AR鹰眼1台</w:t>
      </w:r>
      <w:r>
        <w:rPr>
          <w:rFonts w:ascii="仿宋" w:hAnsi="仿宋" w:eastAsia="仿宋"/>
          <w:color w:val="auto"/>
          <w:szCs w:val="21"/>
          <w:highlight w:val="none"/>
        </w:rPr>
        <w:t>，</w:t>
      </w:r>
      <w:r>
        <w:rPr>
          <w:rFonts w:hint="eastAsia" w:ascii="仿宋" w:hAnsi="仿宋" w:eastAsia="仿宋"/>
          <w:color w:val="auto"/>
          <w:szCs w:val="21"/>
          <w:highlight w:val="none"/>
        </w:rPr>
        <w:t>全景拼接网络摄像机5台</w:t>
      </w:r>
      <w:r>
        <w:rPr>
          <w:rFonts w:ascii="仿宋" w:hAnsi="仿宋" w:eastAsia="仿宋"/>
          <w:color w:val="auto"/>
          <w:szCs w:val="21"/>
          <w:highlight w:val="none"/>
        </w:rPr>
        <w:t>，</w:t>
      </w:r>
      <w:r>
        <w:rPr>
          <w:rFonts w:hint="eastAsia" w:ascii="仿宋" w:hAnsi="仿宋" w:eastAsia="仿宋"/>
          <w:color w:val="auto"/>
          <w:szCs w:val="21"/>
          <w:highlight w:val="none"/>
        </w:rPr>
        <w:t>离岗检测摄像机5台</w:t>
      </w:r>
      <w:r>
        <w:rPr>
          <w:rFonts w:ascii="仿宋" w:hAnsi="仿宋" w:eastAsia="仿宋"/>
          <w:color w:val="auto"/>
          <w:szCs w:val="21"/>
          <w:highlight w:val="none"/>
        </w:rPr>
        <w:t>，</w:t>
      </w:r>
      <w:r>
        <w:rPr>
          <w:rFonts w:hint="eastAsia" w:ascii="仿宋" w:hAnsi="仿宋" w:eastAsia="仿宋"/>
          <w:color w:val="auto"/>
          <w:szCs w:val="21"/>
          <w:highlight w:val="none"/>
        </w:rPr>
        <w:t>热成像摄像机6台公共主干道及室内等区域</w:t>
      </w:r>
      <w:r>
        <w:rPr>
          <w:rFonts w:ascii="仿宋" w:hAnsi="仿宋" w:eastAsia="仿宋"/>
          <w:color w:val="auto"/>
          <w:szCs w:val="21"/>
          <w:highlight w:val="none"/>
        </w:rPr>
        <w:t>686</w:t>
      </w:r>
      <w:r>
        <w:rPr>
          <w:rFonts w:hint="eastAsia" w:ascii="仿宋" w:hAnsi="仿宋" w:eastAsia="仿宋"/>
          <w:color w:val="auto"/>
          <w:szCs w:val="21"/>
          <w:highlight w:val="none"/>
        </w:rPr>
        <w:t>个，</w:t>
      </w:r>
      <w:r>
        <w:rPr>
          <w:rFonts w:ascii="仿宋" w:hAnsi="仿宋" w:eastAsia="仿宋"/>
          <w:color w:val="auto"/>
          <w:szCs w:val="21"/>
          <w:highlight w:val="none"/>
        </w:rPr>
        <w:t>预留点位</w:t>
      </w:r>
      <w:r>
        <w:rPr>
          <w:rFonts w:hint="eastAsia" w:ascii="仿宋" w:hAnsi="仿宋" w:eastAsia="仿宋"/>
          <w:color w:val="auto"/>
          <w:szCs w:val="21"/>
          <w:highlight w:val="none"/>
        </w:rPr>
        <w:t>50个）新增存储主机</w:t>
      </w:r>
      <w:r>
        <w:rPr>
          <w:rFonts w:ascii="仿宋" w:hAnsi="仿宋" w:eastAsia="仿宋"/>
          <w:color w:val="auto"/>
          <w:szCs w:val="21"/>
          <w:highlight w:val="none"/>
        </w:rPr>
        <w:t>9</w:t>
      </w:r>
      <w:r>
        <w:rPr>
          <w:rFonts w:hint="eastAsia" w:ascii="仿宋" w:hAnsi="仿宋" w:eastAsia="仿宋"/>
          <w:color w:val="auto"/>
          <w:szCs w:val="21"/>
          <w:highlight w:val="none"/>
        </w:rPr>
        <w:t>台，每台主机满配4</w:t>
      </w:r>
      <w:r>
        <w:rPr>
          <w:rFonts w:ascii="仿宋" w:hAnsi="仿宋" w:eastAsia="仿宋"/>
          <w:color w:val="auto"/>
          <w:szCs w:val="21"/>
          <w:highlight w:val="none"/>
        </w:rPr>
        <w:t>8</w:t>
      </w:r>
      <w:r>
        <w:rPr>
          <w:rFonts w:hint="eastAsia" w:ascii="仿宋" w:hAnsi="仿宋" w:eastAsia="仿宋"/>
          <w:color w:val="auto"/>
          <w:szCs w:val="21"/>
          <w:highlight w:val="none"/>
        </w:rPr>
        <w:t>块8</w:t>
      </w:r>
      <w:r>
        <w:rPr>
          <w:rFonts w:ascii="仿宋" w:hAnsi="仿宋" w:eastAsia="仿宋"/>
          <w:color w:val="auto"/>
          <w:szCs w:val="21"/>
          <w:highlight w:val="none"/>
        </w:rPr>
        <w:t>T</w:t>
      </w:r>
      <w:r>
        <w:rPr>
          <w:rFonts w:hint="eastAsia" w:ascii="仿宋" w:hAnsi="仿宋" w:eastAsia="仿宋"/>
          <w:color w:val="auto"/>
          <w:szCs w:val="21"/>
          <w:highlight w:val="none"/>
        </w:rPr>
        <w:t>的企业级硬盘，录像保存时间达到3个月。</w:t>
      </w:r>
    </w:p>
    <w:p>
      <w:pPr>
        <w:pStyle w:val="2"/>
        <w:ind w:firstLine="630" w:firstLineChars="300"/>
        <w:rPr>
          <w:rFonts w:ascii="仿宋" w:hAnsi="仿宋" w:eastAsia="仿宋"/>
          <w:color w:val="auto"/>
          <w:szCs w:val="21"/>
          <w:highlight w:val="none"/>
        </w:rPr>
      </w:pPr>
      <w:r>
        <w:rPr>
          <w:rFonts w:hint="eastAsia" w:ascii="仿宋" w:hAnsi="仿宋" w:eastAsia="仿宋"/>
          <w:color w:val="auto"/>
          <w:szCs w:val="21"/>
          <w:highlight w:val="none"/>
        </w:rPr>
        <w:t>1、2、3、5、6号</w:t>
      </w:r>
      <w:r>
        <w:rPr>
          <w:rFonts w:ascii="仿宋" w:hAnsi="仿宋" w:eastAsia="仿宋"/>
          <w:color w:val="auto"/>
          <w:szCs w:val="21"/>
          <w:highlight w:val="none"/>
        </w:rPr>
        <w:t>宿舍</w:t>
      </w:r>
      <w:r>
        <w:rPr>
          <w:rFonts w:hint="eastAsia" w:ascii="仿宋" w:hAnsi="仿宋" w:eastAsia="仿宋"/>
          <w:color w:val="auto"/>
          <w:szCs w:val="21"/>
          <w:highlight w:val="none"/>
        </w:rPr>
        <w:t>楼</w:t>
      </w:r>
      <w:r>
        <w:rPr>
          <w:rFonts w:ascii="仿宋" w:hAnsi="仿宋" w:eastAsia="仿宋"/>
          <w:color w:val="auto"/>
          <w:szCs w:val="21"/>
          <w:highlight w:val="none"/>
        </w:rPr>
        <w:t>更新录像机，并</w:t>
      </w:r>
      <w:r>
        <w:rPr>
          <w:rFonts w:hint="eastAsia" w:ascii="仿宋" w:hAnsi="仿宋" w:eastAsia="仿宋"/>
          <w:color w:val="auto"/>
          <w:szCs w:val="21"/>
          <w:highlight w:val="none"/>
        </w:rPr>
        <w:t>满配8块8TB硬盘</w:t>
      </w:r>
      <w:r>
        <w:rPr>
          <w:rFonts w:ascii="仿宋" w:hAnsi="仿宋" w:eastAsia="仿宋"/>
          <w:color w:val="auto"/>
          <w:szCs w:val="21"/>
          <w:highlight w:val="none"/>
        </w:rPr>
        <w:t>，录像资料保存</w:t>
      </w:r>
      <w:r>
        <w:rPr>
          <w:rFonts w:hint="eastAsia" w:ascii="仿宋" w:hAnsi="仿宋" w:eastAsia="仿宋"/>
          <w:color w:val="auto"/>
          <w:szCs w:val="21"/>
          <w:highlight w:val="none"/>
        </w:rPr>
        <w:t>打到3个</w:t>
      </w:r>
      <w:r>
        <w:rPr>
          <w:rFonts w:ascii="仿宋" w:hAnsi="仿宋" w:eastAsia="仿宋"/>
          <w:color w:val="auto"/>
          <w:szCs w:val="21"/>
          <w:highlight w:val="none"/>
        </w:rPr>
        <w:t>月以上。</w:t>
      </w:r>
    </w:p>
    <w:p>
      <w:pPr>
        <w:pStyle w:val="278"/>
        <w:numPr>
          <w:ilvl w:val="0"/>
          <w:numId w:val="1"/>
        </w:numPr>
        <w:snapToGrid w:val="0"/>
        <w:ind w:left="357" w:hanging="357" w:firstLineChars="0"/>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消安一体化硬件建设</w:t>
      </w:r>
    </w:p>
    <w:p>
      <w:pPr>
        <w:snapToGrid w:val="0"/>
        <w:spacing w:line="360" w:lineRule="auto"/>
        <w:ind w:left="315" w:leftChars="150" w:firstLine="315" w:firstLineChars="150"/>
        <w:rPr>
          <w:rFonts w:ascii="仿宋" w:hAnsi="仿宋" w:eastAsia="仿宋"/>
          <w:color w:val="auto"/>
          <w:szCs w:val="21"/>
          <w:highlight w:val="none"/>
        </w:rPr>
      </w:pPr>
      <w:r>
        <w:rPr>
          <w:rFonts w:hint="eastAsia" w:ascii="仿宋" w:hAnsi="仿宋" w:eastAsia="仿宋"/>
          <w:color w:val="auto"/>
          <w:szCs w:val="21"/>
          <w:highlight w:val="none"/>
        </w:rPr>
        <w:t>目前校园有线和无线消防设备设施全部接入平台实现消安一体化管理，并在三维地图上做可视化管理。</w:t>
      </w:r>
    </w:p>
    <w:p>
      <w:pPr>
        <w:pStyle w:val="278"/>
        <w:numPr>
          <w:ilvl w:val="0"/>
          <w:numId w:val="1"/>
        </w:numPr>
        <w:snapToGrid w:val="0"/>
        <w:ind w:left="357" w:hanging="357" w:firstLineChars="0"/>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智慧交通硬件建设</w:t>
      </w:r>
    </w:p>
    <w:p>
      <w:pPr>
        <w:pStyle w:val="278"/>
        <w:snapToGrid w:val="0"/>
        <w:ind w:left="357" w:firstLine="420"/>
        <w:rPr>
          <w:rFonts w:ascii="仿宋" w:hAnsi="仿宋" w:eastAsia="仿宋" w:cs="Times New Roman"/>
          <w:color w:val="auto"/>
          <w:sz w:val="21"/>
          <w:szCs w:val="21"/>
          <w:highlight w:val="none"/>
        </w:rPr>
      </w:pPr>
      <w:r>
        <w:rPr>
          <w:rFonts w:hint="eastAsia" w:ascii="仿宋" w:hAnsi="仿宋" w:eastAsia="仿宋" w:cs="Times New Roman"/>
          <w:color w:val="auto"/>
          <w:sz w:val="21"/>
          <w:szCs w:val="21"/>
          <w:highlight w:val="none"/>
        </w:rPr>
        <w:t xml:space="preserve">将现有车辆道闸数据接入平台，新增2处差速违章抓拍系统。 </w:t>
      </w:r>
    </w:p>
    <w:p>
      <w:pPr>
        <w:pStyle w:val="278"/>
        <w:numPr>
          <w:ilvl w:val="0"/>
          <w:numId w:val="1"/>
        </w:numPr>
        <w:snapToGrid w:val="0"/>
        <w:ind w:left="357" w:hanging="357" w:firstLineChars="0"/>
        <w:rPr>
          <w:rFonts w:ascii="仿宋" w:hAnsi="仿宋" w:eastAsia="仿宋"/>
          <w:b/>
          <w:bCs/>
          <w:color w:val="auto"/>
          <w:sz w:val="21"/>
          <w:szCs w:val="21"/>
        </w:rPr>
      </w:pPr>
      <w:r>
        <w:rPr>
          <w:rFonts w:hint="eastAsia" w:ascii="仿宋" w:hAnsi="仿宋" w:eastAsia="仿宋"/>
          <w:b/>
          <w:bCs/>
          <w:color w:val="auto"/>
          <w:sz w:val="21"/>
          <w:szCs w:val="21"/>
        </w:rPr>
        <w:t>现有监控点位调整</w:t>
      </w:r>
    </w:p>
    <w:p>
      <w:pPr>
        <w:pStyle w:val="278"/>
        <w:snapToGrid w:val="0"/>
        <w:ind w:left="357" w:firstLine="420"/>
        <w:rPr>
          <w:rFonts w:ascii="仿宋" w:hAnsi="仿宋" w:eastAsia="仿宋" w:cs="Times New Roman"/>
          <w:color w:val="auto"/>
          <w:sz w:val="21"/>
          <w:szCs w:val="21"/>
        </w:rPr>
      </w:pPr>
      <w:r>
        <w:rPr>
          <w:rFonts w:hint="eastAsia" w:ascii="仿宋" w:hAnsi="仿宋" w:eastAsia="仿宋" w:cs="Times New Roman"/>
          <w:color w:val="auto"/>
          <w:sz w:val="21"/>
          <w:szCs w:val="21"/>
          <w:lang w:val="en-US" w:eastAsia="zh-CN"/>
        </w:rPr>
        <w:t>如因新增监控点位后，</w:t>
      </w:r>
      <w:r>
        <w:rPr>
          <w:rFonts w:hint="eastAsia" w:ascii="仿宋" w:hAnsi="仿宋" w:eastAsia="仿宋" w:cs="Times New Roman"/>
          <w:color w:val="auto"/>
          <w:sz w:val="21"/>
          <w:szCs w:val="21"/>
        </w:rPr>
        <w:t>原有监控点位</w:t>
      </w:r>
      <w:r>
        <w:rPr>
          <w:rFonts w:hint="eastAsia" w:ascii="仿宋" w:hAnsi="仿宋" w:eastAsia="仿宋" w:cs="Times New Roman"/>
          <w:color w:val="auto"/>
          <w:sz w:val="21"/>
          <w:szCs w:val="21"/>
          <w:lang w:val="en-US" w:eastAsia="zh-CN"/>
        </w:rPr>
        <w:t>部分需</w:t>
      </w:r>
      <w:r>
        <w:rPr>
          <w:rFonts w:hint="eastAsia" w:ascii="仿宋" w:hAnsi="仿宋" w:eastAsia="仿宋" w:cs="Times New Roman"/>
          <w:color w:val="auto"/>
          <w:sz w:val="21"/>
          <w:szCs w:val="21"/>
        </w:rPr>
        <w:t>拆除，更换到其他区域安装</w:t>
      </w:r>
      <w:r>
        <w:rPr>
          <w:rFonts w:hint="eastAsia" w:ascii="仿宋" w:hAnsi="仿宋" w:eastAsia="仿宋" w:cs="Times New Roman"/>
          <w:color w:val="auto"/>
          <w:sz w:val="21"/>
          <w:szCs w:val="21"/>
          <w:lang w:eastAsia="zh-CN"/>
        </w:rPr>
        <w:t>，</w:t>
      </w:r>
      <w:r>
        <w:rPr>
          <w:rFonts w:hint="eastAsia" w:ascii="仿宋" w:hAnsi="仿宋" w:eastAsia="仿宋" w:cs="Times New Roman"/>
          <w:color w:val="auto"/>
          <w:sz w:val="21"/>
          <w:szCs w:val="21"/>
        </w:rPr>
        <w:t>校园重点部位监控需采用新的设备，现有监控摄像机利旧安装到其他部位。</w:t>
      </w:r>
      <w:r>
        <w:rPr>
          <w:rFonts w:ascii="仿宋" w:hAnsi="仿宋" w:eastAsia="仿宋" w:cs="Times New Roman"/>
          <w:color w:val="auto"/>
          <w:sz w:val="21"/>
          <w:szCs w:val="21"/>
        </w:rPr>
        <w:t xml:space="preserve"> </w:t>
      </w:r>
    </w:p>
    <w:p>
      <w:pPr>
        <w:pStyle w:val="278"/>
        <w:numPr>
          <w:ilvl w:val="0"/>
          <w:numId w:val="1"/>
        </w:numPr>
        <w:snapToGrid w:val="0"/>
        <w:ind w:left="357" w:hanging="357" w:firstLineChars="0"/>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系统建成后的后续维修及售后服务</w:t>
      </w:r>
    </w:p>
    <w:p>
      <w:pPr>
        <w:pStyle w:val="278"/>
        <w:snapToGrid w:val="0"/>
        <w:ind w:left="357" w:firstLine="420"/>
        <w:rPr>
          <w:rFonts w:ascii="仿宋" w:hAnsi="仿宋" w:eastAsia="仿宋" w:cs="Times New Roman"/>
          <w:color w:val="auto"/>
          <w:sz w:val="21"/>
          <w:szCs w:val="21"/>
          <w:highlight w:val="none"/>
        </w:rPr>
      </w:pPr>
      <w:r>
        <w:rPr>
          <w:rFonts w:hint="eastAsia" w:ascii="仿宋" w:hAnsi="仿宋" w:eastAsia="仿宋" w:cs="Times New Roman"/>
          <w:color w:val="auto"/>
          <w:sz w:val="21"/>
          <w:szCs w:val="21"/>
          <w:highlight w:val="none"/>
        </w:rPr>
        <w:t>项目验收通过后续派驻</w:t>
      </w:r>
      <w:r>
        <w:rPr>
          <w:rFonts w:ascii="仿宋" w:hAnsi="仿宋" w:eastAsia="仿宋" w:cs="Times New Roman"/>
          <w:color w:val="auto"/>
          <w:sz w:val="21"/>
          <w:szCs w:val="21"/>
          <w:highlight w:val="none"/>
        </w:rPr>
        <w:t>2</w:t>
      </w:r>
      <w:r>
        <w:rPr>
          <w:rFonts w:hint="eastAsia" w:ascii="仿宋" w:hAnsi="仿宋" w:eastAsia="仿宋" w:cs="Times New Roman"/>
          <w:color w:val="auto"/>
          <w:sz w:val="21"/>
          <w:szCs w:val="21"/>
          <w:highlight w:val="none"/>
        </w:rPr>
        <w:t>名技术服务人员（软件及硬件各一人） 6*</w:t>
      </w:r>
      <w:r>
        <w:rPr>
          <w:rFonts w:ascii="仿宋" w:hAnsi="仿宋" w:eastAsia="仿宋" w:cs="Times New Roman"/>
          <w:color w:val="auto"/>
          <w:sz w:val="21"/>
          <w:szCs w:val="21"/>
          <w:highlight w:val="none"/>
        </w:rPr>
        <w:t>8</w:t>
      </w:r>
      <w:r>
        <w:rPr>
          <w:rFonts w:hint="eastAsia" w:ascii="仿宋" w:hAnsi="仿宋" w:eastAsia="仿宋" w:cs="Times New Roman"/>
          <w:color w:val="auto"/>
          <w:sz w:val="21"/>
          <w:szCs w:val="21"/>
          <w:highlight w:val="none"/>
        </w:rPr>
        <w:t>小时驻点服务，直到免费保修期结束。</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（二）机房装修布局图</w:t>
      </w:r>
    </w:p>
    <w:p>
      <w:pPr>
        <w:spacing w:line="360" w:lineRule="auto"/>
        <w:rPr>
          <w:rFonts w:ascii="仿宋" w:hAnsi="仿宋" w:eastAsia="仿宋"/>
          <w:b/>
          <w:color w:val="auto"/>
          <w:szCs w:val="21"/>
          <w:highlight w:val="none"/>
        </w:rPr>
      </w:pPr>
      <w:r>
        <w:rPr>
          <w:rFonts w:ascii="仿宋" w:hAnsi="仿宋" w:eastAsia="仿宋"/>
          <w:color w:val="auto"/>
          <w:highlight w:val="none"/>
        </w:rPr>
        <w:drawing>
          <wp:inline distT="0" distB="0" distL="0" distR="0">
            <wp:extent cx="5274310" cy="37896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5274310" cy="3789680"/>
                    </a:xfrm>
                    <a:prstGeom prst="rect">
                      <a:avLst/>
                    </a:prstGeom>
                  </pic:spPr>
                </pic:pic>
              </a:graphicData>
            </a:graphic>
          </wp:inline>
        </w:drawing>
      </w:r>
    </w:p>
    <w:p>
      <w:pPr>
        <w:spacing w:line="360" w:lineRule="auto"/>
        <w:jc w:val="center"/>
        <w:rPr>
          <w:rFonts w:ascii="仿宋" w:hAnsi="仿宋" w:eastAsia="仿宋"/>
          <w:b/>
          <w:color w:val="auto"/>
          <w:sz w:val="18"/>
          <w:szCs w:val="18"/>
          <w:highlight w:val="none"/>
          <w:u w:val="single"/>
        </w:rPr>
      </w:pPr>
      <w:r>
        <w:rPr>
          <w:rFonts w:hint="eastAsia" w:ascii="仿宋" w:hAnsi="仿宋" w:eastAsia="仿宋"/>
          <w:b/>
          <w:color w:val="auto"/>
          <w:sz w:val="18"/>
          <w:szCs w:val="18"/>
          <w:highlight w:val="none"/>
          <w:u w:val="single"/>
        </w:rPr>
        <w:t>行政楼4楼指挥大厅布局图</w:t>
      </w:r>
    </w:p>
    <w:p>
      <w:pPr>
        <w:spacing w:line="360" w:lineRule="auto"/>
        <w:rPr>
          <w:rFonts w:ascii="仿宋" w:hAnsi="仿宋" w:eastAsia="仿宋"/>
          <w:b/>
          <w:color w:val="auto"/>
          <w:szCs w:val="21"/>
          <w:highlight w:val="none"/>
        </w:rPr>
      </w:pPr>
      <w:r>
        <w:rPr>
          <w:rFonts w:ascii="仿宋" w:hAnsi="仿宋" w:eastAsia="仿宋"/>
          <w:color w:val="auto"/>
          <w:highlight w:val="none"/>
        </w:rPr>
        <w:drawing>
          <wp:inline distT="0" distB="0" distL="0" distR="0">
            <wp:extent cx="5274310" cy="37966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7"/>
                    <a:stretch>
                      <a:fillRect/>
                    </a:stretch>
                  </pic:blipFill>
                  <pic:spPr>
                    <a:xfrm>
                      <a:off x="0" y="0"/>
                      <a:ext cx="5274310" cy="3796665"/>
                    </a:xfrm>
                    <a:prstGeom prst="rect">
                      <a:avLst/>
                    </a:prstGeom>
                  </pic:spPr>
                </pic:pic>
              </a:graphicData>
            </a:graphic>
          </wp:inline>
        </w:drawing>
      </w:r>
    </w:p>
    <w:p>
      <w:pPr>
        <w:spacing w:line="360" w:lineRule="auto"/>
        <w:jc w:val="center"/>
        <w:rPr>
          <w:rFonts w:ascii="仿宋" w:hAnsi="仿宋" w:eastAsia="仿宋"/>
          <w:b/>
          <w:color w:val="auto"/>
          <w:sz w:val="18"/>
          <w:szCs w:val="18"/>
          <w:highlight w:val="none"/>
          <w:u w:val="single"/>
        </w:rPr>
      </w:pPr>
      <w:r>
        <w:rPr>
          <w:rFonts w:hint="eastAsia" w:ascii="仿宋" w:hAnsi="仿宋" w:eastAsia="仿宋"/>
          <w:b/>
          <w:color w:val="auto"/>
          <w:sz w:val="18"/>
          <w:szCs w:val="18"/>
          <w:highlight w:val="none"/>
          <w:u w:val="single"/>
        </w:rPr>
        <w:t>行政楼4楼指挥大厅顶面装修图</w:t>
      </w:r>
    </w:p>
    <w:p>
      <w:pPr>
        <w:pStyle w:val="2"/>
        <w:rPr>
          <w:rFonts w:ascii="仿宋" w:hAnsi="仿宋" w:eastAsia="仿宋"/>
          <w:color w:val="auto"/>
          <w:highlight w:val="none"/>
        </w:rPr>
      </w:pPr>
    </w:p>
    <w:p>
      <w:pPr>
        <w:widowControl/>
        <w:adjustRightInd/>
        <w:jc w:val="left"/>
        <w:rPr>
          <w:rFonts w:ascii="仿宋" w:hAnsi="仿宋" w:eastAsia="仿宋"/>
          <w:color w:val="auto"/>
          <w:highlight w:val="none"/>
        </w:rPr>
      </w:pPr>
    </w:p>
    <w:p>
      <w:pPr>
        <w:pStyle w:val="2"/>
        <w:jc w:val="center"/>
        <w:rPr>
          <w:rFonts w:ascii="仿宋" w:hAnsi="仿宋" w:eastAsia="仿宋"/>
          <w:color w:val="auto"/>
          <w:highlight w:val="none"/>
        </w:rPr>
      </w:pPr>
      <w:r>
        <w:rPr>
          <w:rFonts w:ascii="仿宋" w:hAnsi="仿宋" w:eastAsia="仿宋"/>
          <w:color w:val="auto"/>
          <w:highlight w:val="none"/>
        </w:rPr>
        <w:drawing>
          <wp:inline distT="0" distB="0" distL="0" distR="0">
            <wp:extent cx="5760720" cy="407479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60720" cy="4074795"/>
                    </a:xfrm>
                    <a:prstGeom prst="rect">
                      <a:avLst/>
                    </a:prstGeom>
                  </pic:spPr>
                </pic:pic>
              </a:graphicData>
            </a:graphic>
          </wp:inline>
        </w:drawing>
      </w:r>
    </w:p>
    <w:p>
      <w:pPr>
        <w:spacing w:line="360" w:lineRule="auto"/>
        <w:jc w:val="center"/>
        <w:rPr>
          <w:rFonts w:ascii="仿宋" w:hAnsi="仿宋" w:eastAsia="仿宋"/>
          <w:b/>
          <w:color w:val="auto"/>
          <w:sz w:val="18"/>
          <w:szCs w:val="18"/>
          <w:highlight w:val="none"/>
          <w:u w:val="single"/>
        </w:rPr>
      </w:pPr>
      <w:r>
        <w:rPr>
          <w:rFonts w:hint="eastAsia" w:ascii="仿宋" w:hAnsi="仿宋" w:eastAsia="仿宋"/>
          <w:b/>
          <w:color w:val="auto"/>
          <w:sz w:val="18"/>
          <w:szCs w:val="18"/>
          <w:highlight w:val="none"/>
          <w:u w:val="single"/>
        </w:rPr>
        <w:t>行政楼4楼指挥大厅配电柜系统图</w:t>
      </w:r>
    </w:p>
    <w:p>
      <w:pPr>
        <w:pStyle w:val="2"/>
        <w:jc w:val="center"/>
        <w:rPr>
          <w:rFonts w:ascii="仿宋" w:hAnsi="仿宋" w:eastAsia="仿宋"/>
          <w:color w:val="auto"/>
          <w:highlight w:val="none"/>
        </w:rPr>
      </w:pPr>
    </w:p>
    <w:p>
      <w:pPr>
        <w:snapToGrid w:val="0"/>
        <w:rPr>
          <w:rFonts w:ascii="仿宋" w:hAnsi="仿宋" w:eastAsia="仿宋"/>
          <w:b/>
          <w:color w:val="auto"/>
          <w:szCs w:val="21"/>
          <w:highlight w:val="none"/>
        </w:rPr>
      </w:pPr>
      <w:r>
        <w:rPr>
          <w:rFonts w:ascii="仿宋" w:hAnsi="仿宋" w:eastAsia="仿宋"/>
          <w:color w:val="auto"/>
          <w:highlight w:val="none"/>
        </w:rPr>
        <w:br w:type="page"/>
      </w:r>
      <w:r>
        <w:rPr>
          <w:rFonts w:hint="eastAsia" w:ascii="仿宋" w:hAnsi="仿宋" w:eastAsia="仿宋"/>
          <w:b/>
          <w:color w:val="auto"/>
          <w:szCs w:val="21"/>
          <w:highlight w:val="none"/>
        </w:rPr>
        <w:t>（三）点位清单表</w:t>
      </w:r>
    </w:p>
    <w:tbl>
      <w:tblPr>
        <w:tblStyle w:val="63"/>
        <w:tblW w:w="5000" w:type="pct"/>
        <w:tblInd w:w="0" w:type="dxa"/>
        <w:tblLayout w:type="autofit"/>
        <w:tblCellMar>
          <w:top w:w="0" w:type="dxa"/>
          <w:left w:w="108" w:type="dxa"/>
          <w:bottom w:w="0" w:type="dxa"/>
          <w:right w:w="108" w:type="dxa"/>
        </w:tblCellMar>
      </w:tblPr>
      <w:tblGrid>
        <w:gridCol w:w="346"/>
        <w:gridCol w:w="1386"/>
        <w:gridCol w:w="443"/>
        <w:gridCol w:w="521"/>
        <w:gridCol w:w="487"/>
        <w:gridCol w:w="565"/>
        <w:gridCol w:w="565"/>
        <w:gridCol w:w="565"/>
        <w:gridCol w:w="522"/>
        <w:gridCol w:w="566"/>
        <w:gridCol w:w="566"/>
        <w:gridCol w:w="566"/>
        <w:gridCol w:w="566"/>
        <w:gridCol w:w="566"/>
        <w:gridCol w:w="566"/>
        <w:gridCol w:w="492"/>
      </w:tblGrid>
      <w:tr>
        <w:tblPrEx>
          <w:tblCellMar>
            <w:top w:w="0" w:type="dxa"/>
            <w:left w:w="108" w:type="dxa"/>
            <w:bottom w:w="0" w:type="dxa"/>
            <w:right w:w="108" w:type="dxa"/>
          </w:tblCellMar>
        </w:tblPrEx>
        <w:trPr>
          <w:trHeight w:val="405" w:hRule="atLeast"/>
        </w:trPr>
        <w:tc>
          <w:tcPr>
            <w:tcW w:w="145" w:type="pct"/>
            <w:tcBorders>
              <w:top w:val="single" w:color="auto" w:sz="8" w:space="0"/>
              <w:left w:val="single" w:color="auto" w:sz="8" w:space="0"/>
              <w:bottom w:val="single" w:color="auto" w:sz="8" w:space="0"/>
              <w:right w:val="single" w:color="auto" w:sz="8" w:space="0"/>
            </w:tcBorders>
            <w:shd w:val="clear" w:color="000000" w:fill="00B0F0"/>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序号</w:t>
            </w:r>
          </w:p>
        </w:tc>
        <w:tc>
          <w:tcPr>
            <w:tcW w:w="473"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楼栋</w:t>
            </w:r>
          </w:p>
        </w:tc>
        <w:tc>
          <w:tcPr>
            <w:tcW w:w="261"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400万高清筒机</w:t>
            </w:r>
          </w:p>
        </w:tc>
        <w:tc>
          <w:tcPr>
            <w:tcW w:w="303"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400万高清半球</w:t>
            </w:r>
          </w:p>
        </w:tc>
        <w:tc>
          <w:tcPr>
            <w:tcW w:w="285"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电梯摄像机</w:t>
            </w:r>
          </w:p>
        </w:tc>
        <w:tc>
          <w:tcPr>
            <w:tcW w:w="327"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全彩枪球一体机</w:t>
            </w:r>
          </w:p>
        </w:tc>
        <w:tc>
          <w:tcPr>
            <w:tcW w:w="327"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全景拼接AR鹰眼</w:t>
            </w:r>
          </w:p>
        </w:tc>
        <w:tc>
          <w:tcPr>
            <w:tcW w:w="327"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全景拼接摄像机</w:t>
            </w:r>
          </w:p>
        </w:tc>
        <w:tc>
          <w:tcPr>
            <w:tcW w:w="303"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xml:space="preserve"> 热成像摄像机</w:t>
            </w:r>
          </w:p>
        </w:tc>
        <w:tc>
          <w:tcPr>
            <w:tcW w:w="327"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离岗检测摄像机</w:t>
            </w:r>
          </w:p>
        </w:tc>
        <w:tc>
          <w:tcPr>
            <w:tcW w:w="327"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全局人脸摄像机</w:t>
            </w:r>
          </w:p>
        </w:tc>
        <w:tc>
          <w:tcPr>
            <w:tcW w:w="327"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人脸抓拍摄像机</w:t>
            </w:r>
          </w:p>
        </w:tc>
        <w:tc>
          <w:tcPr>
            <w:tcW w:w="327"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周界警戒摄像机</w:t>
            </w:r>
          </w:p>
        </w:tc>
        <w:tc>
          <w:tcPr>
            <w:tcW w:w="327"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楼顶预警摄像机</w:t>
            </w:r>
          </w:p>
        </w:tc>
        <w:tc>
          <w:tcPr>
            <w:tcW w:w="327"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河道预警摄像机</w:t>
            </w:r>
          </w:p>
        </w:tc>
        <w:tc>
          <w:tcPr>
            <w:tcW w:w="285" w:type="pct"/>
            <w:tcBorders>
              <w:top w:val="single" w:color="auto" w:sz="8" w:space="0"/>
              <w:left w:val="nil"/>
              <w:bottom w:val="single" w:color="auto" w:sz="8" w:space="0"/>
              <w:right w:val="single" w:color="auto" w:sz="8" w:space="0"/>
            </w:tcBorders>
            <w:shd w:val="clear" w:color="000000" w:fill="00B0F0"/>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安消摄像机</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行政楼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32</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图书馆</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36</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智慧信息学院</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16</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轨道学院</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8</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42</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航空学院</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8</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34</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6</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海运学院</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51</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7</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路桥学院</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7</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43</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8</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汽车学院</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9</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9</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士官学院</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12</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10</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汽车综合实训楼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18</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11</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大礼堂</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6</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12</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轮机实训楼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13</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人文学院</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48</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14</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成教学院</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38</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15</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游泳馆</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16</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第三教学楼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22</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14</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6</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17</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教工食堂</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12</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18</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学生食堂</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8</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19</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文体中心</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20</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体育馆</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10</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21</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校史馆</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14</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22</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23</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24</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25</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26</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27</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6号宿舍楼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24</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28</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7号宿舍楼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29</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8号宿舍楼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30</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9号宿舍楼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31</w:t>
            </w:r>
          </w:p>
        </w:tc>
        <w:tc>
          <w:tcPr>
            <w:tcW w:w="473" w:type="pct"/>
            <w:tcBorders>
              <w:top w:val="nil"/>
              <w:left w:val="nil"/>
              <w:bottom w:val="single" w:color="auto" w:sz="8" w:space="0"/>
              <w:right w:val="single" w:color="auto" w:sz="8" w:space="0"/>
            </w:tcBorders>
            <w:shd w:val="clear" w:color="000000" w:fill="FFFFFF"/>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10号宿舍楼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32</w:t>
            </w:r>
          </w:p>
        </w:tc>
        <w:tc>
          <w:tcPr>
            <w:tcW w:w="473" w:type="pct"/>
            <w:tcBorders>
              <w:top w:val="nil"/>
              <w:left w:val="nil"/>
              <w:bottom w:val="single" w:color="auto" w:sz="8" w:space="0"/>
              <w:right w:val="single" w:color="auto" w:sz="8" w:space="0"/>
            </w:tcBorders>
            <w:shd w:val="clear" w:color="000000" w:fill="FFFFFF"/>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11号宿舍楼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33</w:t>
            </w:r>
          </w:p>
        </w:tc>
        <w:tc>
          <w:tcPr>
            <w:tcW w:w="473" w:type="pct"/>
            <w:tcBorders>
              <w:top w:val="nil"/>
              <w:left w:val="nil"/>
              <w:bottom w:val="single" w:color="auto" w:sz="8" w:space="0"/>
              <w:right w:val="single" w:color="auto" w:sz="8" w:space="0"/>
            </w:tcBorders>
            <w:shd w:val="clear" w:color="000000" w:fill="FFFFFF"/>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12号宿舍楼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34</w:t>
            </w:r>
          </w:p>
        </w:tc>
        <w:tc>
          <w:tcPr>
            <w:tcW w:w="473" w:type="pct"/>
            <w:tcBorders>
              <w:top w:val="nil"/>
              <w:left w:val="nil"/>
              <w:bottom w:val="single" w:color="auto" w:sz="8" w:space="0"/>
              <w:right w:val="single" w:color="auto" w:sz="8" w:space="0"/>
            </w:tcBorders>
            <w:shd w:val="clear" w:color="000000" w:fill="FFFFFF"/>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南苑1号宿舍楼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10</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35</w:t>
            </w:r>
          </w:p>
        </w:tc>
        <w:tc>
          <w:tcPr>
            <w:tcW w:w="473" w:type="pct"/>
            <w:tcBorders>
              <w:top w:val="nil"/>
              <w:left w:val="nil"/>
              <w:bottom w:val="single" w:color="auto" w:sz="8" w:space="0"/>
              <w:right w:val="single" w:color="auto" w:sz="8" w:space="0"/>
            </w:tcBorders>
            <w:shd w:val="clear" w:color="000000" w:fill="FFFFFF"/>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南苑2号宿舍楼</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10</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36</w:t>
            </w:r>
          </w:p>
        </w:tc>
        <w:tc>
          <w:tcPr>
            <w:tcW w:w="473" w:type="pct"/>
            <w:tcBorders>
              <w:top w:val="nil"/>
              <w:left w:val="nil"/>
              <w:bottom w:val="single" w:color="auto" w:sz="8" w:space="0"/>
              <w:right w:val="single" w:color="auto" w:sz="8" w:space="0"/>
            </w:tcBorders>
            <w:shd w:val="clear" w:color="000000" w:fill="FFFFFF"/>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后勤楼（超市）</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37</w:t>
            </w:r>
          </w:p>
        </w:tc>
        <w:tc>
          <w:tcPr>
            <w:tcW w:w="473" w:type="pct"/>
            <w:tcBorders>
              <w:top w:val="nil"/>
              <w:left w:val="nil"/>
              <w:bottom w:val="single" w:color="auto" w:sz="8" w:space="0"/>
              <w:right w:val="single" w:color="auto" w:sz="8" w:space="0"/>
            </w:tcBorders>
            <w:shd w:val="clear" w:color="000000" w:fill="FFFFFF"/>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田径场</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38</w:t>
            </w:r>
          </w:p>
        </w:tc>
        <w:tc>
          <w:tcPr>
            <w:tcW w:w="473" w:type="pct"/>
            <w:tcBorders>
              <w:top w:val="nil"/>
              <w:left w:val="nil"/>
              <w:bottom w:val="single" w:color="auto" w:sz="8" w:space="0"/>
              <w:right w:val="single" w:color="auto" w:sz="8" w:space="0"/>
            </w:tcBorders>
            <w:shd w:val="clear" w:color="000000" w:fill="FFFFFF"/>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室外篮球场</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39</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风雨网球场</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40</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驾校训练场</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41</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东大门</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42</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西大门</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43</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北大门</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44</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南小门</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45</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梦之船</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46</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飞机停机坪</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6</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47</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东校区室外主要干道</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38</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36</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7</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48</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西校区室外主要干道</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ascii="仿宋" w:hAnsi="仿宋" w:eastAsia="仿宋" w:cs="宋体"/>
                <w:color w:val="auto"/>
                <w:kern w:val="0"/>
                <w:sz w:val="13"/>
                <w:szCs w:val="13"/>
                <w:highlight w:val="none"/>
              </w:rPr>
              <w:t>33</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3</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26</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49</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宿舍楼室外区域</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12</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18</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50</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周界围墙</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78</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　</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51</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合计</w:t>
            </w:r>
          </w:p>
        </w:tc>
        <w:tc>
          <w:tcPr>
            <w:tcW w:w="261"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ascii="仿宋" w:hAnsi="仿宋" w:eastAsia="仿宋" w:cs="宋体"/>
                <w:color w:val="auto"/>
                <w:kern w:val="0"/>
                <w:sz w:val="13"/>
                <w:szCs w:val="13"/>
                <w:highlight w:val="none"/>
              </w:rPr>
              <w:t>252</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434</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13</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10</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w:t>
            </w:r>
          </w:p>
        </w:tc>
        <w:tc>
          <w:tcPr>
            <w:tcW w:w="303"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6</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6</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4</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154</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78</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64</w:t>
            </w:r>
          </w:p>
        </w:tc>
        <w:tc>
          <w:tcPr>
            <w:tcW w:w="327"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7</w:t>
            </w:r>
          </w:p>
        </w:tc>
        <w:tc>
          <w:tcPr>
            <w:tcW w:w="285" w:type="pct"/>
            <w:tcBorders>
              <w:top w:val="nil"/>
              <w:left w:val="nil"/>
              <w:bottom w:val="single" w:color="auto" w:sz="8" w:space="0"/>
              <w:right w:val="single" w:color="auto" w:sz="8" w:space="0"/>
            </w:tcBorders>
            <w:shd w:val="clear" w:color="000000" w:fill="FFFFFF"/>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6</w:t>
            </w:r>
          </w:p>
        </w:tc>
      </w:tr>
      <w:tr>
        <w:tblPrEx>
          <w:tblCellMar>
            <w:top w:w="0" w:type="dxa"/>
            <w:left w:w="108" w:type="dxa"/>
            <w:bottom w:w="0" w:type="dxa"/>
            <w:right w:w="108" w:type="dxa"/>
          </w:tblCellMar>
        </w:tblPrEx>
        <w:trPr>
          <w:trHeight w:val="285" w:hRule="atLeast"/>
        </w:trPr>
        <w:tc>
          <w:tcPr>
            <w:tcW w:w="145" w:type="pct"/>
            <w:tcBorders>
              <w:top w:val="nil"/>
              <w:left w:val="single" w:color="auto" w:sz="8" w:space="0"/>
              <w:bottom w:val="single" w:color="auto" w:sz="8" w:space="0"/>
              <w:right w:val="single" w:color="auto"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52</w:t>
            </w:r>
          </w:p>
        </w:tc>
        <w:tc>
          <w:tcPr>
            <w:tcW w:w="473" w:type="pct"/>
            <w:tcBorders>
              <w:top w:val="nil"/>
              <w:left w:val="nil"/>
              <w:bottom w:val="single" w:color="auto" w:sz="8" w:space="0"/>
              <w:right w:val="single" w:color="auto" w:sz="8" w:space="0"/>
            </w:tcBorders>
            <w:shd w:val="clear" w:color="auto" w:fill="auto"/>
            <w:noWrap/>
            <w:vAlign w:val="center"/>
          </w:tcPr>
          <w:p>
            <w:pPr>
              <w:widowControl/>
              <w:adjustRightInd/>
              <w:jc w:val="left"/>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总合计</w:t>
            </w:r>
          </w:p>
        </w:tc>
        <w:tc>
          <w:tcPr>
            <w:tcW w:w="4382" w:type="pct"/>
            <w:gridSpan w:val="14"/>
            <w:tcBorders>
              <w:top w:val="single" w:color="auto" w:sz="8" w:space="0"/>
              <w:left w:val="nil"/>
              <w:bottom w:val="single" w:color="auto" w:sz="8" w:space="0"/>
              <w:right w:val="single" w:color="000000" w:sz="8" w:space="0"/>
            </w:tcBorders>
            <w:shd w:val="clear" w:color="auto" w:fill="auto"/>
            <w:noWrap/>
            <w:vAlign w:val="center"/>
          </w:tcPr>
          <w:p>
            <w:pPr>
              <w:widowControl/>
              <w:adjustRightInd/>
              <w:jc w:val="center"/>
              <w:rPr>
                <w:rFonts w:ascii="仿宋" w:hAnsi="仿宋" w:eastAsia="仿宋" w:cs="宋体"/>
                <w:color w:val="auto"/>
                <w:kern w:val="0"/>
                <w:sz w:val="13"/>
                <w:szCs w:val="13"/>
                <w:highlight w:val="none"/>
              </w:rPr>
            </w:pPr>
            <w:r>
              <w:rPr>
                <w:rFonts w:hint="eastAsia" w:ascii="仿宋" w:hAnsi="仿宋" w:eastAsia="仿宋" w:cs="宋体"/>
                <w:color w:val="auto"/>
                <w:kern w:val="0"/>
                <w:sz w:val="13"/>
                <w:szCs w:val="13"/>
                <w:highlight w:val="none"/>
              </w:rPr>
              <w:t>109</w:t>
            </w:r>
            <w:r>
              <w:rPr>
                <w:rFonts w:ascii="仿宋" w:hAnsi="仿宋" w:eastAsia="仿宋" w:cs="宋体"/>
                <w:color w:val="auto"/>
                <w:kern w:val="0"/>
                <w:sz w:val="13"/>
                <w:szCs w:val="13"/>
                <w:highlight w:val="none"/>
              </w:rPr>
              <w:t>0</w:t>
            </w:r>
            <w:r>
              <w:rPr>
                <w:rFonts w:hint="eastAsia" w:ascii="仿宋" w:hAnsi="仿宋" w:eastAsia="仿宋" w:cs="宋体"/>
                <w:color w:val="auto"/>
                <w:kern w:val="0"/>
                <w:sz w:val="13"/>
                <w:szCs w:val="13"/>
                <w:highlight w:val="none"/>
              </w:rPr>
              <w:t>（含预留50台）</w:t>
            </w:r>
          </w:p>
        </w:tc>
      </w:tr>
    </w:tbl>
    <w:p>
      <w:pPr>
        <w:widowControl/>
        <w:adjustRightInd/>
        <w:jc w:val="left"/>
        <w:rPr>
          <w:rFonts w:ascii="仿宋" w:hAnsi="仿宋" w:eastAsia="仿宋"/>
          <w:color w:val="auto"/>
          <w:highlight w:val="none"/>
        </w:rPr>
      </w:pPr>
    </w:p>
    <w:bookmarkEnd w:id="27"/>
    <w:p>
      <w:pPr>
        <w:pStyle w:val="2"/>
        <w:ind w:firstLine="0" w:firstLineChars="0"/>
        <w:rPr>
          <w:rFonts w:ascii="仿宋" w:hAnsi="仿宋" w:eastAsia="仿宋"/>
          <w:color w:val="auto"/>
          <w:highlight w:val="none"/>
        </w:rPr>
      </w:pPr>
    </w:p>
    <w:p>
      <w:pPr>
        <w:pStyle w:val="159"/>
        <w:snapToGrid w:val="0"/>
        <w:spacing w:before="0"/>
        <w:ind w:firstLine="482"/>
        <w:rPr>
          <w:rFonts w:ascii="仿宋" w:hAnsi="仿宋" w:eastAsia="仿宋"/>
          <w:b/>
          <w:color w:val="auto"/>
          <w:szCs w:val="21"/>
          <w:highlight w:val="none"/>
        </w:rPr>
      </w:pPr>
      <w:r>
        <w:rPr>
          <w:rFonts w:hint="eastAsia" w:ascii="仿宋" w:hAnsi="仿宋" w:eastAsia="仿宋"/>
          <w:b/>
          <w:color w:val="auto"/>
          <w:szCs w:val="21"/>
          <w:highlight w:val="none"/>
        </w:rPr>
        <w:t>（四）本项目整体需求设备清单表</w:t>
      </w:r>
    </w:p>
    <w:tbl>
      <w:tblPr>
        <w:tblStyle w:val="63"/>
        <w:tblW w:w="5000" w:type="pct"/>
        <w:jc w:val="center"/>
        <w:tblLayout w:type="fixed"/>
        <w:tblCellMar>
          <w:top w:w="0" w:type="dxa"/>
          <w:left w:w="108" w:type="dxa"/>
          <w:bottom w:w="0" w:type="dxa"/>
          <w:right w:w="108" w:type="dxa"/>
        </w:tblCellMar>
      </w:tblPr>
      <w:tblGrid>
        <w:gridCol w:w="575"/>
        <w:gridCol w:w="1445"/>
        <w:gridCol w:w="6135"/>
        <w:gridCol w:w="420"/>
        <w:gridCol w:w="713"/>
      </w:tblGrid>
      <w:tr>
        <w:tblPrEx>
          <w:tblCellMar>
            <w:top w:w="0" w:type="dxa"/>
            <w:left w:w="108" w:type="dxa"/>
            <w:bottom w:w="0" w:type="dxa"/>
            <w:right w:w="108" w:type="dxa"/>
          </w:tblCellMar>
        </w:tblPrEx>
        <w:trPr>
          <w:trHeight w:val="282"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一、校园内监控增补及覆盖</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序号</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设备名称</w:t>
            </w:r>
          </w:p>
        </w:tc>
        <w:tc>
          <w:tcPr>
            <w:tcW w:w="3302" w:type="pct"/>
            <w:tcBorders>
              <w:top w:val="nil"/>
              <w:left w:val="nil"/>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技术参数</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单位</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数量</w:t>
            </w:r>
          </w:p>
        </w:tc>
      </w:tr>
      <w:tr>
        <w:tblPrEx>
          <w:tblCellMar>
            <w:top w:w="0" w:type="dxa"/>
            <w:left w:w="108" w:type="dxa"/>
            <w:bottom w:w="0" w:type="dxa"/>
            <w:right w:w="108" w:type="dxa"/>
          </w:tblCellMar>
        </w:tblPrEx>
        <w:trPr>
          <w:trHeight w:val="282" w:hRule="atLeast"/>
          <w:jc w:val="center"/>
        </w:trPr>
        <w:tc>
          <w:tcPr>
            <w:tcW w:w="4390"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前端设备</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CellMar>
            <w:top w:w="0" w:type="dxa"/>
            <w:left w:w="108" w:type="dxa"/>
            <w:bottom w:w="0" w:type="dxa"/>
            <w:right w:w="108" w:type="dxa"/>
          </w:tblCellMar>
        </w:tblPrEx>
        <w:trPr>
          <w:trHeight w:val="46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高清网络摄像机（含支架）</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400万 1/1.8" CMOS 臻全彩筒型网络摄像机</w:t>
            </w:r>
          </w:p>
          <w:p>
            <w:pPr>
              <w:widowControl/>
              <w:adjustRightInd/>
              <w:jc w:val="left"/>
              <w:rPr>
                <w:rFonts w:ascii="仿宋" w:hAnsi="仿宋" w:eastAsia="仿宋"/>
                <w:color w:val="auto"/>
                <w:szCs w:val="21"/>
                <w:highlight w:val="none"/>
              </w:rPr>
            </w:pPr>
            <w:r>
              <w:rPr>
                <w:rFonts w:hint="eastAsia" w:ascii="仿宋" w:hAnsi="仿宋" w:eastAsia="仿宋" w:cs="宋体"/>
                <w:color w:val="auto"/>
                <w:kern w:val="0"/>
                <w:szCs w:val="21"/>
                <w:highlight w:val="none"/>
              </w:rPr>
              <w:t>具有不小于1/1.8"靶面尺寸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智能侦测：支持越界侦测，区域入侵侦测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最低照度: 彩色：0.0005 Lux @（F1.0，AGC ON），0 Lux with Light</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宽动态: 120 dB最低照度彩色：0.0005 lx。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内置暖白光补光灯。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需支持IP67防尘防水。</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补光距离: 最远可达30 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防补光过曝: 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补光灯类型: 柔光灯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最大图像尺寸: 2560 × 1440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视频压缩标准: 主码流：H.265/H.264</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网络存储: 支持NAS（NFS，SMB/CIFS均支持）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音频: 1个内置麦克风</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 1个RJ45 10 M/100 M自适应以太网口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启动和工作温湿度: -30 ℃~60 ℃，湿度小于95%（无凝结）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供电方式: DC：12 V ± 25%，支持防反接保护；PoE：802.3af，Class 3</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电流及功耗: DC： 12 V，0.42 A，最大功耗：5 W；PoE：（802.3af，36 V~57 V），0.18 A~0.12 A，最大功耗：6.5 W</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电源接口类型: </w:t>
            </w:r>
            <w:r>
              <w:rPr>
                <w:rFonts w:ascii="Calibri" w:hAnsi="Calibri" w:eastAsia="仿宋" w:cs="Calibri"/>
                <w:color w:val="auto"/>
                <w:kern w:val="0"/>
                <w:szCs w:val="21"/>
                <w:highlight w:val="none"/>
              </w:rPr>
              <w:t>Ø</w:t>
            </w:r>
            <w:r>
              <w:rPr>
                <w:rFonts w:hint="eastAsia" w:ascii="仿宋" w:hAnsi="仿宋" w:eastAsia="仿宋" w:cs="宋体"/>
                <w:color w:val="auto"/>
                <w:kern w:val="0"/>
                <w:szCs w:val="21"/>
                <w:highlight w:val="none"/>
              </w:rPr>
              <w:t>5.5 mm圆口</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302</w:t>
            </w:r>
          </w:p>
        </w:tc>
      </w:tr>
      <w:tr>
        <w:tblPrEx>
          <w:tblCellMar>
            <w:top w:w="0" w:type="dxa"/>
            <w:left w:w="108" w:type="dxa"/>
            <w:bottom w:w="0" w:type="dxa"/>
            <w:right w:w="108" w:type="dxa"/>
          </w:tblCellMar>
        </w:tblPrEx>
        <w:trPr>
          <w:trHeight w:val="450"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高清网络半球摄像机</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olor w:val="auto"/>
                <w:szCs w:val="21"/>
                <w:highlight w:val="none"/>
              </w:rPr>
            </w:pPr>
            <w:r>
              <w:rPr>
                <w:rFonts w:hint="eastAsia" w:ascii="仿宋" w:hAnsi="仿宋" w:eastAsia="仿宋" w:cs="宋体"/>
                <w:color w:val="auto"/>
                <w:kern w:val="0"/>
                <w:szCs w:val="21"/>
                <w:highlight w:val="none"/>
              </w:rPr>
              <w:t>400万 1/1.8" CMOS 臻全彩半球型网络摄像机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具有不小于1/1.8"靶面尺寸。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在白光灯关闭的情况下：0.0005lx（F=1.0,快门1s，AGC ON,彩色模式），能基本分辨被摄目标的轮廓特征和色彩。最大亮度鉴别等级不小于11级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白光摄像机在30米距离下应能探测到目标。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宽动态: 120 dB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调节角度: 水平：0°~360°，垂直：0°~75°，旋转：0°~360° 防补光过曝: 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补光灯类型: 柔光灯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补光距离: 最远可达30 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最大图像尺寸: 2560 × 1440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视频压缩标准: 主码流：H.265/H.264</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网络存储: 支持NAS（NFS，SMB/CIFS均支持）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音频: 1个内置麦克风</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 1个RJ45 10 M/100 M自适应以太网口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启动及工作温湿度: -30 ℃~60 ℃，湿度小于95%（无凝结）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供电方式: DC：12 V ± 25%，支持防反接保护；PoE：802.3af，Class 3</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电流及功耗: DC：12 V，0.42 A，最大型号：5 W；PoE：（802.3af，36 V to 57 V），0.18 A to 0.12 A，最大型号：6.5 W</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射频电磁场辐射抗扰度限值应符合GB/T 17626.3-2006中试验等级3的规定。</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传导骚扰限值应符合GB/T 9254-2008中等级A的规定。</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辐射骚扰限值应符合GB/T 9254-2008中等级A的规定。</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电源接口类型: </w:t>
            </w:r>
            <w:r>
              <w:rPr>
                <w:rFonts w:ascii="Calibri" w:hAnsi="Calibri" w:eastAsia="仿宋" w:cs="Calibri"/>
                <w:color w:val="auto"/>
                <w:kern w:val="0"/>
                <w:szCs w:val="21"/>
                <w:highlight w:val="none"/>
              </w:rPr>
              <w:t>Ø</w:t>
            </w:r>
            <w:r>
              <w:rPr>
                <w:rFonts w:hint="eastAsia" w:ascii="仿宋" w:hAnsi="仿宋" w:eastAsia="仿宋" w:cs="宋体"/>
                <w:color w:val="auto"/>
                <w:kern w:val="0"/>
                <w:szCs w:val="21"/>
                <w:highlight w:val="none"/>
              </w:rPr>
              <w:t>5.5 mm圆口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 IP66</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434</w:t>
            </w:r>
          </w:p>
        </w:tc>
      </w:tr>
      <w:tr>
        <w:tblPrEx>
          <w:tblCellMar>
            <w:top w:w="0" w:type="dxa"/>
            <w:left w:w="108" w:type="dxa"/>
            <w:bottom w:w="0" w:type="dxa"/>
            <w:right w:w="108" w:type="dxa"/>
          </w:tblCellMar>
        </w:tblPrEx>
        <w:trPr>
          <w:trHeight w:val="660"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电梯专用摄像机</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olor w:val="auto"/>
                <w:szCs w:val="21"/>
                <w:highlight w:val="none"/>
              </w:rPr>
            </w:pPr>
            <w:r>
              <w:rPr>
                <w:rFonts w:hint="eastAsia" w:ascii="仿宋" w:hAnsi="仿宋" w:eastAsia="仿宋" w:cs="宋体"/>
                <w:color w:val="auto"/>
                <w:kern w:val="0"/>
                <w:szCs w:val="21"/>
                <w:highlight w:val="none"/>
              </w:rPr>
              <w:t>自带专用传感器,支持电梯楼层信息叠加</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支持Smart侦测：10项事件检测，1项异常检测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最低照度: 彩色：0.01 Lux @（F1.2，AGC ON），0 Lux with IR</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宽动态: 120 dB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调节角度: 水平：-30°~30°，垂直：0°~75°，旋转：0°~360°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焦距&amp;视场角: 2.8 mm，水平视场角：107.1°，垂直视场角：57°，对角线视场角：127.6°</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补光灯类型: 红外灯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补光距离: 最远可达10 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最大图像尺寸: 1920 × 1080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视频压缩标准: 主码流：H.265/H.264</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网络存储: 支持NAS（NFS，SMB/CIFS均支持），支持Micro SD(即TF卡)/Micro SDHC/Micro SDXC卡（最大256 GB）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 1个RJ45 10 M/100 M自适应以太网口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音频: 1个内置麦克风</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复位: 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摄像机能够在-25~55摄氏度，湿度小于93%环境下稳定工作。</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电流及功耗: DC：12 V，0.54 A，最大功耗：6.5 W；PoE：802.3af，36 V~57 V，0.20 A~0.13 A，最大功耗：7.5 W</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供电方式: DC：12 V ± 25%；PoE：802.3af，Class 3</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电源接口类型: </w:t>
            </w:r>
            <w:r>
              <w:rPr>
                <w:rFonts w:ascii="Calibri" w:hAnsi="Calibri" w:eastAsia="仿宋" w:cs="Calibri"/>
                <w:color w:val="auto"/>
                <w:kern w:val="0"/>
                <w:szCs w:val="21"/>
                <w:highlight w:val="none"/>
              </w:rPr>
              <w:t>Ø</w:t>
            </w:r>
            <w:r>
              <w:rPr>
                <w:rFonts w:hint="eastAsia" w:ascii="仿宋" w:hAnsi="仿宋" w:eastAsia="仿宋" w:cs="宋体"/>
                <w:color w:val="auto"/>
                <w:kern w:val="0"/>
                <w:szCs w:val="21"/>
                <w:highlight w:val="none"/>
              </w:rPr>
              <w:t>5.5 mm圆口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 IP66，IK08</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13</w:t>
            </w:r>
          </w:p>
        </w:tc>
      </w:tr>
      <w:tr>
        <w:tblPrEx>
          <w:tblCellMar>
            <w:top w:w="0" w:type="dxa"/>
            <w:left w:w="108" w:type="dxa"/>
            <w:bottom w:w="0" w:type="dxa"/>
            <w:right w:w="108" w:type="dxa"/>
          </w:tblCellMar>
        </w:tblPrEx>
        <w:trPr>
          <w:trHeight w:val="469"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全彩全景枪球智能一体机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w:t>
            </w:r>
            <w:r>
              <w:rPr>
                <w:rFonts w:ascii="仿宋" w:hAnsi="仿宋" w:eastAsia="仿宋" w:cs="宋体"/>
                <w:color w:val="auto"/>
                <w:kern w:val="0"/>
                <w:szCs w:val="21"/>
                <w:highlight w:val="none"/>
              </w:rPr>
              <w:t>1</w:t>
            </w:r>
            <w:r>
              <w:rPr>
                <w:rFonts w:hint="eastAsia" w:ascii="仿宋" w:hAnsi="仿宋" w:eastAsia="仿宋" w:cs="宋体"/>
                <w:color w:val="auto"/>
                <w:kern w:val="0"/>
                <w:szCs w:val="21"/>
                <w:highlight w:val="none"/>
              </w:rPr>
              <w:t>）内置2个镜头，可以输出两路视频图像，1路全景视频图像、1路细节视频图像，内置2颗GPU芯片</w:t>
            </w:r>
          </w:p>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w:t>
            </w:r>
            <w:r>
              <w:rPr>
                <w:rFonts w:ascii="仿宋" w:hAnsi="仿宋" w:eastAsia="仿宋" w:cs="宋体"/>
                <w:color w:val="auto"/>
                <w:kern w:val="0"/>
                <w:szCs w:val="21"/>
                <w:highlight w:val="none"/>
              </w:rPr>
              <w:t>2</w:t>
            </w:r>
            <w:r>
              <w:rPr>
                <w:rFonts w:hint="eastAsia" w:ascii="仿宋" w:hAnsi="仿宋" w:eastAsia="仿宋" w:cs="宋体"/>
                <w:color w:val="auto"/>
                <w:kern w:val="0"/>
                <w:szCs w:val="21"/>
                <w:highlight w:val="none"/>
              </w:rPr>
              <w:t>）视频输出支持2560×1440@25fps，分辨力不小于1400TVL，红外距离可达150米,支持最低照度可达彩色0.0002Lux，黑白0.0001Lux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支持水平手控速度不小于550°/S，垂直速度不小于120°/S，云台定位精度为±0.1°，水平旋转范围为360°连续旋转，垂直旋转范围为-20°~90°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支持对镜头前盖玻璃加热，去除玻璃上的冰状和水状附着物。</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支持300个预置位，可按照所设置的预置位完成不小于8条巡航路径，支持不小于4条模式路径设置，支持预置位视频冻结功能；可实现RS485接口优先或RJ45网络接口优先控制功能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支持区域遮盖功能，支持设置不少于24个不规则四边形区域，可设置不同颜色</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支持二维码功能检测，在IE浏览器下，可通过手机扫描预览界面上的二维码获取设备资料</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★支持双路智能行为分析功能，全景通道和细节通道均支持区域入侵、越界侦测、进入区域、离开区域等SMART智能行为分析功能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支持定位联动功能，可自动标定全景视频图像与细节视频图像，使通过客户端软件或IE浏览器在全景视频图像中点击或框选任意区域后，在细节视频图像旋转角度范围允许的条件下，可将该区域处于细节视频图像中央，标定点数量不少于6个，且标定用时不大于1s</w:t>
            </w:r>
          </w:p>
          <w:p>
            <w:pPr>
              <w:pStyle w:val="2"/>
              <w:ind w:firstLine="0" w:firstLineChars="0"/>
              <w:jc w:val="left"/>
              <w:rPr>
                <w:rFonts w:ascii="仿宋" w:hAnsi="仿宋" w:eastAsia="仿宋"/>
                <w:color w:val="auto"/>
                <w:szCs w:val="21"/>
                <w:highlight w:val="none"/>
              </w:rPr>
            </w:pPr>
            <w:r>
              <w:rPr>
                <w:rFonts w:hint="eastAsia" w:ascii="仿宋" w:hAnsi="仿宋" w:eastAsia="仿宋" w:cs="宋体"/>
                <w:color w:val="auto"/>
                <w:kern w:val="0"/>
                <w:szCs w:val="21"/>
                <w:highlight w:val="none"/>
              </w:rPr>
              <w:t>★</w:t>
            </w:r>
            <w:r>
              <w:rPr>
                <w:rFonts w:hint="eastAsia" w:ascii="仿宋" w:hAnsi="仿宋" w:eastAsia="仿宋"/>
                <w:b/>
                <w:bCs/>
                <w:color w:val="auto"/>
                <w:szCs w:val="21"/>
                <w:highlight w:val="none"/>
              </w:rPr>
              <w:t>需提供</w:t>
            </w:r>
            <w:r>
              <w:rPr>
                <w:rFonts w:hint="eastAsia" w:ascii="仿宋" w:hAnsi="仿宋" w:eastAsia="仿宋" w:cs="宋体"/>
                <w:b/>
                <w:bCs/>
                <w:color w:val="auto"/>
                <w:kern w:val="0"/>
                <w:szCs w:val="21"/>
                <w:highlight w:val="none"/>
              </w:rPr>
              <w:t>公安部检验报告证明资料</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w:t>
            </w:r>
          </w:p>
        </w:tc>
      </w:tr>
      <w:tr>
        <w:tblPrEx>
          <w:tblCellMar>
            <w:top w:w="0" w:type="dxa"/>
            <w:left w:w="108" w:type="dxa"/>
            <w:bottom w:w="0" w:type="dxa"/>
            <w:right w:w="108" w:type="dxa"/>
          </w:tblCellMar>
        </w:tblPrEx>
        <w:trPr>
          <w:trHeight w:val="90"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5</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星光级180°全景拼接AR鹰眼</w:t>
            </w:r>
          </w:p>
        </w:tc>
        <w:tc>
          <w:tcPr>
            <w:tcW w:w="3302" w:type="pct"/>
            <w:tcBorders>
              <w:top w:val="nil"/>
              <w:left w:val="nil"/>
              <w:bottom w:val="single" w:color="auto" w:sz="4" w:space="0"/>
              <w:right w:val="single" w:color="auto" w:sz="4" w:space="0"/>
            </w:tcBorders>
            <w:shd w:val="clear" w:color="000000" w:fill="FFFFFF"/>
          </w:tcPr>
          <w:p>
            <w:pPr>
              <w:widowControl/>
              <w:numPr>
                <w:ilvl w:val="0"/>
                <w:numId w:val="2"/>
              </w:numPr>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星光级全景网络高清智能球机，采用一体化设计，单产品即可同时提供全景与特写画面，兼顾全景与细节。其中全景画面由4个传感器拼接而成，实现180度的全景监控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（2）具备AR视频标签添加，修改，删除和标准等系列管理功能，支持全景通道添加最多1000个标签，细节通道添加最多500个标签；标签类型包括：**站视频标签，建筑物视频标签，卡口视频标签，普通视频标签等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（3）彩色：0.0003lux；黑白：0.0001lux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（4）水平视场角不小于190°，垂直视场角102</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（5）具备AR视频标签联动功能，并可对高-高，高-低，低-高三种标签的位置的视频图像，进行切换预览。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支持标签跟踪和同步功能，可对全景通道、细节通道监控画面中移动标签进行跟踪且跟踪时间、跟踪倍率可设置。在跟踪过程中，移动标签应始终位于画面中心位置。在细节通道上添加或删除指定标签时，全景通道的相同位置应自动添加或删除该标签</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（7）内置不少于3个GPU芯片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设备镜头需具备良好的防刮性能，应采用蓝宝石单晶透光片，在使用淬硬的钢针以不小于10牛的作用力，不小于20毫米每秒的速度划痕，钢针移动距离不小于15厘米的情况下，设备透光片无明显划痕且不被刺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（9）★全景镜头光圈均不小于F1.0。</w:t>
            </w:r>
          </w:p>
          <w:p>
            <w:pPr>
              <w:widowControl/>
              <w:numPr>
                <w:ilvl w:val="0"/>
                <w:numId w:val="3"/>
              </w:numPr>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★设备内置除湿器，可对设备内部进行除湿，除去玻璃罩上的水状附着物。</w:t>
            </w:r>
          </w:p>
          <w:p>
            <w:pPr>
              <w:widowControl/>
              <w:adjustRightInd/>
              <w:jc w:val="left"/>
              <w:rPr>
                <w:color w:val="auto"/>
                <w:highlight w:val="none"/>
              </w:rPr>
            </w:pPr>
            <w:r>
              <w:rPr>
                <w:rFonts w:hint="eastAsia" w:ascii="仿宋" w:hAnsi="仿宋" w:eastAsia="仿宋" w:cs="宋体"/>
                <w:color w:val="auto"/>
                <w:kern w:val="0"/>
                <w:szCs w:val="21"/>
                <w:highlight w:val="none"/>
              </w:rPr>
              <w:t>（11）全景通道采用4个靶面尺寸为 1/1.8＂的镜头，分辨率为均为2560×1440，细节通道采用1个靶面尺寸为1/1.8＂镜头，分辨率为2560×1440。可输出1路主视频图像和4路辅视频图像。拼接后抓拍图片的分辨率为:主视频：2560×1440；辅视频：5520×2400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（12）主视频支持不小于40倍光学变倍，支持检测当前镜头指向方向与地平面夹角，并可根据夹角变化自动调整</w:t>
            </w:r>
          </w:p>
          <w:p>
            <w:pPr>
              <w:pStyle w:val="2"/>
              <w:ind w:firstLine="0" w:firstLineChars="0"/>
              <w:rPr>
                <w:color w:val="auto"/>
                <w:highlight w:val="none"/>
              </w:rPr>
            </w:pPr>
            <w:r>
              <w:rPr>
                <w:rFonts w:hint="eastAsia" w:ascii="仿宋" w:hAnsi="仿宋" w:eastAsia="仿宋" w:cs="宋体"/>
                <w:color w:val="auto"/>
                <w:kern w:val="0"/>
                <w:szCs w:val="21"/>
                <w:highlight w:val="none"/>
              </w:rPr>
              <w:t>★</w:t>
            </w:r>
            <w:r>
              <w:rPr>
                <w:rFonts w:hint="eastAsia" w:ascii="仿宋" w:hAnsi="仿宋" w:eastAsia="仿宋"/>
                <w:b/>
                <w:bCs/>
                <w:color w:val="auto"/>
                <w:szCs w:val="21"/>
                <w:highlight w:val="none"/>
              </w:rPr>
              <w:t>需提供</w:t>
            </w:r>
            <w:r>
              <w:rPr>
                <w:rFonts w:hint="eastAsia" w:ascii="仿宋" w:hAnsi="仿宋" w:eastAsia="仿宋" w:cs="宋体"/>
                <w:b/>
                <w:bCs/>
                <w:color w:val="auto"/>
                <w:kern w:val="0"/>
                <w:szCs w:val="21"/>
                <w:highlight w:val="none"/>
              </w:rPr>
              <w:t>公安部检验报告证明资料</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480"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6</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星光级全景拼接网络摄像机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（1）3200万 1/1.8” 全景拼接网络摄像机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（2）最高分辨率可达3200万像素。</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（3）水平视场角不小于180°，垂直视场角不小于90°。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（4）最低照度彩色：0.002 lx，黑白:0.0008 lx，最大亮度鉴别等级（灰度等级）不小于11级。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（5）红外距离不小于50米。</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（6）★可通过IE浏览器或客户端软件远程调节每颗红外灯亮度。</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（7）动态范围不小于120dB。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（8）★支持全景+ePTZ、全景图像、原始图像、全景分割4种码流输出模式。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（9）水平中心分辨力不小于2000TVL。</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（10）摄像机能够在-40~70摄氏度，湿度小于93%环境下稳定工作。</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（11）不低于IP67防尘防水和IK10防暴等级。</w:t>
            </w:r>
          </w:p>
          <w:p>
            <w:pPr>
              <w:pStyle w:val="2"/>
              <w:ind w:firstLine="0" w:firstLineChars="0"/>
              <w:rPr>
                <w:rFonts w:ascii="仿宋" w:hAnsi="仿宋" w:eastAsia="仿宋"/>
                <w:color w:val="auto"/>
                <w:szCs w:val="21"/>
                <w:highlight w:val="none"/>
              </w:rPr>
            </w:pPr>
            <w:r>
              <w:rPr>
                <w:rFonts w:hint="eastAsia" w:ascii="仿宋" w:hAnsi="仿宋" w:eastAsia="仿宋" w:cs="宋体"/>
                <w:color w:val="auto"/>
                <w:kern w:val="0"/>
                <w:szCs w:val="21"/>
                <w:highlight w:val="none"/>
              </w:rPr>
              <w:t>★</w:t>
            </w:r>
            <w:r>
              <w:rPr>
                <w:rFonts w:hint="eastAsia" w:ascii="仿宋" w:hAnsi="仿宋" w:eastAsia="仿宋"/>
                <w:b/>
                <w:bCs/>
                <w:color w:val="auto"/>
                <w:szCs w:val="21"/>
                <w:highlight w:val="none"/>
              </w:rPr>
              <w:t>需提供</w:t>
            </w:r>
            <w:r>
              <w:rPr>
                <w:rFonts w:hint="eastAsia" w:ascii="仿宋" w:hAnsi="仿宋" w:eastAsia="仿宋" w:cs="宋体"/>
                <w:b/>
                <w:bCs/>
                <w:color w:val="auto"/>
                <w:kern w:val="0"/>
                <w:szCs w:val="21"/>
                <w:highlight w:val="none"/>
              </w:rPr>
              <w:t>公安部检验报告证明资料</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5</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7</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岗位离岗检测摄像机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AI智能人员检测半球型摄像机内嵌深度学习算法，以海量图片及视频资源为路基，实现对客流统计、区域关注度、人员密度等功能的准确统计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支持3种智能APP切换：倾斜客流、人员密度、人数统计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人数统计APP：支持同时运行人员统计、区域关注度、在离岗检测、热度图功能，除热度图为1个识别区域外，其他功能至多支持8个识别区域，128个目标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倾斜客流APP：基于行人轨迹分析，统计指定场景内目标人员进入和离开的情况，至多支持3个识别区域</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人员密度APP：可检测指定场景内人员的拥挤情况，根据人数和占空比配置密度等级，至多支持8个识别区域</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最低照度: 彩色：0.0005 Lux @（F1.2，AGC ON）；黑白：0.0001 Lux @（F1.2，AGC ON），0 Lux with IR</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调节角度: 水平：0~355°，垂直：0~75°，旋转：0~355°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宽动态: 120 dB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焦距＆视场角: 2.8~12 mm：水平视场角：107°~39.8°，垂直视场角：56°~22.4°，对角视场角：130.1°~45.7°</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补光灯类型: 红外灯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补光距离: 普通监控：最远可达30 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防补光过曝: 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红外波长范围: 850 nm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最大图像尺寸: 2560 × 1440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视频压缩标准: 主码流：H.265/H.264</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网络存储: 支持MicroSD(即TF卡)/MicroSDHC/MicroSDXC卡（最大256 GB）断网本地存储及断网续传，NAS（NFS，SMB/CIFS均支持），配合海康黑卡支持SD卡加密及SD卡状态检测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 1个RJ45 10 M/100 M自适应以太网口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音频: 2路输入（Line in），1路输出（Line out），2个内置麦克风，1个内置扬声器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报警: 3路输入，2路输出（报警输入支持开关量，报警输出最大支持DC12 V，30 mA）</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RS-485: 1路RS-485接口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复位: 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电源输出: 支持DC12 V，100 mA</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接口类型: 外甩线</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产品尺寸: </w:t>
            </w:r>
            <w:r>
              <w:rPr>
                <w:rFonts w:ascii="Calibri" w:hAnsi="Calibri" w:eastAsia="仿宋" w:cs="Calibri"/>
                <w:color w:val="auto"/>
                <w:kern w:val="0"/>
                <w:szCs w:val="21"/>
                <w:highlight w:val="none"/>
              </w:rPr>
              <w:t>Ø</w:t>
            </w:r>
            <w:r>
              <w:rPr>
                <w:rFonts w:hint="eastAsia" w:ascii="仿宋" w:hAnsi="仿宋" w:eastAsia="仿宋" w:cs="宋体"/>
                <w:color w:val="auto"/>
                <w:kern w:val="0"/>
                <w:szCs w:val="21"/>
                <w:highlight w:val="none"/>
              </w:rPr>
              <w:t>144.3 × 114.1 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包装尺寸: 244 × 174 × 173 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设备重量: 880 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带包装重量: 1285 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存储温湿度: -30 ℃~60 ℃，湿度小于95%（无凝结）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启动和工作温湿度: -30 ℃~60 ℃，湿度小于95%（无凝结）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电流及功耗: DC：12 V，0.93 A，最大功耗：11.2 W；AC：24 V，0.73 A，最大功耗：10.5 W；PoE：802.3at，42.5 V~57 V，0.26 A~0.2 A，最大功耗：11.2 W</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供电方式: DC：12 V ± 20%，支持防反接保护；AC：24 V ± 20%；PoE：802.3at，Type 2，Class 4</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电源接口类型: 3芯接口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线缆长度: 25 cm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 IP67</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8</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双光谱半球摄像机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（1）热成像半球型网络摄像机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（2）热成像：分辨率160 × 120；焦距6mm；视场角：25°× 18.7°;可见光：分辨率2688 × 1520；焦距8mm；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（3）目标物最远测温距离（以0.1米*0.1米为准）:6.8m；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（4）支持1路音频输入，1路音频输出，支持2路报警输入，2路报警输出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（5）外壳防护等级：IP67</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热成像视频图像（1920×1080、1280*720、704*576、640*512、384*288、352*288、320*240）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（7）最低照度 彩色0.0002lx，黑白0.0001lx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（8）可通过IE浏览器在热成像画面中设置点、线段、区域测温规则，最多可设置35个点，35个区域和11条线</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（9）支持声音联动报警功能。可对智能行为、温度超过阈值、出现高温点等行为进行检测并报警，报警声音可设置，同时支持自定义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（10）★噪声等效温差(NETD)在10mk及以下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（11）★最小可分辨温差≤150mk</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（12）★可对监控画面中由目标发生镜面反射而产生的报警进行过滤</w:t>
            </w:r>
          </w:p>
          <w:p>
            <w:pPr>
              <w:pStyle w:val="2"/>
              <w:ind w:firstLine="0" w:firstLineChars="0"/>
              <w:rPr>
                <w:rFonts w:ascii="仿宋" w:hAnsi="仿宋" w:eastAsia="仿宋"/>
                <w:color w:val="auto"/>
                <w:szCs w:val="21"/>
                <w:highlight w:val="none"/>
              </w:rPr>
            </w:pPr>
            <w:r>
              <w:rPr>
                <w:rFonts w:hint="eastAsia" w:ascii="仿宋" w:hAnsi="仿宋" w:eastAsia="仿宋" w:cs="宋体"/>
                <w:color w:val="auto"/>
                <w:kern w:val="0"/>
                <w:szCs w:val="21"/>
                <w:highlight w:val="none"/>
              </w:rPr>
              <w:t>★</w:t>
            </w:r>
            <w:r>
              <w:rPr>
                <w:rFonts w:hint="eastAsia" w:ascii="仿宋" w:hAnsi="仿宋" w:eastAsia="仿宋"/>
                <w:b/>
                <w:bCs/>
                <w:color w:val="auto"/>
                <w:szCs w:val="21"/>
                <w:highlight w:val="none"/>
              </w:rPr>
              <w:t>需提供</w:t>
            </w:r>
            <w:r>
              <w:rPr>
                <w:rFonts w:hint="eastAsia" w:ascii="仿宋" w:hAnsi="仿宋" w:eastAsia="仿宋" w:cs="宋体"/>
                <w:b/>
                <w:bCs/>
                <w:color w:val="auto"/>
                <w:kern w:val="0"/>
                <w:szCs w:val="21"/>
                <w:highlight w:val="none"/>
              </w:rPr>
              <w:t>公安部检验报告证明资料</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ascii="仿宋" w:hAnsi="仿宋" w:eastAsia="仿宋" w:cs="宋体"/>
                <w:b/>
                <w:bCs/>
                <w:color w:val="auto"/>
                <w:kern w:val="0"/>
                <w:szCs w:val="21"/>
                <w:highlight w:val="none"/>
              </w:rPr>
              <w:t>9</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合计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CellMar>
            <w:top w:w="0" w:type="dxa"/>
            <w:left w:w="108" w:type="dxa"/>
            <w:bottom w:w="0" w:type="dxa"/>
            <w:right w:w="108" w:type="dxa"/>
          </w:tblCellMar>
        </w:tblPrEx>
        <w:trPr>
          <w:trHeight w:val="282" w:hRule="atLeast"/>
          <w:jc w:val="center"/>
        </w:trPr>
        <w:tc>
          <w:tcPr>
            <w:tcW w:w="4390"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后端存储设备及控制系统</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r>
      <w:tr>
        <w:tblPrEx>
          <w:tblCellMar>
            <w:top w:w="0" w:type="dxa"/>
            <w:left w:w="108" w:type="dxa"/>
            <w:bottom w:w="0" w:type="dxa"/>
            <w:right w:w="108" w:type="dxa"/>
          </w:tblCellMar>
        </w:tblPrEx>
        <w:trPr>
          <w:trHeight w:val="480"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网络存储主机</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硬件规格：2U标准机架式；2个HDMI，2个VGA，HDMI1和VGA1同源，HDMI2和VGA2同源，组间异源；8盘位，可满配8T硬盘；2个千兆网口；2个USB2.0接口、1个USB3.0接口；1个eSATA接口；报警IO：16进4出（选配16进8出）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软件性能：输入带宽：512Mbps；64路H.264、H.265混合接入；最大支持8×1080P解码；支持H.265、H.264解码；Smart 2.0/ANR/智能检索/智能回放/车牌检索/人脸检索/热度图/客流量统计/分时段回放/超高倍速回放/双系统备份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开启视频流智能分析，NVR网络发送带宽不会降低</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r>
      <w:tr>
        <w:tblPrEx>
          <w:tblCellMar>
            <w:top w:w="0" w:type="dxa"/>
            <w:left w:w="108" w:type="dxa"/>
            <w:bottom w:w="0" w:type="dxa"/>
            <w:right w:w="108" w:type="dxa"/>
          </w:tblCellMar>
        </w:tblPrEx>
        <w:trPr>
          <w:trHeight w:val="315"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监控硬盘</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xml:space="preserve">容量8TB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40</w:t>
            </w:r>
          </w:p>
        </w:tc>
      </w:tr>
      <w:tr>
        <w:tblPrEx>
          <w:tblCellMar>
            <w:top w:w="0" w:type="dxa"/>
            <w:left w:w="108" w:type="dxa"/>
            <w:bottom w:w="0" w:type="dxa"/>
            <w:right w:w="108" w:type="dxa"/>
          </w:tblCellMar>
        </w:tblPrEx>
        <w:trPr>
          <w:trHeight w:val="540"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集中存储主机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单设备应配置≥64位多核处理器，≥4GB内存，内存支持扩展到≥32GB，需配置冗余金牌电源，支持双系统</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单设备应标配≥2个千兆网口，可增扩≥2个万兆口或≥2个光纤接口或增配≥4个HDMI接口或≥2个SAS3.0接口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应支持FCSAN、IPSAN、NAS存储功能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可接入硬盘≥48块，支持SATA和SAS混插，并支持≥12级扩展柜级联扩展；</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应能提供RAID0、1、3、5、6、10、50，60、JBOD模式，支持全局、局部等多种热备选择，支持坏盘自动重构；</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设备可对视音频、图片、智能数据（智能行为分析录像）流进行混合直存，无须存储服务器和图片服务器的参与，平台服务器宕机时，存储业务正常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应能接入并存储1880Mbps视频图像，同时转发1880Mbps的视频图像；同时回放512Mbps的视频图像；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支持不低于600MBps图片并发输入，同时不低于600MBps图片并发输出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可接入MPEG4、H.264、H.265、Smart265、SVAC编码格式的前端设备并存储录像文件,可将大华、宇视、海康等厂商SDK封装格式的视频流转成标准（MPEG4、H.264、H.265、SVAC、4K等编码格式）PS流（ProgramStream）输出。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 ★网络中断后重新恢复，设备可续存断网期间存储在前端设备中的录像文件，并可通过IE浏览器设置自动回传和手动回传。支持256路4M的录像回传。</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 ★设备可同时支持视频、图片、智能流和文件直写存储。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 ★支持多路文件采用非NAS方式直接上传存储，且速度可设置。</w:t>
            </w:r>
          </w:p>
          <w:p>
            <w:pPr>
              <w:pStyle w:val="2"/>
              <w:ind w:firstLine="0" w:firstLineChars="0"/>
              <w:rPr>
                <w:rFonts w:ascii="仿宋" w:hAnsi="仿宋" w:eastAsia="仿宋"/>
                <w:color w:val="auto"/>
                <w:szCs w:val="21"/>
                <w:highlight w:val="none"/>
              </w:rPr>
            </w:pPr>
            <w:r>
              <w:rPr>
                <w:rFonts w:hint="eastAsia" w:ascii="仿宋" w:hAnsi="仿宋" w:eastAsia="仿宋" w:cs="宋体"/>
                <w:color w:val="auto"/>
                <w:kern w:val="0"/>
                <w:szCs w:val="21"/>
                <w:highlight w:val="none"/>
              </w:rPr>
              <w:t>★</w:t>
            </w:r>
            <w:r>
              <w:rPr>
                <w:rFonts w:hint="eastAsia" w:ascii="仿宋" w:hAnsi="仿宋" w:eastAsia="仿宋"/>
                <w:b/>
                <w:bCs/>
                <w:color w:val="auto"/>
                <w:szCs w:val="21"/>
                <w:highlight w:val="none"/>
              </w:rPr>
              <w:t>需提供</w:t>
            </w:r>
            <w:r>
              <w:rPr>
                <w:rFonts w:hint="eastAsia" w:ascii="仿宋" w:hAnsi="仿宋" w:eastAsia="仿宋" w:cs="宋体"/>
                <w:b/>
                <w:bCs/>
                <w:color w:val="auto"/>
                <w:kern w:val="0"/>
                <w:szCs w:val="21"/>
                <w:highlight w:val="none"/>
              </w:rPr>
              <w:t>公安部检验报告证明资料</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9</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综合管理软件平台升级扩容</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olor w:val="auto"/>
                <w:szCs w:val="21"/>
                <w:highlight w:val="none"/>
              </w:rPr>
            </w:pPr>
            <w:r>
              <w:rPr>
                <w:rFonts w:hint="eastAsia" w:ascii="仿宋" w:hAnsi="仿宋" w:eastAsia="仿宋" w:cs="宋体"/>
                <w:color w:val="auto"/>
                <w:kern w:val="0"/>
                <w:szCs w:val="21"/>
                <w:highlight w:val="none"/>
              </w:rPr>
              <w:t>（1） 平台是一套“集成化”、“智能化”的平台，通过接入视频监控、一卡通、报警检测等系统的设备，获取边缘节点数据，实现安防信息化集成与联动。以电子地图为载体，融合各系统能力实现丰富的智能应用。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要求监控点最多管理容量为1000000路。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要求支持BS客户端、CS客户端、移动客户端（Android、iOS）视频预览，支持多浏览器实时预览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要求支持客户端预览记忆功能，包括当前预览的监控点和当前分屏状态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要求支持CS客户端对入侵报警设备子系统状态展示、布撤防、消警，报警防区展示、旁路、旁路恢复等操作</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要求支持纯车牌，车主卡辅，纯卡片，卡主车辅四种识别模式；支持新能源车牌识别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要求支持黑名单车辆管控，黑名单车辆进出报警提醒</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要求支持人员的卡权限在平台进行权限认证，当卡权限还未下发到设备时，平台可以根据刷卡事件进行人员权限判断并进行反控开门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要求支持可设置门禁权限为长期有效；权限时间支持精确到秒；门禁权限手动冻结、解冻；自动清理长期未使用的门禁权限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 要求支持访客条码（登记之后打印出来的访客单）、二维码、身份证、IC卡、人脸等多种介质授权通行门禁、可视对讲、梯控、停车场；支持访客身份证人证合一验证</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流媒体服务器</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流媒体服务器产品，集成DAC、VTDU于一体, 支持海康/GB/ONVIF/PSIA标准协议的视频接入和转发（性能：600路*4Mbps的接入和600路*4Mbps转发）。配置：1个64位多核处理器，16GB。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支持CE,FCC,UL,TUV,VCCI,CB,LVD</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校时服务器</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根据授时信号的强度，支持GPS/北斗自动切换校时，可选配支持CDMA模块</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守时能力：精度24小时＜28us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授时容量：单端口≥7000次/秒</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标配4个端口（可选6个端口）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高授时精度：＜5 us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授时频段：</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GPS授时中心频率1575MHz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北斗授时中心频率2491MHz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CDMA授时中心频率800MHz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电源功率 50W</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7</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NTP天线</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内导体材料：裸铜丝；结构：1/1.40±0.02mm；标称截面：1.54 mm2</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绝缘材料：聚乙烯；平均厚度：1.7mm；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外导体：材料铜丝</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平台服务器</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4210×1/64G DDR4/600G 10K</w:t>
            </w:r>
            <w:r>
              <w:rPr>
                <w:rFonts w:ascii="Calibri" w:hAnsi="Calibri" w:eastAsia="仿宋" w:cs="Calibri"/>
                <w:color w:val="auto"/>
                <w:kern w:val="0"/>
                <w:szCs w:val="21"/>
                <w:highlight w:val="none"/>
              </w:rPr>
              <w:t> </w:t>
            </w:r>
            <w:r>
              <w:rPr>
                <w:rFonts w:hint="eastAsia" w:ascii="仿宋" w:hAnsi="仿宋" w:eastAsia="仿宋" w:cs="宋体"/>
                <w:color w:val="auto"/>
                <w:kern w:val="0"/>
                <w:szCs w:val="21"/>
                <w:highlight w:val="none"/>
              </w:rPr>
              <w:t xml:space="preserve"> SAS×4(RAID_10)/SAS_HBA/1GbE×2/550W(1+1)/2U/16DIMM</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9</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三维数据服务器</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CPU：1颗intel至强系列处理器，核数≥10核，主频≥2.4GHz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内存：16G*2 DDR4，16根内存插槽，最大支持扩展至2TB内存</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硬盘：2块1.2T 10K 2.5寸 SAS硬盘</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阵列卡：SAS_HBA卡, 支持RAID 0/1/10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PCIE扩展：最大可支持6个PCIE扩展插槽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网口：2个千兆电口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其他接口：1个RJ45管理接口，后置2个USB 3.0接口，前置2个USB2.0接口，1个VGA接口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电源：标配550W（1+1）高效铂金CRPS冗余电源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操作系统：Windows Server 2016 64位</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三维图形工作站</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CPU： Intel Xeon Silver 4210R；</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内存： DDR4/2400MHz/RECC 16G*2；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硬盘： 企业级固态硬盘960G；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网卡：2网口千兆；                                                                                         电源：电源800W；                                                                                显卡：NVIDIA Quadro RTX5000（1块）；                                                                                                                      操作系统：Windows Server 2016 64位</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仿宋"/>
                <w:b/>
                <w:bCs/>
                <w:color w:val="auto"/>
                <w:kern w:val="0"/>
                <w:szCs w:val="21"/>
                <w:highlight w:val="none"/>
              </w:rPr>
              <w:t>※</w:t>
            </w:r>
            <w:r>
              <w:rPr>
                <w:rFonts w:hint="eastAsia" w:ascii="仿宋" w:hAnsi="仿宋" w:eastAsia="仿宋" w:cs="宋体"/>
                <w:color w:val="auto"/>
                <w:kern w:val="0"/>
                <w:szCs w:val="21"/>
                <w:highlight w:val="none"/>
              </w:rPr>
              <w:t>智慧平安校园综合安全管理平台软件</w:t>
            </w:r>
            <w:r>
              <w:rPr>
                <w:rFonts w:hint="eastAsia" w:ascii="仿宋" w:hAnsi="仿宋" w:eastAsia="仿宋" w:cs="宋体"/>
                <w:b/>
                <w:bCs/>
                <w:color w:val="auto"/>
                <w:kern w:val="0"/>
                <w:szCs w:val="21"/>
                <w:highlight w:val="none"/>
              </w:rPr>
              <w:t>（本项目核心产品）</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rPr>
                <w:rFonts w:ascii="仿宋" w:hAnsi="仿宋" w:eastAsia="仿宋" w:cs="宋体"/>
                <w:color w:val="auto"/>
                <w:kern w:val="0"/>
                <w:szCs w:val="21"/>
                <w:highlight w:val="none"/>
              </w:rPr>
            </w:pPr>
            <w:r>
              <w:rPr>
                <w:rFonts w:hint="eastAsia" w:ascii="仿宋" w:hAnsi="仿宋" w:eastAsia="仿宋"/>
                <w:color w:val="auto"/>
                <w:highlight w:val="none"/>
              </w:rPr>
              <w:t>定制开发一套智慧平安校园安全综合管理平台，主要功能技术参数表</w:t>
            </w:r>
            <w:r>
              <w:rPr>
                <w:rFonts w:hint="eastAsia" w:ascii="仿宋" w:hAnsi="仿宋" w:eastAsia="仿宋" w:cs="宋体"/>
                <w:color w:val="auto"/>
                <w:kern w:val="0"/>
                <w:szCs w:val="21"/>
                <w:highlight w:val="none"/>
              </w:rPr>
              <w:t>详见附表1</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三维地图升级</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1、采用三维立体建模模型构建三维真实场景，能够360度进行旋转查看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2、支持提供独立互联网级别的三维地图平台应用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具有硬件加速特性，能流畅支持同时打开三维场景和多路视频预览画面</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3、具有软件加速特性，平台启动后，能优化对内存的独占模式，保证顺畅浏览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4、直接支持ArcSDE、Oracle Spatial空间数据库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支持常用矢量基础数据，SHP和TAB格式数据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满足三维应用中常见的功能，包括：鼠标缩放、拖动、视角变换、漫游（9视角浏览）、定位、飞行、键盘操作、截图及量测（距离量测、高度量测、面积量测）等功能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5、支持3D特效，支持对天气情况的模拟（雨、雾、雪天气），支持粒子系统模拟，对烟雾爆炸、喷泉、动态水面的模拟。</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6、支持人物动画，支持对巡更人员动画的模拟支持开放的二次开发，支持开发B/S及C/S的应用程序，满足项目的多重使用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7、支持在视频预览画面上，增强文字标注、图标标记，通过文字标注，直观显示预览画面中的道路名称、建筑名称等；通过图标标记，直观显示视频预览画面中其他摄像机的位置</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13</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3D地图引擎</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1、场景发布</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底图数据支持方便发布，基于服务器端存储，通过软件一键式发布，客户端通过TCP/IP协议进行实时并发访问，数据访问响应时间在1秒以内</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2、监控点位上图、分布查看及视频应用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提供各类设备1:1标准模型，设备模型库包括本次项目中的所有监控设备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支持监控点位图标方式及名称标注方式显示分布情况，支持监控点位对应视野方向的显示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各类分布查看方式，支持实时生成，生成并显示时间在3秒内</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点击设备模型，支持对应设备的视频预览查看，视频回放查看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支持VAG、IP/端口号进行视频取流，取流并显示预览的时间在3秒内</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支持视角同步功能，保持实际预览画面和监控点模型的视野方向一致</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一键式切换至该视频回放查看，通过设置回放时间段，查看视频回放</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3、视频报警应用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支持视频报警信号提示，报警信号以主动触发方式接收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支持视频越界报警、周界防区报警、视频异常报警，对报警设备能够快速定位到该模型，并以突出显示方式进行查看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支持对报警信号进行等级区分，一类等级的报警信号具有接收到信号后直接响应上图并进行报警及打开视频预览功能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4、围栏报警应用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支持在三维地图中对围栏报警设备的信号接入，报警信号以主动出发式方式接收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支持围栏报警的快速上图应用，对报警的围栏能够快速联动到真实视频画面</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5、对讲联动应用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支持对讲信号的接入，支持图上直接发起对讲</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对对讲的发起信号位置，直接调用实时视频预览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6、其他开放接口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支持扩展应用，包括人员定位，以及其他物联网设备的接入</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14</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合计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CellMar>
            <w:top w:w="0" w:type="dxa"/>
            <w:left w:w="108" w:type="dxa"/>
            <w:bottom w:w="0" w:type="dxa"/>
            <w:right w:w="108" w:type="dxa"/>
          </w:tblCellMar>
        </w:tblPrEx>
        <w:trPr>
          <w:trHeight w:val="282"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二、人脸抓拍及智能分析、轨迹追踪、宿管人脸考勤系统设备</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序号</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设备名称</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技术参数</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单位</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数量</w:t>
            </w:r>
          </w:p>
        </w:tc>
      </w:tr>
      <w:tr>
        <w:tblPrEx>
          <w:tblCellMar>
            <w:top w:w="0" w:type="dxa"/>
            <w:left w:w="108" w:type="dxa"/>
            <w:bottom w:w="0" w:type="dxa"/>
            <w:right w:w="108" w:type="dxa"/>
          </w:tblCellMar>
        </w:tblPrEx>
        <w:trPr>
          <w:trHeight w:val="570"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全局AI人脸摄像机（含配套支架）</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（1）全结构化双400万1/1.8" CMOS双暖光全局动点摄像机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（2）摄像机定焦镜头、变焦镜头靶面尺寸均不小于1/1.8英寸。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（3）内置不少于2个GPU芯片。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（4）两路视频输出分别支持分辨率设置为2560x1440，帧率设置为25fps，分辨力不小于1500线。</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（5）支持最低照度可达彩色0.0002Lux，黑白0.0001Lux。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（6）★设备内置8个补光灯，其中全景4个补光灯，细节4个补光灯。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（7）支持对镜头前盖玻璃加热，去除玻璃上的冰状和水状附着物。</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（8）支持水平、垂直旋转，水平手控速度不小于240°/s，定位准确度不大于0.1°。</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（9）设备可同时对行人、非机动车、机动车进行检测、跟踪及抓拍；可支持人脸、车牌的抠图及人脸与人体、车牌与车辆的关联显示。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（10）设备应支持正面/侧面/背面行人的检测、跟踪、抓拍；应支持对骑自行车、骑三轮车、骑电动车、踩平衡车等非机动车的检测、跟踪、抓拍。</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（11）可通过客户端软件显示行人的属性，包括上衣颜色、下装颜色、是/否戴眼镜、是/否背包、是/否戴帽子。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（12）★设备可对30米处的行人进行人脸抓拍，并可生成分辨率不小于110×120的人脸图片,图片中人脸两眼瞳距应≥40像素。</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（13）★设备支持人脸抓拍去重功能，去重后在所有人脸抓拍图片中，同一人脸抓拍图的数量占比应≤1%。</w:t>
            </w:r>
          </w:p>
          <w:p>
            <w:pPr>
              <w:pStyle w:val="2"/>
              <w:ind w:firstLine="0" w:firstLineChars="0"/>
              <w:rPr>
                <w:rFonts w:ascii="仿宋" w:hAnsi="仿宋" w:eastAsia="仿宋"/>
                <w:color w:val="auto"/>
                <w:szCs w:val="21"/>
                <w:highlight w:val="none"/>
              </w:rPr>
            </w:pPr>
            <w:r>
              <w:rPr>
                <w:rFonts w:hint="eastAsia" w:ascii="仿宋" w:hAnsi="仿宋" w:eastAsia="仿宋" w:cs="宋体"/>
                <w:color w:val="auto"/>
                <w:kern w:val="0"/>
                <w:szCs w:val="21"/>
                <w:highlight w:val="none"/>
              </w:rPr>
              <w:t>★</w:t>
            </w:r>
            <w:r>
              <w:rPr>
                <w:rFonts w:hint="eastAsia" w:ascii="仿宋" w:hAnsi="仿宋" w:eastAsia="仿宋"/>
                <w:b/>
                <w:bCs/>
                <w:color w:val="auto"/>
                <w:szCs w:val="21"/>
                <w:highlight w:val="none"/>
              </w:rPr>
              <w:t>需提供</w:t>
            </w:r>
            <w:r>
              <w:rPr>
                <w:rFonts w:hint="eastAsia" w:ascii="仿宋" w:hAnsi="仿宋" w:eastAsia="仿宋" w:cs="宋体"/>
                <w:b/>
                <w:bCs/>
                <w:color w:val="auto"/>
                <w:kern w:val="0"/>
                <w:szCs w:val="21"/>
                <w:highlight w:val="none"/>
              </w:rPr>
              <w:t>公安部检验报告证明资料</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r>
      <w:tr>
        <w:tblPrEx>
          <w:tblCellMar>
            <w:top w:w="0" w:type="dxa"/>
            <w:left w:w="108" w:type="dxa"/>
            <w:bottom w:w="0" w:type="dxa"/>
            <w:right w:w="108" w:type="dxa"/>
          </w:tblCellMar>
        </w:tblPrEx>
        <w:trPr>
          <w:trHeight w:val="570"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AI智能人脸抓拍网络摄像机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400万 星光级1/1.8" CMOS AI多摄泛智能网络摄像机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支持智能资源模式切换：全结构化（默认）、人脸抓拍、人脸比对、道路监控、Smart事件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全结构化模式：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a)抓拍人体：支持运动方向、上衣颜色、下装颜色、性别、戴眼镜、背包、拎东西、戴帽子、戴口罩、上衣类型、下装类型、发型、骑行状态、载人状态、骑车类型等属性识别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b)抓拍人脸：支持性别、年龄、年龄段、戴眼镜、戴口罩、表情、戴帽子等属性识别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c)抓拍非机动车：支持上衣颜色、下装颜色、性别、戴眼镜、年龄段、背包、拎东西、戴帽子、上衣类型、下装类型、戴口罩、发型、非机动车类型，帽子款式等属性识别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d)抓拍机动车：支持车牌号码、车牌类型、车辆类型、车身颜色、车辆品牌等属性识别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人脸抓拍模式：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a)支持对运动人脸进行检测、跟踪、抓拍、评分、筛选，输出最优的人脸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b)支持人脸去误报、快速抓拍人脸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c)支持快速抓拍和最佳抓拍两种模式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d)最多同时检测60张人脸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e)支持人脸去重</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人脸比对模式：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a)支持前端人脸比对</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b)支持最多10个人脸库的管理，最多15万张人脸的导入</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c)支持合计人脸库的存储空间最大3 GB，单张人脸不超过300 KB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d)支持不同人脸库不同时间布防</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e)支持黑名单比对成功报警输出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f)支持人脸瞳距20像素以上的人脸检测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g)支持人脸快速比对，最佳比对方式设置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h)最多同时检测60个目标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道路监控模式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a)车辆检测：支持车牌识别并抓拍，车牌号码/车身颜色/车辆类型/车辆品牌</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b)混行检测：检测正向或逆向行驶的车辆以及行人和非机动车，自动对车辆牌照进行识别，可以抓拍无车牌的车辆图片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Smart事件模式：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支持越界侦测，区域入侵侦测，进入/离开区域侦测，徘徊侦测，人员聚集侦测，快速移动侦测，停车侦测，物品遗留/拿取侦测，场景变更侦测，音频陡升/陡降侦测，音频有无侦测，虚焦侦测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设备支持上下双通道镜头，上通道内置电动变焦镜头，操作便易，变焦过程平稳；下通道定焦全彩镜头，满足低照度下的监控需求</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设备内置高效温和补光灯，告别光污染，保证夜间正常进行人脸抓拍</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传感器类型: 通道1：1/1.8" Progressive Scan CMOS；通道2：1/2.7" Progressive Scan CMOS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最低照度: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通道1：彩色：0.0005 Lux @（F1.2，AGC ON），0 Lux with Light；黑白：0.0001 Lux @（F1.2，AGC ON），0 Lux with IR</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通道2：彩色：0.0005 Lux @（F1.0，AGC ON），0 Lux with Light；黑白：0.0001 Lux @（F1.0，AGC ON），0 Lux with IR</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宽动态: 120 dB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焦距&amp;视场角: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通道1：8~32 mm：水平视场角：42.5°~15.2°，垂直视场角：23.4°~8.7°，对角视场角：49.7°~17.3°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通道2：4 mm：水平视场角：83.6°，垂直视场角：44.6°，对角视场角：99.1°</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补光灯类型: 混合补光（支持白光模式和混光模式），750 nm + 暖白光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补光距离: 通道1：普通监控：80 m，人脸抓拍/识别：15 m；通道2：普通监控：30 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最大图像尺寸: 通道1：2688 x 1520；通道2：1920 x 1080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视频压缩标准: H.265/H.264/MJPEG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网络存储: 支持Micro SD(即TF卡)/Micro SDHC/Micro SDXC卡（最大256 GB）断网本地存储及断网续传，NAS（NFS，SMB/CIFS均支持），配合海康黑卡支持SD卡加密及SD卡状态检测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 1个RJ45 10 M/100 M/1000 M自适应以太网口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音频: 2个内置麦克风，1个内置扬声器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复位: 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接口类型: 外甩线</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产品尺寸: 254.1 × 116.7 × 101.7 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包装尺寸: 450 × 164 × 150mm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设备重量: 1700 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带包装重量: 2650 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存储温湿度: -30 ℃~60 ℃，湿度小于95%（无凝结）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启动和工作温湿度: -30 ℃~60 ℃，湿度小于95%（无凝结）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电流及功耗: DC：12 V，1.70 A，最大功耗：20.4 W；PoE：802.3at，42.5 V~57 V，0.43 A~0.57 A，最大功耗：24.2 W</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供电方式: DC：12 V ± 20%，支持防反接保护；PoE：802.3at，Type 2，Class 4</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电源接口类型: 3芯接口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线缆长度: 35 cm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 IP67</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r>
              <w:rPr>
                <w:rFonts w:ascii="仿宋" w:hAnsi="仿宋" w:eastAsia="仿宋" w:cs="宋体"/>
                <w:color w:val="auto"/>
                <w:kern w:val="0"/>
                <w:szCs w:val="21"/>
                <w:highlight w:val="none"/>
              </w:rPr>
              <w:t>3</w:t>
            </w:r>
            <w:r>
              <w:rPr>
                <w:rFonts w:hint="eastAsia" w:ascii="仿宋" w:hAnsi="仿宋" w:eastAsia="仿宋" w:cs="宋体"/>
                <w:color w:val="auto"/>
                <w:kern w:val="0"/>
                <w:szCs w:val="21"/>
                <w:highlight w:val="none"/>
              </w:rPr>
              <w:t>0</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智能应用服务器</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智能应用服务器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★单台服务器支持视频流的人脸、人体、车辆分析；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★单台服务器支持图片流的人脸、人体、车辆分析；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支持本地存储不小于5000万条人脸图片、模型及结构化数据；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★支持不少于100GB的录像上传及存储分析；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算法种类：</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人脸算法 视频结构化算法 AI算法（AI开放平台和私有化训练平台的成果物均支持）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产品性能：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视频（H.265/H.264）/图片（JPG/JPEG/PNG/BMP/TIF）/录像人脸分析、比对、聚类；</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支持60路1080P视频人脸分析、比对；</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★支持340张/秒人脸图片分析、比对（单机接入≤340路抓拍机）；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支持300万人脸名单库比对报警，支持128个名单库；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支持1000万人脸静态库；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支持60路1080P人体车辆视频分析；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支持120张/秒人体车辆图片分析；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支持180张/秒AI检测算法分析；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支持180张/秒AI分类算法分析；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支持80张/秒AI混合算法分析；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支持32路1080P视频AI算法分析；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支持1000条车牌布控；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支持导入录像分析（人脸录像可同步开启布控）；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支持5000万条图片、结构化属性、模型存储；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支持5台以内设备集群部署；</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产品应用：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提供Web应用、AIShow客户端、海康猎鹰客户端展示；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Web应用：支持数据可视化展示、名单报警（黑名单、陌生人、高频、低频）、车牌报警、人员档案、智能检索（身份确认、属性检索、以脸搜脸、以车搜车、以人搜人）、1V1比对、二维地图、设备运维等功能；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AIShow客户端：支持实时视频预览、报警，人脸信息展示（姓名、人脸属性、频次等），性别统计等；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海康猎鹰客户端: 支持实时视频预览，人体、二轮车、三轮车、机动车信息展示，数量统计等。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支持web界面进行多台设备集群管理，存储及分析性能的线性扩展；且可对集群中的资源使用情况、健康状况进行监测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支持设备间灾备，可保证图片在主备中URL一致，实现图片无缝提取；支持当磁盘或设备故障时，支持智能数据恢复，对标明重要的特定文件中的数据优先恢复；</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系统可扩容，增加管理或存储节点。在多节点系统中，任何一个存储节点出现故障，应不影响数据的正常存取；支持控制流与数据流分离，数据的存储或读取由存储节点并行读写；</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云存储支持单机EC方案，即支持以任一存储节点为单位独立设置N+M数据保护，支持多硬盘时，业务不中断，数据不丢失，同时可根据实时接入业务进行负载均衡；支持对人脸智能结构化数据进行实时缓存备份和全量备份存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支持解析的编码格式包括：H.264、H.265等；支持的录像格式包括avi、mp4、ps、ts、dav等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支持对人脸图片在人脸被遮挡住半边脸的情况下，可正确检测人脸，检出率不小于99%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单卡人脸图片建模速度不低于250张/秒，建模加比对分析性能不低于200张/秒；单卡支持接入30路1080P视频流进行实时人脸分析比对</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人脸图片建模成功率不低于99.99%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★单卡支持接入30路1080P视频流进行活动目标智能分析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支持数据两副本冗余存储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★支持本地web界面展示报警统计信息、点位统计信息、人流量/车流量统计信息、点位抓拍日均值、峰值、排行等信息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★支持本地web界面添加相机的实时预览，支持16分屏同时预览，支持抓拍图片的实时展示、陌生人报警、名单报警、高频报警的实时展示，支持不同报警信息提示不同的报警声音以及报警信息支持以弹窗方式展示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★本地web界面支持名单报警、陌生人报警、高频报警、低频报警、车牌报警查询，支持按照抓拍图片的点位、时间、名单库、报警的确认状态、相似度等信息进行筛选展示，支持报警结果的导出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支持本地web界面对人员档案的查询、检索功能，支持以图表、数据的形式展示档案总数、实名及路人档案、昨日新增档案数以及档案新增报表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支持在本地web界面，按照条件进行以图搜图、身份确认、抓拍库检索操作</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支持本地web界面1V1比对功能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支持本地web界面单张及批量名单的导入、删除、修改、查询等功能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支持本地web界面直接添加人脸抓拍机、普通摄像机、结构化相机和导入录像，并支持下发任务进行人脸分析、视频结构化分析、人脸布控、车牌布控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支持一个画面中两眼瞳距14像素点以上的128张人脸同时进行检测；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支持检出人脸图片中两眼瞳距8像素点以上的人脸；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光照条件正常，人脸无明显遮挡的情况下，白天和夜晚人脸图片的检出率不低于99%；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人脸检测后台响应时间不超过1秒；</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支持检出人脸图片中右斜向上、右斜向下、左斜向上、左斜向下等不同角度的人脸；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支持不同表情条件下人脸检出（微笑、大笑、瞪眼、闭眼、张嘴、歪嘴、吐舌头等）；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支持检出齐刘海遮挡眉毛、头发遮挡眼睛、戴普通眼镜、戴墨镜、戴彩色眼镜、戴棒球帽、戴雷锋帽、戴普通帽子、戴头戴式耳机、披肩长发、长刘海等遮挡方式的人脸；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支持不同光照条件下人脸检出（过曝、欠曝、阴阳脸、逆光下等）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支持识别32×32~2000万像素人脸图片，支持识别不低于8MB人脸图片，支持比对两眼瞳距不小于8像素点的人脸图片，支持比对水平转动不超过60度，俯仰角不超过45度的人脸图片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支持对人脸图片识别人脸性别，人脸性别检出率不低于99%，人脸性别识别准确率不低于99%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支持对人脸图片识别人脸年龄段（婴幼儿、童年、少年、青年、中年、老年），人脸年龄段检出率不低于99%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支持对人脸图片识别人脸是否戴眼镜，人脸图片戴眼镜检出率不低于99%，人脸图片戴眼镜识别准确率不低于99%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支持对人脸图片识别人脸是否戴口罩，人脸图片戴口罩检出率不低于99%，人脸图片戴口罩识别准确率不低于99%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支持对人脸图片识别人脸是否微笑，人脸图片人脸是否微笑检出率不低于99%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★支持识别256×256～900万像素人体/车辆图片，支持识别图片大小小于等于8MB的人体/车辆图片，支持在同一画面中可同时检测30个人体或车辆目标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目标大小应满足以下条件：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人体、车辆目标大小为120×120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支持对活动目标进行分类和检索（人、机动车、二轮车、三轮车），并支持识别活动目标的速度（快速、正常、慢速）、目标尺寸（大、中、小）、方向（上、下、左、 右）</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活动目标识别准确率不低于98%</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支持黑、白、蓝、黄、绿五种车牌颜色的识别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视频结构化后，白天（光线正常）识别准确率不低于97%，夜晚（补光正常）识别准确率不低于95%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支持无车牌车辆的识别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支持红/粉/紫、黄/橙/棕、绿、蓝、白/灰、黑车身颜色识别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视频结构化后，车辆颜色识别白天（光线正常）正向准确率不低于95%，背向准确率不低于92%</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支持客车，大货车，轿车，面包车， 小货车，SUV/MPV，中型客车7种车型的识别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视频结构化后，车辆类型识别白天（光线正常）正向识别准确率不低于97% ，背向识别准确率不低于95%；车辆类型识别夜晚（补光正常）正向识别准确率不低于95%，背向识别准确率不低于90%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视频结构化后，支持正向不少于260种机动车车辆品牌的识别；支持背向不少于200种机动车车辆品牌的识别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视频结构化后，车辆品牌识别白天（光线正常）正向识别准确率不低于98%，白天背向识别准确率不低于97%；车辆品牌识别夜晚（补光正常）正向识别准确率不低于95%，背向识别准确率不低于95%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视频结构化后，支持正向不少于5300种车辆子品牌和年款的识别，背向不少于2800种车辆子品牌和年款的识别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视频结构化后，车辆品牌识别白天（光线正常）正向识别准确率不低于95% ，背向识别准确率不低于93%；车辆品牌识别夜晚（补光正常）正向识别准确率不低于92%，背向识别准确率不低于92%</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支持车牌号码识别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★支持危险品车辆的检测识别，黄标车的检测识别，主驾驶未系安全带检测识别，主、副驾驶遮阳板打开检测识别，驾驶人打手机检测识别，侧面及斜侧角度（≤60°）检测车型、车辆品牌、子品牌、年款</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支持非机动车（二轮车/三轮车）驾驶人年龄段（少年、青年、中年、老年）、 性别、发型（长发、短发）、是否戴眼镜、是否背包、是否拎东西、是否戴帽子、是否戴口罩、上衣颜色（白、灰、黑、红、橙、蓝、黄、绿、棕、粉、紫、青、混色）、上衣类型（短袖、长袖）、骑车类型（自行车、二轮摩托车/电动车、三轮车）、骑车人数（单人、多人）的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支持人体年龄段（少年、青年、中年、老年）、 性别、发型（长发、短发）、是否戴眼镜、是否骑车、是否背包、是否拎东西、是否戴帽子、是否戴口罩、上衣颜色（白、灰、黑、红、橙、蓝、黄、绿、棕、粉、紫、青、混色）、下衣颜色（白、黑、灰、蓝、黄、棕混色）、上衣类型（短袖、长袖）、下衣类型（短裤、长裤、裙子）、骑车类型（自行车、二轮摩托车/电动车、三轮车）、骑车人数（单人、多人）的识别</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支持对视频中的人员、二轮车、三轮车、机动车目标进行建模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支持对人体、车辆图片进行建模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支持检测视频中的人体目标，并且同时输出满足要求的人体目标的人脸图片，进行以图搜图、身份确认</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支持对抓拍的人脸照片进行分析，将分析后的结果与关联的名单库进行比较，比对成功时触发报警，并产生报警提示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黑名单实时报警首位命中准确率不低于99%，实时报警误报率不超过1%，实时报警漏报率不超过1%</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支持对白名单人员进行报警</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支持对指定前端点位抓拍的人员多次出现超过设定阈值进行报警</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支持对指定前端点位和指定名单库的人员出现次数进行统计（抓拍间隔可配置为1分钟-1440分钟），在固定周期内（可配置1天-180天），对出现次数低于阈值（可配置1次-100次）的人员进行报警</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支持对指定车牌号进行布控，比对成功时触发报警，并获得报警提示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支持单张或批量导入名单照片及信息；动态比对支持500万人脸布控；支持1000万的名单库存储及检索；支持1000条车牌号码布控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支持按照姓名、性别、省份、城市、身份证号、起始生日、截止生日查询名单库中的人脸照片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支持将名单分为最多9999个库分别管理，每个库可设置不同的报警阈值或关联相机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支持抓拍库以图搜图及身份确认功能，同时支持按照抓拍设备、时间、相似度、年龄、性别、是否戴眼镜、是否微笑等属性信息进行筛选检索；以脸搜脸结果支持以二维地图展示轨迹</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支持上传一张人脸图片，与抓拍库或名单库中的人脸图片进行比对，输出比对相似的人脸图片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5000万张图片的人脸抓拍库，进行以图搜图检索，后台响应时间不超过0.5秒</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支持使用视频中车辆截图或目标车辆照片（含正向及逆向）在监控视频中抓拍形成的图像库中搜索相似机动车，得到相似度并排序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支持多张人体图片以图搜图，结果按照相似度值降序排列，支持自动识别框选人体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支持导入两张人脸照片进行一对一比对，输出比对相似度；比对性能不低于200次/秒；单卡1V1比对平均响应时间不超过0.5秒</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支持通过web本地界面进行人脸抓拍机、普通摄像机、录像文件的布防管理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支持在web界面对档案的总数、新增档案数、实名档案及陌生人档案的数据信息进行图形化展示、轨迹展示，支持按照实名及陌生人档案进行分类查询</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支持将解析后的人脸图片与名单库内的人员进行比对，对于相似度大于阈值的人脸图片，自动聚类至已有实名人员档案中，档案信息包括姓名、性别等档案属性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支持将解析后的人脸图片与名单库内的人员进行比对，对于相似度小于阈值的人脸图片，自动入库至路人库，并生成具有人员ID的档案，当该人员下次被抓拍到时，抓拍图片能够聚类到该人员已有的档案中</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1、支持通过人员姓名和照片进行档案信息查询，档案能够以人像缩略图方式展示，点击档案可查看详情；</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2.档案信息统计报表：支持按照时间、监控点、人员档案进行人流总量统计、按性别统计、按人员年龄段统计，支持统计数据按照日、周、月、年报表导出，按照折线、柱状、饼状图展示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支持NTP校时服务器配置，并支持手动校时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整机支持对视频文件全帧率60倍加速进行活动目标智能分析（最小切片时长2min）</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整机支持接入不少于500路人脸抓拍机同时分析，分析速度不小于500张/s，支持60路动态摄像头视频流的接入和处理分析能力；</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安全防范报警设备的电源插头或电源引入端与外壳裸露金属部件之间，应能承受GB16796-2009中表1规定的45Hz～65Hz交流电压的抗电强度试验，历时1min应无击穿和飞弧现象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硬件规格：</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机箱规格：19英寸2U标准机架式，87mm(高) × 446mm(宽) × 797.5 mm(深)；</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设备重量：净重21.23kg；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处理器：2颗Intel 至强系列5218R CPU；2张Tesla T4 GPU卡；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内存：256GB DDR4内存；</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硬盘：1块240GB SSD（系统盘）；3块480GB SSD（数据存储）；4块 8TB SATA盘（图片存储）；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数据接口：2个VGA接口，4个千兆网口，4个USB3.0接口；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额定功耗：1600W 1+1冗余电源；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实际功耗：约800W；</w:t>
            </w:r>
          </w:p>
          <w:p>
            <w:pPr>
              <w:pStyle w:val="2"/>
              <w:ind w:firstLine="0" w:firstLineChars="0"/>
              <w:rPr>
                <w:rFonts w:ascii="仿宋" w:hAnsi="仿宋" w:eastAsia="仿宋"/>
                <w:color w:val="auto"/>
                <w:szCs w:val="21"/>
                <w:highlight w:val="none"/>
              </w:rPr>
            </w:pPr>
            <w:r>
              <w:rPr>
                <w:rFonts w:hint="eastAsia" w:ascii="仿宋" w:hAnsi="仿宋" w:eastAsia="仿宋" w:cs="宋体"/>
                <w:color w:val="auto"/>
                <w:kern w:val="0"/>
                <w:szCs w:val="21"/>
                <w:highlight w:val="none"/>
              </w:rPr>
              <w:t>★</w:t>
            </w:r>
            <w:r>
              <w:rPr>
                <w:rFonts w:hint="eastAsia" w:ascii="仿宋" w:hAnsi="仿宋" w:eastAsia="仿宋"/>
                <w:b/>
                <w:bCs/>
                <w:color w:val="auto"/>
                <w:szCs w:val="21"/>
                <w:highlight w:val="none"/>
              </w:rPr>
              <w:t>需提供</w:t>
            </w:r>
            <w:r>
              <w:rPr>
                <w:rFonts w:hint="eastAsia" w:ascii="仿宋" w:hAnsi="仿宋" w:eastAsia="仿宋" w:cs="宋体"/>
                <w:b/>
                <w:bCs/>
                <w:color w:val="auto"/>
                <w:kern w:val="0"/>
                <w:szCs w:val="21"/>
                <w:highlight w:val="none"/>
              </w:rPr>
              <w:t>公安部检验报告证明资料</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510"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人脸抓拍摄像机（宿管考勤）</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400万 星光级1/1.8" AI抓拍筒型网络摄像机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分辨率设置为2688×1520@25fps，分辨力不小于1500TVL。</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具有不小于1/1.8"靶面尺寸。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内置GPU芯片。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内置混合补光灯，可对红外灯及白光灯功率进行调节。</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最低照度彩色不大于0.0002 lx，黑白不大于0.0001 lx。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在分辨率1920x1080 @ 25fps，延时不大于70ms。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支持检出两眼瞳距40像素点以上的人脸图片，支持单场景同时检出不少于30张人脸图片，并支持面部跟踪，人脸检出率不小于99%。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支持透雾自动切换功能，当检测到雾的浓度达到设定的阈值时，可自动在算法透雾和光学透雾之间进行切换。</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 设备恢复出厂设置后，通过客户端软件或WEB方式登录设备必须设置密码才能使用，无其他缺省密码或空密码。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 射频电磁场辐射抗扰度应符合GB/T 17626.3-2006中试验等级3的规定。</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 在IE 浏览器下，可通过扫描预览界面上的二维码获取设备资料。</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（13） 支持数据感知功能，可同时支持10路客户端和5路web端事件布防，设备在布防时间段内主动上传感知数据，断网重连后，报警信息与报警图片可继续上传。</w:t>
            </w:r>
          </w:p>
          <w:p>
            <w:pPr>
              <w:pStyle w:val="2"/>
              <w:ind w:firstLine="0" w:firstLineChars="0"/>
              <w:rPr>
                <w:rFonts w:ascii="仿宋" w:hAnsi="仿宋" w:eastAsia="仿宋"/>
                <w:color w:val="auto"/>
                <w:szCs w:val="21"/>
                <w:highlight w:val="none"/>
              </w:rPr>
            </w:pPr>
            <w:r>
              <w:rPr>
                <w:rFonts w:hint="eastAsia" w:ascii="仿宋" w:hAnsi="仿宋" w:eastAsia="仿宋" w:cs="宋体"/>
                <w:color w:val="auto"/>
                <w:kern w:val="0"/>
                <w:szCs w:val="21"/>
                <w:highlight w:val="none"/>
              </w:rPr>
              <w:t>★</w:t>
            </w:r>
            <w:r>
              <w:rPr>
                <w:rFonts w:hint="eastAsia" w:ascii="仿宋" w:hAnsi="仿宋" w:eastAsia="仿宋"/>
                <w:b/>
                <w:bCs/>
                <w:color w:val="auto"/>
                <w:szCs w:val="21"/>
                <w:highlight w:val="none"/>
              </w:rPr>
              <w:t>需提供</w:t>
            </w:r>
            <w:r>
              <w:rPr>
                <w:rFonts w:hint="eastAsia" w:ascii="仿宋" w:hAnsi="仿宋" w:eastAsia="仿宋" w:cs="宋体"/>
                <w:b/>
                <w:bCs/>
                <w:color w:val="auto"/>
                <w:kern w:val="0"/>
                <w:szCs w:val="21"/>
                <w:highlight w:val="none"/>
              </w:rPr>
              <w:t>公安部检验报告证明资料</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24</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宿管信息显示屏</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1、支持归寝情况展示，展示数据有总人数、在寝人数、外出人数；</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2、支持签到情况展示，展示数据为关联该信息发布屏宿舍楼栋的总人数；</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3、支持近7日归寝/签到人数统计；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4、支持实时进出记录展示，包括陌生人和学生；</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5、支持展示关联考勤点视频画面。</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6、支持通过平台配置后，人脸识别联动语音播报。</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基础规格：</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1、显示参数：</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32寸，1920 × 1080@60Hz，450cd/m2</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2、系统参数：</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Android 8.1，Cortex-A17， 4核，主频1.6 GHz，内存2G，16G EMMC</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3、接口参数：</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LAN × 1，Wi-Fi × 1，USB 2.0 × 2，TF Card × 1，BT 4.0  × 1，AUDIO IN × 1，HDMI × 2，VGA × 1，AUDIO OUT × 1，speaker (8 Ω 2 W)  × 2</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11</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7</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考勤补录机</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1、设备外观：采用7英寸LCD触摸显示屏，200万像素双目摄像头，面部识别距离0.2-3m，支持照片视频防假；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2、设备容量：支持6000张人脸白名单，1：N人脸比对时间＜0.2S/人，支持5000枚指纹，6000张卡片，50000条记录；</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3、认证方式：支持人脸、刷卡、指纹、密码及其组合的认证方式；可读取Mifare卡（IC卡）、CPU卡序列号、身份证序列号；</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4、通讯方式：上行通讯为TCP/IP；支持外接RS485，Wiegand副读卡器；基线支持标准韦根34/26；</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5、视频对讲：支持与云眸、4200客户端、主副室内分机、管理机的视频对讲功能；支持远程视频预览功能，可以通过RTSP协议输出视频码流，编码格式H.264；</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6、输入接口：LAN*1、RS485*1、wiegand * 1、USB*1、门磁*1、报警输入*2、防拆*1、开门按钮*1；</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7、输出接口：电锁*1个，报警输出*1个；</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8、工作电压： DC 12V/2A，不自带电源；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9、使用环境：室内外环境，室外使用必须搭配遮阳罩；</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10、安装方式：标配金属安装挂板，支持明装、86底盒安装；</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11、产品尺寸：290mm*116.5mm*33mm；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12、工作温度：-30~65℃。</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36</w:t>
            </w:r>
          </w:p>
        </w:tc>
      </w:tr>
      <w:tr>
        <w:tblPrEx>
          <w:tblCellMar>
            <w:top w:w="0" w:type="dxa"/>
            <w:left w:w="108" w:type="dxa"/>
            <w:bottom w:w="0" w:type="dxa"/>
            <w:right w:w="108" w:type="dxa"/>
          </w:tblCellMar>
        </w:tblPrEx>
        <w:trPr>
          <w:trHeight w:val="43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吊装支架</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铝合金材质  管径45MM，可伸缩，长度范围：0.5-1.0米</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24</w:t>
            </w:r>
          </w:p>
        </w:tc>
      </w:tr>
      <w:tr>
        <w:tblPrEx>
          <w:tblCellMar>
            <w:top w:w="0" w:type="dxa"/>
            <w:left w:w="108" w:type="dxa"/>
            <w:bottom w:w="0" w:type="dxa"/>
            <w:right w:w="108" w:type="dxa"/>
          </w:tblCellMar>
        </w:tblPrEx>
        <w:trPr>
          <w:trHeight w:val="529"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9</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超脑主机</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xml:space="preserve">【合智能】大超脑，4颗GPU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支持人脸、周界、视频结构化三种模式并行，默认人脸模式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一、人脸模式性能：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名单库比对报警：最高64路图片流或32路视频流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64个人脸名单库，总库容50万张</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路人档案30万份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支持陌生人报警</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支持人员频次统计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支持人脸签到和考勤</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支持人脸1V1比对</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支持以脸搜脸、按姓名检索、按属性检索</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（单颗GPU换算说明：人脸抓拍机图片流最高支持800W分辨率，不降路数=16路；IPC视频流，400W内不降路数=8路，500W=6路，800W=4路）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二、周界防范模式性能：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支持最大48路周界报警（越界、区域入侵）去误报分析（200W）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（单颗GPU性能说明：</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200W分辨率，常规距离12路， 中距离9路，远距离6路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400W分辨率，常规距离是8路，中距离6路，远距离4路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800W分辨率，常规距离是2路，中距离2路，远距离2路）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三、视频结构化模式性能：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24路视频流实时人脸、人体、车辆结构化分析（200W）</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1)支持人脸分析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2)支持人体分析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本地展示人体属性（性别、年龄段、上衣颜色、骑车、背包、戴眼镜）</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可上传平台的人体属性（性别、年龄段、上衣颜色、骑车、背包、戴眼镜、下衣颜色、上衣类型、下衣类型、发型、戴帽子、戴口罩、拎东西、骑车人数、骑车类型）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支持人体建模，支持以人搜人，支持按属性检索人体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3)支持车辆分析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本地展示同可上传平台属性（车牌号码、车牌类型、车牌颜色、车身颜色、车辆类型、车辆主品牌）</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支持车辆名单报警</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支持按属性检索车辆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（单颗GPU换算说明，6路200W=3路 400W=2路 800W）</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硬件规格：</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3U标准机架式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2个HDMI，1个VGA，HDMI+VGA组内同源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支持双4K异源输出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16盘位，最高可满配12TB硬盘，支持硬盘热插拔，已内置8块8T AI盘</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4个千兆网口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2个USB2.0接口、2个USB3.0接口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1个eSATA接口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支持RAID0、1、5、6、10，支持全局热备盘</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IO报警：16进8出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软件性能：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输入带宽：400M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64路H.265、H.264混合接入</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最大支持20×1080P解码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支持H.265、H.264、SVAC混合解码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Smart 2.0/整机热备/ANR/智能检索/智能回放/车牌检索/人脸检索/热度图/客流量统计/分时段回放/超高倍速回放/双系统备份</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10</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合计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CellMar>
            <w:top w:w="0" w:type="dxa"/>
            <w:left w:w="108" w:type="dxa"/>
            <w:bottom w:w="0" w:type="dxa"/>
            <w:right w:w="108" w:type="dxa"/>
          </w:tblCellMar>
        </w:tblPrEx>
        <w:trPr>
          <w:trHeight w:val="282"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三、车辆管理、违章检测、道路指示疏散建设</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序号</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设备名称</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技术参数</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单位</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数量</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雷视测速一体机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设备采用视频和雷达一体化设计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融合77G毫米波雷达与深度学习视频单元，从结构、场景、采集方式到数据信息等多维度深度融合；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图像分辨率不小于2688×1520（不含OSD叠加），视频帧率1-50帧可设</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支持五码流并发输出，主码流分辨率可配置为2688×1520，子码流、第三码流、第四码流和第五码流最大支持分辨率为1920×1080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★雷达和视频可同时检测到目标，通过雷达坐标标定（标定方式可设置为自动/手动），实现雷达检测数据和视频检测数据的融合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★支持外接音柱，语音可关联到特定事件，当事件发生时输出特定语音</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★支持对雷达参数进行设置，包括：检测速度、原点坐标、车道数、车道宽度、方向、架设高度、距离修正参数、角度修正参数等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支持车牌捕获功能，触发方式可设置为视频、线圈或雷达，白天和晚上的捕获率均不低于99%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支持车牌识别功能（含新能源车牌），白天和晚上的识别准确率均不低于99%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 支持车辆子品牌识别功能，通过车头可识别7100种车辆子品牌，通过车尾可识别3800种车辆子品牌，识别率不低于99%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 支持自动区分机动车（不含摩托车）、二轮车（摩托车、自行车、电动二轮车）、三轮车和行人，区分准确率不低于99%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 支持行人和二轮车捕获功能，捕获率不低于99%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（13） 防护等级：IP67</w:t>
            </w:r>
          </w:p>
          <w:p>
            <w:pPr>
              <w:pStyle w:val="2"/>
              <w:ind w:firstLine="0" w:firstLineChars="0"/>
              <w:rPr>
                <w:rFonts w:ascii="仿宋" w:hAnsi="仿宋" w:eastAsia="仿宋"/>
                <w:color w:val="auto"/>
                <w:szCs w:val="21"/>
                <w:highlight w:val="none"/>
              </w:rPr>
            </w:pPr>
            <w:r>
              <w:rPr>
                <w:rFonts w:hint="eastAsia" w:ascii="仿宋" w:hAnsi="仿宋" w:eastAsia="仿宋" w:cs="宋体"/>
                <w:color w:val="auto"/>
                <w:kern w:val="0"/>
                <w:szCs w:val="21"/>
                <w:highlight w:val="none"/>
              </w:rPr>
              <w:t>★</w:t>
            </w:r>
            <w:r>
              <w:rPr>
                <w:rFonts w:hint="eastAsia" w:ascii="仿宋" w:hAnsi="仿宋" w:eastAsia="仿宋"/>
                <w:color w:val="auto"/>
                <w:szCs w:val="21"/>
                <w:highlight w:val="none"/>
              </w:rPr>
              <w:t>需提供</w:t>
            </w:r>
            <w:r>
              <w:rPr>
                <w:rFonts w:hint="eastAsia" w:ascii="仿宋" w:hAnsi="仿宋" w:eastAsia="仿宋" w:cs="宋体"/>
                <w:color w:val="auto"/>
                <w:kern w:val="0"/>
                <w:szCs w:val="21"/>
                <w:highlight w:val="none"/>
              </w:rPr>
              <w:t>公安部检验报告证明资料</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立杆</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镀锌钢管定制，立杆高度5米，横杆挑长2.5米</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道路违停抓拍摄像机</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olor w:val="auto"/>
                <w:szCs w:val="21"/>
                <w:highlight w:val="none"/>
              </w:rPr>
            </w:pPr>
            <w:r>
              <w:rPr>
                <w:rFonts w:hint="eastAsia" w:ascii="仿宋" w:hAnsi="仿宋" w:eastAsia="仿宋" w:cs="宋体"/>
                <w:color w:val="auto"/>
                <w:kern w:val="0"/>
                <w:szCs w:val="21"/>
                <w:highlight w:val="none"/>
              </w:rPr>
              <w:t>（1） 摄像机靶面尺寸不小于1/1.8英寸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★摄像机内置两个图像传感器，分别输出黑白及彩色图像，并可对视频图像进行融合输出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内置GPU芯片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支持35倍光学变倍</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视频输出支持2650×1440@25fps，分辨力不小于1500线</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红外距离不小于550米</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支持最低照度可达彩色0.0002Lux，黑白0.0001Lux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支持违法停车抓拍功能，且白天和晚上违法停车捕获率、捕获有效率均不小于99%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设备进行违法停车检测时，镜头倍率为1倍，白天有效检测距离最大为150米，其他倍率下，白天有效检测距离最大为500米</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（10）当设备检测到违停、逆行、压线、变道、机占非、调头、行人、路障、抛洒物、事故、拥堵事件后，可上传报警信息及目标物经纬度信息</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测速显示指示牌</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xml:space="preserve">包含：测速牌、抱箍（直径：114mm）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产品尺寸：1120mm*1800mm*100mm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外壳材质：铝板折边、表面喷塑贴反光膜</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工作电压：AC 220V±44V，50Hz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总功率：≤25W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通讯接口：RJ45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测速显示数值：红199～1；绿199～1</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LED中心亮度：红&gt;5000 cd/㎡；黄&gt;5000 cd/㎡ ；绿&gt;5000 cd/㎡</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LED波长：红:628nm±1nm；黄:590nm±1nm；绿:505nm±1nm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LED直径：Φ5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单管电流：≤20mA</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LED寿命：≥100000小时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反光膜等级：3级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反光膜寿命：≥10年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可视距离：≥500m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可视角度：&gt;30°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工作温度：-40℃ ~ +80℃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相对湿度：≤95%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保存环境：0~50℃，40~60%RH</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防护等级：IP53</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重量：≤38KG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安装方式：立杆安装</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【车牌显示单元】</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像素：96*32</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像素组成：1R1G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点间距：10mm；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单元尺寸：960mm*320mm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文字内容；可显示红、黄、绿三种颜色的任意文字</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模组亮度：4500-5000cd/㎡</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水平可视角度：110°±10°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垂直可视角度：60°±10°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最佳观看距离：10-100m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平均无故障时间：≥10000小时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使用寿命：100000小时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盲点率：小于万分之一，出厂无盲点</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牌</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6</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合计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CellMar>
            <w:top w:w="0" w:type="dxa"/>
            <w:left w:w="108" w:type="dxa"/>
            <w:bottom w:w="0" w:type="dxa"/>
            <w:right w:w="108" w:type="dxa"/>
          </w:tblCellMar>
        </w:tblPrEx>
        <w:trPr>
          <w:trHeight w:val="282"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四、校园AI智慧报警建设</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序号</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设备名称</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技术参数</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单位</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数量</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全彩周界警戒网络摄像机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具有400万像素 CMOS传感器。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内置GPU芯片。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内置麦克风和喇叭。</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具有不小于1/1.8"靶面尺寸。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内置2颗白光补光灯。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最低照度彩色：0.0004 lx。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白天或夜晚均可输出彩色视频图像。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在2560x1440 @ 25fps下，清晰度不小于1400TVL。</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支持H.264、H.265、MJPEG视频编码格式，其中H.264支持Baseline/Main/High Profile。信噪比不小于62dB。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 ★支持声音报警功能，报警声音类型不小于10种，报警声级及报警次数可设置。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 ★需具备智能报警防干扰功能，当在设定的检测范围内出现光线明暗变化、篮球滚动、狗行走、树摇晃时，不触发报警。</w:t>
            </w:r>
          </w:p>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w:t>
            </w:r>
            <w:r>
              <w:rPr>
                <w:rFonts w:hint="eastAsia" w:ascii="仿宋" w:hAnsi="仿宋" w:eastAsia="仿宋"/>
                <w:b/>
                <w:bCs/>
                <w:color w:val="auto"/>
                <w:szCs w:val="21"/>
                <w:highlight w:val="none"/>
              </w:rPr>
              <w:t>需提供</w:t>
            </w:r>
            <w:r>
              <w:rPr>
                <w:rFonts w:hint="eastAsia" w:ascii="仿宋" w:hAnsi="仿宋" w:eastAsia="仿宋" w:cs="宋体"/>
                <w:b/>
                <w:bCs/>
                <w:color w:val="auto"/>
                <w:kern w:val="0"/>
                <w:szCs w:val="21"/>
                <w:highlight w:val="none"/>
              </w:rPr>
              <w:t>公安部检验报告证明资料</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78</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周界围墙支架</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根据现场安装需求定制</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69</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可视化紧急报警盒</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一键报警，200w像素视频采集，支持红外补光，支持语音对讲、广播；支持公网传输ehome；支持双网口；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尺寸（mm）：218（H）*128（W）*58（D）</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35</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一键式紧急报警柱</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olor w:val="auto"/>
                <w:szCs w:val="21"/>
                <w:highlight w:val="none"/>
              </w:rPr>
            </w:pPr>
            <w:r>
              <w:rPr>
                <w:rFonts w:hint="eastAsia" w:ascii="仿宋" w:hAnsi="仿宋" w:eastAsia="仿宋" w:cs="宋体"/>
                <w:color w:val="auto"/>
                <w:kern w:val="0"/>
                <w:szCs w:val="21"/>
                <w:highlight w:val="none"/>
              </w:rPr>
              <w:t>一键报警，200w像素视频采集，支持红外补光，支持语音对讲、广播；支持远程开锁；支持公网传输ehome2.0、ISUP;支持双网口； IP65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尺寸(mm)：450（W）*500（D）*2205（H）</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报警接警主机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10.1寸触摸屏紧急报警管理机；集成视频查看、双向对讲、呼叫前端等功能，用于管理前端一键求助报警产品。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支持1080P视频显示，支持H.264/H.265解码，支持最大256G Micro SD卡存储；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支持4路开关量输入，4路继电器输出；支持VGA、HDMI同源输出；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支持1路3.5mm音频输入，1路3.5mm音频输出；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话柄、鹅颈话筒杆可拆卸，支持DC12V、PoE(IEEE 802.3 at/af)供电。</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楼顶安全预警摄像机</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具有400万像素 CMOS传感器。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内置GPU芯片。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内置麦克风和喇叭。</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具有不小于1/1.8"靶面尺寸。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内置2颗白光补光灯。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最低照度彩色：0.0004 lx。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白天或夜晚均可输出彩色视频图像。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在2560x1440 @ 25fps下，清晰度不小于1400TVL。</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支持H.264、H.265、MJPEG视频编码格式，其中H.264支持Baseline/Main/High Profile。信噪比不小于62dB。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 支持声音报警功能，报警声音类型不小于10种，报警声级及报警次数可设置。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 需具备智能报警防干扰功能，当在设定的检测范围内出现光线明暗变化、篮球滚动、狗行走、树摇晃时，不触发报警。</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64</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7</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河道安全预警摄像机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具有400万像素 CMOS传感器。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内置GPU芯片。</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内置麦克风和喇叭。</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具有不小于1/1.8"靶面尺寸。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内置2颗白光补光灯。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最低照度彩色：0.0004 lx。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白天或夜晚均可输出彩色视频图像。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在2560x1440 @ 25fps下，清晰度不小于1400TVL。</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支持H.264、H.265、MJPEG视频编码格式，其中H.264支持Baseline/Main/High Profile。信噪比不小于62dB。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 支持声音报警功能，报警声音类型不小于10种，报警声级及报警次数可设置。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 需具备智能报警防干扰功能，当在设定的检测范围内出现光线明暗变化、篮球滚动、狗行走、树摇晃时，不触发报警。</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7</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合计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CellMar>
            <w:top w:w="0" w:type="dxa"/>
            <w:left w:w="108" w:type="dxa"/>
            <w:bottom w:w="0" w:type="dxa"/>
            <w:right w:w="108" w:type="dxa"/>
          </w:tblCellMar>
        </w:tblPrEx>
        <w:trPr>
          <w:trHeight w:val="282"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五、人脸门禁管理系统</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序号</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设备名称</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技术参数</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单位</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数量</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人脸门禁一体机（闸机配套）</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设备采用嵌入式Linux系统，7英寸LCD触摸显示屏，屏幕分辨率不小于1024*600，屏幕防冲击防护等级IK04，除后壳盖板外的外壳防冲击防护等级IK07，支持IP65防水等级。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设备采用高清双目相机宽动态相机（1路可见光摄像头，1路红外摄像头），可适应强光、逆光、暗光等条件的人脸识别，最大分辨率1920×1080，帧率30帧/s。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设备本地人脸库存储容量50000张，本地卡存储容量50000张，本地出入记录存储容量100000条。（需提供公安部检验报告复印件并加盖公章）</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设备支持局域网、互联网环境的网络通信，可被4个客户端软件同时实时监听，在线状态下实时上传比对记录。</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设备支持通过Web进行设备信息查询、用户信息管理、设备时间管理、系统维护、安全操作管理、技术参数配置、图像参数配置。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设备的人脸识别距离：0.2~3m；人脸识别误识率≤0.01%，准确率≥99.8%，人脸识别速度≤0.2s；支持在0.001lux低照度无补光环境下正常实现人脸识别。（需提供公安部检验报告复印件并加盖公章）</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设备支持黑名单功能，本地50000个人脸黑名单比对，支持本地黑名单事件信息上传平台，有授权人员和未授权陌生人刷脸时，设备支持抓拍图片并实时上传平台。（需提供公安部检验报告复印件并加盖公章）</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适用温度范围：-40℃至80℃。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设备具有数据加密功能，包括支持本地非明文存储比对结果、身份信息及抓拍人脸照片；支持实时非明文上传比对结果、身份信息及抓拍人脸照片等至管理中心；支持断网续传离线记录非明文数据功能；设备对USB导出数据（事件记录及人脸等）应采用非明文方案；支持本地根据具体用户按天、周、月、自定义时间段或全部查询事件记录。</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人脸门禁一体机</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设备采用 7 英寸LCD 触摸显示屏，屏幕支持多点触控操作，屏幕流明度不低于350cd/㎡，分辨率不小于1024*600，屏幕防暴等级IK04，采用双目宽动态相机，最大分辨率：1920×1080。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设备采用嵌入式Linux系统 ；支持人脸、刷卡（包括 M1 卡、CPU 卡、NFC 卡、二代身份证等）、二维码和密码识读，支持外接身份证阅读器模块读取身份证信息。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设备本地人脸库存储容量5000张，本地卡存储容量6000张，本地出入记录存储容量50000条。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设备采用热成像测温，分辨率应为 120*160，支持热成像图像预览；支持垂直方向 0.3～2.0m 距离范围内非接触式自动人体测温</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设备应支持自动准确定位并检测人脸额头温度，无需用户配合。支持人员身份核验及测温，支持上传中心管理平台，实现一人一温一档记录；支持快速测温模式，不需要注册人员信息即应实现测温业务，并能配置开门授权。</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★设备测温精度为 0.1℃，测温误差≤±0.3℃，测温范围：30℃～45℃。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设备支持口罩佩戴监测模式并提示未佩戴口罩，应能配置提醒模式、强制模式；提醒模式：未佩戴口罩时，应能做身份验证及考勤签到，身份验证通过后提醒佩戴口罩；强制模式：未佩戴口罩时，应无法做身份验证，并提醒佩戴口罩；同时应支持佩戴口罩情况下的人脸识别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设备具有丰富的硬件接口，应不少于以下硬件接口及能力：LAN（10M/100M/1000M 自适应）*1 ，；RS485*1；韦根*1； USB *2；喇叭扬声器；门锁I/O输出*1； 门磁I/O输入*1；报警I/O输出*1；事件 I/O 输入*2；PSAM*1；机械防拆开关*1；具有指纹/蓝牙模块扩展接口；具有外接身份证模块扩展接口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w:t>
            </w:r>
          </w:p>
          <w:p>
            <w:pPr>
              <w:pStyle w:val="2"/>
              <w:ind w:firstLine="0" w:firstLineChars="0"/>
              <w:rPr>
                <w:rFonts w:ascii="仿宋" w:hAnsi="仿宋" w:eastAsia="仿宋"/>
                <w:color w:val="auto"/>
                <w:szCs w:val="21"/>
                <w:highlight w:val="none"/>
              </w:rPr>
            </w:pPr>
            <w:r>
              <w:rPr>
                <w:rFonts w:hint="eastAsia" w:ascii="仿宋" w:hAnsi="仿宋" w:eastAsia="仿宋" w:cs="宋体"/>
                <w:color w:val="auto"/>
                <w:kern w:val="0"/>
                <w:szCs w:val="21"/>
                <w:highlight w:val="none"/>
              </w:rPr>
              <w:t>★</w:t>
            </w:r>
            <w:r>
              <w:rPr>
                <w:rFonts w:hint="eastAsia" w:ascii="仿宋" w:hAnsi="仿宋" w:eastAsia="仿宋"/>
                <w:b/>
                <w:bCs/>
                <w:color w:val="auto"/>
                <w:szCs w:val="21"/>
                <w:highlight w:val="none"/>
              </w:rPr>
              <w:t>需提供</w:t>
            </w:r>
            <w:r>
              <w:rPr>
                <w:rFonts w:hint="eastAsia" w:ascii="仿宋" w:hAnsi="仿宋" w:eastAsia="仿宋" w:cs="宋体"/>
                <w:b/>
                <w:bCs/>
                <w:color w:val="auto"/>
                <w:kern w:val="0"/>
                <w:szCs w:val="21"/>
                <w:highlight w:val="none"/>
              </w:rPr>
              <w:t>计量院出具的检验报告证明</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20</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可视对讲分机</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采用10寸分辨率为1024*600彩色TFT LCD显示屏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采用电容式触摸屏、触摸按键操作方式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采用扁平化风格UI操作界面，绚丽大气，操作简便</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支持住户间户户对讲功能，以及住户内部分机和分机之间户内对讲功能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室内机支持访客图像记录和回放功能。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支持8路报警接入和SOS紧急呼叫按钮；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室内机支持信息发布功能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（8） 室内机可监视16路授权的访问的访客呼叫机和IPC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支持在没有用户使用时自动切换到屏保或息屏待机状态，以达到节能效果</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 支持自动应答与免打扰功能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 采用先进的噪声抑制与回声消除技术，保证话音质量清晰明亮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 安装便利（采用挂板式安装、支持批量刷机配置、支持网线供电）</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（13） 室内机的外壳防护等级符合IP32 </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双门磁力锁</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最大静态直线拉力：280kg*2</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具有电锁状态指示灯（红灯为开锁状态， 绿灯为上锁状态）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支持锁状态侦测信号(门磁)输出：NO/NC/COM接点</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把</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出门按钮</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结构：塑料面板。</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最大耐用电流1.25A电压250V。</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输出：常开。</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适合埋入式电器盒适用。</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个</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门禁专用电源</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xml:space="preserve">DC12V10A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个</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7</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合计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CellMar>
            <w:top w:w="0" w:type="dxa"/>
            <w:left w:w="108" w:type="dxa"/>
            <w:bottom w:w="0" w:type="dxa"/>
            <w:right w:w="108" w:type="dxa"/>
          </w:tblCellMar>
        </w:tblPrEx>
        <w:trPr>
          <w:trHeight w:val="282"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六、智慧消防系统</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序号</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设备名称</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技术参数</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单位</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数量</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安消管理平台</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消防火灾报警检测、消防工作台、消防安全规范管理、消防研判分析、消防设备网管</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安消服务器</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4214×1/64G DDR4/600G 10K  SAS×4(RAID_10)/SAS_HBA/1GbE×2/550W(1+1)/2U/16DIMM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2U双路标准机架式服务器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CPU：1颗intel至强系列处理器，核数≥12核，主频≥2.2GHz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内存：32G*2 DDR4，16根内存插槽，最大支持扩展至2TB内存</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硬盘：4块600G 10K 2.5寸 SAS硬盘</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阵列卡：SAS_HBA卡, 支持RAID 0/1/10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PCIE扩展：最大可支持6个PCIE扩展插槽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网口：2个千兆电口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其他接口：1个RJ45管理接口，后置2个USB 3.0接口，前置2个USB2.0接口，1个VGA接口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电源：标配550W（1+1）高效铂金CRPS冗余电源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机箱规格：87.8mm(高)x 448mm(宽)x729.8mm(深)</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设备重量：约26KG（含导轨）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操作系统：HIK OS</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用户信息传输装置</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采用高性能4G无线模块，支持移动、联通或电信网络制式；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2 路 RS-232 通讯接口、 2 路 RS-485 通讯接口，1 路 CAN 通讯接口、 1 路 RJ45 网络通讯口,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手动报警：具有手动火警按钮，可以向管理平台上传人工火灾报警信息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断网续传：网络断网恢复后，接续上传断网期间的数据；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值班查岗：支持值班查岗功能；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1路开关量输入，2路常开输出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1 个以太网接口，能够对目标 IP，目标机号，本机机号设置；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支持查找历史记录：历史火警、历史请求/反馈、历史故障、历史操作各 1000 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提供液晶显示（128x64），提供实时时钟；</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 蓄电池备用供电（待机 24 小时以上）</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 交流输入电压 220V 50Hz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 直流备电 12V 7Ah 铅酸电池一节</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（13） 工作温度 0℃～+50℃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（14） 工作湿度 ≤95%RH</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c>
          <w:tcPr>
            <w:tcW w:w="777" w:type="pct"/>
            <w:tcBorders>
              <w:top w:val="nil"/>
              <w:left w:val="nil"/>
              <w:bottom w:val="single" w:color="auto" w:sz="4" w:space="0"/>
              <w:right w:val="single" w:color="auto" w:sz="4" w:space="0"/>
            </w:tcBorders>
            <w:shd w:val="clear" w:color="auto" w:fill="auto"/>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独立式可燃气体探测器</w:t>
            </w:r>
          </w:p>
        </w:tc>
        <w:tc>
          <w:tcPr>
            <w:tcW w:w="3302" w:type="pct"/>
            <w:tcBorders>
              <w:top w:val="nil"/>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探测气体种类 甲烷</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测量范围 0~20%LEL</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报警阈值 8%LEL</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接口 1路电磁阀输出接口，1路排风扇输出接口，1路RS-485接口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工作原理 平面半导体型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防护等级 IP30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使用环境</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温度：-10 ℃～55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湿度：≤93%（40 ℃、无凝结）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外形尺寸 122 mm × 77 mm × 34 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执行标准 GB 15322.2-2019</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报警音量 70 dB ~ 115 dB @1 m (A计权)</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供电电压 AC 220 V</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工作电流 ≤250 mA</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通讯方式 无</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12V适配器一个</w:t>
            </w:r>
          </w:p>
        </w:tc>
        <w:tc>
          <w:tcPr>
            <w:tcW w:w="226"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个</w:t>
            </w:r>
          </w:p>
        </w:tc>
        <w:tc>
          <w:tcPr>
            <w:tcW w:w="383"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c>
          <w:tcPr>
            <w:tcW w:w="777" w:type="pct"/>
            <w:tcBorders>
              <w:top w:val="single" w:color="auto" w:sz="4" w:space="0"/>
              <w:left w:val="nil"/>
              <w:bottom w:val="single" w:color="auto" w:sz="4" w:space="0"/>
              <w:right w:val="single" w:color="auto" w:sz="4" w:space="0"/>
            </w:tcBorders>
            <w:shd w:val="clear" w:color="auto" w:fill="auto"/>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安消智能摄像机</w:t>
            </w:r>
          </w:p>
        </w:tc>
        <w:tc>
          <w:tcPr>
            <w:tcW w:w="3302" w:type="pct"/>
            <w:tcBorders>
              <w:top w:val="single" w:color="auto" w:sz="4" w:space="0"/>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最大图像尺寸： 2540 × 1440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传感器类型： 1/2.7"" Progressive Scan CMOS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主码流帧率及分辨率： 50 Hz: 25 fps (2650 × 1440, 1920 × 1080, 1280 ×720)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子码流帧率及分辨率： 50 Hz: 25 fps (704 × 576, 640 × 480, 352 × 288)</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感兴趣区域： 主码流, 子码流分别支持设置1 个区域</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最小照度： 彩色: 0.005 Lux @ (F1.2, AGC ON), 0 Lux with IR</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镜头： 4 mm, 水平视场角: 104°;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图像设置： 饱和度, 亮度, 对比度, 锐度, AGC, 白平衡通过客户端或者浏览器可调</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调整角度： 水平: 0° ~ 360°; 垂直: 0° ~ 70°; 旋转: 0° ~ 360°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宽动态范围： 120 dB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快门： 1/3 s ~ 1/100,000 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日夜转换模式： ICR 红外滤片式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图像增强： 背光补偿, 3D 数字降噪</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感温方式： 支持非接触式感温</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探测范围： 支持感知直径≥12cm的高温或火点，最远探测距离为8m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高温报警： 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火焰报警： 支持火焰感知报警</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火点识别： 支持火点识别，并定位视场位置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智能分析功能：支持人员在离岗检测，室内消防通道占用检测，电动自行车进电梯检测功能（三选一）</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报警屏蔽区域： 可自定义配置8个矩形区域</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报警探测区域： 可见光4mm镜头104°，感温范围水平90°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远程消音： 支持远程消音</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语音播报： 支持语音播报功能，3米处声压约为65dB （电动车报警：禁止电动车进入电梯，请及时离开）</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报警指示灯： 1个，红色：报警；故障：黄色；绿色：正常；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防遮挡报警： 支持镜头正前方（夹角小于30°）50cm内，有较大物体遮挡检测。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防移动报警： 支持,当设备带电拆卸、被改变探测视场方向、被移动时需要产生报警</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报警事件OSD： 支持报警事件录像画面叠加显示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报警联动： 支持报警事件联动抓图、录像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动态温度补偿 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智能报警： 区域入侵、越界侦测、进入区域侦测、离开区域侦测、场景变更侦测</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SVC： 编码 H.264, H.265 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视频压缩标准： 主码流: H.265/H.264</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子码流: H.265/H.264/MJPEG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H.265编码类型： Main Profile</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H.264编码类型： Main Profile/High Profile</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视频压缩码率： 32 Kbps ~ 16 Mbps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支持协议： TCP/IP, ICMP, HTTP, HTTPS, FTP, DHCP, DNS, DDNS, RTP, RTSP, RTCP,</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 PPPoE, NTP, UPnP, SMTP, SNMP, IGMP, 802.1X, QoS, IPv6, UDP, Bonjour</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接口协议： ONVIF(PROFILE S, PROFILE G), ISAPI, GB28181</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通用功能： 一键恢复, 防闪烁, 心跳, 镜像, 密码保护, 视频遮盖, 水印技术, IP 地址过滤</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存储功能： 支持Micro SD/SDHC/SDXC 卡(128G)断网本地存储及断网续传, NAS(NFS, SMB/CIFS 均支持)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异常侦测： 移动侦测, 遮挡报警, 网线断, IP 地址冲突, 非法登录, 存储器满, 存储器错</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WEB参数配置： 支持web 预览、配置、参数导入/导出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报警接口： 1 路报警输入(Alarm in), 1 路报警输出(Alarm out 最大支持DC24 V, 1 A 或AC24 V, 1 A)</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通讯接口： 1 个RJ45 10 M/100 M 自适应以太网口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RS-485接口： 1个RS-485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含适配器，电源供应： DC12 V ± 25%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工作温度和湿度： -10 ℃ ~ 40 ℃, 湿度小于95%(无凝结)</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功耗： 5 W MAX</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最远补光距离： 15m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安装高度： 建议壁装2.4~2.8m，吊顶3.3m~6m</w:t>
            </w:r>
          </w:p>
        </w:tc>
        <w:tc>
          <w:tcPr>
            <w:tcW w:w="226"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c>
          <w:tcPr>
            <w:tcW w:w="777" w:type="pct"/>
            <w:tcBorders>
              <w:top w:val="nil"/>
              <w:left w:val="nil"/>
              <w:bottom w:val="single" w:color="auto" w:sz="4" w:space="0"/>
              <w:right w:val="single" w:color="auto" w:sz="4" w:space="0"/>
            </w:tcBorders>
            <w:shd w:val="clear" w:color="auto" w:fill="auto"/>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智慧用水采集终端</w:t>
            </w:r>
          </w:p>
        </w:tc>
        <w:tc>
          <w:tcPr>
            <w:tcW w:w="3302" w:type="pct"/>
            <w:tcBorders>
              <w:top w:val="nil"/>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通讯方式：上行：LAN 下行：RS485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含适配器，适配器供电：12V 1A</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接口：两路传感器接口，1路RS485,1路输入接口，RJ45，电源接口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工作温度：-20~70℃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工作湿度：5%~95%RH（无凝露）</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防护等级：IP30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尺寸：211.5×117×44mm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重量：886g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安装方式：壁挂式</w:t>
            </w:r>
          </w:p>
        </w:tc>
        <w:tc>
          <w:tcPr>
            <w:tcW w:w="226"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7</w:t>
            </w:r>
          </w:p>
        </w:tc>
        <w:tc>
          <w:tcPr>
            <w:tcW w:w="777" w:type="pct"/>
            <w:tcBorders>
              <w:top w:val="single" w:color="auto" w:sz="4" w:space="0"/>
              <w:left w:val="nil"/>
              <w:bottom w:val="single" w:color="auto" w:sz="4" w:space="0"/>
              <w:right w:val="single" w:color="auto" w:sz="4" w:space="0"/>
            </w:tcBorders>
            <w:shd w:val="clear" w:color="auto" w:fill="auto"/>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压力变送器</w:t>
            </w:r>
          </w:p>
        </w:tc>
        <w:tc>
          <w:tcPr>
            <w:tcW w:w="3302" w:type="pct"/>
            <w:tcBorders>
              <w:top w:val="single" w:color="auto" w:sz="4" w:space="0"/>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测量范围：0~2.5MPa</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输出信号类型：0.5-2.5VDC</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功耗：≤1.2mA</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响应时间：≤6mS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设备供电： 3.1-3.6VDC</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测量精度：±0.5%FS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补偿温度：-10~70℃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介质温度：0~70℃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温度漂移：0.3%FS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零点漂移：0.2%/年</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环境温度：-30~85℃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工作温度：-30~85℃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过载压力：200%FS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爆破压力：500%FS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防护等级：IP65</w:t>
            </w:r>
          </w:p>
        </w:tc>
        <w:tc>
          <w:tcPr>
            <w:tcW w:w="226"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个</w:t>
            </w:r>
          </w:p>
        </w:tc>
        <w:tc>
          <w:tcPr>
            <w:tcW w:w="383"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w:t>
            </w:r>
          </w:p>
        </w:tc>
        <w:tc>
          <w:tcPr>
            <w:tcW w:w="777" w:type="pct"/>
            <w:tcBorders>
              <w:top w:val="nil"/>
              <w:left w:val="nil"/>
              <w:bottom w:val="single" w:color="auto" w:sz="4" w:space="0"/>
              <w:right w:val="single" w:color="auto" w:sz="4" w:space="0"/>
            </w:tcBorders>
            <w:shd w:val="clear" w:color="auto" w:fill="auto"/>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液位变送器</w:t>
            </w:r>
          </w:p>
        </w:tc>
        <w:tc>
          <w:tcPr>
            <w:tcW w:w="3302" w:type="pct"/>
            <w:tcBorders>
              <w:top w:val="nil"/>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量程：0~5m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输出信号类型：0.5-2.5VDC</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功耗：≤1.2mA</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响应时间：≤6mS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设备供电： 3.1-3.6VDC</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测量精度：±0.5%FS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补偿温度：0~60℃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介质温度：0~60℃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温度漂移：0.3%FS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零点漂移：0.2%/年</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工作温度：-30~85℃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过载压力：300%FS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爆破压力：600%FS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防护等级：IP68</w:t>
            </w:r>
          </w:p>
        </w:tc>
        <w:tc>
          <w:tcPr>
            <w:tcW w:w="226"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个</w:t>
            </w:r>
          </w:p>
        </w:tc>
        <w:tc>
          <w:tcPr>
            <w:tcW w:w="383"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9</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合计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CellMar>
            <w:top w:w="0" w:type="dxa"/>
            <w:left w:w="108" w:type="dxa"/>
            <w:bottom w:w="0" w:type="dxa"/>
            <w:right w:w="108" w:type="dxa"/>
          </w:tblCellMar>
        </w:tblPrEx>
        <w:trPr>
          <w:trHeight w:val="282"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七、系统网络传输设备</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序号</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设备名称</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技术参数</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单位</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数量</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核心交换机</w:t>
            </w:r>
          </w:p>
        </w:tc>
        <w:tc>
          <w:tcPr>
            <w:tcW w:w="3302"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本项目实配：整机千兆电口≥24，万兆SFP端口≥22个；</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★交换容量≥86Tbps，包转发率≥26400Mpps；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MAC表容量≥128k</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IP路由表项≥120k</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支持802.1Q标准VLAN</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支持基本QinQ和灵活QinQ功能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支持802.1D（STP）、802.1W（RSTP）、802.1S（MSTP）</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支持端口静态聚合、动态聚合；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支持流控 flow-control</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支持IGMP Snooping v1/v2/v3</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支持IGMP Fast Leave</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支持组播组策略及组播组数量限制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支持组播流量跨VLAN复制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支持PIM-SM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支持静态路由、策略路由</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支持RIP v1/v2、OSPF、BGP</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支持DHCP Relay、DHCP server；</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硬件支持IP ACL，MAC ACL，Vlan ACL</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支持防DDoS攻击、TCP的SYN Flood攻击、UDP Flood攻击等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支持对组播、广播、未知单播报文的抑制功能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支持端口安全、IP+MAC+端口绑定</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支持DHCP Snooping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支持IEEE 802.1x端口认证、Radius认证、TACACS+认证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支持基于L2/L3/L4协议头各字段的流量分类</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支持802.1P/DSCP优先级重新标记</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支持SP、WRR、SP+WRR等队列调度方式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支持Tail-Drop、WRED等拥塞避免机制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环网保护：支持环网协议EAPS；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支持静态/LACP方式链路聚合，支持跨业务卡的链路聚合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支持VRRP</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支持CLI界面管理、Telnet远程管理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支持Console、Telnet、SSH</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支持SNMP v1/v2/v3</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支持TFTP方式的文件上传、下载管理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★提供工信部进网许可证、3C认证证书、节能证书</w:t>
            </w:r>
          </w:p>
          <w:p>
            <w:pPr>
              <w:pStyle w:val="2"/>
              <w:ind w:firstLine="0" w:firstLineChars="0"/>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提供原厂授权和质保证明文件</w:t>
            </w:r>
          </w:p>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为保证网络管理的温度性、兼容性，所有网络设备（核心交换机、接入交换机、路由器、光模块、网管平台）统一品牌</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AC电源模块</w:t>
            </w:r>
          </w:p>
        </w:tc>
        <w:tc>
          <w:tcPr>
            <w:tcW w:w="3302"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 w:hAnsi="仿宋" w:eastAsia="仿宋" w:cs="宋体"/>
                <w:color w:val="auto"/>
                <w:kern w:val="0"/>
                <w:szCs w:val="21"/>
                <w:highlight w:val="none"/>
              </w:rPr>
            </w:pP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个</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主控板卡</w:t>
            </w:r>
          </w:p>
        </w:tc>
        <w:tc>
          <w:tcPr>
            <w:tcW w:w="3302"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 w:hAnsi="仿宋" w:eastAsia="仿宋" w:cs="宋体"/>
                <w:color w:val="auto"/>
                <w:kern w:val="0"/>
                <w:szCs w:val="21"/>
                <w:highlight w:val="none"/>
              </w:rPr>
            </w:pP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24口千兆电口业务板卡</w:t>
            </w:r>
          </w:p>
        </w:tc>
        <w:tc>
          <w:tcPr>
            <w:tcW w:w="3302"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 w:hAnsi="仿宋" w:eastAsia="仿宋" w:cs="宋体"/>
                <w:color w:val="auto"/>
                <w:kern w:val="0"/>
                <w:szCs w:val="21"/>
                <w:highlight w:val="none"/>
              </w:rPr>
            </w:pP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16口万兆光口业务板卡</w:t>
            </w:r>
          </w:p>
        </w:tc>
        <w:tc>
          <w:tcPr>
            <w:tcW w:w="3302"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 w:hAnsi="仿宋" w:eastAsia="仿宋" w:cs="宋体"/>
                <w:color w:val="auto"/>
                <w:kern w:val="0"/>
                <w:szCs w:val="21"/>
                <w:highlight w:val="none"/>
              </w:rPr>
            </w:pP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汇聚交换机</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★千兆光口≥16个，千兆电口≥8个，Console口≥1；</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★交换容量≥350Gbps，包转发率≥222Mpps；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MAC表容量≥8k</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要求支持工作温度，低温≤-20℃，高温≥65℃（提供由国家认可带CMA或CNAS标识的第三方检测报告复印件）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支持802.1Q标准VLAN；</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支持STP、RSTP；</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支持静态聚合、动态聚合；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支持IGMP Snooping；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支持DHCP Snooping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支持端口隔离；</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支持MAC地址绑定；</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支持对组播/未知单播/广播的风暴抑制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支持WEB、CLI、Telnet管理；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支持SNMP网管；</w:t>
            </w:r>
          </w:p>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支持网管平台统一管理；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支持云端管理；</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13</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7</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POE接入交换机</w:t>
            </w:r>
          </w:p>
        </w:tc>
        <w:tc>
          <w:tcPr>
            <w:tcW w:w="3302"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★≥24个10/100M电口（支持POE供电），≥2个千兆SFP光口，1个Console口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★交换容量≥336Gbps，包转发率≥126Mpps；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MAC表容量≥8k；</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防护等级≥6KV（提供由国家认可带CMA或CNAS标识的第三方检测报告复印件）；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POE输出最大功率≥370W</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 IEEE 802.1Q标准VLAN；</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支持IEEE802.3af/at供电标准；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支持STP/RSTP</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 IGMP Snooping v1/v2/V3</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支持端口聚合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支持端口限速</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★支持POE端口智能重启识别终端流量与功率电压，终端异常自动重启端口供电。(提供配置截图)</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支持POE端口定时供电</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支持查看POE交换机端口电压、电流、功率信息；(提供配置截图)</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支持端口隔离</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支持DHCP Snooping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支持未知单播、组播、广播的风暴抑制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支持WEB、CLI、Telnet管理；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支持SNMP网管；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支持网管平台统一管理；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支持云端管理；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w:t>
            </w:r>
            <w:r>
              <w:rPr>
                <w:rFonts w:hint="eastAsia" w:ascii="仿宋" w:hAnsi="仿宋" w:eastAsia="仿宋" w:cs="宋体"/>
                <w:b/>
                <w:bCs/>
                <w:color w:val="auto"/>
                <w:kern w:val="0"/>
                <w:szCs w:val="21"/>
                <w:highlight w:val="none"/>
              </w:rPr>
              <w:t>提供工信部进网许可证、3C认证证书、节能证书</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68</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POE接入交换机</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★≥8个10/100M电口（支持POE供电），≥2个10/100M/1000M电口，≥1个千兆SFP光口，1个Console口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★交换容量≥336Gbps，包转发率≥126Mpps；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MAC表容量≥8k；</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防护等级≥6KV；</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POE输出最大功率≥370W</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 IEEE 802.1Q标准VLAN；</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支持IEEE802.3af/at供电标准；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支持STP/RSTP</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 IGMP Snooping v1/v2/V3</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支持端口聚合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支持端口限速</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支持POE端口智能重启识别终端流量与功率电压，终端异常自动重启端口供电。(提供配置截图)</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支持POE端口定时供电</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支持查看POE交换机端口电压、电流、功率信息；(提供配置截图)</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支持端口隔离</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支持DHCP Snooping</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支持未知单播、组播、广播的风暴抑制</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支持WEB、CLI、Telnet管理；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支持SNMP网管；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支持网管平台统一管理；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支持云端管理；</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67</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9</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千兆光模块</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千兆SFP模块，单模双芯，双LC接口，波长1310nm，传输距离20km</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个</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120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万兆光模块</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万兆SFP+模块，单模双芯，双LC接口，波长1310nm，传输距离20km</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个</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11</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全息AI平台</w:t>
            </w:r>
          </w:p>
        </w:tc>
        <w:tc>
          <w:tcPr>
            <w:tcW w:w="3302"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网络终端故障快速发现，支持对设备离线、流量异常告警；</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w:t>
            </w:r>
            <w:r>
              <w:rPr>
                <w:rFonts w:hint="eastAsia" w:ascii="仿宋" w:hAnsi="仿宋" w:eastAsia="仿宋" w:cs="宋体"/>
                <w:b/>
                <w:bCs/>
                <w:color w:val="auto"/>
                <w:kern w:val="0"/>
                <w:szCs w:val="21"/>
                <w:highlight w:val="none"/>
              </w:rPr>
              <w:t>支持拓扑中某一设备离线、异常等信息告警，支持具体告警信息精准定位某一台设备，在拓扑中告警时产生标注、并能查看信息详情；（提供网页配置截图予以佐证）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w:t>
            </w:r>
            <w:r>
              <w:rPr>
                <w:rFonts w:hint="eastAsia" w:ascii="仿宋" w:hAnsi="仿宋" w:eastAsia="仿宋" w:cs="宋体"/>
                <w:b/>
                <w:bCs/>
                <w:color w:val="auto"/>
                <w:kern w:val="0"/>
                <w:szCs w:val="21"/>
                <w:highlight w:val="none"/>
              </w:rPr>
              <w:t>支持识别终端设备（摄像头、门禁、服务器等），并生成拓扑图；（提供网页配置截图予以佐证）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支持拓扑中所有链路的上下行流量显示；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支持查看摄像头的基本信息（包括位置、IP地址、设备厂商信息、类型及型号信息）；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支持对告警信息统计、分类查询、时间段查询；网络故障快速发现，并对网络故障进行定位告警，及给出处理预案；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★支持对交换机批量重启、交换机定时重启、端口定时重启；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支持PoE交换机端口的重启、智能重启等；</w:t>
            </w:r>
            <w:r>
              <w:rPr>
                <w:rFonts w:hint="eastAsia" w:ascii="仿宋" w:hAnsi="仿宋" w:eastAsia="仿宋" w:cs="宋体"/>
                <w:color w:val="auto"/>
                <w:kern w:val="0"/>
                <w:szCs w:val="21"/>
                <w:highlight w:val="none"/>
              </w:rPr>
              <w:br w:type="textWrapping"/>
            </w:r>
            <w:r>
              <w:rPr>
                <w:rFonts w:hint="eastAsia" w:ascii="仿宋" w:hAnsi="仿宋" w:eastAsia="仿宋" w:cs="宋体"/>
                <w:b/>
                <w:bCs/>
                <w:color w:val="auto"/>
                <w:kern w:val="0"/>
                <w:szCs w:val="21"/>
                <w:highlight w:val="none"/>
              </w:rPr>
              <w:t>★支持查看POE交换机端口电压、电流、功率信息；（提供网页配置截图予以佐证）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支持对路由器的管理；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w:t>
            </w:r>
            <w:r>
              <w:rPr>
                <w:rFonts w:hint="eastAsia" w:ascii="仿宋" w:hAnsi="仿宋" w:eastAsia="仿宋" w:cs="宋体"/>
                <w:b/>
                <w:bCs/>
                <w:color w:val="auto"/>
                <w:kern w:val="0"/>
                <w:szCs w:val="21"/>
                <w:highlight w:val="none"/>
              </w:rPr>
              <w:t>支持自动生成网络拓扑图；（提供网页配置截图予以佐证）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支持对交换机端口的图像化显示，能够直观明了知道交换机端口所连设备类型和端口的状态；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★支持云端管理；</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平台管理端口授权</w:t>
            </w:r>
          </w:p>
        </w:tc>
        <w:tc>
          <w:tcPr>
            <w:tcW w:w="3302" w:type="pct"/>
            <w:tcBorders>
              <w:top w:val="nil"/>
              <w:left w:val="nil"/>
              <w:bottom w:val="single" w:color="auto" w:sz="4" w:space="0"/>
              <w:right w:val="single" w:color="auto" w:sz="4" w:space="0"/>
            </w:tcBorders>
            <w:shd w:val="clear" w:color="000000" w:fill="FFFFFF"/>
            <w:noWrap/>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安防NMSS软件license 1280个交换端口数 默认含12个月升级服务</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13</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电梯无线网桥</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2.4G电梯网桥，802.11n制式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距离200米</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2网口设计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支持轻智能统一管理功能</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13</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14</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光纤跳线</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LC-SC  长度：3米</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245</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15</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合计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CellMar>
            <w:top w:w="0" w:type="dxa"/>
            <w:left w:w="108" w:type="dxa"/>
            <w:bottom w:w="0" w:type="dxa"/>
            <w:right w:w="108" w:type="dxa"/>
          </w:tblCellMar>
        </w:tblPrEx>
        <w:trPr>
          <w:trHeight w:val="282"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八、机房大屏显示及环境提升等设备升级改造</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序号</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设备名称</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技术参数</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单位</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数量</w:t>
            </w:r>
          </w:p>
        </w:tc>
      </w:tr>
      <w:tr>
        <w:tblPrEx>
          <w:tblCellMar>
            <w:top w:w="0" w:type="dxa"/>
            <w:left w:w="108" w:type="dxa"/>
            <w:bottom w:w="0" w:type="dxa"/>
            <w:right w:w="108" w:type="dxa"/>
          </w:tblCellMar>
        </w:tblPrEx>
        <w:trPr>
          <w:trHeight w:val="10150"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小间距LED大屏</w:t>
            </w:r>
          </w:p>
        </w:tc>
        <w:tc>
          <w:tcPr>
            <w:tcW w:w="3302" w:type="pct"/>
            <w:tcBorders>
              <w:top w:val="single" w:color="auto" w:sz="4" w:space="0"/>
              <w:left w:val="nil"/>
              <w:bottom w:val="single" w:color="auto" w:sz="4" w:space="0"/>
              <w:right w:val="single" w:color="auto" w:sz="4" w:space="0"/>
            </w:tcBorders>
            <w:shd w:val="clear" w:color="000000" w:fill="FFFFFF"/>
          </w:tcPr>
          <w:p>
            <w:pPr>
              <w:widowControl/>
              <w:numPr>
                <w:ilvl w:val="0"/>
                <w:numId w:val="4"/>
              </w:numPr>
              <w:adjustRightInd/>
              <w:jc w:val="left"/>
              <w:rPr>
                <w:rFonts w:hint="eastAsia" w:ascii="仿宋" w:hAnsi="仿宋" w:eastAsia="仿宋" w:cs="宋体"/>
                <w:color w:val="auto"/>
                <w:kern w:val="0"/>
                <w:szCs w:val="21"/>
                <w:highlight w:val="none"/>
                <w:lang w:eastAsia="zh-CN"/>
              </w:rPr>
            </w:pPr>
            <w:r>
              <w:rPr>
                <w:rFonts w:hint="eastAsia" w:ascii="仿宋" w:hAnsi="仿宋" w:eastAsia="仿宋" w:cs="宋体"/>
                <w:color w:val="auto"/>
                <w:kern w:val="0"/>
                <w:szCs w:val="21"/>
                <w:highlight w:val="none"/>
              </w:rPr>
              <w:t>▲投标产品LED像素点间距＜1.58mm;像素密度＞400000点/㎡。（提供首页具有CNAS标识的第三方检测报告复印件</w:t>
            </w:r>
            <w:r>
              <w:rPr>
                <w:rFonts w:hint="eastAsia" w:ascii="仿宋" w:hAnsi="仿宋" w:eastAsia="仿宋" w:cs="宋体"/>
                <w:color w:val="auto"/>
                <w:kern w:val="0"/>
                <w:szCs w:val="21"/>
                <w:highlight w:val="none"/>
                <w:lang w:eastAsia="zh-CN"/>
              </w:rPr>
              <w:t>）</w:t>
            </w:r>
          </w:p>
          <w:p>
            <w:pPr>
              <w:widowControl/>
              <w:numPr>
                <w:ilvl w:val="0"/>
                <w:numId w:val="0"/>
              </w:numPr>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2、显示屏有效显示尺寸为12.096m*3.0618m（按照项目修改尺寸），投标方也可根据自身产品尺寸进行拼接，但是显示尺寸长和宽均不得小于规定长宽，误差范围不超过2％。</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3、支持横向、纵向的显示画面任意拼接，无缝显示；压铸铝一体化成型设计。</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4、★投标产品白平衡亮度≥550cd/㎡ ，换帧频率为50-120Hz，最大对比度≥8000:1。</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5、投标产品采用无线接插浮动连接件接插方式，定位准，精准高；专有的磁吸设计，一次定位，解决工艺积累误差；多向定位精度调节设计，箱体支持6个方向的精度调节。</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6、投标产品灯板智能存储运算功能，可以存储出厂数据，校正数据，设置信息。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7、投标产品客户端操作可使LED 箱体显示实际连线编号，可快捷连线，无需到屏后查看编号。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8、投标产品支持信源接入状态显示，可通过物理按键、客户端、遥控器进行信源切换。</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9、投标产品亮度色温支持0-100%无极可调，1000K~13000K 连续可调，可设置亮度定时调节，支持通过客户端、遥控器、物理按键进行调节。</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10、投标产品可通过遥控器的操作，对图像的对比度、清晰度、饱和度、色温以及图像模式进行调节设置。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11、投标产品的客户端、遥控器更改设置时，屏幕出现OSD 提示菜单。</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12、投标产品支持无信号输入自动熄屏待机，有信号输入自动唤醒功能。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13、支持分段校正，提升各个灰阶的显示均匀性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14、具备智能节能功能，自动检测当前环境是否有人，无人时自动调暗屏幕画面或黑屏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15、当控制卡的网络环境变化后，能自动获取控制卡的IP地址，防止网络环境变化后，使用者无法登陆设备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16、支持从屏幕或者云端加载显示参数，使屏幕达到最佳显示效果</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17、★投标产品需提供CCC认证证书，中国环保产品（II型）认证证书，中国节能产品认证证书。                                                                                    </w:t>
            </w:r>
          </w:p>
          <w:p>
            <w:pPr>
              <w:widowControl/>
              <w:adjustRightInd/>
              <w:jc w:val="left"/>
              <w:rPr>
                <w:color w:val="auto"/>
                <w:highlight w:val="none"/>
              </w:rPr>
            </w:pPr>
            <w:r>
              <w:rPr>
                <w:rFonts w:hint="eastAsia" w:ascii="仿宋" w:hAnsi="仿宋" w:eastAsia="仿宋" w:cs="宋体"/>
                <w:b/>
                <w:bCs/>
                <w:color w:val="auto"/>
                <w:kern w:val="0"/>
                <w:szCs w:val="21"/>
                <w:highlight w:val="none"/>
              </w:rPr>
              <w:t>18、合同签订时提供原厂授权和三年质保承诺函。</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平方</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37.04</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LED全彩屏发送卡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1)LED全彩显示屏控制器,1路DVI输入1路HDMI输入，6路网口输出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2)带载分辨率1920x1200</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张</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系统软件</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★1、系统具备 C/S 和 B/S 结构，可通过客户端软件、平板和浏览器对大屏系统进行统一管理，包括大屏门户、 场景配置、预案切换、远程操控、 信号控制、 一键上墙、内容切换、多屏互动、窗口叠加/拼接/漫游/放大/缩小/移动/关闭等操作；支持查看信号源实时画面，实时查看大屏中正在播放的内容等功能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2、支持拼控器、播控主机、PC主机、中控主机设备增删改查的统一管理；支持查看播控主机、 PC 主机、中控主机设备的在线/离线状态；支持通过平台远程重启、更新播控主机的程序；支持场景关联播控主机的开关量模式</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3、支持查看指定屏幕场景的播放状态，可添加、修改、删除、切换场景，并且可将场景关联中控模式，使场景与灯光、空调、投影等设备开关量模式联动</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支持按照当前选定的显示屏建立相同分辨率的场景，以图形化编辑方式对窗口的开窗参数、窗口比例、窗口位置、窗口大小、窗口层级等参数进行设置，以鼠标拖动方式将信号、视频文件、字幕、图片、程序包等加载至场景中指定播放窗口；支持将网页、程序包、图片、视频、 PPT、Word 文档、 Excel、 PDF、文本等内容窗口拖动到大屏中，每种类型窗口可添加多个文件，可设置内容文件播放时长，内容播放顺序等属性；支持实时查看大屏显示的内容，可远程操控数据可视化面板、AR 客户端、VR 网页端、第三方业务系统等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5、大屏上支持显示配置好的门户，作为统一的门户入口，可控制单块或多块屏幕一起切换；支持自定义设置门户标题、背景图片、菜单名称、菜单图片、菜单链接内容，包含页面、场景、二级门户等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6、可控制大屏的智能控制功能，包括广告、会议、监控、护眼模式的开启屏保，以及对具有除湿功能的大屏进行除湿</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7、支持可视化展示播控主机、屏幕、拼控器、中控主机、 PC 主机等设备的在离线统计信息以及播控主机的页面数量、分辨率、温度、稳定运行时长、设备告警等信息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★8、支持屏幕、网页、窗口等类型投屏，不需要外接物理线缆；通过电脑/平板远程控制播控主机，并可实时显示画面，支持设置抓屏区域的分辨率，可设置为7680×2160、 3840×2160、 2736×1824、 1920×1080、 1280×720；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9、支持通过平板设置大屏门户菜单，可切换屏幕进行内容显示；支持通过门户菜单实现对大屏内容显示的导航操作；支持控制正在播放视频的进度，启动、停止播放；支持在平板上进行 PPT 上一页、下一页等操作；支持同步 WEB 端平台添加的所有内容，可实时切换大屏中显示的网页、视频、图片等；支持查看场景详情；支持拖动信号源至场景，可设置该信号窗口的大小、位置、置顶、放大/还原、层级等；支持查看场景下的信号源列表；支持查看预案、启动预案、停止预案；支持通过鹰眼视图框选大屏局部进行查看和控制；支持查看服务器 cpu、 gpu、内存参数；可实时查看大屏正在播放内容；可在播放信号源内容之前进行预查看，不影响大屏内容当前显示的内容；支持在平板上移动、删除虚拟 LED；支持实时查看大屏显示的内容，可远程操控数据可视化面板、AR 客户端、VR 网页端、第三方业务系统等。</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10、支持通过触摸板（ Surface 显控端、会议平板）控制多个屏幕场景的展示。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11、软件平台采用模块化设计，实现实时浏览、录像回放、大屏管理、字幕管理、中控管理、音频配置、信息发布等系统互联互通，在同一平台下可对不同功能模块进行操作，实现统一管理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12、提供操作提示，每一步操作成功或失败都会有弹框提醒，并有日志记录</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13、支持可编程中控功能，通过对系统的编程配合周边的功能扩展模块，可实现灯光、音箱、投影、幕布、空调、窗帘、大屏等统一控制，支持模式切换；</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14、支持大屏预编辑功能，在不影响大屏显示的前提下进行后台布局</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15、支持一键将本地电脑桌面，投放到大屏上显示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16、可对 PLC 配电箱单台控制或多台级联控制；统一配置配电箱控制时，支持大屏系统一键开关机， 并可设置定时开关机；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w:t>
            </w:r>
            <w:r>
              <w:rPr>
                <w:rFonts w:hint="eastAsia" w:ascii="仿宋" w:hAnsi="仿宋" w:eastAsia="仿宋" w:cs="宋体"/>
                <w:b/>
                <w:bCs/>
                <w:color w:val="auto"/>
                <w:kern w:val="0"/>
                <w:szCs w:val="21"/>
                <w:highlight w:val="none"/>
              </w:rPr>
              <w:t>以上参数须提供首页具有CNAS标识的第三方检测报告复印件</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c>
          <w:tcPr>
            <w:tcW w:w="777" w:type="pct"/>
            <w:tcBorders>
              <w:top w:val="nil"/>
              <w:left w:val="nil"/>
              <w:bottom w:val="single" w:color="auto" w:sz="4" w:space="0"/>
              <w:right w:val="single" w:color="auto" w:sz="4" w:space="0"/>
            </w:tcBorders>
            <w:shd w:val="clear" w:color="auto" w:fill="auto"/>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视频拼接处理器</w:t>
            </w:r>
          </w:p>
        </w:tc>
        <w:tc>
          <w:tcPr>
            <w:tcW w:w="3302" w:type="pct"/>
            <w:tcBorders>
              <w:top w:val="nil"/>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 5U机箱（10个业务槽位）+交换板+单主控板+双电源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 ★投标产品主控板具有8个串口，每个串口挂载8个RS485控制设备，可将IP数据发送给串口。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 投标产品支持视频输入通道参数设置功能，可对单个视频输入通道进行分辨率、帧率、码率、亮度、对比度、饱和度、色调、去噪等参数设置，图像显示模式可设定标准、室内、室外、弱光等显示模式进行设置。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 投标产品支持双主控切换过程，解码显示视频无卡顿，编码预览视频无卡顿。</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5. 投标产品支持虚拟云台控制功能，具备虚拟云台控制按键，可调整球机和云台的运行速度和方向，并且支持多用户云台抢占、云台控制锁定功能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6. 投标产品支持1、2、4、6、8、9、12、16、32、36、48、64画面分割显示。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7. 投标产品对录像文件解码延时≤110ms。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8. 投标产品支持4K输出板最大分辨率为4096×2160，其它板卡支持至少8中分辨率输出1920×1080、1680×1050、1600×1200、1400×1050、1280×1024、1280×960、1280×720、1024×768。</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9. 标产品具有同一输入通道的视频图像在不同输出端口显示的失步误差小于1ms。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10. 投标产品可通过无线终端将视音频、图片、PPT等传送到屏幕上显示。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11. ★投标产品支持支持接入4096x4320、8192x2160、15360x6480、15360x8640、16384x6480等分辨率图像信号。</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12. 投标产品的信号源采集后经过高速背板总线到输出显示所用平均时间应≤35ms；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13. 投标产品的图像切换时间＜20ms。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14. 标产品配合热成像设备，支持热成像摄像机的解码以及热成像智能信息的显示功能。配合多目全景拼接设备，可实现全景画面和特写六画面显示功能；特写画面的分辨率不低于1280x720，支持手动区域特写，可以对指定区域内的视频进行显示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15. 投标产品支持解码中断时保留最后一帧的功能，解码板不同输出口以及跨解码板的输出口之间输出色彩无色差。</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16. 投标产品支持走廊模式显示功能。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17. 投标产品单板支持128个漫游窗口叠加，支持窗口置顶或置底设置。</w:t>
            </w:r>
          </w:p>
          <w:p>
            <w:pPr>
              <w:pStyle w:val="2"/>
              <w:ind w:firstLine="0" w:firstLineChars="0"/>
              <w:rPr>
                <w:rFonts w:ascii="仿宋" w:hAnsi="仿宋" w:eastAsia="仿宋"/>
                <w:color w:val="auto"/>
                <w:szCs w:val="21"/>
                <w:highlight w:val="none"/>
              </w:rPr>
            </w:pPr>
            <w:r>
              <w:rPr>
                <w:rFonts w:hint="eastAsia" w:ascii="仿宋" w:hAnsi="仿宋" w:eastAsia="仿宋" w:cs="宋体"/>
                <w:color w:val="auto"/>
                <w:kern w:val="0"/>
                <w:szCs w:val="21"/>
                <w:highlight w:val="none"/>
              </w:rPr>
              <w:t>★</w:t>
            </w:r>
            <w:r>
              <w:rPr>
                <w:rFonts w:hint="eastAsia" w:ascii="仿宋" w:hAnsi="仿宋" w:eastAsia="仿宋" w:cs="宋体"/>
                <w:b/>
                <w:bCs/>
                <w:color w:val="auto"/>
                <w:kern w:val="0"/>
                <w:szCs w:val="21"/>
                <w:highlight w:val="none"/>
              </w:rPr>
              <w:t>以上参数须提供首页具有CNAS标识的第三方检测报告复印件</w:t>
            </w:r>
          </w:p>
        </w:tc>
        <w:tc>
          <w:tcPr>
            <w:tcW w:w="226"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c>
          <w:tcPr>
            <w:tcW w:w="777" w:type="pct"/>
            <w:tcBorders>
              <w:top w:val="nil"/>
              <w:left w:val="nil"/>
              <w:bottom w:val="single" w:color="auto" w:sz="4" w:space="0"/>
              <w:right w:val="single" w:color="auto" w:sz="4" w:space="0"/>
            </w:tcBorders>
            <w:shd w:val="clear" w:color="auto" w:fill="auto"/>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4路高清输入板卡</w:t>
            </w:r>
          </w:p>
        </w:tc>
        <w:tc>
          <w:tcPr>
            <w:tcW w:w="3302" w:type="pct"/>
            <w:tcBorders>
              <w:top w:val="nil"/>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DVI 编码输入板，支持4 路DVI 信号接入。支持H264 编码， 支持Smart264 编码。</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支持用转接头进行VGA、HDMI输入转DVI输入，支持复合音频输入</w:t>
            </w:r>
          </w:p>
        </w:tc>
        <w:tc>
          <w:tcPr>
            <w:tcW w:w="226"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块</w:t>
            </w:r>
          </w:p>
        </w:tc>
        <w:tc>
          <w:tcPr>
            <w:tcW w:w="383"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c>
          <w:tcPr>
            <w:tcW w:w="777" w:type="pct"/>
            <w:tcBorders>
              <w:top w:val="single" w:color="auto" w:sz="4" w:space="0"/>
              <w:left w:val="nil"/>
              <w:bottom w:val="single" w:color="auto" w:sz="4" w:space="0"/>
              <w:right w:val="single" w:color="auto" w:sz="4" w:space="0"/>
            </w:tcBorders>
            <w:shd w:val="clear" w:color="auto" w:fill="auto"/>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输出板卡</w:t>
            </w:r>
          </w:p>
        </w:tc>
        <w:tc>
          <w:tcPr>
            <w:tcW w:w="3302" w:type="pct"/>
            <w:tcBorders>
              <w:top w:val="single" w:color="auto" w:sz="4" w:space="0"/>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HDMI接口输出265解码板（不支持MPEG-2）持4路HDMI信号输出，支持解码2路2400W@25fps、或4路1200W@25fps、或8路800W@25fps、或16路400W@25fps、或 32路200W@25fps，或64路720P@25fps及以下分辨率（例如4CIF）。奇数口支持3840x2160@30Hz及以下标准分辨率输出，偶数口支持1080p及以下标准分辨率输出</w:t>
            </w:r>
          </w:p>
        </w:tc>
        <w:tc>
          <w:tcPr>
            <w:tcW w:w="226"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块</w:t>
            </w:r>
          </w:p>
        </w:tc>
        <w:tc>
          <w:tcPr>
            <w:tcW w:w="383"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7</w:t>
            </w:r>
          </w:p>
        </w:tc>
        <w:tc>
          <w:tcPr>
            <w:tcW w:w="777"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超高分服务器</w:t>
            </w:r>
          </w:p>
        </w:tc>
        <w:tc>
          <w:tcPr>
            <w:tcW w:w="3302" w:type="pct"/>
            <w:tcBorders>
              <w:top w:val="nil"/>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双路国产CPU 海光 8核16线程 3.0GHZ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 xml:space="preserve">32G DDR4，480G 企业级SSD </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1块Quadro系列 RTX4000专业显卡（单卡4路输出，整机共4路输出）</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DVD-RW，600W电源，内含Dp 3米线*4</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显卡参数（单张）：RTX4000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显存8GB GDDR6</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显存位宽256bit</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流处理器单元2304个</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DP数量3个，雷电口1个</w:t>
            </w:r>
          </w:p>
        </w:tc>
        <w:tc>
          <w:tcPr>
            <w:tcW w:w="226"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w:t>
            </w:r>
          </w:p>
        </w:tc>
        <w:tc>
          <w:tcPr>
            <w:tcW w:w="777" w:type="pct"/>
            <w:tcBorders>
              <w:top w:val="nil"/>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DP编码输入板</w:t>
            </w:r>
          </w:p>
        </w:tc>
        <w:tc>
          <w:tcPr>
            <w:tcW w:w="3302" w:type="pct"/>
            <w:tcBorders>
              <w:top w:val="nil"/>
              <w:left w:val="nil"/>
              <w:bottom w:val="single" w:color="auto" w:sz="4" w:space="0"/>
              <w:right w:val="single" w:color="auto" w:sz="4" w:space="0"/>
            </w:tcBorders>
            <w:shd w:val="clear" w:color="auto" w:fill="auto"/>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2个DP输入接口,支持DP高清数字信号、超高清数字信号接入,不支持编码。支持两路音频输入。</w:t>
            </w:r>
          </w:p>
        </w:tc>
        <w:tc>
          <w:tcPr>
            <w:tcW w:w="226"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块</w:t>
            </w:r>
          </w:p>
        </w:tc>
        <w:tc>
          <w:tcPr>
            <w:tcW w:w="383" w:type="pct"/>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9</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大屏钢结构支架</w:t>
            </w:r>
          </w:p>
        </w:tc>
        <w:tc>
          <w:tcPr>
            <w:tcW w:w="3302"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采用与大屏屏体配套的型材支架，原厂原配部件</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37.04</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w:t>
            </w:r>
          </w:p>
        </w:tc>
        <w:tc>
          <w:tcPr>
            <w:tcW w:w="777"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会议平板</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屏幕尺寸：86英寸</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刷新率：60 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像素间距：0.164(H) × 0.493(V) 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物理分辨率：3840 × 2160 @60 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显示尺寸：86 inch LED背光源</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背光源类型：DLED</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响应时间：6 ms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色域：90% NTSC（CIE1931）（Typ.）</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色深度：10 bit</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对比度：1200：1（Typ.）</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亮度：350 cd/m</w:t>
            </w:r>
            <w:r>
              <w:rPr>
                <w:rFonts w:ascii="Calibri" w:hAnsi="Calibri" w:eastAsia="仿宋" w:cs="Calibri"/>
                <w:color w:val="auto"/>
                <w:kern w:val="0"/>
                <w:szCs w:val="21"/>
                <w:highlight w:val="none"/>
              </w:rPr>
              <w:t>²</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可视角：178°(H)/178°(V)</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系统参数</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CPU：4核 A73*2+A53*2，主频1.5 GHz</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内置存储：32 GB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内存：3 GB</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操作系统：Android 8.0</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网卡：内置百兆网卡，支持路由功能</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触控参数</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触控响应速度：＜ 10 ms</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触摸方式：红外触控</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触摸精度：90%以上的触摸区域为 ±1 mm</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玻璃：AG顺滑玻璃</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触控点：20点</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触摸工艺：零贴合</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功能参数</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内部喇叭：2个内置16W音箱</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蓝牙：内置BLE低功耗蓝牙模块，支持5.0及以下蓝牙版本</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接口参数</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音视频输出接口：HDMI OUT 1路，最大4K@60Hz；LINE OUT 1路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控制接口：RS-232 1个</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数据传输接口：USB接口 2个前置接口，2个板载接口</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音视频输入接口：HDMI IN 2路，最大4K@60Hz；LINE IN 1路</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网络接口：RJ45(百兆网口) 2个</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UPS蓄电池</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12V100AH</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节</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32</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服务器机柜</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600*800*2055  含原厂10位PDU电源   含散热风扇  层板4块</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13</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服务器机柜</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800*1000*2055  含原厂10位PDU电源   含散热风扇  层板4块</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14</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6工位操作台</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弧形钢制桃木操作台，六工位 ，防静电台板</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15</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会议桌</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新购置一套20人位的会议办公桌和办公椅，款式和材质用户方确定</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16</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消控主机移位及调试</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现有机房内的消控主机及设备根据机房布局整体移位调整，系统调试正常</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17</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中央空调</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要求能全部覆盖整个指挥中心及办公区域、会议区域，采用制冷量不小于36匹中央空调，风管机，参考机房装修设计图纸实施,详见附表3中央工程量清单表</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18</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指挥中心环境装修</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采用12mm钢化铝合金双层百叶玻璃隔断，部分墙面采用吸音板装饰，顶面采用铝合金龙骨吊顶，消防应急灯，普通LED灯等，机房内设备的供电电路及设备铜牌接地系统根据现有设备位置重新安装，达到使用要求，现有机房的隔断拆除清运。UPS电池箱加固槽钢,具体详见机房装修施工图及详见附件</w:t>
            </w:r>
            <w:r>
              <w:rPr>
                <w:rFonts w:ascii="仿宋" w:hAnsi="仿宋" w:eastAsia="仿宋" w:cs="宋体"/>
                <w:color w:val="auto"/>
                <w:kern w:val="0"/>
                <w:szCs w:val="21"/>
                <w:highlight w:val="none"/>
              </w:rPr>
              <w:t>2</w:t>
            </w:r>
            <w:r>
              <w:rPr>
                <w:rFonts w:hint="eastAsia" w:ascii="仿宋" w:hAnsi="仿宋" w:eastAsia="仿宋" w:cs="宋体"/>
                <w:color w:val="auto"/>
                <w:kern w:val="0"/>
                <w:szCs w:val="21"/>
                <w:highlight w:val="none"/>
              </w:rPr>
              <w:t>工程量清单表</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19</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大屏移位安装</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现有机房46寸大屏及2层4块拼接屏拆除移位到4楼会议室安装，需要保证全部能正常使用，包括拆除过程中意外损坏修复等</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20</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客户端电脑</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xml:space="preserve">i7-11700 16G 512GSSD+1TB GTX1650S 显卡 24寸液显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21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设备小计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CellMar>
            <w:top w:w="0" w:type="dxa"/>
            <w:left w:w="108" w:type="dxa"/>
            <w:bottom w:w="0" w:type="dxa"/>
            <w:right w:w="108" w:type="dxa"/>
          </w:tblCellMar>
        </w:tblPrEx>
        <w:trPr>
          <w:trHeight w:val="282"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九、系统所需的管线材料</w:t>
            </w:r>
          </w:p>
        </w:tc>
      </w:tr>
      <w:tr>
        <w:tblPrEx>
          <w:tblCellMar>
            <w:top w:w="0" w:type="dxa"/>
            <w:left w:w="108" w:type="dxa"/>
            <w:bottom w:w="0" w:type="dxa"/>
            <w:right w:w="108" w:type="dxa"/>
          </w:tblCellMar>
        </w:tblPrEx>
        <w:trPr>
          <w:trHeight w:val="436"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序号</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设备名称</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技术参数</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单位</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数量</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室外立杆</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采用规格150*60方型热镀锌钢材，钢材厚度2.5mm;立杆高度3.5米 横挑0.5-1.5米，含基础，避雷针及接地等</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158</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室外横杆</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镀锌钢材质，长度1米-2.5米 根据实际情况定制</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125</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室内管理机柜</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xml:space="preserve">600*600*1000  含PDU电源1个，空开一个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个</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65</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室外防水箱</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不锈钢 800*600*450，含空开及防雷插座</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个</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38</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室内非屏蔽六类网线</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6类非屏蔽网线 23AWG ,导体直径:0.57mm；装箱长度:305m±1.5m；芯线规格:24AWG,无氧铜；线缆结构：4对8芯双绞线,每对之间采用十字骨架隔离,每芯均有颜色区分,外皮印有厂商标识及电缆编码；一线知名品牌，施工前提供样品及检测报告经甲方确认合格后开始施工</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箱</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285</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6</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室外阻水型六类网线</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防水型 6类非屏蔽网线 23AWG ,导体直径:0.57mm；装箱长度:305m±1.5m；芯线规格:24AWG,无氧铜；线缆结构：4对8芯双绞线,每对之间采用十字骨架隔离,每芯均有颜色区分,外皮印有厂商标识及电缆编码；一线知名品牌，施工前提供样品及检测报告经甲方确认合格后开始施工</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箱</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105</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7</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电源线</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RVV2*1.5  一线知名品牌，施工前提供样品及检测报告经甲方确认合格后开始施工</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米</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5800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电缆</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ZR-YJV3*2 一线知名品牌，施工前提供样品及检测报告经甲方确认合格后开始施工</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米</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31</w:t>
            </w:r>
            <w:r>
              <w:rPr>
                <w:rFonts w:hint="eastAsia" w:ascii="仿宋" w:hAnsi="仿宋" w:eastAsia="仿宋" w:cs="宋体"/>
                <w:color w:val="auto"/>
                <w:kern w:val="0"/>
                <w:szCs w:val="21"/>
                <w:highlight w:val="none"/>
              </w:rPr>
              <w:t>50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9</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电缆</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ZR-YJV3*4  一线知名品牌，施工前提供样品及检测报告经甲方确认合格后开始施工</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米</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ascii="仿宋" w:hAnsi="仿宋" w:eastAsia="仿宋" w:cs="宋体"/>
                <w:color w:val="auto"/>
                <w:kern w:val="0"/>
                <w:szCs w:val="21"/>
                <w:highlight w:val="none"/>
              </w:rPr>
              <w:t>18</w:t>
            </w:r>
            <w:r>
              <w:rPr>
                <w:rFonts w:hint="eastAsia" w:ascii="仿宋" w:hAnsi="仿宋" w:eastAsia="仿宋" w:cs="宋体"/>
                <w:color w:val="auto"/>
                <w:kern w:val="0"/>
                <w:szCs w:val="21"/>
                <w:highlight w:val="none"/>
              </w:rPr>
              <w:t>20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线槽</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材质：PVC  规格40*20</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米</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350</w:t>
            </w:r>
          </w:p>
        </w:tc>
      </w:tr>
      <w:tr>
        <w:tblPrEx>
          <w:tblCellMar>
            <w:top w:w="0" w:type="dxa"/>
            <w:left w:w="108" w:type="dxa"/>
            <w:bottom w:w="0" w:type="dxa"/>
            <w:right w:w="108" w:type="dxa"/>
          </w:tblCellMar>
        </w:tblPrEx>
        <w:trPr>
          <w:trHeight w:val="282" w:hRule="atLeast"/>
          <w:jc w:val="center"/>
        </w:trPr>
        <w:tc>
          <w:tcPr>
            <w:tcW w:w="30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11</w:t>
            </w:r>
          </w:p>
        </w:tc>
        <w:tc>
          <w:tcPr>
            <w:tcW w:w="777"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管路</w:t>
            </w:r>
          </w:p>
        </w:tc>
        <w:tc>
          <w:tcPr>
            <w:tcW w:w="3302" w:type="pct"/>
            <w:tcBorders>
              <w:top w:val="single" w:color="auto" w:sz="4" w:space="0"/>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材质：PVC  规格：直径20/25MM</w:t>
            </w:r>
          </w:p>
        </w:tc>
        <w:tc>
          <w:tcPr>
            <w:tcW w:w="226"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米</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5800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管路</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材质：PE  规格：直径40/50MM</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米</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2850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13</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室外铠装光缆</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铠装光缆 48芯</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米</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1350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14</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室外铠装光缆</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铠装光缆 12芯</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米</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3500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15</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室外铠装光缆</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铠装光缆 6芯</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米</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5450</w:t>
            </w:r>
          </w:p>
        </w:tc>
      </w:tr>
      <w:tr>
        <w:tblPrEx>
          <w:tblCellMar>
            <w:top w:w="0" w:type="dxa"/>
            <w:left w:w="108" w:type="dxa"/>
            <w:bottom w:w="0" w:type="dxa"/>
            <w:right w:w="108" w:type="dxa"/>
          </w:tblCellMar>
        </w:tblPrEx>
        <w:trPr>
          <w:trHeight w:val="480"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16</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光纤ODF交接箱</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电信级SMC室外落地交接箱 最大容量:288芯，接口方式：SC,含熔接盘、法兰、尾纤等配件</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台</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17</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光纤ODF配线箱</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标准19英寸机架式，最大容量:48芯，接口方式：SC 含熔接盘、法兰、尾纤等配件</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26</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18</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机架式光纤配线架</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标准19英寸机架式，最大容量:12芯，接口方式：SC 含熔接盘、法兰、尾纤等配件</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38</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19</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光纤终端盒</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8口终端盒，最大容量:8芯，接口方式：SC 含熔接盘、法兰、尾纤等配件</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套</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45</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20</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光纤熔接</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光纤熔接</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芯</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1450</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21</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路面开挖</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道路路面开挖深度不小于50公分，采用镀锌钢管埋设，绿化带区域开挖深度不小于30公分，采用PVC或PE管埋设施工完毕原样复原</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22</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安装辅助材料</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项目安装所需的辅材</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项</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23</w:t>
            </w:r>
          </w:p>
        </w:tc>
        <w:tc>
          <w:tcPr>
            <w:tcW w:w="777" w:type="pct"/>
            <w:tcBorders>
              <w:top w:val="nil"/>
              <w:left w:val="nil"/>
              <w:bottom w:val="single" w:color="auto" w:sz="4" w:space="0"/>
              <w:right w:val="single" w:color="auto" w:sz="4" w:space="0"/>
            </w:tcBorders>
            <w:shd w:val="clear" w:color="000000" w:fill="FFFFFF"/>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合计</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226"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383" w:type="pct"/>
            <w:tcBorders>
              <w:top w:val="nil"/>
              <w:left w:val="nil"/>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r>
        <w:tblPrEx>
          <w:tblCellMar>
            <w:top w:w="0" w:type="dxa"/>
            <w:left w:w="108" w:type="dxa"/>
            <w:bottom w:w="0" w:type="dxa"/>
            <w:right w:w="108" w:type="dxa"/>
          </w:tblCellMar>
        </w:tblPrEx>
        <w:trPr>
          <w:trHeight w:val="282"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八、安装、售后、税金等</w:t>
            </w:r>
          </w:p>
        </w:tc>
      </w:tr>
      <w:tr>
        <w:tblPrEx>
          <w:tblCellMar>
            <w:top w:w="0" w:type="dxa"/>
            <w:left w:w="108" w:type="dxa"/>
            <w:bottom w:w="0" w:type="dxa"/>
            <w:right w:w="108" w:type="dxa"/>
          </w:tblCellMar>
        </w:tblPrEx>
        <w:trPr>
          <w:trHeight w:val="480" w:hRule="atLeast"/>
          <w:jc w:val="center"/>
        </w:trPr>
        <w:tc>
          <w:tcPr>
            <w:tcW w:w="309"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c>
          <w:tcPr>
            <w:tcW w:w="777" w:type="pct"/>
            <w:tcBorders>
              <w:top w:val="nil"/>
              <w:left w:val="nil"/>
              <w:bottom w:val="single" w:color="auto" w:sz="4" w:space="0"/>
              <w:right w:val="single" w:color="auto" w:sz="4" w:space="0"/>
            </w:tcBorders>
            <w:shd w:val="clear" w:color="000000" w:fill="FFFFFF"/>
            <w:noWrap/>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系统安装调试费</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对本项目的硬件安装调试及综合平台管理软件的定制开发，与其他系统的数据对接等工作，涵盖整个项目的所有需求的调试工作</w:t>
            </w:r>
          </w:p>
        </w:tc>
        <w:tc>
          <w:tcPr>
            <w:tcW w:w="226" w:type="pct"/>
            <w:tcBorders>
              <w:top w:val="nil"/>
              <w:left w:val="nil"/>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项</w:t>
            </w:r>
          </w:p>
        </w:tc>
        <w:tc>
          <w:tcPr>
            <w:tcW w:w="383" w:type="pct"/>
            <w:tcBorders>
              <w:top w:val="nil"/>
              <w:left w:val="nil"/>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480" w:hRule="atLeast"/>
          <w:jc w:val="center"/>
        </w:trPr>
        <w:tc>
          <w:tcPr>
            <w:tcW w:w="309"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w:t>
            </w:r>
          </w:p>
        </w:tc>
        <w:tc>
          <w:tcPr>
            <w:tcW w:w="777" w:type="pct"/>
            <w:tcBorders>
              <w:top w:val="nil"/>
              <w:left w:val="nil"/>
              <w:bottom w:val="single" w:color="auto" w:sz="4" w:space="0"/>
              <w:right w:val="single" w:color="auto" w:sz="4" w:space="0"/>
            </w:tcBorders>
            <w:shd w:val="clear" w:color="000000" w:fill="FFFFFF"/>
            <w:noWrap/>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售后服务费</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保修期内固定驻点2名维护人员（硬件1人+软件1人）在校内负责日常系统维护维修，软件升级等技术支持</w:t>
            </w:r>
          </w:p>
        </w:tc>
        <w:tc>
          <w:tcPr>
            <w:tcW w:w="226" w:type="pct"/>
            <w:tcBorders>
              <w:top w:val="nil"/>
              <w:left w:val="nil"/>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项</w:t>
            </w:r>
          </w:p>
        </w:tc>
        <w:tc>
          <w:tcPr>
            <w:tcW w:w="383" w:type="pct"/>
            <w:tcBorders>
              <w:top w:val="nil"/>
              <w:left w:val="nil"/>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282" w:hRule="atLeast"/>
          <w:jc w:val="center"/>
        </w:trPr>
        <w:tc>
          <w:tcPr>
            <w:tcW w:w="309"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w:t>
            </w:r>
          </w:p>
        </w:tc>
        <w:tc>
          <w:tcPr>
            <w:tcW w:w="777" w:type="pct"/>
            <w:tcBorders>
              <w:top w:val="nil"/>
              <w:left w:val="nil"/>
              <w:bottom w:val="single" w:color="auto" w:sz="4" w:space="0"/>
              <w:right w:val="single" w:color="auto" w:sz="4" w:space="0"/>
            </w:tcBorders>
            <w:shd w:val="clear" w:color="000000" w:fill="FFFFFF"/>
            <w:noWrap/>
            <w:vAlign w:val="center"/>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项目税金</w:t>
            </w:r>
          </w:p>
        </w:tc>
        <w:tc>
          <w:tcPr>
            <w:tcW w:w="3302" w:type="pct"/>
            <w:tcBorders>
              <w:top w:val="nil"/>
              <w:left w:val="nil"/>
              <w:bottom w:val="single" w:color="auto" w:sz="4" w:space="0"/>
              <w:right w:val="single" w:color="auto" w:sz="4" w:space="0"/>
            </w:tcBorders>
            <w:shd w:val="clear" w:color="000000" w:fill="FFFFFF"/>
          </w:tcPr>
          <w:p>
            <w:pPr>
              <w:widowControl/>
              <w:adjustRightInd/>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涉及本项目的相关税费</w:t>
            </w:r>
          </w:p>
        </w:tc>
        <w:tc>
          <w:tcPr>
            <w:tcW w:w="226" w:type="pct"/>
            <w:tcBorders>
              <w:top w:val="nil"/>
              <w:left w:val="nil"/>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项</w:t>
            </w:r>
          </w:p>
        </w:tc>
        <w:tc>
          <w:tcPr>
            <w:tcW w:w="383" w:type="pct"/>
            <w:tcBorders>
              <w:top w:val="nil"/>
              <w:left w:val="nil"/>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w:t>
            </w:r>
          </w:p>
        </w:tc>
      </w:tr>
      <w:tr>
        <w:tblPrEx>
          <w:tblCellMar>
            <w:top w:w="0" w:type="dxa"/>
            <w:left w:w="108" w:type="dxa"/>
            <w:bottom w:w="0" w:type="dxa"/>
            <w:right w:w="108" w:type="dxa"/>
          </w:tblCellMar>
        </w:tblPrEx>
        <w:trPr>
          <w:trHeight w:val="540" w:hRule="atLeast"/>
          <w:jc w:val="center"/>
        </w:trPr>
        <w:tc>
          <w:tcPr>
            <w:tcW w:w="309" w:type="pct"/>
            <w:tcBorders>
              <w:top w:val="nil"/>
              <w:left w:val="single" w:color="auto" w:sz="4" w:space="0"/>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777" w:type="pct"/>
            <w:tcBorders>
              <w:top w:val="nil"/>
              <w:left w:val="nil"/>
              <w:bottom w:val="single" w:color="auto" w:sz="4" w:space="0"/>
              <w:right w:val="single" w:color="auto" w:sz="4" w:space="0"/>
            </w:tcBorders>
            <w:shd w:val="clear" w:color="000000" w:fill="FFFFFF"/>
            <w:noWrap/>
            <w:vAlign w:val="center"/>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总合计</w:t>
            </w:r>
          </w:p>
        </w:tc>
        <w:tc>
          <w:tcPr>
            <w:tcW w:w="3302" w:type="pct"/>
            <w:tcBorders>
              <w:top w:val="nil"/>
              <w:left w:val="nil"/>
              <w:bottom w:val="single" w:color="auto" w:sz="4" w:space="0"/>
              <w:right w:val="single" w:color="auto" w:sz="4" w:space="0"/>
            </w:tcBorders>
            <w:shd w:val="clear" w:color="000000" w:fill="FFFFFF"/>
            <w:noWrap/>
          </w:tcPr>
          <w:p>
            <w:pPr>
              <w:widowControl/>
              <w:adjustRightInd/>
              <w:jc w:val="left"/>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c>
          <w:tcPr>
            <w:tcW w:w="609" w:type="pct"/>
            <w:gridSpan w:val="2"/>
            <w:tcBorders>
              <w:top w:val="single" w:color="auto" w:sz="4" w:space="0"/>
              <w:left w:val="nil"/>
              <w:bottom w:val="single" w:color="auto" w:sz="4" w:space="0"/>
              <w:right w:val="single" w:color="auto" w:sz="4" w:space="0"/>
            </w:tcBorders>
            <w:shd w:val="clear" w:color="000000" w:fill="FFFFFF"/>
            <w:noWrap/>
            <w:vAlign w:val="center"/>
          </w:tcPr>
          <w:p>
            <w:pPr>
              <w:widowControl/>
              <w:adjustRightInd/>
              <w:jc w:val="center"/>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　</w:t>
            </w:r>
          </w:p>
        </w:tc>
      </w:tr>
    </w:tbl>
    <w:p>
      <w:pPr>
        <w:pStyle w:val="159"/>
        <w:snapToGrid w:val="0"/>
        <w:spacing w:before="0"/>
        <w:ind w:firstLine="480"/>
        <w:rPr>
          <w:rFonts w:ascii="仿宋" w:hAnsi="仿宋" w:eastAsia="仿宋" w:cs="仿宋_GB2312"/>
          <w:color w:val="auto"/>
          <w:highlight w:val="none"/>
          <w:lang w:eastAsia="zh-TW"/>
        </w:rPr>
      </w:pPr>
    </w:p>
    <w:p>
      <w:pPr>
        <w:widowControl/>
        <w:adjustRightInd/>
        <w:jc w:val="left"/>
        <w:rPr>
          <w:rFonts w:ascii="仿宋" w:hAnsi="仿宋" w:eastAsia="PMingLiU" w:cs="仿宋_GB2312"/>
          <w:color w:val="auto"/>
          <w:sz w:val="24"/>
          <w:szCs w:val="20"/>
          <w:highlight w:val="none"/>
          <w:lang w:val="zh-TW" w:eastAsia="zh-TW"/>
        </w:rPr>
      </w:pPr>
    </w:p>
    <w:p>
      <w:pPr>
        <w:rPr>
          <w:rFonts w:ascii="仿宋" w:hAnsi="仿宋" w:eastAsia="仿宋"/>
          <w:b/>
          <w:bCs/>
          <w:color w:val="auto"/>
          <w:highlight w:val="none"/>
        </w:rPr>
      </w:pPr>
      <w:bookmarkStart w:id="31" w:name="_Hlk98232989"/>
      <w:r>
        <w:rPr>
          <w:rFonts w:hint="eastAsia" w:ascii="仿宋" w:hAnsi="仿宋" w:eastAsia="仿宋"/>
          <w:b/>
          <w:color w:val="auto"/>
          <w:szCs w:val="21"/>
          <w:highlight w:val="none"/>
        </w:rPr>
        <w:t>（五）</w:t>
      </w:r>
      <w:bookmarkEnd w:id="31"/>
      <w:r>
        <w:rPr>
          <w:rFonts w:hint="eastAsia" w:ascii="仿宋" w:hAnsi="仿宋" w:eastAsia="仿宋"/>
          <w:b/>
          <w:bCs/>
          <w:color w:val="auto"/>
          <w:highlight w:val="none"/>
        </w:rPr>
        <w:t>定制开发一套智慧平安校园安全综合管理平台主要功能技术参数表：</w:t>
      </w:r>
      <w:r>
        <w:rPr>
          <w:rFonts w:ascii="仿宋" w:hAnsi="仿宋" w:eastAsia="仿宋"/>
          <w:b/>
          <w:bCs/>
          <w:color w:val="auto"/>
          <w:highlight w:val="none"/>
        </w:rPr>
        <w:t xml:space="preserve"> </w:t>
      </w:r>
      <w:r>
        <w:rPr>
          <w:rFonts w:hint="eastAsia" w:ascii="仿宋" w:hAnsi="仿宋" w:eastAsia="仿宋"/>
          <w:b/>
          <w:bCs/>
          <w:color w:val="auto"/>
          <w:highlight w:val="none"/>
        </w:rPr>
        <w:t>（附表1）</w:t>
      </w:r>
    </w:p>
    <w:tbl>
      <w:tblPr>
        <w:tblStyle w:val="6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389"/>
        <w:gridCol w:w="707"/>
        <w:gridCol w:w="6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序号</w:t>
            </w:r>
          </w:p>
        </w:tc>
        <w:tc>
          <w:tcPr>
            <w:tcW w:w="1389"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模块名称</w:t>
            </w:r>
          </w:p>
        </w:tc>
        <w:tc>
          <w:tcPr>
            <w:tcW w:w="7235" w:type="dxa"/>
            <w:gridSpan w:val="2"/>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9498" w:type="dxa"/>
            <w:gridSpan w:val="4"/>
            <w:vAlign w:val="center"/>
          </w:tcPr>
          <w:p>
            <w:pPr>
              <w:snapToGrid w:val="0"/>
              <w:jc w:val="left"/>
              <w:rPr>
                <w:rFonts w:ascii="仿宋" w:hAnsi="仿宋" w:eastAsia="仿宋"/>
                <w:color w:val="auto"/>
                <w:szCs w:val="21"/>
                <w:highlight w:val="none"/>
              </w:rPr>
            </w:pPr>
            <w:r>
              <w:rPr>
                <w:rFonts w:hint="eastAsia" w:ascii="仿宋" w:hAnsi="仿宋" w:eastAsia="仿宋"/>
                <w:color w:val="auto"/>
                <w:szCs w:val="21"/>
                <w:highlight w:val="none"/>
              </w:rPr>
              <w:t>本次开发及服务包括浙江交通职业技术学院平安校园管理平台的开发及服务期内的维护。</w:t>
            </w:r>
          </w:p>
          <w:p>
            <w:pPr>
              <w:snapToGrid w:val="0"/>
              <w:jc w:val="left"/>
              <w:rPr>
                <w:rFonts w:ascii="仿宋" w:hAnsi="仿宋" w:eastAsia="仿宋"/>
                <w:color w:val="auto"/>
                <w:szCs w:val="21"/>
                <w:highlight w:val="none"/>
              </w:rPr>
            </w:pPr>
            <w:r>
              <w:rPr>
                <w:rFonts w:hint="eastAsia" w:ascii="仿宋" w:hAnsi="仿宋" w:eastAsia="仿宋"/>
                <w:color w:val="auto"/>
                <w:szCs w:val="21"/>
                <w:highlight w:val="none"/>
              </w:rPr>
              <w:t>浙江交通职业技术学院平安校园管理平台的技术参数不仅限于此，平台应具有保证软件系统运行完整功能、友好的用户界面及完善的系统管理功能。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Merge w:val="restart"/>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w:t>
            </w:r>
          </w:p>
        </w:tc>
        <w:tc>
          <w:tcPr>
            <w:tcW w:w="1389" w:type="dxa"/>
            <w:vMerge w:val="restart"/>
            <w:vAlign w:val="center"/>
          </w:tcPr>
          <w:p>
            <w:pPr>
              <w:snapToGrid w:val="0"/>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olor w:val="auto"/>
                <w:szCs w:val="21"/>
                <w:highlight w:val="none"/>
                <w:lang w:eastAsia="zh-Hans"/>
              </w:rPr>
              <w:t>一体化校园安全综合管理平台</w:t>
            </w:r>
            <w:r>
              <w:rPr>
                <w:rFonts w:hint="eastAsia" w:ascii="仿宋" w:hAnsi="仿宋" w:eastAsia="仿宋"/>
                <w:color w:val="auto"/>
                <w:szCs w:val="21"/>
                <w:highlight w:val="none"/>
              </w:rPr>
              <w:t>软件整体要求</w:t>
            </w:r>
          </w:p>
        </w:tc>
        <w:tc>
          <w:tcPr>
            <w:tcW w:w="707" w:type="dxa"/>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设计</w:t>
            </w:r>
          </w:p>
        </w:tc>
        <w:tc>
          <w:tcPr>
            <w:tcW w:w="6528" w:type="dxa"/>
          </w:tcPr>
          <w:p>
            <w:pPr>
              <w:snapToGrid w:val="0"/>
              <w:rPr>
                <w:rFonts w:ascii="仿宋" w:hAnsi="仿宋" w:eastAsia="仿宋"/>
                <w:color w:val="auto"/>
                <w:szCs w:val="21"/>
                <w:highlight w:val="none"/>
              </w:rPr>
            </w:pPr>
            <w:r>
              <w:rPr>
                <w:rFonts w:hint="eastAsia" w:ascii="仿宋" w:hAnsi="仿宋" w:eastAsia="仿宋"/>
                <w:color w:val="auto"/>
                <w:szCs w:val="21"/>
                <w:highlight w:val="none"/>
              </w:rPr>
              <w:t>按浙江交通职业技术学院平安校园管理平台开发与服务概述与功能描述进行方案设计。</w:t>
            </w:r>
          </w:p>
          <w:p>
            <w:pPr>
              <w:snapToGrid w:val="0"/>
              <w:rPr>
                <w:rFonts w:ascii="仿宋" w:hAnsi="仿宋" w:eastAsia="仿宋"/>
                <w:color w:val="auto"/>
                <w:szCs w:val="21"/>
                <w:highlight w:val="none"/>
              </w:rPr>
            </w:pPr>
            <w:r>
              <w:rPr>
                <w:rFonts w:hint="eastAsia" w:ascii="仿宋" w:hAnsi="仿宋" w:eastAsia="仿宋"/>
                <w:color w:val="auto"/>
                <w:szCs w:val="21"/>
                <w:highlight w:val="none"/>
              </w:rPr>
              <w:t>按浙江交通职业技术学院平安校园管理平台开发与服务的长期定位做好数据库设计、WebAPI设计、开放性设计方案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Merge w:val="continue"/>
            <w:vAlign w:val="center"/>
          </w:tcPr>
          <w:p>
            <w:pPr>
              <w:snapToGrid w:val="0"/>
              <w:jc w:val="center"/>
              <w:rPr>
                <w:rFonts w:ascii="仿宋" w:hAnsi="仿宋" w:eastAsia="仿宋"/>
                <w:color w:val="auto"/>
                <w:szCs w:val="21"/>
                <w:highlight w:val="none"/>
              </w:rPr>
            </w:pPr>
          </w:p>
        </w:tc>
        <w:tc>
          <w:tcPr>
            <w:tcW w:w="1389" w:type="dxa"/>
            <w:vMerge w:val="continue"/>
            <w:vAlign w:val="center"/>
          </w:tcPr>
          <w:p>
            <w:pPr>
              <w:snapToGrid w:val="0"/>
              <w:rPr>
                <w:rFonts w:ascii="仿宋" w:hAnsi="仿宋" w:eastAsia="仿宋"/>
                <w:color w:val="auto"/>
                <w:szCs w:val="21"/>
                <w:highlight w:val="none"/>
              </w:rPr>
            </w:pPr>
          </w:p>
        </w:tc>
        <w:tc>
          <w:tcPr>
            <w:tcW w:w="707" w:type="dxa"/>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开发</w:t>
            </w:r>
          </w:p>
        </w:tc>
        <w:tc>
          <w:tcPr>
            <w:tcW w:w="6528" w:type="dxa"/>
          </w:tcPr>
          <w:p>
            <w:pPr>
              <w:snapToGrid w:val="0"/>
              <w:rPr>
                <w:rFonts w:ascii="仿宋" w:hAnsi="仿宋" w:eastAsia="仿宋"/>
                <w:color w:val="auto"/>
                <w:szCs w:val="21"/>
                <w:highlight w:val="none"/>
              </w:rPr>
            </w:pPr>
            <w:r>
              <w:rPr>
                <w:rFonts w:hint="eastAsia" w:ascii="仿宋" w:hAnsi="仿宋" w:eastAsia="仿宋"/>
                <w:color w:val="auto"/>
                <w:szCs w:val="21"/>
                <w:highlight w:val="none"/>
              </w:rPr>
              <w:t>程序开发编码语言应使用主流的node.js、vue.js、Java、.Net、JQuery、HTML5、CSS3等。</w:t>
            </w:r>
          </w:p>
          <w:p>
            <w:pPr>
              <w:snapToGrid w:val="0"/>
              <w:rPr>
                <w:rFonts w:ascii="仿宋" w:hAnsi="仿宋" w:eastAsia="仿宋"/>
                <w:color w:val="auto"/>
                <w:szCs w:val="21"/>
                <w:highlight w:val="none"/>
              </w:rPr>
            </w:pPr>
            <w:r>
              <w:rPr>
                <w:rFonts w:hint="eastAsia" w:ascii="仿宋" w:hAnsi="仿宋" w:eastAsia="仿宋"/>
                <w:color w:val="auto"/>
                <w:szCs w:val="21"/>
                <w:highlight w:val="none"/>
              </w:rPr>
              <w:t>数据库采用MySQL作为数据库进行数据存储。</w:t>
            </w:r>
          </w:p>
          <w:p>
            <w:pPr>
              <w:snapToGrid w:val="0"/>
              <w:rPr>
                <w:rFonts w:ascii="仿宋" w:hAnsi="仿宋" w:eastAsia="仿宋"/>
                <w:color w:val="auto"/>
                <w:szCs w:val="21"/>
                <w:highlight w:val="none"/>
              </w:rPr>
            </w:pPr>
            <w:r>
              <w:rPr>
                <w:rFonts w:hint="eastAsia" w:ascii="仿宋" w:hAnsi="仿宋" w:eastAsia="仿宋"/>
                <w:color w:val="auto"/>
                <w:szCs w:val="21"/>
                <w:highlight w:val="none"/>
              </w:rPr>
              <w:t>采用B/S、APP、WebAPI等混合模式开发</w:t>
            </w:r>
          </w:p>
          <w:p>
            <w:pPr>
              <w:snapToGrid w:val="0"/>
              <w:rPr>
                <w:rFonts w:ascii="仿宋" w:hAnsi="仿宋" w:eastAsia="仿宋"/>
                <w:color w:val="auto"/>
                <w:szCs w:val="21"/>
                <w:highlight w:val="none"/>
              </w:rPr>
            </w:pPr>
            <w:r>
              <w:rPr>
                <w:rFonts w:hint="eastAsia" w:ascii="仿宋" w:hAnsi="仿宋" w:eastAsia="仿宋"/>
                <w:color w:val="auto"/>
                <w:szCs w:val="21"/>
                <w:highlight w:val="none"/>
              </w:rPr>
              <w:t>与现有硬件设备(人脸识别、</w:t>
            </w:r>
            <w:r>
              <w:rPr>
                <w:rFonts w:hint="eastAsia" w:ascii="仿宋" w:hAnsi="仿宋" w:eastAsia="仿宋"/>
                <w:color w:val="auto"/>
                <w:szCs w:val="21"/>
                <w:highlight w:val="none"/>
                <w:lang w:eastAsia="zh-Hans"/>
              </w:rPr>
              <w:t>人行通道</w:t>
            </w:r>
            <w:r>
              <w:rPr>
                <w:rFonts w:hint="eastAsia" w:ascii="仿宋" w:hAnsi="仿宋" w:eastAsia="仿宋"/>
                <w:color w:val="auto"/>
                <w:szCs w:val="21"/>
                <w:highlight w:val="none"/>
              </w:rPr>
              <w:t>、测速</w:t>
            </w:r>
            <w:r>
              <w:rPr>
                <w:rFonts w:hint="eastAsia" w:ascii="仿宋" w:hAnsi="仿宋" w:eastAsia="仿宋"/>
                <w:color w:val="auto"/>
                <w:szCs w:val="21"/>
                <w:highlight w:val="none"/>
                <w:lang w:eastAsia="zh-Hans"/>
              </w:rPr>
              <w:t>卡口</w:t>
            </w:r>
            <w:r>
              <w:rPr>
                <w:rFonts w:hint="eastAsia" w:ascii="仿宋" w:hAnsi="仿宋" w:eastAsia="仿宋"/>
                <w:color w:val="auto"/>
                <w:szCs w:val="21"/>
                <w:highlight w:val="none"/>
              </w:rPr>
              <w:t>、</w:t>
            </w:r>
            <w:r>
              <w:rPr>
                <w:rFonts w:hint="eastAsia" w:ascii="仿宋" w:hAnsi="仿宋" w:eastAsia="仿宋"/>
                <w:color w:val="auto"/>
                <w:szCs w:val="21"/>
                <w:highlight w:val="none"/>
                <w:lang w:eastAsia="zh-Hans"/>
              </w:rPr>
              <w:t>车辆</w:t>
            </w:r>
            <w:r>
              <w:rPr>
                <w:rFonts w:hint="eastAsia" w:ascii="仿宋" w:hAnsi="仿宋" w:eastAsia="仿宋"/>
                <w:color w:val="auto"/>
                <w:szCs w:val="21"/>
                <w:highlight w:val="none"/>
              </w:rPr>
              <w:t>道闸、</w:t>
            </w:r>
            <w:r>
              <w:rPr>
                <w:rFonts w:hint="eastAsia" w:ascii="仿宋" w:hAnsi="仿宋" w:eastAsia="仿宋"/>
                <w:color w:val="auto"/>
                <w:szCs w:val="21"/>
                <w:highlight w:val="none"/>
                <w:lang w:eastAsia="zh-Hans"/>
              </w:rPr>
              <w:t>周界警报</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物联网烟感</w:t>
            </w:r>
            <w:r>
              <w:rPr>
                <w:rFonts w:ascii="仿宋" w:hAnsi="仿宋" w:eastAsia="仿宋"/>
                <w:color w:val="auto"/>
                <w:szCs w:val="21"/>
                <w:highlight w:val="none"/>
                <w:lang w:eastAsia="zh-Hans"/>
              </w:rPr>
              <w:t>、</w:t>
            </w:r>
            <w:r>
              <w:rPr>
                <w:rFonts w:hint="eastAsia" w:ascii="仿宋" w:hAnsi="仿宋" w:eastAsia="仿宋"/>
                <w:color w:val="auto"/>
                <w:szCs w:val="21"/>
                <w:highlight w:val="none"/>
              </w:rPr>
              <w:t>无人机、报警柱)进行对接</w:t>
            </w:r>
          </w:p>
          <w:p>
            <w:pPr>
              <w:snapToGrid w:val="0"/>
              <w:rPr>
                <w:rFonts w:ascii="仿宋" w:hAnsi="仿宋" w:eastAsia="仿宋"/>
                <w:color w:val="auto"/>
                <w:szCs w:val="21"/>
                <w:highlight w:val="none"/>
              </w:rPr>
            </w:pPr>
            <w:r>
              <w:rPr>
                <w:rFonts w:hint="eastAsia" w:ascii="仿宋" w:hAnsi="仿宋" w:eastAsia="仿宋"/>
                <w:color w:val="auto"/>
                <w:szCs w:val="21"/>
                <w:highlight w:val="none"/>
                <w:lang w:eastAsia="zh-Hans"/>
              </w:rPr>
              <w:t>对接</w:t>
            </w:r>
            <w:r>
              <w:rPr>
                <w:rFonts w:hint="eastAsia" w:ascii="仿宋" w:hAnsi="仿宋" w:eastAsia="仿宋"/>
                <w:color w:val="auto"/>
                <w:szCs w:val="21"/>
                <w:highlight w:val="none"/>
              </w:rPr>
              <w:t>室内外安防地图系统，对接所有与地图功能相关的都以现有3D地图来展示</w:t>
            </w:r>
          </w:p>
          <w:p>
            <w:pPr>
              <w:pStyle w:val="254"/>
              <w:rPr>
                <w:rFonts w:ascii="仿宋" w:hAnsi="仿宋" w:eastAsia="仿宋"/>
                <w:color w:val="auto"/>
                <w:highlight w:val="none"/>
              </w:rPr>
            </w:pPr>
            <w:r>
              <w:rPr>
                <w:rFonts w:hint="eastAsia" w:ascii="仿宋" w:hAnsi="仿宋" w:eastAsia="仿宋" w:cs="宋体"/>
                <w:color w:val="auto"/>
                <w:kern w:val="2"/>
                <w:sz w:val="21"/>
                <w:szCs w:val="21"/>
                <w:highlight w:val="none"/>
                <w:lang w:eastAsia="zh-Hans"/>
              </w:rPr>
              <w:t>对接校内各个相关部门(图信、一卡通、学管、后勤等)的数据。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Merge w:val="continue"/>
            <w:vAlign w:val="center"/>
          </w:tcPr>
          <w:p>
            <w:pPr>
              <w:snapToGrid w:val="0"/>
              <w:jc w:val="center"/>
              <w:rPr>
                <w:rFonts w:ascii="仿宋" w:hAnsi="仿宋" w:eastAsia="仿宋"/>
                <w:color w:val="auto"/>
                <w:szCs w:val="21"/>
                <w:highlight w:val="none"/>
              </w:rPr>
            </w:pPr>
          </w:p>
        </w:tc>
        <w:tc>
          <w:tcPr>
            <w:tcW w:w="1389" w:type="dxa"/>
            <w:vMerge w:val="continue"/>
            <w:vAlign w:val="center"/>
          </w:tcPr>
          <w:p>
            <w:pPr>
              <w:snapToGrid w:val="0"/>
              <w:rPr>
                <w:rFonts w:ascii="仿宋" w:hAnsi="仿宋" w:eastAsia="仿宋"/>
                <w:color w:val="auto"/>
                <w:szCs w:val="21"/>
                <w:highlight w:val="none"/>
              </w:rPr>
            </w:pPr>
          </w:p>
        </w:tc>
        <w:tc>
          <w:tcPr>
            <w:tcW w:w="707" w:type="dxa"/>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部署</w:t>
            </w:r>
          </w:p>
        </w:tc>
        <w:tc>
          <w:tcPr>
            <w:tcW w:w="6528" w:type="dxa"/>
          </w:tcPr>
          <w:p>
            <w:pPr>
              <w:snapToGrid w:val="0"/>
              <w:rPr>
                <w:rFonts w:ascii="仿宋" w:hAnsi="仿宋" w:eastAsia="仿宋"/>
                <w:color w:val="auto"/>
                <w:szCs w:val="21"/>
                <w:highlight w:val="none"/>
              </w:rPr>
            </w:pPr>
            <w:r>
              <w:rPr>
                <w:rFonts w:hint="eastAsia" w:ascii="仿宋" w:hAnsi="仿宋" w:eastAsia="仿宋"/>
                <w:color w:val="auto"/>
                <w:szCs w:val="21"/>
                <w:highlight w:val="none"/>
              </w:rPr>
              <w:t xml:space="preserve">系统部署于浙江交通职业技术学院校内本地服务器上。 </w:t>
            </w:r>
          </w:p>
          <w:p>
            <w:pPr>
              <w:snapToGrid w:val="0"/>
              <w:rPr>
                <w:rFonts w:ascii="仿宋" w:hAnsi="仿宋" w:eastAsia="仿宋"/>
                <w:color w:val="auto"/>
                <w:szCs w:val="21"/>
                <w:highlight w:val="none"/>
              </w:rPr>
            </w:pPr>
            <w:r>
              <w:rPr>
                <w:rFonts w:hint="eastAsia" w:ascii="仿宋" w:hAnsi="仿宋" w:eastAsia="仿宋"/>
                <w:color w:val="auto"/>
                <w:szCs w:val="21"/>
                <w:highlight w:val="none"/>
              </w:rPr>
              <w:t>系统涉及的所有图片、视频、音频、数据等系统业务产生的资源均应保存于浙江交通职业技术学院。</w:t>
            </w:r>
          </w:p>
          <w:p>
            <w:pPr>
              <w:snapToGrid w:val="0"/>
              <w:rPr>
                <w:rFonts w:ascii="仿宋" w:hAnsi="仿宋" w:eastAsia="仿宋"/>
                <w:color w:val="auto"/>
                <w:szCs w:val="21"/>
                <w:highlight w:val="none"/>
              </w:rPr>
            </w:pPr>
            <w:r>
              <w:rPr>
                <w:rFonts w:hint="eastAsia" w:ascii="仿宋" w:hAnsi="仿宋" w:eastAsia="仿宋"/>
                <w:color w:val="auto"/>
                <w:szCs w:val="21"/>
                <w:highlight w:val="none"/>
              </w:rPr>
              <w:t>部署操作系统应选择windows server或主流Linux操作系统。</w:t>
            </w:r>
          </w:p>
          <w:p>
            <w:pPr>
              <w:snapToGrid w:val="0"/>
              <w:rPr>
                <w:rFonts w:ascii="仿宋" w:hAnsi="仿宋" w:eastAsia="仿宋"/>
                <w:color w:val="auto"/>
                <w:szCs w:val="21"/>
                <w:highlight w:val="none"/>
              </w:rPr>
            </w:pPr>
            <w:r>
              <w:rPr>
                <w:rFonts w:hint="eastAsia" w:ascii="仿宋" w:hAnsi="仿宋" w:eastAsia="仿宋"/>
                <w:color w:val="auto"/>
                <w:szCs w:val="21"/>
                <w:highlight w:val="none"/>
              </w:rPr>
              <w:t>接中标通知书后，</w:t>
            </w:r>
            <w:r>
              <w:rPr>
                <w:rFonts w:ascii="仿宋" w:hAnsi="仿宋" w:eastAsia="仿宋"/>
                <w:color w:val="auto"/>
                <w:szCs w:val="21"/>
                <w:highlight w:val="none"/>
              </w:rPr>
              <w:t>2</w:t>
            </w:r>
            <w:r>
              <w:rPr>
                <w:rFonts w:hint="eastAsia" w:ascii="仿宋" w:hAnsi="仿宋" w:eastAsia="仿宋"/>
                <w:color w:val="auto"/>
                <w:szCs w:val="21"/>
                <w:highlight w:val="none"/>
              </w:rPr>
              <w:t>个月半内完成</w:t>
            </w:r>
            <w:r>
              <w:rPr>
                <w:rFonts w:hint="eastAsia" w:ascii="仿宋" w:hAnsi="仿宋" w:eastAsia="仿宋"/>
                <w:color w:val="auto"/>
                <w:szCs w:val="21"/>
                <w:highlight w:val="none"/>
                <w:lang w:eastAsia="zh-Hans"/>
              </w:rPr>
              <w:t>软件</w:t>
            </w:r>
            <w:r>
              <w:rPr>
                <w:rFonts w:hint="eastAsia" w:ascii="仿宋" w:hAnsi="仿宋" w:eastAsia="仿宋"/>
                <w:color w:val="auto"/>
                <w:szCs w:val="21"/>
                <w:highlight w:val="none"/>
              </w:rPr>
              <w:t>开发</w:t>
            </w:r>
            <w:r>
              <w:rPr>
                <w:rFonts w:ascii="仿宋" w:hAnsi="仿宋" w:eastAsia="仿宋"/>
                <w:color w:val="auto"/>
                <w:szCs w:val="21"/>
                <w:highlight w:val="none"/>
              </w:rPr>
              <w:t>，</w:t>
            </w:r>
            <w:r>
              <w:rPr>
                <w:rFonts w:hint="eastAsia" w:ascii="仿宋" w:hAnsi="仿宋" w:eastAsia="仿宋"/>
                <w:color w:val="auto"/>
                <w:szCs w:val="21"/>
                <w:highlight w:val="none"/>
                <w:lang w:eastAsia="zh-Hans"/>
              </w:rPr>
              <w:t>视硬件部分交付时间确定对接部分的</w:t>
            </w:r>
            <w:r>
              <w:rPr>
                <w:rFonts w:hint="eastAsia" w:ascii="仿宋" w:hAnsi="仿宋" w:eastAsia="仿宋"/>
                <w:color w:val="auto"/>
                <w:szCs w:val="21"/>
                <w:highlight w:val="none"/>
              </w:rPr>
              <w:t>调试、安装并交付实际使用。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Merge w:val="continue"/>
            <w:vAlign w:val="center"/>
          </w:tcPr>
          <w:p>
            <w:pPr>
              <w:snapToGrid w:val="0"/>
              <w:jc w:val="center"/>
              <w:rPr>
                <w:rFonts w:ascii="仿宋" w:hAnsi="仿宋" w:eastAsia="仿宋"/>
                <w:color w:val="auto"/>
                <w:szCs w:val="21"/>
                <w:highlight w:val="none"/>
              </w:rPr>
            </w:pPr>
          </w:p>
        </w:tc>
        <w:tc>
          <w:tcPr>
            <w:tcW w:w="1389" w:type="dxa"/>
            <w:vMerge w:val="continue"/>
            <w:vAlign w:val="center"/>
          </w:tcPr>
          <w:p>
            <w:pPr>
              <w:snapToGrid w:val="0"/>
              <w:rPr>
                <w:rFonts w:ascii="仿宋" w:hAnsi="仿宋" w:eastAsia="仿宋"/>
                <w:color w:val="auto"/>
                <w:szCs w:val="21"/>
                <w:highlight w:val="none"/>
              </w:rPr>
            </w:pPr>
          </w:p>
        </w:tc>
        <w:tc>
          <w:tcPr>
            <w:tcW w:w="707" w:type="dxa"/>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服务</w:t>
            </w:r>
          </w:p>
        </w:tc>
        <w:tc>
          <w:tcPr>
            <w:tcW w:w="6528" w:type="dxa"/>
          </w:tcPr>
          <w:p>
            <w:pPr>
              <w:snapToGrid w:val="0"/>
              <w:rPr>
                <w:rFonts w:ascii="仿宋" w:hAnsi="仿宋" w:eastAsia="仿宋"/>
                <w:color w:val="auto"/>
                <w:szCs w:val="21"/>
                <w:highlight w:val="none"/>
              </w:rPr>
            </w:pPr>
            <w:r>
              <w:rPr>
                <w:rFonts w:hint="eastAsia" w:ascii="仿宋" w:hAnsi="仿宋" w:eastAsia="仿宋"/>
                <w:color w:val="auto"/>
                <w:szCs w:val="21"/>
                <w:highlight w:val="none"/>
              </w:rPr>
              <w:t>服务期内提供一名软件服务人员常驻校园做后续服务支持（工作时间6</w:t>
            </w:r>
            <w:r>
              <w:rPr>
                <w:rFonts w:ascii="仿宋" w:hAnsi="仿宋" w:eastAsia="仿宋"/>
                <w:color w:val="auto"/>
                <w:szCs w:val="21"/>
                <w:highlight w:val="none"/>
              </w:rPr>
              <w:t>*8</w:t>
            </w:r>
            <w:r>
              <w:rPr>
                <w:rFonts w:hint="eastAsia" w:ascii="仿宋" w:hAnsi="仿宋" w:eastAsia="仿宋"/>
                <w:color w:val="auto"/>
                <w:szCs w:val="21"/>
                <w:highlight w:val="none"/>
              </w:rPr>
              <w:t>小时），驻场</w:t>
            </w:r>
            <w:r>
              <w:rPr>
                <w:rFonts w:ascii="仿宋" w:hAnsi="仿宋" w:eastAsia="仿宋"/>
                <w:color w:val="auto"/>
                <w:szCs w:val="21"/>
                <w:highlight w:val="none"/>
              </w:rPr>
              <w:t>期</w:t>
            </w:r>
            <w:r>
              <w:rPr>
                <w:rFonts w:hint="eastAsia" w:ascii="仿宋" w:hAnsi="仿宋" w:eastAsia="仿宋"/>
                <w:color w:val="auto"/>
                <w:szCs w:val="21"/>
                <w:highlight w:val="none"/>
              </w:rPr>
              <w:t>为</w:t>
            </w:r>
            <w:r>
              <w:rPr>
                <w:rFonts w:ascii="仿宋" w:hAnsi="仿宋" w:eastAsia="仿宋"/>
                <w:color w:val="auto"/>
                <w:szCs w:val="21"/>
                <w:highlight w:val="none"/>
              </w:rPr>
              <w:t>：</w:t>
            </w:r>
            <w:r>
              <w:rPr>
                <w:rFonts w:hint="eastAsia" w:ascii="仿宋" w:hAnsi="仿宋" w:eastAsia="仿宋"/>
                <w:color w:val="auto"/>
                <w:szCs w:val="21"/>
                <w:highlight w:val="none"/>
              </w:rPr>
              <w:t>项目</w:t>
            </w:r>
            <w:r>
              <w:rPr>
                <w:rFonts w:ascii="仿宋" w:hAnsi="仿宋" w:eastAsia="仿宋"/>
                <w:color w:val="auto"/>
                <w:szCs w:val="21"/>
                <w:highlight w:val="none"/>
              </w:rPr>
              <w:t>终验后</w:t>
            </w:r>
            <w:r>
              <w:rPr>
                <w:rFonts w:hint="eastAsia" w:ascii="仿宋" w:hAnsi="仿宋" w:eastAsia="仿宋"/>
                <w:color w:val="auto"/>
                <w:szCs w:val="21"/>
                <w:highlight w:val="none"/>
              </w:rPr>
              <w:t>2年。服务期内提供系统使用、培训服务等</w:t>
            </w:r>
            <w:r>
              <w:rPr>
                <w:rFonts w:ascii="仿宋" w:hAnsi="仿宋" w:eastAsia="仿宋"/>
                <w:color w:val="auto"/>
                <w:szCs w:val="21"/>
                <w:highlight w:val="none"/>
              </w:rPr>
              <w:t>相关服务</w:t>
            </w:r>
            <w:r>
              <w:rPr>
                <w:rFonts w:hint="eastAsia" w:ascii="仿宋" w:hAnsi="仿宋" w:eastAsia="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Merge w:val="restart"/>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2</w:t>
            </w:r>
          </w:p>
        </w:tc>
        <w:tc>
          <w:tcPr>
            <w:tcW w:w="1389" w:type="dxa"/>
            <w:vMerge w:val="restart"/>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基础信息</w:t>
            </w:r>
          </w:p>
        </w:tc>
        <w:tc>
          <w:tcPr>
            <w:tcW w:w="707" w:type="dxa"/>
            <w:vMerge w:val="restart"/>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接口协议开发及数据对接</w:t>
            </w:r>
          </w:p>
        </w:tc>
        <w:tc>
          <w:tcPr>
            <w:tcW w:w="6528" w:type="dxa"/>
          </w:tcPr>
          <w:p>
            <w:pPr>
              <w:snapToGrid w:val="0"/>
              <w:rPr>
                <w:rFonts w:ascii="仿宋" w:hAnsi="仿宋" w:eastAsia="仿宋"/>
                <w:color w:val="auto"/>
                <w:szCs w:val="21"/>
                <w:highlight w:val="none"/>
              </w:rPr>
            </w:pPr>
            <w:r>
              <w:rPr>
                <w:rFonts w:hint="eastAsia" w:ascii="仿宋" w:hAnsi="仿宋" w:eastAsia="仿宋"/>
                <w:b/>
                <w:bCs/>
                <w:color w:val="auto"/>
                <w:szCs w:val="21"/>
                <w:highlight w:val="none"/>
              </w:rPr>
              <w:t>基础数据对接</w:t>
            </w:r>
            <w:r>
              <w:rPr>
                <w:rFonts w:hint="eastAsia" w:ascii="仿宋" w:hAnsi="仿宋" w:eastAsia="仿宋"/>
                <w:color w:val="auto"/>
                <w:szCs w:val="21"/>
                <w:highlight w:val="none"/>
              </w:rPr>
              <w:t>：对接学校信息中心，获取学生、教职工基本信息</w:t>
            </w:r>
            <w:r>
              <w:rPr>
                <w:rFonts w:ascii="仿宋" w:hAnsi="仿宋" w:eastAsia="仿宋"/>
                <w:color w:val="auto"/>
                <w:szCs w:val="21"/>
                <w:highlight w:val="none"/>
              </w:rPr>
              <w:t>、</w:t>
            </w:r>
            <w:r>
              <w:rPr>
                <w:rFonts w:hint="eastAsia" w:ascii="仿宋" w:hAnsi="仿宋" w:eastAsia="仿宋"/>
                <w:color w:val="auto"/>
                <w:szCs w:val="21"/>
                <w:highlight w:val="none"/>
                <w:lang w:eastAsia="zh-Hans"/>
              </w:rPr>
              <w:t>访客信息数据</w:t>
            </w:r>
            <w:r>
              <w:rPr>
                <w:rFonts w:hint="eastAsia" w:ascii="仿宋" w:hAnsi="仿宋" w:eastAsia="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Merge w:val="continue"/>
            <w:vAlign w:val="center"/>
          </w:tcPr>
          <w:p>
            <w:pPr>
              <w:snapToGrid w:val="0"/>
              <w:jc w:val="center"/>
              <w:rPr>
                <w:rFonts w:ascii="仿宋" w:hAnsi="仿宋" w:eastAsia="仿宋"/>
                <w:color w:val="auto"/>
                <w:szCs w:val="21"/>
                <w:highlight w:val="none"/>
              </w:rPr>
            </w:pPr>
          </w:p>
        </w:tc>
        <w:tc>
          <w:tcPr>
            <w:tcW w:w="1389" w:type="dxa"/>
            <w:vMerge w:val="continue"/>
            <w:vAlign w:val="center"/>
          </w:tcPr>
          <w:p>
            <w:pPr>
              <w:snapToGrid w:val="0"/>
              <w:rPr>
                <w:rFonts w:ascii="仿宋" w:hAnsi="仿宋" w:eastAsia="仿宋"/>
                <w:color w:val="auto"/>
                <w:szCs w:val="21"/>
                <w:highlight w:val="none"/>
              </w:rPr>
            </w:pPr>
          </w:p>
        </w:tc>
        <w:tc>
          <w:tcPr>
            <w:tcW w:w="707" w:type="dxa"/>
            <w:vMerge w:val="continue"/>
            <w:vAlign w:val="center"/>
          </w:tcPr>
          <w:p>
            <w:pPr>
              <w:snapToGrid w:val="0"/>
              <w:rPr>
                <w:rFonts w:ascii="仿宋" w:hAnsi="仿宋" w:eastAsia="仿宋"/>
                <w:color w:val="auto"/>
                <w:szCs w:val="21"/>
                <w:highlight w:val="none"/>
              </w:rPr>
            </w:pPr>
          </w:p>
        </w:tc>
        <w:tc>
          <w:tcPr>
            <w:tcW w:w="6528" w:type="dxa"/>
          </w:tcPr>
          <w:p>
            <w:pPr>
              <w:snapToGrid w:val="0"/>
              <w:rPr>
                <w:rFonts w:ascii="仿宋" w:hAnsi="仿宋" w:eastAsia="仿宋"/>
                <w:color w:val="auto"/>
                <w:szCs w:val="21"/>
                <w:highlight w:val="none"/>
              </w:rPr>
            </w:pPr>
            <w:r>
              <w:rPr>
                <w:rFonts w:hint="eastAsia" w:ascii="仿宋" w:hAnsi="仿宋" w:eastAsia="仿宋"/>
                <w:b/>
                <w:bCs/>
                <w:color w:val="auto"/>
                <w:szCs w:val="21"/>
                <w:highlight w:val="none"/>
              </w:rPr>
              <w:t>智慧物联设备数据对接</w:t>
            </w:r>
            <w:r>
              <w:rPr>
                <w:rFonts w:hint="eastAsia" w:ascii="仿宋" w:hAnsi="仿宋" w:eastAsia="仿宋"/>
                <w:color w:val="auto"/>
                <w:szCs w:val="21"/>
                <w:highlight w:val="none"/>
              </w:rPr>
              <w:t>：对智慧消防系统（无线烟感报警、有线传统消防报警）、门禁系统，人脸布控系统、访客系统、车辆管理系统、宿管系统、安防视频系统、AI智慧报警（周界、警戒、紧急报警等）、设备运维系统、网络安全、食品安全、心理健康等物联感知设备及系统协议接口开发及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Merge w:val="continue"/>
            <w:vAlign w:val="center"/>
          </w:tcPr>
          <w:p>
            <w:pPr>
              <w:snapToGrid w:val="0"/>
              <w:jc w:val="center"/>
              <w:rPr>
                <w:rFonts w:ascii="仿宋" w:hAnsi="仿宋" w:eastAsia="仿宋"/>
                <w:color w:val="auto"/>
                <w:szCs w:val="21"/>
                <w:highlight w:val="none"/>
              </w:rPr>
            </w:pPr>
          </w:p>
        </w:tc>
        <w:tc>
          <w:tcPr>
            <w:tcW w:w="1389" w:type="dxa"/>
            <w:vMerge w:val="continue"/>
            <w:vAlign w:val="center"/>
          </w:tcPr>
          <w:p>
            <w:pPr>
              <w:snapToGrid w:val="0"/>
              <w:rPr>
                <w:rFonts w:ascii="仿宋" w:hAnsi="仿宋" w:eastAsia="仿宋"/>
                <w:color w:val="auto"/>
                <w:szCs w:val="21"/>
                <w:highlight w:val="none"/>
              </w:rPr>
            </w:pP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支持形成访客库和黑名单库，</w:t>
            </w:r>
            <w:r>
              <w:rPr>
                <w:rFonts w:hint="eastAsia" w:ascii="仿宋" w:hAnsi="仿宋" w:eastAsia="仿宋"/>
                <w:color w:val="auto"/>
                <w:szCs w:val="21"/>
                <w:highlight w:val="none"/>
                <w:lang w:eastAsia="zh-Hans"/>
              </w:rPr>
              <w:t>增加</w:t>
            </w:r>
            <w:r>
              <w:rPr>
                <w:rFonts w:hint="eastAsia" w:ascii="仿宋" w:hAnsi="仿宋" w:eastAsia="仿宋"/>
                <w:color w:val="auto"/>
                <w:szCs w:val="21"/>
                <w:highlight w:val="none"/>
              </w:rPr>
              <w:t>校内</w:t>
            </w:r>
            <w:r>
              <w:rPr>
                <w:rFonts w:hint="eastAsia" w:ascii="仿宋" w:hAnsi="仿宋" w:eastAsia="仿宋"/>
                <w:color w:val="auto"/>
                <w:szCs w:val="21"/>
                <w:highlight w:val="none"/>
                <w:lang w:eastAsia="zh-Hans"/>
              </w:rPr>
              <w:t>人员基本信息</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校内重点关注人员</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校外重点关注人员数据管理模块</w:t>
            </w:r>
            <w:r>
              <w:rPr>
                <w:rFonts w:ascii="仿宋" w:hAnsi="仿宋" w:eastAsia="仿宋"/>
                <w:color w:val="auto"/>
                <w:szCs w:val="21"/>
                <w:highlight w:val="none"/>
                <w:lang w:eastAsia="zh-Hans"/>
              </w:rPr>
              <w:t>，</w:t>
            </w:r>
            <w:r>
              <w:rPr>
                <w:rFonts w:hint="eastAsia" w:ascii="仿宋" w:hAnsi="仿宋" w:eastAsia="仿宋"/>
                <w:color w:val="auto"/>
                <w:szCs w:val="21"/>
                <w:highlight w:val="none"/>
              </w:rPr>
              <w:t>建立学校整体的人员身份信息库。</w:t>
            </w:r>
            <w:r>
              <w:rPr>
                <w:rFonts w:hint="eastAsia" w:ascii="仿宋" w:hAnsi="仿宋" w:eastAsia="仿宋"/>
                <w:color w:val="auto"/>
                <w:szCs w:val="21"/>
                <w:highlight w:val="none"/>
                <w:lang w:eastAsia="zh-Hans"/>
              </w:rPr>
              <w:t>人员基础信息包含人脸信息数据</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用于平台人脸管控及人员检索应用</w:t>
            </w:r>
            <w:r>
              <w:rPr>
                <w:rFonts w:ascii="仿宋" w:hAnsi="仿宋" w:eastAsia="仿宋"/>
                <w:color w:val="auto"/>
                <w:szCs w:val="21"/>
                <w:highlight w:val="none"/>
                <w:lang w:eastAsia="zh-Hans"/>
              </w:rPr>
              <w:t>。</w:t>
            </w:r>
            <w:r>
              <w:rPr>
                <w:rFonts w:hint="eastAsia" w:ascii="仿宋" w:hAnsi="仿宋" w:eastAsia="仿宋"/>
                <w:color w:val="auto"/>
                <w:szCs w:val="21"/>
                <w:highlight w:val="none"/>
              </w:rPr>
              <w:t>保障数据的稳定获取及安全。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3</w:t>
            </w:r>
          </w:p>
        </w:tc>
        <w:tc>
          <w:tcPr>
            <w:tcW w:w="1389" w:type="dxa"/>
            <w:vAlign w:val="center"/>
          </w:tcPr>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治安管理</w:t>
            </w:r>
          </w:p>
        </w:tc>
        <w:tc>
          <w:tcPr>
            <w:tcW w:w="7235" w:type="dxa"/>
            <w:gridSpan w:val="2"/>
          </w:tcPr>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集成接处警组件和隐患随手拍业务数据</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包含接处警组件的录音自动提取及在线重听功能</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模块包含案件管理</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隐患随手拍数据管理</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巡更管理等内容</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案件管理包含案件登记</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案件处置</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案件查询等</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巡更管理包含重点部位管理</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支持不同场所不同点位创建唯一场所二维码</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该二维码配合保卫处内部人员移动端巡更打卡</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巡更支持巡更排班管理</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并根据业务需求生成巡更记录及相关报表</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视频录像查询管理功能，根据事件发生提报查询，审核通过后查询，并生成相关记录集表报等。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4</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olor w:val="auto"/>
                <w:szCs w:val="21"/>
                <w:highlight w:val="none"/>
              </w:rPr>
              <w:t>车辆</w:t>
            </w:r>
            <w:r>
              <w:rPr>
                <w:rFonts w:hint="eastAsia" w:ascii="仿宋" w:hAnsi="仿宋" w:eastAsia="仿宋"/>
                <w:color w:val="auto"/>
                <w:szCs w:val="21"/>
                <w:highlight w:val="none"/>
                <w:lang w:eastAsia="zh-Hans"/>
              </w:rPr>
              <w:t>及交通</w:t>
            </w:r>
            <w:r>
              <w:rPr>
                <w:rFonts w:hint="eastAsia" w:ascii="仿宋" w:hAnsi="仿宋" w:eastAsia="仿宋"/>
                <w:color w:val="auto"/>
                <w:szCs w:val="21"/>
                <w:highlight w:val="none"/>
              </w:rPr>
              <w:t>出入口系统管理</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支持与测</w:t>
            </w:r>
            <w:r>
              <w:rPr>
                <w:rFonts w:hint="eastAsia" w:ascii="仿宋" w:hAnsi="仿宋" w:eastAsia="仿宋"/>
                <w:color w:val="auto"/>
                <w:szCs w:val="21"/>
                <w:highlight w:val="none"/>
                <w:lang w:eastAsia="zh-Hans"/>
              </w:rPr>
              <w:t>速</w:t>
            </w:r>
            <w:r>
              <w:rPr>
                <w:rFonts w:hint="eastAsia" w:ascii="仿宋" w:hAnsi="仿宋" w:eastAsia="仿宋"/>
                <w:color w:val="auto"/>
                <w:szCs w:val="21"/>
                <w:highlight w:val="none"/>
              </w:rPr>
              <w:t>设备对接，对过往车辆进行实时监控。提供与硬件对接的详细对接方案。</w:t>
            </w:r>
          </w:p>
          <w:p>
            <w:pPr>
              <w:snapToGrid w:val="0"/>
              <w:rPr>
                <w:rFonts w:ascii="仿宋" w:hAnsi="仿宋" w:eastAsia="仿宋"/>
                <w:color w:val="auto"/>
                <w:szCs w:val="21"/>
                <w:highlight w:val="none"/>
              </w:rPr>
            </w:pPr>
            <w:r>
              <w:rPr>
                <w:rFonts w:hint="eastAsia" w:ascii="仿宋" w:hAnsi="仿宋" w:eastAsia="仿宋"/>
                <w:color w:val="auto"/>
                <w:szCs w:val="21"/>
                <w:highlight w:val="none"/>
              </w:rPr>
              <w:t>校内交通事故查询。</w:t>
            </w:r>
          </w:p>
          <w:p>
            <w:pPr>
              <w:snapToGrid w:val="0"/>
              <w:rPr>
                <w:rFonts w:ascii="仿宋" w:hAnsi="仿宋" w:eastAsia="仿宋"/>
                <w:color w:val="auto"/>
                <w:szCs w:val="21"/>
                <w:highlight w:val="none"/>
              </w:rPr>
            </w:pPr>
            <w:r>
              <w:rPr>
                <w:rFonts w:hint="eastAsia" w:ascii="仿宋" w:hAnsi="仿宋" w:eastAsia="仿宋"/>
                <w:color w:val="auto"/>
                <w:szCs w:val="21"/>
                <w:highlight w:val="none"/>
              </w:rPr>
              <w:t>违规车辆黑名单。</w:t>
            </w:r>
          </w:p>
          <w:p>
            <w:pPr>
              <w:snapToGrid w:val="0"/>
              <w:rPr>
                <w:rFonts w:ascii="仿宋" w:hAnsi="仿宋" w:eastAsia="仿宋"/>
                <w:color w:val="auto"/>
                <w:szCs w:val="21"/>
                <w:highlight w:val="none"/>
              </w:rPr>
            </w:pPr>
            <w:r>
              <w:rPr>
                <w:rFonts w:hint="eastAsia" w:ascii="仿宋" w:hAnsi="仿宋" w:eastAsia="仿宋"/>
                <w:color w:val="auto"/>
                <w:szCs w:val="21"/>
                <w:highlight w:val="none"/>
              </w:rPr>
              <w:t>支持黑名单管理，并对车辆超速、违章次数设置，超过次数，自动进入黑名单。</w:t>
            </w:r>
          </w:p>
          <w:p>
            <w:pPr>
              <w:snapToGrid w:val="0"/>
              <w:rPr>
                <w:rFonts w:ascii="仿宋" w:hAnsi="仿宋" w:eastAsia="仿宋"/>
                <w:color w:val="auto"/>
                <w:szCs w:val="21"/>
                <w:highlight w:val="none"/>
              </w:rPr>
            </w:pPr>
            <w:r>
              <w:rPr>
                <w:rFonts w:hint="eastAsia" w:ascii="仿宋" w:hAnsi="仿宋" w:eastAsia="仿宋"/>
                <w:color w:val="auto"/>
                <w:szCs w:val="21"/>
                <w:highlight w:val="none"/>
              </w:rPr>
              <w:t>支持系统基本信息库进行交互，识别车主信息。</w:t>
            </w:r>
          </w:p>
          <w:p>
            <w:pPr>
              <w:snapToGrid w:val="0"/>
              <w:rPr>
                <w:rFonts w:ascii="仿宋" w:hAnsi="仿宋" w:eastAsia="仿宋"/>
                <w:color w:val="auto"/>
                <w:szCs w:val="21"/>
                <w:highlight w:val="none"/>
              </w:rPr>
            </w:pPr>
            <w:r>
              <w:rPr>
                <w:rFonts w:hint="eastAsia" w:ascii="仿宋" w:hAnsi="仿宋" w:eastAsia="仿宋"/>
                <w:color w:val="auto"/>
                <w:szCs w:val="21"/>
                <w:highlight w:val="none"/>
              </w:rPr>
              <w:t>支持机动车与非机动车分开管理。</w:t>
            </w:r>
          </w:p>
          <w:p>
            <w:pPr>
              <w:snapToGrid w:val="0"/>
              <w:rPr>
                <w:rFonts w:ascii="仿宋" w:hAnsi="仿宋" w:eastAsia="仿宋"/>
                <w:color w:val="auto"/>
                <w:szCs w:val="21"/>
                <w:highlight w:val="none"/>
              </w:rPr>
            </w:pPr>
            <w:r>
              <w:rPr>
                <w:rFonts w:hint="eastAsia" w:ascii="仿宋" w:hAnsi="仿宋" w:eastAsia="仿宋"/>
                <w:color w:val="auto"/>
                <w:szCs w:val="21"/>
                <w:highlight w:val="none"/>
              </w:rPr>
              <w:t>对接校内的车辆道闸以及车辆信息库，对机动车、非机动车以及车辆进出信息进行管理。对接校门口的车辆道闸，获取车辆进出的记录。</w:t>
            </w:r>
          </w:p>
          <w:p>
            <w:pPr>
              <w:snapToGrid w:val="0"/>
              <w:rPr>
                <w:rFonts w:ascii="仿宋" w:hAnsi="仿宋" w:eastAsia="仿宋"/>
                <w:color w:val="auto"/>
                <w:szCs w:val="21"/>
                <w:highlight w:val="none"/>
              </w:rPr>
            </w:pPr>
            <w:r>
              <w:rPr>
                <w:rFonts w:hint="eastAsia" w:ascii="仿宋" w:hAnsi="仿宋" w:eastAsia="仿宋"/>
                <w:color w:val="auto"/>
                <w:szCs w:val="21"/>
                <w:highlight w:val="none"/>
              </w:rPr>
              <w:t>非机动车辆管理需采用二维码方式管理，建立非机动车辆登记信息库，具体到分院、年级、班级，实名登记，发生违章时管理人员通过手机扫描车辆二维码上报，及时推送师生，预留RFID接口与闸机联动功能。统计违章事件数据，可通过形态图、表格等各类形式展现出来，系统支持按日期、违章类型、地点等方式来查询统计信息</w:t>
            </w:r>
            <w:r>
              <w:rPr>
                <w:rFonts w:ascii="仿宋" w:hAnsi="仿宋" w:eastAsia="仿宋"/>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5</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olor w:val="auto"/>
                <w:szCs w:val="21"/>
                <w:highlight w:val="none"/>
              </w:rPr>
              <w:t>消防管理系统</w:t>
            </w:r>
          </w:p>
        </w:tc>
        <w:tc>
          <w:tcPr>
            <w:tcW w:w="7235" w:type="dxa"/>
            <w:gridSpan w:val="2"/>
          </w:tcPr>
          <w:p>
            <w:pPr>
              <w:snapToGrid w:val="0"/>
              <w:rPr>
                <w:rFonts w:ascii="仿宋" w:hAnsi="仿宋" w:eastAsia="仿宋"/>
                <w:color w:val="auto"/>
                <w:szCs w:val="21"/>
                <w:highlight w:val="none"/>
                <w:lang w:val="fr-FR"/>
              </w:rPr>
            </w:pPr>
            <w:r>
              <w:rPr>
                <w:rFonts w:hint="eastAsia" w:ascii="仿宋" w:hAnsi="仿宋" w:eastAsia="仿宋"/>
                <w:color w:val="auto"/>
                <w:szCs w:val="21"/>
                <w:highlight w:val="none"/>
                <w:lang w:val="zh-CN"/>
              </w:rPr>
              <w:t>实现对</w:t>
            </w:r>
            <w:r>
              <w:rPr>
                <w:rFonts w:hint="eastAsia" w:ascii="仿宋" w:hAnsi="仿宋" w:eastAsia="仿宋"/>
                <w:color w:val="auto"/>
                <w:szCs w:val="21"/>
                <w:highlight w:val="none"/>
                <w:lang w:val="fr-FR"/>
              </w:rPr>
              <w:t>消防系统的接入，能够对消防点位信息管理和查询。</w:t>
            </w:r>
          </w:p>
          <w:p>
            <w:pPr>
              <w:snapToGrid w:val="0"/>
              <w:rPr>
                <w:rFonts w:ascii="仿宋" w:hAnsi="仿宋" w:eastAsia="仿宋"/>
                <w:color w:val="auto"/>
                <w:szCs w:val="21"/>
                <w:highlight w:val="none"/>
                <w:lang w:val="fr-FR"/>
              </w:rPr>
            </w:pPr>
            <w:r>
              <w:rPr>
                <w:rFonts w:hint="eastAsia" w:ascii="仿宋" w:hAnsi="仿宋" w:eastAsia="仿宋"/>
                <w:color w:val="auto"/>
                <w:szCs w:val="21"/>
                <w:highlight w:val="none"/>
                <w:lang w:val="fr-FR"/>
              </w:rPr>
              <w:t>支持三维地图上标识校内所有各种消防点位注册。</w:t>
            </w:r>
          </w:p>
          <w:p>
            <w:pPr>
              <w:snapToGrid w:val="0"/>
              <w:rPr>
                <w:rFonts w:ascii="仿宋" w:hAnsi="仿宋" w:eastAsia="仿宋"/>
                <w:color w:val="auto"/>
                <w:szCs w:val="21"/>
                <w:highlight w:val="none"/>
                <w:lang w:val="zh-CN"/>
              </w:rPr>
            </w:pPr>
            <w:r>
              <w:rPr>
                <w:rFonts w:hint="eastAsia" w:ascii="仿宋" w:hAnsi="仿宋" w:eastAsia="仿宋"/>
                <w:color w:val="auto"/>
                <w:szCs w:val="21"/>
                <w:highlight w:val="none"/>
                <w:lang w:val="zh-CN"/>
              </w:rPr>
              <w:t>用于将学校内各个消防报警设备点位设置，用户可在该模块对每个设备的名称、型号、安装地点、地图标注等进行设置。</w:t>
            </w:r>
          </w:p>
          <w:p>
            <w:pPr>
              <w:snapToGrid w:val="0"/>
              <w:rPr>
                <w:rFonts w:ascii="仿宋" w:hAnsi="仿宋" w:eastAsia="仿宋"/>
                <w:color w:val="auto"/>
                <w:szCs w:val="21"/>
                <w:highlight w:val="none"/>
                <w:lang w:val="zh-CN"/>
              </w:rPr>
            </w:pPr>
            <w:r>
              <w:rPr>
                <w:rFonts w:hint="eastAsia" w:ascii="仿宋" w:hAnsi="仿宋" w:eastAsia="仿宋"/>
                <w:color w:val="auto"/>
                <w:szCs w:val="21"/>
                <w:highlight w:val="none"/>
                <w:lang w:val="zh-CN"/>
              </w:rPr>
              <w:t>统计各类校园消防报警事件数据，可通过饼状图、柱状图、表格等各类形式展现出来，系统支持按日期、类型、设备等方式来查询统计信息。</w:t>
            </w:r>
          </w:p>
          <w:p>
            <w:pPr>
              <w:snapToGrid w:val="0"/>
              <w:rPr>
                <w:rFonts w:ascii="仿宋" w:hAnsi="仿宋" w:eastAsia="仿宋"/>
                <w:color w:val="auto"/>
                <w:szCs w:val="21"/>
                <w:highlight w:val="none"/>
              </w:rPr>
            </w:pPr>
            <w:r>
              <w:rPr>
                <w:rFonts w:hint="eastAsia" w:ascii="仿宋" w:hAnsi="仿宋" w:eastAsia="仿宋"/>
                <w:color w:val="auto"/>
                <w:szCs w:val="21"/>
                <w:highlight w:val="none"/>
              </w:rPr>
              <w:t>支持火灾自动报警功能，通过</w:t>
            </w:r>
            <w:r>
              <w:rPr>
                <w:rFonts w:hint="eastAsia" w:ascii="仿宋" w:hAnsi="仿宋" w:eastAsia="仿宋"/>
                <w:color w:val="auto"/>
                <w:szCs w:val="21"/>
                <w:highlight w:val="none"/>
                <w:lang w:eastAsia="zh-Hans"/>
              </w:rPr>
              <w:t>对接消防平台</w:t>
            </w:r>
            <w:r>
              <w:rPr>
                <w:rFonts w:hint="eastAsia" w:ascii="仿宋" w:hAnsi="仿宋" w:eastAsia="仿宋"/>
                <w:color w:val="auto"/>
                <w:szCs w:val="21"/>
                <w:highlight w:val="none"/>
              </w:rPr>
              <w:t>获取烟感、温感、手动报警器、消防栓设备数据，对烟感、温感、手动报警器消防栓运行状态进行实时监控，获取设备故障或者报警信息。</w:t>
            </w:r>
          </w:p>
          <w:p>
            <w:pPr>
              <w:snapToGrid w:val="0"/>
              <w:rPr>
                <w:rFonts w:ascii="仿宋" w:hAnsi="仿宋" w:eastAsia="仿宋"/>
                <w:color w:val="auto"/>
                <w:szCs w:val="21"/>
                <w:highlight w:val="none"/>
              </w:rPr>
            </w:pPr>
            <w:r>
              <w:rPr>
                <w:rFonts w:hint="eastAsia" w:ascii="仿宋" w:hAnsi="仿宋" w:eastAsia="仿宋"/>
                <w:color w:val="auto"/>
                <w:szCs w:val="21"/>
                <w:highlight w:val="none"/>
              </w:rPr>
              <w:t>发生报警后需在指挥地图上显示且可以看见报警</w:t>
            </w:r>
            <w:r>
              <w:rPr>
                <w:rFonts w:hint="eastAsia" w:ascii="仿宋" w:hAnsi="仿宋" w:eastAsia="仿宋"/>
                <w:color w:val="auto"/>
                <w:szCs w:val="21"/>
                <w:highlight w:val="none"/>
                <w:lang w:eastAsia="zh-Hans"/>
              </w:rPr>
              <w:t>点关联</w:t>
            </w:r>
            <w:r>
              <w:rPr>
                <w:rFonts w:hint="eastAsia" w:ascii="仿宋" w:hAnsi="仿宋" w:eastAsia="仿宋"/>
                <w:color w:val="auto"/>
                <w:szCs w:val="21"/>
                <w:highlight w:val="none"/>
              </w:rPr>
              <w:t>的监控</w:t>
            </w:r>
            <w:r>
              <w:rPr>
                <w:rFonts w:ascii="仿宋" w:hAnsi="仿宋" w:eastAsia="仿宋"/>
                <w:color w:val="auto"/>
                <w:szCs w:val="21"/>
                <w:highlight w:val="none"/>
              </w:rPr>
              <w:t>，</w:t>
            </w:r>
            <w:r>
              <w:rPr>
                <w:rFonts w:hint="eastAsia" w:ascii="仿宋" w:hAnsi="仿宋" w:eastAsia="仿宋"/>
                <w:color w:val="auto"/>
                <w:szCs w:val="21"/>
                <w:highlight w:val="none"/>
                <w:lang w:eastAsia="zh-Hans"/>
              </w:rPr>
              <w:t>并且报警信息同步发送给安保工作人员</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在移动端进行警情处置</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生成消防报警事件处置闭环</w:t>
            </w:r>
            <w:r>
              <w:rPr>
                <w:rFonts w:hint="eastAsia" w:ascii="仿宋" w:hAnsi="仿宋" w:eastAsia="仿宋"/>
                <w:color w:val="auto"/>
                <w:szCs w:val="21"/>
                <w:highlight w:val="none"/>
              </w:rPr>
              <w:t>。</w:t>
            </w:r>
          </w:p>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对消防器材进行管理</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对临期消防器材进行预警提醒，系统能提前推送信息主动提醒相关人员</w:t>
            </w:r>
            <w:r>
              <w:rPr>
                <w:rFonts w:ascii="仿宋" w:hAnsi="仿宋" w:eastAsia="仿宋"/>
                <w:color w:val="auto"/>
                <w:szCs w:val="21"/>
                <w:highlight w:val="no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6</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olor w:val="auto"/>
                <w:szCs w:val="21"/>
                <w:highlight w:val="none"/>
                <w:lang w:eastAsia="zh-Hans"/>
              </w:rPr>
              <w:t>安全台账管理</w:t>
            </w:r>
            <w:r>
              <w:rPr>
                <w:rFonts w:hint="eastAsia" w:ascii="仿宋" w:hAnsi="仿宋" w:eastAsia="仿宋"/>
                <w:color w:val="auto"/>
                <w:szCs w:val="21"/>
                <w:highlight w:val="none"/>
              </w:rPr>
              <w:t>系统</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根据平安校园考核办法，对校内各类安全台账进行管理，配有二级部门权限管理，方便二级部门进行台账数据的上传记录。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7</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olor w:val="auto"/>
                <w:szCs w:val="21"/>
                <w:highlight w:val="none"/>
                <w:lang w:eastAsia="zh-Hans"/>
              </w:rPr>
              <w:t>访客管理</w:t>
            </w:r>
            <w:r>
              <w:rPr>
                <w:rFonts w:hint="eastAsia" w:ascii="仿宋" w:hAnsi="仿宋" w:eastAsia="仿宋"/>
                <w:color w:val="auto"/>
                <w:szCs w:val="21"/>
                <w:highlight w:val="none"/>
              </w:rPr>
              <w:t>系统模块</w:t>
            </w:r>
          </w:p>
        </w:tc>
        <w:tc>
          <w:tcPr>
            <w:tcW w:w="7235" w:type="dxa"/>
            <w:gridSpan w:val="2"/>
          </w:tcPr>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支持微信端或钉钉端提交访客信息</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支持内部审批流转</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对于提交审批的访客数据通过防疫子系统进行数据核查，确保健康码状态实时无异常。对审批通过的访客数据系统自动下派到前端人行道闸及车辆道闸、门岗管理人员移动端等。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8</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s="宋体"/>
                <w:color w:val="auto"/>
                <w:kern w:val="0"/>
                <w:szCs w:val="21"/>
                <w:highlight w:val="none"/>
              </w:rPr>
              <w:t>预警</w:t>
            </w:r>
            <w:r>
              <w:rPr>
                <w:rFonts w:hint="eastAsia" w:ascii="仿宋" w:hAnsi="仿宋" w:eastAsia="仿宋"/>
                <w:color w:val="auto"/>
                <w:szCs w:val="21"/>
                <w:highlight w:val="none"/>
                <w:lang w:eastAsia="zh-Hans"/>
              </w:rPr>
              <w:t>统计</w:t>
            </w:r>
            <w:r>
              <w:rPr>
                <w:rFonts w:hint="eastAsia" w:ascii="仿宋" w:hAnsi="仿宋" w:eastAsia="仿宋"/>
                <w:color w:val="auto"/>
                <w:szCs w:val="21"/>
                <w:highlight w:val="none"/>
              </w:rPr>
              <w:t>分析系统</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支持按照用户需求，对校园内的人、地、事、物、等关联信息分类统计。</w:t>
            </w:r>
          </w:p>
          <w:p>
            <w:pPr>
              <w:snapToGrid w:val="0"/>
              <w:rPr>
                <w:rFonts w:ascii="仿宋" w:hAnsi="仿宋" w:eastAsia="仿宋"/>
                <w:color w:val="auto"/>
                <w:szCs w:val="21"/>
                <w:highlight w:val="none"/>
              </w:rPr>
            </w:pPr>
            <w:r>
              <w:rPr>
                <w:rFonts w:hint="eastAsia" w:ascii="仿宋" w:hAnsi="仿宋" w:eastAsia="仿宋"/>
                <w:color w:val="auto"/>
                <w:szCs w:val="21"/>
                <w:highlight w:val="none"/>
              </w:rPr>
              <w:t>支持对校园内的重点关注数据进行分析，通过分析的数据结合业务需求，分析园区内数据情况。</w:t>
            </w:r>
          </w:p>
          <w:p>
            <w:pPr>
              <w:snapToGrid w:val="0"/>
              <w:rPr>
                <w:rFonts w:ascii="仿宋" w:hAnsi="仿宋" w:eastAsia="仿宋"/>
                <w:color w:val="auto"/>
                <w:szCs w:val="21"/>
                <w:highlight w:val="none"/>
              </w:rPr>
            </w:pPr>
            <w:r>
              <w:rPr>
                <w:rFonts w:hint="eastAsia" w:ascii="仿宋" w:hAnsi="仿宋" w:eastAsia="仿宋"/>
                <w:color w:val="auto"/>
                <w:szCs w:val="21"/>
                <w:highlight w:val="none"/>
              </w:rPr>
              <w:t>支持集中展示分类统计图例，可根据产生的不同维度的数据信息之间的关联进行分类统计。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9</w:t>
            </w:r>
          </w:p>
        </w:tc>
        <w:tc>
          <w:tcPr>
            <w:tcW w:w="1389" w:type="dxa"/>
            <w:vAlign w:val="center"/>
          </w:tcPr>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lang w:eastAsia="zh-Hans"/>
              </w:rPr>
            </w:pPr>
          </w:p>
          <w:p>
            <w:pPr>
              <w:pStyle w:val="2"/>
              <w:rPr>
                <w:rFonts w:ascii="仿宋" w:hAnsi="仿宋" w:eastAsia="仿宋"/>
                <w:color w:val="auto"/>
                <w:highlight w:val="none"/>
                <w:lang w:eastAsia="zh-Hans"/>
              </w:rPr>
            </w:pPr>
          </w:p>
          <w:p>
            <w:pPr>
              <w:pStyle w:val="2"/>
              <w:rPr>
                <w:rFonts w:ascii="仿宋" w:hAnsi="仿宋" w:eastAsia="仿宋"/>
                <w:color w:val="auto"/>
                <w:highlight w:val="none"/>
                <w:lang w:eastAsia="zh-Hans"/>
              </w:rPr>
            </w:pPr>
          </w:p>
          <w:p>
            <w:pPr>
              <w:pStyle w:val="2"/>
              <w:rPr>
                <w:rFonts w:ascii="仿宋" w:hAnsi="仿宋" w:eastAsia="仿宋"/>
                <w:color w:val="auto"/>
                <w:highlight w:val="none"/>
                <w:lang w:eastAsia="zh-Hans"/>
              </w:rPr>
            </w:pPr>
          </w:p>
          <w:p>
            <w:pPr>
              <w:pStyle w:val="2"/>
              <w:rPr>
                <w:rFonts w:ascii="仿宋" w:hAnsi="仿宋" w:eastAsia="仿宋"/>
                <w:color w:val="auto"/>
                <w:highlight w:val="none"/>
                <w:lang w:eastAsia="zh-Hans"/>
              </w:rPr>
            </w:pPr>
          </w:p>
          <w:p>
            <w:pPr>
              <w:pStyle w:val="2"/>
              <w:rPr>
                <w:rFonts w:ascii="仿宋" w:hAnsi="仿宋" w:eastAsia="仿宋"/>
                <w:color w:val="auto"/>
                <w:highlight w:val="none"/>
                <w:lang w:eastAsia="zh-Hans"/>
              </w:rPr>
            </w:pPr>
          </w:p>
          <w:p>
            <w:pPr>
              <w:pStyle w:val="2"/>
              <w:rPr>
                <w:rFonts w:ascii="仿宋" w:hAnsi="仿宋" w:eastAsia="仿宋"/>
                <w:color w:val="auto"/>
                <w:highlight w:val="none"/>
                <w:lang w:eastAsia="zh-Hans"/>
              </w:rPr>
            </w:pPr>
          </w:p>
          <w:p>
            <w:pPr>
              <w:pStyle w:val="2"/>
              <w:rPr>
                <w:rFonts w:ascii="仿宋" w:hAnsi="仿宋" w:eastAsia="仿宋"/>
                <w:color w:val="auto"/>
                <w:highlight w:val="none"/>
                <w:lang w:eastAsia="zh-Hans"/>
              </w:rPr>
            </w:pPr>
          </w:p>
          <w:p>
            <w:pPr>
              <w:pStyle w:val="2"/>
              <w:rPr>
                <w:rFonts w:ascii="仿宋" w:hAnsi="仿宋" w:eastAsia="仿宋"/>
                <w:color w:val="auto"/>
                <w:highlight w:val="none"/>
                <w:lang w:eastAsia="zh-Hans"/>
              </w:rPr>
            </w:pPr>
          </w:p>
          <w:p>
            <w:pPr>
              <w:snapToGrid w:val="0"/>
              <w:rPr>
                <w:rFonts w:ascii="仿宋" w:hAnsi="仿宋" w:eastAsia="仿宋"/>
                <w:color w:val="auto"/>
                <w:szCs w:val="21"/>
                <w:highlight w:val="none"/>
                <w:lang w:eastAsia="zh-Hans"/>
              </w:rPr>
            </w:pPr>
          </w:p>
          <w:p>
            <w:pPr>
              <w:snapToGrid w:val="0"/>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olor w:val="auto"/>
                <w:szCs w:val="21"/>
                <w:highlight w:val="none"/>
              </w:rPr>
              <w:t>数字</w:t>
            </w:r>
            <w:r>
              <w:rPr>
                <w:rFonts w:hint="eastAsia" w:ascii="仿宋" w:hAnsi="仿宋" w:eastAsia="仿宋"/>
                <w:color w:val="auto"/>
                <w:szCs w:val="21"/>
                <w:highlight w:val="none"/>
                <w:lang w:eastAsia="zh-Hans"/>
              </w:rPr>
              <w:t>驾驶舱+数据看板</w:t>
            </w:r>
            <w:r>
              <w:rPr>
                <w:rFonts w:hint="eastAsia" w:ascii="仿宋" w:hAnsi="仿宋" w:eastAsia="仿宋"/>
                <w:color w:val="auto"/>
                <w:szCs w:val="21"/>
                <w:highlight w:val="none"/>
              </w:rPr>
              <w:t>模块</w:t>
            </w:r>
          </w:p>
        </w:tc>
        <w:tc>
          <w:tcPr>
            <w:tcW w:w="7235" w:type="dxa"/>
            <w:gridSpan w:val="2"/>
          </w:tcPr>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rPr>
              <w:t>与后台的数据库连接，集成视频监控系统、消防报警系统硬件设备，在校园三维地图标记监控、消防等设备以及楼宇的点位，对地图上各类显示的事件图标进行分类设置。与平台设备数据对接，当发生警报时，会发出报警联动反应，指挥平台弹出报警周边相关监控视频。对校内各类宏观数据、动态数据进行实时分类呈现，以图表或明细的方案，根据不同的业务内容设计不同的看板呈现形式。</w:t>
            </w:r>
            <w:r>
              <w:rPr>
                <w:rFonts w:hint="eastAsia" w:ascii="仿宋" w:hAnsi="仿宋" w:eastAsia="仿宋"/>
                <w:color w:val="auto"/>
                <w:szCs w:val="21"/>
                <w:highlight w:val="none"/>
                <w:lang w:eastAsia="zh-Hans"/>
              </w:rPr>
              <w:t>对所嵌入的三维地图</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支持与设备数据标记关联</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对接AI人脸分析服务器</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支持人脸数据以图搜图</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以图搜人</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以人搜图等场景模式进行人员数据检索</w:t>
            </w:r>
            <w:r>
              <w:rPr>
                <w:rFonts w:ascii="仿宋" w:hAnsi="仿宋" w:eastAsia="仿宋"/>
                <w:color w:val="auto"/>
                <w:szCs w:val="21"/>
                <w:highlight w:val="none"/>
                <w:lang w:eastAsia="zh-Hans"/>
              </w:rPr>
              <w:t>。</w:t>
            </w:r>
          </w:p>
          <w:p>
            <w:pPr>
              <w:pStyle w:val="2"/>
              <w:ind w:firstLine="0" w:firstLineChars="0"/>
              <w:rPr>
                <w:rFonts w:ascii="仿宋" w:hAnsi="仿宋" w:eastAsia="仿宋"/>
                <w:b/>
                <w:bCs/>
                <w:color w:val="auto"/>
                <w:szCs w:val="21"/>
                <w:highlight w:val="none"/>
              </w:rPr>
            </w:pPr>
            <w:r>
              <w:rPr>
                <w:rFonts w:hint="eastAsia" w:ascii="仿宋" w:hAnsi="仿宋" w:eastAsia="仿宋"/>
                <w:b/>
                <w:bCs/>
                <w:color w:val="auto"/>
                <w:szCs w:val="21"/>
                <w:highlight w:val="none"/>
              </w:rPr>
              <w:t>数据看板</w:t>
            </w:r>
          </w:p>
          <w:p>
            <w:pPr>
              <w:pStyle w:val="2"/>
              <w:ind w:firstLine="0" w:firstLineChars="0"/>
              <w:rPr>
                <w:rFonts w:ascii="仿宋" w:hAnsi="仿宋" w:eastAsia="仿宋"/>
                <w:color w:val="auto"/>
                <w:highlight w:val="none"/>
                <w:lang w:eastAsia="zh-Hans"/>
              </w:rPr>
            </w:pPr>
            <w:r>
              <w:rPr>
                <w:rFonts w:hint="eastAsia" w:ascii="仿宋" w:hAnsi="仿宋" w:eastAsia="仿宋"/>
                <w:b/>
                <w:bCs/>
                <w:color w:val="auto"/>
                <w:highlight w:val="none"/>
                <w:lang w:eastAsia="zh-Hans"/>
              </w:rPr>
              <w:t>总览看板</w:t>
            </w:r>
            <w:r>
              <w:rPr>
                <w:rFonts w:hint="eastAsia" w:ascii="仿宋" w:hAnsi="仿宋" w:eastAsia="仿宋"/>
                <w:color w:val="auto"/>
                <w:highlight w:val="none"/>
                <w:lang w:eastAsia="zh-Hans"/>
              </w:rPr>
              <w:t>：管理者宏观了解校园运行状态数据信息，将采集的人员通行数据、访客数据、人员结构、车辆通行数据、停车场使用率、违章统计、告警统计、运维统计等通过数据看板展示出来。</w:t>
            </w:r>
          </w:p>
          <w:p>
            <w:pPr>
              <w:pStyle w:val="2"/>
              <w:ind w:firstLine="0" w:firstLineChars="0"/>
              <w:rPr>
                <w:rFonts w:ascii="仿宋" w:hAnsi="仿宋" w:eastAsia="仿宋"/>
                <w:color w:val="auto"/>
                <w:highlight w:val="none"/>
                <w:lang w:eastAsia="zh-Hans"/>
              </w:rPr>
            </w:pPr>
            <w:r>
              <w:rPr>
                <w:rFonts w:hint="eastAsia" w:ascii="仿宋" w:hAnsi="仿宋" w:eastAsia="仿宋"/>
                <w:color w:val="auto"/>
                <w:highlight w:val="none"/>
                <w:lang w:eastAsia="zh-Hans"/>
              </w:rPr>
              <w:t>包含时间、天气、校园总览、AR实景、内部人员统计、访客统计、园区抓拍、告警统计、车辆/车位统计、校园视频轮巡、设备运维统计等模块。</w:t>
            </w:r>
          </w:p>
          <w:p>
            <w:pPr>
              <w:pStyle w:val="2"/>
              <w:ind w:firstLine="0" w:firstLineChars="0"/>
              <w:rPr>
                <w:rFonts w:ascii="仿宋" w:hAnsi="仿宋" w:eastAsia="仿宋"/>
                <w:color w:val="auto"/>
                <w:highlight w:val="none"/>
                <w:lang w:eastAsia="zh-Hans"/>
              </w:rPr>
            </w:pPr>
            <w:r>
              <w:rPr>
                <w:rFonts w:hint="eastAsia" w:ascii="仿宋" w:hAnsi="仿宋" w:eastAsia="仿宋"/>
                <w:b/>
                <w:bCs/>
                <w:color w:val="auto"/>
                <w:highlight w:val="none"/>
                <w:lang w:eastAsia="zh-Hans"/>
              </w:rPr>
              <w:t>安防管控专题看板:</w:t>
            </w:r>
            <w:r>
              <w:rPr>
                <w:rFonts w:hint="eastAsia" w:ascii="仿宋" w:hAnsi="仿宋" w:eastAsia="仿宋"/>
                <w:color w:val="auto"/>
                <w:highlight w:val="none"/>
              </w:rPr>
              <w:t xml:space="preserve"> </w:t>
            </w:r>
            <w:r>
              <w:rPr>
                <w:rFonts w:hint="eastAsia" w:ascii="仿宋" w:hAnsi="仿宋" w:eastAsia="仿宋"/>
                <w:color w:val="auto"/>
                <w:highlight w:val="none"/>
                <w:lang w:eastAsia="zh-Hans"/>
              </w:rPr>
              <w:t>安防管控专题看板，展示今日安防告警统计、本月告警排行、近七天告警趋势、设备为运维统计、监控点离线统计、告警事件处理以及重点视频。</w:t>
            </w:r>
          </w:p>
          <w:p>
            <w:pPr>
              <w:pStyle w:val="2"/>
              <w:ind w:firstLine="0" w:firstLineChars="0"/>
              <w:rPr>
                <w:rFonts w:ascii="仿宋" w:hAnsi="仿宋" w:eastAsia="仿宋"/>
                <w:b/>
                <w:bCs/>
                <w:color w:val="auto"/>
                <w:highlight w:val="none"/>
                <w:lang w:eastAsia="zh-Hans"/>
              </w:rPr>
            </w:pPr>
            <w:r>
              <w:rPr>
                <w:rFonts w:hint="eastAsia" w:ascii="仿宋" w:hAnsi="仿宋" w:eastAsia="仿宋"/>
                <w:b/>
                <w:bCs/>
                <w:color w:val="auto"/>
                <w:highlight w:val="none"/>
                <w:lang w:eastAsia="zh-Hans"/>
              </w:rPr>
              <w:t>人员态势专题看板:</w:t>
            </w:r>
            <w:r>
              <w:rPr>
                <w:rFonts w:hint="eastAsia" w:ascii="仿宋" w:hAnsi="仿宋" w:eastAsia="仿宋"/>
                <w:color w:val="auto"/>
                <w:highlight w:val="none"/>
              </w:rPr>
              <w:t xml:space="preserve"> </w:t>
            </w:r>
            <w:r>
              <w:rPr>
                <w:rFonts w:hint="eastAsia" w:ascii="仿宋" w:hAnsi="仿宋" w:eastAsia="仿宋"/>
                <w:color w:val="auto"/>
                <w:highlight w:val="none"/>
                <w:lang w:eastAsia="zh-Hans"/>
              </w:rPr>
              <w:t>人员态势专题看板，展示今日校园人数统计（访客人数、人不人员人数）、内部人员统计、内部人员趋势、近七日内部人员统计等。</w:t>
            </w:r>
          </w:p>
          <w:p>
            <w:pPr>
              <w:pStyle w:val="2"/>
              <w:ind w:firstLine="0" w:firstLineChars="0"/>
              <w:rPr>
                <w:rFonts w:ascii="仿宋" w:hAnsi="仿宋" w:eastAsia="仿宋"/>
                <w:color w:val="auto"/>
                <w:highlight w:val="none"/>
                <w:lang w:eastAsia="zh-Hans"/>
              </w:rPr>
            </w:pPr>
            <w:r>
              <w:rPr>
                <w:rFonts w:hint="eastAsia" w:ascii="仿宋" w:hAnsi="仿宋" w:eastAsia="仿宋"/>
                <w:b/>
                <w:bCs/>
                <w:color w:val="auto"/>
                <w:highlight w:val="none"/>
                <w:lang w:eastAsia="zh-Hans"/>
              </w:rPr>
              <w:t>车辆态势专题看板:</w:t>
            </w:r>
            <w:r>
              <w:rPr>
                <w:rFonts w:hint="eastAsia" w:ascii="仿宋" w:hAnsi="仿宋" w:eastAsia="仿宋"/>
                <w:color w:val="auto"/>
                <w:highlight w:val="none"/>
              </w:rPr>
              <w:t xml:space="preserve"> </w:t>
            </w:r>
            <w:r>
              <w:rPr>
                <w:rFonts w:hint="eastAsia" w:ascii="仿宋" w:hAnsi="仿宋" w:eastAsia="仿宋"/>
                <w:color w:val="auto"/>
                <w:highlight w:val="none"/>
                <w:lang w:eastAsia="zh-Hans"/>
              </w:rPr>
              <w:t>车辆态势专题看板，包含今日车辆实时统计、今日车辆统计、今日车辆/车位统计、当月进入车辆属地统计、车流量统计、车辆进出实时抓拍展示等模块。</w:t>
            </w:r>
          </w:p>
          <w:p>
            <w:pPr>
              <w:pStyle w:val="2"/>
              <w:ind w:firstLine="0" w:firstLineChars="0"/>
              <w:rPr>
                <w:rFonts w:ascii="仿宋" w:hAnsi="仿宋" w:eastAsia="仿宋"/>
                <w:color w:val="auto"/>
                <w:highlight w:val="none"/>
                <w:lang w:eastAsia="zh-Hans"/>
              </w:rPr>
            </w:pPr>
            <w:r>
              <w:rPr>
                <w:rFonts w:hint="eastAsia" w:ascii="仿宋" w:hAnsi="仿宋" w:eastAsia="仿宋"/>
                <w:b/>
                <w:bCs/>
                <w:color w:val="auto"/>
                <w:highlight w:val="none"/>
                <w:lang w:eastAsia="zh-Hans"/>
              </w:rPr>
              <w:t>消防一张图专题看板:</w:t>
            </w:r>
            <w:r>
              <w:rPr>
                <w:rFonts w:hint="eastAsia" w:ascii="仿宋" w:hAnsi="仿宋" w:eastAsia="仿宋"/>
                <w:color w:val="auto"/>
                <w:highlight w:val="none"/>
              </w:rPr>
              <w:t xml:space="preserve"> </w:t>
            </w:r>
            <w:r>
              <w:rPr>
                <w:rFonts w:hint="eastAsia" w:ascii="仿宋" w:hAnsi="仿宋" w:eastAsia="仿宋"/>
                <w:color w:val="auto"/>
                <w:highlight w:val="none"/>
                <w:lang w:eastAsia="zh-Hans"/>
              </w:rPr>
              <w:t>消防一张图专题看板，展示消防设备报警/隐患统计、设备状态统计、各系统设备报警/隐患排名、消防设备数量统计、消控室视频等数据。</w:t>
            </w:r>
          </w:p>
          <w:p>
            <w:pPr>
              <w:pStyle w:val="2"/>
              <w:ind w:firstLine="0" w:firstLineChars="0"/>
              <w:rPr>
                <w:rFonts w:ascii="仿宋" w:hAnsi="仿宋" w:eastAsia="仿宋"/>
                <w:color w:val="auto"/>
                <w:szCs w:val="21"/>
                <w:highlight w:val="none"/>
              </w:rPr>
            </w:pPr>
            <w:r>
              <w:rPr>
                <w:rFonts w:hint="eastAsia" w:ascii="仿宋" w:hAnsi="仿宋" w:eastAsia="仿宋"/>
                <w:b/>
                <w:bCs/>
                <w:color w:val="auto"/>
                <w:szCs w:val="21"/>
                <w:highlight w:val="none"/>
              </w:rPr>
              <w:t>指挥地图</w:t>
            </w:r>
            <w:r>
              <w:rPr>
                <w:rFonts w:hint="eastAsia" w:ascii="仿宋" w:hAnsi="仿宋" w:eastAsia="仿宋"/>
                <w:color w:val="auto"/>
                <w:szCs w:val="21"/>
                <w:highlight w:val="none"/>
                <w:lang w:val="fr-FR"/>
              </w:rPr>
              <w:t>：</w:t>
            </w:r>
            <w:r>
              <w:rPr>
                <w:rFonts w:hint="eastAsia" w:ascii="仿宋" w:hAnsi="仿宋" w:eastAsia="仿宋"/>
                <w:color w:val="auto"/>
                <w:szCs w:val="21"/>
                <w:highlight w:val="none"/>
              </w:rPr>
              <w:t>加强校务管理人对校园管理对象的信息掌握度，实现校园基础工作可视化管理。平台可以和地图范围内现有的监控系统进行无缝集成，实时确保校园安全，构筑平安校园。通过选定地点的路径查询功能，输入起始地点和目标地点，实现路径导航功能。通过地图上的各类显示图标可以查看事件详情可对校园每个区域的消防设备进行添加管理进行定位。对地图上各类显示的事件图标进行分类设置。</w:t>
            </w:r>
          </w:p>
          <w:p>
            <w:pPr>
              <w:snapToGrid w:val="0"/>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安防三维地图软件应用</w:t>
            </w:r>
          </w:p>
          <w:p>
            <w:pPr>
              <w:pStyle w:val="254"/>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一、安防管理可视化和区域数字化</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1、安防管理场景可视化</w:t>
            </w:r>
          </w:p>
          <w:p>
            <w:pPr>
              <w:pStyle w:val="254"/>
              <w:rPr>
                <w:rFonts w:ascii="仿宋" w:hAnsi="仿宋" w:eastAsia="仿宋"/>
                <w:color w:val="auto"/>
                <w:sz w:val="21"/>
                <w:szCs w:val="21"/>
                <w:highlight w:val="none"/>
              </w:rPr>
            </w:pPr>
            <w:r>
              <w:rPr>
                <w:rFonts w:hint="eastAsia" w:ascii="仿宋" w:hAnsi="仿宋" w:eastAsia="仿宋"/>
                <w:color w:val="auto"/>
                <w:sz w:val="21"/>
                <w:szCs w:val="21"/>
                <w:highlight w:val="none"/>
              </w:rPr>
              <w:t>呈现整个场景从“大门-周界-主干路-建筑-楼层-房间”一体化的可视化场景。</w:t>
            </w:r>
          </w:p>
          <w:p>
            <w:pPr>
              <w:pStyle w:val="254"/>
              <w:rPr>
                <w:rFonts w:ascii="仿宋" w:hAnsi="仿宋" w:eastAsia="仿宋"/>
                <w:color w:val="auto"/>
                <w:sz w:val="21"/>
                <w:szCs w:val="21"/>
                <w:highlight w:val="none"/>
              </w:rPr>
            </w:pPr>
            <w:r>
              <w:rPr>
                <w:rFonts w:hint="eastAsia" w:ascii="仿宋" w:hAnsi="仿宋" w:eastAsia="仿宋" w:cs="宋体"/>
                <w:color w:val="auto"/>
                <w:sz w:val="21"/>
                <w:szCs w:val="21"/>
                <w:highlight w:val="none"/>
              </w:rPr>
              <w:t>在场景中进行空间漫游，以上帝视角进行俯视飞行，纵览整体区域和重点区域。</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2、安防资源的可视化</w:t>
            </w:r>
          </w:p>
          <w:p>
            <w:pPr>
              <w:pStyle w:val="254"/>
              <w:rPr>
                <w:rFonts w:ascii="仿宋" w:hAnsi="仿宋" w:eastAsia="仿宋"/>
                <w:color w:val="auto"/>
                <w:sz w:val="21"/>
                <w:szCs w:val="21"/>
                <w:highlight w:val="none"/>
              </w:rPr>
            </w:pPr>
            <w:r>
              <w:rPr>
                <w:rFonts w:hint="eastAsia" w:ascii="仿宋" w:hAnsi="仿宋" w:eastAsia="仿宋"/>
                <w:color w:val="auto"/>
                <w:sz w:val="21"/>
                <w:szCs w:val="21"/>
                <w:highlight w:val="none"/>
              </w:rPr>
              <w:t>呈现各类安防设备资源的地图分布，以不同设备图标方式标记，支持聚合功能；</w:t>
            </w:r>
          </w:p>
          <w:p>
            <w:pPr>
              <w:pStyle w:val="254"/>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以标准区域，或以自定义区域来统计该区域内的设备资源，包括种类、数量、状态等；</w:t>
            </w:r>
          </w:p>
          <w:p>
            <w:pPr>
              <w:pStyle w:val="254"/>
              <w:rPr>
                <w:rFonts w:ascii="仿宋" w:hAnsi="仿宋" w:eastAsia="仿宋"/>
                <w:color w:val="auto"/>
                <w:sz w:val="21"/>
                <w:szCs w:val="21"/>
                <w:highlight w:val="none"/>
              </w:rPr>
            </w:pPr>
            <w:r>
              <w:rPr>
                <w:rFonts w:hint="eastAsia" w:ascii="仿宋" w:hAnsi="仿宋" w:eastAsia="仿宋" w:cs="宋体"/>
                <w:color w:val="auto"/>
                <w:sz w:val="21"/>
                <w:szCs w:val="21"/>
                <w:highlight w:val="none"/>
              </w:rPr>
              <w:t>基于资源列表，点击某个设备资源，快速定位到该设备资源，查看其详情信息；</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3、弱电设备设施信息可视化展示</w:t>
            </w:r>
          </w:p>
          <w:p>
            <w:pPr>
              <w:rPr>
                <w:rFonts w:ascii="仿宋" w:hAnsi="仿宋" w:eastAsia="仿宋" w:cs="宋体"/>
                <w:b/>
                <w:bCs/>
                <w:color w:val="auto"/>
                <w:kern w:val="0"/>
                <w:szCs w:val="21"/>
                <w:highlight w:val="none"/>
              </w:rPr>
            </w:pPr>
            <w:r>
              <w:rPr>
                <w:rFonts w:hint="eastAsia" w:ascii="仿宋" w:hAnsi="仿宋" w:eastAsia="仿宋"/>
                <w:color w:val="auto"/>
                <w:sz w:val="18"/>
                <w:szCs w:val="18"/>
                <w:highlight w:val="none"/>
              </w:rPr>
              <w:t>★</w:t>
            </w:r>
            <w:r>
              <w:rPr>
                <w:rFonts w:hint="eastAsia" w:ascii="仿宋" w:hAnsi="仿宋" w:eastAsia="仿宋" w:cs="宋体"/>
                <w:color w:val="auto"/>
                <w:kern w:val="0"/>
                <w:szCs w:val="21"/>
                <w:highlight w:val="none"/>
              </w:rPr>
              <w:t>所有室外区域及教学楼内，弱电井，弱电设备、弱电管线等可视化展示。</w:t>
            </w:r>
          </w:p>
          <w:p>
            <w:pPr>
              <w:pStyle w:val="254"/>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二、以视频监控为核心的安防监控可视化管理</w:t>
            </w:r>
          </w:p>
          <w:p>
            <w:pPr>
              <w:pStyle w:val="254"/>
              <w:rPr>
                <w:rFonts w:ascii="仿宋" w:hAnsi="仿宋" w:eastAsia="仿宋" w:cs="宋体"/>
                <w:color w:val="auto"/>
                <w:sz w:val="21"/>
                <w:szCs w:val="21"/>
                <w:highlight w:val="none"/>
              </w:rPr>
            </w:pPr>
            <w:r>
              <w:rPr>
                <w:rFonts w:hint="eastAsia" w:ascii="仿宋" w:hAnsi="仿宋" w:eastAsia="仿宋" w:cs="宋体"/>
                <w:b/>
                <w:bCs/>
                <w:color w:val="auto"/>
                <w:sz w:val="21"/>
                <w:szCs w:val="21"/>
                <w:highlight w:val="none"/>
              </w:rPr>
              <w:t>监控分布</w:t>
            </w:r>
            <w:r>
              <w:rPr>
                <w:rFonts w:hint="eastAsia" w:ascii="仿宋" w:hAnsi="仿宋" w:eastAsia="仿宋" w:cs="宋体"/>
                <w:color w:val="auto"/>
                <w:sz w:val="21"/>
                <w:szCs w:val="21"/>
                <w:highlight w:val="none"/>
              </w:rPr>
              <w:t>：呈现视频摄像机的地图分布，以图标方式来明显标记，分类标记不同类型摄像机（如枪机、球机等）以及摄像机的在/离线状态。</w:t>
            </w:r>
          </w:p>
          <w:p>
            <w:pPr>
              <w:pStyle w:val="254"/>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相机可视区域：根据视频预览画面，勾画的该视频对应地图上的地面</w:t>
            </w:r>
          </w:p>
          <w:p>
            <w:pPr>
              <w:pStyle w:val="254"/>
              <w:rPr>
                <w:rFonts w:ascii="仿宋" w:hAnsi="仿宋" w:eastAsia="仿宋" w:cs="宋体"/>
                <w:color w:val="auto"/>
                <w:sz w:val="21"/>
                <w:szCs w:val="21"/>
                <w:highlight w:val="none"/>
              </w:rPr>
            </w:pPr>
            <w:r>
              <w:rPr>
                <w:rFonts w:hint="eastAsia" w:ascii="仿宋" w:hAnsi="仿宋" w:eastAsia="仿宋" w:cs="宋体"/>
                <w:b/>
                <w:bCs/>
                <w:color w:val="auto"/>
                <w:sz w:val="21"/>
                <w:szCs w:val="21"/>
                <w:highlight w:val="none"/>
              </w:rPr>
              <w:t>可视区域</w:t>
            </w:r>
            <w:r>
              <w:rPr>
                <w:rFonts w:hint="eastAsia" w:ascii="仿宋" w:hAnsi="仿宋" w:eastAsia="仿宋" w:cs="宋体"/>
                <w:color w:val="auto"/>
                <w:sz w:val="21"/>
                <w:szCs w:val="21"/>
                <w:highlight w:val="none"/>
              </w:rPr>
              <w:t>：以面类型数字化，表达该视频画面的真实可视区域，用以查看整体场景的监控覆盖情况、重点区域的监控死角情况，满足盲点、盲区补位判断；同时用以根据地理位置来准确调阅相应监控画面。</w:t>
            </w:r>
          </w:p>
          <w:p>
            <w:pPr>
              <w:pStyle w:val="254"/>
              <w:rPr>
                <w:rFonts w:ascii="仿宋" w:hAnsi="仿宋" w:eastAsia="仿宋" w:cs="宋体"/>
                <w:color w:val="auto"/>
                <w:sz w:val="21"/>
                <w:szCs w:val="21"/>
                <w:highlight w:val="none"/>
              </w:rPr>
            </w:pPr>
            <w:r>
              <w:rPr>
                <w:rFonts w:hint="eastAsia" w:ascii="仿宋" w:hAnsi="仿宋" w:eastAsia="仿宋" w:cs="宋体"/>
                <w:b/>
                <w:bCs/>
                <w:color w:val="auto"/>
                <w:sz w:val="21"/>
                <w:szCs w:val="21"/>
                <w:highlight w:val="none"/>
              </w:rPr>
              <w:t>视频联动</w:t>
            </w:r>
            <w:r>
              <w:rPr>
                <w:rFonts w:hint="eastAsia" w:ascii="仿宋" w:hAnsi="仿宋" w:eastAsia="仿宋" w:cs="宋体"/>
                <w:color w:val="auto"/>
                <w:sz w:val="21"/>
                <w:szCs w:val="21"/>
                <w:highlight w:val="none"/>
              </w:rPr>
              <w:t>：对地图上的摄像机模型或可视区域，点击联动调阅相应视频的监控画面。</w:t>
            </w:r>
          </w:p>
          <w:p>
            <w:pPr>
              <w:pStyle w:val="254"/>
              <w:rPr>
                <w:rFonts w:ascii="仿宋" w:hAnsi="仿宋" w:eastAsia="仿宋" w:cs="宋体"/>
                <w:color w:val="auto"/>
                <w:sz w:val="21"/>
                <w:szCs w:val="21"/>
                <w:highlight w:val="none"/>
              </w:rPr>
            </w:pPr>
            <w:r>
              <w:rPr>
                <w:rFonts w:hint="eastAsia" w:ascii="仿宋" w:hAnsi="仿宋" w:eastAsia="仿宋" w:cs="宋体"/>
                <w:b/>
                <w:bCs/>
                <w:color w:val="auto"/>
                <w:sz w:val="21"/>
                <w:szCs w:val="21"/>
                <w:highlight w:val="none"/>
              </w:rPr>
              <w:t>虚拟巡逻</w:t>
            </w:r>
            <w:r>
              <w:rPr>
                <w:rFonts w:hint="eastAsia" w:ascii="仿宋" w:hAnsi="仿宋" w:eastAsia="仿宋" w:cs="宋体"/>
                <w:color w:val="auto"/>
                <w:sz w:val="21"/>
                <w:szCs w:val="21"/>
                <w:highlight w:val="none"/>
              </w:rPr>
              <w:t>：根据设定的路线，关联该路线沿线中的重要监控点位，在平台中，模拟人员的巡更，虚拟化的表达巡更人员沿着设定的路线进行巡逻，巡逻过程中，在相应监控点位上，自动调阅监控画面，查看画面中的情况，进行正常/异常的上报；对巡更路线的漏巡、错巡的反馈和统计功能</w:t>
            </w:r>
          </w:p>
          <w:p>
            <w:pPr>
              <w:pStyle w:val="254"/>
              <w:rPr>
                <w:rFonts w:ascii="仿宋" w:hAnsi="仿宋" w:eastAsia="仿宋" w:cs="宋体"/>
                <w:color w:val="auto"/>
                <w:sz w:val="21"/>
                <w:szCs w:val="21"/>
                <w:highlight w:val="none"/>
              </w:rPr>
            </w:pPr>
            <w:r>
              <w:rPr>
                <w:rFonts w:hint="eastAsia" w:ascii="仿宋" w:hAnsi="仿宋" w:eastAsia="仿宋" w:cs="宋体"/>
                <w:b/>
                <w:bCs/>
                <w:color w:val="auto"/>
                <w:sz w:val="21"/>
                <w:szCs w:val="21"/>
                <w:highlight w:val="none"/>
              </w:rPr>
              <w:t>人脸抓拍机分布</w:t>
            </w:r>
            <w:r>
              <w:rPr>
                <w:rFonts w:hint="eastAsia" w:ascii="仿宋" w:hAnsi="仿宋" w:eastAsia="仿宋" w:cs="宋体"/>
                <w:color w:val="auto"/>
                <w:sz w:val="21"/>
                <w:szCs w:val="21"/>
                <w:highlight w:val="none"/>
              </w:rPr>
              <w:t>：呈现人脸抓拍机的地图分布，以图标方式来明显标记。</w:t>
            </w:r>
          </w:p>
          <w:p>
            <w:pPr>
              <w:pStyle w:val="254"/>
              <w:rPr>
                <w:rFonts w:ascii="仿宋" w:hAnsi="仿宋" w:eastAsia="仿宋"/>
                <w:color w:val="auto"/>
                <w:sz w:val="21"/>
                <w:szCs w:val="21"/>
                <w:highlight w:val="none"/>
              </w:rPr>
            </w:pPr>
            <w:r>
              <w:rPr>
                <w:rFonts w:hint="eastAsia" w:ascii="仿宋" w:hAnsi="仿宋" w:eastAsia="仿宋" w:cs="宋体"/>
                <w:b/>
                <w:bCs/>
                <w:color w:val="auto"/>
                <w:sz w:val="21"/>
                <w:szCs w:val="21"/>
                <w:highlight w:val="none"/>
              </w:rPr>
              <w:t>人员跟踪及轨迹</w:t>
            </w:r>
            <w:r>
              <w:rPr>
                <w:rFonts w:hint="eastAsia" w:ascii="仿宋" w:hAnsi="仿宋" w:eastAsia="仿宋" w:cs="宋体"/>
                <w:color w:val="auto"/>
                <w:sz w:val="21"/>
                <w:szCs w:val="21"/>
                <w:highlight w:val="none"/>
              </w:rPr>
              <w:t>：对人员的地图可视化跟踪，根据对比结果及抓拍机的实时抓拍信息，实时定位抓拍到该人员的抓拍机位置，并形成该人员的跟踪轨迹路线，明确该人员的行动轨迹；支持室外-室内一体化的路径跟踪；</w:t>
            </w:r>
          </w:p>
          <w:p>
            <w:pPr>
              <w:pStyle w:val="254"/>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三、响应实时报警信息和应急指挥</w:t>
            </w:r>
          </w:p>
          <w:p>
            <w:pPr>
              <w:pStyle w:val="254"/>
              <w:rPr>
                <w:rFonts w:ascii="仿宋" w:hAnsi="仿宋" w:eastAsia="仿宋"/>
                <w:color w:val="auto"/>
                <w:sz w:val="21"/>
                <w:szCs w:val="21"/>
                <w:highlight w:val="none"/>
              </w:rPr>
            </w:pPr>
            <w:r>
              <w:rPr>
                <w:rFonts w:hint="eastAsia" w:ascii="仿宋" w:hAnsi="仿宋" w:eastAsia="仿宋"/>
                <w:color w:val="auto"/>
                <w:sz w:val="21"/>
                <w:szCs w:val="21"/>
                <w:highlight w:val="none"/>
              </w:rPr>
              <w:t>支持各类设备实时报警信号的统一接入，进行区域定位；包含且不仅限于视频报警、消防报警、一键报警柱、人脸抓拍黑名单报警、车辆报警、门禁、对讲、紧急报警设备及其他报警设备。</w:t>
            </w:r>
          </w:p>
          <w:p>
            <w:pPr>
              <w:pStyle w:val="254"/>
              <w:rPr>
                <w:rFonts w:ascii="仿宋" w:hAnsi="仿宋" w:eastAsia="仿宋" w:cs="宋体"/>
                <w:color w:val="auto"/>
                <w:sz w:val="21"/>
                <w:szCs w:val="21"/>
                <w:highlight w:val="none"/>
              </w:rPr>
            </w:pPr>
            <w:r>
              <w:rPr>
                <w:rFonts w:hint="eastAsia" w:ascii="仿宋" w:hAnsi="仿宋" w:eastAsia="仿宋"/>
                <w:b/>
                <w:bCs/>
                <w:color w:val="auto"/>
                <w:sz w:val="21"/>
                <w:szCs w:val="21"/>
                <w:highlight w:val="none"/>
              </w:rPr>
              <w:t>报警可视化</w:t>
            </w:r>
            <w:r>
              <w:rPr>
                <w:rFonts w:hint="eastAsia" w:ascii="仿宋" w:hAnsi="仿宋" w:eastAsia="仿宋"/>
                <w:color w:val="auto"/>
                <w:sz w:val="21"/>
                <w:szCs w:val="21"/>
                <w:highlight w:val="none"/>
              </w:rPr>
              <w:t>：</w:t>
            </w:r>
            <w:r>
              <w:rPr>
                <w:rFonts w:hint="eastAsia" w:ascii="仿宋" w:hAnsi="仿宋" w:eastAsia="仿宋" w:cs="宋体"/>
                <w:color w:val="auto"/>
                <w:sz w:val="21"/>
                <w:szCs w:val="21"/>
                <w:highlight w:val="none"/>
              </w:rPr>
              <w:t>所有的报警信息，在虚拟可视化三维场景中提示和定位，突显报警信息和报警位置</w:t>
            </w:r>
            <w:r>
              <w:rPr>
                <w:rFonts w:hint="eastAsia" w:ascii="仿宋" w:hAnsi="仿宋" w:eastAsia="仿宋" w:cs="宋体"/>
                <w:color w:val="auto"/>
                <w:sz w:val="21"/>
                <w:szCs w:val="21"/>
                <w:highlight w:val="none"/>
              </w:rPr>
              <w:br w:type="textWrapping"/>
            </w:r>
            <w:r>
              <w:rPr>
                <w:rFonts w:hint="eastAsia" w:ascii="仿宋" w:hAnsi="仿宋" w:eastAsia="仿宋" w:cs="宋体"/>
                <w:color w:val="auto"/>
                <w:sz w:val="21"/>
                <w:szCs w:val="21"/>
                <w:highlight w:val="none"/>
              </w:rPr>
              <w:t>通过设置有效时间，对过期的报警信息，自动进入历史报警队列</w:t>
            </w:r>
            <w:r>
              <w:rPr>
                <w:rFonts w:hint="eastAsia" w:ascii="仿宋" w:hAnsi="仿宋" w:eastAsia="仿宋" w:cs="宋体"/>
                <w:color w:val="auto"/>
                <w:sz w:val="21"/>
                <w:szCs w:val="21"/>
                <w:highlight w:val="none"/>
              </w:rPr>
              <w:br w:type="textWrapping"/>
            </w:r>
            <w:r>
              <w:rPr>
                <w:rFonts w:hint="eastAsia" w:ascii="仿宋" w:hAnsi="仿宋" w:eastAsia="仿宋" w:cs="宋体"/>
                <w:color w:val="auto"/>
                <w:sz w:val="21"/>
                <w:szCs w:val="21"/>
                <w:highlight w:val="none"/>
              </w:rPr>
              <w:t>通过报警等级及报警时间的排序，重点显示当前最需要处理的3条报警记录。</w:t>
            </w:r>
          </w:p>
          <w:p>
            <w:pPr>
              <w:snapToGrid w:val="0"/>
              <w:rPr>
                <w:rFonts w:ascii="仿宋" w:hAnsi="仿宋" w:eastAsia="仿宋" w:cs="宋体"/>
                <w:b/>
                <w:bCs/>
                <w:color w:val="auto"/>
                <w:kern w:val="0"/>
                <w:szCs w:val="21"/>
                <w:highlight w:val="none"/>
              </w:rPr>
            </w:pPr>
            <w:r>
              <w:rPr>
                <w:rFonts w:hint="eastAsia" w:ascii="仿宋" w:hAnsi="仿宋" w:eastAsia="仿宋" w:cs="宋体"/>
                <w:b/>
                <w:bCs/>
                <w:color w:val="auto"/>
                <w:szCs w:val="21"/>
                <w:highlight w:val="none"/>
              </w:rPr>
              <w:t>报警区域定位</w:t>
            </w:r>
            <w:r>
              <w:rPr>
                <w:rFonts w:hint="eastAsia" w:ascii="仿宋" w:hAnsi="仿宋" w:eastAsia="仿宋" w:cs="宋体"/>
                <w:color w:val="auto"/>
                <w:szCs w:val="21"/>
                <w:highlight w:val="none"/>
              </w:rPr>
              <w:t>：报警信息接收后，定位到报警设备的位置，并以高亮及动画的方式，对该报警设备所在的位置区域进行突显，如消防烟感报警高亮所对应的房间、门禁报警高亮所对应的走廊、摄像机报警高亮对应的路段区域等，并可以第一时间调用所在区域的所有安防设施或调度安防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10</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olor w:val="auto"/>
                <w:szCs w:val="21"/>
                <w:highlight w:val="none"/>
                <w:lang w:eastAsia="zh-Hans"/>
              </w:rPr>
              <w:t>安全教育考试系统</w:t>
            </w:r>
            <w:r>
              <w:rPr>
                <w:rFonts w:hint="eastAsia" w:ascii="仿宋" w:hAnsi="仿宋" w:eastAsia="仿宋"/>
                <w:color w:val="auto"/>
                <w:szCs w:val="21"/>
                <w:highlight w:val="none"/>
              </w:rPr>
              <w:t>模块</w:t>
            </w:r>
          </w:p>
        </w:tc>
        <w:tc>
          <w:tcPr>
            <w:tcW w:w="7235" w:type="dxa"/>
            <w:gridSpan w:val="2"/>
          </w:tcPr>
          <w:p>
            <w:pPr>
              <w:widowControl/>
              <w:textAlignment w:val="top"/>
              <w:rPr>
                <w:rFonts w:ascii="仿宋" w:hAnsi="仿宋" w:eastAsia="仿宋"/>
                <w:color w:val="auto"/>
                <w:szCs w:val="21"/>
                <w:highlight w:val="none"/>
              </w:rPr>
            </w:pPr>
            <w:r>
              <w:rPr>
                <w:rFonts w:hint="eastAsia" w:ascii="仿宋" w:hAnsi="仿宋" w:eastAsia="仿宋"/>
                <w:color w:val="auto"/>
                <w:szCs w:val="21"/>
                <w:highlight w:val="none"/>
                <w:lang w:eastAsia="zh-Hans"/>
              </w:rPr>
              <w:t>平台初始化提供</w:t>
            </w:r>
            <w:r>
              <w:rPr>
                <w:rFonts w:ascii="仿宋" w:hAnsi="仿宋" w:eastAsia="仿宋"/>
                <w:color w:val="auto"/>
                <w:szCs w:val="21"/>
                <w:highlight w:val="none"/>
                <w:lang w:eastAsia="zh-Hans"/>
              </w:rPr>
              <w:t>1000</w:t>
            </w:r>
            <w:r>
              <w:rPr>
                <w:rFonts w:hint="eastAsia" w:ascii="仿宋" w:hAnsi="仿宋" w:eastAsia="仿宋"/>
                <w:color w:val="auto"/>
                <w:szCs w:val="21"/>
                <w:highlight w:val="none"/>
                <w:lang w:eastAsia="zh-Hans"/>
              </w:rPr>
              <w:t>题以上</w:t>
            </w:r>
            <w:r>
              <w:rPr>
                <w:rFonts w:hint="eastAsia" w:ascii="仿宋" w:hAnsi="仿宋" w:eastAsia="仿宋"/>
                <w:color w:val="auto"/>
                <w:szCs w:val="21"/>
                <w:highlight w:val="none"/>
              </w:rPr>
              <w:t>安全考试题库，同时支持学校自有题库导入，管理员可自由组卷，并设置考试对象、考试时间、考试规则等。</w:t>
            </w:r>
          </w:p>
          <w:p>
            <w:pPr>
              <w:snapToGrid w:val="0"/>
              <w:rPr>
                <w:rFonts w:ascii="仿宋" w:hAnsi="仿宋" w:eastAsia="仿宋"/>
                <w:color w:val="auto"/>
                <w:szCs w:val="21"/>
                <w:highlight w:val="none"/>
              </w:rPr>
            </w:pPr>
            <w:r>
              <w:rPr>
                <w:rFonts w:hint="eastAsia" w:ascii="仿宋" w:hAnsi="仿宋" w:eastAsia="仿宋"/>
                <w:color w:val="auto"/>
                <w:szCs w:val="21"/>
                <w:highlight w:val="none"/>
              </w:rPr>
              <w:t>系统</w:t>
            </w:r>
            <w:r>
              <w:rPr>
                <w:rFonts w:hint="eastAsia" w:ascii="Meiryo" w:hAnsi="Meiryo" w:eastAsia="Meiryo" w:cs="Meiryo"/>
                <w:color w:val="auto"/>
                <w:szCs w:val="21"/>
                <w:highlight w:val="none"/>
              </w:rPr>
              <w:t>⽀</w:t>
            </w:r>
            <w:r>
              <w:rPr>
                <w:rFonts w:hint="eastAsia" w:ascii="仿宋" w:hAnsi="仿宋" w:eastAsia="仿宋" w:cs="仿宋"/>
                <w:color w:val="auto"/>
                <w:szCs w:val="21"/>
                <w:highlight w:val="none"/>
              </w:rPr>
              <w:t>持随机试卷的创建、修改和删除</w:t>
            </w:r>
            <w:r>
              <w:rPr>
                <w:rFonts w:ascii="仿宋" w:hAnsi="仿宋" w:eastAsia="仿宋"/>
                <w:color w:val="auto"/>
                <w:szCs w:val="21"/>
                <w:highlight w:val="none"/>
              </w:rPr>
              <w:t>。</w:t>
            </w:r>
          </w:p>
          <w:p>
            <w:pPr>
              <w:snapToGrid w:val="0"/>
              <w:rPr>
                <w:rFonts w:ascii="仿宋" w:hAnsi="仿宋" w:eastAsia="仿宋"/>
                <w:color w:val="auto"/>
                <w:szCs w:val="21"/>
                <w:highlight w:val="none"/>
              </w:rPr>
            </w:pPr>
            <w:r>
              <w:rPr>
                <w:rFonts w:hint="eastAsia" w:ascii="仿宋" w:hAnsi="仿宋" w:eastAsia="仿宋"/>
                <w:color w:val="auto"/>
                <w:szCs w:val="21"/>
                <w:highlight w:val="none"/>
              </w:rPr>
              <w:t>预留接口可对接交通安全仿真虚拟实验中心相关课程模拟场所预约，并可导出相关数据</w:t>
            </w:r>
            <w:r>
              <w:rPr>
                <w:rFonts w:ascii="仿宋" w:hAnsi="仿宋" w:eastAsia="仿宋"/>
                <w:color w:val="auto"/>
                <w:szCs w:val="21"/>
                <w:highlight w:val="none"/>
              </w:rPr>
              <w:t>。</w:t>
            </w:r>
          </w:p>
          <w:p>
            <w:pPr>
              <w:snapToGrid w:val="0"/>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11</w:t>
            </w:r>
          </w:p>
        </w:tc>
        <w:tc>
          <w:tcPr>
            <w:tcW w:w="1389" w:type="dxa"/>
            <w:vAlign w:val="center"/>
          </w:tcPr>
          <w:p>
            <w:pPr>
              <w:snapToGrid w:val="0"/>
              <w:jc w:val="left"/>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平安校园移动端（保卫处内部用</w:t>
            </w:r>
            <w:r>
              <w:rPr>
                <w:rFonts w:ascii="仿宋" w:hAnsi="仿宋" w:eastAsia="仿宋"/>
                <w:color w:val="auto"/>
                <w:szCs w:val="21"/>
                <w:highlight w:val="none"/>
                <w:lang w:eastAsia="zh-Hans"/>
              </w:rPr>
              <w:t>）</w:t>
            </w:r>
          </w:p>
        </w:tc>
        <w:tc>
          <w:tcPr>
            <w:tcW w:w="7235" w:type="dxa"/>
            <w:gridSpan w:val="2"/>
          </w:tcPr>
          <w:p>
            <w:pPr>
              <w:widowControl/>
              <w:textAlignment w:val="top"/>
              <w:rPr>
                <w:rFonts w:ascii="仿宋" w:hAnsi="仿宋" w:eastAsia="仿宋"/>
                <w:color w:val="auto"/>
                <w:szCs w:val="21"/>
                <w:highlight w:val="none"/>
              </w:rPr>
            </w:pPr>
            <w:r>
              <w:rPr>
                <w:rFonts w:hint="eastAsia" w:ascii="仿宋" w:hAnsi="仿宋" w:eastAsia="仿宋"/>
                <w:color w:val="auto"/>
                <w:szCs w:val="21"/>
                <w:highlight w:val="none"/>
              </w:rPr>
              <w:t>包含监控视频预览（校园网内使用，不针对外网）、车辆信息管理审核、车辆违章信息查询、违章处理、保卫安全公告宣传、消防设施设备巡查、案件事件上报、案件查询、人员查询、安全检查、安全巡更、隐患随手拍等功能。</w:t>
            </w:r>
            <w:r>
              <w:rPr>
                <w:rFonts w:hint="eastAsia" w:ascii="仿宋" w:hAnsi="仿宋" w:eastAsia="仿宋"/>
                <w:color w:val="auto"/>
                <w:szCs w:val="21"/>
                <w:highlight w:val="none"/>
                <w:lang w:eastAsia="zh-Hans"/>
              </w:rPr>
              <w:t>安全巡更支持扫一扫及上传定位等功能</w:t>
            </w:r>
            <w:r>
              <w:rPr>
                <w:rFonts w:ascii="仿宋" w:hAnsi="仿宋" w:eastAsia="仿宋"/>
                <w:color w:val="auto"/>
                <w:szCs w:val="21"/>
                <w:highlight w:val="none"/>
                <w:lang w:eastAsia="zh-Hans"/>
              </w:rPr>
              <w:t>。</w:t>
            </w:r>
          </w:p>
          <w:p>
            <w:pPr>
              <w:snapToGrid w:val="0"/>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12</w:t>
            </w:r>
          </w:p>
        </w:tc>
        <w:tc>
          <w:tcPr>
            <w:tcW w:w="1389" w:type="dxa"/>
            <w:vAlign w:val="center"/>
          </w:tcPr>
          <w:p>
            <w:pPr>
              <w:snapToGrid w:val="0"/>
              <w:jc w:val="left"/>
              <w:rPr>
                <w:rFonts w:ascii="仿宋" w:hAnsi="仿宋" w:eastAsia="仿宋"/>
                <w:color w:val="auto"/>
                <w:szCs w:val="21"/>
                <w:highlight w:val="none"/>
                <w:lang w:eastAsia="zh-Hans"/>
              </w:rPr>
            </w:pPr>
            <w:r>
              <w:rPr>
                <w:rFonts w:hint="eastAsia" w:ascii="仿宋" w:hAnsi="仿宋" w:eastAsia="仿宋"/>
                <w:color w:val="auto"/>
                <w:szCs w:val="21"/>
                <w:highlight w:val="none"/>
              </w:rPr>
              <w:t>平安校园微信公众号</w:t>
            </w:r>
            <w:r>
              <w:rPr>
                <w:rFonts w:hint="eastAsia" w:ascii="仿宋" w:hAnsi="仿宋" w:eastAsia="仿宋"/>
                <w:color w:val="auto"/>
                <w:szCs w:val="21"/>
                <w:highlight w:val="none"/>
                <w:lang w:eastAsia="zh-Hans"/>
              </w:rPr>
              <w:t>或钉钉（教师+学生）</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包含个人信息人脸录入、车辆信息管理审核、车辆违章信息查询、违章处理、保卫安全公告宣传、安全教育考试系统、隐患随手拍</w:t>
            </w:r>
            <w:r>
              <w:rPr>
                <w:rFonts w:ascii="仿宋" w:hAnsi="仿宋" w:eastAsia="仿宋"/>
                <w:color w:val="auto"/>
                <w:szCs w:val="21"/>
                <w:highlight w:val="none"/>
              </w:rPr>
              <w:t>、</w:t>
            </w:r>
            <w:r>
              <w:rPr>
                <w:rFonts w:hint="eastAsia" w:ascii="仿宋" w:hAnsi="仿宋" w:eastAsia="仿宋"/>
                <w:color w:val="auto"/>
                <w:szCs w:val="21"/>
                <w:highlight w:val="none"/>
                <w:lang w:eastAsia="zh-Hans"/>
              </w:rPr>
              <w:t>访客预约</w:t>
            </w:r>
            <w:r>
              <w:rPr>
                <w:rFonts w:hint="eastAsia" w:ascii="仿宋" w:hAnsi="仿宋" w:eastAsia="仿宋"/>
                <w:color w:val="auto"/>
                <w:szCs w:val="21"/>
                <w:highlight w:val="none"/>
              </w:rPr>
              <w:t>等功能，面向师生，提供与保卫业务相关的预约处置等内容。</w:t>
            </w:r>
            <w:r>
              <w:rPr>
                <w:rFonts w:hint="eastAsia" w:ascii="仿宋" w:hAnsi="仿宋" w:eastAsia="仿宋"/>
                <w:color w:val="auto"/>
                <w:szCs w:val="21"/>
                <w:highlight w:val="none"/>
                <w:lang w:eastAsia="zh-Hans"/>
              </w:rPr>
              <w:t>支持微信或钉钉对接应用嵌入</w:t>
            </w:r>
            <w:r>
              <w:rPr>
                <w:rFonts w:ascii="仿宋" w:hAnsi="仿宋" w:eastAsia="仿宋"/>
                <w:color w:val="auto"/>
                <w:szCs w:val="21"/>
                <w:highlight w:val="no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13</w:t>
            </w:r>
          </w:p>
        </w:tc>
        <w:tc>
          <w:tcPr>
            <w:tcW w:w="1389" w:type="dxa"/>
            <w:vAlign w:val="center"/>
          </w:tcPr>
          <w:p>
            <w:pPr>
              <w:snapToGrid w:val="0"/>
              <w:jc w:val="left"/>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olor w:val="auto"/>
                <w:szCs w:val="21"/>
                <w:highlight w:val="none"/>
              </w:rPr>
              <w:t>智慧宿舍管理系统模块</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lang w:eastAsia="zh-Hans"/>
              </w:rPr>
              <w:t>包含宿舍数据管理</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设备管理</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宿舍出入记录</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数据统计</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异常预警</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楼层补录</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内嵌入楼层补录终端设备</w:t>
            </w:r>
            <w:r>
              <w:rPr>
                <w:rFonts w:ascii="仿宋" w:hAnsi="仿宋" w:eastAsia="仿宋"/>
                <w:color w:val="auto"/>
                <w:szCs w:val="21"/>
                <w:highlight w:val="none"/>
                <w:lang w:eastAsia="zh-Hans"/>
              </w:rPr>
              <w:t>）。</w:t>
            </w:r>
            <w:r>
              <w:rPr>
                <w:rFonts w:hint="eastAsia" w:ascii="仿宋" w:hAnsi="仿宋" w:eastAsia="仿宋"/>
                <w:color w:val="auto"/>
                <w:szCs w:val="21"/>
                <w:highlight w:val="none"/>
              </w:rPr>
              <w:t>对接学校现有寝室楼宇、寝室房间及学生班级数据，通过前端感知摄像头进行人脸识别，对于晚归、久入未出、有课未出等情况进行数据预警统计，按照业务规则推送给宿舍管理员、辅导员等，对于设备识别有误所导致的数据异常，提供楼层补录前端设备，学生通过前端设备对信息进行补录修正。宿管信息屏上需能按照楼层显示人员在寝状态，</w:t>
            </w:r>
            <w:r>
              <w:rPr>
                <w:rFonts w:hint="eastAsia" w:ascii="仿宋" w:hAnsi="仿宋" w:eastAsia="仿宋"/>
                <w:color w:val="auto"/>
                <w:szCs w:val="21"/>
                <w:highlight w:val="none"/>
                <w:lang w:eastAsia="zh-Hans"/>
              </w:rPr>
              <w:t>楼层数据显示以楼层炸裂方式可视立体化呈现</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精确到每个房间的到寝状态</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以不同颜色区分各寝室到寝状态</w:t>
            </w:r>
            <w:r>
              <w:rPr>
                <w:rFonts w:ascii="仿宋" w:hAnsi="仿宋" w:eastAsia="仿宋"/>
                <w:color w:val="auto"/>
                <w:szCs w:val="21"/>
                <w:highlight w:val="none"/>
                <w:lang w:eastAsia="zh-Hans"/>
              </w:rPr>
              <w:t>，</w:t>
            </w:r>
            <w:r>
              <w:rPr>
                <w:rFonts w:hint="eastAsia" w:ascii="仿宋" w:hAnsi="仿宋" w:eastAsia="仿宋"/>
                <w:color w:val="auto"/>
                <w:szCs w:val="21"/>
                <w:highlight w:val="none"/>
              </w:rPr>
              <w:t>每层平面叠加每层数据统计列表，数据统计采用楼层和楼栋模式统计。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14</w:t>
            </w:r>
          </w:p>
        </w:tc>
        <w:tc>
          <w:tcPr>
            <w:tcW w:w="1389" w:type="dxa"/>
            <w:vAlign w:val="center"/>
          </w:tcPr>
          <w:p>
            <w:pPr>
              <w:snapToGrid w:val="0"/>
              <w:jc w:val="left"/>
              <w:rPr>
                <w:rFonts w:ascii="仿宋" w:hAnsi="仿宋" w:eastAsia="仿宋"/>
                <w:color w:val="auto"/>
                <w:szCs w:val="21"/>
                <w:highlight w:val="none"/>
              </w:rPr>
            </w:pPr>
            <w:r>
              <w:rPr>
                <w:rFonts w:hint="eastAsia" w:ascii="仿宋" w:hAnsi="仿宋" w:eastAsia="仿宋"/>
                <w:color w:val="auto"/>
                <w:szCs w:val="21"/>
                <w:highlight w:val="none"/>
              </w:rPr>
              <w:t>防疫管理子系统</w:t>
            </w:r>
          </w:p>
        </w:tc>
        <w:tc>
          <w:tcPr>
            <w:tcW w:w="7235" w:type="dxa"/>
            <w:gridSpan w:val="2"/>
          </w:tcPr>
          <w:p>
            <w:pPr>
              <w:snapToGrid w:val="0"/>
              <w:rPr>
                <w:rFonts w:ascii="仿宋" w:hAnsi="仿宋" w:eastAsia="仿宋"/>
                <w:color w:val="auto"/>
                <w:szCs w:val="21"/>
                <w:highlight w:val="none"/>
                <w:lang w:eastAsia="zh-Hans"/>
              </w:rPr>
            </w:pPr>
            <w:r>
              <w:rPr>
                <w:rFonts w:hint="eastAsia" w:ascii="仿宋" w:hAnsi="仿宋" w:eastAsia="仿宋"/>
                <w:b/>
                <w:bCs/>
                <w:color w:val="auto"/>
                <w:szCs w:val="21"/>
                <w:highlight w:val="none"/>
                <w:lang w:eastAsia="zh-Hans"/>
              </w:rPr>
              <w:t>健康防疫信息管理</w:t>
            </w:r>
            <w:r>
              <w:rPr>
                <w:rFonts w:hint="eastAsia" w:ascii="仿宋" w:hAnsi="仿宋" w:eastAsia="仿宋"/>
                <w:color w:val="auto"/>
                <w:szCs w:val="21"/>
                <w:highlight w:val="none"/>
                <w:lang w:eastAsia="zh-Hans"/>
              </w:rPr>
              <w:t>：</w:t>
            </w:r>
          </w:p>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1、人员基本信息管理。支持筛选条件搜索和查看人员的基本信息。</w:t>
            </w:r>
          </w:p>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2、人员健康码状态。人员健康码状态查询功能，表单展示人员信息。支持条件筛选查询。系统定时自动查询健康码接口，更新健康码状态。（若定时查询出有非绿码的需通过短信通知到相关管理员；并需支持手动更新，查询功能需支持权限配置）。</w:t>
            </w:r>
          </w:p>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3、人员疫苗接种情况。人员新冠疫苗接种状态查询功能。支持筛选新冠疫苗接种情况。系统定时自动查询疫苗接种接口，更新疫苗接种状态。需支持手动更新，查询功能支持权限配置。</w:t>
            </w:r>
          </w:p>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4、审查记录。当人员的健康码状态发生变化时，系统定时更新相关数据，支持查看人员健康码状态和新冠疫苗接种信息的审查记录，展示每一次健康码状态的更新记录。</w:t>
            </w:r>
          </w:p>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健康安全预警处置：</w:t>
            </w:r>
          </w:p>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1、健康码异常警告。当人员的健康码状态由正常变成异常情况时，系统后台发出警告并记录。</w:t>
            </w:r>
          </w:p>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2、健康码门禁管理。要求系统和现有门禁无缝对接，对异常人员信息实时下派终端设备，通过识别二维码对健康状况异常的人员进行识别和报警阻隔。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15</w:t>
            </w:r>
          </w:p>
        </w:tc>
        <w:tc>
          <w:tcPr>
            <w:tcW w:w="1389" w:type="dxa"/>
            <w:vAlign w:val="center"/>
          </w:tcPr>
          <w:p>
            <w:pPr>
              <w:snapToGrid w:val="0"/>
              <w:jc w:val="left"/>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olor w:val="auto"/>
                <w:szCs w:val="21"/>
                <w:highlight w:val="none"/>
              </w:rPr>
              <w:t>平安校园物联数据交换监测平台模块</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针对本次项目涉及的消防点位状态、消防点位报警、车辆道闸、车辆超速、车辆违停、报警立柱（盒）报警画面、监控点位、监控报警、人员数据、人脸轨迹定位录像回放等数据接口的对接管理，并实施监测数据获取状态，平台具备心跳机制，对数据对接异常情况实施预警。</w:t>
            </w:r>
          </w:p>
          <w:p>
            <w:pPr>
              <w:snapToGrid w:val="0"/>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物联网设备三维可视化</w:t>
            </w:r>
          </w:p>
          <w:p>
            <w:pPr>
              <w:widowControl/>
              <w:jc w:val="left"/>
              <w:rPr>
                <w:rFonts w:ascii="仿宋" w:hAnsi="仿宋" w:eastAsia="仿宋" w:cs="宋体"/>
                <w:color w:val="auto"/>
                <w:kern w:val="0"/>
                <w:szCs w:val="21"/>
                <w:highlight w:val="none"/>
              </w:rPr>
            </w:pPr>
            <w:r>
              <w:rPr>
                <w:rFonts w:hint="eastAsia" w:ascii="仿宋" w:hAnsi="仿宋" w:eastAsia="仿宋" w:cs="宋体"/>
                <w:b/>
                <w:bCs/>
                <w:color w:val="auto"/>
                <w:kern w:val="0"/>
                <w:szCs w:val="21"/>
                <w:highlight w:val="none"/>
              </w:rPr>
              <w:t>管理服务要求</w:t>
            </w:r>
            <w:r>
              <w:rPr>
                <w:rFonts w:hint="eastAsia" w:ascii="仿宋" w:hAnsi="仿宋" w:eastAsia="仿宋" w:cs="宋体"/>
                <w:color w:val="auto"/>
                <w:kern w:val="0"/>
                <w:szCs w:val="21"/>
                <w:highlight w:val="none"/>
              </w:rPr>
              <w:t>：</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xml:space="preserve">1、权限管理服务：支持独立用户登录、与综合安防平台同步帐号方式两种登录方式； </w:t>
            </w:r>
          </w:p>
          <w:p>
            <w:pPr>
              <w:widowControl/>
              <w:jc w:val="left"/>
              <w:rPr>
                <w:rFonts w:ascii="仿宋" w:hAnsi="仿宋" w:eastAsia="仿宋" w:cs="宋体"/>
                <w:color w:val="auto"/>
                <w:kern w:val="0"/>
                <w:szCs w:val="21"/>
                <w:highlight w:val="none"/>
              </w:rPr>
            </w:pPr>
            <w:r>
              <w:rPr>
                <w:rFonts w:hint="eastAsia" w:ascii="仿宋" w:hAnsi="仿宋" w:eastAsia="仿宋"/>
                <w:color w:val="auto"/>
                <w:sz w:val="18"/>
                <w:szCs w:val="18"/>
                <w:highlight w:val="none"/>
              </w:rPr>
              <w:t>★</w:t>
            </w:r>
            <w:r>
              <w:rPr>
                <w:rFonts w:ascii="仿宋" w:hAnsi="仿宋" w:eastAsia="仿宋" w:cs="宋体"/>
                <w:color w:val="auto"/>
                <w:kern w:val="0"/>
                <w:szCs w:val="21"/>
                <w:highlight w:val="none"/>
              </w:rPr>
              <w:t xml:space="preserve"> </w:t>
            </w:r>
            <w:r>
              <w:rPr>
                <w:rFonts w:hint="eastAsia" w:ascii="仿宋" w:hAnsi="仿宋" w:eastAsia="仿宋" w:cs="宋体"/>
                <w:color w:val="auto"/>
                <w:kern w:val="0"/>
                <w:szCs w:val="21"/>
                <w:highlight w:val="none"/>
              </w:rPr>
              <w:t>2、点位上图管理服务：支持各类物联网设备快速、便捷添加上图功能；支持点位复制功能；支持点位列表更新同步功能；</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3、信号接入存储分发服务：支持通过API接口、串口通信、MQ、WebSocket等方式接入汇集其他平台信号；支持通过接口等方式分发信号。</w:t>
            </w:r>
          </w:p>
          <w:p>
            <w:pPr>
              <w:widowControl/>
              <w:jc w:val="left"/>
              <w:rPr>
                <w:rFonts w:ascii="仿宋" w:hAnsi="仿宋" w:eastAsia="仿宋" w:cs="宋体"/>
                <w:color w:val="auto"/>
                <w:kern w:val="0"/>
                <w:szCs w:val="21"/>
                <w:highlight w:val="none"/>
              </w:rPr>
            </w:pPr>
            <w:r>
              <w:rPr>
                <w:rFonts w:hint="eastAsia" w:ascii="仿宋" w:hAnsi="仿宋" w:eastAsia="仿宋" w:cs="宋体"/>
                <w:b/>
                <w:bCs/>
                <w:color w:val="auto"/>
                <w:kern w:val="0"/>
                <w:szCs w:val="21"/>
                <w:highlight w:val="none"/>
              </w:rPr>
              <w:t>物联网可视化管理要求</w:t>
            </w:r>
            <w:r>
              <w:rPr>
                <w:rFonts w:hint="eastAsia" w:ascii="仿宋" w:hAnsi="仿宋" w:eastAsia="仿宋" w:cs="宋体"/>
                <w:color w:val="auto"/>
                <w:kern w:val="0"/>
                <w:szCs w:val="21"/>
                <w:highlight w:val="none"/>
              </w:rPr>
              <w:t>：</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1、点位空间分布要求：对区域的所有设备可通过图标方式查看综合分布情况；支持对室外、室内的点位的分布进行区分；</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2、点位空间表达要求：上图的设备，根据设备类型，进行空间体对象、区域体对象、模型体对象进行空间数字化的表达；</w:t>
            </w:r>
          </w:p>
          <w:p>
            <w:pPr>
              <w:pStyle w:val="254"/>
              <w:rPr>
                <w:rFonts w:ascii="仿宋" w:hAnsi="仿宋" w:eastAsia="仿宋"/>
                <w:color w:val="auto"/>
                <w:sz w:val="21"/>
                <w:szCs w:val="21"/>
                <w:highlight w:val="none"/>
              </w:rPr>
            </w:pPr>
            <w:r>
              <w:rPr>
                <w:rFonts w:hint="eastAsia" w:ascii="仿宋" w:hAnsi="仿宋" w:eastAsia="仿宋" w:cs="宋体"/>
                <w:color w:val="auto"/>
                <w:sz w:val="21"/>
                <w:szCs w:val="21"/>
                <w:highlight w:val="none"/>
              </w:rPr>
              <w:t>3、点位可视化要求：上图的设备，需根据设备特性，在设备模型表达基础上，以动特效的方式，充分表达该设备的可视化；</w:t>
            </w:r>
            <w:r>
              <w:rPr>
                <w:rFonts w:ascii="仿宋" w:hAnsi="仿宋" w:eastAsia="仿宋"/>
                <w:color w:val="auto"/>
                <w:sz w:val="21"/>
                <w:szCs w:val="21"/>
                <w:highlight w:val="none"/>
              </w:rPr>
              <w:t xml:space="preserve"> </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xml:space="preserve">4、点位实时信息表达要求；上图的点位，需与设备平台进行对接，获取实时信息，通过物联网可视化平台对设备点位进行信息查看； </w:t>
            </w:r>
          </w:p>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5、摄像机空间可视化表达要求：对所有室外摄像机，需建设该摄像机的地面可视区域图层，用以准确表达该摄像机的地面可视覆盖区域；支持点击摄像机地面可视区域来调用摄像机的预览/回放画面；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16</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s="仿宋"/>
                <w:color w:val="auto"/>
                <w:sz w:val="24"/>
                <w:highlight w:val="none"/>
              </w:rPr>
              <w:t>☆</w:t>
            </w:r>
            <w:r>
              <w:rPr>
                <w:rFonts w:hint="eastAsia" w:ascii="仿宋" w:hAnsi="仿宋" w:eastAsia="仿宋"/>
                <w:color w:val="auto"/>
                <w:szCs w:val="21"/>
                <w:highlight w:val="none"/>
              </w:rPr>
              <w:t>接处警系统模块</w:t>
            </w:r>
          </w:p>
        </w:tc>
        <w:tc>
          <w:tcPr>
            <w:tcW w:w="7235" w:type="dxa"/>
            <w:gridSpan w:val="2"/>
          </w:tcPr>
          <w:p>
            <w:pPr>
              <w:snapToGrid w:val="0"/>
              <w:rPr>
                <w:rFonts w:ascii="仿宋" w:hAnsi="仿宋" w:eastAsia="仿宋"/>
                <w:color w:val="auto"/>
                <w:szCs w:val="21"/>
                <w:highlight w:val="none"/>
                <w:lang w:val="zh-CN"/>
              </w:rPr>
            </w:pPr>
            <w:r>
              <w:rPr>
                <w:rFonts w:hint="eastAsia" w:ascii="仿宋" w:hAnsi="仿宋" w:eastAsia="仿宋"/>
                <w:b/>
                <w:bCs/>
                <w:color w:val="auto"/>
                <w:szCs w:val="21"/>
                <w:highlight w:val="none"/>
              </w:rPr>
              <w:t>案件登记</w:t>
            </w:r>
            <w:r>
              <w:rPr>
                <w:rFonts w:hint="eastAsia" w:ascii="仿宋" w:hAnsi="仿宋" w:eastAsia="仿宋"/>
                <w:color w:val="auto"/>
                <w:szCs w:val="21"/>
                <w:highlight w:val="none"/>
              </w:rPr>
              <w:t>：用户可通过电话报警进行校园事件报警，在接到报警信息时接处警页面即可弹出接警页面，保卫人员即可了解案情进行案件登记处理。</w:t>
            </w:r>
            <w:r>
              <w:rPr>
                <w:rFonts w:hint="eastAsia" w:ascii="仿宋" w:hAnsi="仿宋" w:eastAsia="仿宋"/>
                <w:color w:val="auto"/>
                <w:szCs w:val="21"/>
                <w:highlight w:val="none"/>
                <w:lang w:val="zh-CN"/>
              </w:rPr>
              <w:t>根据不同情况选择不同案件类型，在地图上选择事件发生地点进行标记。系统会</w:t>
            </w:r>
          </w:p>
          <w:p>
            <w:pPr>
              <w:snapToGrid w:val="0"/>
              <w:rPr>
                <w:rFonts w:ascii="仿宋" w:hAnsi="仿宋" w:eastAsia="仿宋"/>
                <w:color w:val="auto"/>
                <w:szCs w:val="21"/>
                <w:highlight w:val="none"/>
                <w:lang w:val="fr-FR"/>
              </w:rPr>
            </w:pPr>
            <w:r>
              <w:rPr>
                <w:rFonts w:hint="eastAsia" w:ascii="仿宋" w:hAnsi="仿宋" w:eastAsia="仿宋"/>
                <w:color w:val="auto"/>
                <w:szCs w:val="21"/>
                <w:highlight w:val="none"/>
                <w:lang w:val="zh-CN"/>
              </w:rPr>
              <w:t>根据来电号码，显示此号码相关的历史报警记录，如果是相同的案件，在信息录入后就想此案件标为重复性案件。</w:t>
            </w:r>
            <w:r>
              <w:rPr>
                <w:rFonts w:hint="eastAsia" w:ascii="仿宋" w:hAnsi="仿宋" w:eastAsia="仿宋"/>
                <w:color w:val="auto"/>
                <w:szCs w:val="21"/>
                <w:highlight w:val="none"/>
              </w:rPr>
              <w:t>在接警人员进行接警后时，系统将进行同步录音，并将录音同步到系统平台上进行存档处理。</w:t>
            </w:r>
          </w:p>
          <w:p>
            <w:pPr>
              <w:snapToGrid w:val="0"/>
              <w:rPr>
                <w:rFonts w:ascii="仿宋" w:hAnsi="仿宋" w:eastAsia="仿宋"/>
                <w:color w:val="auto"/>
                <w:szCs w:val="21"/>
                <w:highlight w:val="none"/>
              </w:rPr>
            </w:pPr>
            <w:r>
              <w:rPr>
                <w:rFonts w:hint="eastAsia" w:ascii="仿宋" w:hAnsi="仿宋" w:eastAsia="仿宋"/>
                <w:b/>
                <w:bCs/>
                <w:color w:val="auto"/>
                <w:szCs w:val="21"/>
                <w:highlight w:val="none"/>
              </w:rPr>
              <w:t>卷宗管理</w:t>
            </w:r>
            <w:r>
              <w:rPr>
                <w:rFonts w:hint="eastAsia" w:ascii="仿宋" w:hAnsi="仿宋" w:eastAsia="仿宋"/>
                <w:color w:val="auto"/>
                <w:szCs w:val="21"/>
                <w:highlight w:val="none"/>
              </w:rPr>
              <w:t>：根据案件生成卷宗，将案件相关的数据。包括视频、报警信息、图片、相关文件等进行打包管理；包括报警卷宗的增删查改、打印等。支持卷宗上传/下载管理；卷宗检索、统计、分析和打印输出；工作人员还可将接警时存储下来录音进行调阅读取重听，一遍查看案件细节，方便工作人员调查处理。同时还可对案件信息进行修改更新操作。</w:t>
            </w:r>
          </w:p>
          <w:p>
            <w:pPr>
              <w:snapToGrid w:val="0"/>
              <w:rPr>
                <w:rFonts w:ascii="仿宋" w:hAnsi="仿宋" w:eastAsia="仿宋"/>
                <w:color w:val="auto"/>
                <w:szCs w:val="21"/>
                <w:highlight w:val="none"/>
              </w:rPr>
            </w:pPr>
            <w:r>
              <w:rPr>
                <w:rFonts w:hint="eastAsia" w:ascii="仿宋" w:hAnsi="仿宋" w:eastAsia="仿宋"/>
                <w:color w:val="auto"/>
                <w:szCs w:val="21"/>
                <w:highlight w:val="none"/>
              </w:rPr>
              <w:t>应急通讯管理：用于管理学校保卫处办公人员的个人电话以及办公电话等相关信息资源。该模块向全体人员开放，提供按姓名查询办公电话。</w:t>
            </w:r>
          </w:p>
          <w:p>
            <w:pPr>
              <w:snapToGrid w:val="0"/>
              <w:rPr>
                <w:rFonts w:ascii="仿宋" w:hAnsi="仿宋" w:eastAsia="仿宋"/>
                <w:color w:val="auto"/>
                <w:szCs w:val="21"/>
                <w:highlight w:val="none"/>
                <w:lang w:eastAsia="zh-Hans"/>
              </w:rPr>
            </w:pPr>
            <w:r>
              <w:rPr>
                <w:rFonts w:hint="eastAsia" w:ascii="仿宋" w:hAnsi="仿宋" w:eastAsia="仿宋"/>
                <w:b/>
                <w:bCs/>
                <w:color w:val="auto"/>
                <w:szCs w:val="21"/>
                <w:highlight w:val="none"/>
              </w:rPr>
              <w:t>应急预案管理及应用</w:t>
            </w:r>
            <w:r>
              <w:rPr>
                <w:rFonts w:hint="eastAsia" w:ascii="仿宋" w:hAnsi="仿宋" w:eastAsia="仿宋"/>
                <w:color w:val="auto"/>
                <w:szCs w:val="21"/>
                <w:highlight w:val="none"/>
              </w:rPr>
              <w:t>：包含应急预案的设置和启动，以及按照相应应急预案对应急通讯录人员进行查询和联系，联系分为短信和电话等方式。应急流程是由后台的应急流程所控制，后台可以针对接处警上的应急流程进行添加和修改。支持多种报警类型，包括现场报警（PC端）、报警立柱（盒）报警、微信报警、电话报警（系统自动录音）、</w:t>
            </w:r>
            <w:r>
              <w:rPr>
                <w:rFonts w:hint="eastAsia" w:ascii="仿宋" w:hAnsi="仿宋" w:eastAsia="仿宋"/>
                <w:color w:val="auto"/>
                <w:szCs w:val="21"/>
                <w:highlight w:val="none"/>
                <w:lang w:eastAsia="zh-Hans"/>
              </w:rPr>
              <w:t>移动</w:t>
            </w:r>
            <w:r>
              <w:rPr>
                <w:rFonts w:hint="eastAsia" w:ascii="仿宋" w:hAnsi="仿宋" w:eastAsia="仿宋"/>
                <w:color w:val="auto"/>
                <w:szCs w:val="21"/>
                <w:highlight w:val="none"/>
              </w:rPr>
              <w:t>端报警。</w:t>
            </w:r>
            <w:r>
              <w:rPr>
                <w:rFonts w:hint="eastAsia" w:ascii="仿宋" w:hAnsi="仿宋" w:eastAsia="仿宋"/>
                <w:color w:val="auto"/>
                <w:szCs w:val="21"/>
                <w:highlight w:val="none"/>
                <w:lang w:eastAsia="zh-Hans"/>
              </w:rPr>
              <w:t>本部分需要包含电话接警智能设备</w:t>
            </w:r>
            <w:r>
              <w:rPr>
                <w:rFonts w:ascii="仿宋" w:hAnsi="仿宋" w:eastAsia="仿宋"/>
                <w:color w:val="auto"/>
                <w:szCs w:val="21"/>
                <w:highlight w:val="none"/>
                <w:lang w:eastAsia="zh-Hans"/>
              </w:rPr>
              <w:t>1</w:t>
            </w:r>
            <w:r>
              <w:rPr>
                <w:rFonts w:hint="eastAsia" w:ascii="仿宋" w:hAnsi="仿宋" w:eastAsia="仿宋"/>
                <w:color w:val="auto"/>
                <w:szCs w:val="21"/>
                <w:highlight w:val="none"/>
                <w:lang w:eastAsia="zh-Hans"/>
              </w:rPr>
              <w:t>套</w:t>
            </w:r>
            <w:r>
              <w:rPr>
                <w:rFonts w:ascii="仿宋" w:hAnsi="仿宋" w:eastAsia="仿宋"/>
                <w:color w:val="auto"/>
                <w:szCs w:val="21"/>
                <w:highlight w:val="none"/>
                <w:lang w:eastAsia="zh-Hans"/>
              </w:rPr>
              <w:t>，</w:t>
            </w:r>
            <w:r>
              <w:rPr>
                <w:rFonts w:hint="eastAsia" w:ascii="仿宋" w:hAnsi="仿宋" w:eastAsia="仿宋"/>
                <w:color w:val="auto"/>
                <w:szCs w:val="21"/>
                <w:highlight w:val="none"/>
                <w:lang w:eastAsia="zh-Hans"/>
              </w:rPr>
              <w:t>用于传统接警电话的功能升级以配合本平台数据需要</w:t>
            </w:r>
            <w:r>
              <w:rPr>
                <w:rFonts w:ascii="仿宋" w:hAnsi="仿宋" w:eastAsia="仿宋"/>
                <w:color w:val="auto"/>
                <w:szCs w:val="21"/>
                <w:highlight w:val="none"/>
                <w:lang w:eastAsia="zh-Hans"/>
              </w:rPr>
              <w:t>。</w:t>
            </w:r>
          </w:p>
          <w:p>
            <w:pPr>
              <w:snapToGrid w:val="0"/>
              <w:rPr>
                <w:rFonts w:ascii="仿宋" w:hAnsi="仿宋" w:eastAsia="仿宋"/>
                <w:color w:val="auto"/>
                <w:szCs w:val="21"/>
                <w:highlight w:val="none"/>
              </w:rPr>
            </w:pPr>
            <w:r>
              <w:rPr>
                <w:rFonts w:hint="eastAsia" w:ascii="仿宋" w:hAnsi="仿宋" w:eastAsia="仿宋"/>
                <w:color w:val="auto"/>
                <w:szCs w:val="21"/>
                <w:highlight w:val="none"/>
                <w:lang w:eastAsia="zh-Hans"/>
              </w:rPr>
              <w:t>组件需要</w:t>
            </w:r>
            <w:r>
              <w:rPr>
                <w:rFonts w:hint="eastAsia" w:ascii="仿宋" w:hAnsi="仿宋" w:eastAsia="仿宋"/>
                <w:color w:val="auto"/>
                <w:szCs w:val="21"/>
                <w:highlight w:val="none"/>
              </w:rPr>
              <w:t>对校园报警立柱（盒）进行对接，投标文件需要呈现具体的对接方案。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17</w:t>
            </w:r>
          </w:p>
        </w:tc>
        <w:tc>
          <w:tcPr>
            <w:tcW w:w="1389" w:type="dxa"/>
            <w:vAlign w:val="center"/>
          </w:tcPr>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lang w:eastAsia="zh-Hans"/>
              </w:rPr>
              <w:t>系统管理</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包含平台用户管理（对接学校统一身份认证）、部门管理（对接全校组织目录）、角色管理、权限管理、系统日志、基础设置等功能。</w:t>
            </w:r>
          </w:p>
          <w:p>
            <w:pPr>
              <w:snapToGrid w:val="0"/>
              <w:rPr>
                <w:rFonts w:ascii="仿宋" w:hAnsi="仿宋" w:eastAsia="仿宋"/>
                <w:color w:val="auto"/>
                <w:szCs w:val="21"/>
                <w:highlight w:val="none"/>
              </w:rPr>
            </w:pPr>
            <w:r>
              <w:rPr>
                <w:rFonts w:hint="eastAsia" w:ascii="仿宋" w:hAnsi="仿宋" w:eastAsia="仿宋"/>
                <w:color w:val="auto"/>
                <w:szCs w:val="21"/>
                <w:highlight w:val="none"/>
              </w:rPr>
              <w:t>有一套完整的基于B/S架构的系统管理工具。</w:t>
            </w:r>
          </w:p>
          <w:p>
            <w:pPr>
              <w:snapToGrid w:val="0"/>
              <w:rPr>
                <w:rFonts w:ascii="仿宋" w:hAnsi="仿宋" w:eastAsia="仿宋"/>
                <w:color w:val="auto"/>
                <w:szCs w:val="21"/>
                <w:highlight w:val="none"/>
              </w:rPr>
            </w:pPr>
            <w:r>
              <w:rPr>
                <w:rFonts w:hint="eastAsia" w:ascii="仿宋" w:hAnsi="仿宋" w:eastAsia="仿宋"/>
                <w:color w:val="auto"/>
                <w:szCs w:val="21"/>
                <w:highlight w:val="none"/>
              </w:rPr>
              <w:t>可查看系统的服务运行状态，查询历史事件，查询和管理功能完美。</w:t>
            </w:r>
          </w:p>
          <w:p>
            <w:pPr>
              <w:snapToGrid w:val="0"/>
              <w:rPr>
                <w:rFonts w:ascii="仿宋" w:hAnsi="仿宋" w:eastAsia="仿宋"/>
                <w:color w:val="auto"/>
                <w:szCs w:val="21"/>
                <w:highlight w:val="none"/>
              </w:rPr>
            </w:pPr>
            <w:r>
              <w:rPr>
                <w:rFonts w:hint="eastAsia" w:ascii="仿宋" w:hAnsi="仿宋" w:eastAsia="仿宋"/>
                <w:color w:val="auto"/>
                <w:szCs w:val="21"/>
                <w:highlight w:val="none"/>
              </w:rPr>
              <w:t>支持用户分级、分类，并有分组管理功能，可多层级分配管理员权限。</w:t>
            </w:r>
          </w:p>
          <w:p>
            <w:pPr>
              <w:snapToGrid w:val="0"/>
              <w:rPr>
                <w:rFonts w:ascii="仿宋" w:hAnsi="仿宋" w:eastAsia="仿宋"/>
                <w:color w:val="auto"/>
                <w:szCs w:val="21"/>
                <w:highlight w:val="none"/>
              </w:rPr>
            </w:pPr>
            <w:r>
              <w:rPr>
                <w:rFonts w:hint="eastAsia" w:ascii="仿宋" w:hAnsi="仿宋" w:eastAsia="仿宋"/>
                <w:color w:val="auto"/>
                <w:szCs w:val="21"/>
                <w:highlight w:val="none"/>
              </w:rPr>
              <w:t>支持自定义的角色功能，为不同角色分发登录策略，并允许同一用户多重角色。</w:t>
            </w:r>
          </w:p>
          <w:p>
            <w:pPr>
              <w:snapToGrid w:val="0"/>
              <w:rPr>
                <w:rFonts w:ascii="仿宋" w:hAnsi="仿宋" w:eastAsia="仿宋"/>
                <w:color w:val="auto"/>
                <w:szCs w:val="21"/>
                <w:highlight w:val="none"/>
              </w:rPr>
            </w:pPr>
            <w:r>
              <w:rPr>
                <w:rFonts w:hint="eastAsia" w:ascii="仿宋" w:hAnsi="仿宋" w:eastAsia="仿宋"/>
                <w:color w:val="auto"/>
                <w:szCs w:val="21"/>
                <w:highlight w:val="none"/>
              </w:rPr>
              <w:t>各类系统菜单、模块的开放与关闭。</w:t>
            </w:r>
          </w:p>
          <w:p>
            <w:pPr>
              <w:snapToGrid w:val="0"/>
              <w:rPr>
                <w:rFonts w:ascii="仿宋" w:hAnsi="仿宋" w:eastAsia="仿宋"/>
                <w:color w:val="auto"/>
                <w:szCs w:val="21"/>
                <w:highlight w:val="none"/>
                <w:lang w:eastAsia="zh-Hans"/>
              </w:rPr>
            </w:pPr>
            <w:r>
              <w:rPr>
                <w:rFonts w:hint="eastAsia" w:ascii="仿宋" w:hAnsi="仿宋" w:eastAsia="仿宋"/>
                <w:color w:val="auto"/>
                <w:szCs w:val="21"/>
                <w:highlight w:val="none"/>
              </w:rPr>
              <w:t>提供完成的数据关系关联说明字典，数据库主外键关系，以便管理人员应急使用</w:t>
            </w:r>
            <w:r>
              <w:rPr>
                <w:rFonts w:ascii="仿宋" w:hAnsi="仿宋" w:eastAsia="仿宋"/>
                <w:color w:val="auto"/>
                <w:szCs w:val="21"/>
                <w:highlight w:val="no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18</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系统安全</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建立访问日志，通过日志审计发现潜在的异常风险。</w:t>
            </w:r>
          </w:p>
          <w:p>
            <w:pPr>
              <w:snapToGrid w:val="0"/>
              <w:rPr>
                <w:rFonts w:ascii="仿宋" w:hAnsi="仿宋" w:eastAsia="仿宋"/>
                <w:color w:val="auto"/>
                <w:szCs w:val="21"/>
                <w:highlight w:val="none"/>
              </w:rPr>
            </w:pPr>
            <w:r>
              <w:rPr>
                <w:rFonts w:hint="eastAsia" w:ascii="仿宋" w:hAnsi="仿宋" w:eastAsia="仿宋"/>
                <w:color w:val="auto"/>
                <w:szCs w:val="21"/>
                <w:highlight w:val="none"/>
              </w:rPr>
              <w:t>支持在线备份与恢复，支持多级增量备份，应能支持基于磁盘的备份，支持多种数据复制方式。</w:t>
            </w:r>
          </w:p>
          <w:p>
            <w:pPr>
              <w:snapToGrid w:val="0"/>
              <w:rPr>
                <w:rFonts w:ascii="仿宋" w:hAnsi="仿宋" w:eastAsia="仿宋"/>
                <w:color w:val="auto"/>
                <w:szCs w:val="21"/>
                <w:highlight w:val="none"/>
              </w:rPr>
            </w:pPr>
            <w:r>
              <w:rPr>
                <w:rFonts w:hint="eastAsia" w:ascii="仿宋" w:hAnsi="仿宋" w:eastAsia="仿宋"/>
                <w:color w:val="auto"/>
                <w:szCs w:val="21"/>
                <w:highlight w:val="none"/>
              </w:rPr>
              <w:t>24小时内修复存在的被发现的一般性风险漏洞，12小时内修复存在的被发现的严重性风险漏洞。</w:t>
            </w:r>
          </w:p>
          <w:p>
            <w:pPr>
              <w:snapToGrid w:val="0"/>
              <w:rPr>
                <w:rFonts w:ascii="仿宋" w:hAnsi="仿宋" w:eastAsia="仿宋"/>
                <w:color w:val="auto"/>
                <w:szCs w:val="21"/>
                <w:highlight w:val="none"/>
              </w:rPr>
            </w:pPr>
            <w:r>
              <w:rPr>
                <w:rFonts w:hint="eastAsia" w:ascii="仿宋" w:hAnsi="仿宋" w:eastAsia="仿宋"/>
                <w:color w:val="auto"/>
                <w:szCs w:val="21"/>
                <w:highlight w:val="none"/>
              </w:rPr>
              <w:t>系统内部重要页面应建立防篡改机制，如发现重要信息被修改应自动停止相关页面访问并通过短信快速通知管理员处理。</w:t>
            </w:r>
          </w:p>
          <w:p>
            <w:pPr>
              <w:snapToGrid w:val="0"/>
              <w:rPr>
                <w:rFonts w:ascii="仿宋" w:hAnsi="仿宋" w:eastAsia="仿宋"/>
                <w:color w:val="auto"/>
                <w:szCs w:val="21"/>
                <w:highlight w:val="none"/>
              </w:rPr>
            </w:pPr>
            <w:r>
              <w:rPr>
                <w:rFonts w:hint="eastAsia" w:ascii="仿宋" w:hAnsi="仿宋" w:eastAsia="仿宋"/>
                <w:color w:val="auto"/>
                <w:szCs w:val="21"/>
                <w:highlight w:val="none"/>
              </w:rPr>
              <w:t>数据库关系对链全部使用GUID完成，降低应用层数据泄漏风险。</w:t>
            </w:r>
          </w:p>
          <w:p>
            <w:pPr>
              <w:snapToGrid w:val="0"/>
              <w:rPr>
                <w:rFonts w:ascii="仿宋" w:hAnsi="仿宋" w:eastAsia="仿宋"/>
                <w:color w:val="auto"/>
                <w:szCs w:val="21"/>
                <w:highlight w:val="none"/>
              </w:rPr>
            </w:pPr>
            <w:r>
              <w:rPr>
                <w:rFonts w:hint="eastAsia" w:ascii="仿宋" w:hAnsi="仿宋" w:eastAsia="仿宋"/>
                <w:color w:val="auto"/>
                <w:szCs w:val="21"/>
                <w:highlight w:val="none"/>
              </w:rPr>
              <w:t>页面数据参数传送不使用INT自动编号进行数据检索，防止信息被批量下载。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19</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网络信息安全监测</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对接图信中心网络信息访问、黑客攻击、针对校内人员访问敏感网页、搜索敏感词语等监测管理，数据</w:t>
            </w:r>
            <w:r>
              <w:rPr>
                <w:rFonts w:hint="eastAsia" w:ascii="仿宋" w:hAnsi="仿宋" w:eastAsia="仿宋" w:cs="宋体"/>
                <w:color w:val="auto"/>
                <w:szCs w:val="21"/>
                <w:highlight w:val="none"/>
              </w:rPr>
              <w:t>统计，可通过</w:t>
            </w:r>
            <w:r>
              <w:rPr>
                <w:rFonts w:hint="eastAsia" w:ascii="仿宋" w:hAnsi="仿宋" w:eastAsia="仿宋"/>
                <w:color w:val="auto"/>
                <w:szCs w:val="21"/>
                <w:highlight w:val="none"/>
              </w:rPr>
              <w:t>图形</w:t>
            </w:r>
            <w:r>
              <w:rPr>
                <w:rFonts w:hint="eastAsia" w:ascii="仿宋" w:hAnsi="仿宋" w:eastAsia="仿宋" w:cs="宋体"/>
                <w:color w:val="auto"/>
                <w:szCs w:val="21"/>
                <w:highlight w:val="none"/>
              </w:rPr>
              <w:t>、表格等各类形式展现，系统支持按日期、类型、</w:t>
            </w:r>
            <w:r>
              <w:rPr>
                <w:rFonts w:hint="eastAsia" w:ascii="仿宋" w:hAnsi="仿宋" w:eastAsia="仿宋"/>
                <w:color w:val="auto"/>
                <w:szCs w:val="21"/>
                <w:highlight w:val="none"/>
              </w:rPr>
              <w:t>部分</w:t>
            </w:r>
            <w:r>
              <w:rPr>
                <w:rFonts w:hint="eastAsia" w:ascii="仿宋" w:hAnsi="仿宋" w:eastAsia="仿宋" w:cs="宋体"/>
                <w:color w:val="auto"/>
                <w:szCs w:val="21"/>
                <w:highlight w:val="none"/>
              </w:rPr>
              <w:t>等方式来查询统计信息</w:t>
            </w:r>
            <w:r>
              <w:rPr>
                <w:rFonts w:hint="eastAsia" w:ascii="仿宋" w:hAnsi="仿宋" w:eastAsia="仿宋"/>
                <w:color w:val="auto"/>
                <w:szCs w:val="21"/>
                <w:highlight w:val="none"/>
              </w:rPr>
              <w:t xml:space="preserve"> （预留模块接口、对采集数据的汇总、统计、展示等工作）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20</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食品卫生安全监测</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对接后勤、餐饮公司等相关数据，监测日常食品的采购、食品卫生监测等数据</w:t>
            </w:r>
            <w:r>
              <w:rPr>
                <w:rFonts w:hint="eastAsia" w:ascii="仿宋" w:hAnsi="仿宋" w:eastAsia="仿宋" w:cs="宋体"/>
                <w:color w:val="auto"/>
                <w:szCs w:val="21"/>
                <w:highlight w:val="none"/>
              </w:rPr>
              <w:t>统计，可通过</w:t>
            </w:r>
            <w:r>
              <w:rPr>
                <w:rFonts w:hint="eastAsia" w:ascii="仿宋" w:hAnsi="仿宋" w:eastAsia="仿宋"/>
                <w:color w:val="auto"/>
                <w:szCs w:val="21"/>
                <w:highlight w:val="none"/>
              </w:rPr>
              <w:t>图形</w:t>
            </w:r>
            <w:r>
              <w:rPr>
                <w:rFonts w:hint="eastAsia" w:ascii="仿宋" w:hAnsi="仿宋" w:eastAsia="仿宋" w:cs="宋体"/>
                <w:color w:val="auto"/>
                <w:szCs w:val="21"/>
                <w:highlight w:val="none"/>
              </w:rPr>
              <w:t>、表格等各类形式展现，系统支持按日期、类型、</w:t>
            </w:r>
            <w:r>
              <w:rPr>
                <w:rFonts w:hint="eastAsia" w:ascii="仿宋" w:hAnsi="仿宋" w:eastAsia="仿宋"/>
                <w:color w:val="auto"/>
                <w:szCs w:val="21"/>
                <w:highlight w:val="none"/>
              </w:rPr>
              <w:t>部分</w:t>
            </w:r>
            <w:r>
              <w:rPr>
                <w:rFonts w:hint="eastAsia" w:ascii="仿宋" w:hAnsi="仿宋" w:eastAsia="仿宋" w:cs="宋体"/>
                <w:color w:val="auto"/>
                <w:szCs w:val="21"/>
                <w:highlight w:val="none"/>
              </w:rPr>
              <w:t>等方式来查询统计信息</w:t>
            </w:r>
            <w:r>
              <w:rPr>
                <w:rFonts w:hint="eastAsia" w:ascii="仿宋" w:hAnsi="仿宋" w:eastAsia="仿宋"/>
                <w:color w:val="auto"/>
                <w:szCs w:val="21"/>
                <w:highlight w:val="none"/>
              </w:rPr>
              <w:t>（预留模块接口、对采集数据的汇总、统计、展示等工作）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74"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21</w:t>
            </w:r>
          </w:p>
        </w:tc>
        <w:tc>
          <w:tcPr>
            <w:tcW w:w="1389" w:type="dxa"/>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人员意识行为分析监测</w:t>
            </w:r>
          </w:p>
        </w:tc>
        <w:tc>
          <w:tcPr>
            <w:tcW w:w="7235" w:type="dxa"/>
            <w:gridSpan w:val="2"/>
          </w:tcPr>
          <w:p>
            <w:pPr>
              <w:snapToGrid w:val="0"/>
              <w:rPr>
                <w:rFonts w:ascii="仿宋" w:hAnsi="仿宋" w:eastAsia="仿宋"/>
                <w:color w:val="auto"/>
                <w:szCs w:val="21"/>
                <w:highlight w:val="none"/>
              </w:rPr>
            </w:pPr>
            <w:r>
              <w:rPr>
                <w:rFonts w:hint="eastAsia" w:ascii="仿宋" w:hAnsi="仿宋" w:eastAsia="仿宋"/>
                <w:color w:val="auto"/>
                <w:szCs w:val="21"/>
                <w:highlight w:val="none"/>
              </w:rPr>
              <w:t>对接校内相关部分有关意识形态等数据</w:t>
            </w:r>
            <w:r>
              <w:rPr>
                <w:rFonts w:hint="eastAsia" w:ascii="仿宋" w:hAnsi="仿宋" w:eastAsia="仿宋" w:cs="宋体"/>
                <w:color w:val="auto"/>
                <w:szCs w:val="21"/>
                <w:highlight w:val="none"/>
              </w:rPr>
              <w:t>统计，可通过</w:t>
            </w:r>
            <w:r>
              <w:rPr>
                <w:rFonts w:hint="eastAsia" w:ascii="仿宋" w:hAnsi="仿宋" w:eastAsia="仿宋"/>
                <w:color w:val="auto"/>
                <w:szCs w:val="21"/>
                <w:highlight w:val="none"/>
              </w:rPr>
              <w:t>图形</w:t>
            </w:r>
            <w:r>
              <w:rPr>
                <w:rFonts w:hint="eastAsia" w:ascii="仿宋" w:hAnsi="仿宋" w:eastAsia="仿宋" w:cs="宋体"/>
                <w:color w:val="auto"/>
                <w:szCs w:val="21"/>
                <w:highlight w:val="none"/>
              </w:rPr>
              <w:t>、表格等各类形式展现，系统支持按日期、类型、</w:t>
            </w:r>
            <w:r>
              <w:rPr>
                <w:rFonts w:hint="eastAsia" w:ascii="仿宋" w:hAnsi="仿宋" w:eastAsia="仿宋"/>
                <w:color w:val="auto"/>
                <w:szCs w:val="21"/>
                <w:highlight w:val="none"/>
              </w:rPr>
              <w:t>部分</w:t>
            </w:r>
            <w:r>
              <w:rPr>
                <w:rFonts w:hint="eastAsia" w:ascii="仿宋" w:hAnsi="仿宋" w:eastAsia="仿宋" w:cs="宋体"/>
                <w:color w:val="auto"/>
                <w:szCs w:val="21"/>
                <w:highlight w:val="none"/>
              </w:rPr>
              <w:t>等方式来查询统计信息</w:t>
            </w:r>
            <w:r>
              <w:rPr>
                <w:rFonts w:hint="eastAsia" w:ascii="仿宋" w:hAnsi="仿宋" w:eastAsia="仿宋"/>
                <w:color w:val="auto"/>
                <w:szCs w:val="21"/>
                <w:highlight w:val="none"/>
              </w:rPr>
              <w:t>（预留模块接口、对采集数据的汇总、统计、展示等工作）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74" w:type="dxa"/>
            <w:vAlign w:val="center"/>
          </w:tcPr>
          <w:p>
            <w:pPr>
              <w:snapToGrid w:val="0"/>
              <w:jc w:val="center"/>
              <w:rPr>
                <w:rFonts w:ascii="仿宋" w:hAnsi="仿宋" w:eastAsia="仿宋"/>
                <w:color w:val="auto"/>
                <w:szCs w:val="21"/>
                <w:highlight w:val="none"/>
              </w:rPr>
            </w:pPr>
            <w:r>
              <w:rPr>
                <w:rFonts w:ascii="仿宋" w:hAnsi="仿宋" w:eastAsia="仿宋"/>
                <w:color w:val="auto"/>
                <w:szCs w:val="21"/>
                <w:highlight w:val="none"/>
              </w:rPr>
              <w:t>2</w:t>
            </w:r>
            <w:r>
              <w:rPr>
                <w:rFonts w:hint="eastAsia" w:ascii="仿宋" w:hAnsi="仿宋" w:eastAsia="仿宋"/>
                <w:color w:val="auto"/>
                <w:szCs w:val="21"/>
                <w:highlight w:val="none"/>
              </w:rPr>
              <w:t>2</w:t>
            </w:r>
          </w:p>
        </w:tc>
        <w:tc>
          <w:tcPr>
            <w:tcW w:w="1389" w:type="dxa"/>
            <w:vAlign w:val="center"/>
          </w:tcPr>
          <w:p>
            <w:pPr>
              <w:snapToGrid w:val="0"/>
              <w:rPr>
                <w:rFonts w:ascii="仿宋" w:hAnsi="仿宋" w:eastAsia="仿宋"/>
                <w:color w:val="auto"/>
                <w:szCs w:val="21"/>
                <w:highlight w:val="none"/>
                <w:lang w:eastAsia="zh-Hans"/>
              </w:rPr>
            </w:pPr>
            <w:r>
              <w:rPr>
                <w:rFonts w:hint="eastAsia" w:ascii="仿宋" w:hAnsi="仿宋" w:eastAsia="仿宋" w:cs="仿宋"/>
                <w:color w:val="auto"/>
                <w:sz w:val="24"/>
                <w:highlight w:val="none"/>
              </w:rPr>
              <w:t>☆</w:t>
            </w:r>
            <w:r>
              <w:rPr>
                <w:rFonts w:hint="eastAsia" w:ascii="仿宋" w:hAnsi="仿宋" w:eastAsia="仿宋"/>
                <w:color w:val="auto"/>
                <w:szCs w:val="21"/>
                <w:highlight w:val="none"/>
                <w:lang w:eastAsia="zh-Hans"/>
              </w:rPr>
              <w:t>三维地图建设</w:t>
            </w:r>
          </w:p>
        </w:tc>
        <w:tc>
          <w:tcPr>
            <w:tcW w:w="7235" w:type="dxa"/>
            <w:gridSpan w:val="2"/>
          </w:tcPr>
          <w:p>
            <w:pPr>
              <w:snapToGrid w:val="0"/>
              <w:rPr>
                <w:rFonts w:ascii="仿宋" w:hAnsi="仿宋" w:eastAsia="仿宋"/>
                <w:color w:val="auto"/>
                <w:szCs w:val="21"/>
                <w:highlight w:val="none"/>
              </w:rPr>
            </w:pPr>
            <w:r>
              <w:rPr>
                <w:rFonts w:hint="eastAsia" w:ascii="仿宋" w:hAnsi="仿宋" w:eastAsia="仿宋"/>
                <w:b/>
                <w:bCs/>
                <w:color w:val="auto"/>
                <w:szCs w:val="21"/>
                <w:highlight w:val="none"/>
              </w:rPr>
              <w:t>校园三维地图的定制开发及应用整合</w:t>
            </w:r>
            <w:r>
              <w:rPr>
                <w:rFonts w:hint="eastAsia" w:ascii="仿宋" w:hAnsi="仿宋" w:eastAsia="仿宋"/>
                <w:color w:val="auto"/>
                <w:szCs w:val="21"/>
                <w:highlight w:val="none"/>
              </w:rPr>
              <w:t>：需在现有三维地图平台上升级扩容，地图需覆盖整个校园所有建筑物及建筑物内的每个楼层平面，按照1:</w:t>
            </w:r>
            <w:r>
              <w:rPr>
                <w:rFonts w:ascii="仿宋" w:hAnsi="仿宋" w:eastAsia="仿宋"/>
                <w:color w:val="auto"/>
                <w:szCs w:val="21"/>
                <w:highlight w:val="none"/>
              </w:rPr>
              <w:t>1</w:t>
            </w:r>
            <w:r>
              <w:rPr>
                <w:rFonts w:hint="eastAsia" w:ascii="仿宋" w:hAnsi="仿宋" w:eastAsia="仿宋"/>
                <w:color w:val="auto"/>
                <w:szCs w:val="21"/>
                <w:highlight w:val="none"/>
              </w:rPr>
              <w:t>的场景建模，根据校内所有场所的平面布局进行建模精确到每个楼层每个房间。三维地图上需将所有安全相关的设备设施（监控点位、报警设备及消防烟感、温感、气体检测、消火栓）全部在图上呈现及应用</w:t>
            </w:r>
            <w:r>
              <w:rPr>
                <w:rFonts w:ascii="仿宋" w:hAnsi="仿宋" w:eastAsia="仿宋"/>
                <w:color w:val="auto"/>
                <w:szCs w:val="21"/>
                <w:highlight w:val="none"/>
              </w:rPr>
              <w:t>。</w:t>
            </w:r>
          </w:p>
          <w:p>
            <w:pPr>
              <w:snapToGrid w:val="0"/>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三维地图基础底座数据建设</w:t>
            </w:r>
            <w:r>
              <w:rPr>
                <w:rFonts w:ascii="仿宋" w:hAnsi="仿宋" w:eastAsia="仿宋" w:cs="宋体"/>
                <w:b/>
                <w:bCs/>
                <w:color w:val="auto"/>
                <w:kern w:val="0"/>
                <w:szCs w:val="21"/>
                <w:highlight w:val="none"/>
              </w:rPr>
              <w:t>：</w:t>
            </w:r>
          </w:p>
          <w:p>
            <w:pPr>
              <w:widowControl/>
              <w:jc w:val="left"/>
              <w:rPr>
                <w:rFonts w:ascii="仿宋" w:hAnsi="仿宋" w:eastAsia="仿宋" w:cs="宋体"/>
                <w:color w:val="auto"/>
                <w:kern w:val="0"/>
                <w:szCs w:val="21"/>
                <w:highlight w:val="none"/>
              </w:rPr>
            </w:pPr>
            <w:r>
              <w:rPr>
                <w:rFonts w:hint="eastAsia" w:ascii="仿宋" w:hAnsi="仿宋" w:eastAsia="仿宋" w:cs="宋体"/>
                <w:b/>
                <w:bCs/>
                <w:color w:val="auto"/>
                <w:kern w:val="0"/>
                <w:szCs w:val="21"/>
                <w:highlight w:val="none"/>
              </w:rPr>
              <w:t>数据范围</w:t>
            </w:r>
            <w:r>
              <w:rPr>
                <w:rFonts w:hint="eastAsia" w:ascii="仿宋" w:hAnsi="仿宋" w:eastAsia="仿宋" w:cs="宋体"/>
                <w:color w:val="auto"/>
                <w:kern w:val="0"/>
                <w:szCs w:val="21"/>
                <w:highlight w:val="none"/>
              </w:rPr>
              <w:t>：</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交职院主体座落区域，含四至范围道路包围的完整地块区域；</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根据项目需求，对座落区域周边进行GIS扩充，要求扩充范围为5</w:t>
            </w:r>
            <w:r>
              <w:rPr>
                <w:rFonts w:ascii="仿宋" w:hAnsi="仿宋" w:eastAsia="仿宋" w:cs="宋体"/>
                <w:color w:val="auto"/>
                <w:kern w:val="0"/>
                <w:szCs w:val="21"/>
                <w:highlight w:val="none"/>
              </w:rPr>
              <w:t>00</w:t>
            </w:r>
            <w:r>
              <w:rPr>
                <w:rFonts w:hint="eastAsia" w:ascii="仿宋" w:hAnsi="仿宋" w:eastAsia="仿宋" w:cs="宋体"/>
                <w:color w:val="auto"/>
                <w:kern w:val="0"/>
                <w:szCs w:val="21"/>
                <w:highlight w:val="none"/>
              </w:rPr>
              <w:t>米-</w:t>
            </w:r>
            <w:r>
              <w:rPr>
                <w:rFonts w:ascii="仿宋" w:hAnsi="仿宋" w:eastAsia="仿宋" w:cs="宋体"/>
                <w:color w:val="auto"/>
                <w:kern w:val="0"/>
                <w:szCs w:val="21"/>
                <w:highlight w:val="none"/>
              </w:rPr>
              <w:t>1000</w:t>
            </w:r>
            <w:r>
              <w:rPr>
                <w:rFonts w:hint="eastAsia" w:ascii="仿宋" w:hAnsi="仿宋" w:eastAsia="仿宋" w:cs="宋体"/>
                <w:color w:val="auto"/>
                <w:kern w:val="0"/>
                <w:szCs w:val="21"/>
                <w:highlight w:val="none"/>
              </w:rPr>
              <w:t>米，并进行统一GIS数据处理与风格的美化。</w:t>
            </w:r>
          </w:p>
          <w:p>
            <w:pPr>
              <w:widowControl/>
              <w:jc w:val="left"/>
              <w:rPr>
                <w:rFonts w:ascii="仿宋" w:hAnsi="仿宋" w:eastAsia="仿宋" w:cs="宋体"/>
                <w:color w:val="auto"/>
                <w:kern w:val="0"/>
                <w:szCs w:val="21"/>
                <w:highlight w:val="none"/>
              </w:rPr>
            </w:pPr>
            <w:r>
              <w:rPr>
                <w:rFonts w:hint="eastAsia" w:ascii="仿宋" w:hAnsi="仿宋" w:eastAsia="仿宋" w:cs="宋体"/>
                <w:b/>
                <w:bCs/>
                <w:color w:val="auto"/>
                <w:kern w:val="0"/>
                <w:szCs w:val="21"/>
                <w:highlight w:val="none"/>
              </w:rPr>
              <w:t>数据内容</w:t>
            </w:r>
            <w:r>
              <w:rPr>
                <w:rFonts w:hint="eastAsia" w:ascii="仿宋" w:hAnsi="仿宋" w:eastAsia="仿宋" w:cs="宋体"/>
                <w:color w:val="auto"/>
                <w:kern w:val="0"/>
                <w:szCs w:val="21"/>
                <w:highlight w:val="none"/>
              </w:rPr>
              <w:t>：</w:t>
            </w:r>
          </w:p>
          <w:p>
            <w:pPr>
              <w:pStyle w:val="254"/>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含室外的围墙、道路、建筑、绿化、水系及各类小品；</w:t>
            </w:r>
          </w:p>
          <w:p>
            <w:pPr>
              <w:pStyle w:val="254"/>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含室内的准确建筑结构、房间、走廊及各类部件；</w:t>
            </w:r>
          </w:p>
          <w:p>
            <w:pPr>
              <w:widowControl/>
              <w:jc w:val="left"/>
              <w:rPr>
                <w:rFonts w:ascii="仿宋" w:hAnsi="仿宋" w:eastAsia="仿宋" w:cs="宋体"/>
                <w:color w:val="auto"/>
                <w:kern w:val="0"/>
                <w:szCs w:val="21"/>
                <w:highlight w:val="none"/>
              </w:rPr>
            </w:pPr>
            <w:r>
              <w:rPr>
                <w:rFonts w:hint="eastAsia" w:ascii="仿宋" w:hAnsi="仿宋" w:eastAsia="仿宋" w:cs="宋体"/>
                <w:b/>
                <w:bCs/>
                <w:color w:val="auto"/>
                <w:kern w:val="0"/>
                <w:szCs w:val="21"/>
                <w:highlight w:val="none"/>
              </w:rPr>
              <w:t>三维可视化数据建设要求</w:t>
            </w:r>
            <w:r>
              <w:rPr>
                <w:rFonts w:hint="eastAsia" w:ascii="仿宋" w:hAnsi="仿宋" w:eastAsia="仿宋" w:cs="宋体"/>
                <w:color w:val="auto"/>
                <w:kern w:val="0"/>
                <w:szCs w:val="21"/>
                <w:highlight w:val="none"/>
              </w:rPr>
              <w:t>：</w:t>
            </w:r>
          </w:p>
          <w:p>
            <w:pPr>
              <w:pStyle w:val="254"/>
              <w:numPr>
                <w:ilvl w:val="0"/>
                <w:numId w:val="5"/>
              </w:numPr>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采用标准的三维建模工具进行数据生产，数据格式需通用且包含完整的结构数据及各类资源数据，数据生产需符合《CH/T 9015-2012 三维地理信息模型数据产品规范》要求；</w:t>
            </w:r>
          </w:p>
          <w:p>
            <w:pPr>
              <w:pStyle w:val="254"/>
              <w:numPr>
                <w:ilvl w:val="0"/>
                <w:numId w:val="5"/>
              </w:numPr>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三维建模所需的纹理贴图，需与实际现状一致；</w:t>
            </w:r>
          </w:p>
          <w:p>
            <w:pPr>
              <w:pStyle w:val="254"/>
              <w:numPr>
                <w:ilvl w:val="0"/>
                <w:numId w:val="5"/>
              </w:numPr>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数据精度要求控制在2</w:t>
            </w:r>
            <w:r>
              <w:rPr>
                <w:rFonts w:ascii="仿宋" w:hAnsi="仿宋" w:eastAsia="仿宋" w:cs="宋体"/>
                <w:color w:val="auto"/>
                <w:sz w:val="21"/>
                <w:szCs w:val="21"/>
                <w:highlight w:val="none"/>
              </w:rPr>
              <w:t>0</w:t>
            </w:r>
            <w:r>
              <w:rPr>
                <w:rFonts w:hint="eastAsia" w:ascii="仿宋" w:hAnsi="仿宋" w:eastAsia="仿宋" w:cs="宋体"/>
                <w:color w:val="auto"/>
                <w:sz w:val="21"/>
                <w:szCs w:val="21"/>
                <w:highlight w:val="none"/>
              </w:rPr>
              <w:t>cm以内；</w:t>
            </w:r>
          </w:p>
          <w:p>
            <w:pPr>
              <w:pStyle w:val="254"/>
              <w:numPr>
                <w:ilvl w:val="0"/>
                <w:numId w:val="5"/>
              </w:numPr>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数据颗粒度要求为：含围墙、大门、绿化、水系、植被、主干道路、小路、路灯、标牌、指示牌、雕像、道路停车位、路障等固定物件和部件。</w:t>
            </w:r>
          </w:p>
          <w:p>
            <w:pPr>
              <w:pStyle w:val="254"/>
              <w:numPr>
                <w:ilvl w:val="0"/>
                <w:numId w:val="5"/>
              </w:numPr>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各类管理单元所对应的模型对象，需建设标准模型库及独立模型文件，作为最终成果数据一并提交；</w:t>
            </w:r>
          </w:p>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对最终应用数据，需建设实效的模型数据库，满足网络分发和共享应用，需符合《CH/T 9017-2012 三维地理信息模型数据库规范》建设要求；</w:t>
            </w:r>
          </w:p>
          <w:p>
            <w:pPr>
              <w:snapToGrid w:val="0"/>
              <w:rPr>
                <w:rFonts w:ascii="仿宋" w:hAnsi="仿宋" w:eastAsia="仿宋" w:cs="宋体"/>
                <w:b/>
                <w:bCs/>
                <w:color w:val="auto"/>
                <w:kern w:val="0"/>
                <w:szCs w:val="21"/>
                <w:highlight w:val="none"/>
              </w:rPr>
            </w:pPr>
            <w:r>
              <w:rPr>
                <w:rFonts w:hint="eastAsia" w:ascii="仿宋" w:hAnsi="仿宋" w:eastAsia="仿宋" w:cs="宋体"/>
                <w:b/>
                <w:bCs/>
                <w:color w:val="auto"/>
                <w:kern w:val="0"/>
                <w:szCs w:val="21"/>
                <w:highlight w:val="none"/>
              </w:rPr>
              <w:t>三维地图引擎（基础可视化平台）</w:t>
            </w:r>
            <w:r>
              <w:rPr>
                <w:rFonts w:ascii="仿宋" w:hAnsi="仿宋" w:eastAsia="仿宋" w:cs="宋体"/>
                <w:b/>
                <w:bCs/>
                <w:color w:val="auto"/>
                <w:kern w:val="0"/>
                <w:szCs w:val="21"/>
                <w:highlight w:val="none"/>
              </w:rPr>
              <w:t>：</w:t>
            </w:r>
          </w:p>
          <w:p>
            <w:pPr>
              <w:widowControl/>
              <w:jc w:val="left"/>
              <w:rPr>
                <w:rFonts w:ascii="仿宋" w:hAnsi="仿宋" w:eastAsia="仿宋" w:cs="宋体"/>
                <w:color w:val="auto"/>
                <w:kern w:val="0"/>
                <w:szCs w:val="21"/>
                <w:highlight w:val="none"/>
              </w:rPr>
            </w:pPr>
            <w:r>
              <w:rPr>
                <w:rFonts w:hint="eastAsia" w:ascii="仿宋" w:hAnsi="仿宋" w:eastAsia="仿宋" w:cs="宋体"/>
                <w:b/>
                <w:bCs/>
                <w:color w:val="auto"/>
                <w:kern w:val="0"/>
                <w:szCs w:val="21"/>
                <w:highlight w:val="none"/>
              </w:rPr>
              <w:t>基本要求</w:t>
            </w:r>
            <w:r>
              <w:rPr>
                <w:rFonts w:hint="eastAsia" w:ascii="仿宋" w:hAnsi="仿宋" w:eastAsia="仿宋" w:cs="宋体"/>
                <w:color w:val="auto"/>
                <w:kern w:val="0"/>
                <w:szCs w:val="21"/>
                <w:highlight w:val="none"/>
              </w:rPr>
              <w:t>：</w:t>
            </w:r>
          </w:p>
          <w:p>
            <w:pPr>
              <w:widowControl/>
              <w:jc w:val="left"/>
              <w:rPr>
                <w:rFonts w:ascii="仿宋" w:hAnsi="仿宋" w:eastAsia="仿宋" w:cs="宋体"/>
                <w:color w:val="auto"/>
                <w:kern w:val="0"/>
                <w:szCs w:val="21"/>
                <w:highlight w:val="none"/>
              </w:rPr>
            </w:pPr>
            <w:r>
              <w:rPr>
                <w:rFonts w:hint="eastAsia" w:ascii="仿宋" w:hAnsi="仿宋" w:eastAsia="仿宋"/>
                <w:color w:val="auto"/>
                <w:sz w:val="18"/>
                <w:szCs w:val="18"/>
                <w:highlight w:val="none"/>
              </w:rPr>
              <w:t>★</w:t>
            </w:r>
            <w:r>
              <w:rPr>
                <w:rFonts w:ascii="仿宋" w:hAnsi="仿宋" w:eastAsia="仿宋" w:cs="宋体"/>
                <w:color w:val="auto"/>
                <w:kern w:val="0"/>
                <w:szCs w:val="21"/>
                <w:highlight w:val="none"/>
              </w:rPr>
              <w:t xml:space="preserve"> 1</w:t>
            </w:r>
            <w:r>
              <w:rPr>
                <w:rFonts w:hint="eastAsia" w:ascii="仿宋" w:hAnsi="仿宋" w:eastAsia="仿宋" w:cs="宋体"/>
                <w:color w:val="auto"/>
                <w:kern w:val="0"/>
                <w:szCs w:val="21"/>
                <w:highlight w:val="none"/>
              </w:rPr>
              <w:t>、三维地图采用B/S架构，支持基于浏览器(IE系列、Chrome、3</w:t>
            </w:r>
            <w:r>
              <w:rPr>
                <w:rFonts w:ascii="仿宋" w:hAnsi="仿宋" w:eastAsia="仿宋" w:cs="宋体"/>
                <w:color w:val="auto"/>
                <w:kern w:val="0"/>
                <w:szCs w:val="21"/>
                <w:highlight w:val="none"/>
              </w:rPr>
              <w:t>60</w:t>
            </w:r>
            <w:r>
              <w:rPr>
                <w:rFonts w:hint="eastAsia" w:ascii="仿宋" w:hAnsi="仿宋" w:eastAsia="仿宋" w:cs="宋体"/>
                <w:color w:val="auto"/>
                <w:kern w:val="0"/>
                <w:szCs w:val="21"/>
                <w:highlight w:val="none"/>
              </w:rPr>
              <w:t>浏览器等</w:t>
            </w:r>
            <w:r>
              <w:rPr>
                <w:rFonts w:ascii="仿宋" w:hAnsi="仿宋" w:eastAsia="仿宋" w:cs="宋体"/>
                <w:color w:val="auto"/>
                <w:kern w:val="0"/>
                <w:szCs w:val="21"/>
                <w:highlight w:val="none"/>
              </w:rPr>
              <w:t>)</w:t>
            </w:r>
            <w:r>
              <w:rPr>
                <w:rFonts w:hint="eastAsia" w:ascii="仿宋" w:hAnsi="仿宋" w:eastAsia="仿宋" w:cs="宋体"/>
                <w:color w:val="auto"/>
                <w:kern w:val="0"/>
                <w:szCs w:val="21"/>
                <w:highlight w:val="none"/>
              </w:rPr>
              <w:t>的轻量级访问，无需安装任何客户端插件；</w:t>
            </w:r>
          </w:p>
          <w:p>
            <w:pPr>
              <w:pStyle w:val="254"/>
              <w:rPr>
                <w:rFonts w:ascii="仿宋" w:hAnsi="仿宋" w:eastAsia="仿宋"/>
                <w:color w:val="auto"/>
                <w:sz w:val="21"/>
                <w:szCs w:val="21"/>
                <w:highlight w:val="none"/>
              </w:rPr>
            </w:pPr>
            <w:r>
              <w:rPr>
                <w:rFonts w:hint="eastAsia" w:ascii="仿宋" w:hAnsi="仿宋" w:eastAsia="仿宋"/>
                <w:color w:val="auto"/>
                <w:sz w:val="18"/>
                <w:szCs w:val="18"/>
                <w:highlight w:val="none"/>
              </w:rPr>
              <w:t>★</w:t>
            </w:r>
            <w:r>
              <w:rPr>
                <w:rFonts w:ascii="仿宋" w:hAnsi="仿宋" w:eastAsia="仿宋" w:cs="宋体"/>
                <w:color w:val="auto"/>
                <w:sz w:val="21"/>
                <w:szCs w:val="21"/>
                <w:highlight w:val="none"/>
              </w:rPr>
              <w:t xml:space="preserve"> </w:t>
            </w:r>
            <w:r>
              <w:rPr>
                <w:rFonts w:hint="eastAsia" w:ascii="仿宋" w:hAnsi="仿宋" w:eastAsia="仿宋" w:cs="宋体"/>
                <w:color w:val="auto"/>
                <w:sz w:val="21"/>
                <w:szCs w:val="21"/>
                <w:highlight w:val="none"/>
              </w:rPr>
              <w:t>2、支持云端渲染技术及并发管理服务(需提供第三方权威机构的检测报告）；</w:t>
            </w:r>
          </w:p>
          <w:p>
            <w:pPr>
              <w:widowControl/>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3</w:t>
            </w:r>
            <w:r>
              <w:rPr>
                <w:rFonts w:hint="eastAsia" w:ascii="仿宋" w:hAnsi="仿宋" w:eastAsia="仿宋" w:cs="宋体"/>
                <w:color w:val="auto"/>
                <w:kern w:val="0"/>
                <w:szCs w:val="21"/>
                <w:highlight w:val="none"/>
              </w:rPr>
              <w:t>、具备三维</w:t>
            </w:r>
            <w:r>
              <w:rPr>
                <w:rFonts w:hint="eastAsia" w:ascii="仿宋" w:hAnsi="仿宋" w:eastAsia="仿宋" w:cs="宋体"/>
                <w:color w:val="auto"/>
                <w:szCs w:val="21"/>
                <w:highlight w:val="none"/>
              </w:rPr>
              <w:t>浏览、漫游、飞行、放大、缩小、改变相机视角等基本三维浏览功能</w:t>
            </w:r>
            <w:r>
              <w:rPr>
                <w:rFonts w:hint="eastAsia" w:ascii="仿宋" w:hAnsi="仿宋" w:eastAsia="仿宋" w:cs="宋体"/>
                <w:color w:val="auto"/>
                <w:kern w:val="0"/>
                <w:szCs w:val="21"/>
                <w:highlight w:val="none"/>
              </w:rPr>
              <w:t>；支持量算、可视域分析等基本三维分析功能；</w:t>
            </w:r>
          </w:p>
          <w:p>
            <w:pPr>
              <w:widowControl/>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4</w:t>
            </w:r>
            <w:r>
              <w:rPr>
                <w:rFonts w:hint="eastAsia" w:ascii="仿宋" w:hAnsi="仿宋" w:eastAsia="仿宋" w:cs="宋体"/>
                <w:color w:val="auto"/>
                <w:kern w:val="0"/>
                <w:szCs w:val="21"/>
                <w:highlight w:val="none"/>
              </w:rPr>
              <w:t xml:space="preserve">、支持室外、室内一体化的三维地图可视化应用，实现基于空间位置的调用和交互；通过掀顶或抽屉模式，对建筑内部的各楼层数据进行便捷查看和操作； </w:t>
            </w:r>
          </w:p>
          <w:p>
            <w:pPr>
              <w:widowControl/>
              <w:jc w:val="left"/>
              <w:rPr>
                <w:rFonts w:ascii="仿宋" w:hAnsi="仿宋" w:eastAsia="仿宋" w:cs="宋体"/>
                <w:color w:val="auto"/>
                <w:kern w:val="0"/>
                <w:szCs w:val="21"/>
                <w:highlight w:val="none"/>
              </w:rPr>
            </w:pPr>
            <w:r>
              <w:rPr>
                <w:rFonts w:hint="eastAsia" w:ascii="仿宋" w:hAnsi="仿宋" w:eastAsia="仿宋"/>
                <w:color w:val="auto"/>
                <w:sz w:val="18"/>
                <w:szCs w:val="18"/>
                <w:highlight w:val="none"/>
              </w:rPr>
              <w:t>★</w:t>
            </w:r>
            <w:r>
              <w:rPr>
                <w:rFonts w:ascii="仿宋" w:hAnsi="仿宋" w:eastAsia="仿宋" w:cs="宋体"/>
                <w:color w:val="auto"/>
                <w:kern w:val="0"/>
                <w:szCs w:val="21"/>
                <w:highlight w:val="none"/>
              </w:rPr>
              <w:t xml:space="preserve"> </w:t>
            </w:r>
            <w:r>
              <w:rPr>
                <w:rFonts w:hint="eastAsia" w:ascii="仿宋" w:hAnsi="仿宋" w:eastAsia="仿宋" w:cs="宋体"/>
                <w:color w:val="auto"/>
                <w:kern w:val="0"/>
                <w:szCs w:val="21"/>
                <w:highlight w:val="none"/>
              </w:rPr>
              <w:t>5、支持多种类的数据融合与发布，包含影像/高程数据、三维模型数据、BIM数据、倾斜摄影数据、矢量图层数据及业务图层数据的融合与发布；</w:t>
            </w:r>
          </w:p>
          <w:p>
            <w:pPr>
              <w:widowControl/>
              <w:jc w:val="left"/>
              <w:rPr>
                <w:rFonts w:ascii="仿宋" w:hAnsi="仿宋" w:eastAsia="仿宋" w:cs="宋体"/>
                <w:color w:val="auto"/>
                <w:kern w:val="0"/>
                <w:szCs w:val="21"/>
                <w:highlight w:val="none"/>
              </w:rPr>
            </w:pPr>
            <w:r>
              <w:rPr>
                <w:rFonts w:hint="eastAsia" w:ascii="仿宋" w:hAnsi="仿宋" w:eastAsia="仿宋"/>
                <w:color w:val="auto"/>
                <w:sz w:val="18"/>
                <w:szCs w:val="18"/>
                <w:highlight w:val="none"/>
              </w:rPr>
              <w:t>★</w:t>
            </w:r>
            <w:r>
              <w:rPr>
                <w:rFonts w:ascii="仿宋" w:hAnsi="仿宋" w:eastAsia="仿宋" w:cs="宋体"/>
                <w:color w:val="auto"/>
                <w:kern w:val="0"/>
                <w:szCs w:val="21"/>
                <w:highlight w:val="none"/>
              </w:rPr>
              <w:t xml:space="preserve"> </w:t>
            </w:r>
            <w:r>
              <w:rPr>
                <w:rFonts w:hint="eastAsia" w:ascii="仿宋" w:hAnsi="仿宋" w:eastAsia="仿宋" w:cs="宋体"/>
                <w:color w:val="auto"/>
                <w:kern w:val="0"/>
                <w:szCs w:val="21"/>
                <w:highlight w:val="none"/>
              </w:rPr>
              <w:t>6、支持多种类地图特效，含骨骼动画模拟，如巡逻人员、车辆及作战指挥动态图标等；</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7、同平台支持数据可视化应用，对综合应用平台中的统计数据、分析数据及实时数据，进行数据可视化应用；</w:t>
            </w:r>
          </w:p>
          <w:p>
            <w:pPr>
              <w:widowControl/>
              <w:jc w:val="left"/>
              <w:rPr>
                <w:rFonts w:ascii="仿宋" w:hAnsi="仿宋" w:eastAsia="仿宋" w:cs="宋体"/>
                <w:color w:val="auto"/>
                <w:kern w:val="0"/>
                <w:szCs w:val="21"/>
                <w:highlight w:val="none"/>
              </w:rPr>
            </w:pPr>
            <w:r>
              <w:rPr>
                <w:rFonts w:hint="eastAsia" w:ascii="仿宋" w:hAnsi="仿宋" w:eastAsia="仿宋"/>
                <w:color w:val="auto"/>
                <w:sz w:val="18"/>
                <w:szCs w:val="18"/>
                <w:highlight w:val="none"/>
              </w:rPr>
              <w:t>★</w:t>
            </w:r>
            <w:r>
              <w:rPr>
                <w:rFonts w:ascii="仿宋" w:hAnsi="仿宋" w:eastAsia="仿宋" w:cs="宋体"/>
                <w:color w:val="auto"/>
                <w:kern w:val="0"/>
                <w:szCs w:val="21"/>
                <w:highlight w:val="none"/>
              </w:rPr>
              <w:t xml:space="preserve"> </w:t>
            </w:r>
            <w:r>
              <w:rPr>
                <w:rFonts w:hint="eastAsia" w:ascii="仿宋" w:hAnsi="仿宋" w:eastAsia="仿宋" w:cs="宋体"/>
                <w:color w:val="auto"/>
                <w:kern w:val="0"/>
                <w:szCs w:val="21"/>
                <w:highlight w:val="none"/>
              </w:rPr>
              <w:t>8、支持4K级高清画面的输出，并且保证流畅运行。</w:t>
            </w:r>
          </w:p>
          <w:p>
            <w:pPr>
              <w:widowControl/>
              <w:jc w:val="left"/>
              <w:rPr>
                <w:rFonts w:ascii="仿宋" w:hAnsi="仿宋" w:eastAsia="仿宋" w:cs="宋体"/>
                <w:color w:val="auto"/>
                <w:kern w:val="0"/>
                <w:szCs w:val="21"/>
                <w:highlight w:val="none"/>
              </w:rPr>
            </w:pPr>
            <w:r>
              <w:rPr>
                <w:rFonts w:hint="eastAsia" w:ascii="仿宋" w:hAnsi="仿宋" w:eastAsia="仿宋" w:cs="宋体"/>
                <w:b/>
                <w:bCs/>
                <w:color w:val="auto"/>
                <w:kern w:val="0"/>
                <w:szCs w:val="21"/>
                <w:highlight w:val="none"/>
              </w:rPr>
              <w:t>性能要求</w:t>
            </w:r>
            <w:r>
              <w:rPr>
                <w:rFonts w:hint="eastAsia" w:ascii="仿宋" w:hAnsi="仿宋" w:eastAsia="仿宋" w:cs="宋体"/>
                <w:color w:val="auto"/>
                <w:kern w:val="0"/>
                <w:szCs w:val="21"/>
                <w:highlight w:val="none"/>
              </w:rPr>
              <w:t>：</w:t>
            </w:r>
          </w:p>
          <w:p>
            <w:pPr>
              <w:widowControl/>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1、不限数据承载量；</w:t>
            </w:r>
            <w:r>
              <w:rPr>
                <w:rFonts w:ascii="仿宋" w:hAnsi="仿宋" w:eastAsia="仿宋" w:cs="宋体"/>
                <w:color w:val="auto"/>
                <w:kern w:val="0"/>
                <w:szCs w:val="21"/>
                <w:highlight w:val="none"/>
              </w:rPr>
              <w:t xml:space="preserve"> </w:t>
            </w:r>
          </w:p>
          <w:p>
            <w:pPr>
              <w:widowControl/>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2</w:t>
            </w:r>
            <w:r>
              <w:rPr>
                <w:rFonts w:hint="eastAsia" w:ascii="仿宋" w:hAnsi="仿宋" w:eastAsia="仿宋" w:cs="宋体"/>
                <w:color w:val="auto"/>
                <w:kern w:val="0"/>
                <w:szCs w:val="21"/>
                <w:highlight w:val="none"/>
              </w:rPr>
              <w:t>、地图支持高于1</w:t>
            </w:r>
            <w:r>
              <w:rPr>
                <w:rFonts w:ascii="仿宋" w:hAnsi="仿宋" w:eastAsia="仿宋" w:cs="宋体"/>
                <w:color w:val="auto"/>
                <w:kern w:val="0"/>
                <w:szCs w:val="21"/>
                <w:highlight w:val="none"/>
              </w:rPr>
              <w:t>00,000</w:t>
            </w:r>
            <w:r>
              <w:rPr>
                <w:rFonts w:hint="eastAsia" w:ascii="仿宋" w:hAnsi="仿宋" w:eastAsia="仿宋" w:cs="宋体"/>
                <w:color w:val="auto"/>
                <w:kern w:val="0"/>
                <w:szCs w:val="21"/>
                <w:highlight w:val="none"/>
              </w:rPr>
              <w:t>个物联网设备的点位上图管理；</w:t>
            </w:r>
          </w:p>
          <w:p>
            <w:pPr>
              <w:widowControl/>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3</w:t>
            </w:r>
            <w:r>
              <w:rPr>
                <w:rFonts w:hint="eastAsia" w:ascii="仿宋" w:hAnsi="仿宋" w:eastAsia="仿宋" w:cs="宋体"/>
                <w:color w:val="auto"/>
                <w:kern w:val="0"/>
                <w:szCs w:val="21"/>
                <w:highlight w:val="none"/>
              </w:rPr>
              <w:t>、不依赖于客户端电脑的硬件性能，满足普通工作电脑的运行支持；</w:t>
            </w:r>
          </w:p>
          <w:p>
            <w:pPr>
              <w:snapToGrid w:val="0"/>
              <w:rPr>
                <w:rFonts w:ascii="仿宋" w:hAnsi="仿宋" w:eastAsia="仿宋" w:cs="宋体"/>
                <w:b/>
                <w:bCs/>
                <w:color w:val="auto"/>
                <w:kern w:val="0"/>
                <w:szCs w:val="21"/>
                <w:highlight w:val="none"/>
              </w:rPr>
            </w:pPr>
            <w:r>
              <w:rPr>
                <w:rFonts w:hint="eastAsia" w:ascii="仿宋" w:hAnsi="仿宋" w:eastAsia="仿宋"/>
                <w:color w:val="auto"/>
                <w:sz w:val="18"/>
                <w:szCs w:val="18"/>
                <w:highlight w:val="none"/>
              </w:rPr>
              <w:t>★</w:t>
            </w:r>
            <w:r>
              <w:rPr>
                <w:rFonts w:ascii="仿宋" w:hAnsi="仿宋" w:eastAsia="仿宋" w:cs="宋体"/>
                <w:color w:val="auto"/>
                <w:kern w:val="0"/>
                <w:szCs w:val="21"/>
                <w:highlight w:val="none"/>
              </w:rPr>
              <w:t xml:space="preserve"> 4</w:t>
            </w:r>
            <w:r>
              <w:rPr>
                <w:rFonts w:hint="eastAsia" w:ascii="仿宋" w:hAnsi="仿宋" w:eastAsia="仿宋" w:cs="宋体"/>
                <w:color w:val="auto"/>
                <w:kern w:val="0"/>
                <w:szCs w:val="21"/>
                <w:highlight w:val="none"/>
              </w:rPr>
              <w:t>、满足地图查看的响应时间在</w:t>
            </w:r>
            <w:r>
              <w:rPr>
                <w:rFonts w:ascii="仿宋" w:hAnsi="仿宋" w:eastAsia="仿宋" w:cs="宋体"/>
                <w:color w:val="auto"/>
                <w:kern w:val="0"/>
                <w:szCs w:val="21"/>
                <w:highlight w:val="none"/>
              </w:rPr>
              <w:t>2</w:t>
            </w:r>
            <w:r>
              <w:rPr>
                <w:rFonts w:hint="eastAsia" w:ascii="仿宋" w:hAnsi="仿宋" w:eastAsia="仿宋" w:cs="宋体"/>
                <w:color w:val="auto"/>
                <w:kern w:val="0"/>
                <w:szCs w:val="21"/>
                <w:highlight w:val="none"/>
              </w:rPr>
              <w:t>秒以内(需提供第三方权威机构的检测报告）；</w:t>
            </w:r>
          </w:p>
        </w:tc>
      </w:tr>
    </w:tbl>
    <w:p>
      <w:pPr>
        <w:widowControl/>
        <w:adjustRightInd/>
        <w:jc w:val="left"/>
        <w:rPr>
          <w:rFonts w:ascii="仿宋" w:hAnsi="仿宋" w:eastAsia="仿宋"/>
          <w:b/>
          <w:color w:val="auto"/>
          <w:sz w:val="24"/>
          <w:szCs w:val="21"/>
          <w:highlight w:val="none"/>
        </w:rPr>
      </w:pPr>
      <w:r>
        <w:rPr>
          <w:rFonts w:ascii="仿宋" w:hAnsi="仿宋" w:eastAsia="仿宋"/>
          <w:b/>
          <w:color w:val="auto"/>
          <w:szCs w:val="21"/>
          <w:highlight w:val="none"/>
        </w:rPr>
        <w:br w:type="page"/>
      </w:r>
    </w:p>
    <w:p>
      <w:pPr>
        <w:pStyle w:val="159"/>
        <w:snapToGrid w:val="0"/>
        <w:spacing w:before="0"/>
        <w:ind w:firstLine="482"/>
        <w:rPr>
          <w:rFonts w:ascii="仿宋" w:hAnsi="仿宋" w:eastAsia="仿宋"/>
          <w:b/>
          <w:color w:val="auto"/>
          <w:szCs w:val="21"/>
          <w:highlight w:val="none"/>
        </w:rPr>
      </w:pPr>
      <w:r>
        <w:rPr>
          <w:rFonts w:hint="eastAsia" w:ascii="仿宋" w:hAnsi="仿宋" w:eastAsia="仿宋"/>
          <w:b/>
          <w:color w:val="auto"/>
          <w:szCs w:val="21"/>
          <w:highlight w:val="none"/>
        </w:rPr>
        <w:t>（六）附表</w:t>
      </w:r>
      <w:r>
        <w:rPr>
          <w:rFonts w:ascii="仿宋" w:hAnsi="仿宋" w:eastAsia="仿宋"/>
          <w:b/>
          <w:color w:val="auto"/>
          <w:szCs w:val="21"/>
          <w:highlight w:val="none"/>
        </w:rPr>
        <w:t>2</w:t>
      </w:r>
      <w:r>
        <w:rPr>
          <w:rFonts w:hint="eastAsia" w:ascii="仿宋" w:hAnsi="仿宋" w:eastAsia="仿宋"/>
          <w:b/>
          <w:color w:val="auto"/>
          <w:szCs w:val="21"/>
          <w:highlight w:val="none"/>
        </w:rPr>
        <w:t>：行政楼4楼平安校园指挥中心环境装修改造清单</w:t>
      </w:r>
    </w:p>
    <w:tbl>
      <w:tblPr>
        <w:tblStyle w:val="63"/>
        <w:tblW w:w="8926" w:type="dxa"/>
        <w:tblInd w:w="0" w:type="dxa"/>
        <w:tblLayout w:type="autofit"/>
        <w:tblCellMar>
          <w:top w:w="0" w:type="dxa"/>
          <w:left w:w="108" w:type="dxa"/>
          <w:bottom w:w="0" w:type="dxa"/>
          <w:right w:w="108" w:type="dxa"/>
        </w:tblCellMar>
      </w:tblPr>
      <w:tblGrid>
        <w:gridCol w:w="780"/>
        <w:gridCol w:w="2900"/>
        <w:gridCol w:w="1100"/>
        <w:gridCol w:w="1620"/>
        <w:gridCol w:w="2526"/>
      </w:tblGrid>
      <w:tr>
        <w:tblPrEx>
          <w:tblCellMar>
            <w:top w:w="0" w:type="dxa"/>
            <w:left w:w="108" w:type="dxa"/>
            <w:bottom w:w="0" w:type="dxa"/>
            <w:right w:w="108" w:type="dxa"/>
          </w:tblCellMar>
        </w:tblPrEx>
        <w:trPr>
          <w:trHeight w:val="270" w:hRule="atLeast"/>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序号</w:t>
            </w:r>
          </w:p>
        </w:tc>
        <w:tc>
          <w:tcPr>
            <w:tcW w:w="29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工程项目</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单位</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工程量</w:t>
            </w:r>
          </w:p>
        </w:tc>
        <w:tc>
          <w:tcPr>
            <w:tcW w:w="252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备注</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拆除工程</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砖墙及吊顶拆除</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177.45</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垃圾清运</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车</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8</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二</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地面</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强化复合木地板</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360</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静电地板铺设</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42.03</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门槛石铺设</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0.672</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实木贴脚线</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85</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5</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石材窗台板</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37.31</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三</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顶面</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90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矿棉板吊顶</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172.76</w:t>
            </w:r>
          </w:p>
        </w:tc>
        <w:tc>
          <w:tcPr>
            <w:tcW w:w="2526"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1.含配套龙骨及收口处理，不得含石棉制品</w:t>
            </w:r>
            <w:r>
              <w:rPr>
                <w:rFonts w:hint="eastAsia" w:ascii="仿宋" w:hAnsi="仿宋" w:eastAsia="仿宋" w:cs="宋体"/>
                <w:color w:val="auto"/>
                <w:kern w:val="0"/>
                <w:sz w:val="18"/>
                <w:szCs w:val="18"/>
                <w:highlight w:val="none"/>
              </w:rPr>
              <w:br w:type="textWrapping"/>
            </w:r>
            <w:r>
              <w:rPr>
                <w:rFonts w:hint="eastAsia" w:ascii="仿宋" w:hAnsi="仿宋" w:eastAsia="仿宋" w:cs="宋体"/>
                <w:color w:val="auto"/>
                <w:kern w:val="0"/>
                <w:sz w:val="18"/>
                <w:szCs w:val="18"/>
                <w:highlight w:val="none"/>
              </w:rPr>
              <w:t>2.配合开空调出风口、开灯孔，灯具、检修口及风口处加固喷灰处理等；含点锈和嵌缝等</w:t>
            </w:r>
          </w:p>
        </w:tc>
      </w:tr>
      <w:tr>
        <w:tblPrEx>
          <w:tblCellMar>
            <w:top w:w="0" w:type="dxa"/>
            <w:left w:w="108" w:type="dxa"/>
            <w:bottom w:w="0" w:type="dxa"/>
            <w:right w:w="108" w:type="dxa"/>
          </w:tblCellMar>
        </w:tblPrEx>
        <w:trPr>
          <w:trHeight w:val="375"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天棚轻钢龙骨跌级（一阶）</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189.35</w:t>
            </w:r>
          </w:p>
        </w:tc>
        <w:tc>
          <w:tcPr>
            <w:tcW w:w="2526"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U50系列不上人龙骨</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天棚石膏板饰面</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189.35</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9.5mm厚双层石膏板</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天棚腻子</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189.35</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5</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天棚乳胶漆</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189.35</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6</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喷涂灰色乳胶漆</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24</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679"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7</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天棚铝方通</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96.37</w:t>
            </w:r>
          </w:p>
        </w:tc>
        <w:tc>
          <w:tcPr>
            <w:tcW w:w="2526"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1.含配套龙骨及收口处理</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8</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空调风口基层制作</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34</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9</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窗帘盒安装</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37.31</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四</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墙面</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砖墙砌筑</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r>
              <w:rPr>
                <w:rFonts w:ascii="Calibri" w:hAnsi="Calibri" w:eastAsia="仿宋" w:cs="Calibri"/>
                <w:color w:val="auto"/>
                <w:kern w:val="0"/>
                <w:sz w:val="18"/>
                <w:szCs w:val="18"/>
                <w:highlight w:val="none"/>
              </w:rPr>
              <w:t>³</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29.0268</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加气混凝土砌块墙体120mm厚</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r>
              <w:rPr>
                <w:rFonts w:ascii="Calibri" w:hAnsi="Calibri" w:eastAsia="仿宋" w:cs="Calibri"/>
                <w:color w:val="auto"/>
                <w:kern w:val="0"/>
                <w:sz w:val="18"/>
                <w:szCs w:val="18"/>
                <w:highlight w:val="none"/>
              </w:rPr>
              <w:t>³</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1.5228</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墙面木基层</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8.46</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门套木基层</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8</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5</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实木格栅</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8.46</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6</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拉丝不锈钢踢脚线</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138</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7</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铝合金双层百叶玻璃隔断</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81.432</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855"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8</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墙、柱面抹灰</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416.28</w:t>
            </w:r>
          </w:p>
        </w:tc>
        <w:tc>
          <w:tcPr>
            <w:tcW w:w="2526" w:type="dxa"/>
            <w:tcBorders>
              <w:top w:val="nil"/>
              <w:left w:val="nil"/>
              <w:bottom w:val="single" w:color="auto" w:sz="4" w:space="0"/>
              <w:right w:val="single" w:color="auto" w:sz="4" w:space="0"/>
            </w:tcBorders>
            <w:shd w:val="clear" w:color="auto" w:fill="auto"/>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1.基层清理、拉毛</w:t>
            </w:r>
            <w:r>
              <w:rPr>
                <w:rFonts w:hint="eastAsia" w:ascii="仿宋" w:hAnsi="仿宋" w:eastAsia="仿宋" w:cs="宋体"/>
                <w:color w:val="auto"/>
                <w:kern w:val="0"/>
                <w:sz w:val="18"/>
                <w:szCs w:val="18"/>
                <w:highlight w:val="none"/>
              </w:rPr>
              <w:br w:type="textWrapping"/>
            </w:r>
            <w:r>
              <w:rPr>
                <w:rFonts w:hint="eastAsia" w:ascii="仿宋" w:hAnsi="仿宋" w:eastAsia="仿宋" w:cs="宋体"/>
                <w:color w:val="auto"/>
                <w:kern w:val="0"/>
                <w:sz w:val="18"/>
                <w:szCs w:val="18"/>
                <w:highlight w:val="none"/>
              </w:rPr>
              <w:t>2.粉刷石膏墙面基层抹灰，含满铺贴抗裂玻纤网</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9</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墙面腻子</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416.28</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10</w:t>
            </w:r>
          </w:p>
        </w:tc>
        <w:tc>
          <w:tcPr>
            <w:tcW w:w="29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墙面乳胶漆</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416.28</w:t>
            </w:r>
          </w:p>
        </w:tc>
        <w:tc>
          <w:tcPr>
            <w:tcW w:w="252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11</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瓷砖墙面</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20.64</w:t>
            </w:r>
          </w:p>
        </w:tc>
        <w:tc>
          <w:tcPr>
            <w:tcW w:w="2526"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五</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门窗</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2526"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单开防火门</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2.16</w:t>
            </w:r>
          </w:p>
        </w:tc>
        <w:tc>
          <w:tcPr>
            <w:tcW w:w="2526"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1.含门扇、门套、门框、油漆面及线条制作安装</w:t>
            </w:r>
            <w:r>
              <w:rPr>
                <w:rFonts w:hint="eastAsia" w:ascii="仿宋" w:hAnsi="仿宋" w:eastAsia="仿宋" w:cs="宋体"/>
                <w:color w:val="auto"/>
                <w:kern w:val="0"/>
                <w:sz w:val="18"/>
                <w:szCs w:val="18"/>
                <w:highlight w:val="none"/>
              </w:rPr>
              <w:br w:type="textWrapping"/>
            </w:r>
            <w:r>
              <w:rPr>
                <w:rFonts w:hint="eastAsia" w:ascii="仿宋" w:hAnsi="仿宋" w:eastAsia="仿宋" w:cs="宋体"/>
                <w:color w:val="auto"/>
                <w:kern w:val="0"/>
                <w:sz w:val="18"/>
                <w:szCs w:val="18"/>
                <w:highlight w:val="none"/>
              </w:rPr>
              <w:t>2.2.含合页、执手锁、闭门器、门碰、门挡、明装门吸、弹起式门吸、暗装天地插销等一切五金配件</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木门</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2.16</w:t>
            </w:r>
          </w:p>
        </w:tc>
        <w:tc>
          <w:tcPr>
            <w:tcW w:w="2526"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1.含门扇、门套、门框、油漆面及线条制作安装</w:t>
            </w:r>
            <w:r>
              <w:rPr>
                <w:rFonts w:hint="eastAsia" w:ascii="仿宋" w:hAnsi="仿宋" w:eastAsia="仿宋" w:cs="宋体"/>
                <w:color w:val="auto"/>
                <w:kern w:val="0"/>
                <w:sz w:val="18"/>
                <w:szCs w:val="18"/>
                <w:highlight w:val="none"/>
              </w:rPr>
              <w:br w:type="textWrapping"/>
            </w:r>
            <w:r>
              <w:rPr>
                <w:rFonts w:hint="eastAsia" w:ascii="仿宋" w:hAnsi="仿宋" w:eastAsia="仿宋" w:cs="宋体"/>
                <w:color w:val="auto"/>
                <w:kern w:val="0"/>
                <w:sz w:val="18"/>
                <w:szCs w:val="18"/>
                <w:highlight w:val="none"/>
              </w:rPr>
              <w:t>2.2.含合页、执手锁、闭门器、门碰、门挡、明装门吸、弹起式门吸、暗装天地插销等一切五金配件</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电动玻璃移门</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7.56</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自动移门机组采用欧仕丹顿,钢化玻璃为12MM</w:t>
            </w:r>
          </w:p>
        </w:tc>
      </w:tr>
      <w:tr>
        <w:trPr>
          <w:trHeight w:val="60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成品铝合金框系统隔断门（单层玻璃）</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23.868</w:t>
            </w:r>
          </w:p>
        </w:tc>
        <w:tc>
          <w:tcPr>
            <w:tcW w:w="2526"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1.成品系统隔断门，含合页、门挡或门吸、锁具、执手、防尘条、扣条、锁舌底盒等一切五金配件</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六</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强电</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强电桥架</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xml:space="preserve">55.00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CT200*100  防火桥架</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弱电桥架</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xml:space="preserve">48.00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CT200*100 防火桥架</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双路供电切换箱</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详见配电系统图</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LED屏电源配电箱</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详见配电系统图</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5</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UPS电源配电箱</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详见配电系统图</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6</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照明插座配电箱</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详见配电系统图</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7</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电缆YJV3*70+1*35</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200</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1楼高配间到4楼指挥中心总配电箱</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8</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电气配管JDGф20</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950</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9</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电气配线BV2.5</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2150</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10</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电气配线BV4</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1850</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11</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600*600灯盘</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65</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12</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筒灯</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11</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13</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射灯</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37</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14</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T5灯带或LED灯带安装</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23.37</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15</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开关安装</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20</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16</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暗装二、三极插座</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25</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17</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地插安装</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15</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18</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接线盒暗装</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个</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170</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七</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弱电</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六类网线</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米</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1500</w:t>
            </w:r>
          </w:p>
        </w:tc>
        <w:tc>
          <w:tcPr>
            <w:tcW w:w="252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含无线AP线缆</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六类模块（网络+电话）</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个</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48</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双口面板</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24</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24口网络配线线</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5</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24口千兆网络交换机</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安装在弱电井</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九</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门禁控制系统</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45"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人脸识别门禁设备</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套</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xml:space="preserve">3.00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电动移门、指挥大厅、设备间</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十</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b/>
                <w:bCs/>
                <w:color w:val="auto"/>
                <w:kern w:val="0"/>
                <w:sz w:val="18"/>
                <w:szCs w:val="18"/>
                <w:highlight w:val="none"/>
              </w:rPr>
            </w:pPr>
            <w:r>
              <w:rPr>
                <w:rFonts w:hint="eastAsia" w:ascii="仿宋" w:hAnsi="仿宋" w:eastAsia="仿宋" w:cs="宋体"/>
                <w:b/>
                <w:bCs/>
                <w:color w:val="auto"/>
                <w:kern w:val="0"/>
                <w:sz w:val="18"/>
                <w:szCs w:val="18"/>
                <w:highlight w:val="none"/>
              </w:rPr>
              <w:t>软装、家具</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进门展厅背景文化墙</w:t>
            </w:r>
          </w:p>
        </w:tc>
        <w:tc>
          <w:tcPr>
            <w:tcW w:w="11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项</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xml:space="preserve">1.00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根据要求定制，深化设计确定</w:t>
            </w:r>
          </w:p>
        </w:tc>
      </w:tr>
      <w:tr>
        <w:tblPrEx>
          <w:tblCellMar>
            <w:top w:w="0" w:type="dxa"/>
            <w:left w:w="108" w:type="dxa"/>
            <w:bottom w:w="0" w:type="dxa"/>
            <w:right w:w="108" w:type="dxa"/>
          </w:tblCellMar>
        </w:tblPrEx>
        <w:trPr>
          <w:trHeight w:val="387"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900" w:type="dxa"/>
            <w:tcBorders>
              <w:top w:val="nil"/>
              <w:left w:val="nil"/>
              <w:bottom w:val="single" w:color="auto" w:sz="4" w:space="0"/>
              <w:right w:val="single" w:color="auto" w:sz="4" w:space="0"/>
            </w:tcBorders>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窗帘（双轨双层）</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xml:space="preserve">93.28 </w:t>
            </w:r>
          </w:p>
        </w:tc>
        <w:tc>
          <w:tcPr>
            <w:tcW w:w="2526"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根据要求定制安装</w:t>
            </w:r>
          </w:p>
        </w:tc>
      </w:tr>
    </w:tbl>
    <w:p>
      <w:pPr>
        <w:pStyle w:val="159"/>
        <w:snapToGrid w:val="0"/>
        <w:spacing w:before="0"/>
        <w:ind w:firstLine="0" w:firstLineChars="0"/>
        <w:rPr>
          <w:rFonts w:ascii="仿宋" w:hAnsi="仿宋" w:eastAsia="仿宋" w:cs="仿宋_GB2312"/>
          <w:color w:val="auto"/>
          <w:sz w:val="21"/>
          <w:szCs w:val="21"/>
          <w:highlight w:val="none"/>
          <w:lang w:val="zh-TW" w:eastAsia="zh-TW"/>
        </w:rPr>
      </w:pPr>
      <w:r>
        <w:rPr>
          <w:rFonts w:hint="eastAsia" w:ascii="仿宋" w:hAnsi="仿宋" w:eastAsia="仿宋"/>
          <w:b/>
          <w:color w:val="auto"/>
          <w:szCs w:val="21"/>
          <w:highlight w:val="none"/>
        </w:rPr>
        <w:t>（七）附表</w:t>
      </w:r>
      <w:r>
        <w:rPr>
          <w:rFonts w:ascii="仿宋" w:hAnsi="仿宋" w:eastAsia="仿宋"/>
          <w:b/>
          <w:color w:val="auto"/>
          <w:szCs w:val="21"/>
          <w:highlight w:val="none"/>
        </w:rPr>
        <w:t>3</w:t>
      </w:r>
      <w:r>
        <w:rPr>
          <w:rFonts w:hint="eastAsia" w:ascii="仿宋" w:hAnsi="仿宋" w:eastAsia="仿宋"/>
          <w:b/>
          <w:color w:val="auto"/>
          <w:szCs w:val="21"/>
          <w:highlight w:val="none"/>
        </w:rPr>
        <w:t>：中央空调工程量清单</w:t>
      </w:r>
      <w:r>
        <w:rPr>
          <w:rFonts w:hint="eastAsia" w:ascii="仿宋" w:hAnsi="仿宋" w:eastAsia="仿宋"/>
          <w:b/>
          <w:color w:val="auto"/>
          <w:sz w:val="21"/>
          <w:szCs w:val="21"/>
          <w:highlight w:val="none"/>
        </w:rPr>
        <w:t>（空调质保期为投标供应商针对对本项目的质保期）</w:t>
      </w:r>
    </w:p>
    <w:tbl>
      <w:tblPr>
        <w:tblStyle w:val="63"/>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900"/>
        <w:gridCol w:w="1100"/>
        <w:gridCol w:w="1620"/>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36匹室外机组</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制冷量：96KW，一线知名品牌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暗藏风管式室内机 E45</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制冷量：4.5KW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暗藏风管式室内机 E45</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制冷量：4.5KW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暗藏风管式室内机 E45</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制冷量：4.5KW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5</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暗藏风管式室内机 E71</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制冷量：7.1KW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6</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暗藏风管式室内机 E71</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制冷量：7.1KW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7</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暗藏风管式室内机 E80</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制冷量：8.0KW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8</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暗藏风管式室内机 E80</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制冷量：8.0KW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9</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暗藏风管式室内机 E90</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4</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制冷量：9.0KW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10</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暗藏风管式室内机 E36</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制冷量：3.6KW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11</w:t>
            </w:r>
          </w:p>
        </w:tc>
        <w:tc>
          <w:tcPr>
            <w:tcW w:w="2900" w:type="dxa"/>
            <w:shd w:val="clear" w:color="000000" w:fill="FFFFFF"/>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xml:space="preserve">5P四面出风天花机 </w:t>
            </w:r>
          </w:p>
        </w:tc>
        <w:tc>
          <w:tcPr>
            <w:tcW w:w="1100" w:type="dxa"/>
            <w:shd w:val="clear" w:color="000000" w:fill="FFFFFF"/>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000000" w:fill="FFFFFF"/>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shd w:val="clear" w:color="000000" w:fill="FFFFFF"/>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现有机房拆装到4楼设备间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12</w:t>
            </w:r>
          </w:p>
        </w:tc>
        <w:tc>
          <w:tcPr>
            <w:tcW w:w="2900" w:type="dxa"/>
            <w:shd w:val="clear" w:color="000000" w:fill="FFFFFF"/>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3P立式柜机</w:t>
            </w:r>
          </w:p>
        </w:tc>
        <w:tc>
          <w:tcPr>
            <w:tcW w:w="1100" w:type="dxa"/>
            <w:shd w:val="clear" w:color="000000" w:fill="FFFFFF"/>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台</w:t>
            </w:r>
          </w:p>
        </w:tc>
        <w:tc>
          <w:tcPr>
            <w:tcW w:w="1620" w:type="dxa"/>
            <w:shd w:val="clear" w:color="000000" w:fill="FFFFFF"/>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p>
        </w:tc>
        <w:tc>
          <w:tcPr>
            <w:tcW w:w="2526" w:type="dxa"/>
            <w:shd w:val="clear" w:color="000000" w:fill="FFFFFF"/>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现有机房拆装到4楼设备间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13</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空调风管</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r>
              <w:rPr>
                <w:rFonts w:ascii="Calibri" w:hAnsi="Calibri" w:eastAsia="仿宋" w:cs="Calibri"/>
                <w:color w:val="auto"/>
                <w:kern w:val="0"/>
                <w:sz w:val="18"/>
                <w:szCs w:val="18"/>
                <w:highlight w:val="none"/>
              </w:rPr>
              <w:t>²</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122</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14</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百叶风口 回风口</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个</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14</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1600*300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15</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百叶风口 出风口</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个</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7</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1600*300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16</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百叶风口 出风口</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个</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7</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1600*350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17</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冷媒铜管 Φ9.5</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7</w:t>
            </w:r>
            <w:r>
              <w:rPr>
                <w:rFonts w:hint="eastAsia" w:ascii="仿宋" w:hAnsi="仿宋" w:eastAsia="仿宋" w:cs="宋体"/>
                <w:color w:val="auto"/>
                <w:kern w:val="0"/>
                <w:sz w:val="18"/>
                <w:szCs w:val="18"/>
                <w:highlight w:val="none"/>
              </w:rPr>
              <w:t>4.52</w:t>
            </w:r>
          </w:p>
        </w:tc>
        <w:tc>
          <w:tcPr>
            <w:tcW w:w="2526" w:type="dxa"/>
            <w:shd w:val="clear" w:color="auto" w:fill="auto"/>
            <w:noWrap/>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18</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冷媒铜管 Φ12.7</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2</w:t>
            </w:r>
            <w:r>
              <w:rPr>
                <w:rFonts w:hint="eastAsia" w:ascii="仿宋" w:hAnsi="仿宋" w:eastAsia="仿宋" w:cs="宋体"/>
                <w:color w:val="auto"/>
                <w:kern w:val="0"/>
                <w:sz w:val="18"/>
                <w:szCs w:val="18"/>
                <w:highlight w:val="none"/>
              </w:rPr>
              <w:t>2.7</w:t>
            </w:r>
          </w:p>
        </w:tc>
        <w:tc>
          <w:tcPr>
            <w:tcW w:w="2526" w:type="dxa"/>
            <w:shd w:val="clear" w:color="auto" w:fill="auto"/>
            <w:noWrap/>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19</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冷媒铜管 Φ15.9</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6</w:t>
            </w:r>
            <w:r>
              <w:rPr>
                <w:rFonts w:hint="eastAsia" w:ascii="仿宋" w:hAnsi="仿宋" w:eastAsia="仿宋" w:cs="宋体"/>
                <w:color w:val="auto"/>
                <w:kern w:val="0"/>
                <w:sz w:val="18"/>
                <w:szCs w:val="18"/>
                <w:highlight w:val="none"/>
              </w:rPr>
              <w:t>0.97</w:t>
            </w:r>
          </w:p>
        </w:tc>
        <w:tc>
          <w:tcPr>
            <w:tcW w:w="2526" w:type="dxa"/>
            <w:shd w:val="clear" w:color="auto" w:fill="auto"/>
            <w:noWrap/>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20</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冷媒铜管 Φ19.1</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2</w:t>
            </w:r>
            <w:r>
              <w:rPr>
                <w:rFonts w:hint="eastAsia" w:ascii="仿宋" w:hAnsi="仿宋" w:eastAsia="仿宋" w:cs="宋体"/>
                <w:color w:val="auto"/>
                <w:kern w:val="0"/>
                <w:sz w:val="18"/>
                <w:szCs w:val="18"/>
                <w:highlight w:val="none"/>
              </w:rPr>
              <w:t>9.68</w:t>
            </w:r>
          </w:p>
        </w:tc>
        <w:tc>
          <w:tcPr>
            <w:tcW w:w="2526" w:type="dxa"/>
            <w:shd w:val="clear" w:color="auto" w:fill="auto"/>
            <w:noWrap/>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21</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冷媒铜管 Φ22.2</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12</w:t>
            </w:r>
            <w:r>
              <w:rPr>
                <w:rFonts w:hint="eastAsia" w:ascii="仿宋" w:hAnsi="仿宋" w:eastAsia="仿宋" w:cs="宋体"/>
                <w:color w:val="auto"/>
                <w:kern w:val="0"/>
                <w:sz w:val="18"/>
                <w:szCs w:val="18"/>
                <w:highlight w:val="none"/>
              </w:rPr>
              <w:t>.25</w:t>
            </w:r>
          </w:p>
        </w:tc>
        <w:tc>
          <w:tcPr>
            <w:tcW w:w="2526" w:type="dxa"/>
            <w:shd w:val="clear" w:color="auto" w:fill="auto"/>
            <w:noWrap/>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22</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冷媒铜管 Φ28.6</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3</w:t>
            </w:r>
            <w:r>
              <w:rPr>
                <w:rFonts w:hint="eastAsia" w:ascii="仿宋" w:hAnsi="仿宋" w:eastAsia="仿宋" w:cs="宋体"/>
                <w:color w:val="auto"/>
                <w:kern w:val="0"/>
                <w:sz w:val="18"/>
                <w:szCs w:val="18"/>
                <w:highlight w:val="none"/>
              </w:rPr>
              <w:t>6.26</w:t>
            </w:r>
          </w:p>
        </w:tc>
        <w:tc>
          <w:tcPr>
            <w:tcW w:w="2526" w:type="dxa"/>
            <w:shd w:val="clear" w:color="auto" w:fill="auto"/>
            <w:noWrap/>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23</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冷媒铜管 Φ31.9</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2</w:t>
            </w:r>
            <w:r>
              <w:rPr>
                <w:rFonts w:hint="eastAsia" w:ascii="仿宋" w:hAnsi="仿宋" w:eastAsia="仿宋" w:cs="宋体"/>
                <w:color w:val="auto"/>
                <w:kern w:val="0"/>
                <w:sz w:val="18"/>
                <w:szCs w:val="18"/>
                <w:highlight w:val="none"/>
              </w:rPr>
              <w:t>5.23</w:t>
            </w:r>
          </w:p>
        </w:tc>
        <w:tc>
          <w:tcPr>
            <w:tcW w:w="2526" w:type="dxa"/>
            <w:shd w:val="clear" w:color="auto" w:fill="auto"/>
            <w:noWrap/>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24</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保温棉</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r>
              <w:rPr>
                <w:rFonts w:ascii="Calibri" w:hAnsi="Calibri" w:eastAsia="仿宋" w:cs="Calibri"/>
                <w:color w:val="auto"/>
                <w:kern w:val="0"/>
                <w:sz w:val="18"/>
                <w:szCs w:val="18"/>
                <w:highlight w:val="none"/>
              </w:rPr>
              <w:t>³</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5</w:t>
            </w:r>
          </w:p>
        </w:tc>
        <w:tc>
          <w:tcPr>
            <w:tcW w:w="2526" w:type="dxa"/>
            <w:shd w:val="clear" w:color="auto" w:fill="auto"/>
            <w:noWrap/>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25</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信号控制线</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m</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ascii="仿宋" w:hAnsi="仿宋" w:eastAsia="仿宋" w:cs="宋体"/>
                <w:color w:val="auto"/>
                <w:kern w:val="0"/>
                <w:sz w:val="18"/>
                <w:szCs w:val="18"/>
                <w:highlight w:val="none"/>
              </w:rPr>
              <w:t>700</w:t>
            </w:r>
          </w:p>
        </w:tc>
        <w:tc>
          <w:tcPr>
            <w:tcW w:w="2526" w:type="dxa"/>
            <w:shd w:val="clear" w:color="auto" w:fill="auto"/>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RVVP7*1.0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26</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控制面板</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个</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14</w:t>
            </w:r>
          </w:p>
        </w:tc>
        <w:tc>
          <w:tcPr>
            <w:tcW w:w="2526" w:type="dxa"/>
            <w:shd w:val="clear" w:color="auto" w:fill="auto"/>
            <w:noWrap/>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27</w:t>
            </w:r>
          </w:p>
        </w:tc>
        <w:tc>
          <w:tcPr>
            <w:tcW w:w="29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管道冷媒</w:t>
            </w:r>
          </w:p>
        </w:tc>
        <w:tc>
          <w:tcPr>
            <w:tcW w:w="110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KG</w:t>
            </w:r>
          </w:p>
        </w:tc>
        <w:tc>
          <w:tcPr>
            <w:tcW w:w="1620" w:type="dxa"/>
            <w:shd w:val="clear" w:color="auto" w:fill="auto"/>
            <w:noWrap/>
            <w:vAlign w:val="center"/>
          </w:tcPr>
          <w:p>
            <w:pPr>
              <w:widowControl/>
              <w:adjustRightInd/>
              <w:jc w:val="center"/>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1</w:t>
            </w:r>
            <w:r>
              <w:rPr>
                <w:rFonts w:ascii="仿宋" w:hAnsi="仿宋" w:eastAsia="仿宋" w:cs="宋体"/>
                <w:color w:val="auto"/>
                <w:kern w:val="0"/>
                <w:sz w:val="18"/>
                <w:szCs w:val="18"/>
                <w:highlight w:val="none"/>
              </w:rPr>
              <w:t>4</w:t>
            </w:r>
            <w:r>
              <w:rPr>
                <w:rFonts w:hint="eastAsia" w:ascii="仿宋" w:hAnsi="仿宋" w:eastAsia="仿宋" w:cs="宋体"/>
                <w:color w:val="auto"/>
                <w:kern w:val="0"/>
                <w:sz w:val="18"/>
                <w:szCs w:val="18"/>
                <w:highlight w:val="none"/>
              </w:rPr>
              <w:t>.22</w:t>
            </w:r>
          </w:p>
        </w:tc>
        <w:tc>
          <w:tcPr>
            <w:tcW w:w="2526" w:type="dxa"/>
            <w:shd w:val="clear" w:color="auto" w:fill="auto"/>
            <w:noWrap/>
            <w:vAlign w:val="center"/>
          </w:tcPr>
          <w:p>
            <w:pPr>
              <w:widowControl/>
              <w:adjustRightInd/>
              <w:jc w:val="left"/>
              <w:rPr>
                <w:rFonts w:ascii="仿宋" w:hAnsi="仿宋" w:eastAsia="仿宋" w:cs="宋体"/>
                <w:color w:val="auto"/>
                <w:kern w:val="0"/>
                <w:sz w:val="18"/>
                <w:szCs w:val="18"/>
                <w:highlight w:val="none"/>
              </w:rPr>
            </w:pPr>
            <w:r>
              <w:rPr>
                <w:rFonts w:hint="eastAsia" w:ascii="仿宋" w:hAnsi="仿宋" w:eastAsia="仿宋" w:cs="宋体"/>
                <w:color w:val="auto"/>
                <w:kern w:val="0"/>
                <w:sz w:val="18"/>
                <w:szCs w:val="18"/>
                <w:highlight w:val="none"/>
              </w:rPr>
              <w:t>　</w:t>
            </w:r>
          </w:p>
        </w:tc>
      </w:tr>
    </w:tbl>
    <w:p>
      <w:pPr>
        <w:pStyle w:val="159"/>
        <w:snapToGrid w:val="0"/>
        <w:spacing w:before="0"/>
        <w:ind w:firstLine="422"/>
        <w:rPr>
          <w:rFonts w:ascii="仿宋" w:hAnsi="仿宋" w:eastAsia="仿宋" w:cs="仿宋_GB2312"/>
          <w:b/>
          <w:bCs/>
          <w:color w:val="auto"/>
          <w:sz w:val="21"/>
          <w:szCs w:val="21"/>
          <w:highlight w:val="none"/>
          <w:lang w:val="zh-TW"/>
        </w:rPr>
      </w:pPr>
      <w:r>
        <w:rPr>
          <w:rFonts w:hint="eastAsia" w:ascii="仿宋" w:hAnsi="仿宋" w:eastAsia="仿宋" w:cs="仿宋_GB2312"/>
          <w:b/>
          <w:bCs/>
          <w:color w:val="auto"/>
          <w:sz w:val="21"/>
          <w:szCs w:val="21"/>
          <w:highlight w:val="none"/>
          <w:lang w:val="zh-TW"/>
        </w:rPr>
        <w:t>说明：附件</w:t>
      </w:r>
      <w:r>
        <w:rPr>
          <w:rFonts w:ascii="仿宋" w:hAnsi="仿宋" w:eastAsia="仿宋" w:cs="仿宋_GB2312"/>
          <w:b/>
          <w:bCs/>
          <w:color w:val="auto"/>
          <w:sz w:val="21"/>
          <w:szCs w:val="21"/>
          <w:highlight w:val="none"/>
          <w:lang w:val="zh-TW" w:eastAsia="zh-TW"/>
        </w:rPr>
        <w:t>3</w:t>
      </w:r>
      <w:r>
        <w:rPr>
          <w:rFonts w:hint="eastAsia" w:ascii="仿宋" w:hAnsi="仿宋" w:eastAsia="仿宋" w:cs="仿宋_GB2312"/>
          <w:b/>
          <w:bCs/>
          <w:color w:val="auto"/>
          <w:sz w:val="21"/>
          <w:szCs w:val="21"/>
          <w:highlight w:val="none"/>
          <w:lang w:val="zh-TW"/>
        </w:rPr>
        <w:t>和4工程量清单清单不限于表内项目和数量，只作参考，实际需根据装修设计图纸二次深化，最终以使用部门要求完成所有工作。</w:t>
      </w:r>
    </w:p>
    <w:p>
      <w:pPr>
        <w:pStyle w:val="159"/>
        <w:snapToGrid w:val="0"/>
        <w:spacing w:before="0"/>
        <w:ind w:firstLine="482"/>
        <w:rPr>
          <w:rFonts w:ascii="仿宋" w:hAnsi="仿宋" w:eastAsia="仿宋" w:cs="仿宋_GB2312"/>
          <w:b/>
          <w:bCs/>
          <w:color w:val="auto"/>
          <w:highlight w:val="none"/>
        </w:rPr>
      </w:pPr>
      <w:r>
        <w:rPr>
          <w:rFonts w:hint="eastAsia" w:ascii="仿宋" w:hAnsi="仿宋" w:eastAsia="仿宋" w:cs="仿宋_GB2312"/>
          <w:b/>
          <w:bCs/>
          <w:color w:val="auto"/>
          <w:highlight w:val="none"/>
        </w:rPr>
        <w:t>商务要求：</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1、主要设备（监控设备、大屏显示设备、网络设备、平台软件等）必须提供原厂质保期不少于3年。</w:t>
      </w:r>
    </w:p>
    <w:p>
      <w:pPr>
        <w:pStyle w:val="2"/>
        <w:spacing w:line="360" w:lineRule="auto"/>
        <w:rPr>
          <w:rFonts w:ascii="仿宋" w:hAnsi="仿宋" w:eastAsia="仿宋"/>
          <w:color w:val="auto"/>
          <w:highlight w:val="none"/>
        </w:rPr>
      </w:pPr>
      <w:r>
        <w:rPr>
          <w:rFonts w:hint="eastAsia" w:ascii="仿宋" w:hAnsi="仿宋" w:eastAsia="仿宋"/>
          <w:color w:val="auto"/>
          <w:highlight w:val="none"/>
        </w:rPr>
        <w:t>2、投标供应商所投的设备、系统、软件需充分考虑现有系统的兼容，对后续系统需做到无缝对接及融合，学校现使用的设备、系统为海康产品，供应商应提供系统无缝对接承诺书。</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w:t>
      </w:r>
      <w:r>
        <w:rPr>
          <w:rFonts w:hint="eastAsia" w:ascii="仿宋" w:hAnsi="仿宋" w:eastAsia="仿宋"/>
          <w:color w:val="auto"/>
          <w:szCs w:val="21"/>
          <w:highlight w:val="none"/>
        </w:rPr>
        <w:t>、所列设备、材料（包括线路）质量、安装均应</w:t>
      </w:r>
      <w:r>
        <w:rPr>
          <w:rFonts w:ascii="仿宋" w:hAnsi="仿宋" w:eastAsia="仿宋"/>
          <w:color w:val="auto"/>
          <w:szCs w:val="21"/>
          <w:highlight w:val="none"/>
        </w:rPr>
        <w:t>符合</w:t>
      </w:r>
      <w:r>
        <w:rPr>
          <w:rFonts w:ascii="仿宋" w:hAnsi="仿宋" w:eastAsia="仿宋"/>
          <w:color w:val="auto"/>
          <w:spacing w:val="2"/>
          <w:szCs w:val="21"/>
          <w:highlight w:val="none"/>
        </w:rPr>
        <w:t>现</w:t>
      </w:r>
      <w:r>
        <w:rPr>
          <w:rFonts w:ascii="仿宋" w:hAnsi="仿宋" w:eastAsia="仿宋"/>
          <w:color w:val="auto"/>
          <w:szCs w:val="21"/>
          <w:highlight w:val="none"/>
        </w:rPr>
        <w:t>行国家有</w:t>
      </w:r>
      <w:r>
        <w:rPr>
          <w:rFonts w:ascii="仿宋" w:hAnsi="仿宋" w:eastAsia="仿宋"/>
          <w:color w:val="auto"/>
          <w:spacing w:val="2"/>
          <w:szCs w:val="21"/>
          <w:highlight w:val="none"/>
        </w:rPr>
        <w:t>关</w:t>
      </w:r>
      <w:r>
        <w:rPr>
          <w:rFonts w:ascii="仿宋" w:hAnsi="仿宋" w:eastAsia="仿宋"/>
          <w:color w:val="auto"/>
          <w:szCs w:val="21"/>
          <w:highlight w:val="none"/>
        </w:rPr>
        <w:t>标准</w:t>
      </w:r>
      <w:r>
        <w:rPr>
          <w:rFonts w:hint="eastAsia" w:ascii="仿宋" w:hAnsi="仿宋" w:eastAsia="仿宋"/>
          <w:color w:val="auto"/>
          <w:szCs w:val="21"/>
          <w:highlight w:val="none"/>
        </w:rPr>
        <w:t>或行业标准</w:t>
      </w:r>
      <w:r>
        <w:rPr>
          <w:rFonts w:ascii="仿宋" w:hAnsi="仿宋" w:eastAsia="仿宋"/>
          <w:color w:val="auto"/>
          <w:szCs w:val="21"/>
          <w:highlight w:val="none"/>
        </w:rPr>
        <w:t>和</w:t>
      </w:r>
      <w:r>
        <w:rPr>
          <w:rFonts w:ascii="仿宋" w:hAnsi="仿宋" w:eastAsia="仿宋"/>
          <w:color w:val="auto"/>
          <w:spacing w:val="2"/>
          <w:szCs w:val="21"/>
          <w:highlight w:val="none"/>
        </w:rPr>
        <w:t>准入</w:t>
      </w:r>
      <w:r>
        <w:rPr>
          <w:rFonts w:ascii="仿宋" w:hAnsi="仿宋" w:eastAsia="仿宋"/>
          <w:color w:val="auto"/>
          <w:szCs w:val="21"/>
          <w:highlight w:val="none"/>
        </w:rPr>
        <w:t>制度</w:t>
      </w:r>
      <w:r>
        <w:rPr>
          <w:rFonts w:ascii="仿宋" w:hAnsi="仿宋" w:eastAsia="仿宋"/>
          <w:color w:val="auto"/>
          <w:spacing w:val="-3"/>
          <w:szCs w:val="21"/>
          <w:highlight w:val="none"/>
        </w:rPr>
        <w:t>要</w:t>
      </w:r>
      <w:r>
        <w:rPr>
          <w:rFonts w:ascii="仿宋" w:hAnsi="仿宋" w:eastAsia="仿宋"/>
          <w:color w:val="auto"/>
          <w:szCs w:val="21"/>
          <w:highlight w:val="none"/>
        </w:rPr>
        <w:t>求</w:t>
      </w:r>
      <w:r>
        <w:rPr>
          <w:rFonts w:hint="eastAsia" w:ascii="仿宋" w:hAnsi="仿宋" w:eastAsia="仿宋"/>
          <w:color w:val="auto"/>
          <w:szCs w:val="21"/>
          <w:highlight w:val="none"/>
        </w:rPr>
        <w:t>，产品、网线、电缆等为一线知名品牌，需经强制性认证的，必须具备相应证书。</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4</w:t>
      </w:r>
      <w:r>
        <w:rPr>
          <w:rFonts w:hint="eastAsia" w:ascii="仿宋" w:hAnsi="仿宋" w:eastAsia="仿宋"/>
          <w:color w:val="auto"/>
          <w:szCs w:val="21"/>
          <w:highlight w:val="none"/>
        </w:rPr>
        <w:t>、提供演示</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4.1投标人应按采购需求及评分细则要求提供产品功能演示。</w:t>
      </w:r>
    </w:p>
    <w:p>
      <w:pPr>
        <w:spacing w:line="360" w:lineRule="auto"/>
        <w:ind w:firstLine="420" w:firstLineChars="200"/>
        <w:rPr>
          <w:rFonts w:ascii="仿宋" w:hAnsi="仿宋" w:eastAsia="仿宋"/>
          <w:color w:val="auto"/>
          <w:szCs w:val="21"/>
          <w:highlight w:val="none"/>
          <w:lang w:val="zh-CN"/>
        </w:rPr>
      </w:pPr>
      <w:r>
        <w:rPr>
          <w:rFonts w:hint="eastAsia" w:ascii="仿宋" w:hAnsi="仿宋" w:eastAsia="仿宋"/>
          <w:color w:val="auto"/>
          <w:szCs w:val="21"/>
          <w:highlight w:val="none"/>
        </w:rPr>
        <w:t>4.2演示内容由投标人</w:t>
      </w:r>
      <w:r>
        <w:rPr>
          <w:rFonts w:hint="eastAsia" w:ascii="仿宋" w:hAnsi="仿宋" w:eastAsia="仿宋"/>
          <w:color w:val="auto"/>
          <w:szCs w:val="21"/>
          <w:highlight w:val="none"/>
          <w:lang w:val="zh-CN"/>
        </w:rPr>
        <w:t>自行摄录</w:t>
      </w:r>
      <w:r>
        <w:rPr>
          <w:rFonts w:hint="eastAsia" w:ascii="仿宋" w:hAnsi="仿宋" w:eastAsia="仿宋"/>
          <w:color w:val="auto"/>
          <w:szCs w:val="21"/>
          <w:highlight w:val="none"/>
        </w:rPr>
        <w:t>,U盘存储，与备份文件一起，在投标截止时间（</w:t>
      </w:r>
      <w:r>
        <w:rPr>
          <w:rFonts w:hint="eastAsia" w:ascii="仿宋" w:hAnsi="仿宋" w:eastAsia="仿宋"/>
          <w:color w:val="auto"/>
          <w:szCs w:val="21"/>
          <w:highlight w:val="none"/>
          <w:lang w:val="zh-CN"/>
        </w:rPr>
        <w:t>202</w:t>
      </w:r>
      <w:r>
        <w:rPr>
          <w:rFonts w:hint="eastAsia" w:ascii="仿宋" w:hAnsi="仿宋" w:eastAsia="仿宋"/>
          <w:color w:val="auto"/>
          <w:szCs w:val="21"/>
          <w:highlight w:val="none"/>
        </w:rPr>
        <w:t>2</w:t>
      </w:r>
      <w:r>
        <w:rPr>
          <w:rFonts w:hint="eastAsia" w:ascii="仿宋" w:hAnsi="仿宋" w:eastAsia="仿宋"/>
          <w:color w:val="auto"/>
          <w:szCs w:val="21"/>
          <w:highlight w:val="none"/>
          <w:lang w:val="zh-CN"/>
        </w:rPr>
        <w:t>年</w:t>
      </w:r>
      <w:r>
        <w:rPr>
          <w:rFonts w:hint="eastAsia" w:ascii="仿宋" w:hAnsi="仿宋" w:eastAsia="仿宋"/>
          <w:color w:val="auto"/>
          <w:szCs w:val="21"/>
          <w:highlight w:val="none"/>
          <w:lang w:val="en-US" w:eastAsia="zh-CN"/>
        </w:rPr>
        <w:t>5</w:t>
      </w:r>
      <w:r>
        <w:rPr>
          <w:rFonts w:hint="eastAsia" w:ascii="仿宋" w:hAnsi="仿宋" w:eastAsia="仿宋"/>
          <w:color w:val="auto"/>
          <w:szCs w:val="21"/>
          <w:highlight w:val="none"/>
          <w:lang w:val="zh-CN"/>
        </w:rPr>
        <w:t>月</w:t>
      </w:r>
      <w:r>
        <w:rPr>
          <w:rFonts w:hint="eastAsia" w:ascii="仿宋" w:hAnsi="仿宋" w:eastAsia="仿宋"/>
          <w:color w:val="auto"/>
          <w:szCs w:val="21"/>
          <w:highlight w:val="none"/>
          <w:lang w:val="en-US" w:eastAsia="zh-CN"/>
        </w:rPr>
        <w:t>9</w:t>
      </w:r>
      <w:r>
        <w:rPr>
          <w:rFonts w:hint="eastAsia" w:ascii="仿宋" w:hAnsi="仿宋" w:eastAsia="仿宋"/>
          <w:color w:val="auto"/>
          <w:szCs w:val="21"/>
          <w:highlight w:val="none"/>
          <w:lang w:val="zh-CN"/>
        </w:rPr>
        <w:t>日</w:t>
      </w:r>
      <w:r>
        <w:rPr>
          <w:rFonts w:hint="eastAsia" w:ascii="仿宋" w:hAnsi="仿宋" w:eastAsia="仿宋"/>
          <w:color w:val="auto"/>
          <w:szCs w:val="21"/>
          <w:highlight w:val="none"/>
          <w:lang w:val="en-US" w:eastAsia="zh-CN"/>
        </w:rPr>
        <w:t>13:30</w:t>
      </w:r>
      <w:r>
        <w:rPr>
          <w:rFonts w:hint="eastAsia" w:ascii="仿宋" w:hAnsi="仿宋" w:eastAsia="仿宋"/>
          <w:color w:val="auto"/>
          <w:szCs w:val="21"/>
          <w:highlight w:val="none"/>
        </w:rPr>
        <w:t>）前，</w:t>
      </w:r>
      <w:r>
        <w:rPr>
          <w:rFonts w:hint="eastAsia" w:ascii="仿宋" w:hAnsi="仿宋" w:eastAsia="仿宋"/>
          <w:color w:val="auto"/>
          <w:szCs w:val="21"/>
          <w:highlight w:val="none"/>
          <w:lang w:val="zh-CN"/>
        </w:rPr>
        <w:t>以邮寄方式送至采购代理机构。</w:t>
      </w:r>
    </w:p>
    <w:p>
      <w:pPr>
        <w:spacing w:line="360" w:lineRule="auto"/>
        <w:ind w:firstLine="420" w:firstLineChars="200"/>
        <w:rPr>
          <w:rFonts w:hint="eastAsia" w:ascii="仿宋" w:hAnsi="仿宋" w:eastAsia="仿宋"/>
          <w:color w:val="auto"/>
          <w:szCs w:val="21"/>
          <w:highlight w:val="none"/>
        </w:rPr>
      </w:pPr>
      <w:r>
        <w:rPr>
          <w:rFonts w:hint="eastAsia" w:ascii="仿宋" w:hAnsi="仿宋" w:eastAsia="仿宋"/>
          <w:color w:val="auto"/>
          <w:szCs w:val="21"/>
          <w:highlight w:val="none"/>
        </w:rPr>
        <w:t>4.3投标人</w:t>
      </w:r>
      <w:r>
        <w:rPr>
          <w:rFonts w:hint="eastAsia" w:ascii="仿宋" w:hAnsi="仿宋" w:eastAsia="仿宋"/>
          <w:color w:val="auto"/>
          <w:szCs w:val="21"/>
          <w:highlight w:val="none"/>
          <w:lang w:val="zh-CN"/>
        </w:rPr>
        <w:t>应确保演示视频的质量并配有</w:t>
      </w:r>
      <w:r>
        <w:rPr>
          <w:rFonts w:hint="eastAsia" w:ascii="仿宋" w:hAnsi="仿宋" w:eastAsia="仿宋"/>
          <w:color w:val="auto"/>
          <w:szCs w:val="21"/>
          <w:highlight w:val="none"/>
        </w:rPr>
        <w:t>清晰、详细的</w:t>
      </w:r>
      <w:r>
        <w:rPr>
          <w:rFonts w:hint="eastAsia" w:ascii="仿宋" w:hAnsi="仿宋" w:eastAsia="仿宋"/>
          <w:color w:val="auto"/>
          <w:szCs w:val="21"/>
          <w:highlight w:val="none"/>
          <w:lang w:val="zh-CN"/>
        </w:rPr>
        <w:t>解说，</w:t>
      </w:r>
      <w:r>
        <w:rPr>
          <w:rFonts w:hint="eastAsia" w:ascii="仿宋" w:hAnsi="仿宋" w:eastAsia="仿宋"/>
          <w:color w:val="auto"/>
          <w:szCs w:val="21"/>
          <w:highlight w:val="none"/>
        </w:rPr>
        <w:t>时间</w:t>
      </w:r>
      <w:r>
        <w:rPr>
          <w:rFonts w:hint="eastAsia" w:ascii="仿宋" w:hAnsi="仿宋" w:eastAsia="仿宋"/>
          <w:color w:val="auto"/>
          <w:szCs w:val="21"/>
          <w:highlight w:val="none"/>
          <w:lang w:val="en-US" w:eastAsia="zh-CN"/>
        </w:rPr>
        <w:t>控制在15分钟以内。</w:t>
      </w:r>
      <w:r>
        <w:rPr>
          <w:rFonts w:hint="eastAsia" w:ascii="仿宋" w:hAnsi="仿宋" w:eastAsia="仿宋"/>
          <w:color w:val="auto"/>
          <w:szCs w:val="21"/>
          <w:highlight w:val="none"/>
        </w:rPr>
        <w:t>因投标人自身原因导致无法演示或者演示效果不理想的，责任自负。</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4.4邮寄信息详见“须知前附表”。</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5</w:t>
      </w:r>
      <w:r>
        <w:rPr>
          <w:rFonts w:hint="eastAsia" w:ascii="仿宋" w:hAnsi="仿宋" w:eastAsia="仿宋"/>
          <w:color w:val="auto"/>
          <w:szCs w:val="21"/>
          <w:highlight w:val="none"/>
        </w:rPr>
        <w:t>、各类辅助材料数量长度为预估数，以实地勘查后为准，留有余量，清单内的管线需提供样品，经检测合格后方可批量进场，按照合同数量一次性到位放置在甲方规定地点，根据使用情况分批出库。</w:t>
      </w:r>
    </w:p>
    <w:p>
      <w:pPr>
        <w:spacing w:line="360" w:lineRule="auto"/>
        <w:ind w:firstLine="420" w:firstLineChars="200"/>
        <w:rPr>
          <w:rFonts w:hint="default" w:ascii="仿宋" w:hAnsi="仿宋" w:eastAsia="仿宋"/>
          <w:color w:val="auto"/>
          <w:szCs w:val="21"/>
          <w:highlight w:val="none"/>
          <w:lang w:val="en-US" w:eastAsia="zh-CN"/>
        </w:rPr>
      </w:pPr>
      <w:r>
        <w:rPr>
          <w:rFonts w:ascii="仿宋" w:hAnsi="仿宋" w:eastAsia="仿宋"/>
          <w:color w:val="auto"/>
          <w:szCs w:val="21"/>
          <w:highlight w:val="none"/>
        </w:rPr>
        <w:t>6</w:t>
      </w:r>
      <w:r>
        <w:rPr>
          <w:rFonts w:hint="eastAsia" w:ascii="仿宋" w:hAnsi="仿宋" w:eastAsia="仿宋"/>
          <w:color w:val="auto"/>
          <w:szCs w:val="21"/>
          <w:highlight w:val="none"/>
        </w:rPr>
        <w:t>、</w:t>
      </w:r>
      <w:r>
        <w:rPr>
          <w:rFonts w:hint="eastAsia" w:ascii="仿宋" w:hAnsi="仿宋" w:eastAsia="仿宋"/>
          <w:color w:val="auto"/>
          <w:spacing w:val="-6"/>
          <w:szCs w:val="21"/>
          <w:highlight w:val="none"/>
        </w:rPr>
        <w:t>▲</w:t>
      </w:r>
      <w:r>
        <w:rPr>
          <w:rFonts w:hint="eastAsia" w:ascii="仿宋" w:hAnsi="仿宋" w:eastAsia="仿宋"/>
          <w:b/>
          <w:color w:val="auto"/>
          <w:szCs w:val="21"/>
          <w:highlight w:val="none"/>
        </w:rPr>
        <w:t>响应方投标前应充分勘查现场，充分了解现场施工实际要求，图纸、清单等结合使用,以做出准确报价，实现项目要求。因现场勘查不充分导致的报价缺失由响应方自行承担，招标人不再另行支付费用。</w:t>
      </w:r>
      <w:r>
        <w:rPr>
          <w:rFonts w:hint="eastAsia" w:ascii="仿宋" w:hAnsi="仿宋" w:eastAsia="仿宋" w:cs="Times New Roman"/>
          <w:color w:val="auto"/>
          <w:szCs w:val="21"/>
          <w:highlight w:val="none"/>
        </w:rPr>
        <w:t>现场勘查所产生的一切费用和后果由中标人自行承担。</w:t>
      </w:r>
      <w:r>
        <w:rPr>
          <w:rFonts w:hint="eastAsia" w:ascii="仿宋" w:hAnsi="仿宋" w:eastAsia="仿宋" w:cs="Times New Roman"/>
          <w:color w:val="auto"/>
          <w:szCs w:val="21"/>
          <w:highlight w:val="none"/>
          <w:lang w:val="en-US" w:eastAsia="zh-CN"/>
        </w:rPr>
        <w:t>现场勘查联系人：杨志平；联系电话：</w:t>
      </w:r>
      <w:r>
        <w:rPr>
          <w:rFonts w:hint="eastAsia" w:ascii="仿宋" w:hAnsi="仿宋" w:eastAsia="仿宋" w:cs="Times New Roman"/>
          <w:color w:val="auto"/>
          <w:szCs w:val="21"/>
          <w:highlight w:val="none"/>
        </w:rPr>
        <w:t>18969133219</w:t>
      </w:r>
      <w:r>
        <w:rPr>
          <w:rFonts w:hint="eastAsia" w:ascii="仿宋" w:hAnsi="仿宋" w:eastAsia="仿宋" w:cs="Times New Roman"/>
          <w:color w:val="auto"/>
          <w:szCs w:val="21"/>
          <w:highlight w:val="none"/>
          <w:lang w:eastAsia="zh-CN"/>
        </w:rPr>
        <w:t>。</w:t>
      </w:r>
      <w:r>
        <w:rPr>
          <w:rFonts w:hint="eastAsia" w:ascii="仿宋" w:hAnsi="仿宋" w:eastAsia="仿宋" w:cs="Times New Roman"/>
          <w:color w:val="auto"/>
          <w:szCs w:val="21"/>
          <w:highlight w:val="none"/>
          <w:lang w:val="en-US" w:eastAsia="zh-CN"/>
        </w:rPr>
        <w:t>现场勘查人员须提供24小时内核酸阴性检测报告。</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7</w:t>
      </w:r>
      <w:r>
        <w:rPr>
          <w:rFonts w:hint="eastAsia" w:ascii="仿宋" w:hAnsi="仿宋" w:eastAsia="仿宋"/>
          <w:color w:val="auto"/>
          <w:szCs w:val="21"/>
          <w:highlight w:val="none"/>
        </w:rPr>
        <w:t>、在质保期内，采购人不承担任何因服务、设备及零部件更换和维修等费用，一切费用由中标人承担，质保期后的维修酌情收费。</w:t>
      </w:r>
    </w:p>
    <w:p>
      <w:pPr>
        <w:spacing w:line="360" w:lineRule="auto"/>
        <w:ind w:firstLine="420" w:firstLineChars="200"/>
        <w:rPr>
          <w:rFonts w:ascii="仿宋" w:hAnsi="仿宋" w:eastAsia="仿宋"/>
          <w:strike/>
          <w:color w:val="auto"/>
          <w:szCs w:val="21"/>
          <w:highlight w:val="none"/>
        </w:rPr>
      </w:pPr>
      <w:r>
        <w:rPr>
          <w:rFonts w:ascii="仿宋" w:hAnsi="仿宋" w:eastAsia="仿宋"/>
          <w:color w:val="auto"/>
          <w:szCs w:val="21"/>
          <w:highlight w:val="none"/>
        </w:rPr>
        <w:t>8</w:t>
      </w:r>
      <w:r>
        <w:rPr>
          <w:rFonts w:hint="eastAsia" w:ascii="仿宋" w:hAnsi="仿宋" w:eastAsia="仿宋"/>
          <w:color w:val="auto"/>
          <w:szCs w:val="21"/>
          <w:highlight w:val="none"/>
        </w:rPr>
        <w:t>、项目实施周期:</w:t>
      </w:r>
    </w:p>
    <w:p>
      <w:pPr>
        <w:spacing w:line="360" w:lineRule="auto"/>
        <w:ind w:left="420" w:leftChars="200"/>
        <w:rPr>
          <w:rFonts w:ascii="仿宋" w:hAnsi="仿宋" w:eastAsia="仿宋"/>
          <w:color w:val="auto"/>
          <w:szCs w:val="21"/>
          <w:highlight w:val="none"/>
        </w:rPr>
      </w:pPr>
      <w:r>
        <w:rPr>
          <w:rFonts w:hint="eastAsia" w:ascii="仿宋" w:hAnsi="仿宋" w:eastAsia="仿宋"/>
          <w:color w:val="auto"/>
          <w:szCs w:val="21"/>
          <w:highlight w:val="none"/>
        </w:rPr>
        <w:t>软件部分：开发时间为合同签订后2个半月内完成并提供甲方进行评测，3个月内上线试运行。硬件部分：施工周期为合同签订后120天，4楼指挥中心建设在2022年8月15日前完成装修、</w:t>
      </w:r>
    </w:p>
    <w:p>
      <w:pPr>
        <w:spacing w:line="360" w:lineRule="auto"/>
        <w:rPr>
          <w:rFonts w:ascii="仿宋" w:hAnsi="仿宋" w:eastAsia="仿宋"/>
          <w:color w:val="auto"/>
          <w:szCs w:val="21"/>
          <w:highlight w:val="none"/>
        </w:rPr>
      </w:pPr>
      <w:r>
        <w:rPr>
          <w:rFonts w:hint="eastAsia" w:ascii="仿宋" w:hAnsi="仿宋" w:eastAsia="仿宋"/>
          <w:color w:val="auto"/>
          <w:szCs w:val="21"/>
          <w:highlight w:val="none"/>
        </w:rPr>
        <w:t>完成设备调试，2022年9月1日前正式移交并投入使用。</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9</w:t>
      </w:r>
      <w:r>
        <w:rPr>
          <w:rFonts w:hint="eastAsia" w:ascii="仿宋" w:hAnsi="仿宋" w:eastAsia="仿宋"/>
          <w:color w:val="auto"/>
          <w:szCs w:val="21"/>
          <w:highlight w:val="none"/>
        </w:rPr>
        <w:t>、质保期要求：终验通过以后，本项目所有硬件设备质保期不少于叁年；质保期内提供免费维护、免费升级、故障排除、性能调优、技术咨询等。定制开发的综合平台软件在验收通过后</w:t>
      </w:r>
      <w:r>
        <w:rPr>
          <w:rFonts w:hint="eastAsia" w:ascii="仿宋" w:hAnsi="仿宋" w:eastAsia="仿宋"/>
          <w:color w:val="auto"/>
          <w:szCs w:val="21"/>
          <w:highlight w:val="none"/>
          <w:lang w:val="en-US" w:eastAsia="zh-CN"/>
        </w:rPr>
        <w:t>3</w:t>
      </w:r>
      <w:r>
        <w:rPr>
          <w:rFonts w:hint="eastAsia" w:ascii="仿宋" w:hAnsi="仿宋" w:eastAsia="仿宋"/>
          <w:color w:val="auto"/>
          <w:szCs w:val="21"/>
          <w:highlight w:val="none"/>
        </w:rPr>
        <w:t>年内需做好系统升级、B</w:t>
      </w:r>
      <w:r>
        <w:rPr>
          <w:rFonts w:ascii="仿宋" w:hAnsi="仿宋" w:eastAsia="仿宋"/>
          <w:color w:val="auto"/>
          <w:szCs w:val="21"/>
          <w:highlight w:val="none"/>
        </w:rPr>
        <w:t>UG</w:t>
      </w:r>
      <w:r>
        <w:rPr>
          <w:rFonts w:hint="eastAsia" w:ascii="仿宋" w:hAnsi="仿宋" w:eastAsia="仿宋"/>
          <w:color w:val="auto"/>
          <w:szCs w:val="21"/>
          <w:highlight w:val="none"/>
        </w:rPr>
        <w:t>修复，对甲方使用中提出的修改意见需无条件响应。</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w:t>
      </w:r>
      <w:r>
        <w:rPr>
          <w:rFonts w:ascii="仿宋" w:hAnsi="仿宋" w:eastAsia="仿宋"/>
          <w:color w:val="auto"/>
          <w:szCs w:val="21"/>
          <w:highlight w:val="none"/>
        </w:rPr>
        <w:t>0</w:t>
      </w:r>
      <w:r>
        <w:rPr>
          <w:rFonts w:hint="eastAsia" w:ascii="仿宋" w:hAnsi="仿宋" w:eastAsia="仿宋"/>
          <w:color w:val="auto"/>
          <w:szCs w:val="21"/>
          <w:highlight w:val="none"/>
        </w:rPr>
        <w:t>、质保期内供应商需提供2名（硬件1名+软件1名），其中硬件技术人员驻点服务直到合同质保服务期结束为止；软件技术人员终验结束后驻点不少于2年，驻点期间按照6</w:t>
      </w:r>
      <w:r>
        <w:rPr>
          <w:rFonts w:ascii="仿宋" w:hAnsi="仿宋" w:eastAsia="仿宋"/>
          <w:color w:val="auto"/>
          <w:szCs w:val="21"/>
          <w:highlight w:val="none"/>
        </w:rPr>
        <w:t>*8</w:t>
      </w:r>
      <w:r>
        <w:rPr>
          <w:rFonts w:hint="eastAsia" w:ascii="仿宋" w:hAnsi="仿宋" w:eastAsia="仿宋"/>
          <w:color w:val="auto"/>
          <w:szCs w:val="21"/>
          <w:highlight w:val="none"/>
        </w:rPr>
        <w:t>小时工作时间，纳入日常考勤系统，在质保期内如需更换驻点人员，需提前1个月通知相关部门提出申请，同意后才可以更换。</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11</w:t>
      </w:r>
      <w:r>
        <w:rPr>
          <w:rFonts w:hint="eastAsia" w:ascii="仿宋" w:hAnsi="仿宋" w:eastAsia="仿宋"/>
          <w:color w:val="auto"/>
          <w:szCs w:val="21"/>
          <w:highlight w:val="none"/>
        </w:rPr>
        <w:t>、4楼指挥中心区域的装修需在中标公示结束后1周内提交深化设计方案，经甲方签字确认方可进行实施。</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12、工程质量要求</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12.1本项目为交钥匙工程；必须保质保量保进度。</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12.2施工方必须严格按照招标说明、工程技术要求及行业规范进行施工，并无条件地接受甲方全方位、全过程的监督管理；</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12.3所有材料设备进场前提供相关证明必须在检验合格经甲方同意后，方可用于本工程；</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12.4隐蔽工程必须经甲方检查、验收后，方可进行下一道工序；</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12.5采购人有权监督、检查、检验施工方的施工质量、进度。施工方应把工程质量放在首位，加强技术管理和质量保证体系，严格认真地执行技术标准和规范。</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12.6依据工程量清单和技术文件要求，本项目的材料、设备、施工必须达到现行中华人民共和国及省、市、行业的一切有关法规、规范的要求，如设计施工图纸、技术文件、标准及规范要求有出入则以较严格者为准。</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12.7中标人在项目执行过程中必须严格按照有关操作规程进行操作，项目施工组成员需穿戴统一施工服装及安全帽，佩戴施工证件；做好安全防范工作，防止各类事故的发生；期间，出现人身伤亡等事故，一切后果由中标人承担。</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注：</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如技术要求中未特别注明需执行的国家相关标准、行业标准、地方标准或者其他标准、规范，则统一执行最新标准、规范。</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13、履约保证金</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 xml:space="preserve">合同签订后5个工作日内，中标人应以支票/汇票/电汇/或金融机构、担保机构出据的保函等非现金形式，向采购人提交合同金额2.5%的履约保证金；质保期满按合同约定扣除相关款项（如有）后20天内无息退还。    </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14、付款方式</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合同签订后</w:t>
      </w:r>
      <w:r>
        <w:rPr>
          <w:rFonts w:ascii="仿宋" w:hAnsi="仿宋" w:eastAsia="仿宋"/>
          <w:color w:val="auto"/>
          <w:szCs w:val="21"/>
          <w:highlight w:val="none"/>
        </w:rPr>
        <w:t>7</w:t>
      </w:r>
      <w:r>
        <w:rPr>
          <w:rFonts w:hint="eastAsia" w:ascii="仿宋" w:hAnsi="仿宋" w:eastAsia="仿宋"/>
          <w:color w:val="auto"/>
          <w:szCs w:val="21"/>
          <w:highlight w:val="none"/>
        </w:rPr>
        <w:t>个工作日内，采购人支付合同总价40%的预付款，项目建设完成并通过采购人验收合格，采购人在</w:t>
      </w:r>
      <w:r>
        <w:rPr>
          <w:rFonts w:hint="eastAsia" w:ascii="仿宋" w:hAnsi="仿宋" w:eastAsia="仿宋"/>
          <w:color w:val="auto"/>
          <w:szCs w:val="21"/>
          <w:highlight w:val="none"/>
          <w:lang w:val="en-US" w:eastAsia="zh-CN"/>
        </w:rPr>
        <w:t>7个工作日</w:t>
      </w:r>
      <w:r>
        <w:rPr>
          <w:rFonts w:hint="eastAsia" w:ascii="仿宋" w:hAnsi="仿宋" w:eastAsia="仿宋"/>
          <w:color w:val="auto"/>
          <w:szCs w:val="21"/>
          <w:highlight w:val="none"/>
        </w:rPr>
        <w:t>内一次性付清合同款项。</w:t>
      </w:r>
    </w:p>
    <w:p>
      <w:pPr>
        <w:spacing w:line="360" w:lineRule="auto"/>
        <w:ind w:firstLine="420" w:firstLineChars="200"/>
        <w:rPr>
          <w:rFonts w:ascii="仿宋" w:hAnsi="仿宋" w:eastAsia="仿宋"/>
          <w:color w:val="auto"/>
          <w:szCs w:val="21"/>
          <w:highlight w:val="none"/>
        </w:rPr>
      </w:pPr>
      <w:bookmarkStart w:id="32" w:name="_Hlk99179514"/>
      <w:r>
        <w:rPr>
          <w:rFonts w:hint="eastAsia" w:ascii="仿宋" w:hAnsi="仿宋" w:eastAsia="仿宋"/>
          <w:color w:val="auto"/>
          <w:szCs w:val="21"/>
          <w:highlight w:val="none"/>
        </w:rPr>
        <w:t>附件：</w:t>
      </w:r>
      <w:bookmarkEnd w:id="32"/>
      <w:r>
        <w:rPr>
          <w:rFonts w:hint="eastAsia" w:ascii="仿宋" w:hAnsi="仿宋" w:eastAsia="仿宋"/>
          <w:color w:val="auto"/>
          <w:szCs w:val="21"/>
          <w:highlight w:val="none"/>
        </w:rPr>
        <w:t>6工位操作台（仅供参考样式）</w:t>
      </w:r>
    </w:p>
    <w:p>
      <w:pPr>
        <w:pStyle w:val="2"/>
        <w:ind w:firstLine="0" w:firstLineChars="0"/>
        <w:jc w:val="center"/>
        <w:rPr>
          <w:rFonts w:ascii="仿宋" w:hAnsi="仿宋" w:eastAsia="仿宋"/>
          <w:color w:val="auto"/>
          <w:highlight w:val="none"/>
        </w:rPr>
      </w:pPr>
      <w:r>
        <w:rPr>
          <w:rFonts w:ascii="仿宋" w:hAnsi="仿宋" w:eastAsia="仿宋"/>
          <w:color w:val="auto"/>
          <w:highlight w:val="none"/>
        </w:rPr>
        <w:drawing>
          <wp:inline distT="0" distB="0" distL="0" distR="0">
            <wp:extent cx="5162550" cy="33153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9"/>
                    <a:stretch>
                      <a:fillRect/>
                    </a:stretch>
                  </pic:blipFill>
                  <pic:spPr>
                    <a:xfrm>
                      <a:off x="0" y="0"/>
                      <a:ext cx="5164285" cy="3316482"/>
                    </a:xfrm>
                    <a:prstGeom prst="rect">
                      <a:avLst/>
                    </a:prstGeom>
                  </pic:spPr>
                </pic:pic>
              </a:graphicData>
            </a:graphic>
          </wp:inline>
        </w:drawing>
      </w:r>
    </w:p>
    <w:p>
      <w:pPr>
        <w:ind w:firstLine="2891" w:firstLineChars="800"/>
        <w:jc w:val="left"/>
        <w:rPr>
          <w:rFonts w:ascii="仿宋" w:hAnsi="仿宋" w:eastAsia="仿宋" w:cs="仿宋_GB2312"/>
          <w:b/>
          <w:color w:val="auto"/>
          <w:sz w:val="36"/>
          <w:szCs w:val="36"/>
          <w:highlight w:val="none"/>
        </w:rPr>
      </w:pPr>
    </w:p>
    <w:p>
      <w:pPr>
        <w:widowControl/>
        <w:adjustRightInd/>
        <w:jc w:val="left"/>
        <w:rPr>
          <w:rFonts w:ascii="仿宋" w:hAnsi="仿宋" w:eastAsia="仿宋" w:cs="仿宋_GB2312"/>
          <w:b/>
          <w:color w:val="auto"/>
          <w:sz w:val="36"/>
          <w:szCs w:val="36"/>
          <w:highlight w:val="none"/>
        </w:rPr>
      </w:pPr>
      <w:r>
        <w:rPr>
          <w:rFonts w:ascii="仿宋" w:hAnsi="仿宋" w:eastAsia="仿宋" w:cs="仿宋_GB2312"/>
          <w:b/>
          <w:color w:val="auto"/>
          <w:sz w:val="36"/>
          <w:szCs w:val="36"/>
          <w:highlight w:val="none"/>
        </w:rPr>
        <w:br w:type="page"/>
      </w:r>
    </w:p>
    <w:p>
      <w:pPr>
        <w:ind w:firstLine="2891" w:firstLineChars="800"/>
        <w:jc w:val="left"/>
        <w:rPr>
          <w:rFonts w:ascii="仿宋" w:hAnsi="仿宋" w:eastAsia="仿宋" w:cs="仿宋_GB2312"/>
          <w:b/>
          <w:color w:val="auto"/>
          <w:sz w:val="36"/>
          <w:szCs w:val="36"/>
          <w:highlight w:val="none"/>
        </w:rPr>
      </w:pPr>
      <w:bookmarkStart w:id="33" w:name="_Hlk100137147"/>
      <w:bookmarkStart w:id="34" w:name="_Hlk99015932"/>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35" w:name="_Toc184312094"/>
      <w:bookmarkEnd w:id="35"/>
      <w:bookmarkStart w:id="36" w:name="_Toc184314466"/>
      <w:bookmarkEnd w:id="36"/>
      <w:bookmarkStart w:id="37" w:name="_Toc184314455"/>
      <w:bookmarkEnd w:id="37"/>
      <w:bookmarkStart w:id="38" w:name="_Toc184312075"/>
      <w:bookmarkEnd w:id="38"/>
      <w:bookmarkStart w:id="39" w:name="_Toc184313277"/>
      <w:bookmarkEnd w:id="39"/>
      <w:bookmarkStart w:id="40" w:name="_Toc184310324"/>
      <w:bookmarkEnd w:id="40"/>
      <w:bookmarkStart w:id="41" w:name="_Toc184310342"/>
      <w:bookmarkEnd w:id="41"/>
      <w:bookmarkStart w:id="42" w:name="_Toc184314449"/>
      <w:bookmarkEnd w:id="42"/>
      <w:bookmarkStart w:id="43" w:name="_Toc184310321"/>
      <w:bookmarkEnd w:id="43"/>
      <w:bookmarkStart w:id="44" w:name="_Toc184314464"/>
      <w:bookmarkEnd w:id="44"/>
      <w:bookmarkStart w:id="45" w:name="_Toc184310302"/>
      <w:bookmarkEnd w:id="45"/>
      <w:bookmarkStart w:id="46" w:name="_Toc184313288"/>
      <w:bookmarkEnd w:id="46"/>
      <w:bookmarkStart w:id="47" w:name="_Toc184312072"/>
      <w:bookmarkEnd w:id="47"/>
      <w:bookmarkStart w:id="48" w:name="_Toc184313261"/>
      <w:bookmarkEnd w:id="48"/>
      <w:bookmarkStart w:id="49" w:name="_Toc184314427"/>
      <w:bookmarkEnd w:id="49"/>
      <w:bookmarkStart w:id="50" w:name="_Toc184308055"/>
      <w:bookmarkEnd w:id="50"/>
      <w:bookmarkStart w:id="51" w:name="_Toc184310316"/>
      <w:bookmarkEnd w:id="51"/>
      <w:bookmarkStart w:id="52" w:name="_Toc184308107"/>
      <w:bookmarkEnd w:id="52"/>
      <w:bookmarkStart w:id="53" w:name="_Toc184313306"/>
      <w:bookmarkEnd w:id="53"/>
      <w:bookmarkStart w:id="54" w:name="_Toc184308063"/>
      <w:bookmarkEnd w:id="54"/>
      <w:bookmarkStart w:id="55" w:name="_Toc184314426"/>
      <w:bookmarkEnd w:id="55"/>
      <w:bookmarkStart w:id="56" w:name="_Toc184312125"/>
      <w:bookmarkEnd w:id="56"/>
      <w:bookmarkStart w:id="57" w:name="_Toc184314451"/>
      <w:bookmarkEnd w:id="57"/>
      <w:bookmarkStart w:id="58" w:name="_Toc184308108"/>
      <w:bookmarkEnd w:id="58"/>
      <w:bookmarkStart w:id="59" w:name="_Toc184308080"/>
      <w:bookmarkEnd w:id="59"/>
      <w:bookmarkStart w:id="60" w:name="_Toc184312092"/>
      <w:bookmarkEnd w:id="60"/>
      <w:bookmarkStart w:id="61" w:name="_Toc184308060"/>
      <w:bookmarkEnd w:id="61"/>
      <w:bookmarkStart w:id="62" w:name="_Toc184313265"/>
      <w:bookmarkEnd w:id="62"/>
      <w:bookmarkStart w:id="63" w:name="_Toc184313239"/>
      <w:bookmarkEnd w:id="63"/>
      <w:bookmarkStart w:id="64" w:name="_Toc184310311"/>
      <w:bookmarkEnd w:id="64"/>
      <w:bookmarkStart w:id="65" w:name="_Toc184310335"/>
      <w:bookmarkEnd w:id="65"/>
      <w:bookmarkStart w:id="66" w:name="_Toc184308085"/>
      <w:bookmarkEnd w:id="66"/>
      <w:bookmarkStart w:id="67" w:name="_Toc184312129"/>
      <w:bookmarkEnd w:id="67"/>
      <w:bookmarkStart w:id="68" w:name="_Toc184314447"/>
      <w:bookmarkEnd w:id="68"/>
      <w:bookmarkStart w:id="69" w:name="_Toc184312106"/>
      <w:bookmarkEnd w:id="69"/>
      <w:bookmarkStart w:id="70" w:name="_Toc184314472"/>
      <w:bookmarkEnd w:id="70"/>
      <w:bookmarkStart w:id="71" w:name="_Toc184312069"/>
      <w:bookmarkEnd w:id="71"/>
      <w:bookmarkStart w:id="72" w:name="_Toc184308099"/>
      <w:bookmarkEnd w:id="72"/>
      <w:bookmarkStart w:id="73" w:name="_Toc184312068"/>
      <w:bookmarkEnd w:id="73"/>
      <w:bookmarkStart w:id="74" w:name="_Toc184313272"/>
      <w:bookmarkEnd w:id="74"/>
      <w:bookmarkStart w:id="75" w:name="_Toc184308086"/>
      <w:bookmarkEnd w:id="75"/>
      <w:bookmarkStart w:id="76" w:name="_Toc184313282"/>
      <w:bookmarkEnd w:id="76"/>
      <w:bookmarkStart w:id="77" w:name="_Toc184308046"/>
      <w:bookmarkEnd w:id="77"/>
      <w:bookmarkStart w:id="78" w:name="_Toc184308071"/>
      <w:bookmarkEnd w:id="78"/>
      <w:bookmarkStart w:id="79" w:name="_Toc184310320"/>
      <w:bookmarkEnd w:id="79"/>
      <w:bookmarkStart w:id="80" w:name="_Toc184314465"/>
      <w:bookmarkEnd w:id="80"/>
      <w:bookmarkStart w:id="81" w:name="_Toc184312073"/>
      <w:bookmarkEnd w:id="81"/>
      <w:bookmarkStart w:id="82" w:name="_Toc184313276"/>
      <w:bookmarkEnd w:id="82"/>
      <w:bookmarkStart w:id="83" w:name="_Toc184313257"/>
      <w:bookmarkEnd w:id="83"/>
      <w:bookmarkStart w:id="84" w:name="_Toc184314412"/>
      <w:bookmarkEnd w:id="84"/>
      <w:bookmarkStart w:id="85" w:name="_Toc184310318"/>
      <w:bookmarkEnd w:id="85"/>
      <w:bookmarkStart w:id="86" w:name="_Toc184312077"/>
      <w:bookmarkEnd w:id="86"/>
      <w:bookmarkStart w:id="87" w:name="_Toc184308081"/>
      <w:bookmarkEnd w:id="87"/>
      <w:bookmarkStart w:id="88" w:name="_Toc184312107"/>
      <w:bookmarkEnd w:id="88"/>
      <w:bookmarkStart w:id="89" w:name="_Toc184308054"/>
      <w:bookmarkEnd w:id="89"/>
      <w:bookmarkStart w:id="90" w:name="_Toc184312136"/>
      <w:bookmarkEnd w:id="90"/>
      <w:bookmarkStart w:id="91" w:name="_Toc184312084"/>
      <w:bookmarkEnd w:id="91"/>
      <w:bookmarkStart w:id="92" w:name="_Toc184314421"/>
      <w:bookmarkEnd w:id="92"/>
      <w:bookmarkStart w:id="93" w:name="_Toc184310341"/>
      <w:bookmarkEnd w:id="93"/>
      <w:bookmarkStart w:id="94" w:name="_Toc184310289"/>
      <w:bookmarkEnd w:id="94"/>
      <w:bookmarkStart w:id="95" w:name="_Toc184314431"/>
      <w:bookmarkEnd w:id="95"/>
      <w:bookmarkStart w:id="96" w:name="_Toc184308057"/>
      <w:bookmarkEnd w:id="96"/>
      <w:bookmarkStart w:id="97" w:name="_Toc184314452"/>
      <w:bookmarkEnd w:id="97"/>
      <w:bookmarkStart w:id="98" w:name="_Toc184308090"/>
      <w:bookmarkEnd w:id="98"/>
      <w:bookmarkStart w:id="99" w:name="_Toc184313243"/>
      <w:bookmarkEnd w:id="99"/>
      <w:bookmarkStart w:id="100" w:name="_Toc184308041"/>
      <w:bookmarkEnd w:id="100"/>
      <w:bookmarkStart w:id="101" w:name="_Toc184314414"/>
      <w:bookmarkEnd w:id="101"/>
      <w:bookmarkStart w:id="102" w:name="_Toc184314453"/>
      <w:bookmarkEnd w:id="102"/>
      <w:bookmarkStart w:id="103" w:name="_Toc184312124"/>
      <w:bookmarkEnd w:id="103"/>
      <w:bookmarkStart w:id="104" w:name="_Toc184308042"/>
      <w:bookmarkEnd w:id="104"/>
      <w:bookmarkStart w:id="105" w:name="_Toc184312074"/>
      <w:bookmarkEnd w:id="105"/>
      <w:bookmarkStart w:id="106" w:name="_Toc184310283"/>
      <w:bookmarkEnd w:id="106"/>
      <w:bookmarkStart w:id="107" w:name="_Toc184314416"/>
      <w:bookmarkEnd w:id="107"/>
      <w:bookmarkStart w:id="108" w:name="_Toc184308044"/>
      <w:bookmarkEnd w:id="108"/>
      <w:bookmarkStart w:id="109" w:name="_Toc184310304"/>
      <w:bookmarkEnd w:id="109"/>
      <w:bookmarkStart w:id="110" w:name="_Toc184310280"/>
      <w:bookmarkEnd w:id="110"/>
      <w:bookmarkStart w:id="111" w:name="_Toc184310309"/>
      <w:bookmarkEnd w:id="111"/>
      <w:bookmarkStart w:id="112" w:name="_Toc184310290"/>
      <w:bookmarkEnd w:id="112"/>
      <w:bookmarkStart w:id="113" w:name="_Toc184313248"/>
      <w:bookmarkEnd w:id="113"/>
      <w:bookmarkStart w:id="114" w:name="_Toc184308050"/>
      <w:bookmarkEnd w:id="114"/>
      <w:bookmarkStart w:id="115" w:name="_Toc184314411"/>
      <w:bookmarkEnd w:id="115"/>
      <w:bookmarkStart w:id="116" w:name="_Toc184312076"/>
      <w:bookmarkEnd w:id="116"/>
      <w:bookmarkStart w:id="117" w:name="_Toc184312082"/>
      <w:bookmarkEnd w:id="117"/>
      <w:bookmarkStart w:id="118" w:name="_Toc184314419"/>
      <w:bookmarkEnd w:id="118"/>
      <w:bookmarkStart w:id="119" w:name="_Toc184312122"/>
      <w:bookmarkEnd w:id="119"/>
      <w:bookmarkStart w:id="120" w:name="_Toc184308070"/>
      <w:bookmarkEnd w:id="120"/>
      <w:bookmarkStart w:id="121" w:name="_Toc184312085"/>
      <w:bookmarkEnd w:id="121"/>
      <w:bookmarkStart w:id="122" w:name="_Toc184312103"/>
      <w:bookmarkEnd w:id="122"/>
      <w:bookmarkStart w:id="123" w:name="_Toc184308094"/>
      <w:bookmarkEnd w:id="123"/>
      <w:bookmarkStart w:id="124" w:name="_Toc184313284"/>
      <w:bookmarkEnd w:id="124"/>
      <w:bookmarkStart w:id="125" w:name="_Toc184312121"/>
      <w:bookmarkEnd w:id="125"/>
      <w:bookmarkStart w:id="126" w:name="_Toc184308038"/>
      <w:bookmarkEnd w:id="126"/>
      <w:bookmarkStart w:id="127" w:name="_Toc184314469"/>
      <w:bookmarkEnd w:id="127"/>
      <w:bookmarkStart w:id="128" w:name="_Toc184312128"/>
      <w:bookmarkEnd w:id="128"/>
      <w:bookmarkStart w:id="129" w:name="_Toc184314417"/>
      <w:bookmarkEnd w:id="129"/>
      <w:bookmarkStart w:id="130" w:name="_Toc184310334"/>
      <w:bookmarkEnd w:id="130"/>
      <w:bookmarkStart w:id="131" w:name="_Toc184313256"/>
      <w:bookmarkEnd w:id="131"/>
      <w:bookmarkStart w:id="132" w:name="_Toc184313290"/>
      <w:bookmarkEnd w:id="132"/>
      <w:bookmarkStart w:id="133" w:name="_Toc184312087"/>
      <w:bookmarkEnd w:id="133"/>
      <w:bookmarkStart w:id="134" w:name="_Toc184310338"/>
      <w:bookmarkEnd w:id="134"/>
      <w:bookmarkStart w:id="135" w:name="_Toc184308067"/>
      <w:bookmarkEnd w:id="135"/>
      <w:bookmarkStart w:id="136" w:name="_Toc184314463"/>
      <w:bookmarkEnd w:id="136"/>
      <w:bookmarkStart w:id="137" w:name="_Toc184314425"/>
      <w:bookmarkEnd w:id="137"/>
      <w:bookmarkStart w:id="138" w:name="_Toc184313247"/>
      <w:bookmarkEnd w:id="138"/>
      <w:bookmarkStart w:id="139" w:name="_Toc184313280"/>
      <w:bookmarkEnd w:id="139"/>
      <w:bookmarkStart w:id="140" w:name="_Toc184310332"/>
      <w:bookmarkEnd w:id="140"/>
      <w:bookmarkStart w:id="141" w:name="_Toc184308088"/>
      <w:bookmarkEnd w:id="141"/>
      <w:bookmarkStart w:id="142" w:name="_Toc184308051"/>
      <w:bookmarkEnd w:id="142"/>
      <w:bookmarkStart w:id="143" w:name="_Toc184310329"/>
      <w:bookmarkEnd w:id="143"/>
      <w:bookmarkStart w:id="144" w:name="_Toc184312139"/>
      <w:bookmarkEnd w:id="144"/>
      <w:bookmarkStart w:id="145" w:name="_Toc184308036"/>
      <w:bookmarkEnd w:id="145"/>
      <w:bookmarkStart w:id="146" w:name="_Toc184312116"/>
      <w:bookmarkEnd w:id="146"/>
      <w:bookmarkStart w:id="147" w:name="_Toc184312089"/>
      <w:bookmarkEnd w:id="147"/>
      <w:bookmarkStart w:id="148" w:name="_Toc184314471"/>
      <w:bookmarkEnd w:id="148"/>
      <w:bookmarkStart w:id="149" w:name="_Toc184314435"/>
      <w:bookmarkEnd w:id="149"/>
      <w:bookmarkStart w:id="150" w:name="_Toc184313309"/>
      <w:bookmarkEnd w:id="150"/>
      <w:bookmarkStart w:id="151" w:name="_Toc184312083"/>
      <w:bookmarkEnd w:id="151"/>
      <w:bookmarkStart w:id="152" w:name="_Toc184312091"/>
      <w:bookmarkEnd w:id="152"/>
      <w:bookmarkStart w:id="153" w:name="_Toc184313264"/>
      <w:bookmarkEnd w:id="153"/>
      <w:bookmarkStart w:id="154" w:name="_Toc184310282"/>
      <w:bookmarkEnd w:id="154"/>
      <w:bookmarkStart w:id="155" w:name="_Toc184312127"/>
      <w:bookmarkEnd w:id="155"/>
      <w:bookmarkStart w:id="156" w:name="_Toc184308068"/>
      <w:bookmarkEnd w:id="156"/>
      <w:bookmarkStart w:id="157" w:name="_Toc184308079"/>
      <w:bookmarkEnd w:id="157"/>
      <w:bookmarkStart w:id="158" w:name="_Toc184310330"/>
      <w:bookmarkEnd w:id="158"/>
      <w:bookmarkStart w:id="159" w:name="_Toc184310294"/>
      <w:bookmarkEnd w:id="159"/>
      <w:bookmarkStart w:id="160" w:name="_Toc184313305"/>
      <w:bookmarkEnd w:id="160"/>
      <w:bookmarkStart w:id="161" w:name="_Toc184313241"/>
      <w:bookmarkEnd w:id="161"/>
      <w:bookmarkStart w:id="162" w:name="_Toc184308104"/>
      <w:bookmarkEnd w:id="162"/>
      <w:bookmarkStart w:id="163" w:name="_Toc184314446"/>
      <w:bookmarkEnd w:id="163"/>
      <w:bookmarkStart w:id="164" w:name="_Toc184310313"/>
      <w:bookmarkEnd w:id="164"/>
      <w:bookmarkStart w:id="165" w:name="_Toc184310326"/>
      <w:bookmarkEnd w:id="165"/>
      <w:bookmarkStart w:id="166" w:name="_Toc184308062"/>
      <w:bookmarkEnd w:id="166"/>
      <w:bookmarkStart w:id="167" w:name="_Toc184310310"/>
      <w:bookmarkEnd w:id="167"/>
      <w:bookmarkStart w:id="168" w:name="_Toc184314413"/>
      <w:bookmarkEnd w:id="168"/>
      <w:bookmarkStart w:id="169" w:name="_Toc184313294"/>
      <w:bookmarkEnd w:id="169"/>
      <w:bookmarkStart w:id="170" w:name="_Toc184313253"/>
      <w:bookmarkEnd w:id="170"/>
      <w:bookmarkStart w:id="171" w:name="_Toc184310333"/>
      <w:bookmarkEnd w:id="171"/>
      <w:bookmarkStart w:id="172" w:name="_Toc184313298"/>
      <w:bookmarkEnd w:id="172"/>
      <w:bookmarkStart w:id="173" w:name="_Toc184313286"/>
      <w:bookmarkEnd w:id="173"/>
      <w:bookmarkStart w:id="174" w:name="_Toc184312095"/>
      <w:bookmarkEnd w:id="174"/>
      <w:bookmarkStart w:id="175" w:name="_Toc184310325"/>
      <w:bookmarkEnd w:id="175"/>
      <w:bookmarkStart w:id="176" w:name="_Toc184314433"/>
      <w:bookmarkEnd w:id="176"/>
      <w:bookmarkStart w:id="177" w:name="_Toc184313307"/>
      <w:bookmarkEnd w:id="177"/>
      <w:bookmarkStart w:id="178" w:name="_Toc184313260"/>
      <w:bookmarkEnd w:id="178"/>
      <w:bookmarkStart w:id="179" w:name="_Toc184313252"/>
      <w:bookmarkEnd w:id="179"/>
      <w:bookmarkStart w:id="180" w:name="_Toc184308066"/>
      <w:bookmarkEnd w:id="180"/>
      <w:bookmarkStart w:id="181" w:name="_Toc184312132"/>
      <w:bookmarkEnd w:id="181"/>
      <w:bookmarkStart w:id="182" w:name="_Toc184312101"/>
      <w:bookmarkEnd w:id="182"/>
      <w:bookmarkStart w:id="183" w:name="_Toc184313297"/>
      <w:bookmarkEnd w:id="183"/>
      <w:bookmarkStart w:id="184" w:name="_Toc184310285"/>
      <w:bookmarkEnd w:id="184"/>
      <w:bookmarkStart w:id="185" w:name="_Toc184313285"/>
      <w:bookmarkEnd w:id="185"/>
      <w:bookmarkStart w:id="186" w:name="_Toc184308097"/>
      <w:bookmarkEnd w:id="186"/>
      <w:bookmarkStart w:id="187" w:name="_Toc184308074"/>
      <w:bookmarkEnd w:id="187"/>
      <w:bookmarkStart w:id="188" w:name="_Toc184314474"/>
      <w:bookmarkEnd w:id="188"/>
      <w:bookmarkStart w:id="189" w:name="_Toc184310278"/>
      <w:bookmarkEnd w:id="189"/>
      <w:bookmarkStart w:id="190" w:name="_Toc184312109"/>
      <w:bookmarkEnd w:id="190"/>
      <w:bookmarkStart w:id="191" w:name="_Toc184310307"/>
      <w:bookmarkEnd w:id="191"/>
      <w:bookmarkStart w:id="192" w:name="_Toc184314481"/>
      <w:bookmarkEnd w:id="192"/>
      <w:bookmarkStart w:id="193" w:name="_Toc184310295"/>
      <w:bookmarkEnd w:id="193"/>
      <w:bookmarkStart w:id="194" w:name="_Toc184308105"/>
      <w:bookmarkEnd w:id="194"/>
      <w:bookmarkStart w:id="195" w:name="_Toc184313251"/>
      <w:bookmarkEnd w:id="195"/>
      <w:bookmarkStart w:id="196" w:name="_Toc184314410"/>
      <w:bookmarkEnd w:id="196"/>
      <w:bookmarkStart w:id="197" w:name="_Toc184308100"/>
      <w:bookmarkEnd w:id="197"/>
      <w:bookmarkStart w:id="198" w:name="_Toc184312137"/>
      <w:bookmarkEnd w:id="198"/>
      <w:bookmarkStart w:id="199" w:name="_Toc184312104"/>
      <w:bookmarkEnd w:id="199"/>
      <w:bookmarkStart w:id="200" w:name="_Toc184313267"/>
      <w:bookmarkEnd w:id="200"/>
      <w:bookmarkStart w:id="201" w:name="_Toc184314422"/>
      <w:bookmarkEnd w:id="201"/>
      <w:bookmarkStart w:id="202" w:name="_Toc184313266"/>
      <w:bookmarkEnd w:id="202"/>
      <w:bookmarkStart w:id="203" w:name="_Toc184310287"/>
      <w:bookmarkEnd w:id="203"/>
      <w:bookmarkStart w:id="204" w:name="_Toc184310327"/>
      <w:bookmarkEnd w:id="204"/>
      <w:bookmarkStart w:id="205" w:name="_Toc184313287"/>
      <w:bookmarkEnd w:id="205"/>
      <w:bookmarkStart w:id="206" w:name="_Toc184314429"/>
      <w:bookmarkEnd w:id="206"/>
      <w:bookmarkStart w:id="207" w:name="_Toc184314478"/>
      <w:bookmarkEnd w:id="207"/>
      <w:bookmarkStart w:id="208" w:name="_Toc184314430"/>
      <w:bookmarkEnd w:id="208"/>
      <w:bookmarkStart w:id="209" w:name="_Toc184313299"/>
      <w:bookmarkEnd w:id="209"/>
      <w:bookmarkStart w:id="210" w:name="_Toc184312081"/>
      <w:bookmarkEnd w:id="210"/>
      <w:bookmarkStart w:id="211" w:name="_Toc184314438"/>
      <w:bookmarkEnd w:id="211"/>
      <w:bookmarkStart w:id="212" w:name="_Toc184313240"/>
      <w:bookmarkEnd w:id="212"/>
      <w:bookmarkStart w:id="213" w:name="_Toc184308040"/>
      <w:bookmarkEnd w:id="213"/>
      <w:bookmarkStart w:id="214" w:name="_Toc184310277"/>
      <w:bookmarkEnd w:id="214"/>
      <w:bookmarkStart w:id="215" w:name="_Toc184308089"/>
      <w:bookmarkEnd w:id="215"/>
      <w:bookmarkStart w:id="216" w:name="_Toc184313278"/>
      <w:bookmarkEnd w:id="216"/>
      <w:bookmarkStart w:id="217" w:name="_Toc184310344"/>
      <w:bookmarkEnd w:id="217"/>
      <w:bookmarkStart w:id="218" w:name="_Toc184312135"/>
      <w:bookmarkEnd w:id="218"/>
      <w:bookmarkStart w:id="219" w:name="_Toc184308048"/>
      <w:bookmarkEnd w:id="219"/>
      <w:bookmarkStart w:id="220" w:name="_Toc184308091"/>
      <w:bookmarkEnd w:id="220"/>
      <w:bookmarkStart w:id="221" w:name="_Toc184308106"/>
      <w:bookmarkEnd w:id="221"/>
      <w:bookmarkStart w:id="222" w:name="_Toc184310339"/>
      <w:bookmarkEnd w:id="222"/>
      <w:bookmarkStart w:id="223" w:name="_Toc184308092"/>
      <w:bookmarkEnd w:id="223"/>
      <w:bookmarkStart w:id="224" w:name="_Toc184312130"/>
      <w:bookmarkEnd w:id="224"/>
      <w:bookmarkStart w:id="225" w:name="_Toc184313308"/>
      <w:bookmarkEnd w:id="225"/>
      <w:bookmarkStart w:id="226" w:name="_Toc184312110"/>
      <w:bookmarkEnd w:id="226"/>
      <w:bookmarkStart w:id="227" w:name="_Toc184313269"/>
      <w:bookmarkEnd w:id="227"/>
      <w:bookmarkStart w:id="228" w:name="_Toc184314460"/>
      <w:bookmarkEnd w:id="228"/>
      <w:bookmarkStart w:id="229" w:name="_Toc184313271"/>
      <w:bookmarkEnd w:id="229"/>
      <w:bookmarkStart w:id="230" w:name="_Toc184312115"/>
      <w:bookmarkEnd w:id="230"/>
      <w:bookmarkStart w:id="231" w:name="_Toc184310276"/>
      <w:bookmarkEnd w:id="231"/>
      <w:bookmarkStart w:id="232" w:name="_Toc184313249"/>
      <w:bookmarkEnd w:id="232"/>
      <w:bookmarkStart w:id="233" w:name="_Toc184308069"/>
      <w:bookmarkEnd w:id="233"/>
      <w:bookmarkStart w:id="234" w:name="_Toc184308093"/>
      <w:bookmarkEnd w:id="234"/>
      <w:bookmarkStart w:id="235" w:name="_Toc184310319"/>
      <w:bookmarkEnd w:id="235"/>
      <w:bookmarkStart w:id="236" w:name="_Toc184312108"/>
      <w:bookmarkEnd w:id="236"/>
      <w:bookmarkStart w:id="237" w:name="_Toc184308078"/>
      <w:bookmarkEnd w:id="237"/>
      <w:bookmarkStart w:id="238" w:name="_Toc184313303"/>
      <w:bookmarkEnd w:id="238"/>
      <w:bookmarkStart w:id="239" w:name="_Toc184308059"/>
      <w:bookmarkEnd w:id="239"/>
      <w:bookmarkStart w:id="240" w:name="_Toc184314482"/>
      <w:bookmarkEnd w:id="240"/>
      <w:bookmarkStart w:id="241" w:name="_Toc184308037"/>
      <w:bookmarkEnd w:id="241"/>
      <w:bookmarkStart w:id="242" w:name="_Toc184314437"/>
      <w:bookmarkEnd w:id="242"/>
      <w:bookmarkStart w:id="243" w:name="_Toc184308056"/>
      <w:bookmarkEnd w:id="243"/>
      <w:bookmarkStart w:id="244" w:name="_Toc184310306"/>
      <w:bookmarkEnd w:id="244"/>
      <w:bookmarkStart w:id="245" w:name="_Toc184313274"/>
      <w:bookmarkEnd w:id="245"/>
      <w:bookmarkStart w:id="246" w:name="_Toc184308102"/>
      <w:bookmarkEnd w:id="246"/>
      <w:bookmarkStart w:id="247" w:name="_Toc184308047"/>
      <w:bookmarkEnd w:id="247"/>
      <w:bookmarkStart w:id="248" w:name="_Toc184312093"/>
      <w:bookmarkEnd w:id="248"/>
      <w:bookmarkStart w:id="249" w:name="_Toc184312120"/>
      <w:bookmarkEnd w:id="249"/>
      <w:bookmarkStart w:id="250" w:name="_Toc184312133"/>
      <w:bookmarkEnd w:id="250"/>
      <w:bookmarkStart w:id="251" w:name="_Toc184312117"/>
      <w:bookmarkEnd w:id="251"/>
      <w:bookmarkStart w:id="252" w:name="_Toc184314450"/>
      <w:bookmarkEnd w:id="252"/>
      <w:bookmarkStart w:id="253" w:name="_Toc184312080"/>
      <w:bookmarkEnd w:id="253"/>
      <w:bookmarkStart w:id="254" w:name="_Toc184313250"/>
      <w:bookmarkEnd w:id="254"/>
      <w:bookmarkStart w:id="255" w:name="_Toc184313263"/>
      <w:bookmarkEnd w:id="255"/>
      <w:bookmarkStart w:id="256" w:name="_Toc184314467"/>
      <w:bookmarkEnd w:id="256"/>
      <w:bookmarkStart w:id="257" w:name="_Toc184308076"/>
      <w:bookmarkEnd w:id="257"/>
      <w:bookmarkStart w:id="258" w:name="_Toc184308101"/>
      <w:bookmarkEnd w:id="258"/>
      <w:bookmarkStart w:id="259" w:name="_Toc184310331"/>
      <w:bookmarkEnd w:id="259"/>
      <w:bookmarkStart w:id="260" w:name="_Toc184314454"/>
      <w:bookmarkEnd w:id="260"/>
      <w:bookmarkStart w:id="261" w:name="_Toc184314477"/>
      <w:bookmarkEnd w:id="261"/>
      <w:bookmarkStart w:id="262" w:name="_Toc184313301"/>
      <w:bookmarkEnd w:id="262"/>
      <w:bookmarkStart w:id="263" w:name="_Toc184312123"/>
      <w:bookmarkEnd w:id="263"/>
      <w:bookmarkStart w:id="264" w:name="_Toc184313273"/>
      <w:bookmarkEnd w:id="264"/>
      <w:bookmarkStart w:id="265" w:name="_Toc184314462"/>
      <w:bookmarkEnd w:id="265"/>
      <w:bookmarkStart w:id="266" w:name="_Toc184313281"/>
      <w:bookmarkEnd w:id="266"/>
      <w:bookmarkStart w:id="267" w:name="_Toc184308084"/>
      <w:bookmarkEnd w:id="267"/>
      <w:bookmarkStart w:id="268" w:name="_Toc184310337"/>
      <w:bookmarkEnd w:id="268"/>
      <w:bookmarkStart w:id="269" w:name="_Toc184308065"/>
      <w:bookmarkEnd w:id="269"/>
      <w:bookmarkStart w:id="270" w:name="_Toc184313293"/>
      <w:bookmarkEnd w:id="270"/>
      <w:bookmarkStart w:id="271" w:name="_Toc184313302"/>
      <w:bookmarkEnd w:id="271"/>
      <w:bookmarkStart w:id="272" w:name="_Toc184314441"/>
      <w:bookmarkEnd w:id="272"/>
      <w:bookmarkStart w:id="273" w:name="_Toc184310312"/>
      <w:bookmarkEnd w:id="273"/>
      <w:bookmarkStart w:id="274" w:name="_Toc184310323"/>
      <w:bookmarkEnd w:id="274"/>
      <w:bookmarkStart w:id="275" w:name="_Toc184312090"/>
      <w:bookmarkEnd w:id="275"/>
      <w:bookmarkStart w:id="276" w:name="_Toc184312096"/>
      <w:bookmarkEnd w:id="276"/>
      <w:bookmarkStart w:id="277" w:name="_Toc184310274"/>
      <w:bookmarkEnd w:id="277"/>
      <w:bookmarkStart w:id="278" w:name="_Toc184314424"/>
      <w:bookmarkEnd w:id="278"/>
      <w:bookmarkStart w:id="279" w:name="_Toc184313304"/>
      <w:bookmarkEnd w:id="279"/>
      <w:bookmarkStart w:id="280" w:name="_Toc184313295"/>
      <w:bookmarkEnd w:id="280"/>
      <w:bookmarkStart w:id="281" w:name="_Toc184310291"/>
      <w:bookmarkEnd w:id="281"/>
      <w:bookmarkStart w:id="282" w:name="_Toc184314418"/>
      <w:bookmarkEnd w:id="282"/>
      <w:bookmarkStart w:id="283" w:name="_Toc184310343"/>
      <w:bookmarkEnd w:id="283"/>
      <w:bookmarkStart w:id="284" w:name="_Toc184312119"/>
      <w:bookmarkEnd w:id="284"/>
      <w:bookmarkStart w:id="285" w:name="_Toc184308075"/>
      <w:bookmarkEnd w:id="285"/>
      <w:bookmarkStart w:id="286" w:name="_Toc184312071"/>
      <w:bookmarkEnd w:id="286"/>
      <w:bookmarkStart w:id="287" w:name="_Toc184313238"/>
      <w:bookmarkEnd w:id="287"/>
      <w:bookmarkStart w:id="288" w:name="_Toc184313254"/>
      <w:bookmarkEnd w:id="288"/>
      <w:bookmarkStart w:id="289" w:name="_Toc184313242"/>
      <w:bookmarkEnd w:id="289"/>
      <w:bookmarkStart w:id="290" w:name="_Toc184312105"/>
      <w:bookmarkEnd w:id="290"/>
      <w:bookmarkStart w:id="291" w:name="_Toc184308072"/>
      <w:bookmarkEnd w:id="291"/>
      <w:bookmarkStart w:id="292" w:name="_Toc184308087"/>
      <w:bookmarkEnd w:id="292"/>
      <w:bookmarkStart w:id="293" w:name="_Toc184312098"/>
      <w:bookmarkEnd w:id="293"/>
      <w:bookmarkStart w:id="294" w:name="_Toc184310279"/>
      <w:bookmarkEnd w:id="294"/>
      <w:bookmarkStart w:id="295" w:name="_Toc184314428"/>
      <w:bookmarkEnd w:id="295"/>
      <w:bookmarkStart w:id="296" w:name="_Toc184312079"/>
      <w:bookmarkEnd w:id="296"/>
      <w:bookmarkStart w:id="297" w:name="_Toc184308077"/>
      <w:bookmarkEnd w:id="297"/>
      <w:bookmarkStart w:id="298" w:name="_Toc184310322"/>
      <w:bookmarkEnd w:id="298"/>
      <w:bookmarkStart w:id="299" w:name="_Toc184312126"/>
      <w:bookmarkEnd w:id="299"/>
      <w:bookmarkStart w:id="300" w:name="_Toc184313300"/>
      <w:bookmarkEnd w:id="300"/>
      <w:bookmarkStart w:id="301" w:name="_Toc184312102"/>
      <w:bookmarkEnd w:id="301"/>
      <w:bookmarkStart w:id="302" w:name="_Toc184310299"/>
      <w:bookmarkEnd w:id="302"/>
      <w:bookmarkStart w:id="303" w:name="_Toc184308039"/>
      <w:bookmarkEnd w:id="303"/>
      <w:bookmarkStart w:id="304" w:name="_Toc184313244"/>
      <w:bookmarkEnd w:id="304"/>
      <w:bookmarkStart w:id="305" w:name="_Toc184308073"/>
      <w:bookmarkEnd w:id="305"/>
      <w:bookmarkStart w:id="306" w:name="_Toc184314458"/>
      <w:bookmarkEnd w:id="306"/>
      <w:bookmarkStart w:id="307" w:name="_Toc184313259"/>
      <w:bookmarkEnd w:id="307"/>
      <w:bookmarkStart w:id="308" w:name="_Toc184313255"/>
      <w:bookmarkEnd w:id="308"/>
      <w:bookmarkStart w:id="309" w:name="_Toc184314432"/>
      <w:bookmarkEnd w:id="309"/>
      <w:bookmarkStart w:id="310" w:name="_Toc184312113"/>
      <w:bookmarkEnd w:id="310"/>
      <w:bookmarkStart w:id="311" w:name="_Toc184313262"/>
      <w:bookmarkEnd w:id="311"/>
      <w:bookmarkStart w:id="312" w:name="_Toc184312134"/>
      <w:bookmarkEnd w:id="312"/>
      <w:bookmarkStart w:id="313" w:name="_Toc184310298"/>
      <w:bookmarkEnd w:id="313"/>
      <w:bookmarkStart w:id="314" w:name="_Toc184314457"/>
      <w:bookmarkEnd w:id="314"/>
      <w:bookmarkStart w:id="315" w:name="_Toc184314479"/>
      <w:bookmarkEnd w:id="315"/>
      <w:bookmarkStart w:id="316" w:name="_Toc184310273"/>
      <w:bookmarkEnd w:id="316"/>
      <w:bookmarkStart w:id="317" w:name="_Toc184314468"/>
      <w:bookmarkEnd w:id="317"/>
      <w:bookmarkStart w:id="318" w:name="_Toc184313245"/>
      <w:bookmarkEnd w:id="318"/>
      <w:bookmarkStart w:id="319" w:name="_Toc184308064"/>
      <w:bookmarkEnd w:id="319"/>
      <w:bookmarkStart w:id="320" w:name="_Toc184313296"/>
      <w:bookmarkEnd w:id="320"/>
      <w:bookmarkStart w:id="321" w:name="_Toc184312100"/>
      <w:bookmarkEnd w:id="321"/>
      <w:bookmarkStart w:id="322" w:name="_Toc184312111"/>
      <w:bookmarkEnd w:id="322"/>
      <w:bookmarkStart w:id="323" w:name="_Toc184312138"/>
      <w:bookmarkEnd w:id="323"/>
      <w:bookmarkStart w:id="324" w:name="_Toc184310288"/>
      <w:bookmarkEnd w:id="324"/>
      <w:bookmarkStart w:id="325" w:name="_Toc184312097"/>
      <w:bookmarkEnd w:id="325"/>
      <w:bookmarkStart w:id="326" w:name="_Toc184308061"/>
      <w:bookmarkEnd w:id="326"/>
      <w:bookmarkStart w:id="327" w:name="_Toc184310281"/>
      <w:bookmarkEnd w:id="327"/>
      <w:bookmarkStart w:id="328" w:name="_Toc184310300"/>
      <w:bookmarkEnd w:id="328"/>
      <w:bookmarkStart w:id="329" w:name="_Toc184314461"/>
      <w:bookmarkEnd w:id="329"/>
      <w:bookmarkStart w:id="330" w:name="_Toc184314476"/>
      <w:bookmarkEnd w:id="330"/>
      <w:bookmarkStart w:id="331" w:name="_Toc184313289"/>
      <w:bookmarkEnd w:id="331"/>
      <w:bookmarkStart w:id="332" w:name="_Toc184314420"/>
      <w:bookmarkEnd w:id="332"/>
      <w:bookmarkStart w:id="333" w:name="_Toc184310315"/>
      <w:bookmarkEnd w:id="333"/>
      <w:bookmarkStart w:id="334" w:name="_Toc184313246"/>
      <w:bookmarkEnd w:id="334"/>
      <w:bookmarkStart w:id="335" w:name="_Toc184310297"/>
      <w:bookmarkEnd w:id="335"/>
      <w:bookmarkStart w:id="336" w:name="_Toc184308103"/>
      <w:bookmarkEnd w:id="336"/>
      <w:bookmarkStart w:id="337" w:name="_Toc184310328"/>
      <w:bookmarkEnd w:id="337"/>
      <w:bookmarkStart w:id="338" w:name="_Toc184310301"/>
      <w:bookmarkEnd w:id="338"/>
      <w:bookmarkStart w:id="339" w:name="_Toc184314456"/>
      <w:bookmarkEnd w:id="339"/>
      <w:bookmarkStart w:id="340" w:name="_Toc184314442"/>
      <w:bookmarkEnd w:id="340"/>
      <w:bookmarkStart w:id="341" w:name="_Toc184310272"/>
      <w:bookmarkEnd w:id="341"/>
      <w:bookmarkStart w:id="342" w:name="_Toc184312067"/>
      <w:bookmarkEnd w:id="342"/>
      <w:bookmarkStart w:id="343" w:name="_Toc184313275"/>
      <w:bookmarkEnd w:id="343"/>
      <w:bookmarkStart w:id="344" w:name="_Toc184314434"/>
      <w:bookmarkEnd w:id="344"/>
      <w:bookmarkStart w:id="345" w:name="_Toc184310303"/>
      <w:bookmarkEnd w:id="345"/>
      <w:bookmarkStart w:id="346" w:name="_Toc184314423"/>
      <w:bookmarkEnd w:id="346"/>
      <w:bookmarkStart w:id="347" w:name="_Toc184314436"/>
      <w:bookmarkEnd w:id="347"/>
      <w:bookmarkStart w:id="348" w:name="_Toc184308096"/>
      <w:bookmarkEnd w:id="348"/>
      <w:bookmarkStart w:id="349" w:name="_Toc184314480"/>
      <w:bookmarkEnd w:id="349"/>
      <w:bookmarkStart w:id="350" w:name="_Toc184312131"/>
      <w:bookmarkEnd w:id="350"/>
      <w:bookmarkStart w:id="351" w:name="_Toc184310305"/>
      <w:bookmarkEnd w:id="351"/>
      <w:bookmarkStart w:id="352" w:name="_Toc184314443"/>
      <w:bookmarkEnd w:id="352"/>
      <w:bookmarkStart w:id="353" w:name="_Toc184308082"/>
      <w:bookmarkEnd w:id="353"/>
      <w:bookmarkStart w:id="354" w:name="_Toc184308083"/>
      <w:bookmarkEnd w:id="354"/>
      <w:bookmarkStart w:id="355" w:name="_Toc184310286"/>
      <w:bookmarkEnd w:id="355"/>
      <w:bookmarkStart w:id="356" w:name="_Toc184312070"/>
      <w:bookmarkEnd w:id="356"/>
      <w:bookmarkStart w:id="357" w:name="_Toc184310308"/>
      <w:bookmarkEnd w:id="357"/>
      <w:bookmarkStart w:id="358" w:name="_Toc184310284"/>
      <w:bookmarkEnd w:id="358"/>
      <w:bookmarkStart w:id="359" w:name="_Toc184313283"/>
      <w:bookmarkEnd w:id="359"/>
      <w:bookmarkStart w:id="360" w:name="_Toc184310293"/>
      <w:bookmarkEnd w:id="360"/>
      <w:bookmarkStart w:id="361" w:name="_Toc184312118"/>
      <w:bookmarkEnd w:id="361"/>
      <w:bookmarkStart w:id="362" w:name="_Toc184308045"/>
      <w:bookmarkEnd w:id="362"/>
      <w:bookmarkStart w:id="363" w:name="_Toc184312078"/>
      <w:bookmarkEnd w:id="363"/>
      <w:bookmarkStart w:id="364" w:name="_Toc184314415"/>
      <w:bookmarkEnd w:id="364"/>
      <w:bookmarkStart w:id="365" w:name="_Toc184310275"/>
      <w:bookmarkEnd w:id="365"/>
      <w:bookmarkStart w:id="366" w:name="_Toc184310340"/>
      <w:bookmarkEnd w:id="366"/>
      <w:bookmarkStart w:id="367" w:name="_Toc184313310"/>
      <w:bookmarkEnd w:id="367"/>
      <w:bookmarkStart w:id="368" w:name="_Toc184314459"/>
      <w:bookmarkEnd w:id="368"/>
      <w:bookmarkStart w:id="369" w:name="_Toc184310314"/>
      <w:bookmarkEnd w:id="369"/>
      <w:bookmarkStart w:id="370" w:name="_Toc184308043"/>
      <w:bookmarkEnd w:id="370"/>
      <w:bookmarkStart w:id="371" w:name="_Toc184313268"/>
      <w:bookmarkEnd w:id="371"/>
      <w:bookmarkStart w:id="372" w:name="_Toc184314473"/>
      <w:bookmarkEnd w:id="372"/>
      <w:bookmarkStart w:id="373" w:name="_Toc184308095"/>
      <w:bookmarkEnd w:id="373"/>
      <w:bookmarkStart w:id="374" w:name="_Toc184313292"/>
      <w:bookmarkEnd w:id="374"/>
      <w:bookmarkStart w:id="375" w:name="_Toc184312088"/>
      <w:bookmarkEnd w:id="375"/>
      <w:bookmarkStart w:id="376" w:name="_Toc184313270"/>
      <w:bookmarkEnd w:id="376"/>
      <w:bookmarkStart w:id="377" w:name="_Toc184314475"/>
      <w:bookmarkEnd w:id="377"/>
      <w:bookmarkStart w:id="378" w:name="_Toc184308049"/>
      <w:bookmarkEnd w:id="378"/>
      <w:bookmarkStart w:id="379" w:name="_Toc184310336"/>
      <w:bookmarkEnd w:id="379"/>
      <w:bookmarkStart w:id="380" w:name="_Toc184314439"/>
      <w:bookmarkEnd w:id="380"/>
      <w:bookmarkStart w:id="381" w:name="_Toc184308058"/>
      <w:bookmarkEnd w:id="381"/>
      <w:bookmarkStart w:id="382" w:name="_Toc184312086"/>
      <w:bookmarkEnd w:id="382"/>
      <w:bookmarkStart w:id="383" w:name="_Toc184308053"/>
      <w:bookmarkEnd w:id="383"/>
      <w:bookmarkStart w:id="384" w:name="_Toc184313291"/>
      <w:bookmarkEnd w:id="384"/>
      <w:bookmarkStart w:id="385" w:name="_Toc184310317"/>
      <w:bookmarkEnd w:id="385"/>
      <w:bookmarkStart w:id="386" w:name="_Toc184314444"/>
      <w:bookmarkEnd w:id="386"/>
      <w:bookmarkStart w:id="387" w:name="_Toc184310296"/>
      <w:bookmarkEnd w:id="387"/>
      <w:bookmarkStart w:id="388" w:name="_Toc184314445"/>
      <w:bookmarkEnd w:id="388"/>
      <w:bookmarkStart w:id="389" w:name="_Toc184312099"/>
      <w:bookmarkEnd w:id="389"/>
      <w:bookmarkStart w:id="390" w:name="_Toc184312114"/>
      <w:bookmarkEnd w:id="390"/>
      <w:bookmarkStart w:id="391" w:name="_Toc184314470"/>
      <w:bookmarkEnd w:id="391"/>
      <w:bookmarkStart w:id="392" w:name="_Toc184313279"/>
      <w:bookmarkEnd w:id="392"/>
      <w:bookmarkStart w:id="393" w:name="_Toc184312112"/>
      <w:bookmarkEnd w:id="393"/>
      <w:bookmarkStart w:id="394" w:name="_Toc184310292"/>
      <w:bookmarkEnd w:id="394"/>
      <w:bookmarkStart w:id="395" w:name="_Toc184308098"/>
      <w:bookmarkEnd w:id="395"/>
      <w:bookmarkStart w:id="396" w:name="_Toc184313258"/>
      <w:bookmarkEnd w:id="396"/>
      <w:bookmarkStart w:id="397" w:name="_Toc184314440"/>
      <w:bookmarkEnd w:id="397"/>
      <w:bookmarkStart w:id="398" w:name="_Toc184308052"/>
      <w:bookmarkEnd w:id="398"/>
      <w:bookmarkStart w:id="399" w:name="_Toc184314448"/>
      <w:bookmarkEnd w:id="399"/>
      <w:r>
        <w:rPr>
          <w:rFonts w:hint="eastAsia" w:ascii="仿宋" w:hAnsi="仿宋" w:eastAsia="仿宋" w:cs="仿宋_GB2312"/>
          <w:b/>
          <w:color w:val="auto"/>
          <w:sz w:val="36"/>
          <w:szCs w:val="36"/>
          <w:highlight w:val="none"/>
        </w:rPr>
        <w:t>评标办法</w:t>
      </w:r>
    </w:p>
    <w:p>
      <w:pPr>
        <w:snapToGrid w:val="0"/>
        <w:spacing w:line="360" w:lineRule="auto"/>
        <w:ind w:firstLine="643" w:firstLineChars="200"/>
        <w:rPr>
          <w:rFonts w:ascii="仿宋" w:hAnsi="仿宋" w:eastAsia="仿宋" w:cs="仿宋_GB2312"/>
          <w:b/>
          <w:color w:val="auto"/>
          <w:sz w:val="32"/>
          <w:highlight w:val="none"/>
        </w:rPr>
      </w:pPr>
    </w:p>
    <w:p>
      <w:pPr>
        <w:snapToGrid w:val="0"/>
        <w:spacing w:line="360" w:lineRule="auto"/>
        <w:ind w:firstLine="643" w:firstLineChars="200"/>
        <w:rPr>
          <w:rFonts w:ascii="仿宋" w:hAnsi="仿宋" w:eastAsia="仿宋"/>
          <w:b/>
          <w:color w:val="auto"/>
          <w:sz w:val="28"/>
          <w:szCs w:val="28"/>
          <w:highlight w:val="none"/>
        </w:rPr>
      </w:pPr>
      <w:r>
        <w:rPr>
          <w:rFonts w:hint="eastAsia" w:ascii="仿宋" w:hAnsi="仿宋" w:eastAsia="仿宋" w:cs="仿宋_GB2312"/>
          <w:b/>
          <w:color w:val="auto"/>
          <w:sz w:val="32"/>
          <w:highlight w:val="none"/>
        </w:rPr>
        <w:t>一、评标方法</w:t>
      </w:r>
    </w:p>
    <w:p>
      <w:pPr>
        <w:adjustRightInd/>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1.</w:t>
      </w:r>
      <w:r>
        <w:rPr>
          <w:rFonts w:hint="eastAsia" w:ascii="仿宋" w:hAnsi="仿宋" w:eastAsia="仿宋" w:cs="Arial"/>
          <w:b/>
          <w:color w:val="auto"/>
          <w:kern w:val="0"/>
          <w:sz w:val="24"/>
          <w:highlight w:val="none"/>
        </w:rPr>
        <w:t>本项目采用综合评分法。</w:t>
      </w:r>
      <w:r>
        <w:rPr>
          <w:rFonts w:hint="eastAsia" w:ascii="仿宋" w:hAnsi="仿宋" w:eastAsia="仿宋"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ind w:firstLine="643" w:firstLineChars="200"/>
        <w:rPr>
          <w:rFonts w:ascii="仿宋" w:hAnsi="仿宋" w:eastAsia="仿宋" w:cs="Arial"/>
          <w:color w:val="auto"/>
          <w:kern w:val="0"/>
          <w:sz w:val="24"/>
          <w:highlight w:val="none"/>
        </w:rPr>
      </w:pPr>
      <w:r>
        <w:rPr>
          <w:rFonts w:hint="eastAsia" w:ascii="仿宋" w:hAnsi="仿宋" w:eastAsia="仿宋" w:cs="仿宋_GB2312"/>
          <w:b/>
          <w:color w:val="auto"/>
          <w:sz w:val="32"/>
          <w:highlight w:val="none"/>
        </w:rPr>
        <w:t>二、评标标准</w:t>
      </w:r>
    </w:p>
    <w:p>
      <w:pPr>
        <w:adjustRightInd/>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 xml:space="preserve">2. </w:t>
      </w:r>
      <w:r>
        <w:rPr>
          <w:rFonts w:hint="eastAsia" w:ascii="仿宋" w:hAnsi="仿宋" w:eastAsia="仿宋" w:cs="Arial"/>
          <w:b/>
          <w:color w:val="auto"/>
          <w:kern w:val="0"/>
          <w:sz w:val="24"/>
          <w:highlight w:val="none"/>
        </w:rPr>
        <w:t>评标标准：</w:t>
      </w:r>
    </w:p>
    <w:tbl>
      <w:tblPr>
        <w:tblStyle w:val="63"/>
        <w:tblW w:w="4891" w:type="pct"/>
        <w:tblInd w:w="3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42"/>
        <w:gridCol w:w="1914"/>
        <w:gridCol w:w="5679"/>
        <w:gridCol w:w="7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tcBorders>
              <w:top w:val="single" w:color="auto" w:sz="4" w:space="0"/>
              <w:left w:val="single" w:color="auto" w:sz="4" w:space="0"/>
              <w:bottom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1053" w:type="pct"/>
            <w:tcBorders>
              <w:top w:val="single" w:color="auto" w:sz="4" w:space="0"/>
              <w:left w:val="single" w:color="auto" w:sz="6" w:space="0"/>
              <w:bottom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评审因素</w:t>
            </w:r>
          </w:p>
        </w:tc>
        <w:tc>
          <w:tcPr>
            <w:tcW w:w="3125" w:type="pct"/>
            <w:tcBorders>
              <w:top w:val="single" w:color="auto" w:sz="4" w:space="0"/>
              <w:left w:val="single" w:color="auto" w:sz="6" w:space="0"/>
              <w:bottom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评分内容</w:t>
            </w:r>
          </w:p>
        </w:tc>
        <w:tc>
          <w:tcPr>
            <w:tcW w:w="412" w:type="pct"/>
            <w:tcBorders>
              <w:top w:val="single" w:color="auto" w:sz="4" w:space="0"/>
              <w:left w:val="single" w:color="auto" w:sz="6" w:space="0"/>
              <w:bottom w:val="single" w:color="auto" w:sz="4" w:space="0"/>
              <w:right w:val="single" w:color="auto" w:sz="4"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tabs>
                <w:tab w:val="left" w:pos="364"/>
              </w:tabs>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一、报价分（30分）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tcBorders>
              <w:top w:val="single" w:color="auto" w:sz="4" w:space="0"/>
              <w:left w:val="single" w:color="auto" w:sz="4" w:space="0"/>
              <w:bottom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053" w:type="pct"/>
            <w:tcBorders>
              <w:top w:val="single" w:color="auto" w:sz="4" w:space="0"/>
              <w:left w:val="single" w:color="auto" w:sz="6" w:space="0"/>
              <w:bottom w:val="single" w:color="auto" w:sz="4" w:space="0"/>
              <w:right w:val="single" w:color="auto" w:sz="6" w:space="0"/>
            </w:tcBorders>
            <w:vAlign w:val="center"/>
          </w:tcPr>
          <w:p>
            <w:pPr>
              <w:tabs>
                <w:tab w:val="left" w:pos="0"/>
              </w:tabs>
              <w:spacing w:line="320" w:lineRule="exact"/>
              <w:jc w:val="left"/>
              <w:rPr>
                <w:rFonts w:ascii="仿宋" w:hAnsi="仿宋" w:eastAsia="仿宋" w:cs="仿宋"/>
                <w:color w:val="auto"/>
                <w:kern w:val="0"/>
                <w:sz w:val="24"/>
                <w:highlight w:val="none"/>
              </w:rPr>
            </w:pPr>
            <w:r>
              <w:rPr>
                <w:rFonts w:hint="eastAsia" w:ascii="仿宋_GB2312" w:hAnsi="仿宋" w:eastAsia="仿宋_GB2312" w:cs="Arial"/>
                <w:color w:val="auto"/>
                <w:kern w:val="0"/>
                <w:sz w:val="24"/>
                <w:highlight w:val="none"/>
              </w:rPr>
              <w:t>报价评审</w:t>
            </w:r>
          </w:p>
        </w:tc>
        <w:tc>
          <w:tcPr>
            <w:tcW w:w="3125" w:type="pct"/>
            <w:tcBorders>
              <w:top w:val="single" w:color="auto" w:sz="4" w:space="0"/>
              <w:left w:val="single" w:color="auto" w:sz="6" w:space="0"/>
              <w:bottom w:val="single" w:color="auto" w:sz="4" w:space="0"/>
              <w:right w:val="single" w:color="auto" w:sz="6" w:space="0"/>
            </w:tcBorders>
          </w:tcPr>
          <w:p>
            <w:pPr>
              <w:adjustRightInd/>
              <w:spacing w:line="360" w:lineRule="exact"/>
              <w:jc w:val="left"/>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有效投标报价的最低价作为评标基准价，其最低报价为满分；按［投标报价得分=（评标基准价/投标报价）*30］的计算公式计算。</w:t>
            </w:r>
          </w:p>
          <w:p>
            <w:pPr>
              <w:adjustRightInd/>
              <w:spacing w:line="360" w:lineRule="exact"/>
              <w:jc w:val="left"/>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评标过程中，不得去掉报价中的最高报价和最低报价。</w:t>
            </w:r>
          </w:p>
          <w:p>
            <w:pPr>
              <w:tabs>
                <w:tab w:val="left" w:pos="0"/>
              </w:tabs>
              <w:spacing w:line="360" w:lineRule="exact"/>
              <w:rPr>
                <w:rFonts w:ascii="仿宋" w:hAnsi="仿宋" w:eastAsia="仿宋" w:cs="仿宋"/>
                <w:color w:val="auto"/>
                <w:kern w:val="0"/>
                <w:sz w:val="24"/>
                <w:highlight w:val="none"/>
              </w:rPr>
            </w:pPr>
            <w:r>
              <w:rPr>
                <w:rFonts w:hint="eastAsia" w:ascii="仿宋_GB2312" w:hAnsi="仿宋" w:eastAsia="仿宋_GB2312" w:cs="Arial"/>
                <w:color w:val="auto"/>
                <w:kern w:val="0"/>
                <w:sz w:val="24"/>
                <w:highlight w:val="none"/>
              </w:rPr>
              <w:t>因落实政府采购政策需要进行价格调整的，以调整后的价格计算评标基准价和投标报价。</w:t>
            </w:r>
          </w:p>
        </w:tc>
        <w:tc>
          <w:tcPr>
            <w:tcW w:w="412" w:type="pct"/>
            <w:tcBorders>
              <w:top w:val="single" w:color="auto" w:sz="4" w:space="0"/>
              <w:left w:val="single" w:color="auto" w:sz="6" w:space="0"/>
              <w:bottom w:val="single" w:color="auto" w:sz="4" w:space="0"/>
              <w:right w:val="single" w:color="auto" w:sz="4" w:space="0"/>
            </w:tcBorders>
            <w:vAlign w:val="center"/>
          </w:tcPr>
          <w:p>
            <w:pPr>
              <w:tabs>
                <w:tab w:val="left" w:pos="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tabs>
                <w:tab w:val="left" w:pos="0"/>
              </w:tabs>
              <w:spacing w:line="320" w:lineRule="exact"/>
              <w:rPr>
                <w:rFonts w:ascii="宋体" w:hAnsi="宋体" w:cs="宋体"/>
                <w:color w:val="auto"/>
                <w:szCs w:val="21"/>
                <w:highlight w:val="none"/>
              </w:rPr>
            </w:pPr>
            <w:r>
              <w:rPr>
                <w:rFonts w:hint="eastAsia" w:ascii="仿宋" w:hAnsi="仿宋" w:eastAsia="仿宋" w:cs="仿宋"/>
                <w:color w:val="auto"/>
                <w:kern w:val="0"/>
                <w:sz w:val="24"/>
                <w:highlight w:val="none"/>
              </w:rPr>
              <w:t>二、商务技术分（70分）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vMerge w:val="restart"/>
            <w:tcBorders>
              <w:top w:val="single" w:color="auto" w:sz="4" w:space="0"/>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053" w:type="pct"/>
            <w:vMerge w:val="restart"/>
            <w:tcBorders>
              <w:top w:val="single" w:color="auto" w:sz="4" w:space="0"/>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投标人体系认证情况</w:t>
            </w:r>
          </w:p>
        </w:tc>
        <w:tc>
          <w:tcPr>
            <w:tcW w:w="3125" w:type="pct"/>
            <w:tcBorders>
              <w:top w:val="single" w:color="auto" w:sz="4" w:space="0"/>
              <w:left w:val="single" w:color="auto" w:sz="6" w:space="0"/>
              <w:bottom w:val="single" w:color="auto" w:sz="4" w:space="0"/>
              <w:right w:val="single" w:color="auto" w:sz="6" w:space="0"/>
            </w:tcBorders>
            <w:vAlign w:val="center"/>
          </w:tcPr>
          <w:p>
            <w:pPr>
              <w:wordWrap w:val="0"/>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1.1投标人具有ISO质量管理体系认证的得1分,提供有效的证书复印件，未提供不得分。</w:t>
            </w:r>
          </w:p>
        </w:tc>
        <w:tc>
          <w:tcPr>
            <w:tcW w:w="412" w:type="pct"/>
            <w:tcBorders>
              <w:top w:val="single" w:color="auto" w:sz="4" w:space="0"/>
              <w:left w:val="single" w:color="auto" w:sz="6" w:space="0"/>
              <w:bottom w:val="single" w:color="auto" w:sz="4" w:space="0"/>
              <w:right w:val="single" w:color="auto" w:sz="4"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vMerge w:val="continue"/>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p>
        </w:tc>
        <w:tc>
          <w:tcPr>
            <w:tcW w:w="1053" w:type="pct"/>
            <w:vMerge w:val="continue"/>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p>
        </w:tc>
        <w:tc>
          <w:tcPr>
            <w:tcW w:w="3125" w:type="pct"/>
            <w:tcBorders>
              <w:top w:val="single" w:color="auto" w:sz="4" w:space="0"/>
              <w:left w:val="single" w:color="auto" w:sz="6" w:space="0"/>
              <w:bottom w:val="single" w:color="auto" w:sz="4" w:space="0"/>
              <w:right w:val="single" w:color="auto" w:sz="6" w:space="0"/>
            </w:tcBorders>
            <w:vAlign w:val="center"/>
          </w:tcPr>
          <w:p>
            <w:pPr>
              <w:wordWrap w:val="0"/>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1.2投标人具有ISO信息技术服务管理体系认证的得1分,提供有效的证书复印件，未提供不得分。</w:t>
            </w:r>
          </w:p>
        </w:tc>
        <w:tc>
          <w:tcPr>
            <w:tcW w:w="412" w:type="pct"/>
            <w:tcBorders>
              <w:top w:val="single" w:color="auto" w:sz="4" w:space="0"/>
              <w:left w:val="single" w:color="auto" w:sz="6" w:space="0"/>
              <w:bottom w:val="single" w:color="auto" w:sz="4" w:space="0"/>
              <w:right w:val="single" w:color="auto" w:sz="4"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vMerge w:val="continue"/>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p>
        </w:tc>
        <w:tc>
          <w:tcPr>
            <w:tcW w:w="1053" w:type="pct"/>
            <w:vMerge w:val="continue"/>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p>
        </w:tc>
        <w:tc>
          <w:tcPr>
            <w:tcW w:w="3125" w:type="pct"/>
            <w:tcBorders>
              <w:top w:val="single" w:color="auto" w:sz="4" w:space="0"/>
              <w:left w:val="single" w:color="auto" w:sz="6" w:space="0"/>
              <w:bottom w:val="single" w:color="auto" w:sz="4" w:space="0"/>
              <w:right w:val="single" w:color="auto" w:sz="6" w:space="0"/>
            </w:tcBorders>
            <w:vAlign w:val="center"/>
          </w:tcPr>
          <w:p>
            <w:pPr>
              <w:wordWrap w:val="0"/>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1.3投标人具有ISO信息安全管理体系认证的得1分,提供有效的证书复印件，未提供不得分。</w:t>
            </w:r>
          </w:p>
        </w:tc>
        <w:tc>
          <w:tcPr>
            <w:tcW w:w="412" w:type="pct"/>
            <w:tcBorders>
              <w:top w:val="single" w:color="auto" w:sz="4" w:space="0"/>
              <w:left w:val="single" w:color="auto" w:sz="6" w:space="0"/>
              <w:bottom w:val="single" w:color="auto" w:sz="4" w:space="0"/>
              <w:right w:val="single" w:color="auto" w:sz="4"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053" w:type="pc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投标人软件著作权证书情况</w:t>
            </w:r>
          </w:p>
        </w:tc>
        <w:tc>
          <w:tcPr>
            <w:tcW w:w="3125" w:type="pct"/>
            <w:tcBorders>
              <w:top w:val="single" w:color="auto" w:sz="4" w:space="0"/>
              <w:left w:val="single" w:color="auto" w:sz="6" w:space="0"/>
              <w:bottom w:val="single" w:color="auto" w:sz="4" w:space="0"/>
              <w:right w:val="single" w:color="auto" w:sz="6" w:space="0"/>
            </w:tcBorders>
            <w:vAlign w:val="center"/>
          </w:tcPr>
          <w:p>
            <w:pPr>
              <w:wordWrap w:val="0"/>
              <w:adjustRightInd/>
              <w:spacing w:line="36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lang w:eastAsia="zh-Hans"/>
              </w:rPr>
              <w:t>软件定制开发</w:t>
            </w:r>
            <w:r>
              <w:rPr>
                <w:rFonts w:hint="eastAsia" w:ascii="仿宋" w:hAnsi="仿宋" w:eastAsia="仿宋" w:cs="仿宋"/>
                <w:color w:val="auto"/>
                <w:sz w:val="24"/>
                <w:highlight w:val="none"/>
              </w:rPr>
              <w:t>中加“☆”号</w:t>
            </w:r>
            <w:r>
              <w:rPr>
                <w:rFonts w:hint="eastAsia" w:ascii="仿宋" w:hAnsi="仿宋" w:eastAsia="仿宋" w:cs="仿宋"/>
                <w:color w:val="auto"/>
                <w:sz w:val="24"/>
                <w:highlight w:val="none"/>
                <w:lang w:eastAsia="zh-Hans"/>
              </w:rPr>
              <w:t>的模</w:t>
            </w:r>
            <w:r>
              <w:rPr>
                <w:rFonts w:hint="eastAsia" w:ascii="仿宋" w:hAnsi="仿宋" w:eastAsia="仿宋" w:cs="仿宋"/>
                <w:color w:val="auto"/>
                <w:sz w:val="24"/>
                <w:highlight w:val="none"/>
              </w:rPr>
              <w:t>块，具有与</w:t>
            </w:r>
            <w:r>
              <w:rPr>
                <w:rFonts w:hint="eastAsia" w:ascii="仿宋" w:hAnsi="仿宋" w:eastAsia="仿宋" w:cs="仿宋"/>
                <w:color w:val="auto"/>
                <w:sz w:val="24"/>
                <w:highlight w:val="none"/>
                <w:lang w:eastAsia="zh-Hans"/>
              </w:rPr>
              <w:t>各项功能模块</w:t>
            </w:r>
            <w:r>
              <w:rPr>
                <w:rFonts w:hint="eastAsia" w:ascii="仿宋" w:hAnsi="仿宋" w:eastAsia="仿宋" w:cs="仿宋"/>
                <w:color w:val="auto"/>
                <w:sz w:val="24"/>
                <w:highlight w:val="none"/>
              </w:rPr>
              <w:t>建设相关的软件著作权证书的，每提供1个得0.5分，最多得5分。（提供有效的证书复印件，证书日期需是本项目招标发布之前取得的，未提供不得分。原件备查）</w:t>
            </w:r>
          </w:p>
        </w:tc>
        <w:tc>
          <w:tcPr>
            <w:tcW w:w="412" w:type="pct"/>
            <w:tcBorders>
              <w:top w:val="single" w:color="auto" w:sz="4" w:space="0"/>
              <w:left w:val="single" w:color="auto" w:sz="6" w:space="0"/>
              <w:bottom w:val="single" w:color="auto" w:sz="4" w:space="0"/>
              <w:right w:val="single" w:color="auto" w:sz="4"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053" w:type="pc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投标人业绩情况</w:t>
            </w:r>
          </w:p>
        </w:tc>
        <w:tc>
          <w:tcPr>
            <w:tcW w:w="3125" w:type="pct"/>
            <w:tcBorders>
              <w:top w:val="single" w:color="auto" w:sz="4" w:space="0"/>
              <w:left w:val="single" w:color="auto" w:sz="6" w:space="0"/>
              <w:bottom w:val="single" w:color="auto" w:sz="4" w:space="0"/>
              <w:right w:val="single" w:color="auto" w:sz="6" w:space="0"/>
            </w:tcBorders>
            <w:vAlign w:val="center"/>
          </w:tcPr>
          <w:p>
            <w:pPr>
              <w:wordWrap w:val="0"/>
              <w:adjustRightInd/>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投标人2018年1月1日至今（以合同签订时间为准）具有</w:t>
            </w:r>
            <w:r>
              <w:rPr>
                <w:rFonts w:hint="eastAsia" w:ascii="仿宋" w:hAnsi="仿宋" w:eastAsia="仿宋" w:cs="仿宋"/>
                <w:color w:val="auto"/>
                <w:sz w:val="24"/>
                <w:highlight w:val="none"/>
                <w:lang w:eastAsia="zh-Hans"/>
              </w:rPr>
              <w:t>同类</w:t>
            </w:r>
            <w:r>
              <w:rPr>
                <w:rFonts w:hint="eastAsia" w:ascii="仿宋" w:hAnsi="仿宋" w:eastAsia="仿宋" w:cs="仿宋"/>
                <w:color w:val="auto"/>
                <w:sz w:val="24"/>
                <w:highlight w:val="none"/>
              </w:rPr>
              <w:t>项目实施案例（合同内容需包含：同类硬件产品或与本次采购相类似的</w:t>
            </w:r>
            <w:r>
              <w:rPr>
                <w:rFonts w:hint="eastAsia" w:ascii="仿宋" w:hAnsi="仿宋" w:eastAsia="仿宋" w:cs="仿宋"/>
                <w:color w:val="auto"/>
                <w:sz w:val="24"/>
                <w:highlight w:val="none"/>
                <w:lang w:eastAsia="zh-Hans"/>
              </w:rPr>
              <w:t>软件</w:t>
            </w:r>
            <w:r>
              <w:rPr>
                <w:rFonts w:hint="eastAsia" w:ascii="仿宋" w:hAnsi="仿宋" w:eastAsia="仿宋" w:cs="仿宋"/>
                <w:color w:val="auto"/>
                <w:sz w:val="24"/>
                <w:highlight w:val="none"/>
              </w:rPr>
              <w:t>功能开发的），每提供1个案例得1分，最高得3分（证明材料：提供合同复印件及中标通知书，两者缺一不可。如合同不能反映相关内容的，由采购人出具证明材料并加盖公章）。</w:t>
            </w:r>
          </w:p>
        </w:tc>
        <w:tc>
          <w:tcPr>
            <w:tcW w:w="412" w:type="pct"/>
            <w:tcBorders>
              <w:top w:val="single" w:color="auto" w:sz="4" w:space="0"/>
              <w:left w:val="single" w:color="auto" w:sz="6" w:space="0"/>
              <w:bottom w:val="single" w:color="auto" w:sz="4" w:space="0"/>
              <w:right w:val="single" w:color="auto" w:sz="4"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053" w:type="pc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政策分</w:t>
            </w:r>
          </w:p>
        </w:tc>
        <w:tc>
          <w:tcPr>
            <w:tcW w:w="3125" w:type="pct"/>
            <w:tcBorders>
              <w:top w:val="single" w:color="auto" w:sz="4" w:space="0"/>
              <w:left w:val="single" w:color="auto" w:sz="6" w:space="0"/>
              <w:bottom w:val="single" w:color="auto" w:sz="4" w:space="0"/>
              <w:right w:val="single" w:color="auto" w:sz="6" w:space="0"/>
            </w:tcBorders>
            <w:vAlign w:val="center"/>
          </w:tcPr>
          <w:p>
            <w:pPr>
              <w:widowControl/>
              <w:spacing w:line="36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产品提供市场监管总局关于发布参与实施政府采购节能产品、环境标志产品认证机构名录的公告（2019年第16号）通过《参与实施政府采购节能产品认证机构名录》认证机构认证的环境标志产品认证证书或者证书的查询网址及截图的每提供1个得0.5分，最多得1分；节能产品认证证书或者证书查询网址及截图的每提供1个得0.5分，最多得1分。</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1053" w:type="pc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技术指标响应程度</w:t>
            </w:r>
          </w:p>
        </w:tc>
        <w:tc>
          <w:tcPr>
            <w:tcW w:w="3125" w:type="pct"/>
            <w:tcBorders>
              <w:top w:val="single" w:color="auto" w:sz="4" w:space="0"/>
              <w:left w:val="single" w:color="auto" w:sz="6" w:space="0"/>
              <w:bottom w:val="single" w:color="auto" w:sz="4" w:space="0"/>
              <w:right w:val="single" w:color="auto" w:sz="6" w:space="0"/>
            </w:tcBorders>
            <w:vAlign w:val="center"/>
          </w:tcPr>
          <w:p>
            <w:pPr>
              <w:pStyle w:val="2"/>
              <w:spacing w:line="360" w:lineRule="exact"/>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 xml:space="preserve">招标文件第三部分技术指标中，标“▲”须实质性响应，如有偏离，作废标处理；标“ </w:t>
            </w:r>
            <w:r>
              <w:rPr>
                <w:rFonts w:hint="eastAsia" w:ascii="仿宋" w:hAnsi="仿宋" w:eastAsia="仿宋" w:cs="宋体"/>
                <w:color w:val="auto"/>
                <w:kern w:val="0"/>
                <w:sz w:val="24"/>
                <w:highlight w:val="none"/>
              </w:rPr>
              <w:t>★</w:t>
            </w:r>
            <w:r>
              <w:rPr>
                <w:rFonts w:hint="eastAsia" w:ascii="仿宋" w:hAnsi="仿宋" w:eastAsia="仿宋" w:cs="仿宋"/>
                <w:color w:val="auto"/>
                <w:sz w:val="24"/>
                <w:highlight w:val="none"/>
              </w:rPr>
              <w:t xml:space="preserve"> ”为重要指标项，偏离一项扣1分，偏离超过</w:t>
            </w:r>
            <w:r>
              <w:rPr>
                <w:rFonts w:ascii="仿宋" w:hAnsi="仿宋" w:eastAsia="仿宋" w:cs="仿宋"/>
                <w:color w:val="auto"/>
                <w:sz w:val="24"/>
                <w:highlight w:val="none"/>
              </w:rPr>
              <w:t>10</w:t>
            </w:r>
            <w:r>
              <w:rPr>
                <w:rFonts w:hint="eastAsia" w:ascii="仿宋" w:hAnsi="仿宋" w:eastAsia="仿宋" w:cs="仿宋"/>
                <w:color w:val="auto"/>
                <w:sz w:val="24"/>
                <w:highlight w:val="none"/>
              </w:rPr>
              <w:t xml:space="preserve"> 项，视为无实质性响应，作废标处理；其他一般性指标，每偏离一项扣0.5分，扣完为止。</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409" w:type="pct"/>
            <w:vMerge w:val="restar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1053" w:type="pct"/>
            <w:vMerge w:val="restar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项目整体建设方案</w:t>
            </w:r>
          </w:p>
        </w:tc>
        <w:tc>
          <w:tcPr>
            <w:tcW w:w="3125" w:type="pct"/>
            <w:tcBorders>
              <w:top w:val="single" w:color="auto" w:sz="4" w:space="0"/>
              <w:left w:val="single" w:color="auto" w:sz="6" w:space="0"/>
              <w:bottom w:val="single" w:color="auto" w:sz="4" w:space="0"/>
              <w:right w:val="single" w:color="auto" w:sz="6" w:space="0"/>
            </w:tcBorders>
            <w:vAlign w:val="center"/>
          </w:tcPr>
          <w:p>
            <w:pPr>
              <w:pStyle w:val="2"/>
              <w:spacing w:line="360" w:lineRule="exact"/>
              <w:ind w:firstLine="0" w:firstLineChars="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6.1</w:t>
            </w:r>
            <w:r>
              <w:rPr>
                <w:rFonts w:hint="eastAsia" w:ascii="仿宋" w:hAnsi="仿宋" w:eastAsia="仿宋" w:cs="仿宋"/>
                <w:color w:val="auto"/>
                <w:sz w:val="24"/>
                <w:highlight w:val="none"/>
              </w:rPr>
              <w:t>阐述对项目总体建设目标的理解</w:t>
            </w:r>
            <w:r>
              <w:rPr>
                <w:rFonts w:hint="eastAsia" w:ascii="仿宋" w:hAnsi="仿宋" w:eastAsia="仿宋" w:cs="仿宋"/>
                <w:color w:val="auto"/>
                <w:sz w:val="24"/>
                <w:highlight w:val="none"/>
                <w:lang w:eastAsia="zh-CN"/>
              </w:rPr>
              <w:t>。</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409" w:type="pct"/>
            <w:vMerge w:val="continue"/>
            <w:tcBorders>
              <w:left w:val="single" w:color="auto" w:sz="4" w:space="0"/>
              <w:right w:val="single" w:color="auto" w:sz="6" w:space="0"/>
            </w:tcBorders>
            <w:vAlign w:val="center"/>
          </w:tcPr>
          <w:p>
            <w:pPr>
              <w:adjustRightInd/>
              <w:spacing w:line="360" w:lineRule="exact"/>
              <w:jc w:val="center"/>
              <w:rPr>
                <w:rFonts w:hint="eastAsia" w:ascii="仿宋" w:hAnsi="仿宋" w:eastAsia="仿宋" w:cs="仿宋"/>
                <w:color w:val="auto"/>
                <w:kern w:val="0"/>
                <w:sz w:val="24"/>
                <w:highlight w:val="none"/>
              </w:rPr>
            </w:pPr>
          </w:p>
        </w:tc>
        <w:tc>
          <w:tcPr>
            <w:tcW w:w="1053" w:type="pct"/>
            <w:vMerge w:val="continue"/>
            <w:tcBorders>
              <w:left w:val="single" w:color="auto" w:sz="6" w:space="0"/>
              <w:right w:val="single" w:color="auto" w:sz="6" w:space="0"/>
            </w:tcBorders>
            <w:vAlign w:val="center"/>
          </w:tcPr>
          <w:p>
            <w:pPr>
              <w:adjustRightInd/>
              <w:spacing w:line="360" w:lineRule="exact"/>
              <w:jc w:val="left"/>
              <w:rPr>
                <w:rFonts w:hint="eastAsia" w:ascii="仿宋" w:hAnsi="仿宋" w:eastAsia="仿宋" w:cs="仿宋"/>
                <w:color w:val="auto"/>
                <w:kern w:val="0"/>
                <w:sz w:val="24"/>
                <w:highlight w:val="none"/>
              </w:rPr>
            </w:pPr>
          </w:p>
        </w:tc>
        <w:tc>
          <w:tcPr>
            <w:tcW w:w="3125" w:type="pct"/>
            <w:tcBorders>
              <w:top w:val="single" w:color="auto" w:sz="4" w:space="0"/>
              <w:left w:val="single" w:color="auto" w:sz="6" w:space="0"/>
              <w:bottom w:val="single" w:color="auto" w:sz="4" w:space="0"/>
              <w:right w:val="single" w:color="auto" w:sz="6" w:space="0"/>
            </w:tcBorders>
            <w:vAlign w:val="center"/>
          </w:tcPr>
          <w:p>
            <w:pPr>
              <w:pStyle w:val="2"/>
              <w:spacing w:line="360" w:lineRule="exact"/>
              <w:ind w:firstLine="0" w:firstLineChars="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6.2项目实施</w:t>
            </w:r>
            <w:r>
              <w:rPr>
                <w:rFonts w:hint="eastAsia" w:ascii="仿宋" w:hAnsi="仿宋" w:eastAsia="仿宋" w:cs="仿宋"/>
                <w:color w:val="auto"/>
                <w:sz w:val="24"/>
                <w:highlight w:val="none"/>
              </w:rPr>
              <w:t>技术思路、软件平台架构、软件各个功能模块详细说明、硬件设备的详细设计等描述</w:t>
            </w:r>
            <w:r>
              <w:rPr>
                <w:rFonts w:hint="eastAsia" w:ascii="仿宋" w:hAnsi="仿宋" w:eastAsia="仿宋" w:cs="仿宋"/>
                <w:color w:val="auto"/>
                <w:sz w:val="24"/>
                <w:highlight w:val="none"/>
                <w:lang w:eastAsia="zh-CN"/>
              </w:rPr>
              <w:t>。</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trPr>
        <w:tc>
          <w:tcPr>
            <w:tcW w:w="409" w:type="pct"/>
            <w:vMerge w:val="continue"/>
            <w:tcBorders>
              <w:left w:val="single" w:color="auto" w:sz="4" w:space="0"/>
              <w:right w:val="single" w:color="auto" w:sz="6" w:space="0"/>
            </w:tcBorders>
            <w:vAlign w:val="center"/>
          </w:tcPr>
          <w:p>
            <w:pPr>
              <w:adjustRightInd/>
              <w:spacing w:line="360" w:lineRule="exact"/>
              <w:jc w:val="center"/>
              <w:rPr>
                <w:rFonts w:hint="eastAsia" w:ascii="仿宋" w:hAnsi="仿宋" w:eastAsia="仿宋" w:cs="仿宋"/>
                <w:color w:val="auto"/>
                <w:kern w:val="0"/>
                <w:sz w:val="24"/>
                <w:highlight w:val="none"/>
              </w:rPr>
            </w:pPr>
          </w:p>
        </w:tc>
        <w:tc>
          <w:tcPr>
            <w:tcW w:w="1053" w:type="pct"/>
            <w:vMerge w:val="continue"/>
            <w:tcBorders>
              <w:left w:val="single" w:color="auto" w:sz="6" w:space="0"/>
              <w:right w:val="single" w:color="auto" w:sz="6" w:space="0"/>
            </w:tcBorders>
            <w:vAlign w:val="center"/>
          </w:tcPr>
          <w:p>
            <w:pPr>
              <w:adjustRightInd/>
              <w:spacing w:line="360" w:lineRule="exact"/>
              <w:jc w:val="left"/>
              <w:rPr>
                <w:rFonts w:hint="eastAsia" w:ascii="仿宋" w:hAnsi="仿宋" w:eastAsia="仿宋" w:cs="仿宋"/>
                <w:color w:val="auto"/>
                <w:kern w:val="0"/>
                <w:sz w:val="24"/>
                <w:highlight w:val="none"/>
              </w:rPr>
            </w:pPr>
          </w:p>
        </w:tc>
        <w:tc>
          <w:tcPr>
            <w:tcW w:w="3125" w:type="pct"/>
            <w:tcBorders>
              <w:top w:val="single" w:color="auto" w:sz="4" w:space="0"/>
              <w:left w:val="single" w:color="auto" w:sz="6" w:space="0"/>
              <w:bottom w:val="single" w:color="auto" w:sz="4" w:space="0"/>
              <w:right w:val="single" w:color="auto" w:sz="6" w:space="0"/>
            </w:tcBorders>
            <w:vAlign w:val="center"/>
          </w:tcPr>
          <w:p>
            <w:pPr>
              <w:pStyle w:val="2"/>
              <w:spacing w:line="360" w:lineRule="exact"/>
              <w:ind w:firstLine="0"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6.3项目建设远瞻性，</w:t>
            </w:r>
            <w:r>
              <w:rPr>
                <w:rFonts w:hint="eastAsia" w:ascii="仿宋" w:hAnsi="仿宋" w:eastAsia="仿宋" w:cs="仿宋"/>
                <w:color w:val="auto"/>
                <w:sz w:val="24"/>
                <w:highlight w:val="none"/>
              </w:rPr>
              <w:t>当前和未来发展的吻合程度。</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15" w:hRule="atLeast"/>
        </w:trPr>
        <w:tc>
          <w:tcPr>
            <w:tcW w:w="409" w:type="pc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1053" w:type="pc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p>
            <w:pPr>
              <w:wordWrap w:val="0"/>
              <w:adjustRightInd/>
              <w:spacing w:line="360" w:lineRule="exact"/>
              <w:rPr>
                <w:rFonts w:ascii="仿宋" w:hAnsi="仿宋" w:eastAsia="仿宋" w:cs="仿宋"/>
                <w:color w:val="auto"/>
                <w:kern w:val="0"/>
                <w:sz w:val="24"/>
                <w:highlight w:val="none"/>
              </w:rPr>
            </w:pPr>
            <w:r>
              <w:rPr>
                <w:rFonts w:hint="eastAsia" w:ascii="仿宋" w:hAnsi="仿宋" w:eastAsia="仿宋" w:cs="仿宋"/>
                <w:color w:val="auto"/>
                <w:sz w:val="24"/>
                <w:highlight w:val="none"/>
              </w:rPr>
              <w:t>产品设备选型及原有系统融合对接</w:t>
            </w:r>
          </w:p>
        </w:tc>
        <w:tc>
          <w:tcPr>
            <w:tcW w:w="3125" w:type="pct"/>
            <w:tcBorders>
              <w:top w:val="single" w:color="auto" w:sz="4" w:space="0"/>
              <w:left w:val="single" w:color="auto" w:sz="6" w:space="0"/>
              <w:right w:val="single" w:color="auto" w:sz="6" w:space="0"/>
            </w:tcBorders>
            <w:vAlign w:val="center"/>
          </w:tcPr>
          <w:p>
            <w:pPr>
              <w:pStyle w:val="2"/>
              <w:spacing w:line="360" w:lineRule="exact"/>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投标人主要产品的选型充分考虑与原有系统的非常融合，对新老系统及设备的资源整合合理，能做到无缝融合和对接，充分考虑现有实际情况、安全性、利于项目建设施工的便利性</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4"/>
                <w:highlight w:val="none"/>
              </w:rPr>
            </w:pPr>
            <w:r>
              <w:rPr>
                <w:rFonts w:ascii="仿宋" w:hAnsi="仿宋" w:eastAsia="仿宋" w:cs="仿宋"/>
                <w:color w:val="auto"/>
                <w:kern w:val="0"/>
                <w:sz w:val="24"/>
                <w:highlight w:val="none"/>
              </w:rPr>
              <w:t>2</w:t>
            </w:r>
            <w:r>
              <w:rPr>
                <w:rFonts w:hint="eastAsia" w:ascii="仿宋" w:hAnsi="仿宋" w:eastAsia="仿宋" w:cs="仿宋"/>
                <w:color w:val="auto"/>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1053" w:type="pc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p>
            <w:pPr>
              <w:wordWrap w:val="0"/>
              <w:adjustRightInd/>
              <w:spacing w:line="360" w:lineRule="exact"/>
              <w:rPr>
                <w:rFonts w:ascii="仿宋" w:hAnsi="仿宋" w:eastAsia="仿宋" w:cs="仿宋"/>
                <w:color w:val="auto"/>
                <w:kern w:val="0"/>
                <w:sz w:val="24"/>
                <w:highlight w:val="none"/>
              </w:rPr>
            </w:pPr>
            <w:r>
              <w:rPr>
                <w:rFonts w:hint="eastAsia" w:ascii="仿宋" w:hAnsi="仿宋" w:eastAsia="仿宋" w:cs="仿宋"/>
                <w:color w:val="auto"/>
                <w:sz w:val="24"/>
                <w:highlight w:val="none"/>
              </w:rPr>
              <w:t>质保期</w:t>
            </w:r>
          </w:p>
        </w:tc>
        <w:tc>
          <w:tcPr>
            <w:tcW w:w="3125" w:type="pct"/>
            <w:tcBorders>
              <w:top w:val="single" w:color="auto" w:sz="4" w:space="0"/>
              <w:left w:val="single" w:color="auto" w:sz="6" w:space="0"/>
              <w:bottom w:val="single" w:color="auto" w:sz="4" w:space="0"/>
              <w:right w:val="single" w:color="auto" w:sz="6" w:space="0"/>
            </w:tcBorders>
            <w:vAlign w:val="center"/>
          </w:tcPr>
          <w:p>
            <w:pPr>
              <w:wordWrap w:val="0"/>
              <w:adjustRightInd/>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质保期（本项目质保期3年）满足招标文件要求的，每增加1年得0.5分，最高得2分。</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1053" w:type="pc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p>
            <w:pPr>
              <w:wordWrap w:val="0"/>
              <w:adjustRightInd/>
              <w:spacing w:line="360" w:lineRule="exact"/>
              <w:rPr>
                <w:rFonts w:ascii="仿宋" w:hAnsi="仿宋" w:eastAsia="仿宋" w:cs="仿宋"/>
                <w:color w:val="auto"/>
                <w:kern w:val="0"/>
                <w:sz w:val="24"/>
                <w:highlight w:val="none"/>
              </w:rPr>
            </w:pPr>
            <w:r>
              <w:rPr>
                <w:rFonts w:hint="eastAsia" w:ascii="仿宋" w:hAnsi="仿宋" w:eastAsia="仿宋" w:cs="仿宋"/>
                <w:color w:val="auto"/>
                <w:sz w:val="24"/>
                <w:highlight w:val="none"/>
              </w:rPr>
              <w:t>项目实施情况</w:t>
            </w:r>
          </w:p>
        </w:tc>
        <w:tc>
          <w:tcPr>
            <w:tcW w:w="3125" w:type="pct"/>
            <w:tcBorders>
              <w:top w:val="single" w:color="auto" w:sz="4" w:space="0"/>
              <w:left w:val="single" w:color="auto" w:sz="6" w:space="0"/>
              <w:bottom w:val="single" w:color="auto" w:sz="4" w:space="0"/>
              <w:right w:val="single" w:color="auto" w:sz="6" w:space="0"/>
            </w:tcBorders>
            <w:vAlign w:val="center"/>
          </w:tcPr>
          <w:p>
            <w:pPr>
              <w:pStyle w:val="2"/>
              <w:spacing w:line="360" w:lineRule="exact"/>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项目实施情况，包括进度控制、质量控制、安全管理、工期完工承诺等内容。</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4"/>
                <w:highlight w:val="none"/>
              </w:rPr>
            </w:pPr>
            <w:r>
              <w:rPr>
                <w:rFonts w:ascii="仿宋" w:hAnsi="仿宋" w:eastAsia="仿宋" w:cs="仿宋"/>
                <w:color w:val="auto"/>
                <w:kern w:val="0"/>
                <w:sz w:val="24"/>
                <w:highlight w:val="none"/>
              </w:rPr>
              <w:t>2</w:t>
            </w:r>
            <w:r>
              <w:rPr>
                <w:rFonts w:hint="eastAsia" w:ascii="仿宋" w:hAnsi="仿宋" w:eastAsia="仿宋" w:cs="仿宋"/>
                <w:color w:val="auto"/>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vMerge w:val="restar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1053" w:type="pct"/>
            <w:vMerge w:val="restar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p>
            <w:pPr>
              <w:wordWrap w:val="0"/>
              <w:adjustRightInd/>
              <w:spacing w:line="36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项目组人员安排</w:t>
            </w:r>
          </w:p>
        </w:tc>
        <w:tc>
          <w:tcPr>
            <w:tcW w:w="3125" w:type="pct"/>
            <w:tcBorders>
              <w:top w:val="single" w:color="auto" w:sz="4" w:space="0"/>
              <w:left w:val="single" w:color="auto" w:sz="6" w:space="0"/>
              <w:bottom w:val="single" w:color="auto" w:sz="4" w:space="0"/>
              <w:right w:val="single" w:color="auto" w:sz="6" w:space="0"/>
            </w:tcBorders>
            <w:vAlign w:val="center"/>
          </w:tcPr>
          <w:p>
            <w:pPr>
              <w:wordWrap w:val="0"/>
              <w:adjustRightInd/>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10.1软件开发人员配备情况，学历、以往开发的项目管理经验（提供证明材料）。</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vMerge w:val="continue"/>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p>
        </w:tc>
        <w:tc>
          <w:tcPr>
            <w:tcW w:w="1053" w:type="pct"/>
            <w:vMerge w:val="continue"/>
            <w:tcBorders>
              <w:left w:val="single" w:color="auto" w:sz="6" w:space="0"/>
              <w:right w:val="single" w:color="auto" w:sz="6" w:space="0"/>
            </w:tcBorders>
            <w:vAlign w:val="center"/>
          </w:tcPr>
          <w:p>
            <w:pPr>
              <w:wordWrap w:val="0"/>
              <w:adjustRightInd/>
              <w:spacing w:line="360" w:lineRule="exact"/>
              <w:rPr>
                <w:rFonts w:ascii="仿宋" w:hAnsi="仿宋" w:eastAsia="仿宋" w:cs="仿宋"/>
                <w:color w:val="auto"/>
                <w:kern w:val="0"/>
                <w:sz w:val="24"/>
                <w:highlight w:val="none"/>
              </w:rPr>
            </w:pPr>
          </w:p>
        </w:tc>
        <w:tc>
          <w:tcPr>
            <w:tcW w:w="3125" w:type="pct"/>
            <w:tcBorders>
              <w:top w:val="single" w:color="auto" w:sz="4" w:space="0"/>
              <w:left w:val="single" w:color="auto" w:sz="6" w:space="0"/>
              <w:bottom w:val="single" w:color="auto" w:sz="4" w:space="0"/>
              <w:right w:val="single" w:color="auto" w:sz="6" w:space="0"/>
            </w:tcBorders>
            <w:vAlign w:val="center"/>
          </w:tcPr>
          <w:p>
            <w:pPr>
              <w:pStyle w:val="2"/>
              <w:spacing w:line="360" w:lineRule="exact"/>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10.2硬件实施项目人员情况，学历、以往管理的项目管理经验（提供证明材料）。</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1053" w:type="pc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【主观分】</w:t>
            </w:r>
          </w:p>
          <w:p>
            <w:pPr>
              <w:wordWrap w:val="0"/>
              <w:adjustRightInd/>
              <w:spacing w:line="360" w:lineRule="exact"/>
              <w:rPr>
                <w:rFonts w:ascii="仿宋" w:hAnsi="仿宋" w:eastAsia="仿宋" w:cs="仿宋"/>
                <w:color w:val="auto"/>
                <w:kern w:val="0"/>
                <w:sz w:val="24"/>
                <w:highlight w:val="none"/>
              </w:rPr>
            </w:pPr>
            <w:r>
              <w:rPr>
                <w:rFonts w:hint="eastAsia" w:ascii="仿宋" w:hAnsi="仿宋" w:eastAsia="仿宋" w:cs="仿宋"/>
                <w:color w:val="auto"/>
                <w:sz w:val="24"/>
                <w:highlight w:val="none"/>
              </w:rPr>
              <w:t>售后运维服务</w:t>
            </w:r>
          </w:p>
        </w:tc>
        <w:tc>
          <w:tcPr>
            <w:tcW w:w="3125" w:type="pct"/>
            <w:tcBorders>
              <w:top w:val="single" w:color="auto" w:sz="4" w:space="0"/>
              <w:left w:val="single" w:color="auto" w:sz="6" w:space="0"/>
              <w:bottom w:val="single" w:color="auto" w:sz="4" w:space="0"/>
              <w:right w:val="single" w:color="auto" w:sz="6" w:space="0"/>
            </w:tcBorders>
            <w:vAlign w:val="center"/>
          </w:tcPr>
          <w:p>
            <w:pPr>
              <w:wordWrap w:val="0"/>
              <w:adjustRightInd/>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售后运维服务方案（包含但不限于服务标准、服务响应时间、维护人员实力、培训服务、设备运行维护、应急处置等）。</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9" w:type="pct"/>
            <w:tcBorders>
              <w:left w:val="single" w:color="auto" w:sz="4" w:space="0"/>
              <w:right w:val="single" w:color="auto" w:sz="6" w:space="0"/>
            </w:tcBorders>
            <w:vAlign w:val="center"/>
          </w:tcPr>
          <w:p>
            <w:pPr>
              <w:adjustRightInd/>
              <w:spacing w:line="36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1053" w:type="pct"/>
            <w:tcBorders>
              <w:left w:val="single" w:color="auto" w:sz="6" w:space="0"/>
              <w:right w:val="single" w:color="auto" w:sz="6" w:space="0"/>
            </w:tcBorders>
            <w:vAlign w:val="center"/>
          </w:tcPr>
          <w:p>
            <w:pPr>
              <w:adjustRightInd/>
              <w:spacing w:line="36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【客观分】</w:t>
            </w:r>
          </w:p>
          <w:p>
            <w:pPr>
              <w:wordWrap w:val="0"/>
              <w:adjustRightInd/>
              <w:spacing w:line="360" w:lineRule="exact"/>
              <w:rPr>
                <w:rFonts w:ascii="仿宋" w:hAnsi="仿宋" w:eastAsia="仿宋" w:cs="仿宋"/>
                <w:color w:val="auto"/>
                <w:sz w:val="24"/>
                <w:highlight w:val="none"/>
              </w:rPr>
            </w:pPr>
            <w:r>
              <w:rPr>
                <w:rFonts w:hint="eastAsia" w:ascii="仿宋" w:hAnsi="仿宋" w:eastAsia="仿宋" w:cs="仿宋"/>
                <w:color w:val="auto"/>
                <w:kern w:val="0"/>
                <w:sz w:val="24"/>
                <w:highlight w:val="none"/>
              </w:rPr>
              <w:t>应用功能演示</w:t>
            </w:r>
          </w:p>
        </w:tc>
        <w:tc>
          <w:tcPr>
            <w:tcW w:w="3125" w:type="pct"/>
            <w:tcBorders>
              <w:top w:val="single" w:color="auto" w:sz="4" w:space="0"/>
              <w:left w:val="single" w:color="auto" w:sz="6" w:space="0"/>
              <w:bottom w:val="single" w:color="auto" w:sz="4" w:space="0"/>
              <w:right w:val="single" w:color="auto" w:sz="6" w:space="0"/>
            </w:tcBorders>
            <w:vAlign w:val="center"/>
          </w:tcPr>
          <w:p>
            <w:pPr>
              <w:snapToGrid w:val="0"/>
              <w:spacing w:line="360" w:lineRule="exact"/>
              <w:rPr>
                <w:rFonts w:ascii="仿宋" w:hAnsi="仿宋" w:eastAsia="仿宋" w:cs="仿宋"/>
                <w:b/>
                <w:bCs/>
                <w:color w:val="auto"/>
                <w:sz w:val="24"/>
                <w:highlight w:val="none"/>
              </w:rPr>
            </w:pPr>
            <w:r>
              <w:rPr>
                <w:rFonts w:hint="eastAsia" w:ascii="仿宋" w:hAnsi="仿宋" w:eastAsia="仿宋" w:cs="仿宋"/>
                <w:color w:val="auto"/>
                <w:kern w:val="0"/>
                <w:sz w:val="24"/>
                <w:highlight w:val="none"/>
              </w:rPr>
              <w:t>投标人将以下演示内容</w:t>
            </w:r>
            <w:r>
              <w:rPr>
                <w:rFonts w:hint="eastAsia" w:ascii="仿宋" w:hAnsi="仿宋" w:eastAsia="仿宋" w:cs="仿宋"/>
                <w:b/>
                <w:bCs/>
                <w:color w:val="auto"/>
                <w:kern w:val="0"/>
                <w:sz w:val="24"/>
                <w:highlight w:val="none"/>
              </w:rPr>
              <w:t>按顺序</w:t>
            </w:r>
            <w:r>
              <w:rPr>
                <w:rFonts w:hint="eastAsia" w:ascii="仿宋" w:hAnsi="仿宋" w:eastAsia="仿宋" w:cs="仿宋"/>
                <w:color w:val="auto"/>
                <w:kern w:val="0"/>
                <w:sz w:val="24"/>
                <w:highlight w:val="none"/>
              </w:rPr>
              <w:t>录制成视频，以介质（U盘）存储的数据电文形式提供给评标专家进行评审打分（</w:t>
            </w:r>
            <w:r>
              <w:rPr>
                <w:rFonts w:hint="eastAsia" w:ascii="仿宋" w:hAnsi="仿宋" w:eastAsia="仿宋" w:cs="仿宋"/>
                <w:b/>
                <w:color w:val="auto"/>
                <w:kern w:val="0"/>
                <w:sz w:val="24"/>
                <w:highlight w:val="none"/>
              </w:rPr>
              <w:t>注：必须以真实系统演示，以</w:t>
            </w:r>
            <w:r>
              <w:rPr>
                <w:rFonts w:hint="eastAsia" w:ascii="仿宋" w:hAnsi="仿宋" w:eastAsia="仿宋" w:cs="仿宋"/>
                <w:b/>
                <w:bCs/>
                <w:color w:val="auto"/>
                <w:sz w:val="24"/>
                <w:highlight w:val="none"/>
              </w:rPr>
              <w:t>图片、PPT、Axu</w:t>
            </w:r>
            <w:r>
              <w:rPr>
                <w:rFonts w:hint="eastAsia" w:ascii="仿宋" w:hAnsi="仿宋" w:eastAsia="仿宋" w:cs="仿宋"/>
                <w:b/>
                <w:bCs/>
                <w:color w:val="auto"/>
                <w:sz w:val="24"/>
                <w:highlight w:val="none"/>
                <w:lang w:eastAsia="zh-Hans"/>
              </w:rPr>
              <w:t>r</w:t>
            </w:r>
            <w:r>
              <w:rPr>
                <w:rFonts w:hint="eastAsia" w:ascii="仿宋" w:hAnsi="仿宋" w:eastAsia="仿宋" w:cs="仿宋"/>
                <w:b/>
                <w:bCs/>
                <w:color w:val="auto"/>
                <w:sz w:val="24"/>
                <w:highlight w:val="none"/>
              </w:rPr>
              <w:t>e、</w:t>
            </w:r>
            <w:r>
              <w:rPr>
                <w:rFonts w:hint="eastAsia" w:ascii="仿宋" w:hAnsi="仿宋" w:eastAsia="仿宋" w:cs="仿宋"/>
                <w:b/>
                <w:bCs/>
                <w:color w:val="auto"/>
                <w:sz w:val="24"/>
                <w:highlight w:val="none"/>
                <w:lang w:eastAsia="zh-Hans"/>
              </w:rPr>
              <w:t>墨刀</w:t>
            </w:r>
            <w:r>
              <w:rPr>
                <w:rFonts w:hint="eastAsia" w:ascii="仿宋" w:hAnsi="仿宋" w:eastAsia="仿宋" w:cs="仿宋"/>
                <w:b/>
                <w:bCs/>
                <w:color w:val="auto"/>
                <w:sz w:val="24"/>
                <w:highlight w:val="none"/>
              </w:rPr>
              <w:t>等高仿真</w:t>
            </w:r>
            <w:r>
              <w:rPr>
                <w:rFonts w:hint="eastAsia" w:ascii="仿宋" w:hAnsi="仿宋" w:eastAsia="仿宋" w:cs="仿宋"/>
                <w:b/>
                <w:color w:val="auto"/>
                <w:kern w:val="0"/>
                <w:sz w:val="24"/>
                <w:highlight w:val="none"/>
              </w:rPr>
              <w:t>演示不得分</w:t>
            </w:r>
            <w:r>
              <w:rPr>
                <w:rFonts w:hint="eastAsia" w:ascii="仿宋" w:hAnsi="仿宋" w:eastAsia="仿宋" w:cs="仿宋"/>
                <w:color w:val="auto"/>
                <w:kern w:val="0"/>
                <w:sz w:val="24"/>
                <w:highlight w:val="none"/>
              </w:rPr>
              <w:t>，视频录制讲解时间</w:t>
            </w:r>
            <w:r>
              <w:rPr>
                <w:rFonts w:hint="eastAsia" w:ascii="仿宋" w:hAnsi="仿宋" w:eastAsia="仿宋" w:cs="仿宋"/>
                <w:color w:val="auto"/>
                <w:kern w:val="0"/>
                <w:sz w:val="24"/>
                <w:highlight w:val="none"/>
                <w:lang w:val="en-US" w:eastAsia="zh-CN"/>
              </w:rPr>
              <w:t>15分钟以内</w:t>
            </w:r>
            <w:r>
              <w:rPr>
                <w:rFonts w:hint="eastAsia" w:ascii="仿宋" w:hAnsi="仿宋" w:eastAsia="仿宋" w:cs="仿宋"/>
                <w:color w:val="auto"/>
                <w:kern w:val="0"/>
                <w:sz w:val="24"/>
                <w:highlight w:val="none"/>
              </w:rPr>
              <w:t>），未提供不得分；</w:t>
            </w:r>
          </w:p>
          <w:p>
            <w:pPr>
              <w:widowControl/>
              <w:adjustRightInd/>
              <w:spacing w:before="2" w:line="36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lang w:eastAsia="zh-Hans"/>
              </w:rPr>
              <w:t>①驾驶舱</w:t>
            </w:r>
            <w:r>
              <w:rPr>
                <w:rFonts w:hint="eastAsia" w:ascii="仿宋" w:hAnsi="仿宋" w:eastAsia="仿宋" w:cs="仿宋"/>
                <w:b/>
                <w:bCs/>
                <w:color w:val="auto"/>
                <w:sz w:val="24"/>
                <w:highlight w:val="none"/>
              </w:rPr>
              <w:t>展示（</w:t>
            </w:r>
            <w:r>
              <w:rPr>
                <w:rFonts w:hint="eastAsia" w:ascii="仿宋" w:hAnsi="仿宋" w:eastAsia="仿宋" w:cs="仿宋"/>
                <w:color w:val="auto"/>
                <w:sz w:val="24"/>
                <w:highlight w:val="none"/>
              </w:rPr>
              <w:t>演示每个功能得1分，共2分</w:t>
            </w:r>
            <w:r>
              <w:rPr>
                <w:rFonts w:hint="eastAsia" w:ascii="仿宋" w:hAnsi="仿宋" w:eastAsia="仿宋" w:cs="仿宋"/>
                <w:b/>
                <w:bCs/>
                <w:color w:val="auto"/>
                <w:sz w:val="24"/>
                <w:highlight w:val="none"/>
              </w:rPr>
              <w:t>）：</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1.展示</w:t>
            </w:r>
            <w:r>
              <w:rPr>
                <w:rFonts w:hint="eastAsia" w:ascii="仿宋" w:hAnsi="仿宋" w:eastAsia="仿宋" w:cs="仿宋"/>
                <w:color w:val="auto"/>
                <w:sz w:val="24"/>
                <w:highlight w:val="none"/>
                <w:lang w:eastAsia="zh-Hans"/>
              </w:rPr>
              <w:t>驾驶舱图表数据展示</w:t>
            </w:r>
            <w:r>
              <w:rPr>
                <w:rFonts w:hint="eastAsia" w:ascii="仿宋" w:hAnsi="仿宋" w:eastAsia="仿宋" w:cs="仿宋"/>
                <w:color w:val="auto"/>
                <w:sz w:val="24"/>
                <w:highlight w:val="none"/>
              </w:rPr>
              <w:t>。</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2.展示</w:t>
            </w:r>
            <w:r>
              <w:rPr>
                <w:rFonts w:hint="eastAsia" w:ascii="仿宋" w:hAnsi="仿宋" w:eastAsia="仿宋" w:cs="仿宋"/>
                <w:color w:val="auto"/>
                <w:sz w:val="24"/>
                <w:highlight w:val="none"/>
                <w:lang w:eastAsia="zh-Hans"/>
              </w:rPr>
              <w:t>人脸预警分析</w:t>
            </w:r>
            <w:r>
              <w:rPr>
                <w:rFonts w:hint="eastAsia" w:ascii="仿宋" w:hAnsi="仿宋" w:eastAsia="仿宋" w:cs="仿宋"/>
                <w:color w:val="auto"/>
                <w:sz w:val="24"/>
                <w:highlight w:val="none"/>
              </w:rPr>
              <w:t>。</w:t>
            </w:r>
          </w:p>
          <w:p>
            <w:pPr>
              <w:widowControl/>
              <w:adjustRightInd/>
              <w:spacing w:before="2" w:line="36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lang w:eastAsia="zh-Hans"/>
              </w:rPr>
              <w:t>②</w:t>
            </w:r>
            <w:r>
              <w:rPr>
                <w:rFonts w:hint="eastAsia" w:ascii="仿宋" w:hAnsi="仿宋" w:eastAsia="仿宋" w:cs="仿宋"/>
                <w:b/>
                <w:bCs/>
                <w:color w:val="auto"/>
                <w:sz w:val="24"/>
                <w:highlight w:val="none"/>
              </w:rPr>
              <w:t>接处警展示（</w:t>
            </w:r>
            <w:r>
              <w:rPr>
                <w:rFonts w:hint="eastAsia" w:ascii="仿宋" w:hAnsi="仿宋" w:eastAsia="仿宋" w:cs="仿宋"/>
                <w:color w:val="auto"/>
                <w:sz w:val="24"/>
                <w:highlight w:val="none"/>
              </w:rPr>
              <w:t>演示每个功能得1分，共6分</w:t>
            </w:r>
            <w:r>
              <w:rPr>
                <w:rFonts w:hint="eastAsia" w:ascii="仿宋" w:hAnsi="仿宋" w:eastAsia="仿宋" w:cs="仿宋"/>
                <w:b/>
                <w:bCs/>
                <w:color w:val="auto"/>
                <w:sz w:val="24"/>
                <w:highlight w:val="none"/>
              </w:rPr>
              <w:t>）：</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1.需要演示接处警客户端。</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2.完成在接处警客户端中进行各类案件登记。</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3.关联案发地地图标定。</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4.总平台中呈现具体案件信息，可重听案件录音。</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5.查看报警记录显示报警电话和报警时间。</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eastAsia="zh-Hans"/>
              </w:rPr>
              <w:t>.演示电话接警遇应急事件查看应急流程及处置过程</w:t>
            </w:r>
            <w:r>
              <w:rPr>
                <w:rFonts w:hint="eastAsia" w:ascii="仿宋" w:hAnsi="仿宋" w:eastAsia="仿宋" w:cs="仿宋"/>
                <w:color w:val="auto"/>
                <w:sz w:val="24"/>
                <w:highlight w:val="none"/>
              </w:rPr>
              <w:t>。</w:t>
            </w:r>
          </w:p>
          <w:p>
            <w:pPr>
              <w:widowControl/>
              <w:adjustRightInd/>
              <w:spacing w:before="2" w:line="36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lang w:eastAsia="zh-Hans"/>
              </w:rPr>
              <w:t>③</w:t>
            </w:r>
            <w:r>
              <w:rPr>
                <w:rFonts w:hint="eastAsia" w:ascii="仿宋" w:hAnsi="仿宋" w:eastAsia="仿宋" w:cs="仿宋"/>
                <w:b/>
                <w:bCs/>
                <w:color w:val="auto"/>
                <w:sz w:val="24"/>
                <w:highlight w:val="none"/>
              </w:rPr>
              <w:t>安全预警展示（</w:t>
            </w:r>
            <w:r>
              <w:rPr>
                <w:rFonts w:hint="eastAsia" w:ascii="仿宋" w:hAnsi="仿宋" w:eastAsia="仿宋" w:cs="仿宋"/>
                <w:color w:val="auto"/>
                <w:sz w:val="24"/>
                <w:highlight w:val="none"/>
              </w:rPr>
              <w:t>演示每个功能得</w:t>
            </w:r>
            <w:r>
              <w:rPr>
                <w:rFonts w:ascii="仿宋" w:hAnsi="仿宋" w:eastAsia="仿宋" w:cs="仿宋"/>
                <w:color w:val="auto"/>
                <w:sz w:val="24"/>
                <w:highlight w:val="none"/>
              </w:rPr>
              <w:t>0.5</w:t>
            </w:r>
            <w:r>
              <w:rPr>
                <w:rFonts w:hint="eastAsia" w:ascii="仿宋" w:hAnsi="仿宋" w:eastAsia="仿宋" w:cs="仿宋"/>
                <w:color w:val="auto"/>
                <w:sz w:val="24"/>
                <w:highlight w:val="none"/>
              </w:rPr>
              <w:t>分，共</w:t>
            </w:r>
            <w:r>
              <w:rPr>
                <w:rFonts w:ascii="仿宋" w:hAnsi="仿宋" w:eastAsia="仿宋" w:cs="仿宋"/>
                <w:color w:val="auto"/>
                <w:sz w:val="24"/>
                <w:highlight w:val="none"/>
              </w:rPr>
              <w:t>2</w:t>
            </w:r>
            <w:r>
              <w:rPr>
                <w:rFonts w:hint="eastAsia" w:ascii="仿宋" w:hAnsi="仿宋" w:eastAsia="仿宋" w:cs="仿宋"/>
                <w:color w:val="auto"/>
                <w:sz w:val="24"/>
                <w:highlight w:val="none"/>
              </w:rPr>
              <w:t>分</w:t>
            </w:r>
            <w:r>
              <w:rPr>
                <w:rFonts w:hint="eastAsia" w:ascii="仿宋" w:hAnsi="仿宋" w:eastAsia="仿宋" w:cs="仿宋"/>
                <w:b/>
                <w:bCs/>
                <w:color w:val="auto"/>
                <w:sz w:val="24"/>
                <w:highlight w:val="none"/>
              </w:rPr>
              <w:t>）：</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Hans"/>
              </w:rPr>
              <w:t>对往来车辆超速形成记录，按照所设标准进行违规判定</w:t>
            </w:r>
            <w:r>
              <w:rPr>
                <w:rFonts w:hint="eastAsia" w:ascii="仿宋" w:hAnsi="仿宋" w:eastAsia="仿宋" w:cs="仿宋"/>
                <w:color w:val="auto"/>
                <w:sz w:val="24"/>
                <w:highlight w:val="none"/>
              </w:rPr>
              <w:t>。</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2.对不同的案件数据进行分类统计分析。</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3.展示人员进行周界预警提醒。</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4.能设置预警条件并且自动预警发送预警信息。</w:t>
            </w:r>
          </w:p>
          <w:p>
            <w:pPr>
              <w:widowControl/>
              <w:adjustRightInd/>
              <w:spacing w:before="2" w:line="36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lang w:eastAsia="zh-Hans"/>
              </w:rPr>
              <w:t>④重点</w:t>
            </w:r>
            <w:r>
              <w:rPr>
                <w:rFonts w:hint="eastAsia" w:ascii="仿宋" w:hAnsi="仿宋" w:eastAsia="仿宋" w:cs="仿宋"/>
                <w:b/>
                <w:bCs/>
                <w:color w:val="auto"/>
                <w:sz w:val="24"/>
                <w:highlight w:val="none"/>
              </w:rPr>
              <w:t>功能展示（</w:t>
            </w:r>
            <w:r>
              <w:rPr>
                <w:rFonts w:hint="eastAsia" w:ascii="仿宋" w:hAnsi="仿宋" w:eastAsia="仿宋" w:cs="仿宋"/>
                <w:color w:val="auto"/>
                <w:sz w:val="24"/>
                <w:highlight w:val="none"/>
              </w:rPr>
              <w:t>演示每个功能得</w:t>
            </w:r>
            <w:r>
              <w:rPr>
                <w:rFonts w:ascii="仿宋" w:hAnsi="仿宋" w:eastAsia="仿宋" w:cs="仿宋"/>
                <w:color w:val="auto"/>
                <w:sz w:val="24"/>
                <w:highlight w:val="none"/>
              </w:rPr>
              <w:t>0.5</w:t>
            </w:r>
            <w:r>
              <w:rPr>
                <w:rFonts w:hint="eastAsia" w:ascii="仿宋" w:hAnsi="仿宋" w:eastAsia="仿宋" w:cs="仿宋"/>
                <w:color w:val="auto"/>
                <w:sz w:val="24"/>
                <w:highlight w:val="none"/>
              </w:rPr>
              <w:t>分，共</w:t>
            </w:r>
            <w:r>
              <w:rPr>
                <w:rFonts w:ascii="仿宋" w:hAnsi="仿宋" w:eastAsia="仿宋" w:cs="仿宋"/>
                <w:color w:val="auto"/>
                <w:sz w:val="24"/>
                <w:highlight w:val="none"/>
              </w:rPr>
              <w:t>2</w:t>
            </w:r>
            <w:r>
              <w:rPr>
                <w:rFonts w:hint="eastAsia" w:ascii="仿宋" w:hAnsi="仿宋" w:eastAsia="仿宋" w:cs="仿宋"/>
                <w:color w:val="auto"/>
                <w:sz w:val="24"/>
                <w:highlight w:val="none"/>
              </w:rPr>
              <w:t>分</w:t>
            </w:r>
            <w:r>
              <w:rPr>
                <w:rFonts w:hint="eastAsia" w:ascii="仿宋" w:hAnsi="仿宋" w:eastAsia="仿宋" w:cs="仿宋"/>
                <w:b/>
                <w:bCs/>
                <w:color w:val="auto"/>
                <w:sz w:val="24"/>
                <w:highlight w:val="none"/>
              </w:rPr>
              <w:t>）：</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1.展示各二级单位安全管理员设置、二级单位安全台账添加上报以及保卫处对各二级单位上报台账的查阅功能；</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2.展示新生安全教育考试系统题库添加、编辑功能及根据各题库自动抽题组卷功能，展示考试设置功能，包括考试群体选择、考试时间设置及通过分数设置等；</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3展示学生端进行安全教育考试的在线练习、安全考试等功能。</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4.在一个页面中展示校园各重点部位的门禁、监控、消防设施，可以直接点击查看门禁的所有出入记录、消防设施的点位信息和当前工作状态、监控的实时画面。</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b/>
                <w:bCs/>
                <w:color w:val="auto"/>
                <w:sz w:val="24"/>
                <w:highlight w:val="none"/>
                <w:lang w:eastAsia="zh-Hans"/>
              </w:rPr>
              <w:t>⑤三维地图功能应用演示</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演示每个功能得1分，共6分）：</w:t>
            </w:r>
          </w:p>
          <w:p>
            <w:pPr>
              <w:widowControl/>
              <w:adjustRightInd/>
              <w:spacing w:before="2" w:line="360" w:lineRule="exact"/>
              <w:rPr>
                <w:rFonts w:ascii="仿宋" w:hAnsi="仿宋" w:eastAsia="仿宋" w:cs="仿宋"/>
                <w:color w:val="auto"/>
                <w:sz w:val="24"/>
                <w:highlight w:val="none"/>
                <w:lang w:val="zh-CN" w:eastAsia="zh-Hans"/>
              </w:rPr>
            </w:pP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eastAsia="zh-Hans"/>
              </w:rPr>
              <w:t>相机可视区域及视频联动</w:t>
            </w:r>
            <w:r>
              <w:rPr>
                <w:rFonts w:hint="eastAsia" w:ascii="仿宋" w:hAnsi="仿宋" w:eastAsia="仿宋" w:cs="仿宋"/>
                <w:color w:val="auto"/>
                <w:sz w:val="24"/>
                <w:highlight w:val="none"/>
                <w:lang w:eastAsia="zh-Hans"/>
              </w:rPr>
              <w:t>：通过相机的预览画面，构建该相机的视景可视区域，数字化表达监控的盲区、盲点；</w:t>
            </w:r>
            <w:r>
              <w:rPr>
                <w:rFonts w:hint="eastAsia" w:ascii="仿宋" w:hAnsi="仿宋" w:eastAsia="仿宋" w:cs="仿宋"/>
                <w:color w:val="auto"/>
                <w:sz w:val="24"/>
                <w:highlight w:val="none"/>
                <w:lang w:val="zh-CN" w:eastAsia="zh-Hans"/>
              </w:rPr>
              <w:t>支持点击相机模型，弹出该相机的实时预览及回放；</w:t>
            </w:r>
          </w:p>
          <w:p>
            <w:pPr>
              <w:widowControl/>
              <w:adjustRightInd/>
              <w:spacing w:before="2" w:line="360" w:lineRule="exact"/>
              <w:rPr>
                <w:rFonts w:ascii="仿宋" w:hAnsi="仿宋" w:eastAsia="仿宋" w:cs="仿宋"/>
                <w:color w:val="auto"/>
                <w:sz w:val="24"/>
                <w:highlight w:val="none"/>
                <w:lang w:bidi="ar"/>
              </w:rPr>
            </w:pPr>
            <w:r>
              <w:rPr>
                <w:rFonts w:hint="eastAsia" w:ascii="仿宋" w:hAnsi="仿宋" w:eastAsia="仿宋" w:cs="仿宋"/>
                <w:b/>
                <w:bCs/>
                <w:color w:val="auto"/>
                <w:sz w:val="24"/>
                <w:highlight w:val="none"/>
                <w:lang w:bidi="ar"/>
              </w:rPr>
              <w:t>2.支持一套三维数据两种显示效果</w:t>
            </w:r>
            <w:r>
              <w:rPr>
                <w:rFonts w:hint="eastAsia" w:ascii="仿宋" w:hAnsi="仿宋" w:eastAsia="仿宋" w:cs="仿宋"/>
                <w:color w:val="auto"/>
                <w:sz w:val="24"/>
                <w:highlight w:val="none"/>
                <w:lang w:bidi="ar"/>
              </w:rPr>
              <w:t>，实景三维场景和空间数字化场景。对任一接收到的报警信息，在不影响实景三维场景使用条件下，分屏显示空间数字化场景，高亮显示报警区域。防止用户在使用过程中，报警信息对操作产生的干扰。</w:t>
            </w:r>
          </w:p>
          <w:p>
            <w:pPr>
              <w:widowControl/>
              <w:adjustRightInd/>
              <w:spacing w:before="2" w:line="360" w:lineRule="exact"/>
              <w:rPr>
                <w:rFonts w:ascii="仿宋" w:hAnsi="仿宋" w:eastAsia="仿宋" w:cs="仿宋"/>
                <w:color w:val="auto"/>
                <w:sz w:val="24"/>
                <w:highlight w:val="none"/>
                <w:lang w:val="zh-CN" w:bidi="ar"/>
              </w:rPr>
            </w:pPr>
            <w:r>
              <w:rPr>
                <w:rFonts w:hint="eastAsia" w:ascii="仿宋" w:hAnsi="仿宋" w:eastAsia="仿宋" w:cs="仿宋"/>
                <w:b/>
                <w:bCs/>
                <w:color w:val="auto"/>
                <w:sz w:val="24"/>
                <w:highlight w:val="none"/>
                <w:lang w:bidi="ar"/>
              </w:rPr>
              <w:t>3.</w:t>
            </w:r>
            <w:r>
              <w:rPr>
                <w:rFonts w:hint="eastAsia" w:ascii="仿宋" w:hAnsi="仿宋" w:eastAsia="仿宋" w:cs="仿宋"/>
                <w:b/>
                <w:bCs/>
                <w:color w:val="auto"/>
                <w:sz w:val="24"/>
                <w:highlight w:val="none"/>
                <w:lang w:val="zh-CN" w:bidi="ar"/>
              </w:rPr>
              <w:t>视频巡逻</w:t>
            </w:r>
            <w:r>
              <w:rPr>
                <w:rFonts w:hint="eastAsia" w:ascii="仿宋" w:hAnsi="仿宋" w:eastAsia="仿宋" w:cs="仿宋"/>
                <w:color w:val="auto"/>
                <w:sz w:val="24"/>
                <w:highlight w:val="none"/>
                <w:lang w:val="zh-CN" w:bidi="ar"/>
              </w:rPr>
              <w:t>：根据建模内的道路路网，进行智能分段，在区域内根据分段的道路路网，模拟巡逻人员沿着道路行走，对沿线的视频点位进行自动播放预览画面。</w:t>
            </w:r>
          </w:p>
          <w:p>
            <w:pPr>
              <w:widowControl/>
              <w:adjustRightInd/>
              <w:spacing w:before="2" w:line="360" w:lineRule="exact"/>
              <w:rPr>
                <w:rFonts w:ascii="仿宋" w:hAnsi="仿宋" w:eastAsia="仿宋" w:cs="仿宋"/>
                <w:color w:val="auto"/>
                <w:sz w:val="24"/>
                <w:highlight w:val="none"/>
                <w:lang w:val="zh-CN" w:bidi="ar"/>
              </w:rPr>
            </w:pPr>
            <w:r>
              <w:rPr>
                <w:rFonts w:hint="eastAsia" w:ascii="仿宋" w:hAnsi="仿宋" w:eastAsia="仿宋" w:cs="仿宋"/>
                <w:b/>
                <w:bCs/>
                <w:color w:val="auto"/>
                <w:sz w:val="24"/>
                <w:highlight w:val="none"/>
                <w:lang w:bidi="ar"/>
              </w:rPr>
              <w:t>4.</w:t>
            </w:r>
            <w:r>
              <w:rPr>
                <w:rFonts w:hint="eastAsia" w:ascii="仿宋" w:hAnsi="仿宋" w:eastAsia="仿宋" w:cs="仿宋"/>
                <w:b/>
                <w:bCs/>
                <w:color w:val="auto"/>
                <w:sz w:val="24"/>
                <w:highlight w:val="none"/>
                <w:lang w:val="zh-CN" w:bidi="ar"/>
              </w:rPr>
              <w:t>人脸轨迹</w:t>
            </w:r>
            <w:r>
              <w:rPr>
                <w:rFonts w:hint="eastAsia" w:ascii="仿宋" w:hAnsi="仿宋" w:eastAsia="仿宋" w:cs="仿宋"/>
                <w:color w:val="auto"/>
                <w:sz w:val="24"/>
                <w:highlight w:val="none"/>
                <w:lang w:val="zh-CN" w:bidi="ar"/>
              </w:rPr>
              <w:t>：用户可将人脸图片或者抓拍记录导入系统进行智能检索并在3D地图上自动显示目标人员的历史轨迹，点击记录可以查看抓拍视频。</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b/>
                <w:bCs/>
                <w:color w:val="auto"/>
                <w:sz w:val="24"/>
                <w:highlight w:val="none"/>
              </w:rPr>
              <w:t>5.门禁应用</w:t>
            </w:r>
            <w:r>
              <w:rPr>
                <w:rFonts w:hint="eastAsia" w:ascii="仿宋" w:hAnsi="仿宋" w:eastAsia="仿宋" w:cs="仿宋"/>
                <w:color w:val="auto"/>
                <w:sz w:val="24"/>
                <w:highlight w:val="none"/>
              </w:rPr>
              <w:t>：支持门禁列表查看，门禁状态信息及门禁下行控制操作（开/关）；支持门禁实时状态查看；支持门禁历史信息查询。</w:t>
            </w:r>
          </w:p>
          <w:p>
            <w:pPr>
              <w:widowControl/>
              <w:adjustRightInd/>
              <w:spacing w:before="2" w:line="360" w:lineRule="exact"/>
              <w:rPr>
                <w:rFonts w:ascii="仿宋" w:hAnsi="仿宋" w:eastAsia="仿宋" w:cs="仿宋"/>
                <w:color w:val="auto"/>
                <w:sz w:val="24"/>
                <w:highlight w:val="none"/>
              </w:rPr>
            </w:pPr>
            <w:r>
              <w:rPr>
                <w:rFonts w:hint="eastAsia" w:ascii="仿宋" w:hAnsi="仿宋" w:eastAsia="仿宋" w:cs="仿宋"/>
                <w:b/>
                <w:bCs/>
                <w:color w:val="auto"/>
                <w:sz w:val="24"/>
                <w:highlight w:val="none"/>
              </w:rPr>
              <w:t>6.系统支持视频循路追踪</w:t>
            </w:r>
            <w:r>
              <w:rPr>
                <w:rFonts w:hint="eastAsia" w:ascii="仿宋" w:hAnsi="仿宋" w:eastAsia="仿宋" w:cs="仿宋"/>
                <w:color w:val="auto"/>
                <w:sz w:val="24"/>
                <w:highlight w:val="none"/>
              </w:rPr>
              <w:t>，在视频预览画面中，把道路标记为方向，以箭头表达，开启循路追踪之后，根据目标人员/车移动的方向，点击箭头可快速切换到下一路相机，三维地图也切换到下一路监控视角，对目标人员/车所经过的路径有清晰直观的判断。使得用户跟踪、查找速度得到极大的提升。</w:t>
            </w:r>
          </w:p>
        </w:tc>
        <w:tc>
          <w:tcPr>
            <w:tcW w:w="412" w:type="pct"/>
            <w:tcBorders>
              <w:top w:val="single" w:color="auto" w:sz="4" w:space="0"/>
              <w:left w:val="single" w:color="auto" w:sz="6" w:space="0"/>
              <w:bottom w:val="single" w:color="auto" w:sz="4" w:space="0"/>
              <w:right w:val="single" w:color="auto" w:sz="4" w:space="0"/>
            </w:tcBorders>
            <w:vAlign w:val="center"/>
          </w:tcPr>
          <w:p>
            <w:pPr>
              <w:widowControl/>
              <w:spacing w:line="360" w:lineRule="exact"/>
              <w:jc w:val="center"/>
              <w:rPr>
                <w:rFonts w:ascii="仿宋" w:hAnsi="仿宋" w:eastAsia="仿宋" w:cs="仿宋"/>
                <w:color w:val="auto"/>
                <w:kern w:val="0"/>
                <w:sz w:val="24"/>
                <w:highlight w:val="none"/>
              </w:rPr>
            </w:pPr>
            <w:r>
              <w:rPr>
                <w:rFonts w:ascii="仿宋" w:hAnsi="仿宋" w:eastAsia="仿宋" w:cs="仿宋"/>
                <w:color w:val="auto"/>
                <w:kern w:val="0"/>
                <w:sz w:val="24"/>
                <w:highlight w:val="none"/>
              </w:rPr>
              <w:t>18</w:t>
            </w:r>
            <w:r>
              <w:rPr>
                <w:rFonts w:hint="eastAsia" w:ascii="仿宋" w:hAnsi="仿宋" w:eastAsia="仿宋" w:cs="仿宋"/>
                <w:color w:val="auto"/>
                <w:kern w:val="0"/>
                <w:sz w:val="24"/>
                <w:highlight w:val="none"/>
              </w:rPr>
              <w:t>分</w:t>
            </w:r>
          </w:p>
        </w:tc>
      </w:tr>
      <w:bookmarkEnd w:id="33"/>
    </w:tbl>
    <w:p>
      <w:pPr>
        <w:rPr>
          <w:rFonts w:ascii="仿宋" w:hAnsi="仿宋" w:eastAsia="仿宋" w:cs="Arial"/>
          <w:b/>
          <w:color w:val="auto"/>
          <w:kern w:val="0"/>
          <w:sz w:val="24"/>
          <w:highlight w:val="none"/>
        </w:rPr>
      </w:pPr>
    </w:p>
    <w:bookmarkEnd w:id="34"/>
    <w:p>
      <w:pPr>
        <w:adjustRightInd/>
        <w:spacing w:line="360" w:lineRule="auto"/>
        <w:ind w:firstLine="321" w:firstLineChars="100"/>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三、评标程序</w:t>
      </w:r>
    </w:p>
    <w:p>
      <w:pPr>
        <w:spacing w:line="360" w:lineRule="auto"/>
        <w:ind w:firstLine="482" w:firstLineChars="200"/>
        <w:rPr>
          <w:rFonts w:ascii="仿宋" w:hAnsi="仿宋" w:eastAsia="仿宋" w:cs="Arial"/>
          <w:color w:val="auto"/>
          <w:kern w:val="0"/>
          <w:sz w:val="24"/>
          <w:highlight w:val="none"/>
        </w:rPr>
      </w:pPr>
      <w:r>
        <w:rPr>
          <w:rFonts w:ascii="仿宋" w:hAnsi="仿宋" w:eastAsia="仿宋" w:cs="Arial"/>
          <w:b/>
          <w:color w:val="auto"/>
          <w:kern w:val="0"/>
          <w:sz w:val="24"/>
          <w:highlight w:val="none"/>
        </w:rPr>
        <w:t>3.1符合性审查。</w:t>
      </w:r>
      <w:r>
        <w:rPr>
          <w:rFonts w:ascii="仿宋" w:hAnsi="仿宋" w:eastAsia="仿宋" w:cs="Arial"/>
          <w:color w:val="auto"/>
          <w:kern w:val="0"/>
          <w:sz w:val="24"/>
          <w:highlight w:val="none"/>
        </w:rPr>
        <w:t>评标委员会应当对符合资格的投标人的投标文件进行符合性审查，以确定其是否满足招标文件的实质性要求。</w:t>
      </w:r>
      <w:r>
        <w:rPr>
          <w:rFonts w:hint="eastAsia" w:ascii="仿宋" w:hAnsi="仿宋" w:eastAsia="仿宋" w:cs="Arial"/>
          <w:color w:val="auto"/>
          <w:kern w:val="0"/>
          <w:sz w:val="24"/>
          <w:highlight w:val="none"/>
        </w:rPr>
        <w:t>不</w:t>
      </w:r>
      <w:r>
        <w:rPr>
          <w:rFonts w:ascii="仿宋" w:hAnsi="仿宋" w:eastAsia="仿宋" w:cs="Arial"/>
          <w:color w:val="auto"/>
          <w:kern w:val="0"/>
          <w:sz w:val="24"/>
          <w:highlight w:val="none"/>
        </w:rPr>
        <w:t>满足招标文件的实质性要求</w:t>
      </w:r>
      <w:r>
        <w:rPr>
          <w:rFonts w:hint="eastAsia" w:ascii="仿宋" w:hAnsi="仿宋" w:eastAsia="仿宋" w:cs="Arial"/>
          <w:color w:val="auto"/>
          <w:kern w:val="0"/>
          <w:sz w:val="24"/>
          <w:highlight w:val="none"/>
        </w:rPr>
        <w:t>的，投标无效。</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 xml:space="preserve">3.2 </w:t>
      </w:r>
      <w:r>
        <w:rPr>
          <w:rFonts w:hint="eastAsia" w:ascii="仿宋" w:hAnsi="仿宋" w:eastAsia="仿宋" w:cs="Arial"/>
          <w:b/>
          <w:color w:val="auto"/>
          <w:kern w:val="0"/>
          <w:sz w:val="24"/>
          <w:highlight w:val="none"/>
        </w:rPr>
        <w:t>比较与评价。</w:t>
      </w:r>
      <w:r>
        <w:rPr>
          <w:rFonts w:ascii="仿宋" w:hAnsi="仿宋" w:eastAsia="仿宋"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3.3汇总商务技术得分。</w:t>
      </w:r>
      <w:r>
        <w:rPr>
          <w:rFonts w:hint="eastAsia" w:ascii="仿宋" w:hAnsi="仿宋" w:eastAsia="仿宋"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3.4报价评审。</w:t>
      </w:r>
    </w:p>
    <w:p>
      <w:pPr>
        <w:pStyle w:val="159"/>
        <w:spacing w:before="0"/>
        <w:ind w:firstLine="508" w:firstLineChars="212"/>
        <w:rPr>
          <w:rFonts w:ascii="仿宋" w:hAnsi="仿宋" w:eastAsia="仿宋" w:cs="Arial"/>
          <w:color w:val="auto"/>
          <w:kern w:val="0"/>
          <w:highlight w:val="none"/>
        </w:rPr>
      </w:pPr>
      <w:r>
        <w:rPr>
          <w:rFonts w:ascii="仿宋" w:hAnsi="仿宋" w:eastAsia="仿宋" w:cs="Arial"/>
          <w:color w:val="auto"/>
          <w:kern w:val="0"/>
          <w:highlight w:val="none"/>
        </w:rPr>
        <w:t>3.4.1投标文件报价出现前后不一致的，按照下列规定修正：</w:t>
      </w:r>
    </w:p>
    <w:p>
      <w:pPr>
        <w:pStyle w:val="15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5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5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5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5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5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5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highlight w:val="none"/>
        </w:rPr>
        <w:t>10%的扣除，用扣除后的价格参与评审。接受大中型企业与小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 w:hAnsi="仿宋" w:eastAsia="仿宋" w:cs="Arial"/>
          <w:color w:val="auto"/>
          <w:kern w:val="0"/>
          <w:sz w:val="24"/>
          <w:highlight w:val="none"/>
        </w:rPr>
      </w:pPr>
      <w:r>
        <w:rPr>
          <w:rFonts w:ascii="仿宋" w:hAnsi="仿宋" w:eastAsia="仿宋" w:cs="Arial"/>
          <w:b/>
          <w:color w:val="auto"/>
          <w:kern w:val="0"/>
          <w:sz w:val="24"/>
          <w:highlight w:val="none"/>
        </w:rPr>
        <w:t>3.5</w:t>
      </w:r>
      <w:r>
        <w:rPr>
          <w:rFonts w:hint="eastAsia" w:ascii="仿宋" w:hAnsi="仿宋" w:eastAsia="仿宋" w:cs="Arial"/>
          <w:b/>
          <w:color w:val="auto"/>
          <w:kern w:val="0"/>
          <w:sz w:val="24"/>
          <w:highlight w:val="none"/>
        </w:rPr>
        <w:t>排序与推荐。</w:t>
      </w:r>
      <w:r>
        <w:rPr>
          <w:rFonts w:ascii="仿宋" w:hAnsi="仿宋" w:eastAsia="仿宋"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Arial"/>
          <w:color w:val="auto"/>
          <w:kern w:val="0"/>
          <w:sz w:val="24"/>
          <w:highlight w:val="none"/>
        </w:rPr>
        <w:t>。</w:t>
      </w:r>
    </w:p>
    <w:p>
      <w:pPr>
        <w:spacing w:line="360" w:lineRule="auto"/>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3.6编写评标报告。</w:t>
      </w:r>
      <w:r>
        <w:rPr>
          <w:rFonts w:ascii="仿宋" w:hAnsi="仿宋" w:eastAsia="仿宋" w:cs="Arial"/>
          <w:color w:val="auto"/>
          <w:kern w:val="0"/>
          <w:sz w:val="24"/>
          <w:highlight w:val="none"/>
        </w:rPr>
        <w:t>评标委员会根据全体评标成员签字的原始评标记录和评标结果编写评标报告。</w:t>
      </w:r>
      <w:r>
        <w:rPr>
          <w:rFonts w:hint="eastAsia" w:ascii="仿宋" w:hAnsi="仿宋" w:eastAsia="仿宋"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ind w:firstLine="643" w:firstLineChars="200"/>
        <w:jc w:val="left"/>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四、评标中的其他事项</w:t>
      </w:r>
    </w:p>
    <w:p>
      <w:pPr>
        <w:pStyle w:val="159"/>
        <w:spacing w:before="0"/>
        <w:ind w:firstLine="482"/>
        <w:rPr>
          <w:rFonts w:ascii="仿宋" w:hAnsi="仿宋" w:eastAsia="仿宋" w:cs="Arial"/>
          <w:color w:val="auto"/>
          <w:kern w:val="0"/>
          <w:szCs w:val="24"/>
          <w:highlight w:val="none"/>
        </w:rPr>
      </w:pPr>
      <w:r>
        <w:rPr>
          <w:rFonts w:ascii="仿宋" w:hAnsi="仿宋" w:eastAsia="仿宋" w:cs="Arial"/>
          <w:b/>
          <w:color w:val="auto"/>
          <w:kern w:val="0"/>
          <w:szCs w:val="24"/>
          <w:highlight w:val="none"/>
        </w:rPr>
        <w:t>4.1</w:t>
      </w:r>
      <w:r>
        <w:rPr>
          <w:rFonts w:hint="eastAsia" w:ascii="仿宋" w:hAnsi="仿宋" w:eastAsia="仿宋" w:cs="Arial"/>
          <w:b/>
          <w:color w:val="auto"/>
          <w:kern w:val="0"/>
          <w:szCs w:val="24"/>
          <w:highlight w:val="none"/>
        </w:rPr>
        <w:t>投标人澄清、说明或者补正。</w:t>
      </w:r>
      <w:r>
        <w:rPr>
          <w:rFonts w:hint="eastAsia" w:ascii="仿宋" w:hAnsi="仿宋" w:eastAsia="仿宋"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 w:hAnsi="仿宋" w:eastAsia="仿宋" w:cs="仿宋_GB2312"/>
          <w:color w:val="auto"/>
          <w:szCs w:val="21"/>
          <w:highlight w:val="none"/>
        </w:rPr>
      </w:pPr>
      <w:r>
        <w:rPr>
          <w:rFonts w:ascii="仿宋" w:hAnsi="仿宋" w:eastAsia="仿宋" w:cs="Arial"/>
          <w:b/>
          <w:color w:val="auto"/>
          <w:kern w:val="0"/>
          <w:highlight w:val="none"/>
        </w:rPr>
        <w:t>4.2投标无效。</w:t>
      </w:r>
      <w:r>
        <w:rPr>
          <w:rFonts w:hint="eastAsia" w:ascii="仿宋" w:hAnsi="仿宋" w:eastAsia="仿宋" w:cs="仿宋_GB2312"/>
          <w:color w:val="auto"/>
          <w:szCs w:val="21"/>
          <w:highlight w:val="none"/>
        </w:rPr>
        <w:t>有下列情况之一的，投标无效：</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4.2.2投标文件未按照招标文件要求签署、盖章的；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 w:hAnsi="仿宋" w:eastAsia="仿宋" w:cs="Arial"/>
          <w:color w:val="auto"/>
          <w:kern w:val="0"/>
          <w:sz w:val="24"/>
          <w:highlight w:val="none"/>
        </w:rPr>
        <w:t>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4.2.4投标文件含有采购人不能接受的附加条件的；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Arial"/>
          <w:color w:val="auto"/>
          <w:kern w:val="0"/>
          <w:sz w:val="24"/>
          <w:highlight w:val="none"/>
        </w:rPr>
      </w:pPr>
      <w:r>
        <w:rPr>
          <w:rFonts w:ascii="仿宋" w:hAnsi="仿宋" w:eastAsia="仿宋" w:cs="Arial"/>
          <w:color w:val="auto"/>
          <w:kern w:val="0"/>
          <w:sz w:val="24"/>
          <w:highlight w:val="none"/>
        </w:rPr>
        <w:t xml:space="preserve">  </w:t>
      </w:r>
      <w:r>
        <w:rPr>
          <w:rFonts w:hint="eastAsia" w:ascii="仿宋" w:hAnsi="仿宋" w:eastAsia="仿宋" w:cs="Arial"/>
          <w:color w:val="auto"/>
          <w:kern w:val="0"/>
          <w:sz w:val="24"/>
          <w:highlight w:val="none"/>
        </w:rPr>
        <w:t xml:space="preserve"> </w:t>
      </w:r>
      <w:r>
        <w:rPr>
          <w:rFonts w:ascii="仿宋" w:hAnsi="仿宋" w:eastAsia="仿宋" w:cs="Arial"/>
          <w:color w:val="auto"/>
          <w:kern w:val="0"/>
          <w:sz w:val="24"/>
          <w:highlight w:val="none"/>
        </w:rPr>
        <w:t>4.2.6投标文件出现不是唯一的、有选择性投标报价的;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4.2.9投标人对根据修正原则修正后的报价不确认的；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4.2.10投标人提供虚假材料投标的；</w:t>
      </w:r>
    </w:p>
    <w:p>
      <w:pPr>
        <w:spacing w:line="360" w:lineRule="auto"/>
        <w:ind w:firstLine="240" w:firstLineChars="100"/>
        <w:rPr>
          <w:rFonts w:ascii="仿宋" w:hAnsi="仿宋" w:eastAsia="仿宋" w:cs="Arial"/>
          <w:color w:val="auto"/>
          <w:kern w:val="0"/>
          <w:sz w:val="24"/>
          <w:highlight w:val="none"/>
        </w:rPr>
      </w:pPr>
      <w:r>
        <w:rPr>
          <w:rFonts w:ascii="仿宋" w:hAnsi="仿宋" w:eastAsia="仿宋"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4.2.12投标人仅提交备份投标文件，没有在电子交易平台传输递交投标文件的，投标无效；</w:t>
      </w:r>
    </w:p>
    <w:p>
      <w:pPr>
        <w:pStyle w:val="4"/>
        <w:ind w:left="862" w:leftChars="205"/>
        <w:rPr>
          <w:rFonts w:ascii="仿宋" w:eastAsia="仿宋" w:cs="Arial"/>
          <w:b w:val="0"/>
          <w:bCs w:val="0"/>
          <w:color w:val="auto"/>
          <w:kern w:val="0"/>
          <w:sz w:val="24"/>
          <w:szCs w:val="24"/>
          <w:highlight w:val="none"/>
          <w:lang w:val="en-US"/>
        </w:rPr>
      </w:pPr>
      <w:r>
        <w:rPr>
          <w:rFonts w:ascii="仿宋" w:eastAsia="仿宋" w:cs="Arial"/>
          <w:b w:val="0"/>
          <w:bCs w:val="0"/>
          <w:color w:val="auto"/>
          <w:kern w:val="0"/>
          <w:sz w:val="24"/>
          <w:szCs w:val="24"/>
          <w:highlight w:val="none"/>
          <w:lang w:val="en-US"/>
        </w:rPr>
        <w:t xml:space="preserve">4.2.13 </w:t>
      </w:r>
      <w:r>
        <w:rPr>
          <w:rFonts w:hint="eastAsia" w:ascii="仿宋" w:eastAsia="仿宋"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ascii="仿宋" w:hAnsi="仿宋" w:eastAsia="仿宋" w:cs="仿宋_GB2312"/>
          <w:color w:val="auto"/>
          <w:highlight w:val="none"/>
        </w:rPr>
      </w:pPr>
      <w:r>
        <w:rPr>
          <w:rFonts w:ascii="仿宋" w:hAnsi="仿宋" w:eastAsia="仿宋" w:cs="仿宋_GB2312"/>
          <w:b/>
          <w:color w:val="auto"/>
          <w:highlight w:val="none"/>
        </w:rPr>
        <w:t>5.废标。</w:t>
      </w:r>
      <w:r>
        <w:rPr>
          <w:rFonts w:hint="eastAsia" w:ascii="仿宋" w:hAnsi="仿宋" w:eastAsia="仿宋" w:cs="仿宋_GB2312"/>
          <w:color w:val="auto"/>
          <w:highlight w:val="none"/>
        </w:rPr>
        <w:t>根据《中华人民共和国政府采购法》第三十六条之规定，在采购中，出现下列情形之一的，应予废标：</w:t>
      </w:r>
    </w:p>
    <w:p>
      <w:pPr>
        <w:pStyle w:val="25"/>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5.1符合专业条件的供应商或者对招标文件作实质响应的供应商不足3家的；</w:t>
      </w:r>
    </w:p>
    <w:p>
      <w:pPr>
        <w:pStyle w:val="25"/>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5.2出现影响采购公正的违法、违规行为的；</w:t>
      </w:r>
    </w:p>
    <w:p>
      <w:pPr>
        <w:pStyle w:val="25"/>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5.3投标人的报价均超过了采购预算，采购人不能支付的；</w:t>
      </w:r>
    </w:p>
    <w:p>
      <w:pPr>
        <w:pStyle w:val="25"/>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5.4因重大变故，采购任务取消的。</w:t>
      </w:r>
    </w:p>
    <w:p>
      <w:pPr>
        <w:pStyle w:val="25"/>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废标后，采购代理机构应当将废标理由通知所有投标人。</w:t>
      </w:r>
    </w:p>
    <w:p>
      <w:pPr>
        <w:pStyle w:val="25"/>
        <w:snapToGrid w:val="0"/>
        <w:spacing w:line="360" w:lineRule="auto"/>
        <w:ind w:firstLine="482"/>
        <w:rPr>
          <w:rFonts w:ascii="仿宋" w:hAnsi="仿宋" w:eastAsia="仿宋" w:cs="仿宋_GB2312"/>
          <w:color w:val="auto"/>
          <w:highlight w:val="none"/>
        </w:rPr>
      </w:pPr>
      <w:r>
        <w:rPr>
          <w:rFonts w:ascii="仿宋" w:hAnsi="仿宋" w:eastAsia="仿宋" w:cs="仿宋_GB2312"/>
          <w:b/>
          <w:color w:val="auto"/>
          <w:highlight w:val="none"/>
        </w:rPr>
        <w:t>6.修改招标文件，重新组织采购活动。</w:t>
      </w:r>
      <w:r>
        <w:rPr>
          <w:rFonts w:hint="eastAsia" w:ascii="仿宋" w:hAnsi="仿宋" w:eastAsia="仿宋" w:cs="仿宋_GB2312"/>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ascii="仿宋" w:hAnsi="仿宋" w:eastAsia="仿宋" w:cs="仿宋_GB2312"/>
          <w:color w:val="auto"/>
          <w:highlight w:val="none"/>
        </w:rPr>
      </w:pPr>
      <w:r>
        <w:rPr>
          <w:rFonts w:hint="eastAsia" w:ascii="仿宋" w:hAnsi="仿宋" w:eastAsia="仿宋" w:cs="Helvetica"/>
          <w:b/>
          <w:color w:val="auto"/>
          <w:kern w:val="0"/>
          <w:highlight w:val="none"/>
        </w:rPr>
        <w:t>7.重新开展采购。</w:t>
      </w:r>
      <w:r>
        <w:rPr>
          <w:rFonts w:hint="eastAsia" w:ascii="仿宋" w:hAnsi="仿宋" w:eastAsia="仿宋" w:cs="仿宋_GB2312"/>
          <w:color w:val="auto"/>
          <w:highlight w:val="none"/>
        </w:rPr>
        <w:t>有政府采购法第七十一条、第七十二条规定的违法行为之一，影响或者可能影响中标、成交结果的，依照下列规定处理：</w:t>
      </w:r>
    </w:p>
    <w:p>
      <w:pPr>
        <w:pStyle w:val="25"/>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7.1未确定中标或者中标人的，终止本次政府采购活动，重新开展政府采购</w:t>
      </w:r>
      <w:r>
        <w:rPr>
          <w:rFonts w:hint="eastAsia" w:ascii="仿宋" w:hAnsi="仿宋" w:eastAsia="仿宋" w:cs="仿宋_GB2312"/>
          <w:color w:val="auto"/>
          <w:highlight w:val="none"/>
        </w:rPr>
        <w:t>活动。</w:t>
      </w:r>
    </w:p>
    <w:p>
      <w:pPr>
        <w:pStyle w:val="25"/>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7.4政府采购合同已经履行，给采购人、供应</w:t>
      </w:r>
      <w:r>
        <w:rPr>
          <w:rFonts w:hint="eastAsia" w:ascii="仿宋" w:hAnsi="仿宋" w:eastAsia="仿宋" w:cs="仿宋_GB2312"/>
          <w:color w:val="auto"/>
          <w:highlight w:val="none"/>
        </w:rPr>
        <w:t>商造成损失的，由责任人承担赔偿责任。</w:t>
      </w:r>
    </w:p>
    <w:p>
      <w:pPr>
        <w:pStyle w:val="25"/>
        <w:snapToGrid w:val="0"/>
        <w:spacing w:line="360" w:lineRule="auto"/>
        <w:rPr>
          <w:rFonts w:ascii="仿宋" w:hAnsi="仿宋" w:eastAsia="仿宋" w:cs="仿宋_GB2312"/>
          <w:b/>
          <w:color w:val="auto"/>
          <w:sz w:val="36"/>
          <w:szCs w:val="36"/>
          <w:highlight w:val="none"/>
        </w:rPr>
      </w:pPr>
      <w:r>
        <w:rPr>
          <w:rFonts w:ascii="仿宋" w:hAnsi="仿宋" w:eastAsia="仿宋" w:cs="仿宋_GB2312"/>
          <w:color w:val="auto"/>
          <w:highlight w:val="none"/>
        </w:rPr>
        <w:t>7.5政府采购当事人有其他违反政府采购</w:t>
      </w:r>
      <w:r>
        <w:rPr>
          <w:rFonts w:hint="eastAsia" w:ascii="仿宋" w:hAnsi="仿宋" w:eastAsia="仿宋" w:cs="仿宋_GB2312"/>
          <w:color w:val="auto"/>
          <w:highlight w:val="none"/>
        </w:rPr>
        <w:t>法</w:t>
      </w:r>
      <w:r>
        <w:rPr>
          <w:rFonts w:hint="eastAsia" w:ascii="仿宋" w:hAnsi="仿宋" w:eastAsia="仿宋" w:cs="Arial"/>
          <w:color w:val="auto"/>
          <w:kern w:val="0"/>
          <w:highlight w:val="none"/>
        </w:rPr>
        <w:t>或者政府采购法实施条例等法律法规规定</w:t>
      </w:r>
      <w:r>
        <w:rPr>
          <w:rFonts w:hint="eastAsia" w:ascii="仿宋" w:hAnsi="仿宋" w:eastAsia="仿宋" w:cs="仿宋_GB2312"/>
          <w:color w:val="auto"/>
          <w:highlight w:val="none"/>
        </w:rPr>
        <w:t>的行为，经改正后仍然影响或者可能影响中标、成交结果或者依法被认定为中标、成交无效的，依照</w:t>
      </w:r>
      <w:r>
        <w:rPr>
          <w:rFonts w:ascii="仿宋" w:hAnsi="仿宋" w:eastAsia="仿宋" w:cs="仿宋_GB2312"/>
          <w:color w:val="auto"/>
          <w:highlight w:val="none"/>
        </w:rPr>
        <w:t>7.1-7.4规定处理。</w:t>
      </w:r>
      <w:bookmarkEnd w:id="26"/>
      <w:bookmarkStart w:id="400" w:name="第五部分"/>
      <w:bookmarkStart w:id="401" w:name="_Toc86217003"/>
      <w:r>
        <w:rPr>
          <w:rFonts w:ascii="仿宋" w:hAnsi="仿宋" w:eastAsia="仿宋" w:cs="仿宋_GB2312"/>
          <w:b/>
          <w:color w:val="auto"/>
          <w:sz w:val="36"/>
          <w:szCs w:val="36"/>
          <w:highlight w:val="none"/>
        </w:rPr>
        <w:t xml:space="preserve">   </w:t>
      </w:r>
    </w:p>
    <w:p>
      <w:pPr>
        <w:spacing w:line="360" w:lineRule="auto"/>
        <w:ind w:left="720" w:leftChars="343" w:firstLine="1084" w:firstLineChars="300"/>
        <w:outlineLvl w:val="0"/>
        <w:rPr>
          <w:rFonts w:ascii="仿宋" w:hAnsi="仿宋" w:eastAsia="仿宋" w:cs="仿宋_GB2312"/>
          <w:b/>
          <w:color w:val="auto"/>
          <w:sz w:val="36"/>
          <w:szCs w:val="36"/>
          <w:highlight w:val="none"/>
        </w:rPr>
      </w:pPr>
    </w:p>
    <w:p>
      <w:pPr>
        <w:spacing w:line="360" w:lineRule="auto"/>
        <w:ind w:left="720" w:leftChars="343" w:firstLine="1084" w:firstLineChars="300"/>
        <w:outlineLvl w:val="0"/>
        <w:rPr>
          <w:rFonts w:ascii="仿宋" w:hAnsi="仿宋" w:eastAsia="仿宋" w:cs="仿宋_GB2312"/>
          <w:b/>
          <w:color w:val="auto"/>
          <w:sz w:val="36"/>
          <w:szCs w:val="36"/>
          <w:highlight w:val="none"/>
        </w:rPr>
      </w:pPr>
    </w:p>
    <w:p>
      <w:pPr>
        <w:spacing w:line="360" w:lineRule="auto"/>
        <w:ind w:left="720" w:leftChars="343" w:firstLine="1084" w:firstLineChars="300"/>
        <w:outlineLvl w:val="0"/>
        <w:rPr>
          <w:rFonts w:ascii="仿宋" w:hAnsi="仿宋" w:eastAsia="仿宋" w:cs="仿宋_GB2312"/>
          <w:b/>
          <w:color w:val="auto"/>
          <w:sz w:val="36"/>
          <w:szCs w:val="36"/>
          <w:highlight w:val="none"/>
        </w:rPr>
      </w:pPr>
    </w:p>
    <w:p>
      <w:pPr>
        <w:spacing w:line="360" w:lineRule="auto"/>
        <w:ind w:left="720" w:leftChars="343" w:firstLine="1050" w:firstLineChars="500"/>
        <w:outlineLvl w:val="0"/>
        <w:rPr>
          <w:rFonts w:ascii="仿宋" w:hAnsi="仿宋" w:eastAsia="仿宋"/>
          <w:color w:val="auto"/>
          <w:highlight w:val="none"/>
        </w:rPr>
      </w:pPr>
    </w:p>
    <w:p>
      <w:pP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br w:type="page"/>
      </w:r>
    </w:p>
    <w:p>
      <w:pPr>
        <w:spacing w:line="360" w:lineRule="auto"/>
        <w:ind w:left="720" w:leftChars="343" w:firstLine="1606" w:firstLineChars="500"/>
        <w:outlineLvl w:val="0"/>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第五部分</w:t>
      </w:r>
      <w:r>
        <w:rPr>
          <w:rFonts w:ascii="仿宋" w:hAnsi="仿宋" w:eastAsia="仿宋" w:cs="仿宋_GB2312"/>
          <w:b/>
          <w:color w:val="auto"/>
          <w:sz w:val="32"/>
          <w:szCs w:val="32"/>
          <w:highlight w:val="none"/>
        </w:rPr>
        <w:t xml:space="preserve"> </w:t>
      </w:r>
      <w:r>
        <w:rPr>
          <w:rFonts w:hint="eastAsia" w:ascii="仿宋" w:hAnsi="仿宋" w:eastAsia="仿宋" w:cs="仿宋_GB2312"/>
          <w:b/>
          <w:color w:val="auto"/>
          <w:sz w:val="32"/>
          <w:szCs w:val="32"/>
          <w:highlight w:val="none"/>
        </w:rPr>
        <w:t>拟签订的合同文本</w:t>
      </w:r>
    </w:p>
    <w:p>
      <w:pPr>
        <w:rPr>
          <w:rFonts w:ascii="仿宋" w:hAnsi="仿宋" w:eastAsia="仿宋"/>
          <w:color w:val="auto"/>
          <w:sz w:val="32"/>
          <w:szCs w:val="32"/>
          <w:highlight w:val="none"/>
        </w:rPr>
      </w:pPr>
    </w:p>
    <w:p>
      <w:pPr>
        <w:rPr>
          <w:rFonts w:ascii="仿宋" w:hAnsi="仿宋" w:eastAsia="仿宋"/>
          <w:color w:val="auto"/>
          <w:sz w:val="32"/>
          <w:szCs w:val="32"/>
          <w:highlight w:val="none"/>
        </w:rPr>
      </w:pPr>
    </w:p>
    <w:p>
      <w:pPr>
        <w:rPr>
          <w:rFonts w:ascii="仿宋" w:hAnsi="仿宋" w:eastAsia="仿宋"/>
          <w:color w:val="auto"/>
          <w:sz w:val="32"/>
          <w:szCs w:val="32"/>
          <w:highlight w:val="none"/>
          <w:u w:val="single"/>
        </w:rPr>
      </w:pPr>
      <w:r>
        <w:rPr>
          <w:rFonts w:hint="eastAsia" w:ascii="仿宋" w:hAnsi="仿宋" w:eastAsia="仿宋"/>
          <w:color w:val="auto"/>
          <w:sz w:val="32"/>
          <w:szCs w:val="32"/>
          <w:highlight w:val="none"/>
        </w:rPr>
        <w:t>合同编号：</w:t>
      </w:r>
      <w:r>
        <w:rPr>
          <w:rFonts w:ascii="仿宋" w:hAnsi="仿宋" w:eastAsia="仿宋"/>
          <w:color w:val="auto"/>
          <w:sz w:val="32"/>
          <w:szCs w:val="32"/>
          <w:highlight w:val="none"/>
          <w:u w:val="single"/>
        </w:rPr>
        <w:t xml:space="preserve">           </w:t>
      </w:r>
    </w:p>
    <w:p>
      <w:pPr>
        <w:spacing w:line="480" w:lineRule="auto"/>
        <w:jc w:val="center"/>
        <w:rPr>
          <w:rFonts w:ascii="仿宋" w:hAnsi="仿宋" w:eastAsia="仿宋"/>
          <w:b/>
          <w:color w:val="auto"/>
          <w:sz w:val="32"/>
          <w:szCs w:val="32"/>
          <w:highlight w:val="none"/>
        </w:rPr>
      </w:pPr>
    </w:p>
    <w:p>
      <w:pPr>
        <w:spacing w:line="480" w:lineRule="auto"/>
        <w:jc w:val="center"/>
        <w:rPr>
          <w:rFonts w:ascii="仿宋" w:hAnsi="仿宋" w:eastAsia="仿宋"/>
          <w:b/>
          <w:color w:val="auto"/>
          <w:sz w:val="32"/>
          <w:szCs w:val="32"/>
          <w:highlight w:val="none"/>
        </w:rPr>
      </w:pPr>
    </w:p>
    <w:p>
      <w:pPr>
        <w:spacing w:line="480" w:lineRule="auto"/>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政府采购合同参考范本</w:t>
      </w:r>
    </w:p>
    <w:p>
      <w:pPr>
        <w:spacing w:line="480" w:lineRule="auto"/>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（货物类）</w:t>
      </w:r>
    </w:p>
    <w:p>
      <w:pPr>
        <w:pStyle w:val="703"/>
        <w:rPr>
          <w:rFonts w:ascii="仿宋" w:hAnsi="仿宋" w:eastAsia="仿宋"/>
          <w:color w:val="auto"/>
          <w:szCs w:val="24"/>
          <w:highlight w:val="none"/>
        </w:rPr>
      </w:pPr>
    </w:p>
    <w:p>
      <w:pPr>
        <w:pStyle w:val="25"/>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600"/>
        <w:spacing w:before="120" w:line="22" w:lineRule="atLeast"/>
        <w:rPr>
          <w:rFonts w:ascii="仿宋" w:hAnsi="仿宋" w:eastAsia="仿宋"/>
          <w:color w:val="auto"/>
          <w:szCs w:val="24"/>
          <w:highlight w:val="none"/>
        </w:rPr>
      </w:pPr>
    </w:p>
    <w:p>
      <w:pPr>
        <w:pStyle w:val="600"/>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sectPr>
          <w:headerReference r:id="rId8" w:type="default"/>
          <w:pgSz w:w="11907" w:h="16840"/>
          <w:pgMar w:top="1474" w:right="1304" w:bottom="1474" w:left="1531" w:header="851" w:footer="850" w:gutter="0"/>
          <w:cols w:space="0" w:num="1"/>
        </w:sectPr>
      </w:pPr>
    </w:p>
    <w:p>
      <w:pPr>
        <w:pStyle w:val="33"/>
        <w:spacing w:line="400" w:lineRule="exact"/>
        <w:ind w:firstLine="420"/>
        <w:rPr>
          <w:rFonts w:ascii="仿宋" w:hAnsi="仿宋" w:eastAsia="仿宋" w:cs="宋体"/>
          <w:color w:val="auto"/>
          <w:highlight w:val="none"/>
        </w:rPr>
      </w:pPr>
    </w:p>
    <w:p>
      <w:pPr>
        <w:pStyle w:val="33"/>
        <w:spacing w:line="400" w:lineRule="exact"/>
        <w:ind w:firstLine="420"/>
        <w:rPr>
          <w:rFonts w:ascii="仿宋" w:hAnsi="仿宋" w:eastAsia="仿宋" w:cs="宋体"/>
          <w:color w:val="auto"/>
          <w:highlight w:val="none"/>
        </w:rPr>
      </w:pPr>
      <w:bookmarkStart w:id="402" w:name="_Toc72929152"/>
      <w:r>
        <w:rPr>
          <w:rFonts w:hint="eastAsia" w:ascii="仿宋" w:hAnsi="仿宋" w:eastAsia="仿宋" w:cs="宋体"/>
          <w:color w:val="auto"/>
          <w:highlight w:val="none"/>
        </w:rPr>
        <w:t xml:space="preserve">甲  方（委托方）： </w:t>
      </w:r>
    </w:p>
    <w:p>
      <w:pPr>
        <w:pStyle w:val="33"/>
        <w:spacing w:line="400" w:lineRule="exact"/>
        <w:ind w:firstLine="420"/>
        <w:rPr>
          <w:rFonts w:ascii="仿宋" w:hAnsi="仿宋" w:eastAsia="仿宋" w:cs="宋体"/>
          <w:color w:val="auto"/>
          <w:highlight w:val="none"/>
        </w:rPr>
      </w:pPr>
      <w:r>
        <w:rPr>
          <w:rFonts w:hint="eastAsia" w:ascii="仿宋" w:hAnsi="仿宋" w:eastAsia="仿宋" w:cs="宋体"/>
          <w:color w:val="auto"/>
          <w:highlight w:val="none"/>
        </w:rPr>
        <w:t xml:space="preserve">乙  方（受托方）： </w:t>
      </w:r>
    </w:p>
    <w:p>
      <w:pPr>
        <w:pStyle w:val="33"/>
        <w:spacing w:line="400" w:lineRule="exact"/>
        <w:ind w:firstLine="420"/>
        <w:rPr>
          <w:rFonts w:ascii="仿宋" w:hAnsi="仿宋" w:eastAsia="仿宋" w:cs="宋体"/>
          <w:bCs/>
          <w:color w:val="auto"/>
          <w:highlight w:val="none"/>
        </w:rPr>
      </w:pPr>
      <w:r>
        <w:rPr>
          <w:rFonts w:hint="eastAsia" w:ascii="仿宋" w:hAnsi="仿宋" w:eastAsia="仿宋" w:cs="宋体"/>
          <w:bCs/>
          <w:color w:val="auto"/>
          <w:highlight w:val="none"/>
        </w:rPr>
        <w:t>采购代理机构（鉴证方）：</w:t>
      </w:r>
    </w:p>
    <w:p>
      <w:pPr>
        <w:ind w:firstLine="420"/>
        <w:jc w:val="center"/>
        <w:rPr>
          <w:rFonts w:ascii="仿宋" w:hAnsi="仿宋" w:eastAsia="仿宋" w:cs="宋体"/>
          <w:color w:val="auto"/>
          <w:szCs w:val="21"/>
          <w:highlight w:val="none"/>
        </w:rPr>
      </w:pP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根据《中华人民共和国民法典》等法律法规和浙江交通职业技术学院智慧平安校园建设（采购编号：BSZB2022-AZZG041），招标文件，投标响应文件、询标澄清记录等相关材料；经双方协商，同意签订本合同，共同遵守。</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 xml:space="preserve">一、采购产品清单及合同价格                        </w:t>
      </w:r>
    </w:p>
    <w:tbl>
      <w:tblPr>
        <w:tblStyle w:val="63"/>
        <w:tblW w:w="0" w:type="auto"/>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240"/>
        <w:gridCol w:w="1260"/>
        <w:gridCol w:w="126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160" w:type="dxa"/>
            <w:vAlign w:val="center"/>
          </w:tcPr>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品名</w:t>
            </w:r>
          </w:p>
        </w:tc>
        <w:tc>
          <w:tcPr>
            <w:tcW w:w="3240" w:type="dxa"/>
            <w:vAlign w:val="center"/>
          </w:tcPr>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技术参数</w:t>
            </w:r>
          </w:p>
        </w:tc>
        <w:tc>
          <w:tcPr>
            <w:tcW w:w="1260" w:type="dxa"/>
            <w:vAlign w:val="center"/>
          </w:tcPr>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数量</w:t>
            </w:r>
          </w:p>
        </w:tc>
        <w:tc>
          <w:tcPr>
            <w:tcW w:w="1260" w:type="dxa"/>
            <w:vAlign w:val="center"/>
          </w:tcPr>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单价</w:t>
            </w:r>
          </w:p>
        </w:tc>
        <w:tc>
          <w:tcPr>
            <w:tcW w:w="1321" w:type="dxa"/>
            <w:vAlign w:val="center"/>
          </w:tcPr>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160" w:type="dxa"/>
            <w:vAlign w:val="center"/>
          </w:tcPr>
          <w:p>
            <w:pPr>
              <w:spacing w:line="400" w:lineRule="exact"/>
              <w:ind w:firstLine="420" w:firstLineChars="200"/>
              <w:rPr>
                <w:rFonts w:ascii="仿宋" w:hAnsi="仿宋" w:eastAsia="仿宋" w:cs="宋体"/>
                <w:bCs/>
                <w:color w:val="auto"/>
                <w:szCs w:val="21"/>
                <w:highlight w:val="none"/>
              </w:rPr>
            </w:pPr>
          </w:p>
        </w:tc>
        <w:tc>
          <w:tcPr>
            <w:tcW w:w="3240" w:type="dxa"/>
            <w:vAlign w:val="center"/>
          </w:tcPr>
          <w:p>
            <w:pPr>
              <w:spacing w:line="400" w:lineRule="exact"/>
              <w:ind w:firstLine="420" w:firstLineChars="200"/>
              <w:rPr>
                <w:rFonts w:ascii="仿宋" w:hAnsi="仿宋" w:eastAsia="仿宋" w:cs="宋体"/>
                <w:bCs/>
                <w:color w:val="auto"/>
                <w:szCs w:val="21"/>
                <w:highlight w:val="none"/>
              </w:rPr>
            </w:pPr>
          </w:p>
        </w:tc>
        <w:tc>
          <w:tcPr>
            <w:tcW w:w="1260" w:type="dxa"/>
            <w:vAlign w:val="center"/>
          </w:tcPr>
          <w:p>
            <w:pPr>
              <w:spacing w:line="400" w:lineRule="exact"/>
              <w:ind w:firstLine="420" w:firstLineChars="200"/>
              <w:rPr>
                <w:rFonts w:ascii="仿宋" w:hAnsi="仿宋" w:eastAsia="仿宋" w:cs="宋体"/>
                <w:bCs/>
                <w:color w:val="auto"/>
                <w:szCs w:val="21"/>
                <w:highlight w:val="none"/>
              </w:rPr>
            </w:pPr>
          </w:p>
        </w:tc>
        <w:tc>
          <w:tcPr>
            <w:tcW w:w="1260" w:type="dxa"/>
            <w:vAlign w:val="center"/>
          </w:tcPr>
          <w:p>
            <w:pPr>
              <w:spacing w:line="400" w:lineRule="exact"/>
              <w:ind w:firstLine="420" w:firstLineChars="200"/>
              <w:rPr>
                <w:rFonts w:ascii="仿宋" w:hAnsi="仿宋" w:eastAsia="仿宋" w:cs="宋体"/>
                <w:bCs/>
                <w:color w:val="auto"/>
                <w:szCs w:val="21"/>
                <w:highlight w:val="none"/>
              </w:rPr>
            </w:pPr>
          </w:p>
        </w:tc>
        <w:tc>
          <w:tcPr>
            <w:tcW w:w="1321" w:type="dxa"/>
            <w:tcBorders>
              <w:bottom w:val="single" w:color="auto" w:sz="4" w:space="0"/>
            </w:tcBorders>
            <w:vAlign w:val="center"/>
          </w:tcPr>
          <w:p>
            <w:pPr>
              <w:spacing w:line="400" w:lineRule="exact"/>
              <w:ind w:firstLine="420" w:firstLineChars="200"/>
              <w:rPr>
                <w:rFonts w:ascii="仿宋" w:hAnsi="仿宋" w:eastAsia="仿宋"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160" w:type="dxa"/>
            <w:vAlign w:val="center"/>
          </w:tcPr>
          <w:p>
            <w:pPr>
              <w:spacing w:line="400" w:lineRule="exact"/>
              <w:ind w:firstLine="420" w:firstLineChars="200"/>
              <w:rPr>
                <w:rFonts w:ascii="仿宋" w:hAnsi="仿宋" w:eastAsia="仿宋" w:cs="宋体"/>
                <w:bCs/>
                <w:color w:val="auto"/>
                <w:szCs w:val="21"/>
                <w:highlight w:val="none"/>
              </w:rPr>
            </w:pPr>
          </w:p>
        </w:tc>
        <w:tc>
          <w:tcPr>
            <w:tcW w:w="3240" w:type="dxa"/>
            <w:vAlign w:val="center"/>
          </w:tcPr>
          <w:p>
            <w:pPr>
              <w:spacing w:line="400" w:lineRule="exact"/>
              <w:ind w:firstLine="420" w:firstLineChars="200"/>
              <w:rPr>
                <w:rFonts w:ascii="仿宋" w:hAnsi="仿宋" w:eastAsia="仿宋" w:cs="宋体"/>
                <w:bCs/>
                <w:color w:val="auto"/>
                <w:szCs w:val="21"/>
                <w:highlight w:val="none"/>
              </w:rPr>
            </w:pPr>
          </w:p>
        </w:tc>
        <w:tc>
          <w:tcPr>
            <w:tcW w:w="1260" w:type="dxa"/>
            <w:vAlign w:val="center"/>
          </w:tcPr>
          <w:p>
            <w:pPr>
              <w:spacing w:line="400" w:lineRule="exact"/>
              <w:ind w:firstLine="420" w:firstLineChars="200"/>
              <w:rPr>
                <w:rFonts w:ascii="仿宋" w:hAnsi="仿宋" w:eastAsia="仿宋" w:cs="宋体"/>
                <w:bCs/>
                <w:color w:val="auto"/>
                <w:szCs w:val="21"/>
                <w:highlight w:val="none"/>
              </w:rPr>
            </w:pPr>
          </w:p>
        </w:tc>
        <w:tc>
          <w:tcPr>
            <w:tcW w:w="1260" w:type="dxa"/>
            <w:vAlign w:val="center"/>
          </w:tcPr>
          <w:p>
            <w:pPr>
              <w:spacing w:line="400" w:lineRule="exact"/>
              <w:ind w:firstLine="420" w:firstLineChars="200"/>
              <w:rPr>
                <w:rFonts w:ascii="仿宋" w:hAnsi="仿宋" w:eastAsia="仿宋" w:cs="宋体"/>
                <w:bCs/>
                <w:color w:val="auto"/>
                <w:szCs w:val="21"/>
                <w:highlight w:val="none"/>
              </w:rPr>
            </w:pPr>
          </w:p>
        </w:tc>
        <w:tc>
          <w:tcPr>
            <w:tcW w:w="1321" w:type="dxa"/>
            <w:tcBorders>
              <w:bottom w:val="single" w:color="auto" w:sz="4" w:space="0"/>
            </w:tcBorders>
            <w:vAlign w:val="center"/>
          </w:tcPr>
          <w:p>
            <w:pPr>
              <w:spacing w:line="400" w:lineRule="exact"/>
              <w:ind w:firstLine="420" w:firstLineChars="200"/>
              <w:rPr>
                <w:rFonts w:ascii="仿宋" w:hAnsi="仿宋" w:eastAsia="仿宋"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160" w:type="dxa"/>
            <w:vAlign w:val="center"/>
          </w:tcPr>
          <w:p>
            <w:pPr>
              <w:spacing w:line="400" w:lineRule="exact"/>
              <w:ind w:firstLine="420" w:firstLineChars="200"/>
              <w:rPr>
                <w:rFonts w:ascii="仿宋" w:hAnsi="仿宋" w:eastAsia="仿宋" w:cs="宋体"/>
                <w:bCs/>
                <w:color w:val="auto"/>
                <w:szCs w:val="21"/>
                <w:highlight w:val="none"/>
              </w:rPr>
            </w:pPr>
          </w:p>
        </w:tc>
        <w:tc>
          <w:tcPr>
            <w:tcW w:w="3240" w:type="dxa"/>
            <w:vAlign w:val="center"/>
          </w:tcPr>
          <w:p>
            <w:pPr>
              <w:spacing w:line="400" w:lineRule="exact"/>
              <w:ind w:firstLine="420" w:firstLineChars="200"/>
              <w:rPr>
                <w:rFonts w:ascii="仿宋" w:hAnsi="仿宋" w:eastAsia="仿宋" w:cs="宋体"/>
                <w:bCs/>
                <w:color w:val="auto"/>
                <w:szCs w:val="21"/>
                <w:highlight w:val="none"/>
              </w:rPr>
            </w:pPr>
          </w:p>
        </w:tc>
        <w:tc>
          <w:tcPr>
            <w:tcW w:w="1260" w:type="dxa"/>
            <w:vAlign w:val="center"/>
          </w:tcPr>
          <w:p>
            <w:pPr>
              <w:spacing w:line="400" w:lineRule="exact"/>
              <w:ind w:firstLine="420" w:firstLineChars="200"/>
              <w:rPr>
                <w:rFonts w:ascii="仿宋" w:hAnsi="仿宋" w:eastAsia="仿宋" w:cs="宋体"/>
                <w:bCs/>
                <w:color w:val="auto"/>
                <w:szCs w:val="21"/>
                <w:highlight w:val="none"/>
              </w:rPr>
            </w:pPr>
          </w:p>
        </w:tc>
        <w:tc>
          <w:tcPr>
            <w:tcW w:w="1260" w:type="dxa"/>
            <w:vAlign w:val="center"/>
          </w:tcPr>
          <w:p>
            <w:pPr>
              <w:spacing w:line="400" w:lineRule="exact"/>
              <w:ind w:firstLine="420" w:firstLineChars="200"/>
              <w:rPr>
                <w:rFonts w:ascii="仿宋" w:hAnsi="仿宋" w:eastAsia="仿宋" w:cs="宋体"/>
                <w:bCs/>
                <w:color w:val="auto"/>
                <w:szCs w:val="21"/>
                <w:highlight w:val="none"/>
              </w:rPr>
            </w:pPr>
          </w:p>
        </w:tc>
        <w:tc>
          <w:tcPr>
            <w:tcW w:w="1321" w:type="dxa"/>
            <w:tcBorders>
              <w:bottom w:val="single" w:color="auto" w:sz="4" w:space="0"/>
            </w:tcBorders>
            <w:vAlign w:val="center"/>
          </w:tcPr>
          <w:p>
            <w:pPr>
              <w:spacing w:line="400" w:lineRule="exact"/>
              <w:ind w:firstLine="420" w:firstLineChars="200"/>
              <w:rPr>
                <w:rFonts w:ascii="仿宋" w:hAnsi="仿宋" w:eastAsia="仿宋"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920" w:type="dxa"/>
            <w:gridSpan w:val="4"/>
            <w:vAlign w:val="center"/>
          </w:tcPr>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合计：</w:t>
            </w:r>
          </w:p>
        </w:tc>
        <w:tc>
          <w:tcPr>
            <w:tcW w:w="1321" w:type="dxa"/>
            <w:vAlign w:val="center"/>
          </w:tcPr>
          <w:p>
            <w:pPr>
              <w:spacing w:line="400" w:lineRule="exact"/>
              <w:ind w:firstLine="420" w:firstLineChars="200"/>
              <w:rPr>
                <w:rFonts w:ascii="仿宋" w:hAnsi="仿宋" w:eastAsia="仿宋"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241" w:type="dxa"/>
            <w:gridSpan w:val="5"/>
            <w:vAlign w:val="center"/>
          </w:tcPr>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 xml:space="preserve">合同总价（人民币大写）： </w:t>
            </w:r>
          </w:p>
        </w:tc>
      </w:tr>
    </w:tbl>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注：本合同价已经包括货款、标准附件、备品备件、专用工具、资料手册、包装、运输、装卸、保险、税金、货到就位以及安装、调试、培训、保修等一切税金和费用。</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二、质量保证</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1、乙方所提供的货物技术规格符合采购文件规定的技术规格，货物符合中华人民共和国的设计和制造生产标准或行业标准。</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2、乙方应保证货物是全新、未使用过的原装合格正品（包括零部件），并完全符合甲方要求的质量、规格和性能要求。如货物安装或配置了软件，乙方保证相关软件均为正版软件。</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三、技术资料</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1、乙方应按采购文件规定的时间向甲方提供使用货物的有关技术资料。</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没有甲方事先书面同意，乙方不得将由甲方提供的有关合同或任何合同条文、规格、计划、图纸、样品或资料提供给与履行本合同无关的任何其他人。即向履行本合同有关的人员提供，也是应注意保密并限于履行合同的必需范围。</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四、知识产权</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1、乙方应保证所提供的货物或其任何一部分均不会侵犯任何第三方产权。</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五、产权担保</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1、乙方保证所交付的货物的所有权完全属于乙方且无任何抵押、查封等产权瑕疵。</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六、转包或分包</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1、本合同范围的货物，应由乙方直接供应，不得转让他人供应；</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2、除非得到甲方的书面同意，乙方不得将本合同范围的货物全部或部分分包给他人供应；</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3、如有转让和未经甲方同意的分包行为，甲方有权解除合同，没收履约保证金并追究乙方的违约责任。</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七、项目实施时间、地点</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1、项目实施周期：</w:t>
      </w:r>
      <w:r>
        <w:rPr>
          <w:rFonts w:hint="eastAsia" w:ascii="仿宋" w:hAnsi="仿宋" w:eastAsia="仿宋" w:cs="宋体"/>
          <w:bCs/>
          <w:color w:val="auto"/>
          <w:szCs w:val="21"/>
          <w:highlight w:val="none"/>
          <w:u w:val="single"/>
        </w:rPr>
        <w:t xml:space="preserve">                     </w:t>
      </w:r>
      <w:r>
        <w:rPr>
          <w:rFonts w:hint="eastAsia" w:ascii="仿宋" w:hAnsi="仿宋" w:eastAsia="仿宋" w:cs="宋体"/>
          <w:bCs/>
          <w:color w:val="auto"/>
          <w:szCs w:val="21"/>
          <w:highlight w:val="none"/>
        </w:rPr>
        <w:t>。</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2、实施地点：浙江交通职业技术学院。</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八、履约保证金</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 xml:space="preserve">合同签订后5个工作日内，乙方应以支票/汇票/电汇/或金融机构、担保机构出据的保函等非现金形式，向甲方提交合同金额2.5%的履约保证金，质保期满按合同约定扣除相关款项（如有）后20天内无息退还。    </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九、付款方式</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合同签订后</w:t>
      </w:r>
      <w:r>
        <w:rPr>
          <w:rFonts w:hint="eastAsia" w:ascii="仿宋" w:hAnsi="仿宋" w:eastAsia="仿宋" w:cs="宋体"/>
          <w:bCs/>
          <w:color w:val="auto"/>
          <w:szCs w:val="21"/>
          <w:highlight w:val="none"/>
          <w:lang w:val="en-US" w:eastAsia="zh-CN"/>
        </w:rPr>
        <w:t>7</w:t>
      </w:r>
      <w:r>
        <w:rPr>
          <w:rFonts w:hint="eastAsia" w:ascii="仿宋" w:hAnsi="仿宋" w:eastAsia="仿宋" w:cs="宋体"/>
          <w:bCs/>
          <w:color w:val="auto"/>
          <w:szCs w:val="21"/>
          <w:highlight w:val="none"/>
        </w:rPr>
        <w:t>个工作日内，甲方支付合同总价40%的预付款，项目建设完成并通过甲方验收合格，由甲方在</w:t>
      </w:r>
      <w:r>
        <w:rPr>
          <w:rFonts w:hint="eastAsia" w:ascii="仿宋" w:hAnsi="仿宋" w:eastAsia="仿宋" w:cs="宋体"/>
          <w:bCs/>
          <w:color w:val="auto"/>
          <w:szCs w:val="21"/>
          <w:highlight w:val="none"/>
          <w:lang w:val="en-US" w:eastAsia="zh-CN"/>
        </w:rPr>
        <w:t>7个工作日</w:t>
      </w:r>
      <w:r>
        <w:rPr>
          <w:rFonts w:hint="eastAsia" w:ascii="仿宋" w:hAnsi="仿宋" w:eastAsia="仿宋" w:cs="宋体"/>
          <w:bCs/>
          <w:color w:val="auto"/>
          <w:szCs w:val="21"/>
          <w:highlight w:val="none"/>
        </w:rPr>
        <w:t>内一次性付清合同款项。</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十、税费</w:t>
      </w:r>
      <w:bookmarkStart w:id="410" w:name="_GoBack"/>
      <w:bookmarkEnd w:id="410"/>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本合同执行中相关的一切税费均由乙方承担。</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十一、售后服务</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1、设备（产品）质保期不少于</w:t>
      </w:r>
      <w:r>
        <w:rPr>
          <w:rFonts w:hint="eastAsia" w:ascii="仿宋" w:hAnsi="仿宋" w:eastAsia="仿宋" w:cs="宋体"/>
          <w:bCs/>
          <w:color w:val="auto"/>
          <w:szCs w:val="21"/>
          <w:highlight w:val="none"/>
          <w:u w:val="single"/>
        </w:rPr>
        <w:t xml:space="preserve">     </w:t>
      </w:r>
      <w:r>
        <w:rPr>
          <w:rFonts w:hint="eastAsia" w:ascii="仿宋" w:hAnsi="仿宋" w:eastAsia="仿宋" w:cs="宋体"/>
          <w:bCs/>
          <w:color w:val="auto"/>
          <w:szCs w:val="21"/>
          <w:highlight w:val="none"/>
        </w:rPr>
        <w:t>年。产品质保期为通过验收之日起开始计算。</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2、因乙方的原因出现问题，应免费到现场进行再次调试，直至系统恢复正常为止。</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3、保修期内，免费提供维修及软件维护、升级等技术支持服务；所有产品维修服务、软件维护、升级均为上门服务，由此产生的费用均不再收取。</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4、在质保期内，发生系统故障等问题，乙方应在接到报修通知后，在2小时内提出解决方案和操作建议，远程指导争取当日解决，如不能解决，维修人员应在48小时内到达现场，查明故障原因并予以解决；对于损坏的设备，供应商在接到甲方通知后，在3天内完成损坏设备的维修更换，使系统或设备恢复正常工作。备件、人员、交通等费用完全由乙方承担。</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5、技术支持：乙方应及时免费提供合同货物软件（如有）的升级，免费提供合同货物新功能和应用的资料。</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十二、培训</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 xml:space="preserve">    </w:t>
      </w:r>
      <w:r>
        <w:rPr>
          <w:rFonts w:hint="eastAsia" w:ascii="仿宋" w:hAnsi="仿宋" w:eastAsia="仿宋" w:cs="宋体"/>
          <w:bCs/>
          <w:color w:val="auto"/>
          <w:szCs w:val="21"/>
          <w:highlight w:val="none"/>
          <w:u w:val="single"/>
        </w:rPr>
        <w:t xml:space="preserve">          </w:t>
      </w:r>
      <w:r>
        <w:rPr>
          <w:rFonts w:hint="eastAsia" w:ascii="仿宋" w:hAnsi="仿宋" w:eastAsia="仿宋" w:cs="宋体"/>
          <w:bCs/>
          <w:color w:val="auto"/>
          <w:szCs w:val="21"/>
          <w:highlight w:val="none"/>
        </w:rPr>
        <w:t>。</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十三、安装调试（若需要安装调试）</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1、安装地点：甲方指定地点。</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2、安装标准：符合我国国家有关技术规范要求和技术标准。</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3、乙方应免费提供合同货物的安装服务。</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4、乙方在投标文件中应提供安装调试计划、对安装场地和环境的要求。</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十四、验收</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乙方应提供合同货物的有效检验文件，经甲方认可后，与货物的性能指标一起作为合同货物验收标准。甲方对合同货物验收合格后，双方共同签署验收合格证书，验收中发现合同货物达不到验收标准或合同规定的性能指标，乙方必须更换合同货物，并负担由此给甲方造成的损失，直到验收合格为止。</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2、乙方应于投标文件中提供合同货物的验收标准和检测办法，并在验收中提供甲方认可的相应检测手段，验收标准应符合中国有关的国家、地方、行业的标准，经甲方确认后作为验收的依据。</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3、如乙方委托国内代理（或其他机构）负责安装或配合安装，应在签约时指明，但乙方仍要对合同货物及其安装质量负全部责任。</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4、验收费用由乙方承担。</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十五、货物包装、发运及运输</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1、乙方应在货物发运前对其进行满足运输距离、防潮、防震、防锈和防破损装卸等要求包装，以保证货物安全运达甲方指定地点。</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2、使用说明书、质量检验证明书、随配附件和工具以及清单一并附于货物内。</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3、乙方在货物发运手续办理毕后24小时内货到甲方48小时前通知甲方，以准备接货。</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4、货物在交付甲方前发生的风险均由乙方负责。</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5、货物在规定的交付期限内由乙方送达甲方指定的地点视为交付，乙方同时需通知甲方货物已送达。</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十六、违约责任</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1、甲方无正当理由拒收货物的，甲方向乙方偿付拒收货款总值的百分之五的违约金。</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2、甲方无故逾期验收和支付手续的，甲方应按逾期付款总额每日万分之五向乙方支付违约金。</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3、乙方逾期交付货物的，乙方应按逾期交货总额每日千分之六向甲方支付违约金，由甲方从待付款中扣除。逾期超过约定日期10个工作日不能交货的，甲方解除本合同。乙方因逾期交货或因其他违约行为导致甲方解除合同的，乙方应向甲方支付合同总价5%的违约金，如造成甲方损失超过违约金的，超出部分由乙方继续承担赔偿责任。</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十七、不可抗力事件处理</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1、在合同有效期内，任何一方因不可抗力事件导致不能履行合同，则合同发行期可延长，其延长与不可抗力影响期相同。</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2、不可抗力事件发生后，应立即通知对方，并寄送有关权威机构出具的证明。</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3、不可抗力事件延续120天以上，双方应通过友好协商，确定是否继续履行合同。</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十八、诉讼</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1、双方在执行合同中所发生的一切争议，应通过协商解决。如协商不成，可向甲方所在地法院起诉。</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十九、合同的生效及其它</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1、本合同经甲方、乙方、鉴证方三方法定代表人或其委托人签字并加盖公章后生效。</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2、本合同未尽事宜，遵照《民法典》有关条文执行。</w:t>
      </w:r>
    </w:p>
    <w:p>
      <w:pPr>
        <w:spacing w:line="400" w:lineRule="exact"/>
        <w:ind w:firstLine="420" w:firstLineChars="200"/>
        <w:rPr>
          <w:rFonts w:ascii="仿宋" w:hAnsi="仿宋" w:eastAsia="仿宋" w:cs="宋体"/>
          <w:bCs/>
          <w:color w:val="auto"/>
          <w:szCs w:val="21"/>
          <w:highlight w:val="none"/>
        </w:rPr>
      </w:pPr>
      <w:r>
        <w:rPr>
          <w:rFonts w:hint="eastAsia" w:ascii="仿宋" w:hAnsi="仿宋" w:eastAsia="仿宋" w:cs="宋体"/>
          <w:bCs/>
          <w:color w:val="auto"/>
          <w:szCs w:val="21"/>
          <w:highlight w:val="none"/>
        </w:rPr>
        <w:t>3、本合同正本一式伍份，具有同等法律效力，甲乙双方各执二份、鉴证方执一份。合同自签字盖章之日起生效。</w:t>
      </w:r>
    </w:p>
    <w:p>
      <w:pPr>
        <w:pStyle w:val="33"/>
        <w:spacing w:line="400" w:lineRule="exact"/>
        <w:ind w:firstLine="422"/>
        <w:rPr>
          <w:rFonts w:ascii="仿宋" w:hAnsi="仿宋" w:eastAsia="仿宋" w:cs="宋体"/>
          <w:bCs/>
          <w:color w:val="auto"/>
          <w:highlight w:val="none"/>
        </w:rPr>
      </w:pPr>
    </w:p>
    <w:p>
      <w:pPr>
        <w:spacing w:line="400" w:lineRule="exact"/>
        <w:ind w:left="4200" w:hanging="4200" w:hangingChars="2000"/>
        <w:rPr>
          <w:rFonts w:ascii="仿宋" w:hAnsi="仿宋" w:eastAsia="仿宋" w:cs="宋体"/>
          <w:color w:val="auto"/>
          <w:szCs w:val="21"/>
          <w:highlight w:val="none"/>
        </w:rPr>
      </w:pPr>
    </w:p>
    <w:p>
      <w:pPr>
        <w:spacing w:line="400" w:lineRule="exact"/>
        <w:ind w:left="4200" w:hanging="4200" w:hangingChars="2000"/>
        <w:rPr>
          <w:rFonts w:ascii="仿宋" w:hAnsi="仿宋" w:eastAsia="仿宋" w:cs="宋体"/>
          <w:color w:val="auto"/>
          <w:szCs w:val="21"/>
          <w:highlight w:val="none"/>
        </w:rPr>
      </w:pPr>
      <w:r>
        <w:rPr>
          <w:rFonts w:hint="eastAsia" w:ascii="仿宋" w:hAnsi="仿宋" w:eastAsia="仿宋" w:cs="宋体"/>
          <w:color w:val="auto"/>
          <w:szCs w:val="21"/>
          <w:highlight w:val="none"/>
        </w:rPr>
        <w:t>甲方：浙江交通职业技术学院               乙方：</w:t>
      </w:r>
    </w:p>
    <w:p>
      <w:pPr>
        <w:spacing w:line="4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电话：                                   电话：</w:t>
      </w:r>
    </w:p>
    <w:p>
      <w:pPr>
        <w:spacing w:line="4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地址：                                   地址：</w:t>
      </w:r>
    </w:p>
    <w:p>
      <w:pPr>
        <w:spacing w:line="4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法人代表或授权委托代表（签字）：         法人代表或授权委托代表（签字）：</w:t>
      </w:r>
    </w:p>
    <w:p>
      <w:pPr>
        <w:spacing w:line="4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开户行：                                 开户行：</w:t>
      </w:r>
    </w:p>
    <w:p>
      <w:pPr>
        <w:spacing w:line="4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帐号：                                   帐号：</w:t>
      </w:r>
    </w:p>
    <w:p>
      <w:pPr>
        <w:spacing w:line="400" w:lineRule="exact"/>
        <w:rPr>
          <w:rFonts w:ascii="仿宋" w:hAnsi="仿宋" w:eastAsia="仿宋" w:cs="宋体"/>
          <w:bCs/>
          <w:color w:val="auto"/>
          <w:szCs w:val="21"/>
          <w:highlight w:val="none"/>
        </w:rPr>
      </w:pPr>
    </w:p>
    <w:p>
      <w:pPr>
        <w:pStyle w:val="3"/>
        <w:spacing w:line="400" w:lineRule="exact"/>
        <w:rPr>
          <w:rFonts w:ascii="仿宋" w:hAnsi="仿宋" w:eastAsia="仿宋" w:cs="宋体"/>
          <w:bCs w:val="0"/>
          <w:color w:val="auto"/>
          <w:sz w:val="21"/>
          <w:szCs w:val="21"/>
          <w:highlight w:val="none"/>
        </w:rPr>
      </w:pPr>
    </w:p>
    <w:p>
      <w:pPr>
        <w:spacing w:line="400" w:lineRule="exact"/>
        <w:rPr>
          <w:rFonts w:ascii="仿宋" w:hAnsi="仿宋" w:eastAsia="仿宋" w:cs="宋体"/>
          <w:bCs/>
          <w:color w:val="auto"/>
          <w:szCs w:val="21"/>
          <w:highlight w:val="none"/>
        </w:rPr>
      </w:pPr>
      <w:r>
        <w:rPr>
          <w:rFonts w:hint="eastAsia" w:ascii="仿宋" w:hAnsi="仿宋" w:eastAsia="仿宋" w:cs="宋体"/>
          <w:bCs/>
          <w:color w:val="auto"/>
          <w:szCs w:val="21"/>
          <w:highlight w:val="none"/>
        </w:rPr>
        <w:t>鉴证方：杭州博实招标代理有限公司</w:t>
      </w:r>
    </w:p>
    <w:p>
      <w:pPr>
        <w:spacing w:line="400" w:lineRule="exact"/>
        <w:rPr>
          <w:rFonts w:ascii="仿宋" w:hAnsi="仿宋" w:eastAsia="仿宋" w:cs="宋体"/>
          <w:bCs/>
          <w:color w:val="auto"/>
          <w:szCs w:val="21"/>
          <w:highlight w:val="none"/>
        </w:rPr>
      </w:pPr>
      <w:r>
        <w:rPr>
          <w:rFonts w:hint="eastAsia" w:ascii="仿宋" w:hAnsi="仿宋" w:eastAsia="仿宋" w:cs="宋体"/>
          <w:bCs/>
          <w:color w:val="auto"/>
          <w:szCs w:val="21"/>
          <w:highlight w:val="none"/>
        </w:rPr>
        <w:t>电话：</w:t>
      </w:r>
    </w:p>
    <w:p>
      <w:pPr>
        <w:spacing w:line="400" w:lineRule="exact"/>
        <w:rPr>
          <w:rFonts w:ascii="仿宋" w:hAnsi="仿宋" w:eastAsia="仿宋" w:cs="宋体"/>
          <w:bCs/>
          <w:color w:val="auto"/>
          <w:szCs w:val="21"/>
          <w:highlight w:val="none"/>
        </w:rPr>
      </w:pPr>
      <w:r>
        <w:rPr>
          <w:rFonts w:hint="eastAsia" w:ascii="仿宋" w:hAnsi="仿宋" w:eastAsia="仿宋" w:cs="宋体"/>
          <w:bCs/>
          <w:color w:val="auto"/>
          <w:szCs w:val="21"/>
          <w:highlight w:val="none"/>
        </w:rPr>
        <w:t>地址：</w:t>
      </w:r>
    </w:p>
    <w:p>
      <w:pPr>
        <w:spacing w:line="400" w:lineRule="exact"/>
        <w:rPr>
          <w:rFonts w:ascii="仿宋" w:hAnsi="仿宋" w:eastAsia="仿宋" w:cs="宋体"/>
          <w:bCs/>
          <w:color w:val="auto"/>
          <w:szCs w:val="21"/>
          <w:highlight w:val="none"/>
        </w:rPr>
      </w:pPr>
      <w:r>
        <w:rPr>
          <w:rFonts w:hint="eastAsia" w:ascii="仿宋" w:hAnsi="仿宋" w:eastAsia="仿宋" w:cs="宋体"/>
          <w:bCs/>
          <w:color w:val="auto"/>
          <w:szCs w:val="21"/>
          <w:highlight w:val="none"/>
        </w:rPr>
        <w:t>法人代表或授权委托代表（签字）：</w:t>
      </w:r>
    </w:p>
    <w:p>
      <w:pPr>
        <w:spacing w:line="400" w:lineRule="exact"/>
        <w:ind w:firstLine="6510" w:firstLineChars="3100"/>
        <w:rPr>
          <w:rFonts w:ascii="仿宋" w:hAnsi="仿宋" w:eastAsia="仿宋" w:cs="宋体"/>
          <w:color w:val="auto"/>
          <w:szCs w:val="21"/>
          <w:highlight w:val="none"/>
        </w:rPr>
      </w:pPr>
    </w:p>
    <w:p>
      <w:pPr>
        <w:spacing w:line="400" w:lineRule="exact"/>
        <w:ind w:firstLine="5040" w:firstLineChars="2400"/>
        <w:rPr>
          <w:rFonts w:ascii="仿宋" w:hAnsi="仿宋" w:eastAsia="仿宋" w:cs="宋体"/>
          <w:color w:val="auto"/>
          <w:szCs w:val="21"/>
          <w:highlight w:val="none"/>
        </w:rPr>
      </w:pPr>
      <w:r>
        <w:rPr>
          <w:rFonts w:hint="eastAsia" w:ascii="仿宋" w:hAnsi="仿宋" w:eastAsia="仿宋" w:cs="宋体"/>
          <w:color w:val="auto"/>
          <w:szCs w:val="21"/>
          <w:highlight w:val="none"/>
        </w:rPr>
        <w:t>签订日期：   年   月   日</w:t>
      </w:r>
    </w:p>
    <w:p>
      <w:pPr>
        <w:spacing w:line="360" w:lineRule="auto"/>
        <w:ind w:firstLine="5040" w:firstLineChars="2400"/>
        <w:rPr>
          <w:rFonts w:ascii="仿宋" w:hAnsi="仿宋" w:eastAsia="仿宋" w:cs="仿宋"/>
          <w:color w:val="auto"/>
          <w:szCs w:val="21"/>
          <w:highlight w:val="none"/>
        </w:rPr>
      </w:pPr>
      <w:r>
        <w:rPr>
          <w:rFonts w:hint="eastAsia" w:ascii="仿宋" w:hAnsi="仿宋" w:eastAsia="仿宋" w:cs="仿宋"/>
          <w:color w:val="auto"/>
          <w:szCs w:val="21"/>
          <w:highlight w:val="none"/>
        </w:rPr>
        <w:br w:type="page"/>
      </w:r>
      <w:bookmarkEnd w:id="402"/>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w:t>
      </w:r>
    </w:p>
    <w:p>
      <w:pPr>
        <w:spacing w:line="360" w:lineRule="auto"/>
        <w:ind w:left="720" w:firstLine="1446" w:firstLineChars="4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400"/>
      <w:r>
        <w:rPr>
          <w:rFonts w:ascii="仿宋" w:hAnsi="仿宋" w:eastAsia="仿宋" w:cs="仿宋_GB2312"/>
          <w:b/>
          <w:color w:val="auto"/>
          <w:sz w:val="36"/>
          <w:szCs w:val="20"/>
          <w:highlight w:val="none"/>
        </w:rPr>
        <w:t xml:space="preserve"> </w:t>
      </w:r>
      <w:bookmarkEnd w:id="401"/>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 w:hAnsi="仿宋" w:eastAsia="仿宋" w:cs="仿宋_GB2312"/>
          <w:b/>
          <w:color w:val="auto"/>
          <w:kern w:val="0"/>
          <w:sz w:val="36"/>
          <w:szCs w:val="36"/>
          <w:highlight w:val="none"/>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资格文件部分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1）符合参加政府采购活动应当具备的一般条件的承诺函……</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2）落实政府采购政策需满足的资格要求……</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3）本项目的特定资格要求……</w:t>
      </w:r>
      <w:r>
        <w:rPr>
          <w:rFonts w:hint="eastAsia" w:ascii="仿宋" w:hAnsi="仿宋" w:eastAsia="仿宋" w:cs="仿宋_GB2312"/>
          <w:color w:val="auto"/>
          <w:sz w:val="24"/>
          <w:highlight w:val="none"/>
        </w:rPr>
        <w:t>…………………………………………（页码）</w:t>
      </w:r>
    </w:p>
    <w:p>
      <w:pPr>
        <w:snapToGrid w:val="0"/>
        <w:spacing w:line="360" w:lineRule="auto"/>
        <w:ind w:firstLine="480" w:firstLineChars="200"/>
        <w:rPr>
          <w:rFonts w:ascii="仿宋" w:hAnsi="仿宋" w:eastAsia="仿宋" w:cs="仿宋_GB2312"/>
          <w:color w:val="auto"/>
          <w:sz w:val="24"/>
          <w:highlight w:val="none"/>
        </w:rPr>
      </w:pPr>
    </w:p>
    <w:p>
      <w:pPr>
        <w:spacing w:line="360" w:lineRule="auto"/>
        <w:ind w:firstLine="480" w:firstLineChars="200"/>
        <w:rPr>
          <w:rFonts w:ascii="仿宋" w:hAnsi="仿宋" w:eastAsia="仿宋" w:cs="仿宋_GB2312"/>
          <w:color w:val="auto"/>
          <w:sz w:val="24"/>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r>
        <w:rPr>
          <w:rFonts w:ascii="仿宋" w:hAnsi="仿宋" w:eastAsia="仿宋" w:cs="仿宋_GB2312"/>
          <w:color w:val="auto"/>
          <w:kern w:val="0"/>
          <w:sz w:val="24"/>
          <w:highlight w:val="none"/>
        </w:rPr>
        <w:br w:type="page"/>
      </w:r>
      <w:r>
        <w:rPr>
          <w:rFonts w:ascii="仿宋" w:hAnsi="仿宋" w:eastAsia="仿宋"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浙江交通职业技术学院、杭州博实招标代理有限公司：</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我方参与</w:t>
      </w:r>
      <w:r>
        <w:rPr>
          <w:rFonts w:hint="eastAsia" w:ascii="仿宋" w:hAnsi="仿宋" w:eastAsia="仿宋" w:cs="仿宋_GB2312"/>
          <w:color w:val="auto"/>
          <w:sz w:val="24"/>
          <w:highlight w:val="none"/>
          <w:u w:val="single"/>
        </w:rPr>
        <w:t>浙江交通职业技术学院智慧平安校园建设【招标编号：BSZB2022-AZZG</w:t>
      </w:r>
      <w:r>
        <w:rPr>
          <w:rFonts w:hint="eastAsia" w:ascii="仿宋" w:hAnsi="仿宋" w:eastAsia="仿宋" w:cs="仿宋_GB2312"/>
          <w:color w:val="auto"/>
          <w:sz w:val="24"/>
          <w:highlight w:val="none"/>
          <w:u w:val="single"/>
          <w:lang w:val="en-US" w:eastAsia="zh-CN"/>
        </w:rPr>
        <w:t>0</w:t>
      </w:r>
      <w:r>
        <w:rPr>
          <w:rFonts w:hint="eastAsia" w:ascii="仿宋" w:hAnsi="仿宋" w:eastAsia="仿宋" w:cs="仿宋_GB2312"/>
          <w:color w:val="auto"/>
          <w:sz w:val="24"/>
          <w:highlight w:val="none"/>
          <w:u w:val="single"/>
        </w:rPr>
        <w:t>41】</w:t>
      </w:r>
      <w:r>
        <w:rPr>
          <w:rFonts w:hint="eastAsia" w:ascii="仿宋" w:hAnsi="仿宋" w:eastAsia="仿宋" w:cs="仿宋_GB2312"/>
          <w:color w:val="auto"/>
          <w:sz w:val="24"/>
          <w:highlight w:val="none"/>
        </w:rPr>
        <w:t>政府采购活动，郑重承诺：</w:t>
      </w:r>
    </w:p>
    <w:p>
      <w:pPr>
        <w:snapToGrid w:val="0"/>
        <w:spacing w:line="360" w:lineRule="auto"/>
        <w:ind w:firstLine="360" w:firstLineChars="150"/>
        <w:rPr>
          <w:rFonts w:ascii="仿宋" w:hAnsi="仿宋" w:eastAsia="仿宋" w:cs="仿宋_GB2312"/>
          <w:color w:val="auto"/>
          <w:sz w:val="24"/>
          <w:highlight w:val="none"/>
        </w:rPr>
      </w:pPr>
      <w:r>
        <w:rPr>
          <w:rFonts w:hint="eastAsia" w:ascii="仿宋" w:hAnsi="仿宋" w:eastAsia="仿宋"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具有独立承担民事责任的能力；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 xml:space="preserve">具有良好的商业信誉和健全的财务会计制度；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具有履行合同所必需的设备和专业技术能力；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有依法缴纳税收和社会保障资金的良好记录；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参加政府采购活动前三年内，在经营活动中没有重大违法记录；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具有法律、行政法规规定的其他条件。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（二）未被信用中国（</w:t>
      </w:r>
      <w:r>
        <w:rPr>
          <w:rFonts w:ascii="仿宋" w:hAnsi="仿宋" w:eastAsia="仿宋"/>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（三）不存在以下情况：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_GB2312"/>
          <w:color w:val="auto"/>
          <w:kern w:val="0"/>
          <w:sz w:val="24"/>
          <w:highlight w:val="none"/>
          <w:lang w:val="zh-CN"/>
        </w:rPr>
      </w:pPr>
    </w:p>
    <w:p>
      <w:pPr>
        <w:snapToGrid w:val="0"/>
        <w:spacing w:line="360" w:lineRule="auto"/>
        <w:ind w:firstLine="5520" w:firstLineChars="2300"/>
        <w:rPr>
          <w:rFonts w:ascii="仿宋" w:hAnsi="仿宋" w:eastAsia="仿宋" w:cs="仿宋_GB2312"/>
          <w:color w:val="auto"/>
          <w:kern w:val="0"/>
          <w:sz w:val="24"/>
          <w:highlight w:val="none"/>
          <w:lang w:val="zh-CN"/>
        </w:rPr>
      </w:pPr>
    </w:p>
    <w:p>
      <w:pPr>
        <w:snapToGrid w:val="0"/>
        <w:spacing w:line="360" w:lineRule="auto"/>
        <w:ind w:firstLine="5520" w:firstLineChars="23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rPr>
          <w:rFonts w:ascii="仿宋" w:hAnsi="仿宋" w:eastAsia="仿宋"/>
          <w:color w:val="auto"/>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二、落实政府采购政策需满足的资格要求</w:t>
      </w: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无</w:t>
      </w:r>
    </w:p>
    <w:p>
      <w:pPr>
        <w:widowControl/>
        <w:spacing w:line="360" w:lineRule="auto"/>
        <w:ind w:left="150"/>
        <w:jc w:val="center"/>
        <w:rPr>
          <w:rFonts w:ascii="仿宋" w:hAnsi="仿宋" w:eastAsia="仿宋" w:cs="仿宋_GB2312"/>
          <w:b/>
          <w:color w:val="auto"/>
          <w:kern w:val="0"/>
          <w:sz w:val="32"/>
          <w:szCs w:val="32"/>
          <w:highlight w:val="none"/>
        </w:rPr>
      </w:pPr>
    </w:p>
    <w:p>
      <w:pPr>
        <w:pStyle w:val="2"/>
        <w:rPr>
          <w:color w:val="auto"/>
          <w:highlight w:val="none"/>
        </w:rPr>
      </w:pPr>
    </w:p>
    <w:p>
      <w:pPr>
        <w:widowControl/>
        <w:spacing w:line="360" w:lineRule="auto"/>
        <w:ind w:left="150"/>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三、本项目的特定资格要求</w:t>
      </w:r>
    </w:p>
    <w:p>
      <w:pPr>
        <w:ind w:firstLine="2530" w:firstLineChars="900"/>
        <w:rPr>
          <w:rFonts w:ascii="仿宋" w:hAnsi="仿宋" w:eastAsia="仿宋" w:cs="Arial"/>
          <w:b/>
          <w:color w:val="auto"/>
          <w:kern w:val="0"/>
          <w:sz w:val="28"/>
          <w:szCs w:val="28"/>
          <w:highlight w:val="none"/>
        </w:rPr>
      </w:pPr>
    </w:p>
    <w:p>
      <w:pPr>
        <w:ind w:firstLine="2530" w:firstLineChars="900"/>
        <w:rPr>
          <w:rFonts w:ascii="仿宋" w:hAnsi="仿宋" w:eastAsia="仿宋" w:cs="Arial"/>
          <w:b/>
          <w:color w:val="auto"/>
          <w:kern w:val="0"/>
          <w:sz w:val="28"/>
          <w:szCs w:val="28"/>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无</w:t>
      </w: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pacing w:line="360" w:lineRule="auto"/>
        <w:jc w:val="center"/>
        <w:outlineLvl w:val="0"/>
        <w:rPr>
          <w:rFonts w:ascii="仿宋" w:hAnsi="仿宋" w:eastAsia="仿宋" w:cs="仿宋_GB2312"/>
          <w:b/>
          <w:color w:val="auto"/>
          <w:kern w:val="0"/>
          <w:sz w:val="36"/>
          <w:szCs w:val="36"/>
          <w:highlight w:val="none"/>
        </w:rPr>
      </w:pPr>
    </w:p>
    <w:p>
      <w:pP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br w:type="page"/>
      </w:r>
    </w:p>
    <w:p>
      <w:pPr>
        <w:spacing w:line="360" w:lineRule="auto"/>
        <w:ind w:right="420" w:firstLine="3614" w:firstLineChars="100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商务技术文件部分</w:t>
      </w:r>
    </w:p>
    <w:p>
      <w:pPr>
        <w:spacing w:line="360" w:lineRule="auto"/>
        <w:jc w:val="center"/>
        <w:outlineLvl w:val="0"/>
        <w:rPr>
          <w:rFonts w:ascii="仿宋" w:hAnsi="仿宋" w:eastAsia="仿宋" w:cs="仿宋_GB2312"/>
          <w:b/>
          <w:color w:val="auto"/>
          <w:kern w:val="0"/>
          <w:sz w:val="24"/>
          <w:highlight w:val="none"/>
        </w:rPr>
      </w:pPr>
    </w:p>
    <w:p>
      <w:pPr>
        <w:spacing w:line="360" w:lineRule="auto"/>
        <w:jc w:val="center"/>
        <w:outlineLvl w:val="0"/>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1）投标函</w:t>
      </w:r>
      <w:r>
        <w:rPr>
          <w:rFonts w:hint="eastAsia" w:ascii="仿宋" w:hAnsi="仿宋" w:eastAsia="仿宋" w:cs="仿宋_GB2312"/>
          <w:color w:val="auto"/>
          <w:highlight w:val="none"/>
        </w:rPr>
        <w:t>…………………………………………………………………………………（页码）</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2）授权委托书或法定代表人（单位负责人、自然人本人）身份证明</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3）联合协议</w:t>
      </w:r>
      <w:r>
        <w:rPr>
          <w:rFonts w:hint="eastAsia" w:ascii="仿宋" w:hAnsi="仿宋" w:eastAsia="仿宋" w:cs="仿宋_GB2312"/>
          <w:color w:val="auto"/>
          <w:highlight w:val="none"/>
        </w:rPr>
        <w:t>………………………………………………………………………………（页码）</w:t>
      </w:r>
    </w:p>
    <w:p>
      <w:pPr>
        <w:snapToGrid w:val="0"/>
        <w:spacing w:line="360" w:lineRule="auto"/>
        <w:ind w:firstLine="480" w:firstLineChars="200"/>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4）分包意向协议</w:t>
      </w:r>
      <w:r>
        <w:rPr>
          <w:rFonts w:hint="eastAsia" w:ascii="仿宋" w:hAnsi="仿宋" w:eastAsia="仿宋" w:cs="仿宋_GB2312"/>
          <w:color w:val="auto"/>
          <w:highlight w:val="none"/>
        </w:rPr>
        <w:t>…………………………………………………………………………（页码）</w:t>
      </w:r>
    </w:p>
    <w:p>
      <w:pPr>
        <w:snapToGrid w:val="0"/>
        <w:spacing w:line="360" w:lineRule="auto"/>
        <w:ind w:firstLine="480" w:firstLineChars="200"/>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5）符合性审查资料</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6）评标标准相应的商务技术资料</w:t>
      </w:r>
      <w:r>
        <w:rPr>
          <w:rFonts w:hint="eastAsia" w:ascii="仿宋" w:hAnsi="仿宋" w:eastAsia="仿宋" w:cs="仿宋_GB2312"/>
          <w:color w:val="auto"/>
          <w:highlight w:val="none"/>
        </w:rPr>
        <w:t>…………………………</w:t>
      </w:r>
      <w:r>
        <w:rPr>
          <w:rFonts w:hint="eastAsia" w:ascii="仿宋" w:hAnsi="仿宋" w:eastAsia="仿宋" w:cs="仿宋_GB2312"/>
          <w:color w:val="auto"/>
          <w:sz w:val="24"/>
          <w:highlight w:val="none"/>
        </w:rPr>
        <w:t>………</w:t>
      </w:r>
      <w:r>
        <w:rPr>
          <w:rFonts w:hint="eastAsia" w:ascii="仿宋" w:hAnsi="仿宋" w:eastAsia="仿宋" w:cs="仿宋_GB2312"/>
          <w:color w:val="auto"/>
          <w:highlight w:val="none"/>
        </w:rPr>
        <w:t>…</w:t>
      </w:r>
      <w:r>
        <w:rPr>
          <w:rFonts w:hint="eastAsia" w:ascii="仿宋" w:hAnsi="仿宋" w:eastAsia="仿宋" w:cs="仿宋_GB2312"/>
          <w:color w:val="auto"/>
          <w:sz w:val="24"/>
          <w:highlight w:val="none"/>
        </w:rPr>
        <w:t>…</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7）商务技术偏离表</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lang w:val="zh-CN"/>
        </w:rPr>
        <w:t>（</w:t>
      </w:r>
      <w:r>
        <w:rPr>
          <w:rFonts w:ascii="仿宋" w:hAnsi="仿宋" w:eastAsia="仿宋" w:cs="仿宋_GB2312"/>
          <w:color w:val="auto"/>
          <w:sz w:val="24"/>
          <w:highlight w:val="none"/>
        </w:rPr>
        <w:t>8</w:t>
      </w:r>
      <w:r>
        <w:rPr>
          <w:rFonts w:hint="eastAsia" w:ascii="仿宋" w:hAnsi="仿宋" w:eastAsia="仿宋" w:cs="仿宋_GB2312"/>
          <w:color w:val="auto"/>
          <w:sz w:val="24"/>
          <w:highlight w:val="none"/>
          <w:lang w:val="zh-CN"/>
        </w:rPr>
        <w:t>）政府采购供应商廉洁自律承诺书</w:t>
      </w:r>
      <w:r>
        <w:rPr>
          <w:rFonts w:hint="eastAsia" w:ascii="仿宋" w:hAnsi="仿宋" w:eastAsia="仿宋" w:cs="仿宋_GB2312"/>
          <w:color w:val="auto"/>
          <w:highlight w:val="none"/>
        </w:rPr>
        <w:t>…………………………………………………（页码）</w:t>
      </w: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rPr>
          <w:rFonts w:ascii="仿宋" w:hAnsi="仿宋" w:eastAsia="仿宋"/>
          <w:color w:val="auto"/>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kern w:val="0"/>
          <w:sz w:val="32"/>
          <w:szCs w:val="32"/>
          <w:highlight w:val="none"/>
        </w:rPr>
      </w:pPr>
    </w:p>
    <w:p>
      <w:pPr>
        <w:snapToGrid w:val="0"/>
        <w:spacing w:line="360" w:lineRule="auto"/>
        <w:jc w:val="center"/>
        <w:outlineLvl w:val="0"/>
        <w:rPr>
          <w:rFonts w:ascii="仿宋" w:hAnsi="仿宋" w:eastAsia="仿宋" w:cs="仿宋_GB2312"/>
          <w:b/>
          <w:color w:val="auto"/>
          <w:sz w:val="32"/>
          <w:szCs w:val="32"/>
          <w:highlight w:val="none"/>
        </w:rPr>
      </w:pPr>
      <w:r>
        <w:rPr>
          <w:rFonts w:hint="eastAsia" w:ascii="仿宋" w:hAnsi="仿宋" w:eastAsia="仿宋" w:cs="仿宋_GB2312"/>
          <w:b/>
          <w:color w:val="auto"/>
          <w:kern w:val="0"/>
          <w:sz w:val="32"/>
          <w:szCs w:val="32"/>
          <w:highlight w:val="none"/>
        </w:rPr>
        <w:t>一、投标</w:t>
      </w:r>
      <w:r>
        <w:rPr>
          <w:rFonts w:hint="eastAsia" w:ascii="仿宋" w:hAnsi="仿宋" w:eastAsia="仿宋" w:cs="仿宋_GB2312"/>
          <w:b/>
          <w:color w:val="auto"/>
          <w:sz w:val="32"/>
          <w:szCs w:val="32"/>
          <w:highlight w:val="none"/>
        </w:rPr>
        <w:t>函</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浙江交通职业技术学院、杭州博实招标代理有限公司：</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我方参加你方组织的</w:t>
      </w:r>
      <w:r>
        <w:rPr>
          <w:rFonts w:hint="eastAsia" w:ascii="仿宋" w:hAnsi="仿宋" w:eastAsia="仿宋" w:cs="仿宋_GB2312"/>
          <w:color w:val="auto"/>
          <w:sz w:val="24"/>
          <w:highlight w:val="none"/>
          <w:u w:val="single"/>
        </w:rPr>
        <w:t>浙江交通职业技术学院智慧平安校园建设【招标编号：BSZB2022-AZZG</w:t>
      </w:r>
      <w:r>
        <w:rPr>
          <w:rFonts w:hint="eastAsia" w:ascii="仿宋" w:hAnsi="仿宋" w:eastAsia="仿宋" w:cs="仿宋_GB2312"/>
          <w:color w:val="auto"/>
          <w:sz w:val="24"/>
          <w:highlight w:val="none"/>
          <w:u w:val="single"/>
          <w:lang w:val="en-US" w:eastAsia="zh-CN"/>
        </w:rPr>
        <w:t>0</w:t>
      </w:r>
      <w:r>
        <w:rPr>
          <w:rFonts w:hint="eastAsia" w:ascii="仿宋" w:hAnsi="仿宋" w:eastAsia="仿宋" w:cs="仿宋_GB2312"/>
          <w:color w:val="auto"/>
          <w:sz w:val="24"/>
          <w:highlight w:val="none"/>
          <w:u w:val="single"/>
        </w:rPr>
        <w:t>41】</w:t>
      </w:r>
      <w:r>
        <w:rPr>
          <w:rFonts w:hint="eastAsia" w:ascii="仿宋" w:hAnsi="仿宋" w:eastAsia="仿宋" w:cs="仿宋_GB2312"/>
          <w:color w:val="auto"/>
          <w:sz w:val="24"/>
          <w:highlight w:val="none"/>
        </w:rPr>
        <w:t>招标的有关活动，并对此项目进行投标。为此：</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1、我方承诺投标有效期从提交投标文件的截止之日起</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天（不少于</w:t>
      </w:r>
      <w:r>
        <w:rPr>
          <w:rFonts w:ascii="仿宋" w:hAnsi="仿宋" w:eastAsia="仿宋" w:cs="仿宋_GB2312"/>
          <w:color w:val="auto"/>
          <w:sz w:val="24"/>
          <w:highlight w:val="none"/>
        </w:rPr>
        <w:t>90天）</w:t>
      </w:r>
      <w:r>
        <w:rPr>
          <w:rFonts w:hint="eastAsia" w:ascii="仿宋" w:hAnsi="仿宋" w:eastAsia="仿宋"/>
          <w:color w:val="auto"/>
          <w:highlight w:val="none"/>
        </w:rPr>
        <w:t>，</w:t>
      </w:r>
      <w:r>
        <w:rPr>
          <w:rFonts w:hint="eastAsia" w:ascii="仿宋" w:hAnsi="仿宋" w:eastAsia="仿宋" w:cs="仿宋_GB2312"/>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2、我方的投标文件包括以下内容：</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2.1资格文件：</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2.1.1</w:t>
      </w:r>
      <w:r>
        <w:rPr>
          <w:rFonts w:hint="eastAsia" w:ascii="仿宋" w:hAnsi="仿宋" w:eastAsia="仿宋" w:cs="仿宋_GB2312"/>
          <w:color w:val="auto"/>
          <w:sz w:val="24"/>
          <w:highlight w:val="none"/>
        </w:rPr>
        <w:t>承诺函；</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2.1.2落实政府采购政策需满足的资格要求</w:t>
      </w:r>
      <w:r>
        <w:rPr>
          <w:rFonts w:hint="eastAsia" w:ascii="仿宋" w:hAnsi="仿宋" w:eastAsia="仿宋" w:cs="仿宋_GB2312"/>
          <w:color w:val="auto"/>
          <w:sz w:val="24"/>
          <w:highlight w:val="none"/>
        </w:rPr>
        <w:t>（如果有）；</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2.1.3本项目的特定资格要求</w:t>
      </w:r>
      <w:r>
        <w:rPr>
          <w:rFonts w:hint="eastAsia" w:ascii="仿宋" w:hAnsi="仿宋" w:eastAsia="仿宋" w:cs="仿宋_GB2312"/>
          <w:color w:val="auto"/>
          <w:sz w:val="24"/>
          <w:highlight w:val="none"/>
        </w:rPr>
        <w:t>（如果有）。</w:t>
      </w:r>
    </w:p>
    <w:p>
      <w:pPr>
        <w:snapToGrid w:val="0"/>
        <w:spacing w:line="360" w:lineRule="auto"/>
        <w:ind w:left="210" w:leftChars="100"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 xml:space="preserve"> </w:t>
      </w:r>
      <w:r>
        <w:rPr>
          <w:rFonts w:hint="eastAsia" w:ascii="仿宋" w:hAnsi="仿宋" w:eastAsia="仿宋" w:cs="仿宋_GB2312"/>
          <w:color w:val="auto"/>
          <w:sz w:val="24"/>
          <w:highlight w:val="none"/>
        </w:rPr>
        <w:t>商务技术</w:t>
      </w:r>
      <w:r>
        <w:rPr>
          <w:rFonts w:hint="eastAsia" w:ascii="仿宋" w:hAnsi="仿宋" w:eastAsia="仿宋" w:cs="仿宋_GB2312"/>
          <w:color w:val="auto"/>
          <w:sz w:val="24"/>
          <w:highlight w:val="none"/>
          <w:lang w:val="zh-CN"/>
        </w:rPr>
        <w:t>文件：</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2.2.1投标函；</w:t>
      </w:r>
      <w:r>
        <w:rPr>
          <w:rFonts w:ascii="仿宋" w:hAnsi="仿宋" w:eastAsia="仿宋" w:cs="仿宋_GB2312"/>
          <w:color w:val="auto"/>
          <w:sz w:val="24"/>
          <w:highlight w:val="none"/>
          <w:lang w:val="zh-CN"/>
        </w:rPr>
        <w:t xml:space="preserve"> </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2.2.3联合协议</w:t>
      </w:r>
      <w:r>
        <w:rPr>
          <w:rFonts w:hint="eastAsia" w:ascii="仿宋" w:hAnsi="仿宋" w:eastAsia="仿宋" w:cs="仿宋_GB2312"/>
          <w:color w:val="auto"/>
          <w:sz w:val="24"/>
          <w:highlight w:val="none"/>
        </w:rPr>
        <w:t>（如果有）；</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2.2.4分包意向协议</w:t>
      </w:r>
      <w:r>
        <w:rPr>
          <w:rFonts w:hint="eastAsia" w:ascii="仿宋" w:hAnsi="仿宋" w:eastAsia="仿宋" w:cs="仿宋_GB2312"/>
          <w:color w:val="auto"/>
          <w:sz w:val="24"/>
          <w:highlight w:val="none"/>
        </w:rPr>
        <w:t>（如果有）；</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2.2.5符合性审查资料；</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2.2.6评标标准相应的商务技术资料；</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2.2.7商务技术偏离表；</w:t>
      </w:r>
    </w:p>
    <w:p>
      <w:pPr>
        <w:snapToGrid w:val="0"/>
        <w:spacing w:line="360" w:lineRule="auto"/>
        <w:ind w:left="420" w:leftChars="200"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8</w:t>
      </w:r>
      <w:r>
        <w:rPr>
          <w:rFonts w:hint="eastAsia" w:ascii="仿宋" w:hAnsi="仿宋" w:eastAsia="仿宋"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3报价文件</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2.3.1开标一览表（报价表）；</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2.3.2中小企业声明函</w:t>
      </w:r>
      <w:r>
        <w:rPr>
          <w:rFonts w:hint="eastAsia" w:ascii="仿宋" w:hAnsi="仿宋" w:eastAsia="仿宋" w:cs="仿宋_GB2312"/>
          <w:color w:val="auto"/>
          <w:sz w:val="24"/>
          <w:highlight w:val="none"/>
        </w:rPr>
        <w:t>（如果有）。</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4、如我方中标，我方承诺：</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5、其他补充说明:</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w:t>
      </w:r>
    </w:p>
    <w:p>
      <w:pPr>
        <w:spacing w:line="360" w:lineRule="auto"/>
        <w:ind w:firstLine="3600" w:firstLineChars="1500"/>
        <w:rPr>
          <w:rFonts w:ascii="仿宋" w:hAnsi="仿宋" w:eastAsia="仿宋" w:cs="仿宋_GB2312"/>
          <w:color w:val="auto"/>
          <w:sz w:val="24"/>
          <w:highlight w:val="none"/>
        </w:rPr>
      </w:pPr>
    </w:p>
    <w:p>
      <w:pPr>
        <w:spacing w:line="360" w:lineRule="auto"/>
        <w:ind w:firstLine="3600" w:firstLineChars="1500"/>
        <w:rPr>
          <w:rFonts w:ascii="仿宋" w:hAnsi="仿宋" w:eastAsia="仿宋" w:cs="仿宋_GB2312"/>
          <w:color w:val="auto"/>
          <w:sz w:val="24"/>
          <w:highlight w:val="none"/>
        </w:rPr>
      </w:pPr>
    </w:p>
    <w:p>
      <w:pPr>
        <w:spacing w:line="360" w:lineRule="auto"/>
        <w:ind w:firstLine="3600" w:firstLineChars="1500"/>
        <w:rPr>
          <w:rFonts w:ascii="仿宋" w:hAnsi="仿宋" w:eastAsia="仿宋" w:cs="仿宋_GB2312"/>
          <w:color w:val="auto"/>
          <w:sz w:val="24"/>
          <w:highlight w:val="none"/>
        </w:rPr>
      </w:pPr>
      <w:r>
        <w:rPr>
          <w:rFonts w:hint="eastAsia" w:ascii="仿宋" w:hAnsi="仿宋" w:eastAsia="仿宋" w:cs="仿宋_GB2312"/>
          <w:color w:val="auto"/>
          <w:sz w:val="24"/>
          <w:highlight w:val="none"/>
        </w:rPr>
        <w:t>投标人名称（电子签名）：</w:t>
      </w:r>
      <w:r>
        <w:rPr>
          <w:rFonts w:ascii="仿宋" w:hAnsi="仿宋" w:eastAsia="仿宋" w:cs="仿宋_GB2312"/>
          <w:color w:val="auto"/>
          <w:sz w:val="24"/>
          <w:highlight w:val="none"/>
        </w:rPr>
        <w:t xml:space="preserve">                          </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日期：  年   月   日</w:t>
      </w:r>
    </w:p>
    <w:p>
      <w:pPr>
        <w:snapToGrid w:val="0"/>
        <w:spacing w:line="360" w:lineRule="auto"/>
        <w:ind w:left="420" w:leftChars="200" w:firstLine="4200" w:firstLineChars="1750"/>
        <w:rPr>
          <w:rFonts w:ascii="仿宋" w:hAnsi="仿宋" w:eastAsia="仿宋" w:cs="仿宋_GB2312"/>
          <w:color w:val="auto"/>
          <w:kern w:val="0"/>
          <w:sz w:val="24"/>
          <w:highlight w:val="none"/>
          <w:u w:val="singl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rPr>
          <w:rFonts w:ascii="仿宋" w:hAnsi="仿宋" w:eastAsia="仿宋" w:cs="仿宋_GB2312"/>
          <w:color w:val="auto"/>
          <w:sz w:val="24"/>
          <w:highlight w:val="none"/>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spacing w:val="-20"/>
          <w:kern w:val="0"/>
          <w:sz w:val="32"/>
          <w:szCs w:val="32"/>
          <w:highlight w:val="none"/>
          <w:lang w:val="zh-CN"/>
        </w:rPr>
      </w:pPr>
      <w:r>
        <w:rPr>
          <w:rFonts w:hint="eastAsia" w:ascii="仿宋" w:hAnsi="仿宋" w:eastAsia="仿宋" w:cs="仿宋_GB2312"/>
          <w:b/>
          <w:color w:val="auto"/>
          <w:spacing w:val="-20"/>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 xml:space="preserve">                                </w:t>
      </w:r>
    </w:p>
    <w:p>
      <w:pPr>
        <w:snapToGrid w:val="0"/>
        <w:spacing w:line="360" w:lineRule="auto"/>
        <w:ind w:firstLine="2872" w:firstLineChars="894"/>
        <w:rPr>
          <w:rFonts w:ascii="仿宋" w:hAnsi="仿宋" w:eastAsia="仿宋"/>
          <w:color w:val="auto"/>
          <w:highlight w:val="none"/>
        </w:rPr>
      </w:pPr>
      <w:r>
        <w:rPr>
          <w:rFonts w:hint="eastAsia" w:ascii="仿宋" w:hAnsi="仿宋" w:eastAsia="仿宋" w:cs="仿宋_GB2312"/>
          <w:b/>
          <w:color w:val="auto"/>
          <w:kern w:val="0"/>
          <w:sz w:val="32"/>
          <w:szCs w:val="32"/>
          <w:highlight w:val="none"/>
          <w:lang w:val="zh-CN"/>
        </w:rPr>
        <w:t>授权委托书（适用于非联合体投标）</w:t>
      </w:r>
      <w:r>
        <w:rPr>
          <w:rFonts w:ascii="仿宋" w:hAnsi="仿宋" w:eastAsia="仿宋"/>
          <w:color w:val="auto"/>
          <w:highlight w:val="none"/>
        </w:rPr>
        <w:t xml:space="preserve">                               </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浙江交通职业技术学院、杭州博实招标代理有限公司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（姓名）为我方代理人（身份证号码：</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），以我方名义处理</w:t>
      </w:r>
      <w:r>
        <w:rPr>
          <w:rFonts w:hint="eastAsia" w:ascii="仿宋" w:hAnsi="仿宋" w:eastAsia="仿宋" w:cs="仿宋_GB2312"/>
          <w:color w:val="auto"/>
          <w:sz w:val="24"/>
          <w:highlight w:val="none"/>
          <w:u w:val="single"/>
        </w:rPr>
        <w:t>浙江交通职业技术学院智慧平安校园建设【招标编号：BSZB2022-AZZG</w:t>
      </w:r>
      <w:r>
        <w:rPr>
          <w:rFonts w:hint="eastAsia" w:ascii="仿宋" w:hAnsi="仿宋" w:eastAsia="仿宋" w:cs="仿宋_GB2312"/>
          <w:color w:val="auto"/>
          <w:sz w:val="24"/>
          <w:highlight w:val="none"/>
          <w:u w:val="single"/>
          <w:lang w:val="en-US" w:eastAsia="zh-CN"/>
        </w:rPr>
        <w:t>0</w:t>
      </w:r>
      <w:r>
        <w:rPr>
          <w:rFonts w:hint="eastAsia" w:ascii="仿宋" w:hAnsi="仿宋" w:eastAsia="仿宋" w:cs="仿宋_GB2312"/>
          <w:color w:val="auto"/>
          <w:sz w:val="24"/>
          <w:highlight w:val="none"/>
          <w:u w:val="single"/>
        </w:rPr>
        <w:t>41】</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日起至</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日止。</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签发日期：  年  月   日</w:t>
      </w: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sz w:val="24"/>
          <w:highlight w:val="none"/>
        </w:rPr>
      </w:pPr>
    </w:p>
    <w:p>
      <w:pPr>
        <w:jc w:val="center"/>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lang w:val="zh-CN"/>
        </w:rPr>
        <w:t xml:space="preserve">      </w:t>
      </w:r>
      <w:r>
        <w:rPr>
          <w:rFonts w:ascii="仿宋" w:hAnsi="仿宋" w:eastAsia="仿宋" w:cs="仿宋_GB2312"/>
          <w:b/>
          <w:color w:val="auto"/>
          <w:kern w:val="0"/>
          <w:sz w:val="32"/>
          <w:szCs w:val="32"/>
          <w:highlight w:val="none"/>
        </w:rPr>
        <w:t xml:space="preserve"> </w:t>
      </w:r>
      <w:r>
        <w:rPr>
          <w:rFonts w:hint="eastAsia" w:ascii="仿宋" w:hAnsi="仿宋" w:eastAsia="仿宋" w:cs="仿宋_GB2312"/>
          <w:b/>
          <w:color w:val="auto"/>
          <w:kern w:val="0"/>
          <w:sz w:val="32"/>
          <w:szCs w:val="32"/>
          <w:highlight w:val="none"/>
          <w:lang w:val="zh-CN"/>
        </w:rPr>
        <w:t>授权委托书（适用于联合体投标）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浙江交通职业技术学院、杭州博实招标代理有限公司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（姓名）为我方代理人（身份证号码：</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），以我方名义处理</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日起至</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日止。</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特此告知。</w:t>
      </w:r>
    </w:p>
    <w:p>
      <w:pPr>
        <w:jc w:val="center"/>
        <w:rPr>
          <w:rFonts w:ascii="仿宋" w:hAnsi="仿宋" w:eastAsia="仿宋" w:cs="仿宋_GB2312"/>
          <w:b/>
          <w:color w:val="auto"/>
          <w:kern w:val="0"/>
          <w:sz w:val="32"/>
          <w:szCs w:val="32"/>
          <w:highlight w:val="none"/>
        </w:rPr>
      </w:pPr>
    </w:p>
    <w:p>
      <w:pPr>
        <w:rPr>
          <w:rFonts w:ascii="仿宋" w:hAnsi="仿宋" w:eastAsia="仿宋"/>
          <w:color w:val="auto"/>
          <w:highlight w:val="none"/>
        </w:rPr>
      </w:pP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autoSpaceDE w:val="0"/>
        <w:autoSpaceDN w:val="0"/>
        <w:spacing w:line="360" w:lineRule="auto"/>
        <w:jc w:val="center"/>
        <w:rPr>
          <w:rFonts w:ascii="仿宋" w:hAnsi="仿宋" w:eastAsia="仿宋" w:cs="仿宋_GB2312"/>
          <w:b/>
          <w:color w:val="auto"/>
          <w:kern w:val="0"/>
          <w:sz w:val="32"/>
          <w:szCs w:val="32"/>
          <w:highlight w:val="none"/>
          <w:lang w:val="zh-CN"/>
        </w:rPr>
      </w:pPr>
    </w:p>
    <w:p>
      <w:pPr>
        <w:autoSpaceDE w:val="0"/>
        <w:autoSpaceDN w:val="0"/>
        <w:spacing w:line="360" w:lineRule="auto"/>
        <w:jc w:val="center"/>
        <w:rPr>
          <w:rFonts w:ascii="仿宋" w:hAnsi="仿宋" w:eastAsia="仿宋" w:cs="仿宋_GB2312"/>
          <w:b/>
          <w:color w:val="auto"/>
          <w:kern w:val="0"/>
          <w:sz w:val="32"/>
          <w:szCs w:val="32"/>
          <w:highlight w:val="none"/>
          <w:lang w:val="zh-CN"/>
        </w:rPr>
      </w:pPr>
    </w:p>
    <w:p>
      <w:pPr>
        <w:autoSpaceDE w:val="0"/>
        <w:autoSpaceDN w:val="0"/>
        <w:spacing w:line="360" w:lineRule="auto"/>
        <w:jc w:val="center"/>
        <w:rPr>
          <w:rFonts w:ascii="仿宋" w:hAnsi="仿宋" w:eastAsia="仿宋" w:cs="仿宋_GB2312"/>
          <w:b/>
          <w:color w:val="auto"/>
          <w:kern w:val="0"/>
          <w:sz w:val="32"/>
          <w:szCs w:val="32"/>
          <w:highlight w:val="none"/>
          <w:lang w:val="zh-CN"/>
        </w:rPr>
      </w:pPr>
    </w:p>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kern w:val="0"/>
          <w:sz w:val="32"/>
          <w:szCs w:val="32"/>
          <w:highlight w:val="none"/>
          <w:lang w:val="zh-CN"/>
        </w:rPr>
        <w:t>法定代表人、单位负责人或自然人本人</w:t>
      </w:r>
      <w:r>
        <w:rPr>
          <w:rFonts w:hint="eastAsia" w:ascii="仿宋" w:hAnsi="仿宋" w:eastAsia="仿宋" w:cs="仿宋_GB2312"/>
          <w:b/>
          <w:color w:val="auto"/>
          <w:sz w:val="30"/>
          <w:szCs w:val="30"/>
          <w:highlight w:val="none"/>
        </w:rPr>
        <w:t>的身份证明（适用于法定代表人、单位负责人或者自然人本人代表投标人参加投标）</w:t>
      </w:r>
    </w:p>
    <w:p>
      <w:pPr>
        <w:pStyle w:val="175"/>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5"/>
              <w:adjustRightInd w:val="0"/>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正面：</w:t>
            </w:r>
            <w:r>
              <w:rPr>
                <w:rFonts w:ascii="仿宋" w:hAnsi="仿宋" w:eastAsia="仿宋"/>
                <w:bCs/>
                <w:color w:val="auto"/>
                <w:sz w:val="24"/>
                <w:highlight w:val="none"/>
              </w:rPr>
              <w:t xml:space="preserve">                                 </w:t>
            </w:r>
            <w:r>
              <w:rPr>
                <w:rFonts w:hint="eastAsia" w:ascii="仿宋" w:hAnsi="仿宋" w:eastAsia="仿宋"/>
                <w:bCs/>
                <w:color w:val="auto"/>
                <w:sz w:val="24"/>
                <w:highlight w:val="none"/>
              </w:rPr>
              <w:t>反面：</w:t>
            </w:r>
          </w:p>
          <w:p>
            <w:pPr>
              <w:pStyle w:val="175"/>
              <w:adjustRightInd w:val="0"/>
              <w:spacing w:line="360" w:lineRule="auto"/>
              <w:rPr>
                <w:rFonts w:ascii="仿宋" w:hAnsi="仿宋" w:eastAsia="仿宋"/>
                <w:bCs/>
                <w:color w:val="auto"/>
                <w:sz w:val="24"/>
                <w:highlight w:val="none"/>
              </w:rPr>
            </w:pPr>
          </w:p>
        </w:tc>
      </w:tr>
    </w:tbl>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w:t>
      </w:r>
    </w:p>
    <w:p>
      <w:pPr>
        <w:snapToGrid w:val="0"/>
        <w:spacing w:line="360" w:lineRule="auto"/>
        <w:ind w:firstLine="576"/>
        <w:jc w:val="center"/>
        <w:rPr>
          <w:rFonts w:ascii="仿宋" w:hAnsi="仿宋" w:eastAsia="仿宋" w:cs="仿宋_GB2312"/>
          <w:b/>
          <w:bCs/>
          <w:color w:val="auto"/>
          <w:kern w:val="0"/>
          <w:sz w:val="24"/>
          <w:highlight w:val="none"/>
          <w:lang w:val="zh-CN"/>
        </w:rPr>
      </w:pPr>
      <w:r>
        <w:rPr>
          <w:rFonts w:ascii="仿宋" w:hAnsi="仿宋" w:eastAsia="仿宋" w:cs="仿宋_GB2312"/>
          <w:color w:val="auto"/>
          <w:kern w:val="0"/>
          <w:sz w:val="24"/>
          <w:highlight w:val="none"/>
          <w:lang w:val="zh-CN"/>
        </w:rPr>
        <w:t xml:space="preserve">               </w:t>
      </w:r>
      <w:r>
        <w:rPr>
          <w:rFonts w:ascii="仿宋" w:hAnsi="仿宋" w:eastAsia="仿宋" w:cs="仿宋_GB2312"/>
          <w:b/>
          <w:bCs/>
          <w:color w:val="auto"/>
          <w:kern w:val="0"/>
          <w:sz w:val="24"/>
          <w:highlight w:val="none"/>
          <w:lang w:val="zh-CN"/>
        </w:rPr>
        <w:t xml:space="preserve">   投标人名称(电子签名)：                              </w:t>
      </w:r>
    </w:p>
    <w:p>
      <w:pPr>
        <w:spacing w:line="360" w:lineRule="auto"/>
        <w:jc w:val="center"/>
        <w:rPr>
          <w:rFonts w:ascii="仿宋" w:hAnsi="仿宋" w:eastAsia="仿宋" w:cs="仿宋_GB2312"/>
          <w:b/>
          <w:bCs/>
          <w:color w:val="auto"/>
          <w:kern w:val="0"/>
          <w:sz w:val="24"/>
          <w:highlight w:val="none"/>
          <w:lang w:val="zh-CN"/>
        </w:rPr>
      </w:pPr>
      <w:r>
        <w:rPr>
          <w:rFonts w:ascii="仿宋" w:hAnsi="仿宋" w:eastAsia="仿宋" w:cs="仿宋_GB2312"/>
          <w:b/>
          <w:bCs/>
          <w:color w:val="auto"/>
          <w:kern w:val="0"/>
          <w:sz w:val="24"/>
          <w:highlight w:val="none"/>
          <w:lang w:val="zh-CN"/>
        </w:rPr>
        <w:t xml:space="preserve">                   日期：  年  月  日</w:t>
      </w: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rPr>
        <w:t>三、</w:t>
      </w:r>
      <w:r>
        <w:rPr>
          <w:rFonts w:hint="eastAsia" w:ascii="仿宋" w:hAnsi="仿宋" w:eastAsia="仿宋" w:cs="仿宋_GB2312"/>
          <w:b/>
          <w:color w:val="auto"/>
          <w:kern w:val="0"/>
          <w:sz w:val="32"/>
          <w:szCs w:val="32"/>
          <w:highlight w:val="none"/>
          <w:lang w:val="zh-CN"/>
        </w:rPr>
        <w:t>联合协议</w:t>
      </w:r>
    </w:p>
    <w:p>
      <w:pPr>
        <w:widowControl/>
        <w:spacing w:line="360" w:lineRule="auto"/>
        <w:ind w:firstLine="482" w:firstLineChars="200"/>
        <w:jc w:val="left"/>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（联合体所有成员名称）</w:t>
      </w:r>
      <w:r>
        <w:rPr>
          <w:rFonts w:hint="eastAsia" w:ascii="仿宋" w:hAnsi="仿宋" w:eastAsia="仿宋" w:cs="仿宋_GB2312"/>
          <w:color w:val="auto"/>
          <w:kern w:val="0"/>
          <w:sz w:val="24"/>
          <w:highlight w:val="none"/>
        </w:rPr>
        <w:t>自愿</w:t>
      </w:r>
      <w:r>
        <w:rPr>
          <w:rFonts w:hint="eastAsia" w:ascii="仿宋" w:hAnsi="仿宋" w:eastAsia="仿宋" w:cs="仿宋_GB2312"/>
          <w:color w:val="auto"/>
          <w:kern w:val="0"/>
          <w:sz w:val="24"/>
          <w:highlight w:val="none"/>
          <w:lang w:val="zh-CN"/>
        </w:rPr>
        <w:t>组成一个联合体，以一个投标人的身份</w:t>
      </w:r>
      <w:r>
        <w:rPr>
          <w:rFonts w:hint="eastAsia" w:ascii="仿宋" w:hAnsi="仿宋" w:eastAsia="仿宋" w:cs="仿宋_GB2312"/>
          <w:color w:val="auto"/>
          <w:kern w:val="0"/>
          <w:sz w:val="24"/>
          <w:highlight w:val="none"/>
        </w:rPr>
        <w:t>参加</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投标。</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一、各方一致决定，</w:t>
      </w:r>
      <w:r>
        <w:rPr>
          <w:rFonts w:hint="eastAsia" w:ascii="仿宋" w:hAnsi="仿宋" w:eastAsia="仿宋" w:cs="仿宋_GB2312"/>
          <w:color w:val="auto"/>
          <w:kern w:val="0"/>
          <w:sz w:val="24"/>
          <w:highlight w:val="none"/>
          <w:u w:val="single"/>
        </w:rPr>
        <w:t>（某联合体成员名称）</w:t>
      </w:r>
      <w:r>
        <w:rPr>
          <w:rFonts w:hint="eastAsia" w:ascii="仿宋" w:hAnsi="仿宋" w:eastAsia="仿宋" w:cs="仿宋_GB2312"/>
          <w:color w:val="auto"/>
          <w:kern w:val="0"/>
          <w:sz w:val="24"/>
          <w:highlight w:val="none"/>
        </w:rPr>
        <w:t>为联合体</w:t>
      </w:r>
      <w:r>
        <w:rPr>
          <w:rFonts w:hint="eastAsia" w:ascii="仿宋" w:hAnsi="仿宋" w:eastAsia="仿宋" w:cs="仿宋_GB2312"/>
          <w:color w:val="auto"/>
          <w:kern w:val="0"/>
          <w:sz w:val="24"/>
          <w:highlight w:val="none"/>
          <w:lang w:val="zh-CN"/>
        </w:rPr>
        <w:t>牵头人</w:t>
      </w:r>
      <w:r>
        <w:rPr>
          <w:rFonts w:hint="eastAsia" w:ascii="仿宋" w:hAnsi="仿宋" w:eastAsia="仿宋" w:cs="Arial"/>
          <w:color w:val="auto"/>
          <w:sz w:val="24"/>
          <w:highlight w:val="none"/>
        </w:rPr>
        <w:t>，代表所有联合体成员负责投标和合同实施阶段的主办、协调工作</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w:t>
      </w:r>
      <w:r>
        <w:rPr>
          <w:rFonts w:hint="eastAsia" w:ascii="仿宋" w:hAnsi="仿宋" w:eastAsia="仿宋" w:cs="Arial"/>
          <w:color w:val="auto"/>
          <w:sz w:val="24"/>
          <w:highlight w:val="none"/>
        </w:rPr>
        <w:t>所有联合体成员各方签署授权书，授权书载明的</w:t>
      </w:r>
      <w:r>
        <w:rPr>
          <w:rFonts w:hint="eastAsia" w:ascii="仿宋" w:hAnsi="仿宋" w:eastAsia="仿宋" w:cs="仿宋_GB2312"/>
          <w:color w:val="auto"/>
          <w:kern w:val="0"/>
          <w:sz w:val="24"/>
          <w:highlight w:val="none"/>
          <w:lang w:val="zh-CN"/>
        </w:rPr>
        <w:t>授权代表根据招标文件规定及投标内容而对采购人、采购</w:t>
      </w:r>
      <w:r>
        <w:rPr>
          <w:rFonts w:hint="eastAsia" w:ascii="仿宋" w:hAnsi="仿宋" w:eastAsia="仿宋" w:cs="仿宋_GB2312"/>
          <w:color w:val="auto"/>
          <w:sz w:val="24"/>
          <w:highlight w:val="none"/>
        </w:rPr>
        <w:t>代理</w:t>
      </w:r>
      <w:r>
        <w:rPr>
          <w:rFonts w:hint="eastAsia" w:ascii="仿宋" w:hAnsi="仿宋" w:eastAsia="仿宋" w:cs="仿宋_GB2312"/>
          <w:color w:val="auto"/>
          <w:kern w:val="0"/>
          <w:sz w:val="24"/>
          <w:highlight w:val="none"/>
          <w:lang w:val="zh-CN"/>
        </w:rPr>
        <w:t>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三、本次联合投标中，分工如下：</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ascii="仿宋" w:hAnsi="仿宋" w:eastAsia="仿宋"/>
          <w:color w:val="auto"/>
          <w:highlight w:val="none"/>
          <w:u w:val="single"/>
        </w:rPr>
        <w:t xml:space="preserve">             </w:t>
      </w:r>
      <w:r>
        <w:rPr>
          <w:rFonts w:hint="eastAsia" w:ascii="仿宋" w:hAnsi="仿宋" w:eastAsia="仿宋" w:cs="仿宋_GB2312"/>
          <w:color w:val="auto"/>
          <w:kern w:val="0"/>
          <w:sz w:val="24"/>
          <w:highlight w:val="none"/>
          <w:lang w:val="zh-CN"/>
        </w:rPr>
        <w:t>；</w:t>
      </w:r>
      <w:r>
        <w:rPr>
          <w:rFonts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b/>
          <w:color w:val="auto"/>
          <w:kern w:val="0"/>
          <w:sz w:val="24"/>
          <w:highlight w:val="none"/>
          <w:lang w:val="zh-CN"/>
        </w:rPr>
      </w:pPr>
      <w:r>
        <w:rPr>
          <w:rFonts w:hint="eastAsia" w:ascii="仿宋" w:hAnsi="仿宋" w:eastAsia="仿宋" w:cs="仿宋_GB2312"/>
          <w:color w:val="auto"/>
          <w:kern w:val="0"/>
          <w:sz w:val="24"/>
          <w:highlight w:val="none"/>
          <w:lang w:val="zh-CN"/>
        </w:rPr>
        <w:t>四、</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rPr>
        <w:t>提供的全部货物由小微企业制造，其合同份额占到合同总金额</w:t>
      </w:r>
      <w:r>
        <w:rPr>
          <w:rFonts w:ascii="仿宋" w:hAnsi="仿宋" w:eastAsia="仿宋" w:cs="仿宋_GB2312"/>
          <w:color w:val="auto"/>
          <w:kern w:val="0"/>
          <w:sz w:val="24"/>
          <w:highlight w:val="none"/>
          <w:u w:val="single"/>
        </w:rPr>
        <w:t xml:space="preserve">     </w:t>
      </w:r>
      <w:r>
        <w:rPr>
          <w:rFonts w:ascii="仿宋" w:hAnsi="仿宋" w:eastAsia="仿宋" w:cs="仿宋_GB2312"/>
          <w:color w:val="auto"/>
          <w:kern w:val="0"/>
          <w:sz w:val="24"/>
          <w:highlight w:val="none"/>
        </w:rPr>
        <w:t>%以上；</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_GB2312"/>
          <w:b/>
          <w:color w:val="auto"/>
          <w:kern w:val="0"/>
          <w:sz w:val="24"/>
          <w:highlight w:val="none"/>
          <w:lang w:val="zh-CN"/>
        </w:rPr>
        <w:t xml:space="preserve"> 30%以上</w:t>
      </w:r>
      <w:r>
        <w:rPr>
          <w:rFonts w:hint="eastAsia" w:ascii="仿宋" w:hAnsi="仿宋" w:eastAsia="仿宋" w:cs="仿宋_GB2312"/>
          <w:b/>
          <w:color w:val="auto"/>
          <w:kern w:val="0"/>
          <w:sz w:val="24"/>
          <w:highlight w:val="none"/>
          <w:lang w:val="zh-CN"/>
        </w:rPr>
        <w:t>，对联合体报价给予</w:t>
      </w:r>
      <w:r>
        <w:rPr>
          <w:rFonts w:ascii="仿宋" w:hAnsi="仿宋" w:eastAsia="仿宋" w:cs="仿宋_GB2312"/>
          <w:b/>
          <w:color w:val="auto"/>
          <w:kern w:val="0"/>
          <w:sz w:val="24"/>
          <w:highlight w:val="none"/>
          <w:lang w:val="zh-CN"/>
        </w:rPr>
        <w:t>3%的扣除</w:t>
      </w:r>
      <w:r>
        <w:rPr>
          <w:rFonts w:hint="eastAsia" w:ascii="仿宋" w:hAnsi="仿宋" w:eastAsia="仿宋" w:cs="仿宋_GB2312"/>
          <w:b/>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五、如果中标，</w:t>
      </w:r>
      <w:r>
        <w:rPr>
          <w:rFonts w:hint="eastAsia" w:ascii="仿宋" w:hAnsi="仿宋" w:eastAsia="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六、有关本次联合投标的其他事宜：</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1、联合体各方不再单独参加或者与其</w:t>
      </w:r>
      <w:r>
        <w:rPr>
          <w:rFonts w:hint="eastAsia" w:ascii="仿宋" w:hAnsi="仿宋" w:eastAsia="仿宋"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3、本协议提交采购人、采购</w:t>
      </w:r>
      <w:r>
        <w:rPr>
          <w:rFonts w:hint="eastAsia" w:ascii="仿宋" w:hAnsi="仿宋" w:eastAsia="仿宋" w:cs="仿宋_GB2312"/>
          <w:color w:val="auto"/>
          <w:sz w:val="24"/>
          <w:highlight w:val="none"/>
        </w:rPr>
        <w:t>代理</w:t>
      </w:r>
      <w:r>
        <w:rPr>
          <w:rFonts w:ascii="仿宋" w:hAnsi="仿宋" w:eastAsia="仿宋" w:cs="仿宋_GB2312"/>
          <w:color w:val="auto"/>
          <w:kern w:val="0"/>
          <w:sz w:val="24"/>
          <w:highlight w:val="none"/>
          <w:lang w:val="zh-CN"/>
        </w:rPr>
        <w:t>机构后，联合体各方不得以任何形式对上述内容进行修改或撤销。</w:t>
      </w: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snapToGrid w:val="0"/>
        <w:spacing w:line="360" w:lineRule="auto"/>
        <w:ind w:right="480"/>
        <w:rPr>
          <w:rFonts w:ascii="仿宋" w:hAnsi="仿宋" w:eastAsia="仿宋" w:cs="仿宋_GB2312"/>
          <w:b/>
          <w:color w:val="auto"/>
          <w:kern w:val="0"/>
          <w:sz w:val="32"/>
          <w:szCs w:val="32"/>
          <w:highlight w:val="none"/>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四、分包意向协议</w:t>
      </w:r>
    </w:p>
    <w:p>
      <w:pPr>
        <w:widowControl/>
        <w:spacing w:line="360" w:lineRule="auto"/>
        <w:ind w:firstLine="120" w:firstLineChars="5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hint="eastAsia" w:ascii="仿宋" w:hAnsi="仿宋" w:eastAsia="仿宋"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_GB2312"/>
          <w:color w:val="auto"/>
          <w:sz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lang w:val="zh-CN"/>
        </w:rPr>
        <w:t>若成为</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的中标供应商，将依法采取分包方式履行合同。</w:t>
      </w: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rPr>
        <w:t>与</w:t>
      </w:r>
      <w:r>
        <w:rPr>
          <w:rFonts w:hint="eastAsia" w:ascii="仿宋" w:hAnsi="仿宋" w:eastAsia="仿宋" w:cs="仿宋_GB2312"/>
          <w:color w:val="auto"/>
          <w:kern w:val="0"/>
          <w:sz w:val="24"/>
          <w:highlight w:val="none"/>
          <w:u w:val="single"/>
        </w:rPr>
        <w:t>（所有分包供应商名称）</w:t>
      </w:r>
      <w:r>
        <w:rPr>
          <w:rFonts w:hint="eastAsia" w:ascii="仿宋" w:hAnsi="仿宋" w:eastAsia="仿宋" w:cs="仿宋_GB2312"/>
          <w:color w:val="auto"/>
          <w:kern w:val="0"/>
          <w:sz w:val="24"/>
          <w:highlight w:val="none"/>
        </w:rPr>
        <w:t>达成分包意向协议</w:t>
      </w:r>
      <w:r>
        <w:rPr>
          <w:rFonts w:hint="eastAsia" w:ascii="仿宋" w:hAnsi="仿宋" w:eastAsia="仿宋" w:cs="仿宋_GB2312"/>
          <w:color w:val="auto"/>
          <w:kern w:val="0"/>
          <w:sz w:val="24"/>
          <w:highlight w:val="none"/>
          <w:lang w:val="zh-CN"/>
        </w:rPr>
        <w:t>。</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一、分包标的及数量</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lang w:val="zh-CN"/>
        </w:rPr>
        <w:t>将</w:t>
      </w:r>
      <w:r>
        <w:rPr>
          <w:rFonts w:ascii="仿宋" w:hAnsi="仿宋" w:eastAsia="仿宋"/>
          <w:color w:val="auto"/>
          <w:highlight w:val="none"/>
          <w:u w:val="single"/>
        </w:rPr>
        <w:t xml:space="preserve">   XX工作内容   </w:t>
      </w:r>
      <w:r>
        <w:rPr>
          <w:rFonts w:hint="eastAsia" w:ascii="仿宋" w:hAnsi="仿宋" w:eastAsia="仿宋" w:cs="Arial"/>
          <w:color w:val="auto"/>
          <w:sz w:val="24"/>
          <w:highlight w:val="none"/>
        </w:rPr>
        <w:t>分包给</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具备承</w:t>
      </w:r>
      <w:r>
        <w:rPr>
          <w:rFonts w:hint="eastAsia" w:ascii="仿宋" w:hAnsi="仿宋" w:eastAsia="仿宋" w:cs="仿宋_GB2312"/>
          <w:color w:val="auto"/>
          <w:kern w:val="0"/>
          <w:sz w:val="24"/>
          <w:highlight w:val="none"/>
        </w:rPr>
        <w:t>担</w:t>
      </w:r>
      <w:r>
        <w:rPr>
          <w:rFonts w:ascii="仿宋" w:hAnsi="仿宋" w:eastAsia="仿宋" w:cs="仿宋_GB2312"/>
          <w:color w:val="auto"/>
          <w:kern w:val="0"/>
          <w:sz w:val="24"/>
          <w:highlight w:val="none"/>
          <w:u w:val="single"/>
          <w:lang w:val="zh-CN"/>
        </w:rPr>
        <w:t>XX工作内容</w:t>
      </w:r>
      <w:r>
        <w:rPr>
          <w:rFonts w:hint="eastAsia" w:ascii="仿宋" w:hAnsi="仿宋" w:eastAsia="仿宋" w:cs="仿宋_GB2312"/>
          <w:color w:val="auto"/>
          <w:kern w:val="0"/>
          <w:sz w:val="24"/>
          <w:highlight w:val="none"/>
          <w:lang w:val="zh-CN"/>
        </w:rPr>
        <w:t>相应资质条件且不得再次分包；</w:t>
      </w:r>
    </w:p>
    <w:p>
      <w:pPr>
        <w:pStyle w:val="4"/>
        <w:ind w:left="664" w:leftChars="316" w:firstLine="229" w:firstLineChars="95"/>
        <w:rPr>
          <w:rFonts w:ascii="仿宋" w:eastAsia="仿宋"/>
          <w:color w:val="auto"/>
          <w:highlight w:val="none"/>
        </w:rPr>
      </w:pPr>
      <w:r>
        <w:rPr>
          <w:rFonts w:hint="eastAsia" w:ascii="仿宋" w:eastAsia="仿宋" w:cs="仿宋_GB2312"/>
          <w:color w:val="auto"/>
          <w:kern w:val="0"/>
          <w:sz w:val="24"/>
          <w:szCs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二、分包工作履行期限、地点、方式</w:t>
      </w:r>
    </w:p>
    <w:p>
      <w:pPr>
        <w:snapToGrid w:val="0"/>
        <w:spacing w:line="360" w:lineRule="auto"/>
        <w:ind w:firstLine="576"/>
        <w:rPr>
          <w:rFonts w:ascii="仿宋" w:hAnsi="仿宋" w:eastAsia="仿宋"/>
          <w:color w:val="auto"/>
          <w:highlight w:val="none"/>
          <w:u w:val="single"/>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三、质量</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四、价款或者报酬</w:t>
      </w:r>
    </w:p>
    <w:p>
      <w:pPr>
        <w:snapToGrid w:val="0"/>
        <w:spacing w:line="360" w:lineRule="auto"/>
        <w:ind w:left="573" w:leftChars="273"/>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left="573" w:leftChars="273"/>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五、违约责任</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六、争议解决的办法</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七、其他</w:t>
      </w:r>
    </w:p>
    <w:p>
      <w:pPr>
        <w:snapToGrid w:val="0"/>
        <w:spacing w:line="360" w:lineRule="auto"/>
        <w:ind w:firstLine="576"/>
        <w:rPr>
          <w:rFonts w:ascii="仿宋" w:hAnsi="仿宋" w:eastAsia="仿宋" w:cs="仿宋_GB2312"/>
          <w:b/>
          <w:color w:val="auto"/>
          <w:kern w:val="0"/>
          <w:sz w:val="24"/>
          <w:highlight w:val="none"/>
          <w:lang w:val="zh-CN"/>
        </w:rPr>
      </w:pPr>
      <w:r>
        <w:rPr>
          <w:rFonts w:hint="eastAsia" w:ascii="仿宋" w:hAnsi="仿宋" w:eastAsia="仿宋" w:cs="仿宋_GB2312"/>
          <w:color w:val="auto"/>
          <w:kern w:val="0"/>
          <w:sz w:val="24"/>
          <w:highlight w:val="none"/>
          <w:u w:val="single"/>
        </w:rPr>
        <w:t>（分包供应商名称）提供的货物全部由小微企业制造，</w:t>
      </w:r>
      <w:r>
        <w:rPr>
          <w:rFonts w:hint="eastAsia" w:ascii="仿宋" w:hAnsi="仿宋" w:eastAsia="仿宋" w:cs="仿宋_GB2312"/>
          <w:color w:val="auto"/>
          <w:kern w:val="0"/>
          <w:sz w:val="24"/>
          <w:highlight w:val="none"/>
        </w:rPr>
        <w:t>其合同份额占到合同总金额</w:t>
      </w:r>
      <w:r>
        <w:rPr>
          <w:rFonts w:ascii="仿宋" w:hAnsi="仿宋" w:eastAsia="仿宋" w:cs="仿宋_GB2312"/>
          <w:color w:val="auto"/>
          <w:kern w:val="0"/>
          <w:sz w:val="24"/>
          <w:highlight w:val="none"/>
          <w:u w:val="single"/>
        </w:rPr>
        <w:t xml:space="preserve">     </w:t>
      </w:r>
      <w:r>
        <w:rPr>
          <w:rFonts w:ascii="仿宋" w:hAnsi="仿宋" w:eastAsia="仿宋" w:cs="仿宋_GB2312"/>
          <w:color w:val="auto"/>
          <w:kern w:val="0"/>
          <w:sz w:val="24"/>
          <w:highlight w:val="none"/>
        </w:rPr>
        <w:t>%以上</w:t>
      </w:r>
      <w:r>
        <w:rPr>
          <w:rFonts w:hint="eastAsia" w:ascii="仿宋" w:hAnsi="仿宋" w:eastAsia="仿宋"/>
          <w:color w:val="auto"/>
          <w:highlight w:val="none"/>
        </w:rPr>
        <w:t>。</w:t>
      </w:r>
      <w:r>
        <w:rPr>
          <w:rFonts w:hint="eastAsia" w:ascii="仿宋" w:hAnsi="仿宋" w:eastAsia="仿宋"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_GB2312"/>
          <w:b/>
          <w:color w:val="auto"/>
          <w:kern w:val="0"/>
          <w:sz w:val="24"/>
          <w:highlight w:val="none"/>
          <w:lang w:val="zh-CN"/>
        </w:rPr>
        <w:t xml:space="preserve"> 30%以上</w:t>
      </w:r>
      <w:r>
        <w:rPr>
          <w:rFonts w:hint="eastAsia" w:ascii="仿宋" w:hAnsi="仿宋" w:eastAsia="仿宋" w:cs="仿宋_GB2312"/>
          <w:b/>
          <w:color w:val="auto"/>
          <w:kern w:val="0"/>
          <w:sz w:val="24"/>
          <w:highlight w:val="none"/>
          <w:lang w:val="zh-CN"/>
        </w:rPr>
        <w:t>的，对大中型企业的报价给予</w:t>
      </w:r>
      <w:r>
        <w:rPr>
          <w:rFonts w:ascii="仿宋" w:hAnsi="仿宋" w:eastAsia="仿宋" w:cs="仿宋_GB2312"/>
          <w:b/>
          <w:color w:val="auto"/>
          <w:kern w:val="0"/>
          <w:sz w:val="24"/>
          <w:highlight w:val="none"/>
          <w:lang w:val="zh-CN"/>
        </w:rPr>
        <w:t>3%的扣除</w:t>
      </w:r>
      <w:r>
        <w:rPr>
          <w:rFonts w:hint="eastAsia" w:ascii="仿宋" w:hAnsi="仿宋" w:eastAsia="仿宋" w:cs="仿宋_GB2312"/>
          <w:b/>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ind w:firstLine="5640" w:firstLineChars="23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分包供应商名称：</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br w:type="page"/>
      </w: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五、符合性审查资料</w:t>
      </w:r>
    </w:p>
    <w:p>
      <w:pPr>
        <w:jc w:val="center"/>
        <w:rPr>
          <w:rFonts w:ascii="仿宋" w:hAnsi="仿宋" w:eastAsia="仿宋" w:cs="仿宋_GB2312"/>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1</w:t>
            </w:r>
          </w:p>
        </w:tc>
        <w:tc>
          <w:tcPr>
            <w:tcW w:w="4991" w:type="dxa"/>
            <w:vAlign w:val="center"/>
          </w:tcPr>
          <w:p>
            <w:pPr>
              <w:spacing w:line="360" w:lineRule="auto"/>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rFonts w:ascii="仿宋" w:hAnsi="仿宋" w:eastAsia="仿宋"/>
                <w:color w:val="auto"/>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2</w:t>
            </w:r>
          </w:p>
        </w:tc>
        <w:tc>
          <w:tcPr>
            <w:tcW w:w="4991"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 w:hAnsi="仿宋" w:eastAsia="仿宋" w:cs="仿宋_GB2312"/>
                <w:color w:val="auto"/>
                <w:sz w:val="24"/>
                <w:highlight w:val="none"/>
              </w:rPr>
              <w:t>节能产品认证证书（本项目</w:t>
            </w:r>
            <w:r>
              <w:rPr>
                <w:rFonts w:hint="eastAsia" w:ascii="仿宋" w:hAnsi="仿宋" w:eastAsia="仿宋"/>
                <w:color w:val="auto"/>
                <w:sz w:val="24"/>
                <w:highlight w:val="none"/>
              </w:rPr>
              <w:t>拟采购的产品不属于政府强制采购的节能产品品目清单范围的</w:t>
            </w:r>
            <w:r>
              <w:rPr>
                <w:rFonts w:hint="eastAsia" w:ascii="仿宋" w:hAnsi="仿宋" w:eastAsia="仿宋" w:cs="仿宋_GB2312"/>
                <w:color w:val="auto"/>
                <w:sz w:val="24"/>
                <w:highlight w:val="none"/>
              </w:rPr>
              <w:t>，无需提供）</w:t>
            </w:r>
          </w:p>
        </w:tc>
        <w:tc>
          <w:tcPr>
            <w:tcW w:w="1418" w:type="dxa"/>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4"/>
              <w:rPr>
                <w:rFonts w:ascii="仿宋" w:eastAsia="仿宋"/>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3</w:t>
            </w:r>
          </w:p>
        </w:tc>
        <w:tc>
          <w:tcPr>
            <w:tcW w:w="4991" w:type="dxa"/>
          </w:tcPr>
          <w:p>
            <w:pPr>
              <w:spacing w:line="360" w:lineRule="auto"/>
              <w:rPr>
                <w:rFonts w:ascii="仿宋" w:hAnsi="仿宋" w:eastAsia="仿宋" w:cs="仿宋_GB2312"/>
                <w:color w:val="auto"/>
                <w:sz w:val="24"/>
                <w:highlight w:val="none"/>
              </w:rPr>
            </w:pPr>
            <w:r>
              <w:rPr>
                <w:rFonts w:hint="eastAsia" w:ascii="仿宋" w:hAnsi="仿宋" w:eastAsia="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tcPr>
          <w:p>
            <w:pPr>
              <w:rPr>
                <w:rFonts w:ascii="仿宋" w:hAnsi="仿宋" w:eastAsia="仿宋"/>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4</w:t>
            </w:r>
          </w:p>
        </w:tc>
        <w:tc>
          <w:tcPr>
            <w:tcW w:w="4991"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 w:hAnsi="仿宋" w:eastAsia="仿宋" w:cs="仿宋_GB2312"/>
                <w:color w:val="auto"/>
                <w:kern w:val="0"/>
                <w:sz w:val="24"/>
                <w:highlight w:val="none"/>
              </w:rPr>
              <w:t>招标文件其它实质性要求相应的材料（“▲”</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rPr>
              <w:t>系指实质性要求条款，招标文件无其它实质性要求的，无需提供）</w:t>
            </w:r>
          </w:p>
        </w:tc>
        <w:tc>
          <w:tcPr>
            <w:tcW w:w="1418" w:type="dxa"/>
          </w:tcPr>
          <w:p>
            <w:pPr>
              <w:rPr>
                <w:rFonts w:ascii="仿宋" w:hAnsi="仿宋" w:eastAsia="仿宋"/>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t xml:space="preserve">            </w:t>
      </w: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olor w:val="auto"/>
          <w:highlight w:val="none"/>
        </w:rPr>
      </w:pPr>
      <w:r>
        <w:rPr>
          <w:rFonts w:hint="eastAsia" w:ascii="仿宋" w:hAnsi="仿宋" w:eastAsia="仿宋" w:cs="仿宋_GB2312"/>
          <w:b/>
          <w:color w:val="auto"/>
          <w:kern w:val="0"/>
          <w:sz w:val="32"/>
          <w:szCs w:val="32"/>
          <w:highlight w:val="none"/>
        </w:rPr>
        <w:t>六、评标标准相应的商务技术资料</w:t>
      </w:r>
    </w:p>
    <w:p>
      <w:pPr>
        <w:snapToGrid w:val="0"/>
        <w:spacing w:line="360" w:lineRule="auto"/>
        <w:jc w:val="left"/>
        <w:rPr>
          <w:rFonts w:ascii="仿宋" w:hAnsi="仿宋" w:eastAsia="仿宋" w:cs="仿宋_GB2312"/>
          <w:b/>
          <w:color w:val="auto"/>
          <w:sz w:val="24"/>
          <w:highlight w:val="none"/>
        </w:rPr>
      </w:pPr>
    </w:p>
    <w:p>
      <w:pPr>
        <w:snapToGrid w:val="0"/>
        <w:spacing w:line="360" w:lineRule="auto"/>
        <w:jc w:val="left"/>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（按招标文件第四部分评标办法前附表中“投标文件中评标标准相应的商务技术资料目录”提供资料）</w:t>
      </w:r>
    </w:p>
    <w:p>
      <w:pPr>
        <w:snapToGrid w:val="0"/>
        <w:spacing w:line="360" w:lineRule="auto"/>
        <w:ind w:firstLine="480" w:firstLineChars="200"/>
        <w:rPr>
          <w:rFonts w:ascii="仿宋" w:hAnsi="仿宋" w:eastAsia="仿宋" w:cs="仿宋_GB2312"/>
          <w:color w:val="auto"/>
          <w:kern w:val="0"/>
          <w:sz w:val="24"/>
          <w:highlight w:val="none"/>
          <w:lang w:val="zh-CN"/>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br w:type="page"/>
      </w:r>
    </w:p>
    <w:p>
      <w:pPr>
        <w:pStyle w:val="2"/>
        <w:rPr>
          <w:rFonts w:ascii="仿宋" w:hAnsi="仿宋" w:eastAsia="仿宋"/>
          <w:color w:val="auto"/>
          <w:highlight w:val="none"/>
        </w:rPr>
      </w:pP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bl>
    <w:p>
      <w:pPr>
        <w:jc w:val="left"/>
        <w:rPr>
          <w:rFonts w:ascii="仿宋" w:hAnsi="仿宋" w:eastAsia="仿宋" w:cs="仿宋_GB2312"/>
          <w:color w:val="auto"/>
          <w:kern w:val="0"/>
          <w:sz w:val="24"/>
          <w:highlight w:val="none"/>
        </w:rPr>
      </w:pPr>
    </w:p>
    <w:p>
      <w:pPr>
        <w:jc w:val="left"/>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投标人保证：除商务技术偏离表列出的偏离外，投标人响应招标文件的全部要求</w:t>
      </w: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cs="仿宋_GB2312"/>
          <w:b/>
          <w:color w:val="auto"/>
          <w:kern w:val="0"/>
          <w:sz w:val="32"/>
          <w:szCs w:val="32"/>
          <w:highlight w:val="none"/>
        </w:rPr>
      </w:pPr>
    </w:p>
    <w:p>
      <w:pPr>
        <w:ind w:firstLine="2891" w:firstLineChars="900"/>
        <w:rPr>
          <w:rFonts w:ascii="仿宋" w:hAnsi="仿宋" w:eastAsia="仿宋" w:cs="仿宋_GB2312"/>
          <w:b/>
          <w:color w:val="auto"/>
          <w:kern w:val="0"/>
          <w:sz w:val="32"/>
          <w:szCs w:val="32"/>
          <w:highlight w:val="none"/>
        </w:rPr>
      </w:pPr>
    </w:p>
    <w:p>
      <w:pPr>
        <w:ind w:firstLine="2891" w:firstLineChars="900"/>
        <w:rPr>
          <w:rFonts w:ascii="仿宋" w:hAnsi="仿宋" w:eastAsia="仿宋" w:cs="仿宋_GB2312"/>
          <w:b/>
          <w:color w:val="auto"/>
          <w:kern w:val="0"/>
          <w:sz w:val="32"/>
          <w:szCs w:val="32"/>
          <w:highlight w:val="none"/>
        </w:rPr>
      </w:pPr>
    </w:p>
    <w:p>
      <w:pPr>
        <w:ind w:firstLine="2891" w:firstLineChars="900"/>
        <w:rPr>
          <w:rFonts w:ascii="仿宋" w:hAnsi="仿宋" w:eastAsia="仿宋" w:cs="仿宋_GB2312"/>
          <w:b/>
          <w:color w:val="auto"/>
          <w:kern w:val="0"/>
          <w:sz w:val="32"/>
          <w:szCs w:val="32"/>
          <w:highlight w:val="none"/>
        </w:rPr>
      </w:pPr>
    </w:p>
    <w:p>
      <w:pPr>
        <w:ind w:firstLine="2891" w:firstLineChars="900"/>
        <w:rPr>
          <w:rFonts w:ascii="仿宋" w:hAnsi="仿宋" w:eastAsia="仿宋" w:cs="仿宋_GB2312"/>
          <w:b/>
          <w:color w:val="auto"/>
          <w:kern w:val="0"/>
          <w:sz w:val="32"/>
          <w:szCs w:val="32"/>
          <w:highlight w:val="none"/>
        </w:rPr>
      </w:pPr>
    </w:p>
    <w:p>
      <w:pPr>
        <w:ind w:firstLine="2891" w:firstLineChars="900"/>
        <w:rPr>
          <w:rFonts w:ascii="仿宋" w:hAnsi="仿宋" w:eastAsia="仿宋" w:cs="仿宋_GB2312"/>
          <w:b/>
          <w:color w:val="auto"/>
          <w:kern w:val="0"/>
          <w:sz w:val="32"/>
          <w:szCs w:val="32"/>
          <w:highlight w:val="none"/>
        </w:rPr>
      </w:pPr>
    </w:p>
    <w:p>
      <w:pPr>
        <w:rPr>
          <w:rFonts w:ascii="仿宋" w:hAnsi="仿宋" w:eastAsia="仿宋" w:cs="仿宋_GB2312"/>
          <w:b/>
          <w:color w:val="auto"/>
          <w:kern w:val="0"/>
          <w:sz w:val="32"/>
          <w:szCs w:val="32"/>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r>
        <w:rPr>
          <w:rFonts w:hint="eastAsia" w:ascii="仿宋" w:hAnsi="仿宋" w:eastAsia="仿宋" w:cs="仿宋_GB2312"/>
          <w:b/>
          <w:color w:val="auto"/>
          <w:kern w:val="0"/>
          <w:sz w:val="32"/>
          <w:szCs w:val="32"/>
          <w:highlight w:val="none"/>
        </w:rPr>
        <w:br w:type="page"/>
      </w:r>
    </w:p>
    <w:p>
      <w:pPr>
        <w:ind w:firstLine="5461" w:firstLineChars="1700"/>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八、产品配置清单</w:t>
      </w:r>
    </w:p>
    <w:p>
      <w:pPr>
        <w:jc w:val="center"/>
        <w:rPr>
          <w:rFonts w:ascii="仿宋" w:hAnsi="仿宋" w:eastAsia="仿宋" w:cs="仿宋_GB2312"/>
          <w:b/>
          <w:color w:val="auto"/>
          <w:kern w:val="0"/>
          <w:sz w:val="32"/>
          <w:szCs w:val="32"/>
          <w:highlight w:val="none"/>
        </w:rPr>
      </w:pPr>
    </w:p>
    <w:tbl>
      <w:tblPr>
        <w:tblStyle w:val="63"/>
        <w:tblW w:w="0" w:type="auto"/>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1913"/>
        <w:gridCol w:w="1417"/>
        <w:gridCol w:w="6202"/>
        <w:gridCol w:w="877"/>
        <w:gridCol w:w="168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89" w:type="dxa"/>
            <w:vAlign w:val="center"/>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1917" w:type="dxa"/>
            <w:vAlign w:val="center"/>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产品名称</w:t>
            </w:r>
          </w:p>
        </w:tc>
        <w:tc>
          <w:tcPr>
            <w:tcW w:w="1420" w:type="dxa"/>
            <w:vAlign w:val="center"/>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产品型号</w:t>
            </w:r>
          </w:p>
        </w:tc>
        <w:tc>
          <w:tcPr>
            <w:tcW w:w="6219" w:type="dxa"/>
            <w:vAlign w:val="center"/>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主要规格、功能、技术参数（请响应供应商必须详细列出所投货物具体参数、指标和性能）</w:t>
            </w:r>
          </w:p>
        </w:tc>
        <w:tc>
          <w:tcPr>
            <w:tcW w:w="878" w:type="dxa"/>
            <w:vAlign w:val="center"/>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数量</w:t>
            </w:r>
          </w:p>
        </w:tc>
        <w:tc>
          <w:tcPr>
            <w:tcW w:w="1683" w:type="dxa"/>
            <w:vAlign w:val="center"/>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品牌、产地</w:t>
            </w:r>
          </w:p>
        </w:tc>
        <w:tc>
          <w:tcPr>
            <w:tcW w:w="1294" w:type="dxa"/>
            <w:vAlign w:val="center"/>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spacing w:line="500" w:lineRule="exact"/>
              <w:ind w:firstLine="480"/>
              <w:rPr>
                <w:rFonts w:ascii="宋体" w:hAnsi="宋体" w:cs="宋体"/>
                <w:color w:val="auto"/>
                <w:szCs w:val="21"/>
                <w:highlight w:val="none"/>
              </w:rPr>
            </w:pPr>
          </w:p>
        </w:tc>
        <w:tc>
          <w:tcPr>
            <w:tcW w:w="1917" w:type="dxa"/>
          </w:tcPr>
          <w:p>
            <w:pPr>
              <w:spacing w:line="500" w:lineRule="exact"/>
              <w:ind w:firstLine="480"/>
              <w:rPr>
                <w:rFonts w:ascii="宋体" w:hAnsi="宋体" w:cs="宋体"/>
                <w:color w:val="auto"/>
                <w:szCs w:val="21"/>
                <w:highlight w:val="none"/>
              </w:rPr>
            </w:pPr>
          </w:p>
        </w:tc>
        <w:tc>
          <w:tcPr>
            <w:tcW w:w="1420" w:type="dxa"/>
          </w:tcPr>
          <w:p>
            <w:pPr>
              <w:spacing w:line="500" w:lineRule="exact"/>
              <w:ind w:firstLine="480"/>
              <w:rPr>
                <w:rFonts w:ascii="宋体" w:hAnsi="宋体" w:cs="宋体"/>
                <w:color w:val="auto"/>
                <w:szCs w:val="21"/>
                <w:highlight w:val="none"/>
              </w:rPr>
            </w:pPr>
          </w:p>
        </w:tc>
        <w:tc>
          <w:tcPr>
            <w:tcW w:w="6219" w:type="dxa"/>
          </w:tcPr>
          <w:p>
            <w:pPr>
              <w:spacing w:line="500" w:lineRule="exact"/>
              <w:ind w:firstLine="480"/>
              <w:rPr>
                <w:rFonts w:ascii="宋体" w:hAnsi="宋体" w:cs="宋体"/>
                <w:color w:val="auto"/>
                <w:szCs w:val="21"/>
                <w:highlight w:val="none"/>
              </w:rPr>
            </w:pPr>
          </w:p>
        </w:tc>
        <w:tc>
          <w:tcPr>
            <w:tcW w:w="878" w:type="dxa"/>
          </w:tcPr>
          <w:p>
            <w:pPr>
              <w:spacing w:line="500" w:lineRule="exact"/>
              <w:ind w:firstLine="480"/>
              <w:rPr>
                <w:rFonts w:ascii="宋体" w:hAnsi="宋体" w:cs="宋体"/>
                <w:color w:val="auto"/>
                <w:szCs w:val="21"/>
                <w:highlight w:val="none"/>
              </w:rPr>
            </w:pPr>
          </w:p>
        </w:tc>
        <w:tc>
          <w:tcPr>
            <w:tcW w:w="1683" w:type="dxa"/>
          </w:tcPr>
          <w:p>
            <w:pPr>
              <w:spacing w:line="500" w:lineRule="exact"/>
              <w:ind w:firstLine="480"/>
              <w:rPr>
                <w:rFonts w:ascii="宋体" w:hAnsi="宋体" w:cs="宋体"/>
                <w:color w:val="auto"/>
                <w:szCs w:val="21"/>
                <w:highlight w:val="none"/>
              </w:rPr>
            </w:pPr>
          </w:p>
        </w:tc>
        <w:tc>
          <w:tcPr>
            <w:tcW w:w="1294" w:type="dxa"/>
          </w:tcPr>
          <w:p>
            <w:pPr>
              <w:spacing w:line="500" w:lineRule="exact"/>
              <w:ind w:firstLine="48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spacing w:line="500" w:lineRule="exact"/>
              <w:ind w:firstLine="480"/>
              <w:rPr>
                <w:rFonts w:ascii="宋体" w:hAnsi="宋体" w:cs="宋体"/>
                <w:color w:val="auto"/>
                <w:szCs w:val="21"/>
                <w:highlight w:val="none"/>
              </w:rPr>
            </w:pPr>
          </w:p>
        </w:tc>
        <w:tc>
          <w:tcPr>
            <w:tcW w:w="1917" w:type="dxa"/>
          </w:tcPr>
          <w:p>
            <w:pPr>
              <w:spacing w:line="500" w:lineRule="exact"/>
              <w:ind w:firstLine="480"/>
              <w:rPr>
                <w:rFonts w:ascii="宋体" w:hAnsi="宋体" w:cs="宋体"/>
                <w:color w:val="auto"/>
                <w:szCs w:val="21"/>
                <w:highlight w:val="none"/>
              </w:rPr>
            </w:pPr>
          </w:p>
        </w:tc>
        <w:tc>
          <w:tcPr>
            <w:tcW w:w="1420" w:type="dxa"/>
          </w:tcPr>
          <w:p>
            <w:pPr>
              <w:spacing w:line="500" w:lineRule="exact"/>
              <w:ind w:firstLine="480"/>
              <w:rPr>
                <w:rFonts w:ascii="宋体" w:hAnsi="宋体" w:cs="宋体"/>
                <w:color w:val="auto"/>
                <w:szCs w:val="21"/>
                <w:highlight w:val="none"/>
              </w:rPr>
            </w:pPr>
          </w:p>
        </w:tc>
        <w:tc>
          <w:tcPr>
            <w:tcW w:w="6219" w:type="dxa"/>
          </w:tcPr>
          <w:p>
            <w:pPr>
              <w:spacing w:line="500" w:lineRule="exact"/>
              <w:ind w:firstLine="480"/>
              <w:rPr>
                <w:rFonts w:ascii="宋体" w:hAnsi="宋体" w:cs="宋体"/>
                <w:color w:val="auto"/>
                <w:szCs w:val="21"/>
                <w:highlight w:val="none"/>
              </w:rPr>
            </w:pPr>
          </w:p>
        </w:tc>
        <w:tc>
          <w:tcPr>
            <w:tcW w:w="878" w:type="dxa"/>
          </w:tcPr>
          <w:p>
            <w:pPr>
              <w:spacing w:line="500" w:lineRule="exact"/>
              <w:ind w:firstLine="480"/>
              <w:rPr>
                <w:rFonts w:ascii="宋体" w:hAnsi="宋体" w:cs="宋体"/>
                <w:color w:val="auto"/>
                <w:szCs w:val="21"/>
                <w:highlight w:val="none"/>
              </w:rPr>
            </w:pPr>
          </w:p>
        </w:tc>
        <w:tc>
          <w:tcPr>
            <w:tcW w:w="1683" w:type="dxa"/>
          </w:tcPr>
          <w:p>
            <w:pPr>
              <w:spacing w:line="500" w:lineRule="exact"/>
              <w:ind w:firstLine="480"/>
              <w:rPr>
                <w:rFonts w:ascii="宋体" w:hAnsi="宋体" w:cs="宋体"/>
                <w:color w:val="auto"/>
                <w:szCs w:val="21"/>
                <w:highlight w:val="none"/>
              </w:rPr>
            </w:pPr>
          </w:p>
        </w:tc>
        <w:tc>
          <w:tcPr>
            <w:tcW w:w="1294" w:type="dxa"/>
          </w:tcPr>
          <w:p>
            <w:pPr>
              <w:spacing w:line="500" w:lineRule="exact"/>
              <w:ind w:firstLine="48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spacing w:line="500" w:lineRule="exact"/>
              <w:ind w:firstLine="480"/>
              <w:rPr>
                <w:rFonts w:ascii="宋体" w:hAnsi="宋体" w:cs="宋体"/>
                <w:color w:val="auto"/>
                <w:szCs w:val="21"/>
                <w:highlight w:val="none"/>
              </w:rPr>
            </w:pPr>
          </w:p>
        </w:tc>
        <w:tc>
          <w:tcPr>
            <w:tcW w:w="1917" w:type="dxa"/>
          </w:tcPr>
          <w:p>
            <w:pPr>
              <w:spacing w:line="500" w:lineRule="exact"/>
              <w:ind w:firstLine="480"/>
              <w:rPr>
                <w:rFonts w:ascii="宋体" w:hAnsi="宋体" w:cs="宋体"/>
                <w:color w:val="auto"/>
                <w:szCs w:val="21"/>
                <w:highlight w:val="none"/>
              </w:rPr>
            </w:pPr>
          </w:p>
        </w:tc>
        <w:tc>
          <w:tcPr>
            <w:tcW w:w="1420" w:type="dxa"/>
          </w:tcPr>
          <w:p>
            <w:pPr>
              <w:spacing w:line="500" w:lineRule="exact"/>
              <w:ind w:firstLine="480"/>
              <w:rPr>
                <w:rFonts w:ascii="宋体" w:hAnsi="宋体" w:cs="宋体"/>
                <w:color w:val="auto"/>
                <w:szCs w:val="21"/>
                <w:highlight w:val="none"/>
              </w:rPr>
            </w:pPr>
          </w:p>
        </w:tc>
        <w:tc>
          <w:tcPr>
            <w:tcW w:w="6219" w:type="dxa"/>
          </w:tcPr>
          <w:p>
            <w:pPr>
              <w:spacing w:line="500" w:lineRule="exact"/>
              <w:ind w:firstLine="480"/>
              <w:rPr>
                <w:rFonts w:ascii="宋体" w:hAnsi="宋体" w:cs="宋体"/>
                <w:color w:val="auto"/>
                <w:szCs w:val="21"/>
                <w:highlight w:val="none"/>
              </w:rPr>
            </w:pPr>
          </w:p>
        </w:tc>
        <w:tc>
          <w:tcPr>
            <w:tcW w:w="878" w:type="dxa"/>
          </w:tcPr>
          <w:p>
            <w:pPr>
              <w:spacing w:line="500" w:lineRule="exact"/>
              <w:ind w:firstLine="480"/>
              <w:rPr>
                <w:rFonts w:ascii="宋体" w:hAnsi="宋体" w:cs="宋体"/>
                <w:color w:val="auto"/>
                <w:szCs w:val="21"/>
                <w:highlight w:val="none"/>
              </w:rPr>
            </w:pPr>
          </w:p>
        </w:tc>
        <w:tc>
          <w:tcPr>
            <w:tcW w:w="1683" w:type="dxa"/>
          </w:tcPr>
          <w:p>
            <w:pPr>
              <w:spacing w:line="500" w:lineRule="exact"/>
              <w:ind w:firstLine="480"/>
              <w:rPr>
                <w:rFonts w:ascii="宋体" w:hAnsi="宋体" w:cs="宋体"/>
                <w:color w:val="auto"/>
                <w:szCs w:val="21"/>
                <w:highlight w:val="none"/>
              </w:rPr>
            </w:pPr>
          </w:p>
        </w:tc>
        <w:tc>
          <w:tcPr>
            <w:tcW w:w="1294" w:type="dxa"/>
          </w:tcPr>
          <w:p>
            <w:pPr>
              <w:spacing w:line="500" w:lineRule="exact"/>
              <w:ind w:firstLine="48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spacing w:line="500" w:lineRule="exact"/>
              <w:ind w:firstLine="480"/>
              <w:rPr>
                <w:rFonts w:ascii="宋体" w:hAnsi="宋体" w:cs="宋体"/>
                <w:color w:val="auto"/>
                <w:szCs w:val="21"/>
                <w:highlight w:val="none"/>
              </w:rPr>
            </w:pPr>
          </w:p>
        </w:tc>
        <w:tc>
          <w:tcPr>
            <w:tcW w:w="1917" w:type="dxa"/>
          </w:tcPr>
          <w:p>
            <w:pPr>
              <w:spacing w:line="500" w:lineRule="exact"/>
              <w:ind w:firstLine="480"/>
              <w:rPr>
                <w:rFonts w:ascii="宋体" w:hAnsi="宋体" w:cs="宋体"/>
                <w:color w:val="auto"/>
                <w:szCs w:val="21"/>
                <w:highlight w:val="none"/>
              </w:rPr>
            </w:pPr>
          </w:p>
        </w:tc>
        <w:tc>
          <w:tcPr>
            <w:tcW w:w="1420" w:type="dxa"/>
          </w:tcPr>
          <w:p>
            <w:pPr>
              <w:spacing w:line="500" w:lineRule="exact"/>
              <w:ind w:firstLine="480"/>
              <w:rPr>
                <w:rFonts w:ascii="宋体" w:hAnsi="宋体" w:cs="宋体"/>
                <w:color w:val="auto"/>
                <w:szCs w:val="21"/>
                <w:highlight w:val="none"/>
              </w:rPr>
            </w:pPr>
          </w:p>
        </w:tc>
        <w:tc>
          <w:tcPr>
            <w:tcW w:w="6219" w:type="dxa"/>
          </w:tcPr>
          <w:p>
            <w:pPr>
              <w:spacing w:line="500" w:lineRule="exact"/>
              <w:ind w:firstLine="480"/>
              <w:rPr>
                <w:rFonts w:ascii="宋体" w:hAnsi="宋体" w:cs="宋体"/>
                <w:color w:val="auto"/>
                <w:szCs w:val="21"/>
                <w:highlight w:val="none"/>
              </w:rPr>
            </w:pPr>
          </w:p>
        </w:tc>
        <w:tc>
          <w:tcPr>
            <w:tcW w:w="878" w:type="dxa"/>
          </w:tcPr>
          <w:p>
            <w:pPr>
              <w:spacing w:line="500" w:lineRule="exact"/>
              <w:ind w:firstLine="480"/>
              <w:rPr>
                <w:rFonts w:ascii="宋体" w:hAnsi="宋体" w:cs="宋体"/>
                <w:color w:val="auto"/>
                <w:szCs w:val="21"/>
                <w:highlight w:val="none"/>
              </w:rPr>
            </w:pPr>
          </w:p>
        </w:tc>
        <w:tc>
          <w:tcPr>
            <w:tcW w:w="1683" w:type="dxa"/>
          </w:tcPr>
          <w:p>
            <w:pPr>
              <w:spacing w:line="500" w:lineRule="exact"/>
              <w:ind w:firstLine="480"/>
              <w:rPr>
                <w:rFonts w:ascii="宋体" w:hAnsi="宋体" w:cs="宋体"/>
                <w:color w:val="auto"/>
                <w:szCs w:val="21"/>
                <w:highlight w:val="none"/>
              </w:rPr>
            </w:pPr>
          </w:p>
        </w:tc>
        <w:tc>
          <w:tcPr>
            <w:tcW w:w="1294" w:type="dxa"/>
          </w:tcPr>
          <w:p>
            <w:pPr>
              <w:spacing w:line="500" w:lineRule="exact"/>
              <w:ind w:firstLine="48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spacing w:line="500" w:lineRule="exact"/>
              <w:ind w:firstLine="480"/>
              <w:rPr>
                <w:rFonts w:ascii="宋体" w:hAnsi="宋体" w:cs="宋体"/>
                <w:color w:val="auto"/>
                <w:szCs w:val="21"/>
                <w:highlight w:val="none"/>
              </w:rPr>
            </w:pPr>
          </w:p>
        </w:tc>
        <w:tc>
          <w:tcPr>
            <w:tcW w:w="1917" w:type="dxa"/>
          </w:tcPr>
          <w:p>
            <w:pPr>
              <w:spacing w:line="500" w:lineRule="exact"/>
              <w:ind w:firstLine="480"/>
              <w:rPr>
                <w:rFonts w:ascii="宋体" w:hAnsi="宋体" w:cs="宋体"/>
                <w:color w:val="auto"/>
                <w:szCs w:val="21"/>
                <w:highlight w:val="none"/>
              </w:rPr>
            </w:pPr>
          </w:p>
        </w:tc>
        <w:tc>
          <w:tcPr>
            <w:tcW w:w="1420" w:type="dxa"/>
          </w:tcPr>
          <w:p>
            <w:pPr>
              <w:spacing w:line="500" w:lineRule="exact"/>
              <w:ind w:firstLine="480"/>
              <w:rPr>
                <w:rFonts w:ascii="宋体" w:hAnsi="宋体" w:cs="宋体"/>
                <w:color w:val="auto"/>
                <w:szCs w:val="21"/>
                <w:highlight w:val="none"/>
              </w:rPr>
            </w:pPr>
          </w:p>
        </w:tc>
        <w:tc>
          <w:tcPr>
            <w:tcW w:w="6219" w:type="dxa"/>
          </w:tcPr>
          <w:p>
            <w:pPr>
              <w:spacing w:line="500" w:lineRule="exact"/>
              <w:ind w:firstLine="480"/>
              <w:rPr>
                <w:rFonts w:ascii="宋体" w:hAnsi="宋体" w:cs="宋体"/>
                <w:color w:val="auto"/>
                <w:szCs w:val="21"/>
                <w:highlight w:val="none"/>
              </w:rPr>
            </w:pPr>
          </w:p>
        </w:tc>
        <w:tc>
          <w:tcPr>
            <w:tcW w:w="878" w:type="dxa"/>
          </w:tcPr>
          <w:p>
            <w:pPr>
              <w:spacing w:line="500" w:lineRule="exact"/>
              <w:ind w:firstLine="480"/>
              <w:rPr>
                <w:rFonts w:ascii="宋体" w:hAnsi="宋体" w:cs="宋体"/>
                <w:color w:val="auto"/>
                <w:szCs w:val="21"/>
                <w:highlight w:val="none"/>
              </w:rPr>
            </w:pPr>
          </w:p>
        </w:tc>
        <w:tc>
          <w:tcPr>
            <w:tcW w:w="1683" w:type="dxa"/>
          </w:tcPr>
          <w:p>
            <w:pPr>
              <w:spacing w:line="500" w:lineRule="exact"/>
              <w:ind w:firstLine="480"/>
              <w:rPr>
                <w:rFonts w:ascii="宋体" w:hAnsi="宋体" w:cs="宋体"/>
                <w:color w:val="auto"/>
                <w:szCs w:val="21"/>
                <w:highlight w:val="none"/>
              </w:rPr>
            </w:pPr>
          </w:p>
        </w:tc>
        <w:tc>
          <w:tcPr>
            <w:tcW w:w="1294" w:type="dxa"/>
          </w:tcPr>
          <w:p>
            <w:pPr>
              <w:spacing w:line="500" w:lineRule="exact"/>
              <w:ind w:firstLine="480"/>
              <w:rPr>
                <w:rFonts w:ascii="宋体" w:hAnsi="宋体" w:cs="宋体"/>
                <w:color w:val="auto"/>
                <w:szCs w:val="21"/>
                <w:highlight w:val="none"/>
              </w:rPr>
            </w:pPr>
          </w:p>
        </w:tc>
      </w:tr>
    </w:tbl>
    <w:p>
      <w:pPr>
        <w:pStyle w:val="2"/>
        <w:rPr>
          <w:color w:val="auto"/>
          <w:highlight w:val="none"/>
        </w:rPr>
        <w:sectPr>
          <w:pgSz w:w="16838" w:h="11906" w:orient="landscape"/>
          <w:pgMar w:top="1417" w:right="1276" w:bottom="1417" w:left="1247" w:header="851" w:footer="992" w:gutter="0"/>
          <w:cols w:space="0" w:num="1"/>
          <w:titlePg/>
          <w:docGrid w:linePitch="312" w:charSpace="0"/>
        </w:sectPr>
      </w:pPr>
    </w:p>
    <w:p>
      <w:pPr>
        <w:pStyle w:val="2"/>
        <w:rPr>
          <w:color w:val="auto"/>
          <w:highlight w:val="none"/>
        </w:rPr>
      </w:pP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九、</w:t>
      </w:r>
      <w:r>
        <w:rPr>
          <w:rFonts w:hint="eastAsia" w:ascii="仿宋" w:hAnsi="仿宋" w:eastAsia="仿宋" w:cs="仿宋_GB2312"/>
          <w:b/>
          <w:color w:val="auto"/>
          <w:kern w:val="0"/>
          <w:sz w:val="32"/>
          <w:szCs w:val="32"/>
          <w:highlight w:val="none"/>
          <w:lang w:val="zh-CN"/>
        </w:rPr>
        <w:t>政府采购供应商廉洁自律承诺书</w:t>
      </w: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浙江交通职业技术学院、杭州博实招标代理有限公司</w:t>
      </w:r>
      <w:r>
        <w:rPr>
          <w:rFonts w:hint="eastAsia" w:ascii="仿宋" w:hAnsi="仿宋" w:eastAsia="仿宋"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我单位响应你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一、不向项目有关人员及部门赠送礼金礼物、有价证券、回扣以及中介费、介绍费、咨询费等好处费；</w:t>
      </w:r>
      <w:r>
        <w:rPr>
          <w:rFonts w:ascii="仿宋" w:hAnsi="仿宋" w:eastAsia="仿宋"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二、不为项目有关人员及部门报销应由你方单位或个人支付的费用；</w:t>
      </w:r>
      <w:r>
        <w:rPr>
          <w:rFonts w:ascii="仿宋" w:hAnsi="仿宋" w:eastAsia="仿宋"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三、不向项目有关人员及部门提供有可能影响公正的宴请和健身娱乐等活动；</w:t>
      </w:r>
      <w:r>
        <w:rPr>
          <w:rFonts w:ascii="仿宋" w:hAnsi="仿宋" w:eastAsia="仿宋"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六、严格遵守《</w:t>
      </w:r>
      <w:r>
        <w:rPr>
          <w:rFonts w:hint="eastAsia" w:ascii="仿宋" w:hAnsi="仿宋" w:eastAsia="仿宋"/>
          <w:color w:val="auto"/>
          <w:sz w:val="24"/>
          <w:highlight w:val="none"/>
          <w:lang w:val="zh-CN"/>
        </w:rPr>
        <w:t>中华人民共和国</w:t>
      </w:r>
      <w:r>
        <w:rPr>
          <w:rFonts w:hint="eastAsia" w:ascii="仿宋" w:hAnsi="仿宋" w:eastAsia="仿宋" w:cs="仿宋_GB2312"/>
          <w:color w:val="auto"/>
          <w:kern w:val="0"/>
          <w:sz w:val="24"/>
          <w:highlight w:val="none"/>
          <w:lang w:val="zh-CN"/>
        </w:rPr>
        <w:t>政府采购法》《</w:t>
      </w:r>
      <w:r>
        <w:rPr>
          <w:rFonts w:hint="eastAsia" w:ascii="仿宋" w:hAnsi="仿宋" w:eastAsia="仿宋"/>
          <w:color w:val="auto"/>
          <w:sz w:val="24"/>
          <w:highlight w:val="none"/>
          <w:lang w:val="zh-CN"/>
        </w:rPr>
        <w:t>中华人民共和国</w:t>
      </w:r>
      <w:r>
        <w:rPr>
          <w:rFonts w:hint="eastAsia" w:ascii="仿宋" w:hAnsi="仿宋" w:eastAsia="仿宋" w:cs="仿宋_GB2312"/>
          <w:color w:val="auto"/>
          <w:kern w:val="0"/>
          <w:sz w:val="24"/>
          <w:highlight w:val="none"/>
          <w:lang w:val="zh-CN"/>
        </w:rPr>
        <w:t>招标投标</w:t>
      </w:r>
    </w:p>
    <w:p>
      <w:pPr>
        <w:autoSpaceDE w:val="0"/>
        <w:autoSpaceDN w:val="0"/>
        <w:spacing w:line="360" w:lineRule="auto"/>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法》</w:t>
      </w:r>
      <w:r>
        <w:rPr>
          <w:rFonts w:hint="eastAsia" w:ascii="仿宋" w:hAnsi="仿宋" w:eastAsia="仿宋"/>
          <w:color w:val="auto"/>
          <w:sz w:val="24"/>
          <w:highlight w:val="none"/>
          <w:lang w:val="zh-CN"/>
        </w:rPr>
        <w:t>《中华人民共和国民法典》</w:t>
      </w:r>
      <w:r>
        <w:rPr>
          <w:rFonts w:hint="eastAsia" w:ascii="仿宋" w:hAnsi="仿宋" w:eastAsia="仿宋" w:cs="仿宋_GB2312"/>
          <w:color w:val="auto"/>
          <w:kern w:val="0"/>
          <w:sz w:val="24"/>
          <w:highlight w:val="none"/>
          <w:lang w:val="zh-CN"/>
        </w:rPr>
        <w:t>等法律法规，诚实守信，合法经营，坚决抵制各种违法违纪行为。</w:t>
      </w:r>
      <w:r>
        <w:rPr>
          <w:rFonts w:ascii="仿宋" w:hAnsi="仿宋" w:eastAsia="仿宋"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如违反上述承诺，你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进行项目建设或其他经营活动，并通报</w:t>
      </w:r>
      <w:r>
        <w:rPr>
          <w:rFonts w:hint="eastAsia" w:ascii="仿宋" w:hAnsi="仿宋" w:eastAsia="仿宋" w:cs="仿宋_GB2312"/>
          <w:color w:val="auto"/>
          <w:kern w:val="0"/>
          <w:sz w:val="24"/>
          <w:highlight w:val="none"/>
        </w:rPr>
        <w:t>浙江省财政厅</w:t>
      </w:r>
      <w:r>
        <w:rPr>
          <w:rFonts w:hint="eastAsia" w:ascii="仿宋" w:hAnsi="仿宋" w:eastAsia="仿宋" w:cs="仿宋_GB2312"/>
          <w:color w:val="auto"/>
          <w:kern w:val="0"/>
          <w:sz w:val="24"/>
          <w:highlight w:val="none"/>
          <w:lang w:val="zh-CN"/>
        </w:rPr>
        <w:t>。由此引起的相应损失均由我单位承担。</w:t>
      </w:r>
    </w:p>
    <w:p>
      <w:pPr>
        <w:autoSpaceDE w:val="0"/>
        <w:autoSpaceDN w:val="0"/>
        <w:spacing w:line="360" w:lineRule="auto"/>
        <w:ind w:left="2"/>
        <w:jc w:val="left"/>
        <w:rPr>
          <w:rFonts w:ascii="仿宋" w:hAnsi="仿宋" w:eastAsia="仿宋" w:cs="仿宋_GB2312"/>
          <w:color w:val="auto"/>
          <w:kern w:val="0"/>
          <w:sz w:val="24"/>
          <w:highlight w:val="none"/>
          <w:lang w:val="zh-CN"/>
        </w:rPr>
      </w:pPr>
    </w:p>
    <w:p>
      <w:pPr>
        <w:autoSpaceDE w:val="0"/>
        <w:autoSpaceDN w:val="0"/>
        <w:spacing w:line="360" w:lineRule="auto"/>
        <w:ind w:left="2"/>
        <w:jc w:val="left"/>
        <w:rPr>
          <w:rFonts w:ascii="仿宋" w:hAnsi="仿宋" w:eastAsia="仿宋" w:cs="仿宋_GB2312"/>
          <w:color w:val="auto"/>
          <w:kern w:val="0"/>
          <w:sz w:val="24"/>
          <w:highlight w:val="none"/>
          <w:lang w:val="zh-CN"/>
        </w:rPr>
      </w:pPr>
    </w:p>
    <w:p>
      <w:pPr>
        <w:autoSpaceDE w:val="0"/>
        <w:autoSpaceDN w:val="0"/>
        <w:spacing w:line="360" w:lineRule="auto"/>
        <w:ind w:left="2"/>
        <w:jc w:val="left"/>
        <w:rPr>
          <w:rFonts w:ascii="仿宋" w:hAnsi="仿宋" w:eastAsia="仿宋"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投标人名称（</w:t>
      </w:r>
      <w:r>
        <w:rPr>
          <w:rFonts w:hint="eastAsia" w:ascii="仿宋" w:hAnsi="仿宋" w:eastAsia="仿宋" w:cs="仿宋_GB2312"/>
          <w:color w:val="auto"/>
          <w:sz w:val="24"/>
          <w:highlight w:val="none"/>
        </w:rPr>
        <w:t>电子签名</w:t>
      </w:r>
      <w:r>
        <w:rPr>
          <w:rFonts w:hint="eastAsia" w:ascii="仿宋" w:hAnsi="仿宋" w:eastAsia="仿宋" w:cs="仿宋_GB2312"/>
          <w:color w:val="auto"/>
          <w:kern w:val="0"/>
          <w:sz w:val="24"/>
          <w:highlight w:val="none"/>
          <w:lang w:val="zh-CN"/>
        </w:rPr>
        <w:t>）：</w:t>
      </w:r>
      <w:r>
        <w:rPr>
          <w:rFonts w:ascii="仿宋" w:hAnsi="仿宋" w:eastAsia="仿宋" w:cs="仿宋_GB2312"/>
          <w:color w:val="auto"/>
          <w:kern w:val="0"/>
          <w:sz w:val="24"/>
          <w:highlight w:val="none"/>
          <w:lang w:val="zh-CN"/>
        </w:rPr>
        <w:t xml:space="preserve">                                                                                                                                                                                                               </w:t>
      </w:r>
    </w:p>
    <w:p>
      <w:pPr>
        <w:spacing w:line="360" w:lineRule="auto"/>
        <w:ind w:left="4620" w:leftChars="2200"/>
        <w:rPr>
          <w:rFonts w:ascii="仿宋" w:hAnsi="仿宋" w:eastAsia="仿宋"/>
          <w:color w:val="auto"/>
          <w:sz w:val="24"/>
          <w:highlight w:val="none"/>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lang w:val="zh-CN"/>
        </w:rPr>
        <w:t xml:space="preserve">   年   月   日</w:t>
      </w:r>
    </w:p>
    <w:p>
      <w:pPr>
        <w:spacing w:line="360" w:lineRule="auto"/>
        <w:jc w:val="center"/>
        <w:rPr>
          <w:rFonts w:ascii="仿宋" w:hAnsi="仿宋" w:eastAsia="仿宋" w:cs="仿宋_GB2312"/>
          <w:b/>
          <w:bCs/>
          <w:color w:val="auto"/>
          <w:sz w:val="24"/>
          <w:highlight w:val="none"/>
        </w:rPr>
      </w:pPr>
    </w:p>
    <w:p>
      <w:pPr>
        <w:spacing w:line="360" w:lineRule="auto"/>
        <w:jc w:val="center"/>
        <w:rPr>
          <w:rFonts w:ascii="仿宋" w:hAnsi="仿宋" w:eastAsia="仿宋" w:cs="仿宋_GB2312"/>
          <w:b/>
          <w:bCs/>
          <w:color w:val="auto"/>
          <w:sz w:val="24"/>
          <w:highlight w:val="none"/>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报价文件部分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1）开标一览表（报价表）……</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）中小企业声明函……</w:t>
      </w:r>
      <w:r>
        <w:rPr>
          <w:rFonts w:hint="eastAsia" w:ascii="仿宋" w:hAnsi="仿宋" w:eastAsia="仿宋" w:cs="仿宋_GB2312"/>
          <w:color w:val="auto"/>
          <w:sz w:val="24"/>
          <w:highlight w:val="none"/>
        </w:rPr>
        <w:t>…………………………………………………………（页码）</w:t>
      </w: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pStyle w:val="694"/>
        <w:keepNext w:val="0"/>
        <w:pageBreakBefore w:val="0"/>
        <w:tabs>
          <w:tab w:val="clear" w:pos="720"/>
        </w:tabs>
        <w:snapToGrid w:val="0"/>
        <w:spacing w:before="120" w:after="120"/>
        <w:ind w:firstLine="643"/>
        <w:outlineLvl w:val="9"/>
        <w:rPr>
          <w:rFonts w:ascii="仿宋" w:hAnsi="仿宋" w:eastAsia="仿宋" w:cs="仿宋_GB2312"/>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一、开标一览表（报价表）</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浙江交通职业技术学院、杭州博实招标代理有限公司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482"/>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_GB2312"/>
          <w:color w:val="auto"/>
          <w:sz w:val="24"/>
          <w:highlight w:val="none"/>
          <w:u w:val="single"/>
        </w:rPr>
        <w:t>浙江交通职业技术学院智慧平安校园建设</w:t>
      </w:r>
      <w:r>
        <w:rPr>
          <w:rFonts w:hint="eastAsia" w:ascii="仿宋" w:hAnsi="仿宋" w:eastAsia="仿宋" w:cs="仿宋_GB2312"/>
          <w:color w:val="auto"/>
          <w:kern w:val="0"/>
          <w:sz w:val="24"/>
          <w:highlight w:val="none"/>
          <w:u w:val="single"/>
          <w:lang w:val="zh-CN"/>
        </w:rPr>
        <w:t>【招标编号：</w:t>
      </w:r>
      <w:r>
        <w:rPr>
          <w:rFonts w:hint="eastAsia" w:ascii="仿宋" w:hAnsi="仿宋" w:eastAsia="仿宋" w:cs="仿宋_GB2312"/>
          <w:color w:val="auto"/>
          <w:sz w:val="24"/>
          <w:highlight w:val="none"/>
          <w:u w:val="single"/>
        </w:rPr>
        <w:t>BSZB2022-AZZG041】</w:t>
      </w:r>
      <w:r>
        <w:rPr>
          <w:rFonts w:hint="eastAsia" w:ascii="仿宋" w:hAnsi="仿宋" w:eastAsia="仿宋" w:cs="仿宋_GB2312"/>
          <w:color w:val="auto"/>
          <w:sz w:val="24"/>
          <w:highlight w:val="none"/>
        </w:rPr>
        <w:t>的实施</w:t>
      </w:r>
      <w:r>
        <w:rPr>
          <w:rFonts w:hint="eastAsia" w:ascii="仿宋" w:hAnsi="仿宋" w:eastAsia="仿宋" w:cs="仿宋_GB2312"/>
          <w:color w:val="auto"/>
          <w:kern w:val="0"/>
          <w:sz w:val="24"/>
          <w:highlight w:val="none"/>
          <w:lang w:val="zh-CN"/>
        </w:rPr>
        <w:t>。</w:t>
      </w:r>
    </w:p>
    <w:p>
      <w:pPr>
        <w:spacing w:line="360" w:lineRule="auto"/>
        <w:jc w:val="center"/>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开标一览表（报价表）</w:t>
      </w:r>
      <w:r>
        <w:rPr>
          <w:rFonts w:ascii="仿宋" w:hAnsi="仿宋" w:eastAsia="仿宋" w:cs="仿宋_GB2312"/>
          <w:b/>
          <w:color w:val="auto"/>
          <w:kern w:val="0"/>
          <w:sz w:val="24"/>
          <w:highlight w:val="none"/>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417"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1843" w:type="dxa"/>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3118"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993"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1559"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1984"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3119" w:type="dxa"/>
            <w:vAlign w:val="center"/>
          </w:tcPr>
          <w:p>
            <w:pPr>
              <w:spacing w:line="360" w:lineRule="auto"/>
              <w:jc w:val="center"/>
              <w:rPr>
                <w:rFonts w:ascii="仿宋_GB2312" w:hAnsi="仿宋" w:eastAsia="仿宋_GB2312"/>
                <w:b/>
                <w:color w:val="auto"/>
                <w:sz w:val="24"/>
                <w:highlight w:val="none"/>
              </w:rPr>
            </w:pPr>
          </w:p>
          <w:p>
            <w:pPr>
              <w:spacing w:line="360" w:lineRule="auto"/>
              <w:jc w:val="center"/>
              <w:rPr>
                <w:rFonts w:hint="default" w:ascii="仿宋_GB2312" w:hAnsi="仿宋" w:eastAsia="仿宋_GB2312"/>
                <w:b/>
                <w:color w:val="auto"/>
                <w:sz w:val="24"/>
                <w:highlight w:val="none"/>
                <w:lang w:val="en-US" w:eastAsia="zh-CN"/>
              </w:rPr>
            </w:pPr>
            <w:r>
              <w:rPr>
                <w:rFonts w:hint="eastAsia" w:ascii="仿宋_GB2312" w:hAnsi="仿宋" w:eastAsia="仿宋_GB2312"/>
                <w:b/>
                <w:color w:val="auto"/>
                <w:sz w:val="24"/>
                <w:highlight w:val="none"/>
                <w:lang w:val="en-US" w:eastAsia="zh-CN"/>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ascii="仿宋_GB2312" w:hAnsi="仿宋" w:eastAsia="仿宋_GB2312" w:cs="仿宋_GB2312"/>
                <w:color w:val="auto"/>
                <w:sz w:val="24"/>
                <w:highlight w:val="none"/>
              </w:rPr>
            </w:pP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ascii="仿宋_GB2312" w:hAnsi="仿宋" w:eastAsia="仿宋_GB2312" w:cs="仿宋_GB2312"/>
                <w:color w:val="auto"/>
                <w:sz w:val="24"/>
                <w:highlight w:val="none"/>
              </w:rPr>
            </w:pP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ascii="仿宋_GB2312" w:hAnsi="仿宋" w:eastAsia="仿宋_GB2312" w:cs="仿宋_GB2312"/>
                <w:color w:val="auto"/>
                <w:sz w:val="24"/>
                <w:highlight w:val="none"/>
              </w:rPr>
            </w:pP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ascii="仿宋_GB2312" w:hAnsi="仿宋" w:eastAsia="仿宋_GB2312" w:cs="仿宋_GB2312"/>
                <w:color w:val="auto"/>
                <w:sz w:val="24"/>
                <w:highlight w:val="none"/>
              </w:rPr>
            </w:pP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ascii="仿宋_GB2312" w:hAnsi="仿宋" w:eastAsia="仿宋_GB2312" w:cs="仿宋_GB2312"/>
                <w:color w:val="auto"/>
                <w:sz w:val="24"/>
                <w:highlight w:val="none"/>
              </w:rPr>
            </w:pP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7655" w:type="dxa"/>
            <w:gridSpan w:val="4"/>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7655" w:type="dxa"/>
            <w:gridSpan w:val="4"/>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ind w:left="480"/>
        <w:rPr>
          <w:rFonts w:ascii="仿宋" w:hAnsi="仿宋" w:eastAsia="仿宋" w:cs="仿宋_GB2312"/>
          <w:b/>
          <w:color w:val="auto"/>
          <w:kern w:val="0"/>
          <w:sz w:val="24"/>
          <w:highlight w:val="none"/>
          <w:lang w:val="zh-CN"/>
        </w:rPr>
      </w:pPr>
    </w:p>
    <w:p>
      <w:pPr>
        <w:snapToGrid w:val="0"/>
        <w:spacing w:line="360" w:lineRule="auto"/>
        <w:ind w:left="480"/>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注：</w:t>
      </w:r>
    </w:p>
    <w:p>
      <w:pPr>
        <w:spacing w:line="360" w:lineRule="auto"/>
        <w:ind w:left="-2" w:leftChars="-1"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ind w:firstLine="210" w:firstLineChars="100"/>
        <w:rPr>
          <w:rFonts w:ascii="仿宋" w:hAnsi="仿宋" w:eastAsia="仿宋" w:cs="宋体"/>
          <w:bCs/>
          <w:color w:val="auto"/>
          <w:szCs w:val="21"/>
          <w:highlight w:val="none"/>
        </w:rPr>
      </w:pPr>
    </w:p>
    <w:p>
      <w:pPr>
        <w:jc w:val="center"/>
        <w:rPr>
          <w:rFonts w:ascii="仿宋" w:hAnsi="仿宋" w:eastAsia="仿宋" w:cs="宋体"/>
          <w:bCs/>
          <w:color w:val="auto"/>
          <w:sz w:val="32"/>
          <w:szCs w:val="32"/>
          <w:highlight w:val="none"/>
        </w:rPr>
        <w:sectPr>
          <w:headerReference r:id="rId22" w:type="first"/>
          <w:footerReference r:id="rId24" w:type="first"/>
          <w:headerReference r:id="rId21" w:type="default"/>
          <w:footerReference r:id="rId23" w:type="default"/>
          <w:pgSz w:w="16838" w:h="11906" w:orient="landscape"/>
          <w:pgMar w:top="1417" w:right="1276" w:bottom="1417" w:left="1247" w:header="851" w:footer="992" w:gutter="0"/>
          <w:cols w:space="0" w:num="1"/>
          <w:titlePg/>
          <w:docGrid w:linePitch="312" w:charSpace="0"/>
        </w:sectPr>
      </w:pPr>
    </w:p>
    <w:p>
      <w:pPr>
        <w:pStyle w:val="694"/>
        <w:keepNext w:val="0"/>
        <w:pageBreakBefore w:val="0"/>
        <w:tabs>
          <w:tab w:val="clear" w:pos="720"/>
        </w:tabs>
        <w:snapToGrid w:val="0"/>
        <w:spacing w:before="120" w:after="120"/>
        <w:ind w:firstLine="643"/>
        <w:outlineLvl w:val="9"/>
        <w:rPr>
          <w:rFonts w:ascii="仿宋" w:hAnsi="仿宋" w:eastAsia="仿宋"/>
          <w:color w:val="auto"/>
          <w:sz w:val="32"/>
          <w:szCs w:val="32"/>
          <w:highlight w:val="none"/>
        </w:rPr>
      </w:pPr>
      <w:r>
        <w:rPr>
          <w:rFonts w:hint="eastAsia" w:ascii="仿宋" w:hAnsi="仿宋" w:eastAsia="仿宋" w:cs="仿宋_GB2312"/>
          <w:color w:val="auto"/>
          <w:kern w:val="2"/>
          <w:sz w:val="32"/>
          <w:szCs w:val="32"/>
          <w:highlight w:val="none"/>
        </w:rPr>
        <w:t>二、</w:t>
      </w:r>
      <w:r>
        <w:rPr>
          <w:rFonts w:hint="eastAsia" w:ascii="仿宋" w:hAnsi="仿宋" w:eastAsia="仿宋"/>
          <w:color w:val="auto"/>
          <w:sz w:val="32"/>
          <w:szCs w:val="32"/>
          <w:highlight w:val="none"/>
        </w:rPr>
        <w:t>中小企业声明函</w:t>
      </w:r>
    </w:p>
    <w:p>
      <w:pPr>
        <w:widowControl/>
        <w:spacing w:line="360" w:lineRule="auto"/>
        <w:ind w:firstLine="120" w:firstLineChars="50"/>
        <w:jc w:val="left"/>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_GB2312"/>
          <w:b/>
          <w:color w:val="auto"/>
          <w:sz w:val="24"/>
          <w:highlight w:val="none"/>
        </w:rPr>
        <w:t>5）。</w:t>
      </w:r>
      <w:r>
        <w:rPr>
          <w:rFonts w:hint="eastAsia" w:ascii="仿宋" w:hAnsi="仿宋" w:eastAsia="仿宋" w:cs="仿宋_GB2312"/>
          <w:b/>
          <w:color w:val="auto"/>
          <w:sz w:val="24"/>
          <w:highlight w:val="none"/>
        </w:rPr>
        <w:t>]</w:t>
      </w:r>
    </w:p>
    <w:p>
      <w:pPr>
        <w:pStyle w:val="694"/>
        <w:keepNext w:val="0"/>
        <w:pageBreakBefore w:val="0"/>
        <w:tabs>
          <w:tab w:val="clear" w:pos="720"/>
        </w:tabs>
        <w:snapToGrid w:val="0"/>
        <w:spacing w:before="120" w:after="120"/>
        <w:ind w:firstLine="643"/>
        <w:outlineLvl w:val="9"/>
        <w:rPr>
          <w:rFonts w:ascii="仿宋" w:hAnsi="仿宋" w:eastAsia="仿宋"/>
          <w:b w:val="0"/>
          <w:color w:val="auto"/>
          <w:sz w:val="32"/>
          <w:szCs w:val="32"/>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olor w:val="auto"/>
          <w:highlight w:val="none"/>
        </w:rPr>
      </w:pPr>
      <w:bookmarkStart w:id="403" w:name="_Toc465665161"/>
      <w:r>
        <w:rPr>
          <w:rFonts w:hint="eastAsia" w:ascii="仿宋" w:hAnsi="仿宋" w:eastAsia="仿宋"/>
          <w:color w:val="auto"/>
          <w:highlight w:val="none"/>
        </w:rPr>
        <w:t>附件</w:t>
      </w:r>
      <w:bookmarkEnd w:id="403"/>
    </w:p>
    <w:p>
      <w:pPr>
        <w:spacing w:line="360" w:lineRule="auto"/>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1：</w:t>
      </w:r>
    </w:p>
    <w:p>
      <w:pPr>
        <w:spacing w:line="360" w:lineRule="auto"/>
        <w:jc w:val="center"/>
        <w:rPr>
          <w:rFonts w:ascii="仿宋" w:hAnsi="仿宋" w:eastAsia="仿宋"/>
          <w:b/>
          <w:color w:val="auto"/>
          <w:spacing w:val="6"/>
          <w:sz w:val="32"/>
          <w:szCs w:val="32"/>
          <w:highlight w:val="none"/>
        </w:rPr>
      </w:pPr>
      <w:bookmarkStart w:id="404" w:name="OLE_LINK13"/>
      <w:bookmarkStart w:id="405" w:name="OLE_LINK14"/>
      <w:r>
        <w:rPr>
          <w:rFonts w:hint="eastAsia" w:ascii="仿宋" w:hAnsi="仿宋" w:eastAsia="仿宋"/>
          <w:b/>
          <w:color w:val="auto"/>
          <w:spacing w:val="6"/>
          <w:sz w:val="32"/>
          <w:szCs w:val="32"/>
          <w:highlight w:val="none"/>
        </w:rPr>
        <w:t>残疾人福利性单位声明函</w:t>
      </w:r>
    </w:p>
    <w:bookmarkEnd w:id="404"/>
    <w:bookmarkEnd w:id="405"/>
    <w:p>
      <w:pPr>
        <w:spacing w:line="360" w:lineRule="auto"/>
        <w:rPr>
          <w:rFonts w:ascii="仿宋" w:hAnsi="仿宋" w:eastAsia="仿宋"/>
          <w:b/>
          <w:color w:val="auto"/>
          <w:spacing w:val="6"/>
          <w:sz w:val="30"/>
          <w:szCs w:val="30"/>
          <w:highlight w:val="none"/>
        </w:rPr>
      </w:pP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本单位郑重声明，根据《财政部</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民政部</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中国残疾人联合会关于促进残疾人就业政府采购政策的通知》（财库〔</w:t>
      </w:r>
      <w:r>
        <w:rPr>
          <w:rFonts w:ascii="仿宋" w:hAnsi="仿宋" w:eastAsia="仿宋"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_GB2312"/>
          <w:color w:val="auto"/>
          <w:sz w:val="24"/>
          <w:highlight w:val="none"/>
        </w:rPr>
      </w:pPr>
    </w:p>
    <w:p>
      <w:pPr>
        <w:spacing w:line="360" w:lineRule="auto"/>
        <w:ind w:firstLine="480" w:firstLineChars="200"/>
        <w:rPr>
          <w:rFonts w:ascii="仿宋" w:hAnsi="仿宋" w:eastAsia="仿宋" w:cs="仿宋_GB2312"/>
          <w:color w:val="auto"/>
          <w:sz w:val="24"/>
          <w:highlight w:val="none"/>
        </w:rPr>
      </w:pPr>
    </w:p>
    <w:p>
      <w:pPr>
        <w:tabs>
          <w:tab w:val="left" w:pos="4860"/>
        </w:tabs>
        <w:spacing w:line="360" w:lineRule="auto"/>
        <w:ind w:right="1560" w:firstLine="480" w:firstLineChars="200"/>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w:t>
      </w:r>
      <w:r>
        <w:rPr>
          <w:rFonts w:hint="eastAsia" w:ascii="仿宋" w:hAnsi="仿宋" w:eastAsia="仿宋" w:cs="仿宋_GB2312"/>
          <w:color w:val="auto"/>
          <w:kern w:val="0"/>
          <w:sz w:val="24"/>
          <w:highlight w:val="none"/>
          <w:lang w:val="zh-CN"/>
        </w:rPr>
        <w:t>投标人名称（电子签名）</w:t>
      </w:r>
      <w:r>
        <w:rPr>
          <w:rFonts w:hint="eastAsia" w:ascii="仿宋" w:hAnsi="仿宋" w:eastAsia="仿宋" w:cs="仿宋_GB2312"/>
          <w:color w:val="auto"/>
          <w:sz w:val="24"/>
          <w:highlight w:val="none"/>
        </w:rPr>
        <w:t>：</w:t>
      </w:r>
    </w:p>
    <w:p>
      <w:pPr>
        <w:tabs>
          <w:tab w:val="left" w:pos="4860"/>
        </w:tabs>
        <w:spacing w:line="360" w:lineRule="auto"/>
        <w:ind w:right="1560" w:firstLine="480" w:firstLineChars="200"/>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日  期：</w:t>
      </w:r>
    </w:p>
    <w:p>
      <w:pPr>
        <w:spacing w:line="360" w:lineRule="auto"/>
        <w:ind w:firstLine="480" w:firstLineChars="200"/>
        <w:rPr>
          <w:rFonts w:ascii="仿宋" w:hAnsi="仿宋" w:eastAsia="仿宋" w:cs="仿宋_GB2312"/>
          <w:color w:val="auto"/>
          <w:sz w:val="24"/>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2：质疑函范本及制作说明</w:t>
      </w: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ascii="仿宋" w:hAnsi="仿宋" w:eastAsia="仿宋" w:cs="仿宋"/>
          <w:color w:val="auto"/>
          <w:sz w:val="24"/>
          <w:highlight w:val="none"/>
          <w:u w:val="dotted"/>
        </w:rPr>
        <w:t xml:space="preserve">                                           </w:t>
      </w:r>
      <w:r>
        <w:rPr>
          <w:rFonts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ascii="仿宋" w:hAnsi="仿宋" w:eastAsia="仿宋" w:cs="仿宋"/>
          <w:color w:val="auto"/>
          <w:sz w:val="24"/>
          <w:highlight w:val="none"/>
        </w:rPr>
        <w:t xml:space="preserve"> </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1：</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ascii="仿宋" w:hAnsi="仿宋" w:eastAsia="仿宋" w:cs="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r>
        <w:rPr>
          <w:rFonts w:ascii="仿宋" w:hAnsi="仿宋" w:eastAsia="仿宋"/>
          <w:color w:val="auto"/>
          <w:sz w:val="24"/>
          <w:highlight w:val="none"/>
        </w:rPr>
        <w:t xml:space="preserve">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质疑函制作说明：</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2.质疑供应商若委托代理人进行质疑的，</w:t>
      </w:r>
      <w:r>
        <w:rPr>
          <w:rFonts w:hint="eastAsia" w:ascii="仿宋" w:hAnsi="仿宋" w:eastAsia="仿宋"/>
          <w:color w:val="auto"/>
          <w:sz w:val="24"/>
          <w:highlight w:val="none"/>
        </w:rPr>
        <w:t>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6.质疑供应商为自然人的，</w:t>
      </w:r>
      <w:r>
        <w:rPr>
          <w:rFonts w:hint="eastAsia" w:ascii="仿宋" w:hAnsi="仿宋" w:eastAsia="仿宋"/>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auto"/>
          <w:sz w:val="30"/>
          <w:szCs w:val="30"/>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3：投诉书范本及制作说明</w:t>
      </w:r>
    </w:p>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投诉书范本</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一、投诉相关主体基本情况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投诉人：</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tabs>
          <w:tab w:val="left" w:pos="6510"/>
        </w:tabs>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法定代表人</w:t>
      </w:r>
      <w:r>
        <w:rPr>
          <w:rFonts w:ascii="仿宋" w:hAnsi="仿宋" w:eastAsia="仿宋"/>
          <w:color w:val="auto"/>
          <w:sz w:val="24"/>
          <w:highlight w:val="none"/>
        </w:rPr>
        <w:t>/主要负责人：</w:t>
      </w: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tabs>
          <w:tab w:val="left" w:pos="6510"/>
        </w:tabs>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授权代表：</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被投诉人</w:t>
      </w:r>
      <w:r>
        <w:rPr>
          <w:rFonts w:ascii="仿宋" w:hAnsi="仿宋" w:eastAsia="仿宋"/>
          <w:color w:val="auto"/>
          <w:sz w:val="24"/>
          <w:highlight w:val="none"/>
        </w:rPr>
        <w:t>1：</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被投诉人</w:t>
      </w:r>
      <w:r>
        <w:rPr>
          <w:rFonts w:ascii="仿宋" w:hAnsi="仿宋" w:eastAsia="仿宋"/>
          <w:color w:val="auto"/>
          <w:sz w:val="24"/>
          <w:highlight w:val="none"/>
        </w:rPr>
        <w:t>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相关供应商：</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二、投诉项目基本情况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采购项目名称：</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采购项目编号：</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包号：</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采购人名称：</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代理机构名称：</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采购文件公告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采购结果公告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三、质疑基本情况</w:t>
      </w:r>
    </w:p>
    <w:p>
      <w:pPr>
        <w:spacing w:line="360" w:lineRule="auto"/>
        <w:ind w:firstLine="480" w:firstLineChars="200"/>
        <w:rPr>
          <w:rFonts w:ascii="仿宋" w:hAnsi="仿宋" w:eastAsia="仿宋"/>
          <w:color w:val="auto"/>
          <w:sz w:val="24"/>
          <w:highlight w:val="none"/>
          <w:u w:val="dotted"/>
        </w:rPr>
      </w:pPr>
      <w:r>
        <w:rPr>
          <w:rFonts w:hint="eastAsia" w:ascii="仿宋" w:hAnsi="仿宋" w:eastAsia="仿宋"/>
          <w:color w:val="auto"/>
          <w:sz w:val="24"/>
          <w:highlight w:val="none"/>
        </w:rPr>
        <w:t>投诉人于</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日</w:t>
      </w:r>
      <w:r>
        <w:rPr>
          <w:rFonts w:ascii="仿宋" w:hAnsi="仿宋" w:eastAsia="仿宋"/>
          <w:color w:val="auto"/>
          <w:sz w:val="24"/>
          <w:highlight w:val="none"/>
        </w:rPr>
        <w:t>,向</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提出质疑，质疑事项为：</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spacing w:line="360" w:lineRule="auto"/>
        <w:ind w:firstLine="360" w:firstLineChars="150"/>
        <w:rPr>
          <w:rFonts w:ascii="仿宋" w:hAnsi="仿宋" w:eastAsia="仿宋"/>
          <w:color w:val="auto"/>
          <w:sz w:val="24"/>
          <w:highlight w:val="none"/>
        </w:rPr>
      </w:pPr>
      <w:r>
        <w:rPr>
          <w:rFonts w:hint="eastAsia" w:ascii="仿宋" w:hAnsi="仿宋" w:eastAsia="仿宋"/>
          <w:color w:val="auto"/>
          <w:sz w:val="24"/>
          <w:highlight w:val="none"/>
          <w:u w:val="dotted"/>
        </w:rPr>
        <w:t>采购人</w:t>
      </w:r>
      <w:r>
        <w:rPr>
          <w:rFonts w:ascii="仿宋" w:hAnsi="仿宋" w:eastAsia="仿宋"/>
          <w:color w:val="auto"/>
          <w:sz w:val="24"/>
          <w:highlight w:val="none"/>
          <w:u w:val="dotted"/>
        </w:rPr>
        <w:t>/代理机构</w:t>
      </w:r>
      <w:r>
        <w:rPr>
          <w:rFonts w:hint="eastAsia" w:ascii="仿宋" w:hAnsi="仿宋" w:eastAsia="仿宋"/>
          <w:color w:val="auto"/>
          <w:sz w:val="24"/>
          <w:highlight w:val="none"/>
        </w:rPr>
        <w:t>于</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日</w:t>
      </w:r>
      <w:r>
        <w:rPr>
          <w:rFonts w:ascii="仿宋" w:hAnsi="仿宋" w:eastAsia="仿宋"/>
          <w:color w:val="auto"/>
          <w:sz w:val="24"/>
          <w:highlight w:val="none"/>
        </w:rPr>
        <w:t>,就质疑事项</w:t>
      </w:r>
      <w:r>
        <w:rPr>
          <w:rFonts w:hint="eastAsia" w:ascii="仿宋" w:hAnsi="仿宋" w:eastAsia="仿宋"/>
          <w:color w:val="auto"/>
          <w:sz w:val="24"/>
          <w:highlight w:val="none"/>
        </w:rPr>
        <w:t>作出了答复</w:t>
      </w:r>
      <w:r>
        <w:rPr>
          <w:rFonts w:ascii="仿宋" w:hAnsi="仿宋" w:eastAsia="仿宋"/>
          <w:color w:val="auto"/>
          <w:sz w:val="24"/>
          <w:highlight w:val="none"/>
        </w:rPr>
        <w:t>/没有在法定期限内</w:t>
      </w:r>
      <w:r>
        <w:rPr>
          <w:rFonts w:hint="eastAsia" w:ascii="仿宋" w:hAnsi="仿宋" w:eastAsia="仿宋"/>
          <w:color w:val="auto"/>
          <w:sz w:val="24"/>
          <w:highlight w:val="none"/>
        </w:rPr>
        <w:t>作出答复。</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四、投诉事项具体内容</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投诉事项</w:t>
      </w:r>
      <w:r>
        <w:rPr>
          <w:rFonts w:ascii="仿宋" w:hAnsi="仿宋" w:eastAsia="仿宋"/>
          <w:color w:val="auto"/>
          <w:sz w:val="24"/>
          <w:highlight w:val="none"/>
        </w:rPr>
        <w:t xml:space="preserve"> 1：</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事实依据：</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法律依据：</w:t>
      </w: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投诉事项</w:t>
      </w:r>
      <w:r>
        <w:rPr>
          <w:rFonts w:ascii="仿宋" w:hAnsi="仿宋" w:eastAsia="仿宋"/>
          <w:color w:val="auto"/>
          <w:sz w:val="24"/>
          <w:highlight w:val="none"/>
        </w:rPr>
        <w:t>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五、与投诉事项相关的投诉请求</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请求：</w:t>
      </w: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spacing w:line="360" w:lineRule="auto"/>
        <w:rPr>
          <w:rFonts w:ascii="仿宋" w:hAnsi="仿宋" w:eastAsia="仿宋"/>
          <w:color w:val="auto"/>
          <w:sz w:val="24"/>
          <w:highlight w:val="none"/>
          <w:u w:val="single"/>
        </w:rPr>
      </w:pPr>
      <w:r>
        <w:rPr>
          <w:rFonts w:ascii="仿宋" w:hAnsi="仿宋" w:eastAsia="仿宋"/>
          <w:color w:val="auto"/>
          <w:sz w:val="24"/>
          <w:highlight w:val="none"/>
        </w:rPr>
        <w:t xml:space="preserve">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r>
        <w:rPr>
          <w:rFonts w:ascii="仿宋" w:hAnsi="仿宋" w:eastAsia="仿宋"/>
          <w:color w:val="auto"/>
          <w:sz w:val="24"/>
          <w:highlight w:val="none"/>
        </w:rPr>
        <w:t xml:space="preserve">    </w:t>
      </w: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投诉书制作说明：</w:t>
      </w:r>
    </w:p>
    <w:p>
      <w:pPr>
        <w:widowControl/>
        <w:spacing w:line="360" w:lineRule="auto"/>
        <w:ind w:firstLine="480" w:firstLineChars="200"/>
        <w:rPr>
          <w:rFonts w:ascii="仿宋" w:hAnsi="仿宋" w:eastAsia="仿宋" w:cs="宋体"/>
          <w:color w:val="auto"/>
          <w:kern w:val="0"/>
          <w:sz w:val="24"/>
          <w:highlight w:val="none"/>
        </w:rPr>
      </w:pPr>
      <w:r>
        <w:rPr>
          <w:rFonts w:ascii="仿宋" w:hAnsi="仿宋" w:eastAsia="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s="仿宋_GB2312"/>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你方组织的（项目名称）【招标编号：（采购编号）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kN826w0CAAAmBAAADgAAAGRycy9lMm9Eb2MueG1srVPb bhMxEH1H4h8sv5O9NJvSVTZVlSoIqUBF4QMcr3fXwjfGTjbh6xk7adgCTwg/WB7P+PjMmZnl7UEr shfgpTUNLWY5JcJw20rTN/Trl82bt5T4wEzLlDWioUfh6e3q9avl6GpR2sGqVgBBEOPr0TV0CMHV Web5IDTzM+uEQWdnQbOAJvRZC2xEdK2yMs8X2WihdWC58B5v709Oukr4XSd4+NR1XgSiGorcQtoh 7du4Z6slq3tgbpD8TIP9AwvNpMFPL1D3LDCyA/kHlJYcrLddmHGrM9t1kouUA2ZT5L9l8zQwJ1Iu KI53F5n8/4PlH/ePQGTb0CtKDNNYos8oGjO9EqS4jvqMztcY9uQeIWbo3YPl3zwxdj1gmLgDsOMg WIusihifvXgQDY9PyXb8YFuEZ7tgk1SHDnQERBHIIVXkeKmIOATC8bK8zufzRUUJR19ZVleLokp/ sPr5uQMf3gmrSTw0FJB9gmf7Bx8iHVY/hyT6Vsl2I5VKBvTbtQKyZ9gem7TO6H4apgwZG3pTlVVC fuHzU4g8rb9BaBmwz5XUmMY0SJmzYFGjk9Zb2x5RL7CnZsXhwsNg4QclIzZqQ/33HQNBiXpvUPOb Yj6PnZ2MeXVdogFTz3bqYYYjVEMDJafjOpymYedA9gP+VKQcjb3DOnUyKRhreGJ1JovNmIQ9D07s 9qmdon6N9+on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9ZAPP9gAAAAKAQAADwAAAAAAAAABACAA AAAiAAAAZHJzL2Rvd25yZXYueG1sUEsBAhQAFAAAAAgAh07iQJDfNusNAgAAJgQAAA4AAAAAAAAA AQAgAAAAJwEAAGRycy9lMm9Eb2MueG1sUEsFBgAAAAAGAAYAWQEAAKYFAAAAAA== ">
                <v:fill on="t" focussize="0,0"/>
                <v:stroke color="#000000" miterlimit="2"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BYrTpg0CAAAmBAAADgAAAGRycy9lMm9Eb2MueG1srVPb jtMwEH1H4h8sv9M0oenSqOlq1VUR0sKuWPgA13ESC98Yu02Xr2fsdEsWeEL4wfJ4xsdnzsysr09a kaMAL62paT6bUyIMt400XU2/ftm9eUeJD8w0TFkjavokPL3evH61HlwlCttb1QggCGJ8Nbia9iG4 Kss874VmfmadMOhsLWgW0IQua4ANiK5VVszny2yw0DiwXHiPt7ejk24SftsKHu7b1otAVE2RW0g7 pH0f92yzZlUHzPWSn2mwf2ChmTT46QXqlgVGDiD/gNKSg/W2DTNudWbbVnKRcsBs8vlv2Tz2zImU C4rj3UUm//9g+afjAxDZ1HRBiWEaS/QZRWOmU4Lky6jP4HyFYY/uAWKG3t1Z/s0TY7c9hokbADv0 gjXIKo/x2YsH0fD4lOyHj7ZBeHYINkl1akFHQBSBnFJFni4VEadAOF4Wy8XVqsTCcfQVRfl2mZfp D1Y9P3fgw3thNYmHmgKyT/DseOdDpMOq55BE3yrZ7KRSyYBuv1VAjgzbY5fWGd1Pw5QhQ01XZVEm 5Bc+P4WYp/U3CC0D9rmSGtOYBilzFixqNGq9t80T6gV2bFYcLjz0Fn5QMmCj1tR/PzAQlKgPBjVf 5YtF7OxkLMqrAg2YevZTDzMcoWoaKBmP2zBOw8GB7Hr8KU85GnuDdWplUjDWcGR1JovNmIQ9D07s 9qmdon6N9+Yn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GYxHptgAAAAKAQAADwAAAAAAAAABACAA AAAiAAAAZHJzL2Rvd25yZXYueG1sUEsBAhQAFAAAAAgAh07iQAWK06YNAgAAJgQAAA4AAAAAAAAA AQAgAAAAJwEAAGRycy9lMm9Eb2MueG1sUEsFBgAAAAAGAAYAWQEAAKYFAAAAAA== ">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 w:hAnsi="仿宋" w:eastAsia="仿宋"/>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中小企业声明函（货物）</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hint="eastAsia" w:ascii="仿宋" w:hAnsi="仿宋" w:eastAsia="仿宋" w:cs="宋体"/>
          <w:color w:val="auto"/>
          <w:sz w:val="24"/>
          <w:highlight w:val="none"/>
        </w:rPr>
        <w:t>﹝</w:t>
      </w:r>
      <w:r>
        <w:rPr>
          <w:rFonts w:ascii="仿宋" w:hAnsi="仿宋" w:eastAsia="仿宋"/>
          <w:color w:val="auto"/>
          <w:sz w:val="24"/>
          <w:highlight w:val="none"/>
        </w:rPr>
        <w:t>2020</w:t>
      </w:r>
      <w:r>
        <w:rPr>
          <w:rFonts w:hint="eastAsia" w:ascii="仿宋" w:hAnsi="仿宋" w:eastAsia="仿宋" w:cs="宋体"/>
          <w:color w:val="auto"/>
          <w:sz w:val="24"/>
          <w:highlight w:val="none"/>
        </w:rPr>
        <w:t>﹞</w:t>
      </w:r>
      <w:r>
        <w:rPr>
          <w:rFonts w:ascii="仿宋" w:hAnsi="仿宋" w:eastAsia="仿宋"/>
          <w:color w:val="auto"/>
          <w:sz w:val="24"/>
          <w:highlight w:val="none"/>
        </w:rPr>
        <w:t xml:space="preserve">46 </w:t>
      </w:r>
      <w:r>
        <w:rPr>
          <w:rFonts w:hint="eastAsia" w:ascii="仿宋" w:hAnsi="仿宋" w:eastAsia="仿宋"/>
          <w:color w:val="auto"/>
          <w:sz w:val="24"/>
          <w:highlight w:val="none"/>
        </w:rPr>
        <w:t>号）的规定，本公司（联合体）参加</w:t>
      </w:r>
      <w:r>
        <w:rPr>
          <w:rFonts w:ascii="仿宋" w:hAnsi="仿宋" w:eastAsia="仿宋"/>
          <w:color w:val="auto"/>
          <w:sz w:val="24"/>
          <w:highlight w:val="none"/>
        </w:rPr>
        <w:t xml:space="preserve"> </w:t>
      </w:r>
      <w:r>
        <w:rPr>
          <w:rFonts w:hint="eastAsia" w:ascii="仿宋" w:hAnsi="仿宋" w:eastAsia="仿宋"/>
          <w:color w:val="auto"/>
          <w:sz w:val="24"/>
          <w:highlight w:val="none"/>
        </w:rPr>
        <w:t>（单位名称）</w:t>
      </w:r>
      <w:r>
        <w:rPr>
          <w:rFonts w:ascii="仿宋" w:hAnsi="仿宋" w:eastAsia="仿宋"/>
          <w:color w:val="auto"/>
          <w:sz w:val="24"/>
          <w:highlight w:val="none"/>
        </w:rPr>
        <w:t xml:space="preserve"> </w:t>
      </w:r>
      <w:r>
        <w:rPr>
          <w:rFonts w:hint="eastAsia" w:ascii="仿宋" w:hAnsi="仿宋" w:eastAsia="仿宋"/>
          <w:color w:val="auto"/>
          <w:sz w:val="24"/>
          <w:highlight w:val="none"/>
        </w:rPr>
        <w:t>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ascii="仿宋" w:hAnsi="仿宋" w:eastAsia="仿宋"/>
          <w:color w:val="auto"/>
          <w:highlight w:val="none"/>
        </w:rPr>
        <w:t xml:space="preserve"> </w:t>
      </w:r>
      <w:r>
        <w:rPr>
          <w:rFonts w:hint="eastAsia" w:ascii="仿宋" w:hAnsi="仿宋" w:eastAsia="仿宋"/>
          <w:color w:val="auto"/>
          <w:sz w:val="24"/>
          <w:highlight w:val="none"/>
          <w:u w:val="single"/>
        </w:rPr>
        <w:t>（标的名称）</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（采购文件中明确的所属行业）</w:t>
      </w:r>
      <w:r>
        <w:rPr>
          <w:rFonts w:hint="eastAsia" w:ascii="仿宋" w:hAnsi="仿宋" w:eastAsia="仿宋"/>
          <w:color w:val="auto"/>
          <w:sz w:val="24"/>
          <w:highlight w:val="none"/>
        </w:rPr>
        <w:t>行业</w:t>
      </w:r>
      <w:r>
        <w:rPr>
          <w:rFonts w:ascii="仿宋" w:hAnsi="仿宋" w:eastAsia="仿宋"/>
          <w:color w:val="auto"/>
          <w:sz w:val="24"/>
          <w:highlight w:val="none"/>
        </w:rPr>
        <w:t xml:space="preserve"> </w:t>
      </w:r>
      <w:r>
        <w:rPr>
          <w:rFonts w:hint="eastAsia" w:ascii="仿宋" w:hAnsi="仿宋" w:eastAsia="仿宋"/>
          <w:color w:val="auto"/>
          <w:sz w:val="24"/>
          <w:highlight w:val="none"/>
        </w:rPr>
        <w:t>；制造商为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ascii="仿宋" w:hAnsi="仿宋" w:eastAsia="仿宋"/>
          <w:color w:val="auto"/>
          <w:sz w:val="24"/>
          <w:highlight w:val="none"/>
          <w:u w:val="single"/>
        </w:rPr>
        <w:t xml:space="preserve"> （中型企业、小型企业、微型企业）</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ascii="仿宋" w:hAnsi="仿宋" w:eastAsia="仿宋"/>
          <w:color w:val="auto"/>
          <w:highlight w:val="none"/>
        </w:rPr>
        <w:t xml:space="preserve"> </w:t>
      </w:r>
      <w:r>
        <w:rPr>
          <w:rFonts w:hint="eastAsia" w:ascii="仿宋" w:hAnsi="仿宋" w:eastAsia="仿宋"/>
          <w:color w:val="auto"/>
          <w:sz w:val="24"/>
          <w:highlight w:val="none"/>
          <w:u w:val="single"/>
        </w:rPr>
        <w:t>（标的名称）</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（采购文件中明确的所属行业）</w:t>
      </w:r>
      <w:r>
        <w:rPr>
          <w:rFonts w:hint="eastAsia" w:ascii="仿宋" w:hAnsi="仿宋" w:eastAsia="仿宋"/>
          <w:color w:val="auto"/>
          <w:sz w:val="24"/>
          <w:highlight w:val="none"/>
        </w:rPr>
        <w:t>行业</w:t>
      </w:r>
      <w:r>
        <w:rPr>
          <w:rFonts w:ascii="仿宋" w:hAnsi="仿宋" w:eastAsia="仿宋"/>
          <w:color w:val="auto"/>
          <w:sz w:val="24"/>
          <w:highlight w:val="none"/>
        </w:rPr>
        <w:t xml:space="preserve"> </w:t>
      </w:r>
      <w:r>
        <w:rPr>
          <w:rFonts w:hint="eastAsia" w:ascii="仿宋" w:hAnsi="仿宋" w:eastAsia="仿宋"/>
          <w:color w:val="auto"/>
          <w:sz w:val="24"/>
          <w:highlight w:val="none"/>
        </w:rPr>
        <w:t>；制造商为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ascii="仿宋" w:hAnsi="仿宋" w:eastAsia="仿宋"/>
          <w:color w:val="auto"/>
          <w:sz w:val="24"/>
          <w:highlight w:val="none"/>
          <w:u w:val="single"/>
        </w:rPr>
        <w:t xml:space="preserve"> （中型企业、小型企业、微型企业）</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pacing w:line="360" w:lineRule="auto"/>
        <w:ind w:firstLine="482" w:firstLineChars="200"/>
        <w:rPr>
          <w:rFonts w:ascii="仿宋" w:hAnsi="仿宋" w:eastAsia="仿宋"/>
          <w:b/>
          <w:bCs/>
          <w:color w:val="auto"/>
          <w:sz w:val="24"/>
          <w:highlight w:val="none"/>
        </w:rPr>
      </w:pPr>
      <w:r>
        <w:rPr>
          <w:rFonts w:hint="eastAsia" w:ascii="仿宋" w:hAnsi="仿宋" w:eastAsia="仿宋"/>
          <w:b/>
          <w:bCs/>
          <w:color w:val="auto"/>
          <w:sz w:val="24"/>
          <w:highlight w:val="none"/>
        </w:rPr>
        <w:t>从业人员、营业收入、资产总额填报上一年度数据，无上一年度数据的新成立企业可不填报。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中小企业声明函</w:t>
      </w:r>
      <w:r>
        <w:rPr>
          <w:rFonts w:hint="eastAsia" w:ascii="仿宋" w:hAnsi="仿宋" w:eastAsia="仿宋"/>
          <w:b/>
          <w:color w:val="auto"/>
          <w:sz w:val="32"/>
          <w:szCs w:val="32"/>
          <w:highlight w:val="none"/>
        </w:rPr>
        <w:t>（工程、服务）</w:t>
      </w:r>
    </w:p>
    <w:p>
      <w:pPr>
        <w:spacing w:line="360" w:lineRule="auto"/>
        <w:rPr>
          <w:rFonts w:ascii="仿宋" w:hAnsi="仿宋" w:eastAsia="仿宋"/>
          <w:color w:val="auto"/>
          <w:highlight w:val="none"/>
        </w:rPr>
      </w:pPr>
    </w:p>
    <w:p>
      <w:pPr>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w:t>
      </w:r>
      <w:r>
        <w:rPr>
          <w:rFonts w:ascii="仿宋" w:hAnsi="仿宋" w:eastAsia="仿宋"/>
          <w:color w:val="auto"/>
          <w:sz w:val="24"/>
          <w:highlight w:val="none"/>
        </w:rPr>
        <w:t xml:space="preserve"> </w:t>
      </w:r>
      <w:r>
        <w:rPr>
          <w:rFonts w:hint="eastAsia" w:ascii="仿宋" w:hAnsi="仿宋" w:eastAsia="仿宋"/>
          <w:color w:val="auto"/>
          <w:sz w:val="24"/>
          <w:highlight w:val="none"/>
        </w:rPr>
        <w:t>（单位名称）</w:t>
      </w:r>
      <w:r>
        <w:rPr>
          <w:rFonts w:ascii="仿宋" w:hAnsi="仿宋" w:eastAsia="仿宋"/>
          <w:color w:val="auto"/>
          <w:sz w:val="24"/>
          <w:highlight w:val="none"/>
        </w:rPr>
        <w:t xml:space="preserve"> </w:t>
      </w:r>
      <w:r>
        <w:rPr>
          <w:rFonts w:hint="eastAsia" w:ascii="仿宋" w:hAnsi="仿宋" w:eastAsia="仿宋"/>
          <w:color w:val="auto"/>
          <w:sz w:val="24"/>
          <w:highlight w:val="none"/>
        </w:rPr>
        <w:t>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ascii="仿宋" w:hAnsi="仿宋" w:eastAsia="仿宋"/>
          <w:color w:val="auto"/>
          <w:highlight w:val="none"/>
        </w:rPr>
        <w:t xml:space="preserve"> </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ascii="仿宋" w:hAnsi="仿宋" w:eastAsia="仿宋"/>
          <w:color w:val="auto"/>
          <w:sz w:val="24"/>
          <w:highlight w:val="none"/>
        </w:rPr>
        <w:t xml:space="preserve"> </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ascii="仿宋" w:hAnsi="仿宋" w:eastAsia="仿宋"/>
          <w:color w:val="auto"/>
          <w:highlight w:val="none"/>
        </w:rPr>
        <w:t xml:space="preserve"> </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ascii="仿宋" w:hAnsi="仿宋" w:eastAsia="仿宋"/>
          <w:color w:val="auto"/>
          <w:sz w:val="24"/>
          <w:highlight w:val="none"/>
        </w:rPr>
        <w:t xml:space="preserve"> </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olor w:val="auto"/>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spacing w:line="360" w:lineRule="auto"/>
        <w:ind w:right="1120" w:firstLine="4680" w:firstLineChars="1950"/>
        <w:rPr>
          <w:rFonts w:ascii="仿宋" w:hAnsi="仿宋" w:eastAsia="仿宋"/>
          <w:color w:val="auto"/>
          <w:sz w:val="24"/>
          <w:highlight w:val="none"/>
        </w:rPr>
      </w:pPr>
      <w:r>
        <w:rPr>
          <w:rFonts w:hint="eastAsia" w:ascii="仿宋" w:hAnsi="仿宋" w:eastAsia="仿宋"/>
          <w:color w:val="auto"/>
          <w:sz w:val="24"/>
          <w:highlight w:val="none"/>
        </w:rPr>
        <w:t>日</w:t>
      </w:r>
      <w:r>
        <w:rPr>
          <w:rFonts w:ascii="仿宋" w:hAnsi="仿宋" w:eastAsia="仿宋"/>
          <w:color w:val="auto"/>
          <w:sz w:val="24"/>
          <w:highlight w:val="none"/>
        </w:rPr>
        <w:t xml:space="preserve"> </w:t>
      </w:r>
      <w:r>
        <w:rPr>
          <w:rFonts w:hint="eastAsia" w:ascii="仿宋" w:hAnsi="仿宋" w:eastAsia="仿宋"/>
          <w:color w:val="auto"/>
          <w:sz w:val="24"/>
          <w:highlight w:val="none"/>
        </w:rPr>
        <w:t>期：</w:t>
      </w:r>
    </w:p>
    <w:p>
      <w:pPr>
        <w:spacing w:line="360" w:lineRule="auto"/>
        <w:ind w:firstLine="310" w:firstLineChars="147"/>
        <w:jc w:val="left"/>
        <w:rPr>
          <w:rFonts w:ascii="仿宋" w:hAnsi="仿宋" w:eastAsia="仿宋"/>
          <w:b/>
          <w:color w:val="auto"/>
          <w:szCs w:val="21"/>
          <w:highlight w:val="none"/>
        </w:rPr>
      </w:pPr>
      <w:r>
        <w:rPr>
          <w:rFonts w:hint="eastAsia" w:ascii="仿宋" w:hAnsi="仿宋" w:eastAsia="仿宋"/>
          <w:b/>
          <w:color w:val="auto"/>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_GB2312"/>
          <w:color w:val="auto"/>
          <w:sz w:val="24"/>
          <w:highlight w:val="none"/>
        </w:rPr>
      </w:pPr>
    </w:p>
    <w:p>
      <w:pPr>
        <w:spacing w:line="360" w:lineRule="auto"/>
        <w:ind w:right="420"/>
        <w:rPr>
          <w:rFonts w:ascii="仿宋" w:eastAsia="仿宋"/>
          <w:color w:val="auto"/>
          <w:highlight w:val="none"/>
        </w:rPr>
      </w:pPr>
      <w:r>
        <w:rPr>
          <w:rFonts w:ascii="仿宋" w:hAnsi="仿宋" w:eastAsia="仿宋"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仿宋" w:hAnsi="仿宋" w:eastAsia="仿宋"/>
          <w:color w:val="auto"/>
          <w:highlight w:val="none"/>
        </w:rPr>
      </w:pPr>
    </w:p>
    <w:p>
      <w:pPr>
        <w:spacing w:line="360" w:lineRule="auto"/>
        <w:rPr>
          <w:rFonts w:ascii="仿宋" w:hAnsi="仿宋" w:eastAsia="仿宋"/>
          <w:bCs/>
          <w:color w:val="auto"/>
          <w:sz w:val="24"/>
          <w:highlight w:val="none"/>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PMingLiU">
    <w:altName w:val="PMingLiU-ExtB"/>
    <w:panose1 w:val="02020500000000000000"/>
    <w:charset w:val="88"/>
    <w:family w:val="roman"/>
    <w:pitch w:val="default"/>
    <w:sig w:usb0="00000000" w:usb1="00000000" w:usb2="00000016" w:usb3="00000000" w:csb0="00100001" w:csb1="00000000"/>
  </w:font>
  <w:font w:name="Meiryo">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118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118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118</w:t>
    </w:r>
    <w:r>
      <w:rPr>
        <w:rFonts w:hint="eastAsia" w:ascii="仿宋_GB2312" w:eastAsia="仿宋_GB2312"/>
        <w:kern w:val="0"/>
        <w:szCs w:val="21"/>
      </w:rPr>
      <w:fldChar w:fldCharType="end"/>
    </w:r>
    <w:bookmarkStart w:id="406" w:name="_Toc36110187"/>
    <w:bookmarkStart w:id="407" w:name="_Toc131845147"/>
    <w:bookmarkStart w:id="408" w:name="_Toc164085800"/>
    <w:bookmarkStart w:id="409" w:name="_Toc91899912"/>
    <w:r>
      <w:rPr>
        <w:rFonts w:hint="eastAsia" w:ascii="仿宋_GB2312" w:eastAsia="仿宋_GB2312"/>
        <w:kern w:val="0"/>
        <w:szCs w:val="21"/>
      </w:rPr>
      <w:t xml:space="preserve"> 页</w:t>
    </w:r>
    <w:bookmarkEnd w:id="406"/>
    <w:bookmarkEnd w:id="407"/>
    <w:bookmarkEnd w:id="408"/>
    <w:bookmarkEnd w:id="40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spacing w:line="360" w:lineRule="auto"/>
      <w:ind w:left="2700" w:hanging="2700" w:hangingChars="1500"/>
    </w:pPr>
    <w:r>
      <w:rPr>
        <w:sz w:val="18"/>
        <w:szCs w:val="18"/>
        <w:lang w:val="zh-CN"/>
      </w:rPr>
      <w:t></w:t>
    </w:r>
    <w:r>
      <w:rPr>
        <w:rFonts w:hint="eastAsia" w:ascii="宋体" w:hAnsi="宋体" w:cs="宋体"/>
        <w:sz w:val="18"/>
        <w:szCs w:val="18"/>
      </w:rPr>
      <w:t xml:space="preserve">                                                                    </w:t>
    </w:r>
    <w:r>
      <w:rPr>
        <w:rFonts w:hint="eastAsia"/>
        <w:sz w:val="18"/>
        <w:szCs w:val="18"/>
      </w:rPr>
      <w:t>浙江省</w:t>
    </w:r>
    <w:r>
      <w:rPr>
        <w:sz w:val="18"/>
        <w:szCs w:val="18"/>
      </w:rPr>
      <w:t>政府采购公开招标文件</w:t>
    </w:r>
    <w:r>
      <w:rPr>
        <w:rFonts w:hint="eastAsia"/>
        <w:sz w:val="18"/>
        <w:szCs w:val="18"/>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浙江省</w:t>
    </w:r>
    <w:r>
      <w:t>政府采购公开招标文件</w:t>
    </w:r>
    <w:r>
      <w:rPr>
        <w:rFonts w:hint="eastAsi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浙江省</w:t>
    </w:r>
    <w:r>
      <w:t>政府采购公开招标文件</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spacing w:line="360" w:lineRule="auto"/>
      <w:rPr>
        <w:rFonts w:ascii="仿宋" w:hAnsi="仿宋" w:eastAsia="仿宋" w:cs="仿宋"/>
        <w:sz w:val="18"/>
        <w:szCs w:val="18"/>
      </w:rPr>
    </w:pPr>
    <w:r>
      <w:rPr>
        <w:lang w:val="zh-CN"/>
      </w:rPr>
      <w:t></w:t>
    </w:r>
    <w:r>
      <w:rPr>
        <w:rFonts w:hint="eastAsia" w:ascii="宋体" w:hAnsi="宋体" w:cs="宋体"/>
      </w:rPr>
      <w:tab/>
    </w:r>
    <w:r>
      <w:rPr>
        <w:rFonts w:hint="eastAsia" w:ascii="宋体" w:hAnsi="宋体" w:cs="宋体"/>
        <w:lang w:val="zh-CN"/>
      </w:rPr>
      <w:t></w:t>
    </w:r>
    <w:r>
      <w:rPr>
        <w:rFonts w:hint="eastAsia" w:ascii="宋体" w:hAnsi="宋体" w:cs="宋体"/>
      </w:rPr>
      <w:t xml:space="preserve">                                                </w:t>
    </w:r>
    <w:r>
      <w:rPr>
        <w:rFonts w:hint="eastAsia"/>
        <w:sz w:val="18"/>
        <w:szCs w:val="18"/>
      </w:rPr>
      <w:t>浙江省</w:t>
    </w:r>
    <w:r>
      <w:rPr>
        <w:sz w:val="18"/>
        <w:szCs w:val="18"/>
      </w:rPr>
      <w:t>政府采购公开招标文件</w:t>
    </w:r>
    <w:r>
      <w:rPr>
        <w:rFonts w:hint="eastAsia"/>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spacing w:line="360" w:lineRule="auto"/>
      <w:ind w:left="6120" w:hanging="6120" w:hangingChars="3400"/>
    </w:pPr>
    <w:r>
      <w:rPr>
        <w:sz w:val="18"/>
        <w:szCs w:val="18"/>
        <w:lang w:val="zh-CN"/>
      </w:rPr>
      <w:t></w:t>
    </w:r>
    <w:r>
      <w:rPr>
        <w:rFonts w:hint="eastAsia" w:ascii="宋体" w:hAnsi="宋体" w:cs="宋体"/>
        <w:sz w:val="18"/>
        <w:szCs w:val="18"/>
      </w:rPr>
      <w:tab/>
    </w:r>
    <w:r>
      <w:rPr>
        <w:rFonts w:hint="eastAsia" w:ascii="宋体" w:hAnsi="宋体" w:cs="宋体"/>
        <w:sz w:val="18"/>
        <w:szCs w:val="18"/>
      </w:rPr>
      <w:t xml:space="preserve">                                                                                               </w:t>
    </w:r>
    <w:r>
      <w:rPr>
        <w:rFonts w:hint="eastAsia"/>
        <w:sz w:val="18"/>
        <w:szCs w:val="18"/>
      </w:rPr>
      <w:t>浙江省</w:t>
    </w:r>
    <w:r>
      <w:rPr>
        <w:sz w:val="18"/>
        <w:szCs w:val="18"/>
      </w:rPr>
      <w:t>政府采购公开招标文件</w:t>
    </w:r>
    <w:r>
      <w:rPr>
        <w:rFonts w:hint="eastAsia"/>
        <w:sz w:val="18"/>
        <w:szCs w:val="18"/>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浙江省</w:t>
    </w:r>
    <w:r>
      <w:t>政府采购公开招标文件</w:t>
    </w:r>
    <w:r>
      <w:rPr>
        <w:rFonts w:hint="eastAsia"/>
      </w:rPr>
      <w:t xml:space="preserve">  </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浙江省</w:t>
    </w:r>
    <w:r>
      <w:t>政府采购公开招标文件</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浙江省</w:t>
    </w:r>
    <w:r>
      <w:t>政府采购公开招标文件</w:t>
    </w:r>
    <w:r>
      <w:rPr>
        <w:rFonts w:hint="eastAsia"/>
      </w:rPr>
      <w:t xml:space="preserve">  </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w:t>
    </w:r>
    <w:r>
      <w:rPr>
        <w:rFonts w:hint="eastAsia"/>
      </w:rPr>
      <w:t>浙江省</w:t>
    </w:r>
    <w:r>
      <w:t>政府采购公开招标文件</w:t>
    </w: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浙江省</w:t>
    </w:r>
    <w:r>
      <w:t>政府采购公开招标文件</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1282"/>
    <w:multiLevelType w:val="multilevel"/>
    <w:tmpl w:val="146B128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6910CE"/>
    <w:multiLevelType w:val="singleLevel"/>
    <w:tmpl w:val="196910CE"/>
    <w:lvl w:ilvl="0" w:tentative="0">
      <w:start w:val="10"/>
      <w:numFmt w:val="decimal"/>
      <w:suff w:val="nothing"/>
      <w:lvlText w:val="（%1）"/>
      <w:lvlJc w:val="left"/>
    </w:lvl>
  </w:abstractNum>
  <w:abstractNum w:abstractNumId="2">
    <w:nsid w:val="629E5B61"/>
    <w:multiLevelType w:val="singleLevel"/>
    <w:tmpl w:val="629E5B61"/>
    <w:lvl w:ilvl="0" w:tentative="0">
      <w:start w:val="1"/>
      <w:numFmt w:val="decimal"/>
      <w:suff w:val="nothing"/>
      <w:lvlText w:val="%1、"/>
      <w:lvlJc w:val="left"/>
    </w:lvl>
  </w:abstractNum>
  <w:abstractNum w:abstractNumId="3">
    <w:nsid w:val="64A60AD2"/>
    <w:multiLevelType w:val="multilevel"/>
    <w:tmpl w:val="64A60AD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D84EF6E"/>
    <w:multiLevelType w:val="singleLevel"/>
    <w:tmpl w:val="7D84EF6E"/>
    <w:lvl w:ilvl="0" w:tentative="0">
      <w:start w:val="1"/>
      <w:numFmt w:val="decimal"/>
      <w:suff w:val="space"/>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2EB6"/>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6E2"/>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41B"/>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ADC"/>
    <w:rsid w:val="00115B1A"/>
    <w:rsid w:val="001160FF"/>
    <w:rsid w:val="001164F4"/>
    <w:rsid w:val="001168F8"/>
    <w:rsid w:val="001176FF"/>
    <w:rsid w:val="0012153F"/>
    <w:rsid w:val="0012159D"/>
    <w:rsid w:val="00121804"/>
    <w:rsid w:val="00121EC9"/>
    <w:rsid w:val="001224FE"/>
    <w:rsid w:val="00122E7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31B"/>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06"/>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3E8"/>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2EF1"/>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5509"/>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017"/>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864"/>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2D"/>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323"/>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865"/>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652"/>
    <w:rsid w:val="0034088F"/>
    <w:rsid w:val="00340B3E"/>
    <w:rsid w:val="003413D2"/>
    <w:rsid w:val="00341525"/>
    <w:rsid w:val="0034257E"/>
    <w:rsid w:val="003429A1"/>
    <w:rsid w:val="003429FC"/>
    <w:rsid w:val="00343079"/>
    <w:rsid w:val="00343127"/>
    <w:rsid w:val="0034322E"/>
    <w:rsid w:val="00343320"/>
    <w:rsid w:val="00344066"/>
    <w:rsid w:val="00344BBF"/>
    <w:rsid w:val="0034509B"/>
    <w:rsid w:val="00345644"/>
    <w:rsid w:val="00345D0E"/>
    <w:rsid w:val="00345D7A"/>
    <w:rsid w:val="0034607E"/>
    <w:rsid w:val="003469C3"/>
    <w:rsid w:val="00346A96"/>
    <w:rsid w:val="00346B6D"/>
    <w:rsid w:val="00346BA3"/>
    <w:rsid w:val="00346C69"/>
    <w:rsid w:val="00347356"/>
    <w:rsid w:val="00347D41"/>
    <w:rsid w:val="0035005C"/>
    <w:rsid w:val="00350896"/>
    <w:rsid w:val="00350C31"/>
    <w:rsid w:val="00350C9F"/>
    <w:rsid w:val="00351391"/>
    <w:rsid w:val="003519CD"/>
    <w:rsid w:val="00351A3A"/>
    <w:rsid w:val="0035261E"/>
    <w:rsid w:val="0035455F"/>
    <w:rsid w:val="00355D75"/>
    <w:rsid w:val="00355D8F"/>
    <w:rsid w:val="00356A73"/>
    <w:rsid w:val="00356FF0"/>
    <w:rsid w:val="003577EF"/>
    <w:rsid w:val="00357A60"/>
    <w:rsid w:val="00360092"/>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4E7E"/>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312"/>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4C58"/>
    <w:rsid w:val="003A5378"/>
    <w:rsid w:val="003A553C"/>
    <w:rsid w:val="003A56DF"/>
    <w:rsid w:val="003A5A12"/>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4F54"/>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AC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1F9C"/>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43E"/>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478"/>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F2B"/>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C49"/>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03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4F7FAF"/>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0D3"/>
    <w:rsid w:val="00536B03"/>
    <w:rsid w:val="00537456"/>
    <w:rsid w:val="0053790C"/>
    <w:rsid w:val="00537B3D"/>
    <w:rsid w:val="00540401"/>
    <w:rsid w:val="005405B2"/>
    <w:rsid w:val="0054076A"/>
    <w:rsid w:val="00540D47"/>
    <w:rsid w:val="00540EE7"/>
    <w:rsid w:val="00540F3B"/>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6F3"/>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1686"/>
    <w:rsid w:val="0057200B"/>
    <w:rsid w:val="00572297"/>
    <w:rsid w:val="0057345D"/>
    <w:rsid w:val="0057347D"/>
    <w:rsid w:val="00573560"/>
    <w:rsid w:val="00573DF6"/>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67B"/>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4EEE"/>
    <w:rsid w:val="005C58F2"/>
    <w:rsid w:val="005C5A97"/>
    <w:rsid w:val="005C5F77"/>
    <w:rsid w:val="005C6AAB"/>
    <w:rsid w:val="005C6D5D"/>
    <w:rsid w:val="005C6FD0"/>
    <w:rsid w:val="005C74B7"/>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B6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332"/>
    <w:rsid w:val="00650D19"/>
    <w:rsid w:val="00651973"/>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B81"/>
    <w:rsid w:val="00671FD5"/>
    <w:rsid w:val="006720BC"/>
    <w:rsid w:val="00672906"/>
    <w:rsid w:val="00672C73"/>
    <w:rsid w:val="00673B64"/>
    <w:rsid w:val="006745A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4D6"/>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4E1F"/>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055"/>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6B7D"/>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73F"/>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A72"/>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83D"/>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0709"/>
    <w:rsid w:val="00812657"/>
    <w:rsid w:val="00812A1A"/>
    <w:rsid w:val="00812DFF"/>
    <w:rsid w:val="0081362F"/>
    <w:rsid w:val="0081383A"/>
    <w:rsid w:val="0081497F"/>
    <w:rsid w:val="00814B90"/>
    <w:rsid w:val="00814FC7"/>
    <w:rsid w:val="0081557B"/>
    <w:rsid w:val="0081660C"/>
    <w:rsid w:val="00817195"/>
    <w:rsid w:val="00817416"/>
    <w:rsid w:val="00817658"/>
    <w:rsid w:val="008206AE"/>
    <w:rsid w:val="00821004"/>
    <w:rsid w:val="00821271"/>
    <w:rsid w:val="00821306"/>
    <w:rsid w:val="008213D9"/>
    <w:rsid w:val="008216CE"/>
    <w:rsid w:val="008218AE"/>
    <w:rsid w:val="00821D85"/>
    <w:rsid w:val="00821E47"/>
    <w:rsid w:val="008220F6"/>
    <w:rsid w:val="00822456"/>
    <w:rsid w:val="00823819"/>
    <w:rsid w:val="00823BD3"/>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A1F"/>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4F23"/>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4AA"/>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3B"/>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91C"/>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3FB5"/>
    <w:rsid w:val="008A411C"/>
    <w:rsid w:val="008A4630"/>
    <w:rsid w:val="008A47CE"/>
    <w:rsid w:val="008A4DFA"/>
    <w:rsid w:val="008A5F2F"/>
    <w:rsid w:val="008A6BAE"/>
    <w:rsid w:val="008A6BCA"/>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3FB"/>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EFB"/>
    <w:rsid w:val="00936EA5"/>
    <w:rsid w:val="00937114"/>
    <w:rsid w:val="0094015D"/>
    <w:rsid w:val="00940916"/>
    <w:rsid w:val="009412B7"/>
    <w:rsid w:val="00941991"/>
    <w:rsid w:val="00941B13"/>
    <w:rsid w:val="0094215C"/>
    <w:rsid w:val="00942F8E"/>
    <w:rsid w:val="00943543"/>
    <w:rsid w:val="009441DB"/>
    <w:rsid w:val="00944834"/>
    <w:rsid w:val="00946128"/>
    <w:rsid w:val="0094633F"/>
    <w:rsid w:val="00947BA5"/>
    <w:rsid w:val="0095069D"/>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1DA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890"/>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1C2F"/>
    <w:rsid w:val="009D298F"/>
    <w:rsid w:val="009D2F9C"/>
    <w:rsid w:val="009D4207"/>
    <w:rsid w:val="009D4445"/>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4D4A"/>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D9C"/>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5B6"/>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689B"/>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17E"/>
    <w:rsid w:val="00B04534"/>
    <w:rsid w:val="00B04678"/>
    <w:rsid w:val="00B047C9"/>
    <w:rsid w:val="00B04A04"/>
    <w:rsid w:val="00B04B78"/>
    <w:rsid w:val="00B04C37"/>
    <w:rsid w:val="00B04F00"/>
    <w:rsid w:val="00B05BA6"/>
    <w:rsid w:val="00B066FE"/>
    <w:rsid w:val="00B06912"/>
    <w:rsid w:val="00B06A07"/>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1348"/>
    <w:rsid w:val="00B32295"/>
    <w:rsid w:val="00B331CE"/>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84C"/>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99"/>
    <w:rsid w:val="00BF21D4"/>
    <w:rsid w:val="00BF2DDC"/>
    <w:rsid w:val="00BF32DE"/>
    <w:rsid w:val="00BF4A15"/>
    <w:rsid w:val="00BF4E0E"/>
    <w:rsid w:val="00BF4E27"/>
    <w:rsid w:val="00BF4F7C"/>
    <w:rsid w:val="00BF537B"/>
    <w:rsid w:val="00BF5901"/>
    <w:rsid w:val="00BF626A"/>
    <w:rsid w:val="00BF688E"/>
    <w:rsid w:val="00BF6D77"/>
    <w:rsid w:val="00BF739A"/>
    <w:rsid w:val="00BF7EB7"/>
    <w:rsid w:val="00BF7EF5"/>
    <w:rsid w:val="00C00BF6"/>
    <w:rsid w:val="00C0234A"/>
    <w:rsid w:val="00C0247B"/>
    <w:rsid w:val="00C0378E"/>
    <w:rsid w:val="00C04314"/>
    <w:rsid w:val="00C04BD0"/>
    <w:rsid w:val="00C05730"/>
    <w:rsid w:val="00C05AF4"/>
    <w:rsid w:val="00C05AFD"/>
    <w:rsid w:val="00C05DE6"/>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1FD1"/>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696"/>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294"/>
    <w:rsid w:val="00C75A8F"/>
    <w:rsid w:val="00C76129"/>
    <w:rsid w:val="00C76C0C"/>
    <w:rsid w:val="00C76FFC"/>
    <w:rsid w:val="00C774E0"/>
    <w:rsid w:val="00C776BA"/>
    <w:rsid w:val="00C7791E"/>
    <w:rsid w:val="00C81716"/>
    <w:rsid w:val="00C832CB"/>
    <w:rsid w:val="00C84085"/>
    <w:rsid w:val="00C852C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E19"/>
    <w:rsid w:val="00CA0492"/>
    <w:rsid w:val="00CA05B0"/>
    <w:rsid w:val="00CA0632"/>
    <w:rsid w:val="00CA0A04"/>
    <w:rsid w:val="00CA2341"/>
    <w:rsid w:val="00CA2528"/>
    <w:rsid w:val="00CA3CAB"/>
    <w:rsid w:val="00CA3FC0"/>
    <w:rsid w:val="00CA5685"/>
    <w:rsid w:val="00CA6A2E"/>
    <w:rsid w:val="00CA6B56"/>
    <w:rsid w:val="00CA7D3E"/>
    <w:rsid w:val="00CB0317"/>
    <w:rsid w:val="00CB0662"/>
    <w:rsid w:val="00CB0A82"/>
    <w:rsid w:val="00CB0F2F"/>
    <w:rsid w:val="00CB1203"/>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3C6E"/>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3"/>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48EB"/>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149"/>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7DD"/>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5B2"/>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415"/>
    <w:rsid w:val="00E20CE7"/>
    <w:rsid w:val="00E217B1"/>
    <w:rsid w:val="00E2196A"/>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C10"/>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3382"/>
    <w:rsid w:val="00E5448E"/>
    <w:rsid w:val="00E54E0D"/>
    <w:rsid w:val="00E55247"/>
    <w:rsid w:val="00E558E5"/>
    <w:rsid w:val="00E55B3C"/>
    <w:rsid w:val="00E56464"/>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58FA"/>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B20"/>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1F"/>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3F4F"/>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22"/>
    <w:rsid w:val="00F0724D"/>
    <w:rsid w:val="00F07378"/>
    <w:rsid w:val="00F10B81"/>
    <w:rsid w:val="00F10BC9"/>
    <w:rsid w:val="00F113C9"/>
    <w:rsid w:val="00F11C01"/>
    <w:rsid w:val="00F11D80"/>
    <w:rsid w:val="00F12084"/>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9BA"/>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43D"/>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D2"/>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28A2"/>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136"/>
    <w:rsid w:val="00FA775E"/>
    <w:rsid w:val="00FA7792"/>
    <w:rsid w:val="00FA7AA8"/>
    <w:rsid w:val="00FA7F1D"/>
    <w:rsid w:val="00FB011C"/>
    <w:rsid w:val="00FB0D60"/>
    <w:rsid w:val="00FB18FD"/>
    <w:rsid w:val="00FB2AD8"/>
    <w:rsid w:val="00FB2BF5"/>
    <w:rsid w:val="00FB2F8E"/>
    <w:rsid w:val="00FB30C3"/>
    <w:rsid w:val="00FB39B0"/>
    <w:rsid w:val="00FB5138"/>
    <w:rsid w:val="00FB547F"/>
    <w:rsid w:val="00FB5A71"/>
    <w:rsid w:val="00FB63F6"/>
    <w:rsid w:val="00FB6AE9"/>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E0FF3"/>
    <w:rsid w:val="01633E9B"/>
    <w:rsid w:val="019F7441"/>
    <w:rsid w:val="01B37585"/>
    <w:rsid w:val="01D55165"/>
    <w:rsid w:val="01DF6BF8"/>
    <w:rsid w:val="01EC2C57"/>
    <w:rsid w:val="0201093E"/>
    <w:rsid w:val="0238661E"/>
    <w:rsid w:val="023C4AB9"/>
    <w:rsid w:val="02526550"/>
    <w:rsid w:val="026B2E25"/>
    <w:rsid w:val="027C165F"/>
    <w:rsid w:val="027F5600"/>
    <w:rsid w:val="02824D4D"/>
    <w:rsid w:val="02C87332"/>
    <w:rsid w:val="02DC4B10"/>
    <w:rsid w:val="02DD76CE"/>
    <w:rsid w:val="02F36323"/>
    <w:rsid w:val="02F5619C"/>
    <w:rsid w:val="030E7F4B"/>
    <w:rsid w:val="0326446A"/>
    <w:rsid w:val="032D5555"/>
    <w:rsid w:val="036634D2"/>
    <w:rsid w:val="03DD35E4"/>
    <w:rsid w:val="03F176D4"/>
    <w:rsid w:val="04076900"/>
    <w:rsid w:val="041A5A3B"/>
    <w:rsid w:val="042311BA"/>
    <w:rsid w:val="042B157A"/>
    <w:rsid w:val="048F763B"/>
    <w:rsid w:val="049F330E"/>
    <w:rsid w:val="04AA775C"/>
    <w:rsid w:val="04AF1889"/>
    <w:rsid w:val="04F66F48"/>
    <w:rsid w:val="05251E14"/>
    <w:rsid w:val="05A16594"/>
    <w:rsid w:val="05A7762D"/>
    <w:rsid w:val="05D20B90"/>
    <w:rsid w:val="060E5941"/>
    <w:rsid w:val="06110FAF"/>
    <w:rsid w:val="06493CA7"/>
    <w:rsid w:val="065A6178"/>
    <w:rsid w:val="066F1CF3"/>
    <w:rsid w:val="068D7A0A"/>
    <w:rsid w:val="06930BB8"/>
    <w:rsid w:val="07222EFD"/>
    <w:rsid w:val="07245D42"/>
    <w:rsid w:val="07264C62"/>
    <w:rsid w:val="0779354C"/>
    <w:rsid w:val="07A65A0D"/>
    <w:rsid w:val="07D609A0"/>
    <w:rsid w:val="08061376"/>
    <w:rsid w:val="08452D77"/>
    <w:rsid w:val="086401F8"/>
    <w:rsid w:val="08751CAA"/>
    <w:rsid w:val="087E4C40"/>
    <w:rsid w:val="08855355"/>
    <w:rsid w:val="08D66AD6"/>
    <w:rsid w:val="08DA33A3"/>
    <w:rsid w:val="08E80F13"/>
    <w:rsid w:val="09335624"/>
    <w:rsid w:val="0944690F"/>
    <w:rsid w:val="09535675"/>
    <w:rsid w:val="09540B42"/>
    <w:rsid w:val="095F057D"/>
    <w:rsid w:val="09642282"/>
    <w:rsid w:val="09733572"/>
    <w:rsid w:val="09772C16"/>
    <w:rsid w:val="098353B5"/>
    <w:rsid w:val="09856A23"/>
    <w:rsid w:val="09A92330"/>
    <w:rsid w:val="09B06B87"/>
    <w:rsid w:val="09C13146"/>
    <w:rsid w:val="09E04166"/>
    <w:rsid w:val="09FE24CA"/>
    <w:rsid w:val="0A1C0718"/>
    <w:rsid w:val="0A295B9B"/>
    <w:rsid w:val="0A30369C"/>
    <w:rsid w:val="0A3E7710"/>
    <w:rsid w:val="0A5B7E63"/>
    <w:rsid w:val="0A9874D3"/>
    <w:rsid w:val="0A9A37F2"/>
    <w:rsid w:val="0AA374A5"/>
    <w:rsid w:val="0AA507B1"/>
    <w:rsid w:val="0AAB7649"/>
    <w:rsid w:val="0AB0231B"/>
    <w:rsid w:val="0ABC5606"/>
    <w:rsid w:val="0AD83C46"/>
    <w:rsid w:val="0AD976FA"/>
    <w:rsid w:val="0B1A471F"/>
    <w:rsid w:val="0B30404E"/>
    <w:rsid w:val="0B3765CF"/>
    <w:rsid w:val="0B4C6C14"/>
    <w:rsid w:val="0B5331D2"/>
    <w:rsid w:val="0B631A88"/>
    <w:rsid w:val="0B683D45"/>
    <w:rsid w:val="0B71445D"/>
    <w:rsid w:val="0B7F3F11"/>
    <w:rsid w:val="0B884417"/>
    <w:rsid w:val="0BA70F1E"/>
    <w:rsid w:val="0BE909D8"/>
    <w:rsid w:val="0BF4189A"/>
    <w:rsid w:val="0BF6188C"/>
    <w:rsid w:val="0BF73C91"/>
    <w:rsid w:val="0C170175"/>
    <w:rsid w:val="0C3F3B48"/>
    <w:rsid w:val="0C571A41"/>
    <w:rsid w:val="0C5C1171"/>
    <w:rsid w:val="0C5E1CBC"/>
    <w:rsid w:val="0C615B50"/>
    <w:rsid w:val="0C8445DA"/>
    <w:rsid w:val="0C87121B"/>
    <w:rsid w:val="0CC007F7"/>
    <w:rsid w:val="0CD945FE"/>
    <w:rsid w:val="0CFE707A"/>
    <w:rsid w:val="0D063BDA"/>
    <w:rsid w:val="0D08375F"/>
    <w:rsid w:val="0D184CFB"/>
    <w:rsid w:val="0D4A7419"/>
    <w:rsid w:val="0D63178B"/>
    <w:rsid w:val="0D827401"/>
    <w:rsid w:val="0D84094E"/>
    <w:rsid w:val="0D8A00E9"/>
    <w:rsid w:val="0D8D589E"/>
    <w:rsid w:val="0DA01C73"/>
    <w:rsid w:val="0DD63300"/>
    <w:rsid w:val="0DF50604"/>
    <w:rsid w:val="0DF702FE"/>
    <w:rsid w:val="0DF76096"/>
    <w:rsid w:val="0E060E51"/>
    <w:rsid w:val="0E477FDC"/>
    <w:rsid w:val="0E5604B2"/>
    <w:rsid w:val="0E6D5D79"/>
    <w:rsid w:val="0E9D0089"/>
    <w:rsid w:val="0EB803EE"/>
    <w:rsid w:val="0EE32693"/>
    <w:rsid w:val="0EE957C9"/>
    <w:rsid w:val="0EF94D4B"/>
    <w:rsid w:val="0F4958DC"/>
    <w:rsid w:val="0F4B5E7D"/>
    <w:rsid w:val="0F515DF7"/>
    <w:rsid w:val="0F596BA8"/>
    <w:rsid w:val="0F6248D2"/>
    <w:rsid w:val="0F693536"/>
    <w:rsid w:val="0F7B0511"/>
    <w:rsid w:val="0F7B76D9"/>
    <w:rsid w:val="0F816ACD"/>
    <w:rsid w:val="0F9832DB"/>
    <w:rsid w:val="0FA855DE"/>
    <w:rsid w:val="0FBF3FD2"/>
    <w:rsid w:val="0FBF7FF3"/>
    <w:rsid w:val="0FDA24C7"/>
    <w:rsid w:val="103F6FE1"/>
    <w:rsid w:val="10437371"/>
    <w:rsid w:val="10484987"/>
    <w:rsid w:val="104D764D"/>
    <w:rsid w:val="10646583"/>
    <w:rsid w:val="107D4B15"/>
    <w:rsid w:val="108A3C80"/>
    <w:rsid w:val="10C26171"/>
    <w:rsid w:val="10C93C2C"/>
    <w:rsid w:val="10F33360"/>
    <w:rsid w:val="10FC16EA"/>
    <w:rsid w:val="110A60E1"/>
    <w:rsid w:val="110F1D40"/>
    <w:rsid w:val="11266F33"/>
    <w:rsid w:val="118963A1"/>
    <w:rsid w:val="11C6522A"/>
    <w:rsid w:val="11C72361"/>
    <w:rsid w:val="11E104CC"/>
    <w:rsid w:val="11E20309"/>
    <w:rsid w:val="12065699"/>
    <w:rsid w:val="121821BC"/>
    <w:rsid w:val="12255233"/>
    <w:rsid w:val="12530213"/>
    <w:rsid w:val="127723A9"/>
    <w:rsid w:val="12862074"/>
    <w:rsid w:val="12883966"/>
    <w:rsid w:val="129E45B4"/>
    <w:rsid w:val="12D81596"/>
    <w:rsid w:val="13072A44"/>
    <w:rsid w:val="135F4BE2"/>
    <w:rsid w:val="138F5884"/>
    <w:rsid w:val="139B1A0A"/>
    <w:rsid w:val="139D25C7"/>
    <w:rsid w:val="13BF3CE4"/>
    <w:rsid w:val="141008D8"/>
    <w:rsid w:val="14125FE6"/>
    <w:rsid w:val="146D271E"/>
    <w:rsid w:val="14982588"/>
    <w:rsid w:val="149A5AD9"/>
    <w:rsid w:val="14A7619D"/>
    <w:rsid w:val="14B233D1"/>
    <w:rsid w:val="14B255F9"/>
    <w:rsid w:val="150536C3"/>
    <w:rsid w:val="150C1963"/>
    <w:rsid w:val="151447A0"/>
    <w:rsid w:val="152D6B0E"/>
    <w:rsid w:val="153F575A"/>
    <w:rsid w:val="154A6454"/>
    <w:rsid w:val="15762120"/>
    <w:rsid w:val="15815435"/>
    <w:rsid w:val="15C64083"/>
    <w:rsid w:val="16080377"/>
    <w:rsid w:val="165D51DF"/>
    <w:rsid w:val="166B2454"/>
    <w:rsid w:val="16A8729C"/>
    <w:rsid w:val="16B33777"/>
    <w:rsid w:val="16BC70A7"/>
    <w:rsid w:val="16C6339E"/>
    <w:rsid w:val="172F2D79"/>
    <w:rsid w:val="17557BEF"/>
    <w:rsid w:val="17886710"/>
    <w:rsid w:val="17BD468B"/>
    <w:rsid w:val="17D349C1"/>
    <w:rsid w:val="1830729E"/>
    <w:rsid w:val="18330133"/>
    <w:rsid w:val="18371EB1"/>
    <w:rsid w:val="1870062C"/>
    <w:rsid w:val="18817102"/>
    <w:rsid w:val="18830A15"/>
    <w:rsid w:val="18852B28"/>
    <w:rsid w:val="188B5321"/>
    <w:rsid w:val="18972211"/>
    <w:rsid w:val="18C664CA"/>
    <w:rsid w:val="19492B7A"/>
    <w:rsid w:val="19862C50"/>
    <w:rsid w:val="19932372"/>
    <w:rsid w:val="19A1258C"/>
    <w:rsid w:val="19A20DD5"/>
    <w:rsid w:val="19AE03F1"/>
    <w:rsid w:val="1A071A03"/>
    <w:rsid w:val="1A1F16AE"/>
    <w:rsid w:val="1A3B5C77"/>
    <w:rsid w:val="1A984BAD"/>
    <w:rsid w:val="1AB8220E"/>
    <w:rsid w:val="1AE4166C"/>
    <w:rsid w:val="1AF06CFB"/>
    <w:rsid w:val="1AF11B8D"/>
    <w:rsid w:val="1B11359C"/>
    <w:rsid w:val="1B2A271F"/>
    <w:rsid w:val="1B530544"/>
    <w:rsid w:val="1B713184"/>
    <w:rsid w:val="1B94351C"/>
    <w:rsid w:val="1BA209CF"/>
    <w:rsid w:val="1BB4777D"/>
    <w:rsid w:val="1BD75AB8"/>
    <w:rsid w:val="1C0459C2"/>
    <w:rsid w:val="1C1B3B4A"/>
    <w:rsid w:val="1C88086E"/>
    <w:rsid w:val="1D266CE1"/>
    <w:rsid w:val="1D306ECF"/>
    <w:rsid w:val="1D3963AF"/>
    <w:rsid w:val="1D4A6B34"/>
    <w:rsid w:val="1D6A673C"/>
    <w:rsid w:val="1D9247AE"/>
    <w:rsid w:val="1DB567EC"/>
    <w:rsid w:val="1DC32A2C"/>
    <w:rsid w:val="1DDB19E2"/>
    <w:rsid w:val="1DF51A98"/>
    <w:rsid w:val="1E3D060F"/>
    <w:rsid w:val="1E3F7D2E"/>
    <w:rsid w:val="1E4134E4"/>
    <w:rsid w:val="1E5062B3"/>
    <w:rsid w:val="1E523514"/>
    <w:rsid w:val="1E714A66"/>
    <w:rsid w:val="1E802593"/>
    <w:rsid w:val="1EA703CC"/>
    <w:rsid w:val="1EB7330C"/>
    <w:rsid w:val="1ECA632E"/>
    <w:rsid w:val="1F0A0FF3"/>
    <w:rsid w:val="1F5771FF"/>
    <w:rsid w:val="1FB7074B"/>
    <w:rsid w:val="1FD7716E"/>
    <w:rsid w:val="1FE868A9"/>
    <w:rsid w:val="20034907"/>
    <w:rsid w:val="20173E4B"/>
    <w:rsid w:val="204E48BC"/>
    <w:rsid w:val="20825DA9"/>
    <w:rsid w:val="208921B3"/>
    <w:rsid w:val="20973DEB"/>
    <w:rsid w:val="20B26522"/>
    <w:rsid w:val="20B44310"/>
    <w:rsid w:val="211116EB"/>
    <w:rsid w:val="216133FC"/>
    <w:rsid w:val="21D56769"/>
    <w:rsid w:val="21E52EF3"/>
    <w:rsid w:val="21F61979"/>
    <w:rsid w:val="21FB5D7B"/>
    <w:rsid w:val="220B1C3D"/>
    <w:rsid w:val="221D1D20"/>
    <w:rsid w:val="22334A87"/>
    <w:rsid w:val="227F6E5F"/>
    <w:rsid w:val="229632BF"/>
    <w:rsid w:val="22A9562C"/>
    <w:rsid w:val="22BE6801"/>
    <w:rsid w:val="22E449E3"/>
    <w:rsid w:val="23192E0C"/>
    <w:rsid w:val="231D1CA3"/>
    <w:rsid w:val="232E0C53"/>
    <w:rsid w:val="233500BF"/>
    <w:rsid w:val="23377FF7"/>
    <w:rsid w:val="236B425F"/>
    <w:rsid w:val="23836192"/>
    <w:rsid w:val="23901F29"/>
    <w:rsid w:val="239C0061"/>
    <w:rsid w:val="23B908A4"/>
    <w:rsid w:val="23E95BEF"/>
    <w:rsid w:val="23FD0064"/>
    <w:rsid w:val="241836C0"/>
    <w:rsid w:val="24443410"/>
    <w:rsid w:val="245375B0"/>
    <w:rsid w:val="24642C0A"/>
    <w:rsid w:val="24653AC9"/>
    <w:rsid w:val="24B22173"/>
    <w:rsid w:val="24B95AD9"/>
    <w:rsid w:val="24BE24DA"/>
    <w:rsid w:val="24CF5825"/>
    <w:rsid w:val="24D663E6"/>
    <w:rsid w:val="24D77F2B"/>
    <w:rsid w:val="24E56209"/>
    <w:rsid w:val="25204FD4"/>
    <w:rsid w:val="258B00E2"/>
    <w:rsid w:val="25A917A6"/>
    <w:rsid w:val="25BE27CC"/>
    <w:rsid w:val="25F74A5C"/>
    <w:rsid w:val="2628662C"/>
    <w:rsid w:val="262D45DE"/>
    <w:rsid w:val="26312ECF"/>
    <w:rsid w:val="26412A2F"/>
    <w:rsid w:val="26A53EF9"/>
    <w:rsid w:val="26A94201"/>
    <w:rsid w:val="26AC274F"/>
    <w:rsid w:val="27044A29"/>
    <w:rsid w:val="27054BA2"/>
    <w:rsid w:val="271D34C8"/>
    <w:rsid w:val="2747259E"/>
    <w:rsid w:val="276142BF"/>
    <w:rsid w:val="27783712"/>
    <w:rsid w:val="277E4EAD"/>
    <w:rsid w:val="27907362"/>
    <w:rsid w:val="28333E1D"/>
    <w:rsid w:val="28454BD6"/>
    <w:rsid w:val="28455253"/>
    <w:rsid w:val="28551971"/>
    <w:rsid w:val="285B1C53"/>
    <w:rsid w:val="28752AD9"/>
    <w:rsid w:val="289F7086"/>
    <w:rsid w:val="28C32028"/>
    <w:rsid w:val="28CC490F"/>
    <w:rsid w:val="28DE40AA"/>
    <w:rsid w:val="28FF4630"/>
    <w:rsid w:val="29282D69"/>
    <w:rsid w:val="29345E77"/>
    <w:rsid w:val="294C65AD"/>
    <w:rsid w:val="29806583"/>
    <w:rsid w:val="298B3C4C"/>
    <w:rsid w:val="29F26D24"/>
    <w:rsid w:val="2A15033F"/>
    <w:rsid w:val="2A1662C1"/>
    <w:rsid w:val="2A1C7367"/>
    <w:rsid w:val="2A2815FA"/>
    <w:rsid w:val="2A6D6092"/>
    <w:rsid w:val="2A7D76B4"/>
    <w:rsid w:val="2AB37792"/>
    <w:rsid w:val="2AD13594"/>
    <w:rsid w:val="2B112D09"/>
    <w:rsid w:val="2B437463"/>
    <w:rsid w:val="2B7807EE"/>
    <w:rsid w:val="2B9B4EFF"/>
    <w:rsid w:val="2BBF00EC"/>
    <w:rsid w:val="2BC37CFD"/>
    <w:rsid w:val="2BD5237F"/>
    <w:rsid w:val="2BE536CE"/>
    <w:rsid w:val="2BE758D9"/>
    <w:rsid w:val="2C09049E"/>
    <w:rsid w:val="2C0A653C"/>
    <w:rsid w:val="2C191F85"/>
    <w:rsid w:val="2C2357D9"/>
    <w:rsid w:val="2C3D1DD8"/>
    <w:rsid w:val="2C6A35CB"/>
    <w:rsid w:val="2CE82D6F"/>
    <w:rsid w:val="2D343236"/>
    <w:rsid w:val="2DD15014"/>
    <w:rsid w:val="2DF72DE4"/>
    <w:rsid w:val="2E0220AF"/>
    <w:rsid w:val="2E4B082A"/>
    <w:rsid w:val="2E551586"/>
    <w:rsid w:val="2E5D4E86"/>
    <w:rsid w:val="2E5D790B"/>
    <w:rsid w:val="2E7E7DC6"/>
    <w:rsid w:val="2E9A3C18"/>
    <w:rsid w:val="2EBB0FEE"/>
    <w:rsid w:val="2EC63002"/>
    <w:rsid w:val="2ECF53EA"/>
    <w:rsid w:val="2ED66FBB"/>
    <w:rsid w:val="2EDD1E82"/>
    <w:rsid w:val="2F0A6B38"/>
    <w:rsid w:val="2F6B1B7D"/>
    <w:rsid w:val="2F946CCB"/>
    <w:rsid w:val="2FD25781"/>
    <w:rsid w:val="2FFD7934"/>
    <w:rsid w:val="3012083B"/>
    <w:rsid w:val="30733ACD"/>
    <w:rsid w:val="308C3862"/>
    <w:rsid w:val="309379D8"/>
    <w:rsid w:val="30A270F7"/>
    <w:rsid w:val="30DF1478"/>
    <w:rsid w:val="30EC586F"/>
    <w:rsid w:val="311D7518"/>
    <w:rsid w:val="3143316B"/>
    <w:rsid w:val="316B4522"/>
    <w:rsid w:val="31764B54"/>
    <w:rsid w:val="319C6071"/>
    <w:rsid w:val="31AC537E"/>
    <w:rsid w:val="31E3679B"/>
    <w:rsid w:val="31E732FD"/>
    <w:rsid w:val="32517576"/>
    <w:rsid w:val="32675C2E"/>
    <w:rsid w:val="32BE5C2C"/>
    <w:rsid w:val="32CE02ED"/>
    <w:rsid w:val="32D26E9B"/>
    <w:rsid w:val="32FB6478"/>
    <w:rsid w:val="33263B3F"/>
    <w:rsid w:val="33523D0B"/>
    <w:rsid w:val="336963EB"/>
    <w:rsid w:val="33816EEB"/>
    <w:rsid w:val="33E04D53"/>
    <w:rsid w:val="33EB55CD"/>
    <w:rsid w:val="33EC4C02"/>
    <w:rsid w:val="340D2360"/>
    <w:rsid w:val="3410665D"/>
    <w:rsid w:val="34211214"/>
    <w:rsid w:val="342E63AB"/>
    <w:rsid w:val="34950E68"/>
    <w:rsid w:val="34986E94"/>
    <w:rsid w:val="34AF62C9"/>
    <w:rsid w:val="34CB4388"/>
    <w:rsid w:val="34CE72A2"/>
    <w:rsid w:val="34FA6E12"/>
    <w:rsid w:val="358D5588"/>
    <w:rsid w:val="363A3B40"/>
    <w:rsid w:val="365302AE"/>
    <w:rsid w:val="36607A0A"/>
    <w:rsid w:val="366E227C"/>
    <w:rsid w:val="366F2E0D"/>
    <w:rsid w:val="367B6A5C"/>
    <w:rsid w:val="36A74ADA"/>
    <w:rsid w:val="36AD60D5"/>
    <w:rsid w:val="36B224F9"/>
    <w:rsid w:val="36EC0CC9"/>
    <w:rsid w:val="373F410B"/>
    <w:rsid w:val="37657C45"/>
    <w:rsid w:val="37661A13"/>
    <w:rsid w:val="379136D3"/>
    <w:rsid w:val="37EE7094"/>
    <w:rsid w:val="380F13E4"/>
    <w:rsid w:val="38296C89"/>
    <w:rsid w:val="382B0D8C"/>
    <w:rsid w:val="383002EB"/>
    <w:rsid w:val="38586797"/>
    <w:rsid w:val="386F2518"/>
    <w:rsid w:val="38A133CA"/>
    <w:rsid w:val="38B95AF4"/>
    <w:rsid w:val="38BC0149"/>
    <w:rsid w:val="38D87D1C"/>
    <w:rsid w:val="38E24E6D"/>
    <w:rsid w:val="390F59A7"/>
    <w:rsid w:val="391F75A1"/>
    <w:rsid w:val="39636459"/>
    <w:rsid w:val="396B7F6C"/>
    <w:rsid w:val="39726E91"/>
    <w:rsid w:val="39B417A9"/>
    <w:rsid w:val="39FC5695"/>
    <w:rsid w:val="3A006D8E"/>
    <w:rsid w:val="3A3651E5"/>
    <w:rsid w:val="3A5D56A9"/>
    <w:rsid w:val="3A744481"/>
    <w:rsid w:val="3A7D6EE9"/>
    <w:rsid w:val="3A8C7BEF"/>
    <w:rsid w:val="3A906246"/>
    <w:rsid w:val="3AA600DC"/>
    <w:rsid w:val="3B2349B7"/>
    <w:rsid w:val="3B49624A"/>
    <w:rsid w:val="3B616CFF"/>
    <w:rsid w:val="3B6259F6"/>
    <w:rsid w:val="3B976654"/>
    <w:rsid w:val="3BC01EFC"/>
    <w:rsid w:val="3BCA786A"/>
    <w:rsid w:val="3BD31E2F"/>
    <w:rsid w:val="3BF15831"/>
    <w:rsid w:val="3C0A1E76"/>
    <w:rsid w:val="3C105946"/>
    <w:rsid w:val="3C471448"/>
    <w:rsid w:val="3C5F759A"/>
    <w:rsid w:val="3C6C525A"/>
    <w:rsid w:val="3CCE23CB"/>
    <w:rsid w:val="3CD17D17"/>
    <w:rsid w:val="3CD22527"/>
    <w:rsid w:val="3D3C7F39"/>
    <w:rsid w:val="3D440F09"/>
    <w:rsid w:val="3D4504A0"/>
    <w:rsid w:val="3D8734BB"/>
    <w:rsid w:val="3D9A11D4"/>
    <w:rsid w:val="3DA16D89"/>
    <w:rsid w:val="3DA364BE"/>
    <w:rsid w:val="3DC42E23"/>
    <w:rsid w:val="3DE041CB"/>
    <w:rsid w:val="3E0D48F6"/>
    <w:rsid w:val="3E1868B4"/>
    <w:rsid w:val="3E377251"/>
    <w:rsid w:val="3E42664B"/>
    <w:rsid w:val="3E5A7334"/>
    <w:rsid w:val="3E7B5D6B"/>
    <w:rsid w:val="3E843E66"/>
    <w:rsid w:val="3E8F51FE"/>
    <w:rsid w:val="3E926F87"/>
    <w:rsid w:val="3E977718"/>
    <w:rsid w:val="3E9A59DE"/>
    <w:rsid w:val="3EAF4836"/>
    <w:rsid w:val="3EC33DFA"/>
    <w:rsid w:val="3F060E16"/>
    <w:rsid w:val="3F1D1096"/>
    <w:rsid w:val="3F2F0234"/>
    <w:rsid w:val="3F6363FE"/>
    <w:rsid w:val="3F756B8F"/>
    <w:rsid w:val="3F95482B"/>
    <w:rsid w:val="40063892"/>
    <w:rsid w:val="4019356B"/>
    <w:rsid w:val="4051225E"/>
    <w:rsid w:val="40592157"/>
    <w:rsid w:val="406E1CAE"/>
    <w:rsid w:val="4077259B"/>
    <w:rsid w:val="40A0133A"/>
    <w:rsid w:val="40C31A53"/>
    <w:rsid w:val="40EC69E5"/>
    <w:rsid w:val="40F00C7A"/>
    <w:rsid w:val="40FF545D"/>
    <w:rsid w:val="410067C8"/>
    <w:rsid w:val="418F0D2A"/>
    <w:rsid w:val="41D01505"/>
    <w:rsid w:val="41E8793D"/>
    <w:rsid w:val="42474939"/>
    <w:rsid w:val="424C3C57"/>
    <w:rsid w:val="42613FF3"/>
    <w:rsid w:val="42660D96"/>
    <w:rsid w:val="428667D2"/>
    <w:rsid w:val="42CD1CE0"/>
    <w:rsid w:val="42E1381E"/>
    <w:rsid w:val="42ED6459"/>
    <w:rsid w:val="42FE58DD"/>
    <w:rsid w:val="43174B3D"/>
    <w:rsid w:val="43305BDB"/>
    <w:rsid w:val="434B790E"/>
    <w:rsid w:val="4360274F"/>
    <w:rsid w:val="43801E9E"/>
    <w:rsid w:val="43977AB6"/>
    <w:rsid w:val="43A3342B"/>
    <w:rsid w:val="43B94885"/>
    <w:rsid w:val="43C77C27"/>
    <w:rsid w:val="43DE09EE"/>
    <w:rsid w:val="43FD656D"/>
    <w:rsid w:val="44002FAD"/>
    <w:rsid w:val="447F0BB3"/>
    <w:rsid w:val="449101DD"/>
    <w:rsid w:val="44DE1391"/>
    <w:rsid w:val="451B225C"/>
    <w:rsid w:val="452410C9"/>
    <w:rsid w:val="452777D3"/>
    <w:rsid w:val="45317DFB"/>
    <w:rsid w:val="45372D3C"/>
    <w:rsid w:val="456D3CE4"/>
    <w:rsid w:val="4579042C"/>
    <w:rsid w:val="457F0571"/>
    <w:rsid w:val="45851176"/>
    <w:rsid w:val="45C63B94"/>
    <w:rsid w:val="45D4488A"/>
    <w:rsid w:val="460E7DA5"/>
    <w:rsid w:val="46422483"/>
    <w:rsid w:val="4659254A"/>
    <w:rsid w:val="465B0637"/>
    <w:rsid w:val="465E3F0D"/>
    <w:rsid w:val="466A16E6"/>
    <w:rsid w:val="46893F2B"/>
    <w:rsid w:val="46C4686E"/>
    <w:rsid w:val="46C74C11"/>
    <w:rsid w:val="473B4EB7"/>
    <w:rsid w:val="477B778F"/>
    <w:rsid w:val="478203EC"/>
    <w:rsid w:val="47B025FA"/>
    <w:rsid w:val="4809698F"/>
    <w:rsid w:val="4811697D"/>
    <w:rsid w:val="481464C5"/>
    <w:rsid w:val="487A3E25"/>
    <w:rsid w:val="488B5503"/>
    <w:rsid w:val="48937E21"/>
    <w:rsid w:val="489A0361"/>
    <w:rsid w:val="48B94FF3"/>
    <w:rsid w:val="48CC043D"/>
    <w:rsid w:val="48DE507F"/>
    <w:rsid w:val="48DF52F7"/>
    <w:rsid w:val="48E37AAB"/>
    <w:rsid w:val="48FD4B4C"/>
    <w:rsid w:val="490A68E0"/>
    <w:rsid w:val="491055FE"/>
    <w:rsid w:val="491205D7"/>
    <w:rsid w:val="494662F4"/>
    <w:rsid w:val="495F5B3E"/>
    <w:rsid w:val="496F77D7"/>
    <w:rsid w:val="497654FD"/>
    <w:rsid w:val="49B64211"/>
    <w:rsid w:val="49BF212F"/>
    <w:rsid w:val="49C33DC3"/>
    <w:rsid w:val="49F6167F"/>
    <w:rsid w:val="49F658DC"/>
    <w:rsid w:val="4A064FA0"/>
    <w:rsid w:val="4A16615C"/>
    <w:rsid w:val="4A4424D7"/>
    <w:rsid w:val="4A9D425B"/>
    <w:rsid w:val="4AB82D0F"/>
    <w:rsid w:val="4AEB7664"/>
    <w:rsid w:val="4AFD326F"/>
    <w:rsid w:val="4AFD7C19"/>
    <w:rsid w:val="4B0567D1"/>
    <w:rsid w:val="4B236AAE"/>
    <w:rsid w:val="4B707271"/>
    <w:rsid w:val="4B7707BE"/>
    <w:rsid w:val="4B7D2A4E"/>
    <w:rsid w:val="4B9739F7"/>
    <w:rsid w:val="4BAE490B"/>
    <w:rsid w:val="4BEE2503"/>
    <w:rsid w:val="4C0B4685"/>
    <w:rsid w:val="4C245A30"/>
    <w:rsid w:val="4C6D2EA0"/>
    <w:rsid w:val="4C82332A"/>
    <w:rsid w:val="4C9D6CFA"/>
    <w:rsid w:val="4CA56CF8"/>
    <w:rsid w:val="4CB6685F"/>
    <w:rsid w:val="4CC367FE"/>
    <w:rsid w:val="4D077F3C"/>
    <w:rsid w:val="4D123355"/>
    <w:rsid w:val="4D2A3B31"/>
    <w:rsid w:val="4D312C52"/>
    <w:rsid w:val="4D905305"/>
    <w:rsid w:val="4D964A72"/>
    <w:rsid w:val="4D9C1254"/>
    <w:rsid w:val="4D9D167F"/>
    <w:rsid w:val="4DD13A4C"/>
    <w:rsid w:val="4DEC0BDF"/>
    <w:rsid w:val="4E645923"/>
    <w:rsid w:val="4E793892"/>
    <w:rsid w:val="4E800872"/>
    <w:rsid w:val="4EC569ED"/>
    <w:rsid w:val="4ED50EA1"/>
    <w:rsid w:val="4EEC050C"/>
    <w:rsid w:val="4F104EC3"/>
    <w:rsid w:val="4F47354A"/>
    <w:rsid w:val="4F911C54"/>
    <w:rsid w:val="4FE625E0"/>
    <w:rsid w:val="4FF6130D"/>
    <w:rsid w:val="5021480F"/>
    <w:rsid w:val="50801E44"/>
    <w:rsid w:val="50962ECB"/>
    <w:rsid w:val="50A42E38"/>
    <w:rsid w:val="50A4577F"/>
    <w:rsid w:val="50B73D1F"/>
    <w:rsid w:val="50BD5BC9"/>
    <w:rsid w:val="50C11EEE"/>
    <w:rsid w:val="50E20111"/>
    <w:rsid w:val="50E97CFC"/>
    <w:rsid w:val="50FA4028"/>
    <w:rsid w:val="510D65B7"/>
    <w:rsid w:val="511157AB"/>
    <w:rsid w:val="513064AD"/>
    <w:rsid w:val="5142540C"/>
    <w:rsid w:val="518832C8"/>
    <w:rsid w:val="519942CA"/>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722A80"/>
    <w:rsid w:val="5397158E"/>
    <w:rsid w:val="53A82522"/>
    <w:rsid w:val="53B22A17"/>
    <w:rsid w:val="53CA1BA8"/>
    <w:rsid w:val="54013861"/>
    <w:rsid w:val="54487265"/>
    <w:rsid w:val="544D6070"/>
    <w:rsid w:val="54605E1E"/>
    <w:rsid w:val="54B3506A"/>
    <w:rsid w:val="54CA0D16"/>
    <w:rsid w:val="54DD4057"/>
    <w:rsid w:val="54E7490F"/>
    <w:rsid w:val="550764A4"/>
    <w:rsid w:val="550B2BF6"/>
    <w:rsid w:val="55214EB5"/>
    <w:rsid w:val="55364EFD"/>
    <w:rsid w:val="5541433F"/>
    <w:rsid w:val="555D4828"/>
    <w:rsid w:val="557A4C8B"/>
    <w:rsid w:val="557C1FAA"/>
    <w:rsid w:val="55852988"/>
    <w:rsid w:val="558931E1"/>
    <w:rsid w:val="55923347"/>
    <w:rsid w:val="55925180"/>
    <w:rsid w:val="559317CE"/>
    <w:rsid w:val="55983B1B"/>
    <w:rsid w:val="55A8376B"/>
    <w:rsid w:val="55CA021E"/>
    <w:rsid w:val="55DC29B6"/>
    <w:rsid w:val="55DD4241"/>
    <w:rsid w:val="563B3D0C"/>
    <w:rsid w:val="56516011"/>
    <w:rsid w:val="56644649"/>
    <w:rsid w:val="566B6D1E"/>
    <w:rsid w:val="57032A2C"/>
    <w:rsid w:val="570F5219"/>
    <w:rsid w:val="5734046C"/>
    <w:rsid w:val="575D12B5"/>
    <w:rsid w:val="57610A87"/>
    <w:rsid w:val="577B1140"/>
    <w:rsid w:val="577B7F21"/>
    <w:rsid w:val="577F181B"/>
    <w:rsid w:val="57921984"/>
    <w:rsid w:val="579737F0"/>
    <w:rsid w:val="57A42AC8"/>
    <w:rsid w:val="57AB7B30"/>
    <w:rsid w:val="57AF5251"/>
    <w:rsid w:val="57B26373"/>
    <w:rsid w:val="57B63F04"/>
    <w:rsid w:val="57CD20C2"/>
    <w:rsid w:val="57D675AB"/>
    <w:rsid w:val="57D95FDD"/>
    <w:rsid w:val="57F97FD0"/>
    <w:rsid w:val="58216521"/>
    <w:rsid w:val="584148E6"/>
    <w:rsid w:val="58662AAA"/>
    <w:rsid w:val="58917D2F"/>
    <w:rsid w:val="5894085C"/>
    <w:rsid w:val="58AE4F0C"/>
    <w:rsid w:val="58B85899"/>
    <w:rsid w:val="58E363A9"/>
    <w:rsid w:val="59540900"/>
    <w:rsid w:val="595E1678"/>
    <w:rsid w:val="596A2AF4"/>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552ABB"/>
    <w:rsid w:val="5C80234E"/>
    <w:rsid w:val="5C8A680C"/>
    <w:rsid w:val="5D0C4701"/>
    <w:rsid w:val="5D0F0395"/>
    <w:rsid w:val="5D221076"/>
    <w:rsid w:val="5D397964"/>
    <w:rsid w:val="5D5A391C"/>
    <w:rsid w:val="5D5F10C0"/>
    <w:rsid w:val="5D891B7B"/>
    <w:rsid w:val="5DAD38EE"/>
    <w:rsid w:val="5DD37ACB"/>
    <w:rsid w:val="5DF2148F"/>
    <w:rsid w:val="5E006862"/>
    <w:rsid w:val="5E0207B9"/>
    <w:rsid w:val="5E1834A1"/>
    <w:rsid w:val="5E261785"/>
    <w:rsid w:val="5E4A7017"/>
    <w:rsid w:val="5E552BBA"/>
    <w:rsid w:val="5E611C10"/>
    <w:rsid w:val="5EA01E97"/>
    <w:rsid w:val="5EF443EB"/>
    <w:rsid w:val="5EFC7377"/>
    <w:rsid w:val="5F06174D"/>
    <w:rsid w:val="5F0E25C0"/>
    <w:rsid w:val="5F195C54"/>
    <w:rsid w:val="5F3A3602"/>
    <w:rsid w:val="5F6277C6"/>
    <w:rsid w:val="5F6D0B1D"/>
    <w:rsid w:val="5F8154CA"/>
    <w:rsid w:val="5F8D0B82"/>
    <w:rsid w:val="5FCC5339"/>
    <w:rsid w:val="5FE34A5B"/>
    <w:rsid w:val="5FFE1E36"/>
    <w:rsid w:val="60232584"/>
    <w:rsid w:val="607330CE"/>
    <w:rsid w:val="60825176"/>
    <w:rsid w:val="609F2AC4"/>
    <w:rsid w:val="60A15A71"/>
    <w:rsid w:val="60AE4068"/>
    <w:rsid w:val="60FA2EE8"/>
    <w:rsid w:val="61054A27"/>
    <w:rsid w:val="610565CC"/>
    <w:rsid w:val="610A52BC"/>
    <w:rsid w:val="611D2366"/>
    <w:rsid w:val="612D1310"/>
    <w:rsid w:val="61421856"/>
    <w:rsid w:val="61433479"/>
    <w:rsid w:val="615227C4"/>
    <w:rsid w:val="61654E3F"/>
    <w:rsid w:val="6182292A"/>
    <w:rsid w:val="619F7F92"/>
    <w:rsid w:val="61F94C26"/>
    <w:rsid w:val="62000E56"/>
    <w:rsid w:val="624F3E49"/>
    <w:rsid w:val="62632286"/>
    <w:rsid w:val="62885958"/>
    <w:rsid w:val="62B2116D"/>
    <w:rsid w:val="62CA1147"/>
    <w:rsid w:val="62DF1C66"/>
    <w:rsid w:val="62F40B65"/>
    <w:rsid w:val="62FC2CFE"/>
    <w:rsid w:val="63024505"/>
    <w:rsid w:val="630B0AC6"/>
    <w:rsid w:val="633C5648"/>
    <w:rsid w:val="634B05F4"/>
    <w:rsid w:val="635B1DB5"/>
    <w:rsid w:val="635E7A0D"/>
    <w:rsid w:val="63711FED"/>
    <w:rsid w:val="63880DDC"/>
    <w:rsid w:val="638D750D"/>
    <w:rsid w:val="63AC6CC0"/>
    <w:rsid w:val="63D77FAB"/>
    <w:rsid w:val="64055776"/>
    <w:rsid w:val="64063AB3"/>
    <w:rsid w:val="64240056"/>
    <w:rsid w:val="64362342"/>
    <w:rsid w:val="643E143A"/>
    <w:rsid w:val="648B6EEF"/>
    <w:rsid w:val="64C158BF"/>
    <w:rsid w:val="64CE2EAA"/>
    <w:rsid w:val="653C3090"/>
    <w:rsid w:val="65854376"/>
    <w:rsid w:val="658767BE"/>
    <w:rsid w:val="65892531"/>
    <w:rsid w:val="66195831"/>
    <w:rsid w:val="661A6B22"/>
    <w:rsid w:val="662E75B1"/>
    <w:rsid w:val="66342C2E"/>
    <w:rsid w:val="663E784C"/>
    <w:rsid w:val="66882BAE"/>
    <w:rsid w:val="668B6A45"/>
    <w:rsid w:val="66C9076C"/>
    <w:rsid w:val="67096FE8"/>
    <w:rsid w:val="672F3F24"/>
    <w:rsid w:val="673E055F"/>
    <w:rsid w:val="67505A70"/>
    <w:rsid w:val="67551CE3"/>
    <w:rsid w:val="67A22552"/>
    <w:rsid w:val="67B22DCC"/>
    <w:rsid w:val="67BE71AA"/>
    <w:rsid w:val="67D90273"/>
    <w:rsid w:val="67DE5875"/>
    <w:rsid w:val="67E55852"/>
    <w:rsid w:val="67EB1AB4"/>
    <w:rsid w:val="67FA1285"/>
    <w:rsid w:val="683C25EE"/>
    <w:rsid w:val="684148DC"/>
    <w:rsid w:val="68551F4F"/>
    <w:rsid w:val="687A58F4"/>
    <w:rsid w:val="687C10C9"/>
    <w:rsid w:val="68840C16"/>
    <w:rsid w:val="68876EFB"/>
    <w:rsid w:val="68884654"/>
    <w:rsid w:val="689F444F"/>
    <w:rsid w:val="68AE394F"/>
    <w:rsid w:val="68B96DBB"/>
    <w:rsid w:val="68CA2805"/>
    <w:rsid w:val="68E937A3"/>
    <w:rsid w:val="693E15D3"/>
    <w:rsid w:val="695E67EF"/>
    <w:rsid w:val="69627681"/>
    <w:rsid w:val="6977531D"/>
    <w:rsid w:val="69CC2BFF"/>
    <w:rsid w:val="69E36A09"/>
    <w:rsid w:val="69FD55B8"/>
    <w:rsid w:val="6A0B1C62"/>
    <w:rsid w:val="6A2406C8"/>
    <w:rsid w:val="6A62322A"/>
    <w:rsid w:val="6ADE0BD1"/>
    <w:rsid w:val="6AE96859"/>
    <w:rsid w:val="6B082B34"/>
    <w:rsid w:val="6B0A0E04"/>
    <w:rsid w:val="6B147746"/>
    <w:rsid w:val="6B24787C"/>
    <w:rsid w:val="6B573233"/>
    <w:rsid w:val="6B5B6274"/>
    <w:rsid w:val="6B6265A7"/>
    <w:rsid w:val="6B836B77"/>
    <w:rsid w:val="6B935D53"/>
    <w:rsid w:val="6BA32372"/>
    <w:rsid w:val="6BAC190D"/>
    <w:rsid w:val="6C196F71"/>
    <w:rsid w:val="6C226FCB"/>
    <w:rsid w:val="6C31226F"/>
    <w:rsid w:val="6C552F0B"/>
    <w:rsid w:val="6C8C67B7"/>
    <w:rsid w:val="6C9D744C"/>
    <w:rsid w:val="6D167928"/>
    <w:rsid w:val="6D26299B"/>
    <w:rsid w:val="6D2A25C0"/>
    <w:rsid w:val="6D4772EC"/>
    <w:rsid w:val="6D8E547A"/>
    <w:rsid w:val="6D9078AF"/>
    <w:rsid w:val="6DAA3FEF"/>
    <w:rsid w:val="6DC0172B"/>
    <w:rsid w:val="6DCB690C"/>
    <w:rsid w:val="6DD41A5B"/>
    <w:rsid w:val="6DF43C2E"/>
    <w:rsid w:val="6DF51CA3"/>
    <w:rsid w:val="6E3D6323"/>
    <w:rsid w:val="6E461138"/>
    <w:rsid w:val="6E8335BD"/>
    <w:rsid w:val="6E8E12EF"/>
    <w:rsid w:val="6E972936"/>
    <w:rsid w:val="6EBD1212"/>
    <w:rsid w:val="6ED446C5"/>
    <w:rsid w:val="6F2A7D94"/>
    <w:rsid w:val="6F8331F1"/>
    <w:rsid w:val="6FAE1A09"/>
    <w:rsid w:val="6FCD7CEE"/>
    <w:rsid w:val="6FD75BF8"/>
    <w:rsid w:val="704C09AB"/>
    <w:rsid w:val="707661C8"/>
    <w:rsid w:val="707723D0"/>
    <w:rsid w:val="7082475B"/>
    <w:rsid w:val="70F5661B"/>
    <w:rsid w:val="712A5675"/>
    <w:rsid w:val="71360107"/>
    <w:rsid w:val="713B688E"/>
    <w:rsid w:val="7191426F"/>
    <w:rsid w:val="71915A34"/>
    <w:rsid w:val="71B109DA"/>
    <w:rsid w:val="71D43752"/>
    <w:rsid w:val="71F1796A"/>
    <w:rsid w:val="72154626"/>
    <w:rsid w:val="72262B5D"/>
    <w:rsid w:val="72283FF7"/>
    <w:rsid w:val="722E7212"/>
    <w:rsid w:val="723A0474"/>
    <w:rsid w:val="725923E4"/>
    <w:rsid w:val="7272464C"/>
    <w:rsid w:val="72864BF7"/>
    <w:rsid w:val="729023FC"/>
    <w:rsid w:val="72C0229E"/>
    <w:rsid w:val="72D839E4"/>
    <w:rsid w:val="7349576A"/>
    <w:rsid w:val="73612AA8"/>
    <w:rsid w:val="73C0646E"/>
    <w:rsid w:val="742222F5"/>
    <w:rsid w:val="742C3224"/>
    <w:rsid w:val="74476126"/>
    <w:rsid w:val="746E43AB"/>
    <w:rsid w:val="74706664"/>
    <w:rsid w:val="747F3682"/>
    <w:rsid w:val="749C4185"/>
    <w:rsid w:val="74C14836"/>
    <w:rsid w:val="75067759"/>
    <w:rsid w:val="752E6DCD"/>
    <w:rsid w:val="754431B0"/>
    <w:rsid w:val="7551380D"/>
    <w:rsid w:val="75600BE5"/>
    <w:rsid w:val="7564475C"/>
    <w:rsid w:val="75730D83"/>
    <w:rsid w:val="757E351B"/>
    <w:rsid w:val="7583797F"/>
    <w:rsid w:val="759110FC"/>
    <w:rsid w:val="75D20F1D"/>
    <w:rsid w:val="75DA2C18"/>
    <w:rsid w:val="75F54412"/>
    <w:rsid w:val="761D08E0"/>
    <w:rsid w:val="765D347C"/>
    <w:rsid w:val="76826699"/>
    <w:rsid w:val="76BC7AC3"/>
    <w:rsid w:val="76C87133"/>
    <w:rsid w:val="76CD08D5"/>
    <w:rsid w:val="76DB4B92"/>
    <w:rsid w:val="77052AA4"/>
    <w:rsid w:val="77136511"/>
    <w:rsid w:val="77340A39"/>
    <w:rsid w:val="77351FD0"/>
    <w:rsid w:val="77472422"/>
    <w:rsid w:val="777F31F2"/>
    <w:rsid w:val="77926FBD"/>
    <w:rsid w:val="77BE63F3"/>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67586B"/>
    <w:rsid w:val="7AAB1D04"/>
    <w:rsid w:val="7ABA4368"/>
    <w:rsid w:val="7AC8607D"/>
    <w:rsid w:val="7AD05746"/>
    <w:rsid w:val="7B257FFD"/>
    <w:rsid w:val="7B320217"/>
    <w:rsid w:val="7B343476"/>
    <w:rsid w:val="7B5A2978"/>
    <w:rsid w:val="7B5A7E4C"/>
    <w:rsid w:val="7B667AF9"/>
    <w:rsid w:val="7B7468F8"/>
    <w:rsid w:val="7B915934"/>
    <w:rsid w:val="7B9C7952"/>
    <w:rsid w:val="7B9D4BAB"/>
    <w:rsid w:val="7BEB5610"/>
    <w:rsid w:val="7BEB6E19"/>
    <w:rsid w:val="7BEE0103"/>
    <w:rsid w:val="7C0A0FE4"/>
    <w:rsid w:val="7C254906"/>
    <w:rsid w:val="7C590818"/>
    <w:rsid w:val="7C6A19BC"/>
    <w:rsid w:val="7C7C10F6"/>
    <w:rsid w:val="7C853BEA"/>
    <w:rsid w:val="7C881368"/>
    <w:rsid w:val="7CC227B6"/>
    <w:rsid w:val="7CC641A2"/>
    <w:rsid w:val="7CD93F39"/>
    <w:rsid w:val="7CE27788"/>
    <w:rsid w:val="7D096B1B"/>
    <w:rsid w:val="7D0C32F1"/>
    <w:rsid w:val="7D0F408D"/>
    <w:rsid w:val="7D491C6C"/>
    <w:rsid w:val="7D5429C0"/>
    <w:rsid w:val="7D6E6D43"/>
    <w:rsid w:val="7D7A6C7E"/>
    <w:rsid w:val="7DB57A34"/>
    <w:rsid w:val="7DE60973"/>
    <w:rsid w:val="7DEF0916"/>
    <w:rsid w:val="7E1E5218"/>
    <w:rsid w:val="7E967BEE"/>
    <w:rsid w:val="7E9A4E1F"/>
    <w:rsid w:val="7EA7723A"/>
    <w:rsid w:val="7EAD4D2C"/>
    <w:rsid w:val="7EF56FBB"/>
    <w:rsid w:val="7F0768EB"/>
    <w:rsid w:val="7F143BEC"/>
    <w:rsid w:val="7F350A13"/>
    <w:rsid w:val="7F715AF2"/>
    <w:rsid w:val="7F886E69"/>
    <w:rsid w:val="7FAE2EE2"/>
    <w:rsid w:val="7FF50432"/>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6">
    <w:name w:val="Normal Indent"/>
    <w:basedOn w:val="1"/>
    <w:link w:val="81"/>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8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89"/>
    <w:qFormat/>
    <w:uiPriority w:val="0"/>
    <w:pPr>
      <w:shd w:val="clear" w:color="auto" w:fill="000080"/>
    </w:pPr>
  </w:style>
  <w:style w:type="paragraph" w:styleId="20">
    <w:name w:val="annotation text"/>
    <w:basedOn w:val="1"/>
    <w:link w:val="90"/>
    <w:qFormat/>
    <w:uiPriority w:val="99"/>
    <w:pPr>
      <w:jc w:val="left"/>
    </w:pPr>
  </w:style>
  <w:style w:type="paragraph" w:styleId="21">
    <w:name w:val="Salutation"/>
    <w:basedOn w:val="1"/>
    <w:next w:val="1"/>
    <w:link w:val="91"/>
    <w:qFormat/>
    <w:uiPriority w:val="0"/>
    <w:rPr>
      <w:rFonts w:ascii="仿宋_GB2312" w:eastAsia="仿宋_GB2312"/>
      <w:sz w:val="28"/>
      <w:szCs w:val="20"/>
    </w:rPr>
  </w:style>
  <w:style w:type="paragraph" w:styleId="22">
    <w:name w:val="Body Text 3"/>
    <w:basedOn w:val="1"/>
    <w:link w:val="92"/>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93"/>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
    <w:link w:val="94"/>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95"/>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96"/>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97"/>
    <w:qFormat/>
    <w:uiPriority w:val="0"/>
    <w:pPr>
      <w:ind w:left="100" w:leftChars="2500"/>
    </w:pPr>
    <w:rPr>
      <w:rFonts w:ascii="宋体"/>
      <w:sz w:val="24"/>
      <w:szCs w:val="21"/>
      <w:lang w:val="zh-CN"/>
    </w:rPr>
  </w:style>
  <w:style w:type="paragraph" w:styleId="37">
    <w:name w:val="Body Text Indent 2"/>
    <w:basedOn w:val="1"/>
    <w:link w:val="98"/>
    <w:qFormat/>
    <w:uiPriority w:val="0"/>
    <w:pPr>
      <w:spacing w:line="360" w:lineRule="auto"/>
      <w:ind w:firstLine="601"/>
      <w:textAlignment w:val="baseline"/>
    </w:pPr>
    <w:rPr>
      <w:rFonts w:ascii="宋体"/>
      <w:kern w:val="0"/>
      <w:sz w:val="28"/>
      <w:szCs w:val="20"/>
    </w:rPr>
  </w:style>
  <w:style w:type="paragraph" w:styleId="38">
    <w:name w:val="endnote text"/>
    <w:basedOn w:val="1"/>
    <w:link w:val="99"/>
    <w:qFormat/>
    <w:uiPriority w:val="0"/>
    <w:rPr>
      <w:lang w:val="zh-CN"/>
    </w:rPr>
  </w:style>
  <w:style w:type="paragraph" w:styleId="39">
    <w:name w:val="Balloon Text"/>
    <w:basedOn w:val="1"/>
    <w:link w:val="100"/>
    <w:qFormat/>
    <w:uiPriority w:val="99"/>
    <w:rPr>
      <w:sz w:val="18"/>
      <w:szCs w:val="18"/>
    </w:rPr>
  </w:style>
  <w:style w:type="paragraph" w:styleId="40">
    <w:name w:val="footer"/>
    <w:basedOn w:val="1"/>
    <w:link w:val="101"/>
    <w:qFormat/>
    <w:uiPriority w:val="99"/>
    <w:pPr>
      <w:tabs>
        <w:tab w:val="center" w:pos="4153"/>
        <w:tab w:val="right" w:pos="8306"/>
      </w:tabs>
      <w:snapToGrid w:val="0"/>
      <w:jc w:val="left"/>
    </w:pPr>
    <w:rPr>
      <w:sz w:val="18"/>
      <w:szCs w:val="18"/>
    </w:rPr>
  </w:style>
  <w:style w:type="paragraph" w:styleId="41">
    <w:name w:val="header"/>
    <w:basedOn w:val="1"/>
    <w:link w:val="102"/>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0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105"/>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106"/>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107"/>
    <w:qFormat/>
    <w:uiPriority w:val="0"/>
    <w:pPr>
      <w:spacing w:after="120" w:line="480" w:lineRule="auto"/>
    </w:pPr>
  </w:style>
  <w:style w:type="paragraph" w:styleId="57">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09"/>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110"/>
    <w:qFormat/>
    <w:uiPriority w:val="0"/>
    <w:rPr>
      <w:b/>
      <w:bCs/>
    </w:rPr>
  </w:style>
  <w:style w:type="paragraph" w:styleId="61">
    <w:name w:val="Body Text First Indent"/>
    <w:basedOn w:val="24"/>
    <w:link w:val="111"/>
    <w:qFormat/>
    <w:uiPriority w:val="0"/>
    <w:pPr>
      <w:ind w:firstLine="420"/>
    </w:pPr>
    <w:rPr>
      <w:rFonts w:hAnsi="Calibri" w:cs="Times New Roman"/>
      <w:snapToGrid/>
      <w:szCs w:val="20"/>
    </w:rPr>
  </w:style>
  <w:style w:type="paragraph" w:styleId="62">
    <w:name w:val="Body Text First Indent 2"/>
    <w:basedOn w:val="25"/>
    <w:link w:val="112"/>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标题 1 字符1"/>
    <w:link w:val="3"/>
    <w:qFormat/>
    <w:uiPriority w:val="9"/>
    <w:rPr>
      <w:b/>
      <w:bCs/>
      <w:kern w:val="44"/>
      <w:sz w:val="44"/>
      <w:szCs w:val="44"/>
    </w:rPr>
  </w:style>
  <w:style w:type="character" w:customStyle="1" w:styleId="81">
    <w:name w:val="正文缩进 字符2"/>
    <w:link w:val="6"/>
    <w:qFormat/>
    <w:uiPriority w:val="0"/>
    <w:rPr>
      <w:rFonts w:ascii="宋体" w:eastAsia="宋体"/>
      <w:snapToGrid w:val="0"/>
      <w:color w:val="000000"/>
      <w:kern w:val="28"/>
      <w:sz w:val="28"/>
      <w:lang w:val="en-US" w:eastAsia="zh-CN" w:bidi="ar-SA"/>
    </w:rPr>
  </w:style>
  <w:style w:type="character" w:customStyle="1" w:styleId="82">
    <w:name w:val="标题 4 字符1"/>
    <w:link w:val="7"/>
    <w:qFormat/>
    <w:uiPriority w:val="9"/>
    <w:rPr>
      <w:rFonts w:ascii="Arial" w:hAnsi="Arial" w:eastAsia="黑体"/>
      <w:b/>
      <w:bCs/>
      <w:kern w:val="2"/>
      <w:sz w:val="28"/>
      <w:szCs w:val="28"/>
      <w:lang w:val="zh-CN"/>
    </w:rPr>
  </w:style>
  <w:style w:type="character" w:customStyle="1" w:styleId="83">
    <w:name w:val="标题 5 字符"/>
    <w:link w:val="8"/>
    <w:qFormat/>
    <w:uiPriority w:val="9"/>
    <w:rPr>
      <w:b/>
      <w:bCs/>
      <w:kern w:val="2"/>
      <w:sz w:val="28"/>
      <w:szCs w:val="28"/>
    </w:rPr>
  </w:style>
  <w:style w:type="character" w:customStyle="1" w:styleId="84">
    <w:name w:val="标题 6 字符"/>
    <w:link w:val="9"/>
    <w:qFormat/>
    <w:uiPriority w:val="0"/>
    <w:rPr>
      <w:rFonts w:ascii="Arial" w:hAnsi="Arial" w:eastAsia="黑体"/>
      <w:b/>
      <w:bCs/>
      <w:kern w:val="2"/>
      <w:sz w:val="24"/>
      <w:szCs w:val="24"/>
    </w:rPr>
  </w:style>
  <w:style w:type="character" w:customStyle="1" w:styleId="85">
    <w:name w:val="标题 7 字符"/>
    <w:link w:val="10"/>
    <w:qFormat/>
    <w:uiPriority w:val="0"/>
    <w:rPr>
      <w:b/>
      <w:bCs/>
      <w:kern w:val="2"/>
      <w:sz w:val="24"/>
      <w:szCs w:val="24"/>
    </w:rPr>
  </w:style>
  <w:style w:type="character" w:customStyle="1" w:styleId="86">
    <w:name w:val="标题 8 字符"/>
    <w:link w:val="11"/>
    <w:qFormat/>
    <w:uiPriority w:val="0"/>
    <w:rPr>
      <w:rFonts w:ascii="Arial" w:hAnsi="Arial" w:eastAsia="黑体"/>
      <w:kern w:val="2"/>
      <w:sz w:val="24"/>
      <w:szCs w:val="24"/>
    </w:rPr>
  </w:style>
  <w:style w:type="character" w:customStyle="1" w:styleId="87">
    <w:name w:val="标题 9 字符"/>
    <w:link w:val="12"/>
    <w:qFormat/>
    <w:uiPriority w:val="0"/>
    <w:rPr>
      <w:rFonts w:ascii="Arial" w:hAnsi="Arial" w:eastAsia="黑体"/>
      <w:kern w:val="2"/>
      <w:sz w:val="21"/>
      <w:szCs w:val="21"/>
    </w:rPr>
  </w:style>
  <w:style w:type="character" w:customStyle="1" w:styleId="88">
    <w:name w:val="题注 字符"/>
    <w:link w:val="17"/>
    <w:qFormat/>
    <w:uiPriority w:val="0"/>
    <w:rPr>
      <w:b/>
      <w:kern w:val="2"/>
      <w:sz w:val="28"/>
    </w:rPr>
  </w:style>
  <w:style w:type="character" w:customStyle="1" w:styleId="89">
    <w:name w:val="文档结构图 字符"/>
    <w:link w:val="19"/>
    <w:qFormat/>
    <w:uiPriority w:val="0"/>
    <w:rPr>
      <w:kern w:val="2"/>
      <w:sz w:val="21"/>
      <w:szCs w:val="24"/>
      <w:shd w:val="clear" w:color="auto" w:fill="000080"/>
    </w:rPr>
  </w:style>
  <w:style w:type="character" w:customStyle="1" w:styleId="90">
    <w:name w:val="批注文字 字符1"/>
    <w:link w:val="20"/>
    <w:qFormat/>
    <w:uiPriority w:val="0"/>
    <w:rPr>
      <w:kern w:val="2"/>
      <w:sz w:val="21"/>
      <w:szCs w:val="24"/>
    </w:rPr>
  </w:style>
  <w:style w:type="character" w:customStyle="1" w:styleId="91">
    <w:name w:val="称呼 字符"/>
    <w:link w:val="21"/>
    <w:qFormat/>
    <w:uiPriority w:val="0"/>
    <w:rPr>
      <w:rFonts w:ascii="仿宋_GB2312" w:eastAsia="仿宋_GB2312"/>
      <w:kern w:val="2"/>
      <w:sz w:val="28"/>
    </w:rPr>
  </w:style>
  <w:style w:type="character" w:customStyle="1" w:styleId="92">
    <w:name w:val="正文文本 3 字符"/>
    <w:link w:val="22"/>
    <w:qFormat/>
    <w:uiPriority w:val="0"/>
    <w:rPr>
      <w:kern w:val="2"/>
      <w:sz w:val="21"/>
    </w:rPr>
  </w:style>
  <w:style w:type="character" w:customStyle="1" w:styleId="93">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94">
    <w:name w:val="正文文本缩进 字符1"/>
    <w:link w:val="25"/>
    <w:qFormat/>
    <w:uiPriority w:val="0"/>
    <w:rPr>
      <w:rFonts w:ascii="宋体" w:hAnsi="宋体"/>
      <w:kern w:val="2"/>
      <w:sz w:val="24"/>
      <w:szCs w:val="24"/>
    </w:rPr>
  </w:style>
  <w:style w:type="character" w:customStyle="1" w:styleId="95">
    <w:name w:val="HTML 地址 字符"/>
    <w:link w:val="30"/>
    <w:qFormat/>
    <w:uiPriority w:val="0"/>
    <w:rPr>
      <w:rFonts w:ascii="宋体" w:hAnsi="宋体"/>
      <w:i/>
      <w:iCs/>
      <w:sz w:val="24"/>
      <w:szCs w:val="24"/>
    </w:rPr>
  </w:style>
  <w:style w:type="character" w:customStyle="1" w:styleId="96">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97">
    <w:name w:val="日期 字符"/>
    <w:link w:val="36"/>
    <w:qFormat/>
    <w:uiPriority w:val="0"/>
    <w:rPr>
      <w:rFonts w:ascii="宋体"/>
      <w:kern w:val="2"/>
      <w:sz w:val="24"/>
      <w:szCs w:val="21"/>
      <w:lang w:val="zh-CN"/>
    </w:rPr>
  </w:style>
  <w:style w:type="character" w:customStyle="1" w:styleId="98">
    <w:name w:val="正文文本缩进 2 字符"/>
    <w:link w:val="37"/>
    <w:qFormat/>
    <w:uiPriority w:val="0"/>
    <w:rPr>
      <w:rFonts w:ascii="宋体"/>
      <w:sz w:val="28"/>
    </w:rPr>
  </w:style>
  <w:style w:type="character" w:customStyle="1" w:styleId="99">
    <w:name w:val="尾注文本 字符"/>
    <w:link w:val="38"/>
    <w:qFormat/>
    <w:uiPriority w:val="0"/>
    <w:rPr>
      <w:kern w:val="2"/>
      <w:sz w:val="21"/>
      <w:szCs w:val="24"/>
      <w:lang w:val="zh-CN"/>
    </w:rPr>
  </w:style>
  <w:style w:type="character" w:customStyle="1" w:styleId="100">
    <w:name w:val="批注框文本 字符1"/>
    <w:link w:val="39"/>
    <w:qFormat/>
    <w:uiPriority w:val="0"/>
    <w:rPr>
      <w:kern w:val="2"/>
      <w:sz w:val="18"/>
      <w:szCs w:val="18"/>
    </w:rPr>
  </w:style>
  <w:style w:type="character" w:customStyle="1" w:styleId="101">
    <w:name w:val="页脚 字符2"/>
    <w:link w:val="40"/>
    <w:qFormat/>
    <w:locked/>
    <w:uiPriority w:val="99"/>
    <w:rPr>
      <w:kern w:val="2"/>
      <w:sz w:val="18"/>
      <w:szCs w:val="18"/>
    </w:rPr>
  </w:style>
  <w:style w:type="character" w:customStyle="1" w:styleId="102">
    <w:name w:val="页眉 字符2"/>
    <w:link w:val="41"/>
    <w:qFormat/>
    <w:uiPriority w:val="99"/>
    <w:rPr>
      <w:kern w:val="2"/>
      <w:sz w:val="18"/>
      <w:szCs w:val="18"/>
    </w:rPr>
  </w:style>
  <w:style w:type="character" w:customStyle="1" w:styleId="103">
    <w:name w:val="签名 字符"/>
    <w:link w:val="42"/>
    <w:qFormat/>
    <w:uiPriority w:val="0"/>
    <w:rPr>
      <w:rFonts w:eastAsia="仿宋_GB2312"/>
      <w:sz w:val="24"/>
    </w:rPr>
  </w:style>
  <w:style w:type="character" w:customStyle="1" w:styleId="104">
    <w:name w:val="副标题 字符"/>
    <w:link w:val="47"/>
    <w:qFormat/>
    <w:uiPriority w:val="0"/>
    <w:rPr>
      <w:rFonts w:ascii="Arial" w:hAnsi="Arial" w:eastAsia="隶书"/>
      <w:b/>
      <w:bCs/>
      <w:kern w:val="28"/>
      <w:sz w:val="44"/>
      <w:szCs w:val="32"/>
      <w:lang w:val="en-US" w:eastAsia="zh-CN" w:bidi="ar-SA"/>
    </w:rPr>
  </w:style>
  <w:style w:type="character" w:customStyle="1" w:styleId="105">
    <w:name w:val="脚注文本 字符"/>
    <w:link w:val="50"/>
    <w:qFormat/>
    <w:uiPriority w:val="0"/>
    <w:rPr>
      <w:color w:val="0000FF"/>
      <w:sz w:val="21"/>
    </w:rPr>
  </w:style>
  <w:style w:type="character" w:customStyle="1" w:styleId="106">
    <w:name w:val="正文文本缩进 3 字符"/>
    <w:link w:val="53"/>
    <w:qFormat/>
    <w:uiPriority w:val="0"/>
    <w:rPr>
      <w:kern w:val="2"/>
      <w:sz w:val="24"/>
    </w:rPr>
  </w:style>
  <w:style w:type="character" w:customStyle="1" w:styleId="107">
    <w:name w:val="正文文本 2 字符1"/>
    <w:link w:val="56"/>
    <w:qFormat/>
    <w:uiPriority w:val="0"/>
    <w:rPr>
      <w:kern w:val="2"/>
      <w:sz w:val="21"/>
      <w:szCs w:val="24"/>
    </w:rPr>
  </w:style>
  <w:style w:type="character" w:customStyle="1" w:styleId="108">
    <w:name w:val="HTML 预设格式 字符"/>
    <w:link w:val="57"/>
    <w:qFormat/>
    <w:uiPriority w:val="0"/>
    <w:rPr>
      <w:rFonts w:ascii="黑体" w:hAnsi="Courier New" w:eastAsia="黑体"/>
    </w:rPr>
  </w:style>
  <w:style w:type="character" w:customStyle="1" w:styleId="109">
    <w:name w:val="标题 字符"/>
    <w:link w:val="59"/>
    <w:qFormat/>
    <w:uiPriority w:val="10"/>
    <w:rPr>
      <w:b/>
      <w:sz w:val="24"/>
      <w:lang w:val="en-GB"/>
    </w:rPr>
  </w:style>
  <w:style w:type="character" w:customStyle="1" w:styleId="110">
    <w:name w:val="批注主题 字符"/>
    <w:link w:val="60"/>
    <w:qFormat/>
    <w:uiPriority w:val="0"/>
    <w:rPr>
      <w:b/>
      <w:bCs/>
      <w:kern w:val="2"/>
      <w:sz w:val="21"/>
      <w:szCs w:val="24"/>
    </w:rPr>
  </w:style>
  <w:style w:type="character" w:customStyle="1" w:styleId="111">
    <w:name w:val="正文文本首行缩进 字符"/>
    <w:link w:val="61"/>
    <w:qFormat/>
    <w:uiPriority w:val="0"/>
    <w:rPr>
      <w:rFonts w:ascii="宋体"/>
      <w:kern w:val="2"/>
      <w:sz w:val="24"/>
      <w:lang w:val="zh-CN"/>
    </w:rPr>
  </w:style>
  <w:style w:type="character" w:customStyle="1" w:styleId="112">
    <w:name w:val="正文文本首行缩进 2 字符"/>
    <w:link w:val="62"/>
    <w:qFormat/>
    <w:uiPriority w:val="0"/>
    <w:rPr>
      <w:rFonts w:ascii="宋体" w:hAnsi="宋体"/>
      <w:kern w:val="2"/>
      <w:sz w:val="21"/>
      <w:szCs w:val="24"/>
    </w:rPr>
  </w:style>
  <w:style w:type="character" w:customStyle="1" w:styleId="113">
    <w:name w:val="表格非标题文字 Char"/>
    <w:link w:val="114"/>
    <w:qFormat/>
    <w:uiPriority w:val="0"/>
    <w:rPr>
      <w:rFonts w:ascii="Futura Bk" w:hAnsi="Futura Bk"/>
      <w:kern w:val="2"/>
      <w:sz w:val="18"/>
      <w:szCs w:val="21"/>
      <w:lang w:val="en-US" w:eastAsia="zh-CN" w:bidi="ar-SA"/>
    </w:rPr>
  </w:style>
  <w:style w:type="paragraph" w:customStyle="1" w:styleId="114">
    <w:name w:val="表格非标题文字"/>
    <w:link w:val="11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qFormat/>
    <w:locked/>
    <w:uiPriority w:val="0"/>
    <w:rPr>
      <w:rFonts w:ascii="宋体" w:hAnsi="宋体"/>
      <w:sz w:val="24"/>
    </w:rPr>
  </w:style>
  <w:style w:type="paragraph" w:customStyle="1" w:styleId="116">
    <w:name w:val="*正文"/>
    <w:basedOn w:val="1"/>
    <w:link w:val="115"/>
    <w:qFormat/>
    <w:uiPriority w:val="0"/>
    <w:pPr>
      <w:snapToGrid w:val="0"/>
      <w:spacing w:line="360" w:lineRule="auto"/>
      <w:ind w:firstLine="482"/>
      <w:jc w:val="left"/>
    </w:pPr>
    <w:rPr>
      <w:rFonts w:ascii="宋体" w:hAnsi="宋体"/>
      <w:kern w:val="0"/>
      <w:sz w:val="24"/>
      <w:szCs w:val="20"/>
    </w:rPr>
  </w:style>
  <w:style w:type="character" w:customStyle="1" w:styleId="117">
    <w:name w:val="Char Char71"/>
    <w:semiHidden/>
    <w:qFormat/>
    <w:uiPriority w:val="0"/>
    <w:rPr>
      <w:rFonts w:eastAsia="宋体"/>
      <w:kern w:val="2"/>
      <w:sz w:val="21"/>
      <w:szCs w:val="24"/>
      <w:lang w:val="en-US" w:eastAsia="zh-CN" w:bidi="ar-SA"/>
    </w:rPr>
  </w:style>
  <w:style w:type="character" w:customStyle="1" w:styleId="118">
    <w:name w:val="Char Char6"/>
    <w:qFormat/>
    <w:uiPriority w:val="0"/>
    <w:rPr>
      <w:rFonts w:eastAsia="宋体"/>
      <w:kern w:val="2"/>
      <w:sz w:val="21"/>
      <w:szCs w:val="24"/>
      <w:lang w:val="en-US" w:eastAsia="zh-CN" w:bidi="ar-SA"/>
    </w:rPr>
  </w:style>
  <w:style w:type="character" w:customStyle="1" w:styleId="119">
    <w:name w:val="正文缩进 Char"/>
    <w:qFormat/>
    <w:uiPriority w:val="0"/>
    <w:rPr>
      <w:rFonts w:eastAsia="宋体"/>
      <w:kern w:val="2"/>
      <w:sz w:val="21"/>
      <w:lang w:val="en-US" w:eastAsia="zh-CN"/>
    </w:rPr>
  </w:style>
  <w:style w:type="character" w:customStyle="1" w:styleId="120">
    <w:name w:val="正文首行缩进 Char1"/>
    <w:qFormat/>
    <w:uiPriority w:val="0"/>
    <w:rPr>
      <w:rFonts w:ascii="宋体" w:hAnsi="Times New Roman" w:eastAsia="宋体" w:cs="Times New Roman"/>
      <w:snapToGrid w:val="0"/>
      <w:kern w:val="2"/>
      <w:sz w:val="24"/>
      <w:szCs w:val="21"/>
      <w:lang w:val="zh-CN"/>
    </w:rPr>
  </w:style>
  <w:style w:type="character" w:customStyle="1" w:styleId="121">
    <w:name w:val="Char Char28"/>
    <w:qFormat/>
    <w:uiPriority w:val="6"/>
    <w:rPr>
      <w:rFonts w:ascii="仿宋_GB2312" w:hAnsi="仿宋_GB2312" w:eastAsia="仿宋_GB2312"/>
      <w:kern w:val="1"/>
      <w:sz w:val="28"/>
    </w:rPr>
  </w:style>
  <w:style w:type="character" w:customStyle="1" w:styleId="12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3">
    <w:name w:val="Heading 1 Char"/>
    <w:qFormat/>
    <w:uiPriority w:val="6"/>
    <w:rPr>
      <w:rFonts w:ascii="Times New Roman" w:hAnsi="Times New Roman" w:eastAsia="黑体" w:cs="Times New Roman"/>
      <w:b/>
      <w:kern w:val="0"/>
      <w:sz w:val="24"/>
      <w:szCs w:val="24"/>
    </w:rPr>
  </w:style>
  <w:style w:type="character" w:customStyle="1" w:styleId="124">
    <w:name w:val="U_正文 Char"/>
    <w:link w:val="125"/>
    <w:qFormat/>
    <w:uiPriority w:val="0"/>
    <w:rPr>
      <w:sz w:val="24"/>
      <w:szCs w:val="24"/>
    </w:rPr>
  </w:style>
  <w:style w:type="paragraph" w:customStyle="1" w:styleId="125">
    <w:name w:val="U_正文"/>
    <w:basedOn w:val="1"/>
    <w:link w:val="124"/>
    <w:qFormat/>
    <w:uiPriority w:val="0"/>
    <w:pPr>
      <w:adjustRightInd/>
      <w:spacing w:beforeLines="20" w:afterLines="20" w:line="300" w:lineRule="auto"/>
      <w:ind w:firstLine="200" w:firstLineChars="200"/>
    </w:pPr>
    <w:rPr>
      <w:kern w:val="0"/>
      <w:sz w:val="24"/>
    </w:rPr>
  </w:style>
  <w:style w:type="character" w:customStyle="1" w:styleId="126">
    <w:name w:val="HTML 地址 Char1"/>
    <w:qFormat/>
    <w:uiPriority w:val="0"/>
    <w:rPr>
      <w:rFonts w:ascii="Times New Roman" w:hAnsi="Times New Roman" w:eastAsia="宋体" w:cs="Times New Roman"/>
      <w:i/>
      <w:iCs/>
      <w:szCs w:val="24"/>
    </w:rPr>
  </w:style>
  <w:style w:type="character" w:customStyle="1" w:styleId="127">
    <w:name w:val="Char Char51"/>
    <w:qFormat/>
    <w:uiPriority w:val="0"/>
    <w:rPr>
      <w:rFonts w:ascii="宋体" w:hAnsi="Courier New" w:eastAsia="宋体"/>
      <w:kern w:val="2"/>
      <w:sz w:val="21"/>
      <w:lang w:val="en-US" w:eastAsia="zh-CN"/>
    </w:rPr>
  </w:style>
  <w:style w:type="character" w:customStyle="1" w:styleId="128">
    <w:name w:val="表正文 Char"/>
    <w:qFormat/>
    <w:uiPriority w:val="0"/>
    <w:rPr>
      <w:rFonts w:ascii="宋体" w:eastAsia="宋体"/>
      <w:snapToGrid w:val="0"/>
      <w:color w:val="000000"/>
      <w:kern w:val="28"/>
      <w:sz w:val="28"/>
      <w:lang w:val="en-US" w:eastAsia="zh-CN" w:bidi="ar-SA"/>
    </w:rPr>
  </w:style>
  <w:style w:type="character" w:customStyle="1" w:styleId="129">
    <w:name w:val="Char Char34"/>
    <w:qFormat/>
    <w:uiPriority w:val="6"/>
    <w:rPr>
      <w:b/>
      <w:kern w:val="1"/>
      <w:sz w:val="28"/>
      <w:szCs w:val="28"/>
    </w:rPr>
  </w:style>
  <w:style w:type="character" w:customStyle="1" w:styleId="13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1">
    <w:name w:val="哈哈正文 Char"/>
    <w:link w:val="132"/>
    <w:qFormat/>
    <w:uiPriority w:val="0"/>
    <w:rPr>
      <w:rFonts w:ascii="宋体" w:hAnsi="宋体" w:eastAsia="宋体"/>
      <w:kern w:val="2"/>
      <w:sz w:val="24"/>
      <w:lang w:bidi="ar-SA"/>
    </w:rPr>
  </w:style>
  <w:style w:type="paragraph" w:customStyle="1" w:styleId="132">
    <w:name w:val="哈哈正文"/>
    <w:basedOn w:val="1"/>
    <w:link w:val="131"/>
    <w:qFormat/>
    <w:uiPriority w:val="0"/>
    <w:pPr>
      <w:adjustRightInd/>
      <w:spacing w:line="360" w:lineRule="auto"/>
      <w:ind w:firstLine="200" w:firstLineChars="200"/>
    </w:pPr>
    <w:rPr>
      <w:rFonts w:ascii="宋体" w:hAnsi="宋体"/>
      <w:sz w:val="24"/>
      <w:szCs w:val="20"/>
    </w:rPr>
  </w:style>
  <w:style w:type="character" w:customStyle="1" w:styleId="133">
    <w:name w:val="未处理的提及1"/>
    <w:qFormat/>
    <w:uiPriority w:val="0"/>
    <w:rPr>
      <w:color w:val="808080"/>
      <w:shd w:val="clear" w:color="auto" w:fill="E6E6E6"/>
    </w:rPr>
  </w:style>
  <w:style w:type="character" w:customStyle="1" w:styleId="134">
    <w:name w:val="txt"/>
    <w:qFormat/>
    <w:uiPriority w:val="0"/>
    <w:rPr>
      <w:rFonts w:ascii="仿宋_GB2312" w:eastAsia="微软雅黑"/>
      <w:b/>
      <w:kern w:val="2"/>
      <w:sz w:val="32"/>
      <w:szCs w:val="32"/>
      <w:lang w:val="en-US" w:eastAsia="zh-CN" w:bidi="ar-SA"/>
    </w:rPr>
  </w:style>
  <w:style w:type="character" w:customStyle="1" w:styleId="135">
    <w:name w:val="二级标题 Char Char"/>
    <w:qFormat/>
    <w:uiPriority w:val="0"/>
    <w:rPr>
      <w:rFonts w:ascii="宋体" w:hAnsi="宋体" w:eastAsia="宋体"/>
      <w:b/>
      <w:snapToGrid w:val="0"/>
      <w:kern w:val="2"/>
      <w:sz w:val="24"/>
      <w:szCs w:val="24"/>
      <w:lang w:val="en-US" w:eastAsia="zh-CN" w:bidi="ar-SA"/>
    </w:rPr>
  </w:style>
  <w:style w:type="character" w:customStyle="1" w:styleId="136">
    <w:name w:val="Char Char32"/>
    <w:qFormat/>
    <w:uiPriority w:val="6"/>
    <w:rPr>
      <w:b/>
      <w:kern w:val="1"/>
      <w:sz w:val="24"/>
      <w:szCs w:val="24"/>
    </w:rPr>
  </w:style>
  <w:style w:type="character" w:customStyle="1" w:styleId="137">
    <w:name w:val="PI Char1"/>
    <w:qFormat/>
    <w:uiPriority w:val="0"/>
    <w:rPr>
      <w:rFonts w:ascii="宋体" w:hAnsi="宋体"/>
      <w:kern w:val="2"/>
      <w:sz w:val="24"/>
      <w:szCs w:val="24"/>
    </w:rPr>
  </w:style>
  <w:style w:type="character" w:customStyle="1" w:styleId="138">
    <w:name w:val="tw4winTerm"/>
    <w:qFormat/>
    <w:uiPriority w:val="0"/>
    <w:rPr>
      <w:color w:val="0000FF"/>
    </w:rPr>
  </w:style>
  <w:style w:type="character" w:customStyle="1" w:styleId="139">
    <w:name w:val="Footer Char"/>
    <w:qFormat/>
    <w:locked/>
    <w:uiPriority w:val="0"/>
    <w:rPr>
      <w:rFonts w:eastAsia="宋体"/>
      <w:kern w:val="2"/>
      <w:sz w:val="18"/>
      <w:lang w:val="en-US" w:eastAsia="zh-CN" w:bidi="ar-SA"/>
    </w:rPr>
  </w:style>
  <w:style w:type="character" w:customStyle="1" w:styleId="140">
    <w:name w:val="普通文字 Char Char1"/>
    <w:qFormat/>
    <w:uiPriority w:val="0"/>
    <w:rPr>
      <w:rFonts w:ascii="宋体" w:hAnsi="Courier New"/>
      <w:kern w:val="2"/>
      <w:sz w:val="21"/>
    </w:rPr>
  </w:style>
  <w:style w:type="character" w:customStyle="1" w:styleId="141">
    <w:name w:val="Char Char101"/>
    <w:qFormat/>
    <w:uiPriority w:val="6"/>
    <w:rPr>
      <w:rFonts w:ascii="宋体" w:hAnsi="宋体"/>
      <w:kern w:val="2"/>
      <w:sz w:val="21"/>
      <w:szCs w:val="24"/>
      <w:lang w:val="en-US" w:eastAsia="zh-CN"/>
    </w:rPr>
  </w:style>
  <w:style w:type="character" w:customStyle="1" w:styleId="142">
    <w:name w:val="标题 4 Char"/>
    <w:qFormat/>
    <w:uiPriority w:val="0"/>
    <w:rPr>
      <w:rFonts w:ascii="Arial" w:hAnsi="Arial" w:eastAsia="黑体"/>
      <w:b/>
      <w:kern w:val="2"/>
      <w:sz w:val="28"/>
    </w:rPr>
  </w:style>
  <w:style w:type="character" w:customStyle="1" w:styleId="143">
    <w:name w:val="链接"/>
    <w:qFormat/>
    <w:uiPriority w:val="0"/>
    <w:rPr>
      <w:color w:val="0000FF"/>
      <w:sz w:val="21"/>
      <w:szCs w:val="21"/>
      <w:u w:val="single"/>
    </w:rPr>
  </w:style>
  <w:style w:type="character" w:customStyle="1" w:styleId="144">
    <w:name w:val="h4 Char"/>
    <w:qFormat/>
    <w:uiPriority w:val="0"/>
    <w:rPr>
      <w:rFonts w:ascii="Arial" w:hAnsi="Arial" w:eastAsia="黑体"/>
      <w:b/>
      <w:bCs/>
      <w:kern w:val="2"/>
      <w:sz w:val="28"/>
      <w:szCs w:val="28"/>
      <w:lang w:val="zh-CN" w:eastAsia="zh-CN" w:bidi="ar-SA"/>
    </w:rPr>
  </w:style>
  <w:style w:type="character" w:customStyle="1" w:styleId="145">
    <w:name w:val="5正文 Char"/>
    <w:link w:val="146"/>
    <w:qFormat/>
    <w:uiPriority w:val="0"/>
    <w:rPr>
      <w:rFonts w:ascii="仿宋_GB2312" w:hAnsi="微软雅黑" w:eastAsia="仿宋_GB2312"/>
      <w:sz w:val="28"/>
      <w:szCs w:val="21"/>
    </w:rPr>
  </w:style>
  <w:style w:type="paragraph" w:customStyle="1" w:styleId="146">
    <w:name w:val="5正文"/>
    <w:basedOn w:val="1"/>
    <w:link w:val="14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7">
    <w:name w:val="标题 3 字符"/>
    <w:qFormat/>
    <w:uiPriority w:val="9"/>
    <w:rPr>
      <w:b/>
      <w:bCs/>
      <w:kern w:val="2"/>
      <w:sz w:val="32"/>
      <w:szCs w:val="32"/>
    </w:rPr>
  </w:style>
  <w:style w:type="character" w:customStyle="1" w:styleId="148">
    <w:name w:val="样式6 Char"/>
    <w:qFormat/>
    <w:uiPriority w:val="0"/>
    <w:rPr>
      <w:rFonts w:ascii="仿宋_GB2312" w:hAnsi="宋体" w:eastAsia="仿宋_GB2312"/>
      <w:b/>
      <w:bCs/>
      <w:kern w:val="2"/>
      <w:sz w:val="24"/>
      <w:szCs w:val="24"/>
      <w:lang w:val="en-US" w:eastAsia="zh-CN" w:bidi="ar-SA"/>
    </w:rPr>
  </w:style>
  <w:style w:type="character" w:customStyle="1" w:styleId="149">
    <w:name w:val="Char Char14"/>
    <w:qFormat/>
    <w:uiPriority w:val="6"/>
    <w:rPr>
      <w:rFonts w:ascii="黑体" w:hAnsi="黑体" w:eastAsia="黑体"/>
    </w:rPr>
  </w:style>
  <w:style w:type="character" w:customStyle="1" w:styleId="150">
    <w:name w:val="Heading 2 Hidden Char"/>
    <w:qFormat/>
    <w:uiPriority w:val="0"/>
    <w:rPr>
      <w:rFonts w:ascii="仿宋_GB2312" w:eastAsia="仿宋_GB2312"/>
      <w:b/>
      <w:bCs/>
      <w:kern w:val="2"/>
      <w:sz w:val="24"/>
      <w:szCs w:val="24"/>
      <w:lang w:val="zh-CN" w:eastAsia="zh-CN" w:bidi="ar-SA"/>
    </w:rPr>
  </w:style>
  <w:style w:type="character" w:customStyle="1" w:styleId="151">
    <w:name w:val="font11"/>
    <w:qFormat/>
    <w:uiPriority w:val="0"/>
    <w:rPr>
      <w:rFonts w:hint="default" w:ascii="Times New Roman" w:hAnsi="Times New Roman" w:cs="Times New Roman"/>
      <w:color w:val="000000"/>
      <w:sz w:val="22"/>
      <w:szCs w:val="22"/>
      <w:u w:val="none"/>
    </w:rPr>
  </w:style>
  <w:style w:type="character" w:customStyle="1" w:styleId="152">
    <w:name w:val="表正文 Char1"/>
    <w:qFormat/>
    <w:uiPriority w:val="0"/>
    <w:rPr>
      <w:rFonts w:ascii="宋体" w:eastAsia="宋体"/>
      <w:snapToGrid w:val="0"/>
      <w:color w:val="000000"/>
      <w:kern w:val="28"/>
      <w:sz w:val="28"/>
    </w:rPr>
  </w:style>
  <w:style w:type="character" w:customStyle="1" w:styleId="153">
    <w:name w:val="blue1"/>
    <w:basedOn w:val="70"/>
    <w:qFormat/>
    <w:uiPriority w:val="0"/>
    <w:rPr>
      <w:rFonts w:ascii="Arial" w:hAnsi="Arial" w:eastAsia="黑体" w:cs="Arial"/>
      <w:snapToGrid w:val="0"/>
      <w:kern w:val="0"/>
      <w:szCs w:val="21"/>
    </w:rPr>
  </w:style>
  <w:style w:type="character" w:customStyle="1" w:styleId="154">
    <w:name w:val="标书1 Char"/>
    <w:qFormat/>
    <w:uiPriority w:val="0"/>
    <w:rPr>
      <w:rFonts w:eastAsia="宋体"/>
      <w:b/>
      <w:bCs/>
      <w:kern w:val="44"/>
      <w:sz w:val="44"/>
      <w:szCs w:val="44"/>
      <w:lang w:val="en-US" w:eastAsia="zh-CN" w:bidi="ar-SA"/>
    </w:rPr>
  </w:style>
  <w:style w:type="character" w:customStyle="1" w:styleId="155">
    <w:name w:val="样式5 Char"/>
    <w:qFormat/>
    <w:uiPriority w:val="0"/>
    <w:rPr>
      <w:rFonts w:ascii="仿宋_GB2312" w:hAnsi="仿宋" w:eastAsia="仿宋_GB2312"/>
      <w:kern w:val="2"/>
      <w:sz w:val="24"/>
      <w:szCs w:val="24"/>
    </w:rPr>
  </w:style>
  <w:style w:type="character" w:customStyle="1" w:styleId="156">
    <w:name w:val="样式4 Char"/>
    <w:qFormat/>
    <w:uiPriority w:val="0"/>
    <w:rPr>
      <w:rFonts w:ascii="仿宋_GB2312" w:hAnsi="仿宋" w:eastAsia="仿宋_GB2312"/>
      <w:b/>
      <w:kern w:val="2"/>
      <w:sz w:val="32"/>
      <w:szCs w:val="32"/>
      <w:lang w:bidi="ar-SA"/>
    </w:rPr>
  </w:style>
  <w:style w:type="character" w:customStyle="1" w:styleId="157">
    <w:name w:val="插图说明 Char"/>
    <w:qFormat/>
    <w:uiPriority w:val="0"/>
    <w:rPr>
      <w:rFonts w:eastAsia="黑体"/>
      <w:sz w:val="24"/>
      <w:lang w:val="en-US" w:eastAsia="zh-CN"/>
    </w:rPr>
  </w:style>
  <w:style w:type="character" w:customStyle="1" w:styleId="158">
    <w:name w:val="正文2 Char Char"/>
    <w:link w:val="159"/>
    <w:qFormat/>
    <w:uiPriority w:val="0"/>
    <w:rPr>
      <w:rFonts w:eastAsia="宋体"/>
      <w:kern w:val="2"/>
      <w:sz w:val="24"/>
      <w:lang w:val="en-US" w:eastAsia="zh-CN" w:bidi="ar-SA"/>
    </w:rPr>
  </w:style>
  <w:style w:type="paragraph" w:customStyle="1" w:styleId="159">
    <w:name w:val="正文2"/>
    <w:basedOn w:val="1"/>
    <w:link w:val="158"/>
    <w:qFormat/>
    <w:uiPriority w:val="0"/>
    <w:pPr>
      <w:spacing w:before="156" w:line="360" w:lineRule="auto"/>
      <w:ind w:firstLine="510" w:firstLineChars="200"/>
    </w:pPr>
    <w:rPr>
      <w:sz w:val="24"/>
      <w:szCs w:val="20"/>
    </w:rPr>
  </w:style>
  <w:style w:type="character" w:customStyle="1" w:styleId="160">
    <w:name w:val="Char Char24"/>
    <w:qFormat/>
    <w:uiPriority w:val="6"/>
    <w:rPr>
      <w:kern w:val="1"/>
      <w:sz w:val="21"/>
    </w:rPr>
  </w:style>
  <w:style w:type="character" w:customStyle="1" w:styleId="161">
    <w:name w:val="普通文字 Char1 Char"/>
    <w:qFormat/>
    <w:uiPriority w:val="0"/>
    <w:rPr>
      <w:rFonts w:ascii="宋体" w:hAnsi="Courier New" w:eastAsia="宋体"/>
      <w:kern w:val="2"/>
      <w:sz w:val="21"/>
      <w:szCs w:val="24"/>
      <w:lang w:val="en-US" w:eastAsia="zh-CN" w:bidi="ar-SA"/>
    </w:rPr>
  </w:style>
  <w:style w:type="character" w:customStyle="1" w:styleId="162">
    <w:name w:val="h3 Char1"/>
    <w:qFormat/>
    <w:uiPriority w:val="0"/>
    <w:rPr>
      <w:rFonts w:eastAsia="宋体"/>
      <w:b/>
      <w:bCs/>
      <w:kern w:val="2"/>
      <w:sz w:val="32"/>
      <w:szCs w:val="32"/>
      <w:lang w:bidi="ar-SA"/>
    </w:rPr>
  </w:style>
  <w:style w:type="character" w:customStyle="1" w:styleId="163">
    <w:name w:val="标题 Char1"/>
    <w:qFormat/>
    <w:uiPriority w:val="0"/>
    <w:rPr>
      <w:rFonts w:ascii="Cambria" w:hAnsi="Cambria" w:eastAsia="宋体" w:cs="Times New Roman"/>
      <w:b/>
      <w:bCs/>
      <w:sz w:val="32"/>
      <w:szCs w:val="32"/>
      <w:lang w:bidi="ar-SA"/>
    </w:rPr>
  </w:style>
  <w:style w:type="character" w:customStyle="1" w:styleId="164">
    <w:name w:val="gf正文1 Char"/>
    <w:qFormat/>
    <w:uiPriority w:val="0"/>
    <w:rPr>
      <w:rFonts w:ascii="宋体" w:hAnsi="宋体" w:eastAsia="宋体" w:cs="宋体"/>
      <w:kern w:val="2"/>
      <w:sz w:val="24"/>
      <w:szCs w:val="24"/>
      <w:lang w:val="en-US" w:eastAsia="zh-CN" w:bidi="ar-SA"/>
    </w:rPr>
  </w:style>
  <w:style w:type="character" w:customStyle="1" w:styleId="165">
    <w:name w:val="正文文本缩进 Char1"/>
    <w:qFormat/>
    <w:uiPriority w:val="0"/>
    <w:rPr>
      <w:rFonts w:ascii="Calibri" w:hAnsi="Calibri"/>
      <w:sz w:val="28"/>
    </w:rPr>
  </w:style>
  <w:style w:type="character" w:customStyle="1" w:styleId="166">
    <w:name w:val="No Spacing Char"/>
    <w:link w:val="167"/>
    <w:qFormat/>
    <w:uiPriority w:val="1"/>
    <w:rPr>
      <w:sz w:val="22"/>
      <w:szCs w:val="22"/>
      <w:lang w:val="en-US" w:eastAsia="zh-CN" w:bidi="ar-SA"/>
    </w:rPr>
  </w:style>
  <w:style w:type="paragraph" w:customStyle="1" w:styleId="167">
    <w:name w:val="无间隔1"/>
    <w:link w:val="166"/>
    <w:qFormat/>
    <w:uiPriority w:val="1"/>
    <w:rPr>
      <w:rFonts w:ascii="Times New Roman" w:hAnsi="Times New Roman" w:eastAsia="宋体" w:cs="Times New Roman"/>
      <w:sz w:val="22"/>
      <w:szCs w:val="22"/>
      <w:lang w:val="en-US" w:eastAsia="zh-CN" w:bidi="ar-SA"/>
    </w:rPr>
  </w:style>
  <w:style w:type="character" w:customStyle="1" w:styleId="168">
    <w:name w:val="样式7 Char"/>
    <w:qFormat/>
    <w:uiPriority w:val="0"/>
    <w:rPr>
      <w:rFonts w:ascii="仿宋_GB2312" w:hAnsi="仿宋" w:eastAsia="仿宋_GB2312"/>
      <w:b/>
      <w:kern w:val="2"/>
      <w:sz w:val="24"/>
      <w:szCs w:val="24"/>
    </w:rPr>
  </w:style>
  <w:style w:type="character" w:customStyle="1" w:styleId="169">
    <w:name w:val="font12gray1"/>
    <w:qFormat/>
    <w:uiPriority w:val="0"/>
    <w:rPr>
      <w:rFonts w:ascii="仿宋_GB2312" w:eastAsia="微软雅黑"/>
      <w:b/>
      <w:spacing w:val="300"/>
      <w:kern w:val="2"/>
      <w:sz w:val="18"/>
      <w:szCs w:val="18"/>
      <w:lang w:val="en-US" w:eastAsia="zh-CN" w:bidi="ar-SA"/>
    </w:rPr>
  </w:style>
  <w:style w:type="character" w:customStyle="1" w:styleId="170">
    <w:name w:val="Char Char7"/>
    <w:semiHidden/>
    <w:qFormat/>
    <w:uiPriority w:val="0"/>
    <w:rPr>
      <w:rFonts w:eastAsia="宋体"/>
      <w:kern w:val="2"/>
      <w:sz w:val="21"/>
      <w:szCs w:val="24"/>
      <w:lang w:val="en-US" w:eastAsia="zh-CN" w:bidi="ar-SA"/>
    </w:rPr>
  </w:style>
  <w:style w:type="character" w:customStyle="1" w:styleId="171">
    <w:name w:val="表名 Char"/>
    <w:qFormat/>
    <w:uiPriority w:val="0"/>
    <w:rPr>
      <w:rFonts w:eastAsia="宋体"/>
      <w:b/>
      <w:bCs/>
      <w:kern w:val="2"/>
      <w:sz w:val="24"/>
      <w:szCs w:val="24"/>
      <w:lang w:val="en-US" w:eastAsia="zh-CN" w:bidi="ar-SA"/>
    </w:rPr>
  </w:style>
  <w:style w:type="character" w:customStyle="1" w:styleId="172">
    <w:name w:val="Document Map Char"/>
    <w:qFormat/>
    <w:locked/>
    <w:uiPriority w:val="0"/>
    <w:rPr>
      <w:rFonts w:eastAsia="宋体"/>
      <w:kern w:val="2"/>
      <w:sz w:val="21"/>
      <w:szCs w:val="24"/>
      <w:lang w:val="en-US" w:eastAsia="zh-CN" w:bidi="ar-SA"/>
    </w:rPr>
  </w:style>
  <w:style w:type="character" w:customStyle="1" w:styleId="173">
    <w:name w:val="font41"/>
    <w:qFormat/>
    <w:uiPriority w:val="0"/>
    <w:rPr>
      <w:rFonts w:hint="eastAsia" w:ascii="仿宋_GB2312" w:eastAsia="仿宋_GB2312" w:cs="仿宋_GB2312"/>
      <w:color w:val="000000"/>
      <w:sz w:val="22"/>
      <w:szCs w:val="22"/>
      <w:u w:val="none"/>
    </w:rPr>
  </w:style>
  <w:style w:type="character" w:customStyle="1" w:styleId="174">
    <w:name w:val="纯文本 Char_0"/>
    <w:link w:val="175"/>
    <w:qFormat/>
    <w:uiPriority w:val="0"/>
    <w:rPr>
      <w:rFonts w:ascii="宋体" w:hAnsi="Courier New"/>
      <w:kern w:val="2"/>
      <w:sz w:val="21"/>
      <w:szCs w:val="21"/>
      <w:lang w:val="en-US" w:eastAsia="zh-CN"/>
    </w:rPr>
  </w:style>
  <w:style w:type="paragraph" w:customStyle="1" w:styleId="175">
    <w:name w:val="纯文本_0_0"/>
    <w:basedOn w:val="176"/>
    <w:link w:val="174"/>
    <w:qFormat/>
    <w:uiPriority w:val="0"/>
    <w:rPr>
      <w:rFonts w:ascii="宋体" w:hAnsi="Courier New"/>
      <w:szCs w:val="21"/>
    </w:rPr>
  </w:style>
  <w:style w:type="paragraph" w:customStyle="1" w:styleId="17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7">
    <w:name w:val="Balloon Text Char"/>
    <w:qFormat/>
    <w:locked/>
    <w:uiPriority w:val="0"/>
    <w:rPr>
      <w:rFonts w:eastAsia="宋体"/>
      <w:kern w:val="2"/>
      <w:sz w:val="18"/>
      <w:szCs w:val="18"/>
      <w:lang w:val="en-US" w:eastAsia="zh-CN" w:bidi="ar-SA"/>
    </w:rPr>
  </w:style>
  <w:style w:type="character" w:customStyle="1" w:styleId="178">
    <w:name w:val="正文 项目2 Char"/>
    <w:basedOn w:val="179"/>
    <w:qFormat/>
    <w:uiPriority w:val="0"/>
    <w:rPr>
      <w:rFonts w:ascii="仿宋_GB2312" w:hAnsi="仿宋_GB2312" w:eastAsia="仿宋_GB2312"/>
      <w:kern w:val="2"/>
      <w:sz w:val="24"/>
      <w:lang w:bidi="ar-SA"/>
    </w:rPr>
  </w:style>
  <w:style w:type="character" w:customStyle="1" w:styleId="179">
    <w:name w:val="正文 项目 Char"/>
    <w:qFormat/>
    <w:uiPriority w:val="0"/>
    <w:rPr>
      <w:rFonts w:ascii="仿宋_GB2312" w:hAnsi="仿宋_GB2312" w:eastAsia="仿宋_GB2312"/>
      <w:kern w:val="2"/>
      <w:sz w:val="24"/>
      <w:lang w:bidi="ar-SA"/>
    </w:rPr>
  </w:style>
  <w:style w:type="character" w:customStyle="1" w:styleId="180">
    <w:name w:val="h Char Char1"/>
    <w:qFormat/>
    <w:uiPriority w:val="0"/>
    <w:rPr>
      <w:rFonts w:eastAsia="宋体"/>
      <w:kern w:val="2"/>
      <w:sz w:val="18"/>
      <w:szCs w:val="18"/>
      <w:lang w:val="en-US" w:eastAsia="zh-CN" w:bidi="ar-SA"/>
    </w:rPr>
  </w:style>
  <w:style w:type="character" w:customStyle="1" w:styleId="181">
    <w:name w:val="Char Char27"/>
    <w:qFormat/>
    <w:uiPriority w:val="6"/>
    <w:rPr>
      <w:rFonts w:ascii="宋体" w:hAnsi="宋体" w:eastAsia="宋体"/>
      <w:color w:val="000000"/>
      <w:kern w:val="1"/>
      <w:sz w:val="28"/>
      <w:lang w:val="en-US" w:eastAsia="zh-CN" w:bidi="ar-SA"/>
    </w:rPr>
  </w:style>
  <w:style w:type="character" w:customStyle="1" w:styleId="182">
    <w:name w:val="px14"/>
    <w:qFormat/>
    <w:uiPriority w:val="0"/>
    <w:rPr>
      <w:rFonts w:ascii="仿宋_GB2312" w:eastAsia="微软雅黑" w:cs="Times New Roman"/>
      <w:b/>
      <w:kern w:val="2"/>
      <w:sz w:val="32"/>
      <w:szCs w:val="32"/>
      <w:lang w:val="en-US" w:eastAsia="zh-CN" w:bidi="ar-SA"/>
    </w:rPr>
  </w:style>
  <w:style w:type="character" w:customStyle="1" w:styleId="183">
    <w:name w:val="HTML 预设格式 Char1"/>
    <w:qFormat/>
    <w:uiPriority w:val="0"/>
    <w:rPr>
      <w:rFonts w:ascii="Courier New" w:hAnsi="Courier New" w:eastAsia="宋体" w:cs="Courier New"/>
      <w:sz w:val="20"/>
      <w:szCs w:val="20"/>
    </w:rPr>
  </w:style>
  <w:style w:type="character" w:customStyle="1" w:styleId="184">
    <w:name w:val="普通文字 Char1"/>
    <w:qFormat/>
    <w:uiPriority w:val="0"/>
    <w:rPr>
      <w:rFonts w:ascii="宋体" w:hAnsi="Courier New" w:eastAsia="宋体"/>
      <w:kern w:val="2"/>
      <w:sz w:val="21"/>
      <w:lang w:val="en-US" w:eastAsia="zh-CN"/>
    </w:rPr>
  </w:style>
  <w:style w:type="character" w:customStyle="1" w:styleId="185">
    <w:name w:val="hei16b1"/>
    <w:qFormat/>
    <w:uiPriority w:val="0"/>
    <w:rPr>
      <w:rFonts w:hint="default" w:ascii="Arial" w:hAnsi="Arial" w:cs="Arial"/>
      <w:b/>
      <w:bCs/>
      <w:color w:val="000000"/>
      <w:sz w:val="24"/>
      <w:szCs w:val="24"/>
    </w:rPr>
  </w:style>
  <w:style w:type="character" w:customStyle="1" w:styleId="186">
    <w:name w:val="正文（绿盟科技） Char"/>
    <w:link w:val="187"/>
    <w:qFormat/>
    <w:uiPriority w:val="0"/>
    <w:rPr>
      <w:rFonts w:ascii="Arial" w:hAnsi="Arial"/>
      <w:sz w:val="21"/>
      <w:szCs w:val="21"/>
    </w:rPr>
  </w:style>
  <w:style w:type="paragraph" w:customStyle="1" w:styleId="187">
    <w:name w:val="正文（绿盟科技）"/>
    <w:link w:val="186"/>
    <w:qFormat/>
    <w:uiPriority w:val="0"/>
    <w:pPr>
      <w:spacing w:line="300" w:lineRule="auto"/>
    </w:pPr>
    <w:rPr>
      <w:rFonts w:ascii="Arial" w:hAnsi="Arial" w:eastAsia="宋体" w:cs="Times New Roman"/>
      <w:sz w:val="21"/>
      <w:szCs w:val="21"/>
      <w:lang w:val="en-US" w:eastAsia="zh-CN" w:bidi="ar-SA"/>
    </w:rPr>
  </w:style>
  <w:style w:type="character" w:customStyle="1" w:styleId="188">
    <w:name w:val="Char Char19"/>
    <w:qFormat/>
    <w:uiPriority w:val="6"/>
    <w:rPr>
      <w:rFonts w:ascii="宋体" w:hAnsi="宋体"/>
      <w:i/>
      <w:sz w:val="24"/>
      <w:szCs w:val="24"/>
    </w:rPr>
  </w:style>
  <w:style w:type="character" w:customStyle="1" w:styleId="189">
    <w:name w:val="页脚 Char"/>
    <w:qFormat/>
    <w:uiPriority w:val="0"/>
    <w:rPr>
      <w:rFonts w:eastAsia="仿宋_GB2312"/>
      <w:kern w:val="2"/>
      <w:sz w:val="18"/>
      <w:lang w:val="en-US" w:eastAsia="zh-CN"/>
    </w:rPr>
  </w:style>
  <w:style w:type="character" w:customStyle="1" w:styleId="190">
    <w:name w:val="批注主题 Char"/>
    <w:qFormat/>
    <w:uiPriority w:val="0"/>
    <w:rPr>
      <w:rFonts w:eastAsia="宋体"/>
      <w:b/>
      <w:bCs/>
      <w:kern w:val="2"/>
      <w:sz w:val="21"/>
      <w:szCs w:val="24"/>
      <w:lang w:val="en-US" w:eastAsia="zh-CN" w:bidi="ar-SA"/>
    </w:rPr>
  </w:style>
  <w:style w:type="character" w:customStyle="1" w:styleId="191">
    <w:name w:val="Comment Text Char"/>
    <w:qFormat/>
    <w:locked/>
    <w:uiPriority w:val="0"/>
    <w:rPr>
      <w:rFonts w:ascii="宋体" w:hAnsi="宋体" w:eastAsia="宋体"/>
      <w:kern w:val="2"/>
      <w:sz w:val="24"/>
      <w:lang w:val="en-US" w:eastAsia="zh-CN" w:bidi="ar-SA"/>
    </w:rPr>
  </w:style>
  <w:style w:type="character" w:customStyle="1" w:styleId="192">
    <w:name w:val="标题 2 字符"/>
    <w:qFormat/>
    <w:uiPriority w:val="1"/>
    <w:rPr>
      <w:rFonts w:ascii="仿宋_GB2312" w:hAnsi="Times New Roman" w:eastAsia="仿宋_GB2312" w:cs="Times New Roman"/>
      <w:b/>
      <w:kern w:val="2"/>
      <w:sz w:val="24"/>
      <w:lang w:val="zh-CN"/>
    </w:rPr>
  </w:style>
  <w:style w:type="character" w:customStyle="1" w:styleId="193">
    <w:name w:val="Char Char72"/>
    <w:qFormat/>
    <w:uiPriority w:val="0"/>
    <w:rPr>
      <w:rFonts w:eastAsia="宋体"/>
      <w:kern w:val="2"/>
      <w:sz w:val="21"/>
      <w:szCs w:val="24"/>
      <w:lang w:val="en-US" w:eastAsia="zh-CN" w:bidi="ar-SA"/>
    </w:rPr>
  </w:style>
  <w:style w:type="character" w:customStyle="1" w:styleId="194">
    <w:name w:val="正文文本缩进 Char2"/>
    <w:qFormat/>
    <w:uiPriority w:val="0"/>
    <w:rPr>
      <w:rFonts w:ascii="Times New Roman" w:hAnsi="Times New Roman" w:eastAsia="宋体" w:cs="Times New Roman"/>
      <w:snapToGrid w:val="0"/>
      <w:kern w:val="0"/>
      <w:szCs w:val="24"/>
    </w:rPr>
  </w:style>
  <w:style w:type="character" w:customStyle="1" w:styleId="195">
    <w:name w:val="样式2 Char"/>
    <w:qFormat/>
    <w:uiPriority w:val="0"/>
    <w:rPr>
      <w:rFonts w:ascii="仿宋_GB2312" w:hAnsi="仿宋" w:eastAsia="仿宋_GB2312" w:cs="仿宋_GB2312"/>
      <w:b/>
      <w:bCs/>
      <w:sz w:val="32"/>
      <w:szCs w:val="30"/>
      <w:lang w:val="zh-CN"/>
    </w:rPr>
  </w:style>
  <w:style w:type="character" w:customStyle="1" w:styleId="196">
    <w:name w:val="表格名称[858D7CFB-ED40-4347-BF05-701D383B685F]"/>
    <w:link w:val="197"/>
    <w:qFormat/>
    <w:uiPriority w:val="0"/>
    <w:rPr>
      <w:sz w:val="32"/>
    </w:rPr>
  </w:style>
  <w:style w:type="paragraph" w:customStyle="1" w:styleId="197">
    <w:name w:val="表格名称"/>
    <w:basedOn w:val="4"/>
    <w:link w:val="196"/>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98">
    <w:name w:val="Char Char4"/>
    <w:qFormat/>
    <w:uiPriority w:val="0"/>
    <w:rPr>
      <w:rFonts w:eastAsia="宋体"/>
      <w:b/>
      <w:sz w:val="24"/>
      <w:lang w:val="en-GB" w:eastAsia="zh-CN" w:bidi="ar-SA"/>
    </w:rPr>
  </w:style>
  <w:style w:type="character" w:customStyle="1" w:styleId="199">
    <w:name w:val="c7 style3"/>
    <w:qFormat/>
    <w:uiPriority w:val="0"/>
  </w:style>
  <w:style w:type="character" w:customStyle="1" w:styleId="200">
    <w:name w:val="正文文本 3 Char1"/>
    <w:semiHidden/>
    <w:qFormat/>
    <w:uiPriority w:val="99"/>
    <w:rPr>
      <w:rFonts w:ascii="Times New Roman" w:hAnsi="Times New Roman" w:eastAsia="宋体" w:cs="Times New Roman"/>
      <w:sz w:val="16"/>
      <w:szCs w:val="16"/>
    </w:rPr>
  </w:style>
  <w:style w:type="character" w:customStyle="1" w:styleId="201">
    <w:name w:val="tw4winInternal"/>
    <w:qFormat/>
    <w:uiPriority w:val="0"/>
    <w:rPr>
      <w:rFonts w:ascii="Courier New" w:hAnsi="Courier New" w:cs="Courier New"/>
      <w:color w:val="FF0000"/>
      <w:lang w:val="en-US" w:eastAsia="zh-CN"/>
    </w:rPr>
  </w:style>
  <w:style w:type="character" w:customStyle="1" w:styleId="202">
    <w:name w:val="Char Char10"/>
    <w:semiHidden/>
    <w:qFormat/>
    <w:uiPriority w:val="0"/>
    <w:rPr>
      <w:rFonts w:ascii="宋体" w:hAnsi="宋体"/>
      <w:kern w:val="2"/>
      <w:sz w:val="21"/>
      <w:szCs w:val="24"/>
      <w:lang w:val="en-US" w:eastAsia="zh-CN"/>
    </w:rPr>
  </w:style>
  <w:style w:type="character" w:customStyle="1" w:styleId="203">
    <w:name w:val="shadow11"/>
    <w:qFormat/>
    <w:uiPriority w:val="0"/>
    <w:rPr>
      <w:color w:val="000000"/>
      <w:sz w:val="21"/>
    </w:rPr>
  </w:style>
  <w:style w:type="character" w:customStyle="1" w:styleId="204">
    <w:name w:val="正文非缩进 Char3"/>
    <w:qFormat/>
    <w:uiPriority w:val="0"/>
    <w:rPr>
      <w:rFonts w:ascii="宋体" w:eastAsia="宋体"/>
      <w:snapToGrid w:val="0"/>
      <w:color w:val="000000"/>
      <w:kern w:val="28"/>
      <w:sz w:val="28"/>
      <w:lang w:val="en-US" w:eastAsia="zh-CN" w:bidi="ar-SA"/>
    </w:rPr>
  </w:style>
  <w:style w:type="character" w:customStyle="1" w:styleId="205">
    <w:name w:val="Char Char"/>
    <w:qFormat/>
    <w:uiPriority w:val="0"/>
    <w:rPr>
      <w:rFonts w:ascii="宋体" w:hAnsi="Courier New" w:eastAsia="宋体"/>
      <w:kern w:val="2"/>
      <w:sz w:val="21"/>
      <w:lang w:val="en-US" w:eastAsia="zh-CN" w:bidi="ar-SA"/>
    </w:rPr>
  </w:style>
  <w:style w:type="character" w:customStyle="1" w:styleId="206">
    <w:name w:val="签名 Char1"/>
    <w:qFormat/>
    <w:uiPriority w:val="0"/>
    <w:rPr>
      <w:rFonts w:ascii="Times New Roman" w:hAnsi="Times New Roman" w:eastAsia="宋体" w:cs="Times New Roman"/>
      <w:szCs w:val="24"/>
    </w:rPr>
  </w:style>
  <w:style w:type="character" w:customStyle="1" w:styleId="207">
    <w:name w:val="Char Char18"/>
    <w:qFormat/>
    <w:uiPriority w:val="6"/>
    <w:rPr>
      <w:rFonts w:ascii="宋体" w:hAnsi="宋体"/>
      <w:sz w:val="28"/>
    </w:rPr>
  </w:style>
  <w:style w:type="character" w:customStyle="1" w:styleId="208">
    <w:name w:val="批注文字 Char"/>
    <w:qFormat/>
    <w:uiPriority w:val="99"/>
    <w:rPr>
      <w:kern w:val="2"/>
      <w:sz w:val="21"/>
      <w:szCs w:val="24"/>
    </w:rPr>
  </w:style>
  <w:style w:type="character" w:customStyle="1" w:styleId="209">
    <w:name w:val="Char Char22"/>
    <w:qFormat/>
    <w:uiPriority w:val="6"/>
    <w:rPr>
      <w:rFonts w:ascii="宋体" w:hAnsi="宋体"/>
      <w:kern w:val="1"/>
      <w:sz w:val="24"/>
      <w:szCs w:val="24"/>
    </w:rPr>
  </w:style>
  <w:style w:type="character" w:customStyle="1" w:styleId="210">
    <w:name w:val="pt141"/>
    <w:qFormat/>
    <w:uiPriority w:val="0"/>
    <w:rPr>
      <w:color w:val="330066"/>
      <w:sz w:val="22"/>
      <w:szCs w:val="22"/>
    </w:rPr>
  </w:style>
  <w:style w:type="character" w:customStyle="1" w:styleId="211">
    <w:name w:val="正文文本缩进 2 Char1"/>
    <w:semiHidden/>
    <w:qFormat/>
    <w:uiPriority w:val="99"/>
    <w:rPr>
      <w:rFonts w:ascii="Times New Roman" w:hAnsi="Times New Roman" w:eastAsia="宋体" w:cs="Times New Roman"/>
      <w:szCs w:val="24"/>
    </w:rPr>
  </w:style>
  <w:style w:type="character" w:customStyle="1" w:styleId="212">
    <w:name w:val="Char Char611"/>
    <w:qFormat/>
    <w:uiPriority w:val="0"/>
    <w:rPr>
      <w:rFonts w:eastAsia="宋体"/>
      <w:kern w:val="2"/>
      <w:sz w:val="21"/>
      <w:szCs w:val="24"/>
      <w:lang w:val="en-US" w:eastAsia="zh-CN" w:bidi="ar-SA"/>
    </w:rPr>
  </w:style>
  <w:style w:type="character" w:customStyle="1" w:styleId="213">
    <w:name w:val="highlight1"/>
    <w:qFormat/>
    <w:uiPriority w:val="0"/>
    <w:rPr>
      <w:rFonts w:ascii="仿宋_GB2312" w:eastAsia="微软雅黑"/>
      <w:b/>
      <w:kern w:val="2"/>
      <w:sz w:val="23"/>
      <w:szCs w:val="23"/>
      <w:lang w:val="en-US" w:eastAsia="zh-CN" w:bidi="ar-SA"/>
    </w:rPr>
  </w:style>
  <w:style w:type="character" w:customStyle="1" w:styleId="214">
    <w:name w:val="my正文 Char"/>
    <w:link w:val="215"/>
    <w:qFormat/>
    <w:locked/>
    <w:uiPriority w:val="0"/>
    <w:rPr>
      <w:rFonts w:ascii="Tahoma" w:hAnsi="Tahoma"/>
      <w:sz w:val="24"/>
      <w:szCs w:val="24"/>
    </w:rPr>
  </w:style>
  <w:style w:type="paragraph" w:customStyle="1" w:styleId="215">
    <w:name w:val="my正文"/>
    <w:basedOn w:val="1"/>
    <w:link w:val="214"/>
    <w:qFormat/>
    <w:uiPriority w:val="0"/>
    <w:pPr>
      <w:adjustRightInd/>
      <w:spacing w:line="360" w:lineRule="auto"/>
      <w:ind w:firstLine="480" w:firstLineChars="200"/>
    </w:pPr>
    <w:rPr>
      <w:rFonts w:ascii="Tahoma" w:hAnsi="Tahoma"/>
      <w:kern w:val="0"/>
      <w:sz w:val="24"/>
    </w:rPr>
  </w:style>
  <w:style w:type="character" w:customStyle="1" w:styleId="216">
    <w:name w:val="Used by Word for text of Help footnotes Char Char1"/>
    <w:qFormat/>
    <w:uiPriority w:val="0"/>
    <w:rPr>
      <w:color w:val="0000FF"/>
      <w:sz w:val="21"/>
    </w:rPr>
  </w:style>
  <w:style w:type="character" w:customStyle="1" w:styleId="217">
    <w:name w:val="页眉 Char"/>
    <w:qFormat/>
    <w:uiPriority w:val="0"/>
    <w:rPr>
      <w:rFonts w:eastAsia="仿宋_GB2312"/>
      <w:kern w:val="2"/>
      <w:sz w:val="18"/>
      <w:lang w:val="en-US" w:eastAsia="zh-CN"/>
    </w:rPr>
  </w:style>
  <w:style w:type="character" w:customStyle="1" w:styleId="218">
    <w:name w:val="FA正文 Char Char"/>
    <w:qFormat/>
    <w:uiPriority w:val="0"/>
    <w:rPr>
      <w:rFonts w:hAnsi="宋体"/>
      <w:kern w:val="2"/>
      <w:sz w:val="24"/>
      <w:lang w:bidi="ar-SA"/>
    </w:rPr>
  </w:style>
  <w:style w:type="character" w:customStyle="1" w:styleId="219">
    <w:name w:val="纯文本 字符"/>
    <w:qFormat/>
    <w:uiPriority w:val="0"/>
    <w:rPr>
      <w:rFonts w:ascii="宋体" w:hAnsi="Courier New" w:eastAsia="宋体" w:cs="Arial"/>
      <w:snapToGrid w:val="0"/>
      <w:kern w:val="2"/>
      <w:sz w:val="21"/>
      <w:szCs w:val="21"/>
      <w:lang w:val="en-US" w:eastAsia="zh-CN" w:bidi="ar-SA"/>
    </w:rPr>
  </w:style>
  <w:style w:type="character" w:customStyle="1" w:styleId="220">
    <w:name w:val="3级 Char"/>
    <w:link w:val="221"/>
    <w:qFormat/>
    <w:uiPriority w:val="0"/>
    <w:rPr>
      <w:rFonts w:ascii="宋体" w:hAnsi="宋体"/>
      <w:b/>
      <w:bCs/>
      <w:snapToGrid/>
      <w:sz w:val="28"/>
    </w:rPr>
  </w:style>
  <w:style w:type="paragraph" w:customStyle="1" w:styleId="221">
    <w:name w:val="3级"/>
    <w:basedOn w:val="222"/>
    <w:link w:val="220"/>
    <w:qFormat/>
    <w:uiPriority w:val="0"/>
    <w:pPr>
      <w:ind w:left="0" w:right="466" w:firstLine="288"/>
    </w:pPr>
    <w:rPr>
      <w:rFonts w:hAnsi="宋体"/>
      <w:snapToGrid/>
    </w:rPr>
  </w:style>
  <w:style w:type="paragraph" w:customStyle="1" w:styleId="222">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3">
    <w:name w:val="myp11"/>
    <w:qFormat/>
    <w:uiPriority w:val="0"/>
    <w:rPr>
      <w:rFonts w:ascii="仿宋_GB2312" w:eastAsia="微软雅黑"/>
      <w:b/>
      <w:kern w:val="2"/>
      <w:sz w:val="32"/>
      <w:szCs w:val="32"/>
      <w:lang w:val="en-US" w:eastAsia="zh-CN" w:bidi="ar-SA"/>
    </w:rPr>
  </w:style>
  <w:style w:type="character" w:customStyle="1" w:styleId="224">
    <w:name w:val="H6 Char"/>
    <w:qFormat/>
    <w:uiPriority w:val="0"/>
    <w:rPr>
      <w:rFonts w:ascii="Arial" w:hAnsi="Arial" w:eastAsia="黑体"/>
      <w:b/>
      <w:bCs/>
      <w:kern w:val="2"/>
      <w:sz w:val="24"/>
      <w:szCs w:val="24"/>
    </w:rPr>
  </w:style>
  <w:style w:type="character" w:customStyle="1" w:styleId="225">
    <w:name w:val="Char Char91"/>
    <w:qFormat/>
    <w:uiPriority w:val="0"/>
    <w:rPr>
      <w:rFonts w:eastAsia="宋体"/>
      <w:kern w:val="2"/>
      <w:sz w:val="18"/>
      <w:szCs w:val="18"/>
      <w:lang w:val="en-US" w:eastAsia="zh-CN" w:bidi="ar-SA"/>
    </w:rPr>
  </w:style>
  <w:style w:type="character" w:customStyle="1" w:styleId="226">
    <w:name w:val="副标题 Char1"/>
    <w:qFormat/>
    <w:uiPriority w:val="0"/>
    <w:rPr>
      <w:rFonts w:ascii="Cambria" w:hAnsi="Cambria" w:eastAsia="宋体" w:cs="Times New Roman"/>
      <w:b/>
      <w:bCs/>
      <w:snapToGrid w:val="0"/>
      <w:kern w:val="28"/>
      <w:sz w:val="32"/>
      <w:szCs w:val="32"/>
    </w:rPr>
  </w:style>
  <w:style w:type="character" w:customStyle="1" w:styleId="227">
    <w:name w:val="font61"/>
    <w:qFormat/>
    <w:uiPriority w:val="0"/>
    <w:rPr>
      <w:rFonts w:hint="eastAsia" w:ascii="仿宋" w:hAnsi="仿宋" w:eastAsia="仿宋" w:cs="仿宋"/>
      <w:color w:val="000000"/>
      <w:sz w:val="20"/>
      <w:szCs w:val="20"/>
      <w:u w:val="none"/>
    </w:rPr>
  </w:style>
  <w:style w:type="character" w:customStyle="1" w:styleId="2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29">
    <w:name w:val="Char Char211"/>
    <w:qFormat/>
    <w:uiPriority w:val="0"/>
    <w:rPr>
      <w:rFonts w:eastAsia="宋体"/>
      <w:b/>
      <w:bCs/>
      <w:kern w:val="2"/>
      <w:sz w:val="21"/>
      <w:szCs w:val="24"/>
      <w:lang w:val="en-US" w:eastAsia="zh-CN" w:bidi="ar-SA"/>
    </w:rPr>
  </w:style>
  <w:style w:type="character" w:customStyle="1" w:styleId="230">
    <w:name w:val="标题 2 Char"/>
    <w:qFormat/>
    <w:uiPriority w:val="0"/>
    <w:rPr>
      <w:rFonts w:ascii="Arial" w:hAnsi="Arial" w:eastAsia="黑体"/>
      <w:b/>
      <w:kern w:val="2"/>
      <w:sz w:val="32"/>
      <w:lang w:val="en-US" w:eastAsia="zh-CN"/>
    </w:rPr>
  </w:style>
  <w:style w:type="character" w:customStyle="1" w:styleId="231">
    <w:name w:val="maywed421"/>
    <w:qFormat/>
    <w:uiPriority w:val="0"/>
    <w:rPr>
      <w:color w:val="366FB6"/>
      <w:u w:val="none"/>
    </w:rPr>
  </w:style>
  <w:style w:type="character" w:customStyle="1" w:styleId="232">
    <w:name w:val="正文文本缩进 Char"/>
    <w:qFormat/>
    <w:uiPriority w:val="0"/>
    <w:rPr>
      <w:rFonts w:ascii="宋体" w:hAnsi="宋体"/>
      <w:kern w:val="2"/>
      <w:sz w:val="24"/>
      <w:szCs w:val="24"/>
    </w:rPr>
  </w:style>
  <w:style w:type="character" w:customStyle="1" w:styleId="233">
    <w:name w:val="Char Char102"/>
    <w:semiHidden/>
    <w:qFormat/>
    <w:uiPriority w:val="0"/>
    <w:rPr>
      <w:rFonts w:ascii="宋体" w:hAnsi="宋体"/>
      <w:kern w:val="2"/>
      <w:sz w:val="21"/>
      <w:szCs w:val="24"/>
      <w:lang w:val="en-US" w:eastAsia="zh-CN"/>
    </w:rPr>
  </w:style>
  <w:style w:type="character" w:customStyle="1" w:styleId="234">
    <w:name w:val="页眉 Char1"/>
    <w:qFormat/>
    <w:uiPriority w:val="0"/>
    <w:rPr>
      <w:rFonts w:eastAsia="宋体"/>
      <w:kern w:val="2"/>
      <w:sz w:val="18"/>
      <w:szCs w:val="18"/>
      <w:lang w:val="en-US" w:eastAsia="zh-CN" w:bidi="ar-SA"/>
    </w:rPr>
  </w:style>
  <w:style w:type="character" w:customStyle="1" w:styleId="235">
    <w:name w:val="md"/>
    <w:basedOn w:val="70"/>
    <w:qFormat/>
    <w:uiPriority w:val="0"/>
    <w:rPr>
      <w:rFonts w:ascii="Arial" w:hAnsi="Arial" w:eastAsia="黑体" w:cs="Arial"/>
      <w:snapToGrid w:val="0"/>
      <w:kern w:val="0"/>
      <w:szCs w:val="21"/>
    </w:rPr>
  </w:style>
  <w:style w:type="character" w:customStyle="1" w:styleId="236">
    <w:name w:val="big1"/>
    <w:qFormat/>
    <w:uiPriority w:val="0"/>
    <w:rPr>
      <w:rFonts w:hint="eastAsia" w:ascii="宋体" w:hAnsi="宋体" w:eastAsia="宋体"/>
      <w:color w:val="333333"/>
      <w:sz w:val="22"/>
      <w:szCs w:val="22"/>
    </w:rPr>
  </w:style>
  <w:style w:type="character" w:customStyle="1" w:styleId="237">
    <w:name w:val="Char Char311"/>
    <w:qFormat/>
    <w:uiPriority w:val="0"/>
    <w:rPr>
      <w:rFonts w:eastAsia="宋体"/>
      <w:kern w:val="2"/>
      <w:sz w:val="21"/>
      <w:szCs w:val="24"/>
      <w:lang w:val="en-US" w:eastAsia="zh-CN" w:bidi="ar-SA"/>
    </w:rPr>
  </w:style>
  <w:style w:type="character" w:customStyle="1" w:styleId="238">
    <w:name w:val="Char Char81"/>
    <w:qFormat/>
    <w:uiPriority w:val="6"/>
    <w:rPr>
      <w:rFonts w:eastAsia="宋体"/>
      <w:b/>
      <w:sz w:val="24"/>
      <w:lang w:val="en-GB" w:eastAsia="zh-CN"/>
    </w:rPr>
  </w:style>
  <w:style w:type="character" w:customStyle="1" w:styleId="239">
    <w:name w:val="样式3 Char"/>
    <w:basedOn w:val="195"/>
    <w:qFormat/>
    <w:uiPriority w:val="0"/>
    <w:rPr>
      <w:rFonts w:ascii="仿宋_GB2312" w:hAnsi="仿宋" w:eastAsia="仿宋_GB2312" w:cs="仿宋_GB2312"/>
      <w:sz w:val="32"/>
      <w:szCs w:val="30"/>
      <w:lang w:val="zh-CN"/>
    </w:rPr>
  </w:style>
  <w:style w:type="character" w:customStyle="1" w:styleId="240">
    <w:name w:val="正文首行缩进 2 Char1"/>
    <w:qFormat/>
    <w:uiPriority w:val="0"/>
    <w:rPr>
      <w:rFonts w:ascii="Times New Roman" w:hAnsi="Times New Roman" w:eastAsia="宋体" w:cs="Times New Roman"/>
      <w:kern w:val="2"/>
      <w:sz w:val="24"/>
      <w:szCs w:val="24"/>
    </w:rPr>
  </w:style>
  <w:style w:type="character" w:customStyle="1" w:styleId="241">
    <w:name w:val="副标题 Char2"/>
    <w:qFormat/>
    <w:uiPriority w:val="0"/>
    <w:rPr>
      <w:rFonts w:ascii="Cambria" w:hAnsi="Cambria" w:eastAsia="宋体" w:cs="Times New Roman"/>
      <w:b/>
      <w:bCs/>
      <w:snapToGrid w:val="0"/>
      <w:kern w:val="28"/>
      <w:sz w:val="32"/>
      <w:szCs w:val="32"/>
    </w:rPr>
  </w:style>
  <w:style w:type="character" w:customStyle="1" w:styleId="242">
    <w:name w:val="标题4-dyf Char"/>
    <w:link w:val="243"/>
    <w:qFormat/>
    <w:uiPriority w:val="0"/>
    <w:rPr>
      <w:rFonts w:ascii="Cambria" w:hAnsi="Cambria"/>
      <w:b/>
      <w:bCs/>
      <w:color w:val="000000"/>
      <w:kern w:val="2"/>
      <w:sz w:val="21"/>
      <w:szCs w:val="21"/>
    </w:rPr>
  </w:style>
  <w:style w:type="paragraph" w:customStyle="1" w:styleId="243">
    <w:name w:val="标题4-dyf"/>
    <w:basedOn w:val="7"/>
    <w:link w:val="24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4">
    <w:name w:val="dectext1"/>
    <w:qFormat/>
    <w:uiPriority w:val="0"/>
    <w:rPr>
      <w:rFonts w:ascii="宋体" w:hAnsi="宋体" w:eastAsia="宋体"/>
      <w:color w:val="333333"/>
      <w:sz w:val="21"/>
      <w:szCs w:val="21"/>
      <w:u w:val="none"/>
    </w:rPr>
  </w:style>
  <w:style w:type="character" w:customStyle="1" w:styleId="245">
    <w:name w:val="冯 Char"/>
    <w:link w:val="246"/>
    <w:qFormat/>
    <w:uiPriority w:val="0"/>
    <w:rPr>
      <w:rFonts w:ascii="宋体" w:hAnsi="宋体"/>
      <w:color w:val="000000"/>
      <w:sz w:val="24"/>
      <w:szCs w:val="24"/>
    </w:rPr>
  </w:style>
  <w:style w:type="paragraph" w:customStyle="1" w:styleId="246">
    <w:name w:val="冯"/>
    <w:basedOn w:val="1"/>
    <w:link w:val="245"/>
    <w:qFormat/>
    <w:uiPriority w:val="0"/>
    <w:pPr>
      <w:widowControl/>
      <w:adjustRightInd/>
      <w:spacing w:line="360" w:lineRule="auto"/>
      <w:ind w:firstLine="480" w:firstLineChars="200"/>
    </w:pPr>
    <w:rPr>
      <w:rFonts w:ascii="宋体" w:hAnsi="宋体"/>
      <w:color w:val="000000"/>
      <w:kern w:val="0"/>
      <w:sz w:val="24"/>
    </w:rPr>
  </w:style>
  <w:style w:type="character" w:customStyle="1" w:styleId="247">
    <w:name w:val="Header Char"/>
    <w:qFormat/>
    <w:locked/>
    <w:uiPriority w:val="0"/>
    <w:rPr>
      <w:rFonts w:eastAsia="宋体"/>
      <w:kern w:val="2"/>
      <w:sz w:val="18"/>
      <w:szCs w:val="18"/>
      <w:lang w:val="en-US" w:eastAsia="zh-CN" w:bidi="ar-SA"/>
    </w:rPr>
  </w:style>
  <w:style w:type="character" w:customStyle="1" w:styleId="248">
    <w:name w:val="Char Char12"/>
    <w:qFormat/>
    <w:uiPriority w:val="0"/>
    <w:rPr>
      <w:rFonts w:ascii="仿宋_GB2312" w:eastAsia="仿宋_GB2312"/>
      <w:b/>
      <w:bCs/>
      <w:kern w:val="2"/>
      <w:sz w:val="24"/>
      <w:szCs w:val="24"/>
      <w:lang w:val="zh-CN" w:eastAsia="zh-CN" w:bidi="ar-SA"/>
    </w:rPr>
  </w:style>
  <w:style w:type="character" w:customStyle="1" w:styleId="249">
    <w:name w:val="普通文字 Char3"/>
    <w:qFormat/>
    <w:uiPriority w:val="0"/>
    <w:rPr>
      <w:rFonts w:ascii="宋体" w:hAnsi="Courier New" w:eastAsia="宋体"/>
      <w:kern w:val="2"/>
      <w:sz w:val="21"/>
      <w:lang w:val="en-US" w:eastAsia="zh-CN" w:bidi="ar-SA"/>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正文首行缩进 Char Char Char Char Char"/>
    <w:qFormat/>
    <w:uiPriority w:val="0"/>
    <w:rPr>
      <w:rFonts w:ascii="宋体"/>
      <w:kern w:val="2"/>
      <w:sz w:val="24"/>
      <w:lang w:val="zh-CN"/>
    </w:rPr>
  </w:style>
  <w:style w:type="character" w:customStyle="1" w:styleId="252">
    <w:name w:val="PI Char"/>
    <w:qFormat/>
    <w:uiPriority w:val="0"/>
    <w:rPr>
      <w:rFonts w:ascii="宋体" w:hAnsi="宋体" w:eastAsia="宋体"/>
      <w:kern w:val="2"/>
      <w:sz w:val="24"/>
      <w:szCs w:val="24"/>
      <w:lang w:val="en-US" w:eastAsia="zh-CN" w:bidi="ar-SA"/>
    </w:rPr>
  </w:style>
  <w:style w:type="character" w:customStyle="1" w:styleId="253">
    <w:name w:val="Default Char"/>
    <w:link w:val="254"/>
    <w:qFormat/>
    <w:uiPriority w:val="0"/>
    <w:rPr>
      <w:rFonts w:ascii="仿宋_GB2312" w:eastAsia="仿宋_GB2312" w:cs="仿宋_GB2312"/>
      <w:color w:val="000000"/>
      <w:sz w:val="24"/>
      <w:szCs w:val="24"/>
      <w:lang w:val="en-US" w:eastAsia="zh-CN" w:bidi="ar-SA"/>
    </w:rPr>
  </w:style>
  <w:style w:type="paragraph" w:customStyle="1" w:styleId="254">
    <w:name w:val="Default"/>
    <w:next w:val="255"/>
    <w:link w:val="2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5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56">
    <w:name w:val="style91"/>
    <w:qFormat/>
    <w:uiPriority w:val="0"/>
    <w:rPr>
      <w:color w:val="333333"/>
    </w:rPr>
  </w:style>
  <w:style w:type="character" w:customStyle="1" w:styleId="257">
    <w:name w:val="列出段落 Char2"/>
    <w:qFormat/>
    <w:uiPriority w:val="34"/>
    <w:rPr>
      <w:rFonts w:ascii="Calibri" w:hAnsi="Calibri"/>
      <w:kern w:val="2"/>
      <w:sz w:val="28"/>
    </w:rPr>
  </w:style>
  <w:style w:type="character" w:customStyle="1" w:styleId="258">
    <w:name w:val="mdeck"/>
    <w:qFormat/>
    <w:uiPriority w:val="0"/>
    <w:rPr>
      <w:rFonts w:ascii="仿宋_GB2312" w:eastAsia="微软雅黑"/>
      <w:b/>
      <w:kern w:val="2"/>
      <w:sz w:val="32"/>
      <w:szCs w:val="32"/>
      <w:lang w:val="en-US" w:eastAsia="zh-CN" w:bidi="ar-SA"/>
    </w:rPr>
  </w:style>
  <w:style w:type="character" w:customStyle="1" w:styleId="259">
    <w:name w:val="unnamed11"/>
    <w:qFormat/>
    <w:uiPriority w:val="0"/>
    <w:rPr>
      <w:sz w:val="20"/>
      <w:szCs w:val="20"/>
    </w:rPr>
  </w:style>
  <w:style w:type="character" w:customStyle="1" w:styleId="260">
    <w:name w:val="正文文本 Char2"/>
    <w:semiHidden/>
    <w:qFormat/>
    <w:uiPriority w:val="99"/>
    <w:rPr>
      <w:rFonts w:ascii="Times New Roman" w:hAnsi="Times New Roman" w:eastAsia="宋体" w:cs="Times New Roman"/>
      <w:snapToGrid w:val="0"/>
      <w:kern w:val="0"/>
      <w:szCs w:val="24"/>
    </w:rPr>
  </w:style>
  <w:style w:type="character" w:customStyle="1" w:styleId="261">
    <w:name w:val="标书正文格式 Char"/>
    <w:qFormat/>
    <w:uiPriority w:val="0"/>
    <w:rPr>
      <w:rFonts w:eastAsia="楷体_GB2312"/>
      <w:kern w:val="2"/>
      <w:sz w:val="24"/>
      <w:szCs w:val="24"/>
      <w:lang w:bidi="ar-SA"/>
    </w:rPr>
  </w:style>
  <w:style w:type="character" w:customStyle="1" w:styleId="262">
    <w:name w:val="Char Char11"/>
    <w:qFormat/>
    <w:locked/>
    <w:uiPriority w:val="0"/>
    <w:rPr>
      <w:rFonts w:ascii="宋体" w:hAnsi="宋体" w:eastAsia="宋体"/>
      <w:b/>
      <w:kern w:val="2"/>
      <w:sz w:val="24"/>
      <w:szCs w:val="24"/>
      <w:lang w:val="en-US" w:eastAsia="zh-CN" w:bidi="ar-SA"/>
    </w:rPr>
  </w:style>
  <w:style w:type="character" w:customStyle="1" w:styleId="263">
    <w:name w:val="ca-131"/>
    <w:qFormat/>
    <w:uiPriority w:val="0"/>
    <w:rPr>
      <w:rFonts w:hint="eastAsia" w:ascii="仿宋_GB2312" w:eastAsia="仿宋_GB2312"/>
      <w:b/>
      <w:bCs/>
      <w:color w:val="000000"/>
      <w:spacing w:val="-20"/>
      <w:sz w:val="24"/>
      <w:szCs w:val="24"/>
    </w:rPr>
  </w:style>
  <w:style w:type="character" w:customStyle="1" w:styleId="264">
    <w:name w:val="tw4winMark"/>
    <w:qFormat/>
    <w:uiPriority w:val="0"/>
    <w:rPr>
      <w:rFonts w:ascii="Courier New" w:hAnsi="Courier New" w:cs="Courier New"/>
      <w:vanish/>
      <w:color w:val="800080"/>
      <w:sz w:val="24"/>
      <w:szCs w:val="24"/>
      <w:vertAlign w:val="subscript"/>
    </w:rPr>
  </w:style>
  <w:style w:type="character" w:customStyle="1" w:styleId="265">
    <w:name w:val="正文样式 Char"/>
    <w:link w:val="266"/>
    <w:qFormat/>
    <w:uiPriority w:val="0"/>
    <w:rPr>
      <w:rFonts w:ascii="Calibri" w:hAnsi="Calibri"/>
      <w:sz w:val="24"/>
      <w:szCs w:val="24"/>
    </w:rPr>
  </w:style>
  <w:style w:type="paragraph" w:customStyle="1" w:styleId="266">
    <w:name w:val="正文样式"/>
    <w:basedOn w:val="1"/>
    <w:link w:val="265"/>
    <w:qFormat/>
    <w:uiPriority w:val="0"/>
    <w:pPr>
      <w:adjustRightInd/>
      <w:spacing w:line="360" w:lineRule="auto"/>
      <w:ind w:firstLine="480" w:firstLineChars="200"/>
    </w:pPr>
    <w:rPr>
      <w:kern w:val="0"/>
      <w:sz w:val="24"/>
    </w:rPr>
  </w:style>
  <w:style w:type="character" w:customStyle="1" w:styleId="267">
    <w:name w:val="表正文 Char3"/>
    <w:qFormat/>
    <w:uiPriority w:val="0"/>
    <w:rPr>
      <w:rFonts w:eastAsia="宋体"/>
    </w:rPr>
  </w:style>
  <w:style w:type="character" w:customStyle="1" w:styleId="268">
    <w:name w:val="H5 Char"/>
    <w:qFormat/>
    <w:uiPriority w:val="0"/>
    <w:rPr>
      <w:b/>
      <w:bCs/>
      <w:kern w:val="2"/>
      <w:sz w:val="28"/>
      <w:szCs w:val="28"/>
    </w:rPr>
  </w:style>
  <w:style w:type="character" w:customStyle="1" w:styleId="269">
    <w:name w:val="Char Char3"/>
    <w:qFormat/>
    <w:uiPriority w:val="0"/>
    <w:rPr>
      <w:rFonts w:eastAsia="宋体"/>
      <w:kern w:val="2"/>
      <w:sz w:val="21"/>
      <w:szCs w:val="24"/>
      <w:lang w:val="en-US" w:eastAsia="zh-CN" w:bidi="ar-SA"/>
    </w:rPr>
  </w:style>
  <w:style w:type="character" w:customStyle="1" w:styleId="270">
    <w:name w:val="正文 编号 Char"/>
    <w:qFormat/>
    <w:uiPriority w:val="0"/>
    <w:rPr>
      <w:rFonts w:ascii="仿宋_GB2312" w:hAnsi="仿宋_GB2312" w:eastAsia="仿宋_GB2312"/>
      <w:kern w:val="2"/>
      <w:sz w:val="24"/>
      <w:lang w:bidi="ar-SA"/>
    </w:rPr>
  </w:style>
  <w:style w:type="character" w:customStyle="1" w:styleId="271">
    <w:name w:val="question-title2"/>
    <w:qFormat/>
    <w:uiPriority w:val="6"/>
    <w:rPr>
      <w:rFonts w:ascii="Arial" w:hAnsi="Arial" w:eastAsia="黑体" w:cs="Arial"/>
      <w:snapToGrid w:val="0"/>
      <w:kern w:val="0"/>
      <w:szCs w:val="21"/>
    </w:rPr>
  </w:style>
  <w:style w:type="character" w:customStyle="1" w:styleId="272">
    <w:name w:val="gf正文1 Char Char"/>
    <w:link w:val="273"/>
    <w:qFormat/>
    <w:uiPriority w:val="0"/>
    <w:rPr>
      <w:rFonts w:ascii="宋体" w:hAnsi="宋体" w:cs="宋体"/>
      <w:kern w:val="2"/>
      <w:sz w:val="24"/>
      <w:szCs w:val="24"/>
    </w:rPr>
  </w:style>
  <w:style w:type="paragraph" w:customStyle="1" w:styleId="273">
    <w:name w:val="gf正文1"/>
    <w:basedOn w:val="1"/>
    <w:link w:val="27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4">
    <w:name w:val="Char Char15"/>
    <w:qFormat/>
    <w:uiPriority w:val="6"/>
    <w:rPr>
      <w:rFonts w:ascii="宋体" w:hAnsi="宋体"/>
      <w:kern w:val="1"/>
      <w:sz w:val="21"/>
    </w:rPr>
  </w:style>
  <w:style w:type="character" w:customStyle="1" w:styleId="275">
    <w:name w:val="正文缩进 Char3"/>
    <w:qFormat/>
    <w:uiPriority w:val="0"/>
    <w:rPr>
      <w:rFonts w:ascii="宋体" w:eastAsia="宋体"/>
      <w:snapToGrid w:val="0"/>
      <w:color w:val="000000"/>
      <w:kern w:val="28"/>
      <w:sz w:val="28"/>
      <w:lang w:val="en-US" w:eastAsia="zh-CN" w:bidi="ar-SA"/>
    </w:rPr>
  </w:style>
  <w:style w:type="character" w:customStyle="1" w:styleId="276">
    <w:name w:val="列出段落 Char1"/>
    <w:link w:val="277"/>
    <w:qFormat/>
    <w:uiPriority w:val="0"/>
    <w:rPr>
      <w:rFonts w:ascii="Calibri" w:hAnsi="Calibri"/>
      <w:sz w:val="24"/>
      <w:lang w:eastAsia="en-US"/>
    </w:rPr>
  </w:style>
  <w:style w:type="paragraph" w:customStyle="1" w:styleId="277">
    <w:name w:val="列表1"/>
    <w:basedOn w:val="1"/>
    <w:next w:val="278"/>
    <w:link w:val="276"/>
    <w:qFormat/>
    <w:uiPriority w:val="0"/>
    <w:pPr>
      <w:widowControl/>
      <w:adjustRightInd/>
      <w:spacing w:after="200" w:line="360" w:lineRule="auto"/>
      <w:ind w:left="720" w:firstLine="200" w:firstLineChars="200"/>
      <w:jc w:val="left"/>
    </w:pPr>
    <w:rPr>
      <w:kern w:val="0"/>
      <w:sz w:val="24"/>
      <w:szCs w:val="20"/>
      <w:lang w:eastAsia="en-US"/>
    </w:rPr>
  </w:style>
  <w:style w:type="paragraph" w:styleId="278">
    <w:name w:val="List Paragraph"/>
    <w:basedOn w:val="1"/>
    <w:qFormat/>
    <w:uiPriority w:val="34"/>
    <w:pPr>
      <w:spacing w:line="360" w:lineRule="auto"/>
      <w:ind w:firstLine="200" w:firstLineChars="200"/>
    </w:pPr>
    <w:rPr>
      <w:rFonts w:eastAsia="楷体_GB2312" w:cs="Lucida Sans"/>
      <w:sz w:val="24"/>
    </w:rPr>
  </w:style>
  <w:style w:type="character" w:customStyle="1" w:styleId="279">
    <w:name w:val="Char Char8"/>
    <w:qFormat/>
    <w:uiPriority w:val="0"/>
    <w:rPr>
      <w:rFonts w:eastAsia="宋体"/>
      <w:b/>
      <w:sz w:val="24"/>
      <w:lang w:val="en-GB" w:eastAsia="zh-CN"/>
    </w:rPr>
  </w:style>
  <w:style w:type="character" w:customStyle="1" w:styleId="280">
    <w:name w:val="Normal Indent Char Char"/>
    <w:qFormat/>
    <w:uiPriority w:val="0"/>
    <w:rPr>
      <w:rFonts w:eastAsia="宋体"/>
      <w:kern w:val="2"/>
      <w:sz w:val="21"/>
      <w:lang w:val="en-US" w:eastAsia="zh-CN" w:bidi="ar-SA"/>
    </w:rPr>
  </w:style>
  <w:style w:type="character" w:customStyle="1" w:styleId="281">
    <w:name w:val="列表段落 字符"/>
    <w:qFormat/>
    <w:uiPriority w:val="99"/>
  </w:style>
  <w:style w:type="character" w:customStyle="1" w:styleId="282">
    <w:name w:val="Ò³Ã¼ Char Char1"/>
    <w:qFormat/>
    <w:uiPriority w:val="0"/>
    <w:rPr>
      <w:rFonts w:eastAsia="宋体"/>
      <w:kern w:val="2"/>
      <w:sz w:val="18"/>
      <w:szCs w:val="18"/>
      <w:lang w:val="en-US" w:eastAsia="zh-CN" w:bidi="ar-SA"/>
    </w:rPr>
  </w:style>
  <w:style w:type="character" w:customStyle="1" w:styleId="283">
    <w:name w:val="方案正文 Char"/>
    <w:qFormat/>
    <w:uiPriority w:val="0"/>
    <w:rPr>
      <w:rFonts w:ascii="仿宋_GB2312" w:eastAsia="仿宋_GB2312"/>
      <w:b/>
      <w:color w:val="000000"/>
      <w:kern w:val="2"/>
      <w:sz w:val="24"/>
      <w:lang w:val="en-US" w:eastAsia="zh-CN" w:bidi="ar-SA"/>
    </w:rPr>
  </w:style>
  <w:style w:type="character" w:customStyle="1" w:styleId="284">
    <w:name w:val="Char Char30"/>
    <w:qFormat/>
    <w:uiPriority w:val="6"/>
    <w:rPr>
      <w:rFonts w:ascii="Arial" w:hAnsi="Arial" w:eastAsia="黑体"/>
      <w:kern w:val="1"/>
      <w:sz w:val="21"/>
      <w:szCs w:val="21"/>
    </w:rPr>
  </w:style>
  <w:style w:type="character" w:customStyle="1" w:styleId="285">
    <w:name w:val="font01"/>
    <w:qFormat/>
    <w:uiPriority w:val="0"/>
    <w:rPr>
      <w:rFonts w:hint="eastAsia" w:ascii="微软雅黑" w:hAnsi="微软雅黑" w:eastAsia="微软雅黑" w:cs="微软雅黑"/>
      <w:color w:val="000000"/>
      <w:sz w:val="20"/>
      <w:szCs w:val="20"/>
      <w:u w:val="none"/>
    </w:rPr>
  </w:style>
  <w:style w:type="character" w:customStyle="1" w:styleId="286">
    <w:name w:val="Char Char20"/>
    <w:qFormat/>
    <w:uiPriority w:val="6"/>
    <w:rPr>
      <w:kern w:val="1"/>
      <w:sz w:val="24"/>
    </w:rPr>
  </w:style>
  <w:style w:type="character" w:customStyle="1" w:styleId="287">
    <w:name w:val="tw4winExternal"/>
    <w:qFormat/>
    <w:uiPriority w:val="0"/>
    <w:rPr>
      <w:rFonts w:ascii="Courier New" w:hAnsi="Courier New" w:cs="Courier New"/>
      <w:color w:val="808080"/>
      <w:lang w:val="en-US" w:eastAsia="zh-CN"/>
    </w:rPr>
  </w:style>
  <w:style w:type="character" w:customStyle="1" w:styleId="288">
    <w:name w:val="标题 4 Char1"/>
    <w:qFormat/>
    <w:uiPriority w:val="9"/>
    <w:rPr>
      <w:rFonts w:ascii="Cambria" w:hAnsi="Cambria" w:eastAsia="宋体" w:cs="Times New Roman"/>
      <w:b/>
      <w:bCs/>
      <w:kern w:val="2"/>
      <w:sz w:val="28"/>
      <w:szCs w:val="28"/>
    </w:rPr>
  </w:style>
  <w:style w:type="character" w:customStyle="1" w:styleId="289">
    <w:name w:val="批注文字 Char2"/>
    <w:qFormat/>
    <w:uiPriority w:val="99"/>
    <w:rPr>
      <w:rFonts w:ascii="Times New Roman" w:hAnsi="Times New Roman" w:eastAsia="宋体" w:cs="Times New Roman"/>
      <w:snapToGrid w:val="0"/>
      <w:kern w:val="0"/>
      <w:szCs w:val="24"/>
    </w:rPr>
  </w:style>
  <w:style w:type="character" w:customStyle="1" w:styleId="290">
    <w:name w:val="正文文本 2 Char"/>
    <w:qFormat/>
    <w:uiPriority w:val="0"/>
    <w:rPr>
      <w:rFonts w:eastAsia="宋体"/>
      <w:kern w:val="2"/>
      <w:sz w:val="21"/>
      <w:szCs w:val="24"/>
      <w:lang w:val="en-US" w:eastAsia="zh-CN" w:bidi="ar-SA"/>
    </w:rPr>
  </w:style>
  <w:style w:type="character" w:customStyle="1" w:styleId="291">
    <w:name w:val="Ò³Ã¼ Char Char"/>
    <w:qFormat/>
    <w:uiPriority w:val="0"/>
    <w:rPr>
      <w:rFonts w:eastAsia="宋体"/>
      <w:kern w:val="2"/>
      <w:sz w:val="18"/>
      <w:lang w:val="en-US" w:eastAsia="zh-CN" w:bidi="ar-SA"/>
    </w:rPr>
  </w:style>
  <w:style w:type="character" w:customStyle="1" w:styleId="292">
    <w:name w:val="message1"/>
    <w:qFormat/>
    <w:uiPriority w:val="0"/>
    <w:rPr>
      <w:rFonts w:hint="default" w:ascii="Tahoma" w:hAnsi="Tahoma" w:cs="Tahoma"/>
      <w:sz w:val="18"/>
      <w:szCs w:val="18"/>
    </w:rPr>
  </w:style>
  <w:style w:type="character" w:customStyle="1" w:styleId="293">
    <w:name w:val="Char Char23"/>
    <w:qFormat/>
    <w:uiPriority w:val="6"/>
    <w:rPr>
      <w:color w:val="0000FF"/>
      <w:sz w:val="21"/>
    </w:rPr>
  </w:style>
  <w:style w:type="character" w:customStyle="1" w:styleId="294">
    <w:name w:val="批注框文本 字符"/>
    <w:qFormat/>
    <w:uiPriority w:val="99"/>
    <w:rPr>
      <w:rFonts w:ascii="Arial" w:hAnsi="Arial" w:eastAsia="黑体" w:cs="Arial"/>
      <w:snapToGrid w:val="0"/>
      <w:kern w:val="0"/>
      <w:sz w:val="18"/>
      <w:szCs w:val="18"/>
    </w:rPr>
  </w:style>
  <w:style w:type="character" w:customStyle="1" w:styleId="295">
    <w:name w:val="纯文本 Char2"/>
    <w:semiHidden/>
    <w:qFormat/>
    <w:uiPriority w:val="99"/>
    <w:rPr>
      <w:rFonts w:ascii="宋体" w:hAnsi="Courier New" w:eastAsia="宋体" w:cs="Courier New"/>
    </w:rPr>
  </w:style>
  <w:style w:type="character" w:customStyle="1" w:styleId="296">
    <w:name w:val="Char Char25"/>
    <w:qFormat/>
    <w:uiPriority w:val="6"/>
    <w:rPr>
      <w:rFonts w:ascii="宋体" w:hAnsi="宋体"/>
      <w:kern w:val="1"/>
      <w:sz w:val="24"/>
      <w:lang w:val="zh-CN"/>
    </w:rPr>
  </w:style>
  <w:style w:type="character" w:customStyle="1" w:styleId="297">
    <w:name w:val="Char Char411"/>
    <w:qFormat/>
    <w:uiPriority w:val="0"/>
    <w:rPr>
      <w:rFonts w:eastAsia="宋体"/>
      <w:b/>
      <w:sz w:val="24"/>
      <w:lang w:val="en-GB" w:eastAsia="zh-CN" w:bidi="ar-SA"/>
    </w:rPr>
  </w:style>
  <w:style w:type="character" w:customStyle="1" w:styleId="298">
    <w:name w:val="Heading 7 Char"/>
    <w:qFormat/>
    <w:locked/>
    <w:uiPriority w:val="0"/>
    <w:rPr>
      <w:rFonts w:ascii="宋体" w:hAnsi="宋体" w:eastAsia="宋体"/>
      <w:b/>
      <w:bCs/>
      <w:kern w:val="2"/>
      <w:sz w:val="24"/>
      <w:szCs w:val="24"/>
      <w:lang w:val="en-US" w:eastAsia="zh-CN" w:bidi="ar-SA"/>
    </w:rPr>
  </w:style>
  <w:style w:type="character" w:customStyle="1" w:styleId="299">
    <w:name w:val="此正文 Char"/>
    <w:link w:val="300"/>
    <w:qFormat/>
    <w:uiPriority w:val="0"/>
    <w:rPr>
      <w:kern w:val="2"/>
      <w:sz w:val="24"/>
      <w:szCs w:val="24"/>
    </w:rPr>
  </w:style>
  <w:style w:type="paragraph" w:customStyle="1" w:styleId="300">
    <w:name w:val="此正文"/>
    <w:basedOn w:val="1"/>
    <w:link w:val="299"/>
    <w:qFormat/>
    <w:uiPriority w:val="0"/>
    <w:pPr>
      <w:adjustRightInd/>
      <w:spacing w:line="360" w:lineRule="auto"/>
      <w:ind w:firstLine="200" w:firstLineChars="200"/>
    </w:pPr>
    <w:rPr>
      <w:sz w:val="24"/>
    </w:rPr>
  </w:style>
  <w:style w:type="character" w:customStyle="1" w:styleId="301">
    <w:name w:val="Char Char2"/>
    <w:qFormat/>
    <w:uiPriority w:val="0"/>
    <w:rPr>
      <w:rFonts w:eastAsia="宋体"/>
      <w:b/>
      <w:bCs/>
      <w:kern w:val="2"/>
      <w:sz w:val="21"/>
      <w:szCs w:val="24"/>
      <w:lang w:val="en-US" w:eastAsia="zh-CN" w:bidi="ar-SA"/>
    </w:rPr>
  </w:style>
  <w:style w:type="character" w:customStyle="1" w:styleId="302">
    <w:name w:val="Footer-Even Char1"/>
    <w:qFormat/>
    <w:uiPriority w:val="0"/>
    <w:rPr>
      <w:rFonts w:eastAsia="宋体"/>
      <w:kern w:val="2"/>
      <w:sz w:val="18"/>
      <w:szCs w:val="18"/>
      <w:lang w:val="en-US" w:eastAsia="zh-CN" w:bidi="ar-SA"/>
    </w:rPr>
  </w:style>
  <w:style w:type="character" w:customStyle="1" w:styleId="303">
    <w:name w:val="Char Char29"/>
    <w:qFormat/>
    <w:uiPriority w:val="6"/>
    <w:rPr>
      <w:rFonts w:ascii="Arial" w:hAnsi="Arial" w:eastAsia="微软雅黑"/>
      <w:b/>
      <w:kern w:val="1"/>
      <w:sz w:val="44"/>
      <w:szCs w:val="32"/>
      <w:lang w:val="en-US" w:eastAsia="zh-CN" w:bidi="ar-SA"/>
    </w:rPr>
  </w:style>
  <w:style w:type="character" w:customStyle="1" w:styleId="304">
    <w:name w:val="font81"/>
    <w:qFormat/>
    <w:uiPriority w:val="0"/>
    <w:rPr>
      <w:rFonts w:ascii="微软雅黑" w:hAnsi="微软雅黑" w:eastAsia="微软雅黑" w:cs="微软雅黑"/>
      <w:color w:val="000000"/>
      <w:sz w:val="20"/>
      <w:szCs w:val="20"/>
      <w:u w:val="none"/>
    </w:rPr>
  </w:style>
  <w:style w:type="character" w:customStyle="1" w:styleId="305">
    <w:name w:val="Char Char312"/>
    <w:qFormat/>
    <w:uiPriority w:val="0"/>
    <w:rPr>
      <w:rFonts w:ascii="Times New Roman" w:hAnsi="Times New Roman" w:eastAsia="宋体" w:cs="Times New Roman"/>
      <w:b/>
      <w:kern w:val="2"/>
      <w:sz w:val="32"/>
      <w:szCs w:val="24"/>
      <w:lang w:val="en-US" w:eastAsia="zh-CN" w:bidi="ar-SA"/>
    </w:rPr>
  </w:style>
  <w:style w:type="character" w:customStyle="1" w:styleId="306">
    <w:name w:val="t21"/>
    <w:qFormat/>
    <w:uiPriority w:val="0"/>
    <w:rPr>
      <w:rFonts w:ascii="仿宋_GB2312" w:eastAsia="微软雅黑"/>
      <w:b/>
      <w:kern w:val="2"/>
      <w:sz w:val="23"/>
      <w:szCs w:val="23"/>
      <w:lang w:val="en-US" w:eastAsia="zh-CN" w:bidi="ar-SA"/>
    </w:rPr>
  </w:style>
  <w:style w:type="character" w:customStyle="1" w:styleId="307">
    <w:name w:val="样式8 Char"/>
    <w:qFormat/>
    <w:uiPriority w:val="0"/>
    <w:rPr>
      <w:rFonts w:ascii="仿宋_GB2312" w:hAnsi="宋体" w:eastAsia="仿宋_GB2312"/>
      <w:b/>
      <w:bCs/>
      <w:kern w:val="2"/>
      <w:sz w:val="24"/>
      <w:szCs w:val="24"/>
    </w:rPr>
  </w:style>
  <w:style w:type="character" w:customStyle="1" w:styleId="308">
    <w:name w:val="表格 Char Char"/>
    <w:qFormat/>
    <w:uiPriority w:val="0"/>
    <w:rPr>
      <w:rFonts w:ascii="宋体" w:hAnsi="宋体" w:eastAsia="宋体"/>
      <w:lang w:bidi="ar-SA"/>
    </w:rPr>
  </w:style>
  <w:style w:type="character" w:customStyle="1" w:styleId="309">
    <w:name w:val="正文文本 字符1"/>
    <w:qFormat/>
    <w:uiPriority w:val="0"/>
    <w:rPr>
      <w:rFonts w:ascii="Calibri" w:hAnsi="Calibri" w:eastAsia="黑体" w:cs="Arial"/>
      <w:snapToGrid w:val="0"/>
      <w:kern w:val="2"/>
      <w:sz w:val="28"/>
      <w:szCs w:val="21"/>
    </w:rPr>
  </w:style>
  <w:style w:type="character" w:customStyle="1" w:styleId="310">
    <w:name w:val="标题 6 Char1"/>
    <w:qFormat/>
    <w:uiPriority w:val="0"/>
    <w:rPr>
      <w:rFonts w:ascii="Arial" w:hAnsi="Arial" w:eastAsia="黑体" w:cs="Times New Roman"/>
      <w:b/>
      <w:sz w:val="24"/>
      <w:szCs w:val="20"/>
      <w:lang w:bidi="ar-SA"/>
    </w:rPr>
  </w:style>
  <w:style w:type="character" w:customStyle="1" w:styleId="311">
    <w:name w:val="带编号样式 Char"/>
    <w:qFormat/>
    <w:uiPriority w:val="0"/>
    <w:rPr>
      <w:rFonts w:ascii="仿宋_GB2312" w:eastAsia="仿宋_GB2312"/>
      <w:color w:val="000000"/>
      <w:sz w:val="24"/>
      <w:lang w:bidi="ar-SA"/>
    </w:rPr>
  </w:style>
  <w:style w:type="character" w:customStyle="1" w:styleId="312">
    <w:name w:val="unnamed31"/>
    <w:qFormat/>
    <w:uiPriority w:val="0"/>
    <w:rPr>
      <w:rFonts w:ascii="Tahoma" w:hAnsi="Tahoma" w:eastAsia="宋体"/>
      <w:b/>
      <w:kern w:val="2"/>
      <w:sz w:val="24"/>
      <w:szCs w:val="32"/>
      <w:u w:val="none"/>
      <w:lang w:val="en-US" w:eastAsia="zh-CN" w:bidi="ar-SA"/>
    </w:rPr>
  </w:style>
  <w:style w:type="character" w:customStyle="1" w:styleId="313">
    <w:name w:val="正文首行缩进 Char Char Char Char Char Char1"/>
    <w:qFormat/>
    <w:uiPriority w:val="0"/>
    <w:rPr>
      <w:rFonts w:ascii="宋体" w:eastAsia="宋体"/>
      <w:kern w:val="2"/>
      <w:sz w:val="24"/>
      <w:szCs w:val="24"/>
      <w:lang w:val="zh-CN" w:bidi="ar-SA"/>
    </w:rPr>
  </w:style>
  <w:style w:type="character" w:customStyle="1" w:styleId="314">
    <w:name w:val="文本正文 Char Char"/>
    <w:qFormat/>
    <w:locked/>
    <w:uiPriority w:val="0"/>
    <w:rPr>
      <w:sz w:val="24"/>
      <w:lang w:bidi="ar-SA"/>
    </w:rPr>
  </w:style>
  <w:style w:type="character" w:customStyle="1" w:styleId="315">
    <w:name w:val="正文缩进 字符"/>
    <w:qFormat/>
    <w:uiPriority w:val="0"/>
    <w:rPr>
      <w:rFonts w:ascii="宋体" w:eastAsia="宋体"/>
      <w:snapToGrid w:val="0"/>
      <w:color w:val="000000"/>
      <w:kern w:val="28"/>
      <w:sz w:val="28"/>
      <w:lang w:val="en-US" w:eastAsia="zh-CN" w:bidi="ar-SA"/>
    </w:rPr>
  </w:style>
  <w:style w:type="character" w:customStyle="1" w:styleId="316">
    <w:name w:val="样式 样式 标题 4h4H4Fab-4T5Ref Heading 1rh1Heading sqlsect 1.2.3.... +... Char"/>
    <w:link w:val="317"/>
    <w:qFormat/>
    <w:uiPriority w:val="0"/>
    <w:rPr>
      <w:rFonts w:ascii="微软雅黑" w:hAnsi="微软雅黑" w:eastAsia="微软雅黑"/>
      <w:b/>
      <w:bCs/>
      <w:kern w:val="2"/>
      <w:sz w:val="24"/>
      <w:szCs w:val="28"/>
    </w:rPr>
  </w:style>
  <w:style w:type="paragraph" w:customStyle="1" w:styleId="317">
    <w:name w:val="样式 样式 标题 4h4H4Fab-4T5Ref Heading 1rh1Heading sqlsect 1.2.3.... +..."/>
    <w:basedOn w:val="318"/>
    <w:link w:val="316"/>
    <w:qFormat/>
    <w:uiPriority w:val="0"/>
    <w:pPr>
      <w:tabs>
        <w:tab w:val="left" w:pos="2356"/>
      </w:tabs>
    </w:pPr>
  </w:style>
  <w:style w:type="paragraph" w:customStyle="1" w:styleId="318">
    <w:name w:val="样式 标题 4h4H4Fab-4T5Ref Heading 1rh1Heading sqlsect 1.2.3...."/>
    <w:basedOn w:val="7"/>
    <w:link w:val="3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9">
    <w:name w:val="样式 标题 4h4H4Fab-4T5Ref Heading 1rh1Heading sqlsect 1.2.3.... Char"/>
    <w:link w:val="318"/>
    <w:qFormat/>
    <w:uiPriority w:val="0"/>
    <w:rPr>
      <w:rFonts w:ascii="微软雅黑" w:hAnsi="微软雅黑" w:eastAsia="微软雅黑"/>
      <w:b/>
      <w:bCs/>
      <w:kern w:val="2"/>
      <w:sz w:val="24"/>
      <w:szCs w:val="28"/>
    </w:rPr>
  </w:style>
  <w:style w:type="character" w:customStyle="1" w:styleId="320">
    <w:name w:val="正文非缩进 Char"/>
    <w:qFormat/>
    <w:uiPriority w:val="0"/>
    <w:rPr>
      <w:rFonts w:ascii="宋体" w:eastAsia="宋体"/>
      <w:snapToGrid w:val="0"/>
      <w:color w:val="000000"/>
      <w:kern w:val="28"/>
      <w:sz w:val="28"/>
      <w:lang w:val="en-US" w:eastAsia="zh-CN" w:bidi="ar-SA"/>
    </w:rPr>
  </w:style>
  <w:style w:type="character" w:customStyle="1" w:styleId="321">
    <w:name w:val="Char Char5"/>
    <w:qFormat/>
    <w:uiPriority w:val="0"/>
    <w:rPr>
      <w:rFonts w:ascii="宋体" w:hAnsi="Courier New" w:eastAsia="宋体"/>
      <w:kern w:val="2"/>
      <w:sz w:val="21"/>
      <w:lang w:val="en-US" w:eastAsia="zh-CN"/>
    </w:rPr>
  </w:style>
  <w:style w:type="character" w:customStyle="1" w:styleId="322">
    <w:name w:val="称呼 Char1"/>
    <w:qFormat/>
    <w:uiPriority w:val="0"/>
    <w:rPr>
      <w:rFonts w:ascii="Times New Roman" w:hAnsi="Times New Roman" w:eastAsia="宋体" w:cs="Times New Roman"/>
      <w:szCs w:val="24"/>
    </w:rPr>
  </w:style>
  <w:style w:type="character" w:customStyle="1" w:styleId="323">
    <w:name w:val="正文1 Char"/>
    <w:qFormat/>
    <w:uiPriority w:val="0"/>
    <w:rPr>
      <w:rFonts w:ascii="宋体" w:eastAsia="宋体"/>
      <w:snapToGrid w:val="0"/>
      <w:color w:val="000000"/>
      <w:kern w:val="28"/>
      <w:sz w:val="28"/>
      <w:lang w:val="en-US" w:eastAsia="zh-CN" w:bidi="ar-SA"/>
    </w:rPr>
  </w:style>
  <w:style w:type="character" w:customStyle="1" w:styleId="324">
    <w:name w:val="正文缩进 Char1"/>
    <w:qFormat/>
    <w:uiPriority w:val="0"/>
    <w:rPr>
      <w:rFonts w:ascii="宋体" w:eastAsia="宋体"/>
      <w:snapToGrid w:val="0"/>
      <w:color w:val="000000"/>
      <w:kern w:val="28"/>
      <w:sz w:val="28"/>
      <w:lang w:val="en-US" w:eastAsia="zh-CN" w:bidi="ar-SA"/>
    </w:rPr>
  </w:style>
  <w:style w:type="character" w:customStyle="1" w:styleId="325">
    <w:name w:val="font21"/>
    <w:qFormat/>
    <w:uiPriority w:val="0"/>
    <w:rPr>
      <w:rFonts w:hint="eastAsia" w:ascii="宋体" w:hAnsi="宋体" w:eastAsia="宋体"/>
      <w:kern w:val="2"/>
      <w:sz w:val="28"/>
      <w:szCs w:val="28"/>
      <w:lang w:val="en-US" w:eastAsia="zh-CN" w:bidi="ar-SA"/>
    </w:rPr>
  </w:style>
  <w:style w:type="character" w:customStyle="1" w:styleId="326">
    <w:name w:val="Char Char26"/>
    <w:qFormat/>
    <w:uiPriority w:val="6"/>
    <w:rPr>
      <w:kern w:val="1"/>
      <w:sz w:val="21"/>
      <w:szCs w:val="24"/>
    </w:rPr>
  </w:style>
  <w:style w:type="character" w:customStyle="1" w:styleId="327">
    <w:name w:val="Item List Char"/>
    <w:link w:val="328"/>
    <w:qFormat/>
    <w:uiPriority w:val="0"/>
    <w:rPr>
      <w:rFonts w:ascii="Arial"/>
      <w:bCs/>
      <w:sz w:val="21"/>
      <w:szCs w:val="21"/>
      <w:lang w:val="en-US" w:eastAsia="zh-CN" w:bidi="ar-SA"/>
    </w:rPr>
  </w:style>
  <w:style w:type="paragraph" w:customStyle="1" w:styleId="328">
    <w:name w:val="Item List"/>
    <w:link w:val="32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9">
    <w:name w:val="批注框文本 Char1"/>
    <w:qFormat/>
    <w:uiPriority w:val="0"/>
    <w:rPr>
      <w:rFonts w:ascii="Times New Roman" w:hAnsi="Times New Roman" w:eastAsia="宋体" w:cs="Times New Roman"/>
      <w:sz w:val="18"/>
      <w:szCs w:val="18"/>
    </w:rPr>
  </w:style>
  <w:style w:type="character" w:customStyle="1" w:styleId="330">
    <w:name w:val="纯文本 Char1"/>
    <w:link w:val="331"/>
    <w:qFormat/>
    <w:uiPriority w:val="0"/>
    <w:rPr>
      <w:rFonts w:ascii="宋体" w:hAnsi="Courier New"/>
    </w:rPr>
  </w:style>
  <w:style w:type="paragraph" w:customStyle="1" w:styleId="331">
    <w:name w:val="纯文本1"/>
    <w:basedOn w:val="1"/>
    <w:link w:val="330"/>
    <w:qFormat/>
    <w:uiPriority w:val="0"/>
    <w:pPr>
      <w:adjustRightInd/>
    </w:pPr>
    <w:rPr>
      <w:rFonts w:ascii="宋体" w:hAnsi="Courier New"/>
      <w:kern w:val="0"/>
      <w:sz w:val="20"/>
      <w:szCs w:val="20"/>
    </w:rPr>
  </w:style>
  <w:style w:type="character" w:customStyle="1" w:styleId="332">
    <w:name w:val="h3 Char"/>
    <w:qFormat/>
    <w:uiPriority w:val="0"/>
    <w:rPr>
      <w:rFonts w:eastAsia="宋体"/>
      <w:b/>
      <w:kern w:val="2"/>
      <w:sz w:val="32"/>
      <w:lang w:val="en-US" w:eastAsia="zh-CN" w:bidi="ar-SA"/>
    </w:rPr>
  </w:style>
  <w:style w:type="character" w:customStyle="1" w:styleId="333">
    <w:name w:val="dandyren_title1"/>
    <w:qFormat/>
    <w:uiPriority w:val="0"/>
    <w:rPr>
      <w:b/>
      <w:bCs/>
      <w:color w:val="FF6633"/>
      <w:sz w:val="18"/>
      <w:szCs w:val="18"/>
    </w:rPr>
  </w:style>
  <w:style w:type="character" w:customStyle="1" w:styleId="334">
    <w:name w:val="Char Char31"/>
    <w:qFormat/>
    <w:uiPriority w:val="6"/>
    <w:rPr>
      <w:rFonts w:ascii="Arial" w:hAnsi="Arial" w:eastAsia="黑体"/>
      <w:kern w:val="1"/>
      <w:sz w:val="24"/>
      <w:szCs w:val="24"/>
    </w:rPr>
  </w:style>
  <w:style w:type="character" w:customStyle="1" w:styleId="335">
    <w:name w:val="h Char1"/>
    <w:qFormat/>
    <w:uiPriority w:val="0"/>
    <w:rPr>
      <w:sz w:val="18"/>
      <w:szCs w:val="18"/>
    </w:rPr>
  </w:style>
  <w:style w:type="character" w:customStyle="1" w:styleId="336">
    <w:name w:val="solutionfonts"/>
    <w:qFormat/>
    <w:uiPriority w:val="0"/>
  </w:style>
  <w:style w:type="character" w:customStyle="1" w:styleId="337">
    <w:name w:val="首行缩进 Char"/>
    <w:qFormat/>
    <w:uiPriority w:val="0"/>
    <w:rPr>
      <w:rFonts w:ascii="宋体" w:eastAsia="宋体"/>
      <w:kern w:val="2"/>
      <w:sz w:val="24"/>
      <w:lang w:val="en-US" w:eastAsia="zh-CN" w:bidi="ar-SA"/>
    </w:rPr>
  </w:style>
  <w:style w:type="character" w:customStyle="1" w:styleId="338">
    <w:name w:val="Char Char52"/>
    <w:qFormat/>
    <w:uiPriority w:val="0"/>
    <w:rPr>
      <w:rFonts w:ascii="宋体" w:hAnsi="Courier New" w:eastAsia="宋体"/>
      <w:kern w:val="2"/>
      <w:sz w:val="21"/>
      <w:lang w:val="en-US" w:eastAsia="zh-CN"/>
    </w:rPr>
  </w:style>
  <w:style w:type="character" w:customStyle="1" w:styleId="339">
    <w:name w:val="font31"/>
    <w:qFormat/>
    <w:uiPriority w:val="0"/>
    <w:rPr>
      <w:rFonts w:hint="eastAsia" w:ascii="仿宋" w:hAnsi="仿宋" w:eastAsia="仿宋" w:cs="仿宋"/>
      <w:color w:val="000000"/>
      <w:sz w:val="20"/>
      <w:szCs w:val="20"/>
      <w:u w:val="none"/>
    </w:rPr>
  </w:style>
  <w:style w:type="character" w:customStyle="1" w:styleId="340">
    <w:name w:val="正文说明 Char"/>
    <w:link w:val="341"/>
    <w:qFormat/>
    <w:uiPriority w:val="0"/>
    <w:rPr>
      <w:sz w:val="24"/>
      <w:szCs w:val="24"/>
    </w:rPr>
  </w:style>
  <w:style w:type="paragraph" w:customStyle="1" w:styleId="341">
    <w:name w:val="正文说明"/>
    <w:basedOn w:val="1"/>
    <w:link w:val="340"/>
    <w:qFormat/>
    <w:uiPriority w:val="0"/>
    <w:pPr>
      <w:adjustRightInd/>
      <w:spacing w:line="360" w:lineRule="auto"/>
    </w:pPr>
    <w:rPr>
      <w:kern w:val="0"/>
      <w:sz w:val="24"/>
    </w:rPr>
  </w:style>
  <w:style w:type="character" w:customStyle="1" w:styleId="342">
    <w:name w:val="脚注文本 Char1"/>
    <w:qFormat/>
    <w:uiPriority w:val="0"/>
    <w:rPr>
      <w:rFonts w:ascii="Times New Roman" w:hAnsi="Times New Roman" w:eastAsia="宋体" w:cs="Times New Roman"/>
      <w:sz w:val="18"/>
      <w:szCs w:val="18"/>
    </w:rPr>
  </w:style>
  <w:style w:type="character" w:customStyle="1" w:styleId="343">
    <w:name w:val="Char Char1211"/>
    <w:qFormat/>
    <w:uiPriority w:val="0"/>
    <w:rPr>
      <w:rFonts w:ascii="仿宋_GB2312" w:eastAsia="仿宋_GB2312"/>
      <w:b/>
      <w:bCs/>
      <w:kern w:val="2"/>
      <w:sz w:val="24"/>
      <w:szCs w:val="24"/>
      <w:lang w:val="zh-CN" w:eastAsia="zh-CN" w:bidi="ar-SA"/>
    </w:rPr>
  </w:style>
  <w:style w:type="character" w:customStyle="1" w:styleId="344">
    <w:name w:val="标题 Char"/>
    <w:qFormat/>
    <w:uiPriority w:val="0"/>
    <w:rPr>
      <w:rFonts w:eastAsia="宋体"/>
      <w:b/>
      <w:sz w:val="24"/>
      <w:lang w:val="en-GB" w:eastAsia="zh-CN" w:bidi="ar-SA"/>
    </w:rPr>
  </w:style>
  <w:style w:type="character" w:customStyle="1" w:styleId="345">
    <w:name w:val="Char Char35"/>
    <w:qFormat/>
    <w:uiPriority w:val="6"/>
    <w:rPr>
      <w:rFonts w:ascii="Arial" w:hAnsi="Arial" w:eastAsia="黑体"/>
      <w:b/>
      <w:kern w:val="1"/>
      <w:sz w:val="28"/>
      <w:szCs w:val="28"/>
      <w:lang w:val="zh-CN"/>
    </w:rPr>
  </w:style>
  <w:style w:type="character" w:customStyle="1" w:styleId="346">
    <w:name w:val="纯文本 Char Char Char"/>
    <w:qFormat/>
    <w:uiPriority w:val="0"/>
    <w:rPr>
      <w:rFonts w:ascii="宋体" w:hAnsi="Courier New" w:eastAsia="宋体"/>
      <w:kern w:val="2"/>
      <w:sz w:val="21"/>
      <w:lang w:val="en-US" w:eastAsia="zh-CN" w:bidi="ar-SA"/>
    </w:rPr>
  </w:style>
  <w:style w:type="character" w:customStyle="1" w:styleId="347">
    <w:name w:val="Table Text Char"/>
    <w:link w:val="348"/>
    <w:qFormat/>
    <w:uiPriority w:val="0"/>
    <w:rPr>
      <w:sz w:val="24"/>
      <w:szCs w:val="24"/>
    </w:rPr>
  </w:style>
  <w:style w:type="paragraph" w:customStyle="1" w:styleId="348">
    <w:name w:val="Table Text"/>
    <w:basedOn w:val="1"/>
    <w:link w:val="347"/>
    <w:qFormat/>
    <w:uiPriority w:val="0"/>
    <w:pPr>
      <w:widowControl/>
      <w:spacing w:before="60" w:after="60"/>
      <w:jc w:val="left"/>
    </w:pPr>
    <w:rPr>
      <w:kern w:val="0"/>
      <w:sz w:val="24"/>
    </w:rPr>
  </w:style>
  <w:style w:type="character" w:customStyle="1" w:styleId="349">
    <w:name w:val="正文1 Char1"/>
    <w:qFormat/>
    <w:uiPriority w:val="0"/>
    <w:rPr>
      <w:rFonts w:ascii="仿宋_GB2312" w:hAnsi="Courier New" w:eastAsia="仿宋_GB2312"/>
      <w:kern w:val="28"/>
      <w:sz w:val="24"/>
      <w:szCs w:val="24"/>
      <w:lang w:val="en-US" w:eastAsia="zh-CN"/>
    </w:rPr>
  </w:style>
  <w:style w:type="character" w:customStyle="1" w:styleId="350">
    <w:name w:val="页脚 Char1"/>
    <w:qFormat/>
    <w:uiPriority w:val="0"/>
    <w:rPr>
      <w:rFonts w:eastAsia="宋体"/>
      <w:kern w:val="2"/>
      <w:sz w:val="18"/>
      <w:szCs w:val="18"/>
      <w:lang w:val="en-US" w:eastAsia="zh-CN" w:bidi="ar-SA"/>
    </w:rPr>
  </w:style>
  <w:style w:type="character" w:customStyle="1" w:styleId="351">
    <w:name w:val="Bold"/>
    <w:qFormat/>
    <w:uiPriority w:val="0"/>
    <w:rPr>
      <w:rFonts w:ascii="Arial" w:hAnsi="Arial" w:eastAsia="黑体" w:cs="Times New Roman"/>
      <w:b/>
      <w:kern w:val="2"/>
      <w:sz w:val="32"/>
      <w:szCs w:val="32"/>
      <w:lang w:val="en-US" w:eastAsia="zh-CN" w:bidi="ar-SA"/>
    </w:rPr>
  </w:style>
  <w:style w:type="character" w:customStyle="1" w:styleId="352">
    <w:name w:val="hui3"/>
    <w:qFormat/>
    <w:uiPriority w:val="0"/>
    <w:rPr>
      <w:color w:val="333333"/>
    </w:rPr>
  </w:style>
  <w:style w:type="character" w:customStyle="1" w:styleId="353">
    <w:name w:val="Char Char17"/>
    <w:qFormat/>
    <w:uiPriority w:val="6"/>
    <w:rPr>
      <w:rFonts w:eastAsia="仿宋_GB2312"/>
      <w:sz w:val="24"/>
    </w:rPr>
  </w:style>
  <w:style w:type="character" w:customStyle="1" w:styleId="354">
    <w:name w:val="标题 4 字符"/>
    <w:qFormat/>
    <w:uiPriority w:val="9"/>
    <w:rPr>
      <w:rFonts w:ascii="等线 Light" w:hAnsi="等线 Light" w:eastAsia="等线 Light" w:cs="Times New Roman"/>
      <w:b/>
      <w:bCs/>
      <w:snapToGrid w:val="0"/>
      <w:kern w:val="0"/>
      <w:sz w:val="28"/>
      <w:szCs w:val="28"/>
    </w:rPr>
  </w:style>
  <w:style w:type="character" w:customStyle="1" w:styleId="355">
    <w:name w:val="Char Char37"/>
    <w:qFormat/>
    <w:uiPriority w:val="6"/>
    <w:rPr>
      <w:b/>
      <w:kern w:val="1"/>
      <w:sz w:val="44"/>
      <w:szCs w:val="44"/>
    </w:rPr>
  </w:style>
  <w:style w:type="character" w:customStyle="1" w:styleId="356">
    <w:name w:val="列出段落 Char"/>
    <w:qFormat/>
    <w:uiPriority w:val="0"/>
    <w:rPr>
      <w:rFonts w:eastAsia="楷体_GB2312" w:cs="Lucida Sans"/>
      <w:kern w:val="2"/>
      <w:sz w:val="24"/>
      <w:szCs w:val="24"/>
      <w:lang w:val="en-US" w:eastAsia="zh-CN" w:bidi="ar-SA"/>
    </w:rPr>
  </w:style>
  <w:style w:type="character" w:customStyle="1" w:styleId="357">
    <w:name w:val="正文文本缩进 3 Char1"/>
    <w:semiHidden/>
    <w:qFormat/>
    <w:uiPriority w:val="99"/>
    <w:rPr>
      <w:rFonts w:ascii="Times New Roman" w:hAnsi="Times New Roman" w:eastAsia="宋体" w:cs="Times New Roman"/>
      <w:sz w:val="16"/>
      <w:szCs w:val="16"/>
    </w:rPr>
  </w:style>
  <w:style w:type="character" w:customStyle="1" w:styleId="358">
    <w:name w:val="公文正文 Char Char"/>
    <w:link w:val="359"/>
    <w:qFormat/>
    <w:uiPriority w:val="0"/>
    <w:rPr>
      <w:rFonts w:ascii="仿宋_GB2312" w:eastAsia="仿宋_GB2312"/>
      <w:kern w:val="2"/>
      <w:sz w:val="24"/>
      <w:szCs w:val="24"/>
    </w:rPr>
  </w:style>
  <w:style w:type="paragraph" w:customStyle="1" w:styleId="359">
    <w:name w:val="公文正文"/>
    <w:basedOn w:val="1"/>
    <w:link w:val="358"/>
    <w:qFormat/>
    <w:uiPriority w:val="0"/>
    <w:pPr>
      <w:adjustRightInd/>
      <w:spacing w:before="156" w:line="360" w:lineRule="auto"/>
      <w:ind w:firstLine="360" w:firstLineChars="200"/>
    </w:pPr>
    <w:rPr>
      <w:rFonts w:ascii="仿宋_GB2312" w:eastAsia="仿宋_GB2312"/>
      <w:sz w:val="24"/>
    </w:rPr>
  </w:style>
  <w:style w:type="character" w:customStyle="1" w:styleId="360">
    <w:name w:val="Table Text Char1"/>
    <w:qFormat/>
    <w:uiPriority w:val="0"/>
    <w:rPr>
      <w:rFonts w:eastAsia="宋体"/>
      <w:sz w:val="24"/>
      <w:szCs w:val="24"/>
      <w:lang w:val="en-US" w:eastAsia="zh-CN" w:bidi="ar-SA"/>
    </w:rPr>
  </w:style>
  <w:style w:type="character" w:customStyle="1" w:styleId="361">
    <w:name w:val="标题 1 Char Char"/>
    <w:qFormat/>
    <w:uiPriority w:val="0"/>
    <w:rPr>
      <w:rFonts w:hint="eastAsia" w:ascii="宋体" w:hAnsi="宋体" w:eastAsia="宋体"/>
      <w:b/>
      <w:spacing w:val="-2"/>
      <w:sz w:val="24"/>
      <w:lang w:val="en-US" w:eastAsia="zh-CN" w:bidi="ar-SA"/>
    </w:rPr>
  </w:style>
  <w:style w:type="character" w:customStyle="1" w:styleId="362">
    <w:name w:val="正文（缩进2汉字） Char"/>
    <w:link w:val="363"/>
    <w:qFormat/>
    <w:uiPriority w:val="0"/>
    <w:rPr>
      <w:rFonts w:ascii="宋体"/>
    </w:rPr>
  </w:style>
  <w:style w:type="paragraph" w:customStyle="1" w:styleId="363">
    <w:name w:val="正文（缩进2汉字）"/>
    <w:basedOn w:val="1"/>
    <w:link w:val="36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书表格字体格式 Char"/>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qFormat/>
    <w:uiPriority w:val="0"/>
    <w:rPr>
      <w:rFonts w:ascii="宋体"/>
      <w:kern w:val="2"/>
      <w:sz w:val="24"/>
      <w:szCs w:val="21"/>
      <w:lang w:val="zh-CN"/>
    </w:rPr>
  </w:style>
  <w:style w:type="character" w:customStyle="1" w:styleId="367">
    <w:name w:val="正文首行缩进两字 Char"/>
    <w:qFormat/>
    <w:uiPriority w:val="0"/>
    <w:rPr>
      <w:sz w:val="24"/>
      <w:szCs w:val="24"/>
      <w:lang w:val="en-US" w:eastAsia="zh-CN" w:bidi="ar-SA"/>
    </w:rPr>
  </w:style>
  <w:style w:type="character" w:customStyle="1" w:styleId="368">
    <w:name w:val="正文文本 Char"/>
    <w:qFormat/>
    <w:uiPriority w:val="0"/>
    <w:rPr>
      <w:rFonts w:eastAsia="宋体"/>
      <w:kern w:val="2"/>
      <w:sz w:val="24"/>
      <w:szCs w:val="24"/>
      <w:lang w:val="en-US" w:eastAsia="zh-CN" w:bidi="ar-SA"/>
    </w:rPr>
  </w:style>
  <w:style w:type="character" w:customStyle="1" w:styleId="369">
    <w:name w:val="文档结构图 字符1"/>
    <w:qFormat/>
    <w:uiPriority w:val="0"/>
    <w:rPr>
      <w:rFonts w:ascii="宋体" w:hAnsi="Calibri" w:eastAsia="黑体" w:cs="Arial"/>
      <w:snapToGrid w:val="0"/>
      <w:kern w:val="2"/>
      <w:sz w:val="18"/>
      <w:szCs w:val="18"/>
    </w:rPr>
  </w:style>
  <w:style w:type="character" w:customStyle="1" w:styleId="370">
    <w:name w:val="content"/>
    <w:qFormat/>
    <w:uiPriority w:val="0"/>
  </w:style>
  <w:style w:type="character" w:customStyle="1" w:styleId="371">
    <w:name w:val="tw4winPopup"/>
    <w:qFormat/>
    <w:uiPriority w:val="0"/>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Cs w:val="21"/>
    </w:rPr>
  </w:style>
  <w:style w:type="character" w:customStyle="1" w:styleId="373">
    <w:name w:val="标准正文格式 Char"/>
    <w:qFormat/>
    <w:uiPriority w:val="0"/>
    <w:rPr>
      <w:rFonts w:ascii="宋体" w:eastAsia="仿宋_GB2312" w:cs="宋体"/>
      <w:color w:val="000000"/>
      <w:sz w:val="24"/>
      <w:lang w:val="en-US" w:eastAsia="zh-CN" w:bidi="ar-SA"/>
    </w:rPr>
  </w:style>
  <w:style w:type="character" w:customStyle="1" w:styleId="374">
    <w:name w:val="Char Char212"/>
    <w:qFormat/>
    <w:uiPriority w:val="0"/>
    <w:rPr>
      <w:rFonts w:eastAsia="宋体"/>
      <w:b/>
      <w:bCs/>
      <w:kern w:val="2"/>
      <w:sz w:val="21"/>
      <w:szCs w:val="24"/>
      <w:lang w:val="en-US" w:eastAsia="zh-CN" w:bidi="ar-SA"/>
    </w:rPr>
  </w:style>
  <w:style w:type="character" w:customStyle="1" w:styleId="375">
    <w:name w:val="文档结构图 Char"/>
    <w:qFormat/>
    <w:uiPriority w:val="0"/>
    <w:rPr>
      <w:rFonts w:eastAsia="宋体"/>
      <w:kern w:val="2"/>
      <w:sz w:val="21"/>
      <w:szCs w:val="24"/>
      <w:lang w:val="en-US" w:eastAsia="zh-CN" w:bidi="ar-SA"/>
    </w:rPr>
  </w:style>
  <w:style w:type="character" w:customStyle="1" w:styleId="376">
    <w:name w:val="zbggmain style9"/>
    <w:qFormat/>
    <w:uiPriority w:val="0"/>
  </w:style>
  <w:style w:type="character" w:customStyle="1" w:styleId="377">
    <w:name w:val="Char Char16"/>
    <w:qFormat/>
    <w:uiPriority w:val="6"/>
    <w:rPr>
      <w:kern w:val="1"/>
      <w:sz w:val="18"/>
      <w:szCs w:val="18"/>
    </w:rPr>
  </w:style>
  <w:style w:type="character" w:customStyle="1" w:styleId="378">
    <w:name w:val="font51"/>
    <w:qFormat/>
    <w:uiPriority w:val="0"/>
    <w:rPr>
      <w:rFonts w:hint="eastAsia" w:ascii="仿宋" w:hAnsi="仿宋" w:eastAsia="仿宋" w:cs="仿宋"/>
      <w:color w:val="000000"/>
      <w:sz w:val="20"/>
      <w:szCs w:val="20"/>
      <w:u w:val="none"/>
    </w:rPr>
  </w:style>
  <w:style w:type="character" w:customStyle="1" w:styleId="379">
    <w:name w:val="Char Char82"/>
    <w:qFormat/>
    <w:uiPriority w:val="0"/>
    <w:rPr>
      <w:rFonts w:eastAsia="宋体"/>
      <w:b/>
      <w:sz w:val="24"/>
      <w:lang w:val="en-GB" w:eastAsia="zh-CN"/>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156"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0"/>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6"/>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gray6"/>
    <w:basedOn w:val="70"/>
    <w:qFormat/>
    <w:uiPriority w:val="0"/>
    <w:rPr>
      <w:rFonts w:ascii="Arial" w:hAnsi="Arial" w:eastAsia="黑体" w:cs="Arial"/>
      <w:snapToGrid w:val="0"/>
      <w:kern w:val="0"/>
      <w:szCs w:val="21"/>
    </w:rPr>
  </w:style>
  <w:style w:type="character" w:customStyle="1" w:styleId="432">
    <w:name w:val="hui"/>
    <w:basedOn w:val="70"/>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7"/>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7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484"/>
    <w:qFormat/>
    <w:uiPriority w:val="99"/>
    <w:rPr>
      <w:szCs w:val="22"/>
    </w:rPr>
  </w:style>
  <w:style w:type="character" w:customStyle="1" w:styleId="484">
    <w:name w:val="无间隔 字符"/>
    <w:link w:val="483"/>
    <w:qFormat/>
    <w:uiPriority w:val="99"/>
    <w:rPr>
      <w:kern w:val="2"/>
      <w:sz w:val="21"/>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4"/>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5"/>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8"/>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59"/>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5"/>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7"/>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54"/>
    <w:next w:val="254"/>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54"/>
    <w:next w:val="254"/>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6"/>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3"/>
    <w:qFormat/>
    <w:uiPriority w:val="0"/>
    <w:pPr>
      <w:tabs>
        <w:tab w:val="left" w:pos="840"/>
      </w:tabs>
      <w:adjustRightInd/>
      <w:ind w:left="840" w:hanging="420"/>
    </w:pPr>
  </w:style>
  <w:style w:type="paragraph" w:customStyle="1" w:styleId="627">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7"/>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7"/>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5"/>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19"/>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78"/>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8"/>
    <w:next w:val="1"/>
    <w:qFormat/>
    <w:uiPriority w:val="0"/>
    <w:pPr>
      <w:tabs>
        <w:tab w:val="left" w:pos="1080"/>
      </w:tabs>
      <w:ind w:left="1080" w:hanging="1080"/>
    </w:pPr>
  </w:style>
  <w:style w:type="paragraph" w:customStyle="1" w:styleId="898">
    <w:name w:val="数字标题1"/>
    <w:basedOn w:val="3"/>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3"/>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78"/>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4">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宋体" w:hAnsi="宋体" w:cs="宋体"/>
      <w:b/>
      <w:bCs/>
      <w:color w:val="000000"/>
      <w:kern w:val="0"/>
      <w:sz w:val="24"/>
    </w:rPr>
  </w:style>
  <w:style w:type="paragraph" w:customStyle="1" w:styleId="965">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top"/>
    </w:pPr>
    <w:rPr>
      <w:rFonts w:ascii="宋体" w:hAnsi="宋体" w:cs="宋体"/>
      <w:b/>
      <w:bCs/>
      <w:color w:val="000000"/>
      <w:kern w:val="0"/>
      <w:sz w:val="24"/>
    </w:rPr>
  </w:style>
  <w:style w:type="paragraph" w:customStyle="1" w:styleId="966">
    <w:name w:val="xl97"/>
    <w:basedOn w:val="1"/>
    <w:qFormat/>
    <w:uiPriority w:val="0"/>
    <w:pPr>
      <w:widowControl/>
      <w:pBdr>
        <w:top w:val="single" w:color="auto" w:sz="4" w:space="0"/>
        <w:left w:val="single" w:color="auto" w:sz="4" w:space="0"/>
        <w:bottom w:val="single" w:color="auto" w:sz="4" w:space="0"/>
      </w:pBdr>
      <w:shd w:val="clear" w:color="000000" w:fill="FFFFFF"/>
      <w:adjustRightInd/>
      <w:spacing w:before="100" w:beforeAutospacing="1" w:after="100" w:afterAutospacing="1"/>
      <w:jc w:val="center"/>
    </w:pPr>
    <w:rPr>
      <w:rFonts w:ascii="宋体" w:hAnsi="宋体" w:cs="宋体"/>
      <w:b/>
      <w:bCs/>
      <w:color w:val="000000"/>
      <w:kern w:val="0"/>
      <w:sz w:val="24"/>
    </w:rPr>
  </w:style>
  <w:style w:type="paragraph" w:customStyle="1" w:styleId="967">
    <w:name w:val="xl98"/>
    <w:basedOn w:val="1"/>
    <w:qFormat/>
    <w:uiPriority w:val="0"/>
    <w:pPr>
      <w:widowControl/>
      <w:pBdr>
        <w:top w:val="single" w:color="auto" w:sz="4" w:space="0"/>
        <w:bottom w:val="single" w:color="auto" w:sz="4" w:space="0"/>
      </w:pBdr>
      <w:shd w:val="clear" w:color="000000" w:fill="FFFFFF"/>
      <w:adjustRightInd/>
      <w:spacing w:before="100" w:beforeAutospacing="1" w:after="100" w:afterAutospacing="1"/>
      <w:jc w:val="center"/>
    </w:pPr>
    <w:rPr>
      <w:rFonts w:ascii="宋体" w:hAnsi="宋体" w:cs="宋体"/>
      <w:b/>
      <w:bCs/>
      <w:color w:val="000000"/>
      <w:kern w:val="0"/>
      <w:sz w:val="24"/>
    </w:rPr>
  </w:style>
  <w:style w:type="paragraph" w:customStyle="1" w:styleId="968">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b/>
      <w:bCs/>
      <w:color w:val="000000"/>
      <w:kern w:val="0"/>
      <w:sz w:val="32"/>
      <w:szCs w:val="32"/>
    </w:rPr>
  </w:style>
  <w:style w:type="paragraph" w:customStyle="1" w:styleId="969">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宋体" w:hAnsi="宋体" w:cs="宋体"/>
      <w:b/>
      <w:bCs/>
      <w:color w:val="000000"/>
      <w:kern w:val="0"/>
      <w:sz w:val="32"/>
      <w:szCs w:val="32"/>
    </w:rPr>
  </w:style>
  <w:style w:type="paragraph" w:customStyle="1" w:styleId="970">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top"/>
    </w:pPr>
    <w:rPr>
      <w:rFonts w:ascii="宋体" w:hAnsi="宋体" w:cs="宋体"/>
      <w:b/>
      <w:bCs/>
      <w:color w:val="000000"/>
      <w:kern w:val="0"/>
      <w:sz w:val="32"/>
      <w:szCs w:val="32"/>
    </w:rPr>
  </w:style>
  <w:style w:type="paragraph" w:customStyle="1" w:styleId="971">
    <w:name w:val="xl102"/>
    <w:basedOn w:val="1"/>
    <w:qFormat/>
    <w:uiPriority w:val="0"/>
    <w:pPr>
      <w:widowControl/>
      <w:pBdr>
        <w:top w:val="single" w:color="auto" w:sz="4" w:space="0"/>
        <w:left w:val="single" w:color="auto" w:sz="4" w:space="0"/>
        <w:bottom w:val="single" w:color="auto" w:sz="4" w:space="0"/>
      </w:pBdr>
      <w:shd w:val="clear" w:color="000000" w:fill="FFFFFF"/>
      <w:adjustRightInd/>
      <w:spacing w:before="100" w:beforeAutospacing="1" w:after="100" w:afterAutospacing="1"/>
      <w:jc w:val="center"/>
    </w:pPr>
    <w:rPr>
      <w:rFonts w:ascii="宋体" w:hAnsi="宋体" w:cs="宋体"/>
      <w:b/>
      <w:bCs/>
      <w:color w:val="000000"/>
      <w:kern w:val="0"/>
      <w:sz w:val="20"/>
      <w:szCs w:val="20"/>
    </w:rPr>
  </w:style>
  <w:style w:type="paragraph" w:customStyle="1" w:styleId="972">
    <w:name w:val="xl103"/>
    <w:basedOn w:val="1"/>
    <w:qFormat/>
    <w:uiPriority w:val="0"/>
    <w:pPr>
      <w:widowControl/>
      <w:pBdr>
        <w:top w:val="single" w:color="auto" w:sz="4" w:space="0"/>
        <w:bottom w:val="single" w:color="auto" w:sz="4" w:space="0"/>
      </w:pBdr>
      <w:shd w:val="clear" w:color="000000" w:fill="FFFFFF"/>
      <w:adjustRightInd/>
      <w:spacing w:before="100" w:beforeAutospacing="1" w:after="100" w:afterAutospacing="1"/>
      <w:jc w:val="center"/>
    </w:pPr>
    <w:rPr>
      <w:rFonts w:ascii="宋体" w:hAnsi="宋体" w:cs="宋体"/>
      <w:b/>
      <w:bCs/>
      <w:color w:val="000000"/>
      <w:kern w:val="0"/>
      <w:sz w:val="20"/>
      <w:szCs w:val="20"/>
    </w:rPr>
  </w:style>
  <w:style w:type="paragraph" w:customStyle="1" w:styleId="973">
    <w:name w:val="xl104"/>
    <w:basedOn w:val="1"/>
    <w:qFormat/>
    <w:uiPriority w:val="0"/>
    <w:pPr>
      <w:widowControl/>
      <w:pBdr>
        <w:top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宋体" w:hAnsi="宋体" w:cs="宋体"/>
      <w:b/>
      <w:bCs/>
      <w:color w:val="000000"/>
      <w:kern w:val="0"/>
      <w:sz w:val="20"/>
      <w:szCs w:val="20"/>
    </w:rPr>
  </w:style>
  <w:style w:type="paragraph" w:customStyle="1" w:styleId="974">
    <w:name w:val="xl105"/>
    <w:basedOn w:val="1"/>
    <w:qFormat/>
    <w:uiPriority w:val="0"/>
    <w:pPr>
      <w:widowControl/>
      <w:pBdr>
        <w:top w:val="single" w:color="auto" w:sz="4" w:space="0"/>
        <w:left w:val="single" w:color="auto" w:sz="4" w:space="0"/>
        <w:bottom w:val="single" w:color="auto" w:sz="4" w:space="0"/>
      </w:pBdr>
      <w:shd w:val="clear" w:color="000000" w:fill="FFFFFF"/>
      <w:adjustRightInd/>
      <w:spacing w:before="100" w:beforeAutospacing="1" w:after="100" w:afterAutospacing="1"/>
      <w:jc w:val="center"/>
    </w:pPr>
    <w:rPr>
      <w:rFonts w:ascii="宋体" w:hAnsi="宋体" w:cs="宋体"/>
      <w:b/>
      <w:bCs/>
      <w:color w:val="000000"/>
      <w:kern w:val="0"/>
      <w:sz w:val="32"/>
      <w:szCs w:val="32"/>
    </w:rPr>
  </w:style>
  <w:style w:type="paragraph" w:customStyle="1" w:styleId="975">
    <w:name w:val="xl106"/>
    <w:basedOn w:val="1"/>
    <w:qFormat/>
    <w:uiPriority w:val="0"/>
    <w:pPr>
      <w:widowControl/>
      <w:pBdr>
        <w:top w:val="single" w:color="auto" w:sz="4" w:space="0"/>
        <w:bottom w:val="single" w:color="auto" w:sz="4" w:space="0"/>
      </w:pBdr>
      <w:shd w:val="clear" w:color="000000" w:fill="FFFFFF"/>
      <w:adjustRightInd/>
      <w:spacing w:before="100" w:beforeAutospacing="1" w:after="100" w:afterAutospacing="1"/>
      <w:jc w:val="center"/>
    </w:pPr>
    <w:rPr>
      <w:rFonts w:ascii="宋体" w:hAnsi="宋体" w:cs="宋体"/>
      <w:b/>
      <w:bCs/>
      <w:color w:val="000000"/>
      <w:kern w:val="0"/>
      <w:sz w:val="32"/>
      <w:szCs w:val="32"/>
    </w:rPr>
  </w:style>
  <w:style w:type="paragraph" w:customStyle="1" w:styleId="976">
    <w:name w:val="xl107"/>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977">
    <w:name w:val="xl108"/>
    <w:basedOn w:val="1"/>
    <w:qFormat/>
    <w:uiPriority w:val="0"/>
    <w:pPr>
      <w:widowControl/>
      <w:pBdr>
        <w:left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978">
    <w:name w:val="xl109"/>
    <w:basedOn w:val="1"/>
    <w:qFormat/>
    <w:uiPriority w:val="0"/>
    <w:pPr>
      <w:widowControl/>
      <w:pBdr>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宋体" w:hAnsi="宋体" w:cs="宋体"/>
      <w:kern w:val="0"/>
      <w:sz w:val="2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header6.xml" Type="http://schemas.openxmlformats.org/officeDocument/2006/relationships/header"/><Relationship Id="rId14" Target="header7.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header8.xml" Type="http://schemas.openxmlformats.org/officeDocument/2006/relationships/header"/><Relationship Id="rId18" Target="header9.xml" Type="http://schemas.openxmlformats.org/officeDocument/2006/relationships/header"/><Relationship Id="rId19" Target="footer8.xml" Type="http://schemas.openxmlformats.org/officeDocument/2006/relationships/footer"/><Relationship Id="rId2" Target="settings.xml" Type="http://schemas.openxmlformats.org/officeDocument/2006/relationships/settings"/><Relationship Id="rId20" Target="footer9.xml" Type="http://schemas.openxmlformats.org/officeDocument/2006/relationships/footer"/><Relationship Id="rId21" Target="header10.xml" Type="http://schemas.openxmlformats.org/officeDocument/2006/relationships/header"/><Relationship Id="rId22" Target="header11.xml" Type="http://schemas.openxmlformats.org/officeDocument/2006/relationships/header"/><Relationship Id="rId23" Target="footer10.xml" Type="http://schemas.openxmlformats.org/officeDocument/2006/relationships/footer"/><Relationship Id="rId24" Target="footer11.xml" Type="http://schemas.openxmlformats.org/officeDocument/2006/relationships/footer"/><Relationship Id="rId25" Target="theme/theme1.xml" Type="http://schemas.openxmlformats.org/officeDocument/2006/relationships/theme"/><Relationship Id="rId26" Target="media/image1.png" Type="http://schemas.openxmlformats.org/officeDocument/2006/relationships/image"/><Relationship Id="rId27" Target="media/image2.png" Type="http://schemas.openxmlformats.org/officeDocument/2006/relationships/image"/><Relationship Id="rId28" Target="media/image3.jpeg" Type="http://schemas.openxmlformats.org/officeDocument/2006/relationships/image"/><Relationship Id="rId29" Target="media/image4.png" Type="http://schemas.openxmlformats.org/officeDocument/2006/relationships/image"/><Relationship Id="rId3" Target="header1.xml" Type="http://schemas.openxmlformats.org/officeDocument/2006/relationships/header"/><Relationship Id="rId30" Target="../customXml/item1.xml" Type="http://schemas.openxmlformats.org/officeDocument/2006/relationships/customXml"/><Relationship Id="rId31" Target="numbering.xml" Type="http://schemas.openxmlformats.org/officeDocument/2006/relationships/numbering"/><Relationship Id="rId32" Target="../customXml/item2.xml" Type="http://schemas.openxmlformats.org/officeDocument/2006/relationships/customXml"/><Relationship Id="rId33"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B4C1E-909F-40F3-9E42-730EA433BDAF}">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118</Pages>
  <Words>13839</Words>
  <Characters>78886</Characters>
  <Lines>657</Lines>
  <Paragraphs>185</Paragraphs>
  <TotalTime>9</TotalTime>
  <ScaleCrop>false</ScaleCrop>
  <LinksUpToDate>false</LinksUpToDate>
  <CharactersWithSpaces>92540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2022-04-08T08:39:00Z</dcterms:created>
  <dc:creator>玥</dc:creator>
  <cp:lastModifiedBy>boshi1</cp:lastModifiedBy>
  <cp:lastPrinted>2022-04-01T08:24:00Z</cp:lastPrinted>
  <dcterms:modified xsi:type="dcterms:W3CDTF">2022-04-19T03:13:55Z</dcterms:modified>
  <cp:revision>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7600E85CA6BC4C8FAF98D0992FAC6E0D</vt:lpwstr>
  </property>
</Properties>
</file>