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CF" w:rsidRDefault="004575CF" w:rsidP="004575CF">
      <w:pPr>
        <w:ind w:firstLine="643"/>
        <w:jc w:val="center"/>
        <w:rPr>
          <w:rFonts w:ascii="黑体" w:eastAsia="黑体" w:hAnsi="宋体"/>
          <w:sz w:val="36"/>
          <w:szCs w:val="36"/>
        </w:rPr>
      </w:pPr>
      <w:r>
        <w:rPr>
          <w:rFonts w:ascii="黑体" w:eastAsia="黑体" w:hAnsi="宋体" w:hint="eastAsia"/>
          <w:sz w:val="36"/>
          <w:szCs w:val="36"/>
        </w:rPr>
        <w:t>第四章 采购</w:t>
      </w:r>
      <w:r>
        <w:rPr>
          <w:rFonts w:ascii="黑体" w:eastAsia="黑体" w:hAnsi="宋体"/>
          <w:sz w:val="36"/>
          <w:szCs w:val="36"/>
        </w:rPr>
        <w:t>技术</w:t>
      </w:r>
      <w:r>
        <w:rPr>
          <w:rFonts w:ascii="黑体" w:eastAsia="黑体" w:hAnsi="宋体" w:hint="eastAsia"/>
          <w:sz w:val="36"/>
          <w:szCs w:val="36"/>
        </w:rPr>
        <w:t>需求</w:t>
      </w:r>
    </w:p>
    <w:p w:rsidR="004575CF" w:rsidRDefault="004575CF" w:rsidP="004575CF">
      <w:pPr>
        <w:rPr>
          <w:rFonts w:ascii="宋体" w:hAnsi="宋体" w:cs="宋体"/>
          <w:sz w:val="24"/>
          <w:szCs w:val="24"/>
        </w:rPr>
      </w:pPr>
    </w:p>
    <w:p w:rsidR="004575CF" w:rsidRDefault="004575CF" w:rsidP="004575CF">
      <w:pPr>
        <w:pStyle w:val="1"/>
        <w:rPr>
          <w:rFonts w:asciiTheme="minorEastAsia" w:hAnsiTheme="minorEastAsia" w:cstheme="minorEastAsia"/>
        </w:rPr>
      </w:pPr>
      <w:bookmarkStart w:id="0" w:name="_Toc18795"/>
      <w:bookmarkStart w:id="1" w:name="_Toc22811"/>
      <w:bookmarkStart w:id="2" w:name="_Toc730"/>
      <w:bookmarkStart w:id="3" w:name="_Toc23721"/>
      <w:r>
        <w:rPr>
          <w:rFonts w:asciiTheme="minorEastAsia" w:eastAsiaTheme="minorEastAsia" w:hAnsiTheme="minorEastAsia" w:cstheme="minorEastAsia" w:hint="eastAsia"/>
        </w:rPr>
        <w:t>一、建设背景</w:t>
      </w:r>
      <w:bookmarkEnd w:id="0"/>
      <w:bookmarkEnd w:id="1"/>
      <w:bookmarkEnd w:id="2"/>
    </w:p>
    <w:p w:rsidR="004575CF" w:rsidRDefault="004575CF" w:rsidP="004575CF">
      <w:pPr>
        <w:ind w:firstLineChars="200" w:firstLine="480"/>
        <w:rPr>
          <w:rFonts w:asciiTheme="minorEastAsia" w:hAnsiTheme="minorEastAsia" w:cstheme="minorEastAsia"/>
          <w:sz w:val="24"/>
          <w:szCs w:val="24"/>
        </w:rPr>
      </w:pPr>
      <w:r>
        <w:rPr>
          <w:rFonts w:asciiTheme="minorEastAsia" w:eastAsiaTheme="minorEastAsia" w:hAnsiTheme="minorEastAsia" w:cstheme="minorEastAsia" w:hint="eastAsia"/>
          <w:sz w:val="24"/>
          <w:szCs w:val="24"/>
        </w:rPr>
        <w:t>为落实卫生部、国家中医药管理局“以病人为中心，以提高医疗质量为主题”的医院管理，在医疗质量管理模式上实现由传统的经验管理向科学管理的转变，在医院高度信息化的基础上，提升整体医疗质量，改进临床效率和节约公共医疗经费等方面开展实践工作,促进医疗机构医疗质量的全面提高。针对当前医疗机构中对医保相关政策的执行现状，需要采购《医保控费软件》，提供临床医疗辅助指导服务，为各医院医务人员和管理部门提供有价值的指导和分析决策支持。</w:t>
      </w:r>
    </w:p>
    <w:p w:rsidR="004575CF" w:rsidRDefault="004575CF" w:rsidP="004575CF">
      <w:pPr>
        <w:pStyle w:val="2"/>
        <w:rPr>
          <w:rFonts w:ascii="宋体" w:eastAsia="宋体" w:hAnsi="宋体" w:cs="宋体"/>
        </w:rPr>
      </w:pPr>
      <w:bookmarkStart w:id="4" w:name="_Toc25213"/>
      <w:r>
        <w:rPr>
          <w:rFonts w:ascii="宋体" w:eastAsia="宋体" w:hAnsi="宋体" w:cs="宋体" w:hint="eastAsia"/>
        </w:rPr>
        <w:t>二、软件方面需求</w:t>
      </w:r>
      <w:bookmarkEnd w:id="3"/>
      <w:bookmarkEnd w:id="4"/>
    </w:p>
    <w:p w:rsidR="004575CF" w:rsidRDefault="004575CF" w:rsidP="004575CF">
      <w:pPr>
        <w:ind w:firstLineChars="200" w:firstLine="480"/>
        <w:rPr>
          <w:rFonts w:ascii="宋体" w:hAnsi="宋体" w:cs="宋体"/>
          <w:sz w:val="24"/>
          <w:szCs w:val="24"/>
        </w:rPr>
      </w:pPr>
      <w:r>
        <w:rPr>
          <w:rFonts w:ascii="宋体" w:hAnsi="宋体" w:cs="宋体" w:hint="eastAsia"/>
          <w:sz w:val="24"/>
          <w:szCs w:val="24"/>
        </w:rPr>
        <w:t>本系统建设目标是建立适用于医疗机构临床医师、护士等工作人员在开具处方或医嘱时进行用药或治疗处方的医保审核检查；中心领导及相关部门通过审核记录分析医院医师在病人治疗过程中用药情况和治疗情况；更高效率的分析和指导医院医疗质量管理，建立正常、严谨的工作秩序，确保医疗质量与安全，杜绝医疗事故的发生，促进医院医疗技术水平，管理水平，不断发展。系统基于医疗保险经办机构的医保报销业务审核精神，制定相关的数据规范、信息交换规划以及审核规则，与医疗机构共同建设医保报销单据预审核系统，实现处方单据的系统自动预审核，医生在医生工作站端开处方时，对单据数据进行自动、快速的审核筛选，对违规或可疑的单据进行预警，从而避免将违规的单据上传到医保中心，减少甚至杜绝不合理或违规被处罚的现象。</w:t>
      </w:r>
    </w:p>
    <w:p w:rsidR="004575CF" w:rsidRDefault="004575CF" w:rsidP="004575CF">
      <w:pPr>
        <w:ind w:firstLineChars="200" w:firstLine="480"/>
        <w:rPr>
          <w:rFonts w:ascii="宋体" w:hAnsi="宋体" w:cs="宋体"/>
          <w:sz w:val="24"/>
          <w:szCs w:val="24"/>
        </w:rPr>
      </w:pPr>
      <w:r>
        <w:rPr>
          <w:rFonts w:ascii="宋体" w:hAnsi="宋体" w:cs="宋体" w:hint="eastAsia"/>
          <w:sz w:val="24"/>
          <w:szCs w:val="24"/>
        </w:rPr>
        <w:t>医疗质量控制与服务系统由《医院端审核系统》、《医疗质量控制查询系统》组成。</w:t>
      </w:r>
    </w:p>
    <w:p w:rsidR="004575CF" w:rsidRDefault="004575CF" w:rsidP="004575CF">
      <w:pPr>
        <w:rPr>
          <w:rFonts w:ascii="宋体" w:hAnsi="宋体" w:cs="宋体"/>
          <w:sz w:val="24"/>
          <w:szCs w:val="24"/>
        </w:rPr>
      </w:pPr>
      <w:r>
        <w:rPr>
          <w:rFonts w:ascii="宋体" w:hAnsi="宋体" w:cs="宋体" w:hint="eastAsia"/>
          <w:sz w:val="24"/>
          <w:szCs w:val="24"/>
        </w:rPr>
        <w:t>（1）《医院端审核系统》是医疗质量控制与服务系统的核心；</w:t>
      </w:r>
    </w:p>
    <w:p w:rsidR="004575CF" w:rsidRDefault="004575CF" w:rsidP="004575CF">
      <w:pPr>
        <w:rPr>
          <w:rFonts w:ascii="宋体" w:hAnsi="宋体" w:cs="宋体"/>
          <w:sz w:val="24"/>
          <w:szCs w:val="24"/>
        </w:rPr>
      </w:pPr>
      <w:r>
        <w:rPr>
          <w:rFonts w:ascii="宋体" w:hAnsi="宋体" w:cs="宋体" w:hint="eastAsia"/>
          <w:sz w:val="24"/>
          <w:szCs w:val="24"/>
        </w:rPr>
        <w:t>医院端审核系统是医疗机构在开处方或医嘱时进行医疗违规检查，集成在HIS系统中作为HIS系统一部分。医院端审核系统包括审核引擎和HIS对接接口两大部分。审核引擎实现处方单据的实时审核处理，返回审核结果。HIS对接接口开发给HIS开发商，由HIS在医生工作站或其他环节在需要的时候调用审核服务，交给审核引擎进行逻辑处理，并将审核结果返回给HIS系统。</w:t>
      </w:r>
    </w:p>
    <w:p w:rsidR="004575CF" w:rsidRDefault="004575CF" w:rsidP="004575CF">
      <w:pPr>
        <w:rPr>
          <w:rFonts w:ascii="宋体" w:hAnsi="宋体" w:cs="宋体"/>
          <w:sz w:val="24"/>
          <w:szCs w:val="24"/>
        </w:rPr>
      </w:pPr>
      <w:r>
        <w:rPr>
          <w:rFonts w:ascii="宋体" w:hAnsi="宋体" w:cs="宋体" w:hint="eastAsia"/>
          <w:sz w:val="24"/>
          <w:szCs w:val="24"/>
        </w:rPr>
        <w:t>（2）《医疗质量控制查询系统》是对审核后的数据查询和统计；</w:t>
      </w:r>
    </w:p>
    <w:p w:rsidR="004575CF" w:rsidRDefault="004575CF" w:rsidP="004575CF">
      <w:pPr>
        <w:rPr>
          <w:rFonts w:ascii="宋体" w:hAnsi="宋体" w:cs="宋体"/>
          <w:sz w:val="24"/>
          <w:szCs w:val="24"/>
        </w:rPr>
      </w:pPr>
      <w:r>
        <w:rPr>
          <w:rFonts w:ascii="宋体" w:hAnsi="宋体" w:cs="宋体" w:hint="eastAsia"/>
          <w:sz w:val="24"/>
          <w:szCs w:val="24"/>
        </w:rPr>
        <w:t>医疗质量控制查询系统是对医院端审核后的医疗单据进行查询，是医院端审核系统的辅助查询功能。可以查询当前医疗机构医疗单据审核详细内容。</w:t>
      </w:r>
    </w:p>
    <w:p w:rsidR="004575CF" w:rsidRDefault="004575CF" w:rsidP="004575CF">
      <w:pPr>
        <w:pStyle w:val="1"/>
        <w:rPr>
          <w:rFonts w:ascii="宋体" w:hAnsi="宋体" w:cs="宋体"/>
        </w:rPr>
      </w:pPr>
      <w:bookmarkStart w:id="5" w:name="_Toc8719"/>
      <w:r>
        <w:rPr>
          <w:rFonts w:ascii="宋体" w:hAnsi="宋体" w:cs="宋体" w:hint="eastAsia"/>
        </w:rPr>
        <w:t>三、软件需求参数</w:t>
      </w:r>
      <w:bookmarkEnd w:id="5"/>
    </w:p>
    <w:p w:rsidR="004575CF" w:rsidRDefault="004575CF" w:rsidP="004575CF">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1</w:t>
      </w:r>
      <w:r>
        <w:rPr>
          <w:rFonts w:asciiTheme="minorEastAsia" w:eastAsiaTheme="minorEastAsia" w:hAnsiTheme="minorEastAsia" w:cstheme="minorEastAsia" w:hint="eastAsia"/>
          <w:b/>
          <w:bCs/>
          <w:sz w:val="24"/>
          <w:szCs w:val="24"/>
        </w:rPr>
        <w:t>系统建设原则：</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★标准统一：与杭州医保规则100%一致</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rPr>
      </w:pPr>
      <w:r>
        <w:rPr>
          <w:rFonts w:asciiTheme="minorEastAsia" w:eastAsiaTheme="minorEastAsia" w:hAnsiTheme="minorEastAsia" w:cstheme="minorEastAsia" w:hint="eastAsia"/>
          <w:sz w:val="24"/>
          <w:szCs w:val="24"/>
        </w:rPr>
        <w:t>公平公开：公开规则审核标准</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rPr>
      </w:pPr>
      <w:r>
        <w:rPr>
          <w:rFonts w:asciiTheme="minorEastAsia" w:eastAsiaTheme="minorEastAsia" w:hAnsiTheme="minorEastAsia" w:cstheme="minorEastAsia" w:hint="eastAsia"/>
          <w:sz w:val="24"/>
          <w:szCs w:val="24"/>
        </w:rPr>
        <w:t>高效准确：不干扰his系统速度，不影响数据安全性</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rPr>
      </w:pPr>
      <w:r>
        <w:rPr>
          <w:rFonts w:asciiTheme="minorEastAsia" w:eastAsiaTheme="minorEastAsia" w:hAnsiTheme="minorEastAsia" w:cstheme="minorEastAsia" w:hint="eastAsia"/>
          <w:sz w:val="24"/>
          <w:szCs w:val="24"/>
        </w:rPr>
        <w:t>★持续完善：与杭州医保规则保持同步，提供持续服务</w:t>
      </w:r>
    </w:p>
    <w:p w:rsidR="004575CF" w:rsidRDefault="004575CF" w:rsidP="004575CF">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2</w:t>
      </w:r>
      <w:r>
        <w:rPr>
          <w:rFonts w:asciiTheme="minorEastAsia" w:eastAsiaTheme="minorEastAsia" w:hAnsiTheme="minorEastAsia" w:cstheme="minorEastAsia" w:hint="eastAsia"/>
          <w:b/>
          <w:bCs/>
          <w:sz w:val="24"/>
          <w:szCs w:val="24"/>
        </w:rPr>
        <w:t xml:space="preserve"> 技术指标</w:t>
      </w:r>
    </w:p>
    <w:p w:rsidR="004575CF" w:rsidRDefault="004575CF" w:rsidP="004575CF">
      <w:pPr>
        <w:autoSpaceDE w:val="0"/>
        <w:autoSpaceDN w:val="0"/>
        <w:adjustRightInd w:val="0"/>
        <w:spacing w:line="360" w:lineRule="auto"/>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（1）系统稳定可用性高、数据安全可靠性强</w:t>
      </w:r>
    </w:p>
    <w:p w:rsidR="004575CF" w:rsidRDefault="004575CF" w:rsidP="004575CF">
      <w:pPr>
        <w:autoSpaceDE w:val="0"/>
        <w:autoSpaceDN w:val="0"/>
        <w:adjustRightInd w:val="0"/>
        <w:spacing w:line="360" w:lineRule="auto"/>
        <w:ind w:firstLineChars="200" w:firstLine="48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信息系统成为医院管理、运营各方面的支撑环境，要求系统设计与实施充分考虑系统的稳定性，并具有高可用性，要求系统支持7×24连续安全运行，稳定可靠，易于维护。在管理上，要求系统建设多层次的安全体系，保证系统和数据的安全可靠。</w:t>
      </w:r>
    </w:p>
    <w:p w:rsidR="004575CF" w:rsidRDefault="004575CF" w:rsidP="004575CF">
      <w:pPr>
        <w:autoSpaceDE w:val="0"/>
        <w:autoSpaceDN w:val="0"/>
        <w:adjustRightInd w:val="0"/>
        <w:spacing w:line="360" w:lineRule="auto"/>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（2）标准化原则</w:t>
      </w:r>
    </w:p>
    <w:p w:rsidR="004575CF" w:rsidRDefault="004575CF" w:rsidP="004575CF">
      <w:pPr>
        <w:autoSpaceDE w:val="0"/>
        <w:autoSpaceDN w:val="0"/>
        <w:adjustRightInd w:val="0"/>
        <w:spacing w:line="360" w:lineRule="auto"/>
        <w:ind w:firstLineChars="200" w:firstLine="48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提供的所有软硬件产品、所涉及的工具及运行环境需遵循国际通用标准和行业规范。</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按照国际、国家、行业、企业相关标准建设适合</w:t>
      </w:r>
      <w:r>
        <w:rPr>
          <w:rFonts w:asciiTheme="minorEastAsia" w:hAnsiTheme="minorEastAsia" w:cstheme="minorEastAsia" w:hint="eastAsia"/>
          <w:sz w:val="24"/>
          <w:szCs w:val="24"/>
          <w:lang w:val="zh-CN"/>
        </w:rPr>
        <w:t>医院</w:t>
      </w:r>
      <w:r>
        <w:rPr>
          <w:rFonts w:asciiTheme="minorEastAsia" w:eastAsiaTheme="minorEastAsia" w:hAnsiTheme="minorEastAsia" w:cstheme="minorEastAsia" w:hint="eastAsia"/>
          <w:sz w:val="24"/>
          <w:szCs w:val="24"/>
          <w:lang w:val="zh-CN"/>
        </w:rPr>
        <w:t>现状和发展的标准规范体系，创建信息共享、系统集成环境。</w:t>
      </w:r>
    </w:p>
    <w:p w:rsidR="004575CF" w:rsidRDefault="004575CF" w:rsidP="004575CF">
      <w:pPr>
        <w:autoSpaceDE w:val="0"/>
        <w:autoSpaceDN w:val="0"/>
        <w:adjustRightInd w:val="0"/>
        <w:spacing w:line="360" w:lineRule="auto"/>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（3）安全性原则</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采用的软件开发技术和方法应该充分考虑医院所面临的安全性要求，建立适应的安全管理保障机制。</w:t>
      </w:r>
    </w:p>
    <w:p w:rsidR="004575CF" w:rsidRDefault="004575CF" w:rsidP="004575CF">
      <w:pPr>
        <w:autoSpaceDE w:val="0"/>
        <w:autoSpaceDN w:val="0"/>
        <w:adjustRightInd w:val="0"/>
        <w:spacing w:line="360" w:lineRule="auto"/>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（4）先进性与可靠性原则</w:t>
      </w:r>
    </w:p>
    <w:p w:rsidR="004575CF" w:rsidRDefault="004575CF" w:rsidP="004575CF">
      <w:pPr>
        <w:autoSpaceDE w:val="0"/>
        <w:autoSpaceDN w:val="0"/>
        <w:adjustRightInd w:val="0"/>
        <w:spacing w:line="360" w:lineRule="auto"/>
        <w:ind w:firstLineChars="200" w:firstLine="48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要求选择成熟、可靠的主流技术和产品，即保证技术和产品的先进性，又要充分考虑实用性和高可靠性，有良好的售后服务和承诺支持。</w:t>
      </w:r>
    </w:p>
    <w:p w:rsidR="004575CF" w:rsidRDefault="004575CF" w:rsidP="004575CF">
      <w:pPr>
        <w:autoSpaceDE w:val="0"/>
        <w:autoSpaceDN w:val="0"/>
        <w:adjustRightInd w:val="0"/>
        <w:spacing w:line="360" w:lineRule="auto"/>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（5）兼容性与可扩展性原则</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要求从整个富阳区域his目前和发展的角度，坚持开放性原则，考虑各种软硬系统的兼容性和可扩展性。</w:t>
      </w:r>
    </w:p>
    <w:p w:rsidR="004575CF" w:rsidRDefault="004575CF" w:rsidP="004575CF">
      <w:pPr>
        <w:autoSpaceDE w:val="0"/>
        <w:autoSpaceDN w:val="0"/>
        <w:adjustRightInd w:val="0"/>
        <w:spacing w:line="360" w:lineRule="auto"/>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（6）易使用、易维护与可配置性原则</w:t>
      </w:r>
    </w:p>
    <w:p w:rsidR="004575CF" w:rsidRDefault="004575CF" w:rsidP="004575CF">
      <w:pPr>
        <w:autoSpaceDE w:val="0"/>
        <w:autoSpaceDN w:val="0"/>
        <w:adjustRightInd w:val="0"/>
        <w:spacing w:line="360" w:lineRule="auto"/>
        <w:ind w:firstLine="420"/>
        <w:rPr>
          <w:rFonts w:asciiTheme="minorEastAsia" w:hAnsiTheme="minorEastAsia" w:cstheme="minorEastAsia"/>
          <w:sz w:val="24"/>
          <w:szCs w:val="24"/>
          <w:lang w:val="zh-CN"/>
        </w:rPr>
      </w:pPr>
      <w:r>
        <w:rPr>
          <w:rFonts w:asciiTheme="minorEastAsia" w:eastAsiaTheme="minorEastAsia" w:hAnsiTheme="minorEastAsia" w:cstheme="minorEastAsia" w:hint="eastAsia"/>
          <w:sz w:val="24"/>
          <w:szCs w:val="24"/>
          <w:lang w:val="zh-CN"/>
        </w:rPr>
        <w:t>应用系统开发要充分体现结构化、模块化的设计思想，采用先进的设计和开发工具，同时按照便于管理和易维护原则，对于管理和维护有专门的考虑。</w:t>
      </w:r>
    </w:p>
    <w:p w:rsidR="004575CF" w:rsidRDefault="004575CF" w:rsidP="004575CF">
      <w:pPr>
        <w:autoSpaceDE w:val="0"/>
        <w:autoSpaceDN w:val="0"/>
        <w:adjustRightInd w:val="0"/>
        <w:spacing w:line="360" w:lineRule="auto"/>
        <w:ind w:firstLine="420"/>
        <w:rPr>
          <w:rFonts w:asciiTheme="minorEastAsia" w:hAnsiTheme="minorEastAsia" w:cstheme="minorEastAsia"/>
          <w:sz w:val="28"/>
          <w:szCs w:val="28"/>
          <w:lang w:val="zh-CN"/>
        </w:rPr>
      </w:pPr>
      <w:r>
        <w:rPr>
          <w:rFonts w:asciiTheme="minorEastAsia" w:eastAsiaTheme="minorEastAsia" w:hAnsiTheme="minorEastAsia" w:cstheme="minorEastAsia" w:hint="eastAsia"/>
          <w:sz w:val="24"/>
          <w:szCs w:val="24"/>
          <w:lang w:val="zh-CN"/>
        </w:rPr>
        <w:t>开发的系统要易使用和易维护。要求提供联机的帮助手段，要求应用界面简捷、直观，用户使用一目了然，简单易学；要提供丰富灵活的配置手段，针对一</w:t>
      </w:r>
      <w:r>
        <w:rPr>
          <w:rFonts w:asciiTheme="minorEastAsia" w:eastAsiaTheme="minorEastAsia" w:hAnsiTheme="minorEastAsia" w:cstheme="minorEastAsia" w:hint="eastAsia"/>
          <w:sz w:val="24"/>
          <w:szCs w:val="24"/>
          <w:lang w:val="zh-CN"/>
        </w:rPr>
        <w:lastRenderedPageBreak/>
        <w:t>般用户，使用简单方便，适应多种应用的需要。</w:t>
      </w:r>
    </w:p>
    <w:p w:rsidR="004575CF" w:rsidRDefault="004575CF" w:rsidP="004575CF">
      <w:pPr>
        <w:spacing w:line="360" w:lineRule="auto"/>
        <w:rPr>
          <w:rFonts w:ascii="Cambria" w:hAnsi="Cambria"/>
          <w:b/>
          <w:bCs/>
          <w:sz w:val="24"/>
        </w:rPr>
      </w:pPr>
      <w:r>
        <w:rPr>
          <w:rFonts w:ascii="Cambria" w:hAnsi="Cambria" w:hint="eastAsia"/>
          <w:b/>
          <w:bCs/>
          <w:sz w:val="24"/>
        </w:rPr>
        <w:t>3</w:t>
      </w:r>
      <w:r>
        <w:rPr>
          <w:rFonts w:ascii="Cambria" w:hAnsi="Cambria"/>
          <w:b/>
          <w:bCs/>
          <w:sz w:val="24"/>
        </w:rPr>
        <w:t>软件功能要求</w:t>
      </w:r>
    </w:p>
    <w:p w:rsidR="004575CF" w:rsidRDefault="004575CF" w:rsidP="004575CF">
      <w:pPr>
        <w:pStyle w:val="a6"/>
        <w:spacing w:afterLines="0"/>
        <w:ind w:firstLineChars="0" w:firstLine="0"/>
        <w:rPr>
          <w:rFonts w:ascii="Times New Roman" w:eastAsia="宋体" w:hAnsi="Times New Roman"/>
          <w:sz w:val="21"/>
          <w:szCs w:val="21"/>
        </w:rPr>
      </w:pPr>
      <w:r>
        <w:rPr>
          <w:rFonts w:ascii="Times New Roman" w:eastAsia="宋体" w:hAnsi="宋体"/>
          <w:sz w:val="21"/>
          <w:szCs w:val="21"/>
          <w:lang w:val="zh-CN"/>
        </w:rPr>
        <w:t>本项目的</w:t>
      </w:r>
      <w:r>
        <w:rPr>
          <w:rFonts w:ascii="Times New Roman" w:eastAsia="宋体" w:hAnsi="宋体"/>
          <w:sz w:val="21"/>
          <w:szCs w:val="21"/>
        </w:rPr>
        <w:t>具体软件功能在满足上述建设内容的基础上，补充描述要求如下：</w:t>
      </w:r>
    </w:p>
    <w:tbl>
      <w:tblPr>
        <w:tblW w:w="7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9"/>
        <w:gridCol w:w="6494"/>
      </w:tblGrid>
      <w:tr w:rsidR="004575CF" w:rsidTr="00286429">
        <w:trPr>
          <w:trHeight w:val="546"/>
          <w:jc w:val="center"/>
        </w:trPr>
        <w:tc>
          <w:tcPr>
            <w:tcW w:w="7843" w:type="dxa"/>
            <w:gridSpan w:val="2"/>
            <w:shd w:val="clear" w:color="auto" w:fill="auto"/>
            <w:vAlign w:val="center"/>
          </w:tcPr>
          <w:p w:rsidR="004575CF" w:rsidRDefault="004575CF" w:rsidP="00286429">
            <w:pPr>
              <w:shd w:val="clear" w:color="auto" w:fill="FFFFFF"/>
              <w:jc w:val="center"/>
              <w:rPr>
                <w:rFonts w:ascii="宋体" w:hAnsi="宋体"/>
                <w:b/>
                <w:bCs/>
                <w:kern w:val="0"/>
                <w:sz w:val="24"/>
                <w:szCs w:val="24"/>
              </w:rPr>
            </w:pPr>
            <w:r>
              <w:rPr>
                <w:rFonts w:ascii="宋体" w:hAnsi="宋体" w:hint="eastAsia"/>
                <w:b/>
                <w:bCs/>
                <w:kern w:val="0"/>
                <w:sz w:val="24"/>
                <w:szCs w:val="24"/>
              </w:rPr>
              <w:t>基本需要</w:t>
            </w:r>
          </w:p>
        </w:tc>
      </w:tr>
      <w:tr w:rsidR="004575CF" w:rsidTr="00286429">
        <w:trPr>
          <w:trHeight w:val="372"/>
          <w:jc w:val="center"/>
        </w:trPr>
        <w:tc>
          <w:tcPr>
            <w:tcW w:w="1349" w:type="dxa"/>
            <w:vMerge w:val="restart"/>
            <w:shd w:val="clear" w:color="auto" w:fill="auto"/>
            <w:vAlign w:val="center"/>
          </w:tcPr>
          <w:p w:rsidR="004575CF" w:rsidRDefault="004575CF" w:rsidP="00286429">
            <w:pPr>
              <w:shd w:val="clear" w:color="auto" w:fill="FFFFFF"/>
              <w:rPr>
                <w:rFonts w:ascii="宋体" w:hAnsi="宋体"/>
                <w:bCs/>
                <w:kern w:val="0"/>
                <w:sz w:val="24"/>
                <w:szCs w:val="24"/>
              </w:rPr>
            </w:pPr>
            <w:bookmarkStart w:id="6" w:name="_Hlk524435265"/>
            <w:r>
              <w:rPr>
                <w:rFonts w:ascii="宋体" w:hAnsi="宋体" w:hint="eastAsia"/>
                <w:sz w:val="24"/>
                <w:szCs w:val="24"/>
              </w:rPr>
              <w:t>系统需要布控的范围</w:t>
            </w:r>
          </w:p>
        </w:tc>
        <w:tc>
          <w:tcPr>
            <w:tcW w:w="6494" w:type="dxa"/>
            <w:vMerge w:val="restart"/>
            <w:shd w:val="clear" w:color="auto" w:fill="auto"/>
            <w:vAlign w:val="center"/>
          </w:tcPr>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hint="eastAsia"/>
                <w:bCs/>
                <w:kern w:val="0"/>
                <w:sz w:val="24"/>
                <w:szCs w:val="24"/>
              </w:rPr>
              <w:t>涵盖当前区域his系统各业务操作系统和相关医保管理部门。</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hint="eastAsia"/>
                <w:bCs/>
                <w:kern w:val="0"/>
                <w:sz w:val="24"/>
                <w:szCs w:val="24"/>
              </w:rPr>
              <w:t>1、医生工作站（门诊、住院）</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hint="eastAsia"/>
                <w:bCs/>
                <w:kern w:val="0"/>
                <w:sz w:val="24"/>
                <w:szCs w:val="24"/>
              </w:rPr>
              <w:t>2、护士工作站（门诊、住院）</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hint="eastAsia"/>
                <w:bCs/>
                <w:kern w:val="0"/>
                <w:sz w:val="24"/>
                <w:szCs w:val="24"/>
              </w:rPr>
              <w:t>3、收费系统（门诊、住院）</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hint="eastAsia"/>
                <w:bCs/>
                <w:kern w:val="0"/>
                <w:sz w:val="24"/>
                <w:szCs w:val="24"/>
              </w:rPr>
              <w:t>4、医保管理部门（领导监管及查询）</w:t>
            </w:r>
          </w:p>
        </w:tc>
      </w:tr>
      <w:tr w:rsidR="004575CF" w:rsidTr="00286429">
        <w:trPr>
          <w:trHeight w:val="528"/>
          <w:jc w:val="center"/>
        </w:trPr>
        <w:tc>
          <w:tcPr>
            <w:tcW w:w="1349" w:type="dxa"/>
            <w:vMerge/>
            <w:shd w:val="clear" w:color="auto" w:fill="auto"/>
            <w:vAlign w:val="center"/>
          </w:tcPr>
          <w:p w:rsidR="004575CF" w:rsidRDefault="004575CF" w:rsidP="00286429">
            <w:pPr>
              <w:shd w:val="clear" w:color="auto" w:fill="FFFFFF"/>
              <w:rPr>
                <w:rFonts w:ascii="宋体" w:hAnsi="宋体"/>
                <w:bCs/>
                <w:kern w:val="0"/>
                <w:sz w:val="24"/>
                <w:szCs w:val="24"/>
              </w:rPr>
            </w:pPr>
          </w:p>
        </w:tc>
        <w:tc>
          <w:tcPr>
            <w:tcW w:w="6494" w:type="dxa"/>
            <w:vMerge/>
            <w:shd w:val="clear" w:color="auto" w:fill="auto"/>
            <w:vAlign w:val="center"/>
          </w:tcPr>
          <w:p w:rsidR="004575CF" w:rsidRDefault="004575CF" w:rsidP="00286429">
            <w:pPr>
              <w:shd w:val="clear" w:color="auto" w:fill="FFFFFF"/>
              <w:rPr>
                <w:rFonts w:ascii="宋体" w:hAnsi="宋体"/>
                <w:bCs/>
                <w:kern w:val="0"/>
                <w:sz w:val="24"/>
                <w:szCs w:val="24"/>
              </w:rPr>
            </w:pPr>
          </w:p>
        </w:tc>
      </w:tr>
      <w:tr w:rsidR="004575CF" w:rsidTr="00286429">
        <w:trPr>
          <w:trHeight w:val="528"/>
          <w:jc w:val="center"/>
        </w:trPr>
        <w:tc>
          <w:tcPr>
            <w:tcW w:w="1349" w:type="dxa"/>
            <w:vMerge/>
            <w:shd w:val="clear" w:color="auto" w:fill="auto"/>
            <w:vAlign w:val="center"/>
          </w:tcPr>
          <w:p w:rsidR="004575CF" w:rsidRDefault="004575CF" w:rsidP="00286429">
            <w:pPr>
              <w:shd w:val="clear" w:color="auto" w:fill="FFFFFF"/>
              <w:rPr>
                <w:rFonts w:ascii="宋体" w:hAnsi="宋体"/>
                <w:bCs/>
                <w:kern w:val="0"/>
                <w:sz w:val="24"/>
                <w:szCs w:val="24"/>
              </w:rPr>
            </w:pPr>
          </w:p>
        </w:tc>
        <w:tc>
          <w:tcPr>
            <w:tcW w:w="6494" w:type="dxa"/>
            <w:vMerge/>
            <w:shd w:val="clear" w:color="auto" w:fill="auto"/>
            <w:vAlign w:val="center"/>
          </w:tcPr>
          <w:p w:rsidR="004575CF" w:rsidRDefault="004575CF" w:rsidP="00286429">
            <w:pPr>
              <w:shd w:val="clear" w:color="auto" w:fill="FFFFFF"/>
              <w:rPr>
                <w:rFonts w:ascii="宋体" w:hAnsi="宋体"/>
                <w:bCs/>
                <w:kern w:val="0"/>
                <w:sz w:val="24"/>
                <w:szCs w:val="24"/>
              </w:rPr>
            </w:pPr>
          </w:p>
        </w:tc>
      </w:tr>
      <w:tr w:rsidR="004575CF" w:rsidTr="00286429">
        <w:trPr>
          <w:trHeight w:val="1086"/>
          <w:jc w:val="center"/>
        </w:trPr>
        <w:tc>
          <w:tcPr>
            <w:tcW w:w="1349" w:type="dxa"/>
            <w:vMerge/>
            <w:shd w:val="clear" w:color="auto" w:fill="auto"/>
            <w:vAlign w:val="center"/>
          </w:tcPr>
          <w:p w:rsidR="004575CF" w:rsidRDefault="004575CF" w:rsidP="00286429">
            <w:pPr>
              <w:shd w:val="clear" w:color="auto" w:fill="FFFFFF"/>
              <w:rPr>
                <w:rFonts w:ascii="宋体" w:hAnsi="宋体"/>
                <w:bCs/>
                <w:kern w:val="0"/>
                <w:sz w:val="24"/>
                <w:szCs w:val="24"/>
              </w:rPr>
            </w:pPr>
          </w:p>
        </w:tc>
        <w:tc>
          <w:tcPr>
            <w:tcW w:w="6494" w:type="dxa"/>
            <w:vMerge/>
            <w:shd w:val="clear" w:color="auto" w:fill="auto"/>
            <w:vAlign w:val="center"/>
          </w:tcPr>
          <w:p w:rsidR="004575CF" w:rsidRDefault="004575CF" w:rsidP="00286429">
            <w:pPr>
              <w:shd w:val="clear" w:color="auto" w:fill="FFFFFF"/>
              <w:rPr>
                <w:rFonts w:ascii="宋体" w:hAnsi="宋体"/>
                <w:bCs/>
                <w:kern w:val="0"/>
                <w:sz w:val="24"/>
                <w:szCs w:val="24"/>
              </w:rPr>
            </w:pPr>
          </w:p>
        </w:tc>
      </w:tr>
      <w:tr w:rsidR="004575CF" w:rsidTr="00286429">
        <w:trPr>
          <w:trHeight w:val="2104"/>
          <w:jc w:val="center"/>
        </w:trPr>
        <w:tc>
          <w:tcPr>
            <w:tcW w:w="1349" w:type="dxa"/>
            <w:vMerge w:val="restart"/>
            <w:shd w:val="clear" w:color="auto" w:fill="auto"/>
            <w:vAlign w:val="center"/>
          </w:tcPr>
          <w:p w:rsidR="004575CF" w:rsidRDefault="004575CF" w:rsidP="00286429">
            <w:pPr>
              <w:shd w:val="clear" w:color="auto" w:fill="FFFFFF"/>
              <w:rPr>
                <w:rFonts w:ascii="宋体" w:hAnsi="宋体"/>
                <w:bCs/>
                <w:kern w:val="0"/>
                <w:sz w:val="24"/>
                <w:szCs w:val="24"/>
              </w:rPr>
            </w:pPr>
            <w:r>
              <w:rPr>
                <w:rFonts w:ascii="宋体" w:hAnsi="宋体"/>
                <w:sz w:val="24"/>
                <w:szCs w:val="24"/>
              </w:rPr>
              <w:t>功能需求</w:t>
            </w:r>
          </w:p>
        </w:tc>
        <w:tc>
          <w:tcPr>
            <w:tcW w:w="6494" w:type="dxa"/>
            <w:vMerge w:val="restart"/>
            <w:shd w:val="clear" w:color="auto" w:fill="auto"/>
            <w:vAlign w:val="center"/>
          </w:tcPr>
          <w:p w:rsidR="004575CF" w:rsidRDefault="004575CF" w:rsidP="00286429">
            <w:pPr>
              <w:autoSpaceDE w:val="0"/>
              <w:autoSpaceDN w:val="0"/>
              <w:adjustRightInd w:val="0"/>
              <w:spacing w:line="360" w:lineRule="auto"/>
              <w:rPr>
                <w:rFonts w:ascii="宋体" w:hAnsi="宋体"/>
                <w:bCs/>
                <w:kern w:val="0"/>
                <w:sz w:val="24"/>
                <w:szCs w:val="24"/>
              </w:rPr>
            </w:pPr>
            <w:r>
              <w:rPr>
                <w:rFonts w:ascii="宋体" w:hAnsi="宋体"/>
                <w:bCs/>
                <w:kern w:val="0"/>
                <w:sz w:val="24"/>
                <w:szCs w:val="24"/>
              </w:rPr>
              <w:t>根据</w:t>
            </w:r>
            <w:r>
              <w:rPr>
                <w:rFonts w:ascii="宋体" w:hAnsi="宋体" w:hint="eastAsia"/>
                <w:bCs/>
                <w:kern w:val="0"/>
                <w:sz w:val="24"/>
                <w:szCs w:val="24"/>
              </w:rPr>
              <w:t>杭州</w:t>
            </w:r>
            <w:r>
              <w:rPr>
                <w:rFonts w:ascii="宋体" w:hAnsi="宋体"/>
                <w:bCs/>
                <w:kern w:val="0"/>
                <w:sz w:val="24"/>
                <w:szCs w:val="24"/>
              </w:rPr>
              <w:t>医保规则对单据进行审核并反馈审核结果</w:t>
            </w:r>
            <w:r>
              <w:rPr>
                <w:rFonts w:ascii="宋体" w:hAnsi="宋体" w:hint="eastAsia"/>
                <w:bCs/>
                <w:kern w:val="0"/>
                <w:sz w:val="24"/>
                <w:szCs w:val="24"/>
              </w:rPr>
              <w:t>：</w:t>
            </w:r>
          </w:p>
          <w:p w:rsidR="004575CF" w:rsidRDefault="004575CF" w:rsidP="00286429">
            <w:pPr>
              <w:pStyle w:val="a5"/>
              <w:spacing w:beforeAutospacing="0" w:after="0" w:afterAutospacing="0"/>
              <w:ind w:firstLine="480"/>
              <w:jc w:val="both"/>
              <w:rPr>
                <w:bCs/>
              </w:rPr>
            </w:pPr>
            <w:r>
              <w:rPr>
                <w:bCs/>
              </w:rPr>
              <w:fldChar w:fldCharType="begin"/>
            </w:r>
            <w:r>
              <w:rPr>
                <w:rFonts w:hint="eastAsia"/>
                <w:bCs/>
              </w:rPr>
              <w:instrText>eq \o\ac(</w:instrText>
            </w:r>
            <w:r>
              <w:rPr>
                <w:rFonts w:hint="eastAsia"/>
                <w:bCs/>
                <w:position w:val="-4"/>
                <w:sz w:val="36"/>
              </w:rPr>
              <w:instrText>○</w:instrText>
            </w:r>
            <w:r>
              <w:rPr>
                <w:rFonts w:hint="eastAsia"/>
                <w:bCs/>
              </w:rPr>
              <w:instrText>,1)</w:instrText>
            </w:r>
            <w:r>
              <w:rPr>
                <w:bCs/>
              </w:rPr>
              <w:fldChar w:fldCharType="end"/>
            </w:r>
            <w:r>
              <w:rPr>
                <w:bCs/>
              </w:rPr>
              <w:t>限定科室使用</w:t>
            </w:r>
          </w:p>
          <w:p w:rsidR="004575CF" w:rsidRDefault="004575CF" w:rsidP="00286429">
            <w:pPr>
              <w:pStyle w:val="a5"/>
              <w:spacing w:beforeAutospacing="0" w:after="0" w:afterAutospacing="0"/>
              <w:ind w:firstLine="480"/>
              <w:jc w:val="both"/>
              <w:rPr>
                <w:bCs/>
              </w:rPr>
            </w:pPr>
            <w:r>
              <w:rPr>
                <w:bCs/>
              </w:rPr>
              <w:t>对限定在特定科室、医生使用的药品进行审核。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w:instrText>
            </w:r>
            <w:r>
              <w:rPr>
                <w:rFonts w:ascii="宋体" w:hAnsi="宋体"/>
                <w:bCs/>
                <w:kern w:val="0"/>
                <w:sz w:val="24"/>
                <w:szCs w:val="24"/>
              </w:rPr>
              <w:fldChar w:fldCharType="end"/>
            </w:r>
            <w:r>
              <w:rPr>
                <w:rFonts w:ascii="宋体" w:hAnsi="宋体"/>
                <w:bCs/>
                <w:kern w:val="0"/>
                <w:sz w:val="24"/>
                <w:szCs w:val="24"/>
              </w:rPr>
              <w:t>重复用药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对最小分类项下的药品联合使用进行审核。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w:instrText>
            </w:r>
            <w:r>
              <w:rPr>
                <w:rFonts w:ascii="宋体" w:hAnsi="宋体"/>
                <w:bCs/>
                <w:kern w:val="0"/>
                <w:sz w:val="24"/>
                <w:szCs w:val="24"/>
              </w:rPr>
              <w:fldChar w:fldCharType="end"/>
            </w:r>
            <w:r>
              <w:rPr>
                <w:rFonts w:ascii="宋体" w:hAnsi="宋体"/>
                <w:bCs/>
                <w:kern w:val="0"/>
                <w:sz w:val="24"/>
                <w:szCs w:val="24"/>
              </w:rPr>
              <w:t>中药饮片超量</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药品目录内有用量限制的饮片，按照普通疾病和恶性肿瘤，限定不同的用量、帖数进行审核。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,4)</w:instrText>
            </w:r>
            <w:r>
              <w:rPr>
                <w:rFonts w:ascii="宋体" w:hAnsi="宋体"/>
                <w:bCs/>
                <w:kern w:val="0"/>
                <w:sz w:val="24"/>
                <w:szCs w:val="24"/>
              </w:rPr>
              <w:fldChar w:fldCharType="end"/>
            </w:r>
            <w:r>
              <w:rPr>
                <w:rFonts w:ascii="宋体" w:hAnsi="宋体"/>
                <w:bCs/>
                <w:kern w:val="0"/>
                <w:sz w:val="24"/>
                <w:szCs w:val="24"/>
              </w:rPr>
              <w:t>药品超量</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根据药品的规格、转换比，上传的用量、频次，参考说明书的用量计算出该药品的实际可使用天数，结合急性、慢性病用药量进行配药量的审核。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,5)</w:instrText>
            </w:r>
            <w:r>
              <w:rPr>
                <w:rFonts w:ascii="宋体" w:hAnsi="宋体"/>
                <w:bCs/>
                <w:kern w:val="0"/>
                <w:sz w:val="24"/>
                <w:szCs w:val="24"/>
              </w:rPr>
              <w:fldChar w:fldCharType="end"/>
            </w:r>
            <w:r>
              <w:rPr>
                <w:rFonts w:ascii="宋体" w:hAnsi="宋体"/>
                <w:bCs/>
                <w:kern w:val="0"/>
                <w:sz w:val="24"/>
                <w:szCs w:val="24"/>
              </w:rPr>
              <w:t>中药饮片审核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对单味不支付饮片、单味或复方均不支付饮片进行审核。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,6)</w:instrText>
            </w:r>
            <w:r>
              <w:rPr>
                <w:rFonts w:ascii="宋体" w:hAnsi="宋体"/>
                <w:bCs/>
                <w:kern w:val="0"/>
                <w:sz w:val="24"/>
                <w:szCs w:val="24"/>
              </w:rPr>
              <w:fldChar w:fldCharType="end"/>
            </w:r>
            <w:r>
              <w:rPr>
                <w:rFonts w:ascii="宋体" w:hAnsi="宋体"/>
                <w:bCs/>
                <w:kern w:val="0"/>
                <w:sz w:val="24"/>
                <w:szCs w:val="24"/>
              </w:rPr>
              <w:t>阶梯用药审核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对限二线使用的药品进行审核。限定支付的降压、降糖等长期慢性病用首次使用提供诊断依据。</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lastRenderedPageBreak/>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,7)</w:instrText>
            </w:r>
            <w:r>
              <w:rPr>
                <w:rFonts w:ascii="宋体" w:hAnsi="宋体"/>
                <w:bCs/>
                <w:kern w:val="0"/>
                <w:sz w:val="24"/>
                <w:szCs w:val="24"/>
              </w:rPr>
              <w:fldChar w:fldCharType="end"/>
            </w:r>
            <w:r>
              <w:rPr>
                <w:rFonts w:ascii="宋体" w:hAnsi="宋体"/>
                <w:bCs/>
                <w:kern w:val="0"/>
                <w:sz w:val="24"/>
                <w:szCs w:val="24"/>
              </w:rPr>
              <w:t>违反限定适应症(条件)用药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对药品目录有限定支付的药品进行适应症审核。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,8)</w:instrText>
            </w:r>
            <w:r>
              <w:rPr>
                <w:rFonts w:ascii="宋体" w:hAnsi="宋体"/>
                <w:bCs/>
                <w:kern w:val="0"/>
                <w:sz w:val="24"/>
                <w:szCs w:val="24"/>
              </w:rPr>
              <w:fldChar w:fldCharType="end"/>
            </w:r>
            <w:r>
              <w:rPr>
                <w:rFonts w:ascii="宋体" w:hAnsi="宋体"/>
                <w:bCs/>
                <w:kern w:val="0"/>
                <w:sz w:val="24"/>
                <w:szCs w:val="24"/>
              </w:rPr>
              <w:t>频繁取药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在限定时间段内重复配取最小分类项下的慢性病用药。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,9)</w:instrText>
            </w:r>
            <w:r>
              <w:rPr>
                <w:rFonts w:ascii="宋体" w:hAnsi="宋体"/>
                <w:bCs/>
                <w:kern w:val="0"/>
                <w:sz w:val="24"/>
                <w:szCs w:val="24"/>
              </w:rPr>
              <w:fldChar w:fldCharType="end"/>
            </w:r>
            <w:r>
              <w:rPr>
                <w:rFonts w:ascii="宋体" w:hAnsi="宋体"/>
                <w:bCs/>
                <w:kern w:val="0"/>
                <w:sz w:val="24"/>
                <w:szCs w:val="24"/>
              </w:rPr>
              <w:t>单张单据药品种类异常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对单张单据药品种类高于设定数值的单据进行审核，发现其中的异常单据。</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,10)</w:instrText>
            </w:r>
            <w:r>
              <w:rPr>
                <w:rFonts w:ascii="宋体" w:hAnsi="宋体"/>
                <w:bCs/>
                <w:kern w:val="0"/>
                <w:sz w:val="24"/>
                <w:szCs w:val="24"/>
              </w:rPr>
              <w:fldChar w:fldCharType="end"/>
            </w:r>
            <w:r>
              <w:rPr>
                <w:rFonts w:ascii="宋体" w:hAnsi="宋体"/>
                <w:bCs/>
                <w:kern w:val="0"/>
                <w:sz w:val="24"/>
                <w:szCs w:val="24"/>
              </w:rPr>
              <w:t>均帖费用异常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对帖均费用过高、过低的饮片处方进行审核。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,11)</w:instrText>
            </w:r>
            <w:r>
              <w:rPr>
                <w:rFonts w:ascii="宋体" w:hAnsi="宋体"/>
                <w:bCs/>
                <w:kern w:val="0"/>
                <w:sz w:val="24"/>
                <w:szCs w:val="24"/>
              </w:rPr>
              <w:fldChar w:fldCharType="end"/>
            </w:r>
            <w:r>
              <w:rPr>
                <w:rFonts w:ascii="宋体" w:hAnsi="宋体"/>
                <w:bCs/>
                <w:kern w:val="0"/>
                <w:sz w:val="24"/>
                <w:szCs w:val="24"/>
              </w:rPr>
              <w:t>医用材料与治疗项目不符</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医用材料的使用必须与医疗服务项目相对应，材料编码对应项目编码，一对一关系</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,12)</w:instrText>
            </w:r>
            <w:r>
              <w:rPr>
                <w:rFonts w:ascii="宋体" w:hAnsi="宋体"/>
                <w:bCs/>
                <w:kern w:val="0"/>
                <w:sz w:val="24"/>
                <w:szCs w:val="24"/>
              </w:rPr>
              <w:fldChar w:fldCharType="end"/>
            </w:r>
            <w:r>
              <w:rPr>
                <w:rFonts w:ascii="宋体" w:hAnsi="宋体"/>
                <w:bCs/>
                <w:kern w:val="0"/>
                <w:sz w:val="24"/>
                <w:szCs w:val="24"/>
              </w:rPr>
              <w:t>超限定价格</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 xml:space="preserve">有限价的医用材料超过该项目限定单价进行结算控制。 </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,13)</w:instrText>
            </w:r>
            <w:r>
              <w:rPr>
                <w:rFonts w:ascii="宋体" w:hAnsi="宋体"/>
                <w:bCs/>
                <w:kern w:val="0"/>
                <w:sz w:val="24"/>
                <w:szCs w:val="24"/>
              </w:rPr>
              <w:fldChar w:fldCharType="end"/>
            </w:r>
            <w:r>
              <w:rPr>
                <w:rFonts w:ascii="宋体" w:hAnsi="宋体"/>
                <w:bCs/>
                <w:kern w:val="0"/>
                <w:sz w:val="24"/>
                <w:szCs w:val="24"/>
              </w:rPr>
              <w:t>超限定频次</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医疗服务项目在一个时间区间内限定报销的次数。</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,14)</w:instrText>
            </w:r>
            <w:r>
              <w:rPr>
                <w:rFonts w:ascii="宋体" w:hAnsi="宋体"/>
                <w:bCs/>
                <w:kern w:val="0"/>
                <w:sz w:val="24"/>
                <w:szCs w:val="24"/>
              </w:rPr>
              <w:fldChar w:fldCharType="end"/>
            </w:r>
            <w:r>
              <w:rPr>
                <w:rFonts w:ascii="宋体" w:hAnsi="宋体"/>
                <w:bCs/>
                <w:kern w:val="0"/>
                <w:sz w:val="24"/>
                <w:szCs w:val="24"/>
              </w:rPr>
              <w:t>重复收费</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医疗服务项目“项目内涵”已包含的项目，或“备注”中明确不得同时收费的项目同时收取。</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,15)</w:instrText>
            </w:r>
            <w:r>
              <w:rPr>
                <w:rFonts w:ascii="宋体" w:hAnsi="宋体"/>
                <w:bCs/>
                <w:kern w:val="0"/>
                <w:sz w:val="24"/>
                <w:szCs w:val="24"/>
              </w:rPr>
              <w:fldChar w:fldCharType="end"/>
            </w:r>
            <w:r>
              <w:rPr>
                <w:rFonts w:ascii="宋体" w:hAnsi="宋体"/>
                <w:bCs/>
                <w:kern w:val="0"/>
                <w:sz w:val="24"/>
                <w:szCs w:val="24"/>
              </w:rPr>
              <w:t>超项目限定报销总额</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一个治疗过程或时间区间使用该项目的累计总金额或列支金额。</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,16)</w:instrText>
            </w:r>
            <w:r>
              <w:rPr>
                <w:rFonts w:ascii="宋体" w:hAnsi="宋体"/>
                <w:bCs/>
                <w:kern w:val="0"/>
                <w:sz w:val="24"/>
                <w:szCs w:val="24"/>
              </w:rPr>
              <w:fldChar w:fldCharType="end"/>
            </w:r>
            <w:r>
              <w:rPr>
                <w:rFonts w:ascii="宋体" w:hAnsi="宋体"/>
                <w:bCs/>
                <w:kern w:val="0"/>
                <w:sz w:val="24"/>
                <w:szCs w:val="24"/>
              </w:rPr>
              <w:t>违反限定适应症(条件)项目</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对医疗服务项目“限定支付”的适应症进行审核。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,17)</w:instrText>
            </w:r>
            <w:r>
              <w:rPr>
                <w:rFonts w:ascii="宋体" w:hAnsi="宋体"/>
                <w:bCs/>
                <w:kern w:val="0"/>
                <w:sz w:val="24"/>
                <w:szCs w:val="24"/>
              </w:rPr>
              <w:fldChar w:fldCharType="end"/>
            </w:r>
            <w:r>
              <w:rPr>
                <w:rFonts w:ascii="宋体" w:hAnsi="宋体"/>
                <w:bCs/>
                <w:kern w:val="0"/>
                <w:sz w:val="24"/>
                <w:szCs w:val="24"/>
              </w:rPr>
              <w:t>限就医方式</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医疗服务项目限在门诊或住院使用。</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lastRenderedPageBreak/>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,18)</w:instrText>
            </w:r>
            <w:r>
              <w:rPr>
                <w:rFonts w:ascii="宋体" w:hAnsi="宋体"/>
                <w:bCs/>
                <w:kern w:val="0"/>
                <w:sz w:val="24"/>
                <w:szCs w:val="24"/>
              </w:rPr>
              <w:fldChar w:fldCharType="end"/>
            </w:r>
            <w:r>
              <w:rPr>
                <w:rFonts w:ascii="宋体" w:hAnsi="宋体"/>
                <w:bCs/>
                <w:kern w:val="0"/>
                <w:sz w:val="24"/>
                <w:szCs w:val="24"/>
              </w:rPr>
              <w:t>限定性别审核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男性、女性生殖系统的药品或医疗服务项目，限所对应的性别人群使用。</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,19)</w:instrText>
            </w:r>
            <w:r>
              <w:rPr>
                <w:rFonts w:ascii="宋体" w:hAnsi="宋体"/>
                <w:bCs/>
                <w:kern w:val="0"/>
                <w:sz w:val="24"/>
                <w:szCs w:val="24"/>
              </w:rPr>
              <w:fldChar w:fldCharType="end"/>
            </w:r>
            <w:r>
              <w:rPr>
                <w:rFonts w:ascii="宋体" w:hAnsi="宋体"/>
                <w:bCs/>
                <w:kern w:val="0"/>
                <w:sz w:val="24"/>
                <w:szCs w:val="24"/>
              </w:rPr>
              <w:t>非基本医疗保险目录</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对单据中的药品和项目进行支付范围审核。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,20)</w:instrText>
            </w:r>
            <w:r>
              <w:rPr>
                <w:rFonts w:ascii="宋体" w:hAnsi="宋体"/>
                <w:bCs/>
                <w:kern w:val="0"/>
                <w:sz w:val="24"/>
                <w:szCs w:val="24"/>
              </w:rPr>
              <w:fldChar w:fldCharType="end"/>
            </w:r>
            <w:r>
              <w:rPr>
                <w:rFonts w:ascii="宋体" w:hAnsi="宋体"/>
                <w:bCs/>
                <w:kern w:val="0"/>
                <w:sz w:val="24"/>
                <w:szCs w:val="24"/>
              </w:rPr>
              <w:t>限儿童</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对限子女统筹、儿童使用的药品和项目进行审核。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,21)</w:instrText>
            </w:r>
            <w:r>
              <w:rPr>
                <w:rFonts w:ascii="宋体" w:hAnsi="宋体"/>
                <w:bCs/>
                <w:kern w:val="0"/>
                <w:sz w:val="24"/>
                <w:szCs w:val="24"/>
              </w:rPr>
              <w:fldChar w:fldCharType="end"/>
            </w:r>
            <w:r>
              <w:rPr>
                <w:rFonts w:ascii="宋体" w:hAnsi="宋体"/>
                <w:bCs/>
                <w:kern w:val="0"/>
                <w:sz w:val="24"/>
                <w:szCs w:val="24"/>
              </w:rPr>
              <w:t>限定医院类型级别报销</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对限定医院类型、级别使用的药品和项目进行审核。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,22)</w:instrText>
            </w:r>
            <w:r>
              <w:rPr>
                <w:rFonts w:ascii="宋体" w:hAnsi="宋体"/>
                <w:bCs/>
                <w:kern w:val="0"/>
                <w:sz w:val="24"/>
                <w:szCs w:val="24"/>
              </w:rPr>
              <w:fldChar w:fldCharType="end"/>
            </w:r>
            <w:r>
              <w:rPr>
                <w:rFonts w:ascii="宋体" w:hAnsi="宋体"/>
                <w:bCs/>
                <w:kern w:val="0"/>
                <w:sz w:val="24"/>
                <w:szCs w:val="24"/>
              </w:rPr>
              <w:t>违反项目匹配</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药品或医疗服务项目的支付必须与限定的药品或医疗服务项目相对应，一一对应关系。</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,23)</w:instrText>
            </w:r>
            <w:r>
              <w:rPr>
                <w:rFonts w:ascii="宋体" w:hAnsi="宋体"/>
                <w:bCs/>
                <w:kern w:val="0"/>
                <w:sz w:val="24"/>
                <w:szCs w:val="24"/>
              </w:rPr>
              <w:fldChar w:fldCharType="end"/>
            </w:r>
            <w:r>
              <w:rPr>
                <w:rFonts w:ascii="宋体" w:hAnsi="宋体"/>
                <w:bCs/>
                <w:kern w:val="0"/>
                <w:sz w:val="24"/>
                <w:szCs w:val="24"/>
              </w:rPr>
              <w:t>就诊信息数据异常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诊断编码不规范的审核。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,24)</w:instrText>
            </w:r>
            <w:r>
              <w:rPr>
                <w:rFonts w:ascii="宋体" w:hAnsi="宋体"/>
                <w:bCs/>
                <w:kern w:val="0"/>
                <w:sz w:val="24"/>
                <w:szCs w:val="24"/>
              </w:rPr>
              <w:fldChar w:fldCharType="end"/>
            </w:r>
            <w:r>
              <w:rPr>
                <w:rFonts w:ascii="宋体" w:hAnsi="宋体"/>
                <w:bCs/>
                <w:kern w:val="0"/>
                <w:sz w:val="24"/>
                <w:szCs w:val="24"/>
              </w:rPr>
              <w:t>费用明细数据异常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药品用量、频次未按要求正确上传；医师、科室信息为空等的审核。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,25)</w:instrText>
            </w:r>
            <w:r>
              <w:rPr>
                <w:rFonts w:ascii="宋体" w:hAnsi="宋体"/>
                <w:bCs/>
                <w:kern w:val="0"/>
                <w:sz w:val="24"/>
                <w:szCs w:val="24"/>
              </w:rPr>
              <w:fldChar w:fldCharType="end"/>
            </w:r>
            <w:r>
              <w:rPr>
                <w:rFonts w:ascii="宋体" w:hAnsi="宋体"/>
                <w:bCs/>
                <w:kern w:val="0"/>
                <w:sz w:val="24"/>
                <w:szCs w:val="24"/>
              </w:rPr>
              <w:t>超限定疗程</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对有疗程限制的药品和医疗服务项目进行审核。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,26)</w:instrText>
            </w:r>
            <w:r>
              <w:rPr>
                <w:rFonts w:ascii="宋体" w:hAnsi="宋体"/>
                <w:bCs/>
                <w:kern w:val="0"/>
                <w:sz w:val="24"/>
                <w:szCs w:val="24"/>
              </w:rPr>
              <w:fldChar w:fldCharType="end"/>
            </w:r>
            <w:r>
              <w:rPr>
                <w:rFonts w:ascii="宋体" w:hAnsi="宋体"/>
                <w:bCs/>
                <w:kern w:val="0"/>
                <w:sz w:val="24"/>
                <w:szCs w:val="24"/>
              </w:rPr>
              <w:t>超限定数量</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医疗服务项目在一个时间区间内限定支付的数量，“缓解感冒症状的复方OTC制剂”等超过2个以上的审核。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,27)</w:instrText>
            </w:r>
            <w:r>
              <w:rPr>
                <w:rFonts w:ascii="宋体" w:hAnsi="宋体"/>
                <w:bCs/>
                <w:kern w:val="0"/>
                <w:sz w:val="24"/>
                <w:szCs w:val="24"/>
              </w:rPr>
              <w:fldChar w:fldCharType="end"/>
            </w:r>
            <w:r>
              <w:rPr>
                <w:rFonts w:ascii="宋体" w:hAnsi="宋体"/>
                <w:bCs/>
                <w:kern w:val="0"/>
                <w:sz w:val="24"/>
                <w:szCs w:val="24"/>
              </w:rPr>
              <w:t>单据重复数据异常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判定条件：同一参保人，同一天10分钟内，在同一家定点机构发生的相同金额、相同项目费用。</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,28)</w:instrText>
            </w:r>
            <w:r>
              <w:rPr>
                <w:rFonts w:ascii="宋体" w:hAnsi="宋体"/>
                <w:bCs/>
                <w:kern w:val="0"/>
                <w:sz w:val="24"/>
                <w:szCs w:val="24"/>
              </w:rPr>
              <w:fldChar w:fldCharType="end"/>
            </w:r>
            <w:r>
              <w:rPr>
                <w:rFonts w:ascii="宋体" w:hAnsi="宋体"/>
                <w:bCs/>
                <w:kern w:val="0"/>
                <w:sz w:val="24"/>
                <w:szCs w:val="24"/>
              </w:rPr>
              <w:t>门诊规定病种审核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lastRenderedPageBreak/>
              <w:t>根据各规定病种的用药、检查和治疗范围进行审核。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,29)</w:instrText>
            </w:r>
            <w:r>
              <w:rPr>
                <w:rFonts w:ascii="宋体" w:hAnsi="宋体"/>
                <w:bCs/>
                <w:kern w:val="0"/>
                <w:sz w:val="24"/>
                <w:szCs w:val="24"/>
              </w:rPr>
              <w:fldChar w:fldCharType="end"/>
            </w:r>
            <w:r>
              <w:rPr>
                <w:rFonts w:ascii="宋体" w:hAnsi="宋体"/>
                <w:bCs/>
                <w:kern w:val="0"/>
                <w:sz w:val="24"/>
                <w:szCs w:val="24"/>
              </w:rPr>
              <w:t>提前取药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根据上次处方的日期及实际可使用天数，门诊慢性病用药提前3-5天以上配药的、按疗程收取的医疗服务项目提前1天以上开取的审核。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,30)</w:instrText>
            </w:r>
            <w:r>
              <w:rPr>
                <w:rFonts w:ascii="宋体" w:hAnsi="宋体"/>
                <w:bCs/>
                <w:kern w:val="0"/>
                <w:sz w:val="24"/>
                <w:szCs w:val="24"/>
              </w:rPr>
              <w:fldChar w:fldCharType="end"/>
            </w:r>
            <w:r>
              <w:rPr>
                <w:rFonts w:ascii="宋体" w:hAnsi="宋体"/>
                <w:bCs/>
                <w:kern w:val="0"/>
                <w:sz w:val="24"/>
                <w:szCs w:val="24"/>
              </w:rPr>
              <w:t>住院天数异常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对住院天数超过365天的进行审核。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,31)</w:instrText>
            </w:r>
            <w:r>
              <w:rPr>
                <w:rFonts w:ascii="宋体" w:hAnsi="宋体"/>
                <w:bCs/>
                <w:kern w:val="0"/>
                <w:sz w:val="24"/>
                <w:szCs w:val="24"/>
              </w:rPr>
              <w:fldChar w:fldCharType="end"/>
            </w:r>
            <w:r>
              <w:rPr>
                <w:rFonts w:ascii="宋体" w:hAnsi="宋体"/>
                <w:bCs/>
                <w:kern w:val="0"/>
                <w:sz w:val="24"/>
                <w:szCs w:val="24"/>
              </w:rPr>
              <w:t>分解住院</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对参保人员出院后7天内在同一家医院再次入院的住院费用进行相关费用的审核。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,32)</w:instrText>
            </w:r>
            <w:r>
              <w:rPr>
                <w:rFonts w:ascii="宋体" w:hAnsi="宋体"/>
                <w:bCs/>
                <w:kern w:val="0"/>
                <w:sz w:val="24"/>
                <w:szCs w:val="24"/>
              </w:rPr>
              <w:fldChar w:fldCharType="end"/>
            </w:r>
            <w:r>
              <w:rPr>
                <w:rFonts w:ascii="宋体" w:hAnsi="宋体"/>
                <w:bCs/>
                <w:kern w:val="0"/>
                <w:sz w:val="24"/>
                <w:szCs w:val="24"/>
              </w:rPr>
              <w:t>门诊频次异常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对参保人的门诊频次进行审核，发现门诊频次异常的单据。</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,33)</w:instrText>
            </w:r>
            <w:r>
              <w:rPr>
                <w:rFonts w:ascii="宋体" w:hAnsi="宋体"/>
                <w:bCs/>
                <w:kern w:val="0"/>
                <w:sz w:val="24"/>
                <w:szCs w:val="24"/>
              </w:rPr>
              <w:fldChar w:fldCharType="end"/>
            </w:r>
            <w:r>
              <w:rPr>
                <w:rFonts w:ascii="宋体" w:hAnsi="宋体"/>
                <w:bCs/>
                <w:kern w:val="0"/>
                <w:sz w:val="24"/>
                <w:szCs w:val="24"/>
              </w:rPr>
              <w:t>安全用药审核</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通过ESI临床知识引擎的运算，发现单据中违反禁忌症的药品以及对特殊人群的用药安全进行审核，对其中违反禁忌的药品进行提示。</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,34)</w:instrText>
            </w:r>
            <w:r>
              <w:rPr>
                <w:rFonts w:ascii="宋体" w:hAnsi="宋体"/>
                <w:bCs/>
                <w:kern w:val="0"/>
                <w:sz w:val="24"/>
                <w:szCs w:val="24"/>
              </w:rPr>
              <w:fldChar w:fldCharType="end"/>
            </w:r>
            <w:r>
              <w:rPr>
                <w:rFonts w:ascii="宋体" w:hAnsi="宋体"/>
                <w:bCs/>
                <w:kern w:val="0"/>
                <w:sz w:val="24"/>
                <w:szCs w:val="24"/>
              </w:rPr>
              <w:t>非诊疗常规用药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通过ESI临床知识引擎的运算，发现单据中不符合临床常规诊疗规范的用药。</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,35)</w:instrText>
            </w:r>
            <w:r>
              <w:rPr>
                <w:rFonts w:ascii="宋体" w:hAnsi="宋体"/>
                <w:bCs/>
                <w:kern w:val="0"/>
                <w:sz w:val="24"/>
                <w:szCs w:val="24"/>
              </w:rPr>
              <w:fldChar w:fldCharType="end"/>
            </w:r>
            <w:r>
              <w:rPr>
                <w:rFonts w:ascii="宋体" w:hAnsi="宋体"/>
                <w:bCs/>
                <w:kern w:val="0"/>
                <w:sz w:val="24"/>
                <w:szCs w:val="24"/>
              </w:rPr>
              <w:t>非诊疗常规项目</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通过ESI临床知识引擎的运算，发现单据中不符合临床常规诊疗常规的诊疗项目。</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fldChar w:fldCharType="begin"/>
            </w:r>
            <w:r>
              <w:rPr>
                <w:rFonts w:ascii="宋体" w:hAnsi="宋体" w:hint="eastAsia"/>
                <w:bCs/>
                <w:kern w:val="0"/>
                <w:sz w:val="24"/>
                <w:szCs w:val="24"/>
              </w:rPr>
              <w:instrText>eq \o\ac(</w:instrText>
            </w:r>
            <w:r>
              <w:rPr>
                <w:rFonts w:ascii="宋体" w:hAnsi="宋体" w:hint="eastAsia"/>
                <w:bCs/>
                <w:kern w:val="0"/>
                <w:position w:val="-4"/>
                <w:sz w:val="36"/>
                <w:szCs w:val="24"/>
              </w:rPr>
              <w:instrText>○</w:instrText>
            </w:r>
            <w:r>
              <w:rPr>
                <w:rFonts w:ascii="宋体" w:hAnsi="宋体" w:hint="eastAsia"/>
                <w:bCs/>
                <w:kern w:val="0"/>
                <w:sz w:val="24"/>
                <w:szCs w:val="24"/>
              </w:rPr>
              <w:instrText>,36)</w:instrText>
            </w:r>
            <w:r>
              <w:rPr>
                <w:rFonts w:ascii="宋体" w:hAnsi="宋体"/>
                <w:bCs/>
                <w:kern w:val="0"/>
                <w:sz w:val="24"/>
                <w:szCs w:val="24"/>
              </w:rPr>
              <w:fldChar w:fldCharType="end"/>
            </w:r>
            <w:r>
              <w:rPr>
                <w:rFonts w:ascii="宋体" w:hAnsi="宋体"/>
                <w:bCs/>
                <w:kern w:val="0"/>
                <w:sz w:val="24"/>
                <w:szCs w:val="24"/>
              </w:rPr>
              <w:t>药品相互作用</w:t>
            </w:r>
          </w:p>
          <w:p w:rsidR="004575CF" w:rsidRDefault="004575CF" w:rsidP="00286429">
            <w:pPr>
              <w:autoSpaceDE w:val="0"/>
              <w:autoSpaceDN w:val="0"/>
              <w:adjustRightInd w:val="0"/>
              <w:spacing w:line="360" w:lineRule="auto"/>
              <w:ind w:firstLine="420"/>
              <w:rPr>
                <w:rFonts w:ascii="宋体" w:hAnsi="宋体"/>
                <w:bCs/>
                <w:kern w:val="0"/>
                <w:sz w:val="24"/>
                <w:szCs w:val="24"/>
              </w:rPr>
            </w:pPr>
            <w:r>
              <w:rPr>
                <w:rFonts w:ascii="宋体" w:hAnsi="宋体"/>
                <w:bCs/>
                <w:kern w:val="0"/>
                <w:sz w:val="24"/>
                <w:szCs w:val="24"/>
              </w:rPr>
              <w:t>通过ESI临床知识引擎的运算，发现单据中合并用药产生严重不良反应的药品，并对相应的药品进行提示。</w:t>
            </w:r>
          </w:p>
        </w:tc>
      </w:tr>
      <w:tr w:rsidR="004575CF" w:rsidTr="00286429">
        <w:trPr>
          <w:trHeight w:val="1823"/>
          <w:jc w:val="center"/>
        </w:trPr>
        <w:tc>
          <w:tcPr>
            <w:tcW w:w="1349" w:type="dxa"/>
            <w:vMerge/>
            <w:shd w:val="clear" w:color="auto" w:fill="auto"/>
            <w:vAlign w:val="center"/>
          </w:tcPr>
          <w:p w:rsidR="004575CF" w:rsidRDefault="004575CF" w:rsidP="00286429">
            <w:pPr>
              <w:shd w:val="clear" w:color="auto" w:fill="FFFFFF"/>
              <w:rPr>
                <w:rFonts w:ascii="宋体" w:hAnsi="宋体"/>
                <w:bCs/>
                <w:kern w:val="0"/>
                <w:sz w:val="24"/>
                <w:szCs w:val="24"/>
              </w:rPr>
            </w:pPr>
          </w:p>
        </w:tc>
        <w:tc>
          <w:tcPr>
            <w:tcW w:w="6494" w:type="dxa"/>
            <w:vMerge/>
            <w:shd w:val="clear" w:color="auto" w:fill="auto"/>
            <w:vAlign w:val="center"/>
          </w:tcPr>
          <w:p w:rsidR="004575CF" w:rsidRDefault="004575CF" w:rsidP="00286429">
            <w:pPr>
              <w:shd w:val="clear" w:color="auto" w:fill="FFFFFF"/>
              <w:rPr>
                <w:rFonts w:ascii="宋体" w:hAnsi="宋体"/>
                <w:bCs/>
                <w:kern w:val="0"/>
                <w:sz w:val="24"/>
                <w:szCs w:val="24"/>
              </w:rPr>
            </w:pPr>
          </w:p>
        </w:tc>
      </w:tr>
    </w:tbl>
    <w:bookmarkEnd w:id="6"/>
    <w:p w:rsidR="004575CF" w:rsidRDefault="004575CF" w:rsidP="004575CF">
      <w:pPr>
        <w:autoSpaceDE w:val="0"/>
        <w:autoSpaceDN w:val="0"/>
        <w:adjustRightInd w:val="0"/>
        <w:spacing w:line="360" w:lineRule="auto"/>
        <w:ind w:firstLineChars="200" w:firstLine="480"/>
        <w:rPr>
          <w:rFonts w:hAnsi="宋体"/>
          <w:sz w:val="24"/>
          <w:szCs w:val="24"/>
        </w:rPr>
      </w:pPr>
      <w:r>
        <w:rPr>
          <w:rFonts w:hAnsi="宋体" w:hint="eastAsia"/>
          <w:sz w:val="24"/>
          <w:szCs w:val="24"/>
        </w:rPr>
        <w:lastRenderedPageBreak/>
        <w:t>要求</w:t>
      </w:r>
      <w:r>
        <w:rPr>
          <w:rFonts w:hAnsi="宋体"/>
          <w:sz w:val="24"/>
          <w:szCs w:val="24"/>
        </w:rPr>
        <w:t>医保规则与</w:t>
      </w:r>
      <w:r>
        <w:rPr>
          <w:rFonts w:hAnsi="宋体" w:hint="eastAsia"/>
          <w:sz w:val="24"/>
          <w:szCs w:val="24"/>
        </w:rPr>
        <w:t>杭州</w:t>
      </w:r>
      <w:r>
        <w:rPr>
          <w:rFonts w:hAnsi="宋体"/>
          <w:sz w:val="24"/>
          <w:szCs w:val="24"/>
        </w:rPr>
        <w:t>医保的支付规则保证同步更新。在安装、调试和运维过</w:t>
      </w:r>
      <w:r>
        <w:rPr>
          <w:rFonts w:hAnsi="宋体"/>
          <w:sz w:val="24"/>
          <w:szCs w:val="24"/>
        </w:rPr>
        <w:lastRenderedPageBreak/>
        <w:t>程中配合医疗机构信息部门进行联调，保证系统正常运维。</w:t>
      </w:r>
      <w:bookmarkStart w:id="7" w:name="_Toc525763813"/>
      <w:bookmarkStart w:id="8" w:name="_Toc140560954"/>
      <w:bookmarkStart w:id="9" w:name="_Toc319995680"/>
      <w:bookmarkStart w:id="10" w:name="_Toc410304493"/>
      <w:bookmarkStart w:id="11" w:name="_Toc447265939"/>
      <w:bookmarkStart w:id="12" w:name="_Toc140399748"/>
      <w:bookmarkStart w:id="13" w:name="_Toc184522001"/>
      <w:bookmarkStart w:id="14" w:name="_Toc388624452"/>
      <w:bookmarkStart w:id="15" w:name="_Toc233713399"/>
      <w:bookmarkStart w:id="16" w:name="_Toc399493842"/>
      <w:bookmarkStart w:id="17" w:name="_Toc184522014"/>
      <w:bookmarkStart w:id="18" w:name="_Toc3785648"/>
      <w:bookmarkStart w:id="19" w:name="_Toc3785472"/>
      <w:bookmarkStart w:id="20" w:name="_Toc3785524"/>
      <w:bookmarkStart w:id="21" w:name="_Toc54513118"/>
      <w:bookmarkStart w:id="22" w:name="_Toc87857956"/>
      <w:bookmarkStart w:id="23" w:name="_Toc3785686"/>
      <w:bookmarkStart w:id="24" w:name="_Toc93397593"/>
      <w:bookmarkStart w:id="25" w:name="_Toc100490281"/>
      <w:bookmarkStart w:id="26" w:name="_Toc112337273"/>
      <w:bookmarkStart w:id="27" w:name="_Toc93397995"/>
      <w:bookmarkStart w:id="28" w:name="_Toc101106493"/>
      <w:bookmarkStart w:id="29" w:name="_Toc100490364"/>
      <w:bookmarkStart w:id="30" w:name="_Toc112318570"/>
      <w:bookmarkStart w:id="31" w:name="_Toc124144211"/>
      <w:bookmarkStart w:id="32" w:name="_Toc136053324"/>
      <w:bookmarkStart w:id="33" w:name="_Toc136052812"/>
      <w:bookmarkStart w:id="34" w:name="_Toc136405653"/>
      <w:bookmarkStart w:id="35" w:name="_Toc136319898"/>
      <w:bookmarkStart w:id="36" w:name="_Toc137550122"/>
      <w:bookmarkStart w:id="37" w:name="_Toc136342796"/>
      <w:bookmarkStart w:id="38" w:name="_Toc138057583"/>
      <w:bookmarkStart w:id="39" w:name="_Toc138058163"/>
      <w:bookmarkStart w:id="40" w:name="_Toc138058094"/>
      <w:bookmarkStart w:id="41" w:name="_Toc138058232"/>
      <w:bookmarkStart w:id="42" w:name="_Toc60130130"/>
      <w:bookmarkStart w:id="43" w:name="_Toc53570242"/>
    </w:p>
    <w:p w:rsidR="004575CF" w:rsidRDefault="004575CF" w:rsidP="004575CF">
      <w:pPr>
        <w:autoSpaceDE w:val="0"/>
        <w:autoSpaceDN w:val="0"/>
        <w:adjustRightInd w:val="0"/>
        <w:spacing w:line="360" w:lineRule="auto"/>
        <w:rPr>
          <w:rFonts w:hAnsi="宋体"/>
          <w:sz w:val="24"/>
          <w:szCs w:val="24"/>
        </w:rPr>
      </w:pPr>
      <w:r>
        <w:rPr>
          <w:rFonts w:hAnsi="宋体" w:hint="eastAsia"/>
          <w:sz w:val="24"/>
          <w:szCs w:val="24"/>
        </w:rPr>
        <w:t xml:space="preserve">    </w:t>
      </w:r>
      <w:r>
        <w:rPr>
          <w:rFonts w:hAnsi="宋体" w:hint="eastAsia"/>
          <w:sz w:val="24"/>
          <w:szCs w:val="24"/>
        </w:rPr>
        <w:t>本项目报价明细需至少包含医保质量控制系统与</w:t>
      </w:r>
      <w:r>
        <w:rPr>
          <w:rFonts w:hAnsi="宋体" w:hint="eastAsia"/>
          <w:sz w:val="24"/>
          <w:szCs w:val="24"/>
        </w:rPr>
        <w:t>HIS</w:t>
      </w:r>
      <w:r>
        <w:rPr>
          <w:rFonts w:hAnsi="宋体" w:hint="eastAsia"/>
          <w:sz w:val="24"/>
          <w:szCs w:val="24"/>
        </w:rPr>
        <w:t>接口改造二个部分。</w:t>
      </w:r>
    </w:p>
    <w:p w:rsidR="004575CF" w:rsidRDefault="004575CF" w:rsidP="004575CF">
      <w:pPr>
        <w:pStyle w:val="1"/>
        <w:rPr>
          <w:rFonts w:ascii="宋体" w:hAnsi="宋体" w:cs="宋体"/>
        </w:rPr>
      </w:pPr>
      <w:bookmarkStart w:id="44" w:name="_Toc2168"/>
      <w:bookmarkStart w:id="45" w:name="_Toc92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宋体" w:hAnsi="宋体" w:cs="宋体" w:hint="eastAsia"/>
        </w:rPr>
        <w:t>四、建设周期</w:t>
      </w:r>
      <w:bookmarkEnd w:id="44"/>
      <w:r>
        <w:rPr>
          <w:rFonts w:ascii="宋体" w:hAnsi="宋体" w:cs="宋体" w:hint="eastAsia"/>
        </w:rPr>
        <w:t>、付款、保修要求</w:t>
      </w:r>
      <w:bookmarkEnd w:id="45"/>
    </w:p>
    <w:p w:rsidR="004575CF" w:rsidRDefault="004575CF" w:rsidP="004575CF">
      <w:pPr>
        <w:ind w:firstLineChars="200" w:firstLine="480"/>
        <w:rPr>
          <w:rFonts w:ascii="宋体" w:hAnsi="宋体" w:cs="宋体"/>
          <w:sz w:val="24"/>
          <w:szCs w:val="24"/>
        </w:rPr>
      </w:pPr>
      <w:r>
        <w:rPr>
          <w:rFonts w:ascii="宋体" w:hAnsi="宋体" w:cs="宋体" w:hint="eastAsia"/>
          <w:sz w:val="24"/>
          <w:szCs w:val="24"/>
        </w:rPr>
        <w:t>要求合同签订收到首款后即马上施工，要求在3个月内完工。</w:t>
      </w:r>
    </w:p>
    <w:p w:rsidR="004575CF" w:rsidRDefault="004575CF" w:rsidP="004575CF">
      <w:pPr>
        <w:ind w:firstLineChars="200" w:firstLine="480"/>
        <w:rPr>
          <w:rFonts w:ascii="宋体" w:hAnsi="宋体" w:cs="宋体"/>
          <w:sz w:val="24"/>
          <w:szCs w:val="24"/>
        </w:rPr>
      </w:pPr>
      <w:r>
        <w:rPr>
          <w:rFonts w:ascii="宋体" w:hAnsi="宋体" w:cs="宋体" w:hint="eastAsia"/>
          <w:sz w:val="24"/>
          <w:szCs w:val="24"/>
        </w:rPr>
        <w:t>要求整个系统保修三年及以上。要求保证维护响应时限是7×24小时电话实时响应，如无法远程解决问题，正常工作日4小时（不含合理的在途时间）内到达现场，24小时内解决用户问题，重大故障1小时内到达现场。在维护期内每月至少一次上门随访和系统维护。</w:t>
      </w:r>
    </w:p>
    <w:p w:rsidR="004575CF" w:rsidRDefault="004575CF" w:rsidP="004575CF">
      <w:pPr>
        <w:ind w:firstLineChars="200" w:firstLine="480"/>
        <w:rPr>
          <w:rFonts w:ascii="宋体" w:hAnsi="宋体" w:cs="宋体"/>
          <w:sz w:val="24"/>
          <w:szCs w:val="24"/>
        </w:rPr>
      </w:pPr>
      <w:r>
        <w:rPr>
          <w:rFonts w:ascii="宋体" w:hAnsi="宋体" w:cs="宋体" w:hint="eastAsia"/>
          <w:sz w:val="24"/>
          <w:szCs w:val="24"/>
        </w:rPr>
        <w:t>本项目维护服务期满后，维保费用由甲乙双方另行友好商议决定，每年维保费最高不超过本合同项目</w:t>
      </w:r>
      <w:r>
        <w:rPr>
          <w:rFonts w:hAnsi="宋体" w:hint="eastAsia"/>
          <w:sz w:val="24"/>
          <w:szCs w:val="24"/>
        </w:rPr>
        <w:t>医保质量控制系统部分报价</w:t>
      </w:r>
      <w:bookmarkStart w:id="46" w:name="_GoBack"/>
      <w:bookmarkEnd w:id="46"/>
      <w:r>
        <w:rPr>
          <w:rFonts w:ascii="宋体" w:hAnsi="宋体" w:cs="宋体" w:hint="eastAsia"/>
          <w:sz w:val="24"/>
          <w:szCs w:val="24"/>
        </w:rPr>
        <w:t>的10%。</w:t>
      </w:r>
    </w:p>
    <w:p w:rsidR="004575CF" w:rsidRDefault="004575CF" w:rsidP="004575CF">
      <w:pPr>
        <w:ind w:firstLineChars="200" w:firstLine="480"/>
        <w:rPr>
          <w:rFonts w:ascii="宋体" w:hAnsi="宋体" w:cs="宋体"/>
          <w:sz w:val="24"/>
          <w:szCs w:val="24"/>
        </w:rPr>
      </w:pPr>
      <w:r>
        <w:rPr>
          <w:rFonts w:ascii="宋体" w:hAnsi="宋体" w:cs="宋体" w:hint="eastAsia"/>
          <w:sz w:val="24"/>
          <w:szCs w:val="24"/>
        </w:rPr>
        <w:t>付款方式为分期付款，合同签订后付合同价格的30%，验收合格后付合同价格的60%，保修期结束后付合同价格的10%。</w:t>
      </w:r>
    </w:p>
    <w:p w:rsidR="004575CF" w:rsidRDefault="004575CF" w:rsidP="004575CF">
      <w:pPr>
        <w:rPr>
          <w:rFonts w:ascii="宋体" w:hAnsi="宋体" w:cs="宋体"/>
          <w:sz w:val="24"/>
          <w:szCs w:val="24"/>
        </w:rPr>
      </w:pPr>
    </w:p>
    <w:p w:rsidR="004575CF" w:rsidRPr="00D92922" w:rsidRDefault="004575CF" w:rsidP="004575CF">
      <w:pPr>
        <w:rPr>
          <w:rFonts w:ascii="黑体" w:eastAsia="黑体" w:hAnsi="宋体"/>
          <w:spacing w:val="40"/>
          <w:kern w:val="0"/>
          <w:sz w:val="36"/>
          <w:szCs w:val="36"/>
        </w:rPr>
      </w:pPr>
    </w:p>
    <w:p w:rsidR="004575CF" w:rsidRDefault="004575CF" w:rsidP="004575CF">
      <w:pPr>
        <w:rPr>
          <w:rFonts w:ascii="黑体" w:eastAsia="黑体" w:hAnsi="宋体"/>
          <w:spacing w:val="40"/>
          <w:kern w:val="0"/>
          <w:sz w:val="36"/>
          <w:szCs w:val="36"/>
        </w:rPr>
      </w:pPr>
    </w:p>
    <w:p w:rsidR="00285E8D" w:rsidRPr="004575CF" w:rsidRDefault="00285E8D"/>
    <w:sectPr w:rsidR="00285E8D" w:rsidRPr="004575CF" w:rsidSect="00285E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73" w:rsidRDefault="00834073" w:rsidP="004575CF">
      <w:r>
        <w:separator/>
      </w:r>
    </w:p>
  </w:endnote>
  <w:endnote w:type="continuationSeparator" w:id="0">
    <w:p w:rsidR="00834073" w:rsidRDefault="00834073" w:rsidP="00457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73" w:rsidRDefault="00834073" w:rsidP="004575CF">
      <w:r>
        <w:separator/>
      </w:r>
    </w:p>
  </w:footnote>
  <w:footnote w:type="continuationSeparator" w:id="0">
    <w:p w:rsidR="00834073" w:rsidRDefault="00834073" w:rsidP="00457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5CF"/>
    <w:rsid w:val="00285E8D"/>
    <w:rsid w:val="004575CF"/>
    <w:rsid w:val="00834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C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4575C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575C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5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575CF"/>
    <w:rPr>
      <w:sz w:val="18"/>
      <w:szCs w:val="18"/>
    </w:rPr>
  </w:style>
  <w:style w:type="paragraph" w:styleId="a4">
    <w:name w:val="footer"/>
    <w:basedOn w:val="a"/>
    <w:link w:val="Char0"/>
    <w:uiPriority w:val="99"/>
    <w:semiHidden/>
    <w:unhideWhenUsed/>
    <w:rsid w:val="004575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575CF"/>
    <w:rPr>
      <w:sz w:val="18"/>
      <w:szCs w:val="18"/>
    </w:rPr>
  </w:style>
  <w:style w:type="character" w:customStyle="1" w:styleId="1Char">
    <w:name w:val="标题 1 Char"/>
    <w:basedOn w:val="a0"/>
    <w:link w:val="1"/>
    <w:uiPriority w:val="9"/>
    <w:qFormat/>
    <w:rsid w:val="004575CF"/>
    <w:rPr>
      <w:rFonts w:ascii="Times New Roman" w:eastAsia="宋体" w:hAnsi="Times New Roman" w:cs="Times New Roman"/>
      <w:b/>
      <w:bCs/>
      <w:kern w:val="44"/>
      <w:sz w:val="44"/>
      <w:szCs w:val="44"/>
    </w:rPr>
  </w:style>
  <w:style w:type="character" w:customStyle="1" w:styleId="2Char">
    <w:name w:val="标题 2 Char"/>
    <w:basedOn w:val="a0"/>
    <w:link w:val="2"/>
    <w:rsid w:val="004575CF"/>
    <w:rPr>
      <w:rFonts w:ascii="Arial" w:eastAsia="黑体" w:hAnsi="Arial" w:cs="Times New Roman"/>
      <w:b/>
      <w:bCs/>
      <w:sz w:val="32"/>
      <w:szCs w:val="32"/>
    </w:rPr>
  </w:style>
  <w:style w:type="paragraph" w:styleId="a5">
    <w:name w:val="Normal (Web)"/>
    <w:basedOn w:val="a"/>
    <w:unhideWhenUsed/>
    <w:qFormat/>
    <w:rsid w:val="004575CF"/>
    <w:pPr>
      <w:widowControl/>
      <w:spacing w:before="100" w:beforeAutospacing="1" w:after="100" w:afterAutospacing="1"/>
      <w:jc w:val="left"/>
    </w:pPr>
    <w:rPr>
      <w:rFonts w:ascii="宋体" w:hAnsi="宋体" w:cs="宋体"/>
      <w:kern w:val="0"/>
      <w:sz w:val="24"/>
      <w:szCs w:val="24"/>
    </w:rPr>
  </w:style>
  <w:style w:type="paragraph" w:customStyle="1" w:styleId="a6">
    <w:name w:val="我的正文"/>
    <w:basedOn w:val="a"/>
    <w:qFormat/>
    <w:rsid w:val="004575CF"/>
    <w:pPr>
      <w:spacing w:afterLines="100" w:line="360" w:lineRule="auto"/>
      <w:ind w:firstLineChars="200" w:firstLine="480"/>
    </w:pPr>
    <w:rPr>
      <w:rFonts w:ascii="Calibri" w:eastAsia="仿宋_GB2312" w:hAnsi="Calibr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2019-08-15T03:49:00Z</dcterms:created>
  <dcterms:modified xsi:type="dcterms:W3CDTF">2019-08-15T03:49:00Z</dcterms:modified>
</cp:coreProperties>
</file>