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CF" w:rsidRDefault="004575CF" w:rsidP="004575CF">
      <w:pPr>
        <w:ind w:firstLine="643"/>
        <w:jc w:val="center"/>
        <w:rPr>
          <w:rFonts w:ascii="黑体" w:eastAsia="黑体" w:hAnsi="宋体"/>
          <w:sz w:val="36"/>
          <w:szCs w:val="36"/>
        </w:rPr>
      </w:pPr>
      <w:r>
        <w:rPr>
          <w:rFonts w:ascii="黑体" w:eastAsia="黑体" w:hAnsi="宋体" w:hint="eastAsia"/>
          <w:sz w:val="36"/>
          <w:szCs w:val="36"/>
        </w:rPr>
        <w:t>第四章 采购</w:t>
      </w:r>
      <w:r>
        <w:rPr>
          <w:rFonts w:ascii="黑体" w:eastAsia="黑体" w:hAnsi="宋体"/>
          <w:sz w:val="36"/>
          <w:szCs w:val="36"/>
        </w:rPr>
        <w:t>技术</w:t>
      </w:r>
      <w:r>
        <w:rPr>
          <w:rFonts w:ascii="黑体" w:eastAsia="黑体" w:hAnsi="宋体" w:hint="eastAsia"/>
          <w:sz w:val="36"/>
          <w:szCs w:val="36"/>
        </w:rPr>
        <w:t>需求</w:t>
      </w:r>
    </w:p>
    <w:p w:rsidR="004575CF" w:rsidRDefault="004575CF" w:rsidP="004575CF">
      <w:pPr>
        <w:rPr>
          <w:rFonts w:ascii="宋体" w:hAnsi="宋体" w:cs="宋体"/>
          <w:sz w:val="24"/>
          <w:szCs w:val="24"/>
        </w:rPr>
      </w:pPr>
    </w:p>
    <w:p w:rsidR="004575CF" w:rsidRDefault="004575CF" w:rsidP="004575CF">
      <w:pPr>
        <w:pStyle w:val="1"/>
        <w:rPr>
          <w:rFonts w:asciiTheme="minorEastAsia" w:hAnsiTheme="minorEastAsia" w:cstheme="minorEastAsia"/>
        </w:rPr>
      </w:pPr>
      <w:bookmarkStart w:id="0" w:name="_Toc18795"/>
      <w:bookmarkStart w:id="1" w:name="_Toc22811"/>
      <w:bookmarkStart w:id="2" w:name="_Toc730"/>
      <w:bookmarkStart w:id="3" w:name="_Toc23721"/>
      <w:r>
        <w:rPr>
          <w:rFonts w:asciiTheme="minorEastAsia" w:eastAsiaTheme="minorEastAsia" w:hAnsiTheme="minorEastAsia" w:cstheme="minorEastAsia" w:hint="eastAsia"/>
        </w:rPr>
        <w:t>一、建设背景</w:t>
      </w:r>
      <w:bookmarkEnd w:id="0"/>
      <w:bookmarkEnd w:id="1"/>
      <w:bookmarkEnd w:id="2"/>
    </w:p>
    <w:p w:rsidR="004575CF" w:rsidRDefault="004575CF" w:rsidP="004575CF">
      <w:pPr>
        <w:ind w:firstLineChars="200" w:firstLine="48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为落实卫生部、国家中医药管理局“以病人为中心，以提高医疗质量为主题”的医院管理，在医疗质量管理模式上实现由传统的经验管理向科学管理的转变，在医院高度信息化的基础上，提升整体医疗质量，改进临床效率和节约公共医疗经费等方面开展实践工作,促进医疗机构医疗质量的全面提高。针对当前医疗机构中对医保相关政策的执行现状，需要采购《医保控费软件》，提供临床医疗辅助指导服务，为各医院医务人员和管理部门提供有价值的指导和分析决策支持。</w:t>
      </w:r>
    </w:p>
    <w:p w:rsidR="004575CF" w:rsidRDefault="004575CF" w:rsidP="004575CF">
      <w:pPr>
        <w:pStyle w:val="2"/>
        <w:rPr>
          <w:rFonts w:ascii="宋体" w:eastAsia="宋体" w:hAnsi="宋体" w:cs="宋体"/>
        </w:rPr>
      </w:pPr>
      <w:bookmarkStart w:id="4" w:name="_Toc25213"/>
      <w:r>
        <w:rPr>
          <w:rFonts w:ascii="宋体" w:eastAsia="宋体" w:hAnsi="宋体" w:cs="宋体" w:hint="eastAsia"/>
        </w:rPr>
        <w:t>二、软件方面需求</w:t>
      </w:r>
      <w:bookmarkEnd w:id="3"/>
      <w:bookmarkEnd w:id="4"/>
    </w:p>
    <w:p w:rsidR="004575CF" w:rsidRDefault="004575CF" w:rsidP="004575CF">
      <w:pPr>
        <w:ind w:firstLineChars="200" w:firstLine="480"/>
        <w:rPr>
          <w:rFonts w:ascii="宋体" w:hAnsi="宋体" w:cs="宋体"/>
          <w:sz w:val="24"/>
          <w:szCs w:val="24"/>
        </w:rPr>
      </w:pPr>
      <w:r>
        <w:rPr>
          <w:rFonts w:ascii="宋体" w:hAnsi="宋体" w:cs="宋体" w:hint="eastAsia"/>
          <w:sz w:val="24"/>
          <w:szCs w:val="24"/>
        </w:rPr>
        <w:t>本系统建设目标是建立适用于医疗机构临床医师、护士等工作人员在开具处方或医嘱时进行用药或治疗处方的医保审核检查；中心领导及相关部门通过审核记录分析医院医师在病人治疗过程中用药情况和治疗情况；更高效率的分析和指导医院医疗质量管理，建立正常、严谨的工作秩序，确保医疗质量与安全，杜绝医疗事故的发生，促进医院医疗技术水平，管理水平，不断发展。系统基于医疗保险经办机构的医保报销业务审核精神，制定相关的数据规范、信息交换规划以及审核规则，与医疗机构共同建设医保报销单据预审核系统，实现处方单据的系统自动预审核，医生在医生工作站端开处方时，对单据数据进行自动、快速的审核筛选，对违规或可疑的单据进行预警，从而避免将违规的单据上传到医保中心，减少甚至杜绝不合理或违规被处罚的现象。</w:t>
      </w:r>
    </w:p>
    <w:p w:rsidR="004575CF" w:rsidRDefault="004575CF" w:rsidP="004575CF">
      <w:pPr>
        <w:ind w:firstLineChars="200" w:firstLine="480"/>
        <w:rPr>
          <w:rFonts w:ascii="宋体" w:hAnsi="宋体" w:cs="宋体"/>
          <w:sz w:val="24"/>
          <w:szCs w:val="24"/>
        </w:rPr>
      </w:pPr>
      <w:r>
        <w:rPr>
          <w:rFonts w:ascii="宋体" w:hAnsi="宋体" w:cs="宋体" w:hint="eastAsia"/>
          <w:sz w:val="24"/>
          <w:szCs w:val="24"/>
        </w:rPr>
        <w:t>医疗质量控制与服务系统由《医院端审核系统》、《医疗质量控制查询系统》组成。</w:t>
      </w:r>
    </w:p>
    <w:p w:rsidR="004575CF" w:rsidRDefault="004575CF" w:rsidP="004575CF">
      <w:pPr>
        <w:rPr>
          <w:rFonts w:ascii="宋体" w:hAnsi="宋体" w:cs="宋体"/>
          <w:sz w:val="24"/>
          <w:szCs w:val="24"/>
        </w:rPr>
      </w:pPr>
      <w:r>
        <w:rPr>
          <w:rFonts w:ascii="宋体" w:hAnsi="宋体" w:cs="宋体" w:hint="eastAsia"/>
          <w:sz w:val="24"/>
          <w:szCs w:val="24"/>
        </w:rPr>
        <w:t>（1）《医院端审核系统》是医疗质量控制与服务系统的核心；</w:t>
      </w:r>
    </w:p>
    <w:p w:rsidR="004575CF" w:rsidRDefault="004575CF" w:rsidP="004575CF">
      <w:pPr>
        <w:rPr>
          <w:rFonts w:ascii="宋体" w:hAnsi="宋体" w:cs="宋体"/>
          <w:sz w:val="24"/>
          <w:szCs w:val="24"/>
        </w:rPr>
      </w:pPr>
      <w:r>
        <w:rPr>
          <w:rFonts w:ascii="宋体" w:hAnsi="宋体" w:cs="宋体" w:hint="eastAsia"/>
          <w:sz w:val="24"/>
          <w:szCs w:val="24"/>
        </w:rPr>
        <w:t>医院端审核系统是医疗机构在开处方或医嘱时进行医疗违规检查，集成在HIS系统中作为HIS系统一部分。医院端审核系统包括审核引擎和HIS对接接口两大部分。审核引擎实现处方单据的实时审核处理，返回审核结果。HIS对接接口开发给HIS开发商，由HIS在医生工作站或其他环节在需要的时候调用审核服务，交给审核引擎进行逻辑处理，并将审核结果返回给HIS系统。</w:t>
      </w:r>
    </w:p>
    <w:p w:rsidR="004575CF" w:rsidRDefault="004575CF" w:rsidP="004575CF">
      <w:pPr>
        <w:rPr>
          <w:rFonts w:ascii="宋体" w:hAnsi="宋体" w:cs="宋体"/>
          <w:sz w:val="24"/>
          <w:szCs w:val="24"/>
        </w:rPr>
      </w:pPr>
      <w:r>
        <w:rPr>
          <w:rFonts w:ascii="宋体" w:hAnsi="宋体" w:cs="宋体" w:hint="eastAsia"/>
          <w:sz w:val="24"/>
          <w:szCs w:val="24"/>
        </w:rPr>
        <w:t>（2）《医疗质量控制查询系统》是对审核后的数据查询和统计；</w:t>
      </w:r>
    </w:p>
    <w:p w:rsidR="004575CF" w:rsidRDefault="004575CF" w:rsidP="004575CF">
      <w:pPr>
        <w:rPr>
          <w:rFonts w:ascii="宋体" w:hAnsi="宋体" w:cs="宋体"/>
          <w:sz w:val="24"/>
          <w:szCs w:val="24"/>
        </w:rPr>
      </w:pPr>
      <w:r>
        <w:rPr>
          <w:rFonts w:ascii="宋体" w:hAnsi="宋体" w:cs="宋体" w:hint="eastAsia"/>
          <w:sz w:val="24"/>
          <w:szCs w:val="24"/>
        </w:rPr>
        <w:t>医疗质量控制查询系统是对医院端审核后的医疗单据进行查询，是医院端审核系统的辅助查询功能。可以查询当前医疗机构医疗单据审核详细内容。</w:t>
      </w:r>
    </w:p>
    <w:p w:rsidR="004575CF" w:rsidRDefault="004575CF" w:rsidP="004575CF">
      <w:pPr>
        <w:pStyle w:val="1"/>
        <w:rPr>
          <w:rFonts w:ascii="宋体" w:hAnsi="宋体" w:cs="宋体"/>
        </w:rPr>
      </w:pPr>
      <w:bookmarkStart w:id="5" w:name="_Toc8719"/>
      <w:r>
        <w:rPr>
          <w:rFonts w:ascii="宋体" w:hAnsi="宋体" w:cs="宋体" w:hint="eastAsia"/>
        </w:rPr>
        <w:t>三、软件需求参数</w:t>
      </w:r>
      <w:bookmarkEnd w:id="5"/>
    </w:p>
    <w:p w:rsidR="004575CF" w:rsidRDefault="004575CF" w:rsidP="004575CF">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系统建设原则：</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★标准统一：与杭州医保规则100%一致</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公平公开：公开规则审核标准</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高效准确：不干扰his系统速度，不影响数据安全性</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★持续完善：与杭州医保规则保持同步，提供持续服务</w:t>
      </w:r>
    </w:p>
    <w:p w:rsidR="004575CF" w:rsidRDefault="004575CF" w:rsidP="004575CF">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 xml:space="preserve"> 技术指标</w:t>
      </w:r>
    </w:p>
    <w:p w:rsidR="004575CF" w:rsidRDefault="004575CF" w:rsidP="004575CF">
      <w:pPr>
        <w:autoSpaceDE w:val="0"/>
        <w:autoSpaceDN w:val="0"/>
        <w:adjustRightInd w:val="0"/>
        <w:spacing w:line="360" w:lineRule="auto"/>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（1）系统稳定可用性高、数据安全可靠性强</w:t>
      </w:r>
    </w:p>
    <w:p w:rsidR="004575CF" w:rsidRDefault="004575CF" w:rsidP="004575CF">
      <w:pPr>
        <w:autoSpaceDE w:val="0"/>
        <w:autoSpaceDN w:val="0"/>
        <w:adjustRightInd w:val="0"/>
        <w:spacing w:line="360" w:lineRule="auto"/>
        <w:ind w:firstLineChars="200" w:firstLine="480"/>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信息系统成为医院管理、运营各方面的支撑环境，要求系统设计与实施充分考虑系统的稳定性，并具有高可用性，要求系统支持7×24连续安全运行，稳定可靠，易于维护。在管理上，要求系统建设多层次的安全体系，保证系统和数据的安全可靠。</w:t>
      </w:r>
    </w:p>
    <w:p w:rsidR="004575CF" w:rsidRDefault="004575CF" w:rsidP="004575CF">
      <w:pPr>
        <w:autoSpaceDE w:val="0"/>
        <w:autoSpaceDN w:val="0"/>
        <w:adjustRightInd w:val="0"/>
        <w:spacing w:line="360" w:lineRule="auto"/>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（2）标准化原则</w:t>
      </w:r>
    </w:p>
    <w:p w:rsidR="004575CF" w:rsidRDefault="004575CF" w:rsidP="004575CF">
      <w:pPr>
        <w:autoSpaceDE w:val="0"/>
        <w:autoSpaceDN w:val="0"/>
        <w:adjustRightInd w:val="0"/>
        <w:spacing w:line="360" w:lineRule="auto"/>
        <w:ind w:firstLineChars="200" w:firstLine="480"/>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提供的所有软硬件产品、所涉及的工具及运行环境需遵循国际通用标准和行业规范。</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按照国际、国家、行业、企业相关标准建设适合</w:t>
      </w:r>
      <w:r>
        <w:rPr>
          <w:rFonts w:asciiTheme="minorEastAsia" w:hAnsiTheme="minorEastAsia" w:cstheme="minorEastAsia" w:hint="eastAsia"/>
          <w:sz w:val="24"/>
          <w:szCs w:val="24"/>
          <w:lang w:val="zh-CN"/>
        </w:rPr>
        <w:t>医院</w:t>
      </w:r>
      <w:r>
        <w:rPr>
          <w:rFonts w:asciiTheme="minorEastAsia" w:eastAsiaTheme="minorEastAsia" w:hAnsiTheme="minorEastAsia" w:cstheme="minorEastAsia" w:hint="eastAsia"/>
          <w:sz w:val="24"/>
          <w:szCs w:val="24"/>
          <w:lang w:val="zh-CN"/>
        </w:rPr>
        <w:t>现状和发展的标准规范体系，创建信息共享、系统集成环境。</w:t>
      </w:r>
    </w:p>
    <w:p w:rsidR="004575CF" w:rsidRDefault="004575CF" w:rsidP="004575CF">
      <w:pPr>
        <w:autoSpaceDE w:val="0"/>
        <w:autoSpaceDN w:val="0"/>
        <w:adjustRightInd w:val="0"/>
        <w:spacing w:line="360" w:lineRule="auto"/>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（3）安全性原则</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采用的软件开发技术和方法应该充分考虑医院所面临的安全性要求，建立适应的安全管理保障机制。</w:t>
      </w:r>
    </w:p>
    <w:p w:rsidR="004575CF" w:rsidRDefault="004575CF" w:rsidP="004575CF">
      <w:pPr>
        <w:autoSpaceDE w:val="0"/>
        <w:autoSpaceDN w:val="0"/>
        <w:adjustRightInd w:val="0"/>
        <w:spacing w:line="360" w:lineRule="auto"/>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（4）先进性与可靠性原则</w:t>
      </w:r>
    </w:p>
    <w:p w:rsidR="004575CF" w:rsidRDefault="004575CF" w:rsidP="004575CF">
      <w:pPr>
        <w:autoSpaceDE w:val="0"/>
        <w:autoSpaceDN w:val="0"/>
        <w:adjustRightInd w:val="0"/>
        <w:spacing w:line="360" w:lineRule="auto"/>
        <w:ind w:firstLineChars="200" w:firstLine="480"/>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要求选择成熟、可靠的主流技术和产品，即保证技术和产品的先进性，又要充分考虑实用性和高可靠性，有良好的售后服务和承诺支持。</w:t>
      </w:r>
    </w:p>
    <w:p w:rsidR="004575CF" w:rsidRDefault="004575CF" w:rsidP="004575CF">
      <w:pPr>
        <w:autoSpaceDE w:val="0"/>
        <w:autoSpaceDN w:val="0"/>
        <w:adjustRightInd w:val="0"/>
        <w:spacing w:line="360" w:lineRule="auto"/>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（5）兼容性与可扩展性原则</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要求从整个富阳区域his目前和发展的角度，坚持开放性原则，考虑各种软硬系统的兼容性和可扩展性。</w:t>
      </w:r>
    </w:p>
    <w:p w:rsidR="004575CF" w:rsidRDefault="004575CF" w:rsidP="004575CF">
      <w:pPr>
        <w:autoSpaceDE w:val="0"/>
        <w:autoSpaceDN w:val="0"/>
        <w:adjustRightInd w:val="0"/>
        <w:spacing w:line="360" w:lineRule="auto"/>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（6）易使用、易维护与可配置性原则</w:t>
      </w:r>
    </w:p>
    <w:p w:rsidR="004575CF" w:rsidRDefault="004575CF" w:rsidP="004575CF">
      <w:pPr>
        <w:autoSpaceDE w:val="0"/>
        <w:autoSpaceDN w:val="0"/>
        <w:adjustRightInd w:val="0"/>
        <w:spacing w:line="360" w:lineRule="auto"/>
        <w:ind w:firstLine="420"/>
        <w:rPr>
          <w:rFonts w:ascii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应用系统开发要充分体现结构化、模块化的设计思想，采用先进的设计和开发工具，同时按照便于管理和易维护原则，对于管理和维护有专门的考虑。</w:t>
      </w:r>
    </w:p>
    <w:p w:rsidR="004575CF" w:rsidRDefault="004575CF" w:rsidP="004575CF">
      <w:pPr>
        <w:autoSpaceDE w:val="0"/>
        <w:autoSpaceDN w:val="0"/>
        <w:adjustRightInd w:val="0"/>
        <w:spacing w:line="360" w:lineRule="auto"/>
        <w:ind w:firstLine="420"/>
        <w:rPr>
          <w:rFonts w:asciiTheme="minorEastAsia" w:hAnsiTheme="minorEastAsia" w:cstheme="minorEastAsia"/>
          <w:sz w:val="28"/>
          <w:szCs w:val="28"/>
          <w:lang w:val="zh-CN"/>
        </w:rPr>
      </w:pPr>
      <w:r>
        <w:rPr>
          <w:rFonts w:asciiTheme="minorEastAsia" w:eastAsiaTheme="minorEastAsia" w:hAnsiTheme="minorEastAsia" w:cstheme="minorEastAsia" w:hint="eastAsia"/>
          <w:sz w:val="24"/>
          <w:szCs w:val="24"/>
          <w:lang w:val="zh-CN"/>
        </w:rPr>
        <w:t>开发的系统要易使用和易维护。要求提供联机的帮助手段，要求应用界面简捷、直观，用户使用一目了然，简单易学；要提供丰富灵活的配置手段，针对一</w:t>
      </w:r>
      <w:r>
        <w:rPr>
          <w:rFonts w:asciiTheme="minorEastAsia" w:eastAsiaTheme="minorEastAsia" w:hAnsiTheme="minorEastAsia" w:cstheme="minorEastAsia" w:hint="eastAsia"/>
          <w:sz w:val="24"/>
          <w:szCs w:val="24"/>
          <w:lang w:val="zh-CN"/>
        </w:rPr>
        <w:lastRenderedPageBreak/>
        <w:t>般用户，使用简单方便，适应多种应用的需要。</w:t>
      </w:r>
    </w:p>
    <w:p w:rsidR="004575CF" w:rsidRDefault="004575CF" w:rsidP="004575CF">
      <w:pPr>
        <w:spacing w:line="360" w:lineRule="auto"/>
        <w:rPr>
          <w:rFonts w:ascii="Cambria" w:hAnsi="Cambria"/>
          <w:b/>
          <w:bCs/>
          <w:sz w:val="24"/>
        </w:rPr>
      </w:pPr>
      <w:r>
        <w:rPr>
          <w:rFonts w:ascii="Cambria" w:hAnsi="Cambria" w:hint="eastAsia"/>
          <w:b/>
          <w:bCs/>
          <w:sz w:val="24"/>
        </w:rPr>
        <w:t>3</w:t>
      </w:r>
      <w:r>
        <w:rPr>
          <w:rFonts w:ascii="Cambria" w:hAnsi="Cambria"/>
          <w:b/>
          <w:bCs/>
          <w:sz w:val="24"/>
        </w:rPr>
        <w:t>软件功能要求</w:t>
      </w:r>
    </w:p>
    <w:p w:rsidR="004575CF" w:rsidRDefault="004575CF" w:rsidP="004575CF">
      <w:pPr>
        <w:pStyle w:val="a6"/>
        <w:spacing w:afterLines="0"/>
        <w:ind w:firstLineChars="0" w:firstLine="0"/>
        <w:rPr>
          <w:rFonts w:ascii="Times New Roman" w:eastAsia="宋体" w:hAnsi="Times New Roman"/>
          <w:sz w:val="21"/>
          <w:szCs w:val="21"/>
        </w:rPr>
      </w:pPr>
      <w:r>
        <w:rPr>
          <w:rFonts w:ascii="Times New Roman" w:eastAsia="宋体" w:hAnsi="宋体"/>
          <w:sz w:val="21"/>
          <w:szCs w:val="21"/>
          <w:lang w:val="zh-CN"/>
        </w:rPr>
        <w:t>本项目的</w:t>
      </w:r>
      <w:r>
        <w:rPr>
          <w:rFonts w:ascii="Times New Roman" w:eastAsia="宋体" w:hAnsi="宋体"/>
          <w:sz w:val="21"/>
          <w:szCs w:val="21"/>
        </w:rPr>
        <w:t>具体软件功能在满足上述建设内容的基础上，补充描述要求如下：</w:t>
      </w:r>
    </w:p>
    <w:tbl>
      <w:tblPr>
        <w:tblW w:w="7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9"/>
        <w:gridCol w:w="6494"/>
      </w:tblGrid>
      <w:tr w:rsidR="004575CF" w:rsidTr="00286429">
        <w:trPr>
          <w:trHeight w:val="546"/>
          <w:jc w:val="center"/>
        </w:trPr>
        <w:tc>
          <w:tcPr>
            <w:tcW w:w="7843" w:type="dxa"/>
            <w:gridSpan w:val="2"/>
            <w:shd w:val="clear" w:color="auto" w:fill="auto"/>
            <w:vAlign w:val="center"/>
          </w:tcPr>
          <w:p w:rsidR="004575CF" w:rsidRDefault="004575CF" w:rsidP="00286429">
            <w:pPr>
              <w:shd w:val="clear" w:color="auto" w:fill="FFFFFF"/>
              <w:jc w:val="center"/>
              <w:rPr>
                <w:rFonts w:ascii="宋体" w:hAnsi="宋体"/>
                <w:b/>
                <w:bCs/>
                <w:kern w:val="0"/>
                <w:sz w:val="24"/>
                <w:szCs w:val="24"/>
              </w:rPr>
            </w:pPr>
            <w:r>
              <w:rPr>
                <w:rFonts w:ascii="宋体" w:hAnsi="宋体" w:hint="eastAsia"/>
                <w:b/>
                <w:bCs/>
                <w:kern w:val="0"/>
                <w:sz w:val="24"/>
                <w:szCs w:val="24"/>
              </w:rPr>
              <w:t>基本需要</w:t>
            </w:r>
          </w:p>
        </w:tc>
      </w:tr>
      <w:tr w:rsidR="004575CF" w:rsidTr="00286429">
        <w:trPr>
          <w:trHeight w:val="372"/>
          <w:jc w:val="center"/>
        </w:trPr>
        <w:tc>
          <w:tcPr>
            <w:tcW w:w="1349" w:type="dxa"/>
            <w:vMerge w:val="restart"/>
            <w:shd w:val="clear" w:color="auto" w:fill="auto"/>
            <w:vAlign w:val="center"/>
          </w:tcPr>
          <w:p w:rsidR="004575CF" w:rsidRDefault="004575CF" w:rsidP="00286429">
            <w:pPr>
              <w:shd w:val="clear" w:color="auto" w:fill="FFFFFF"/>
              <w:rPr>
                <w:rFonts w:ascii="宋体" w:hAnsi="宋体"/>
                <w:bCs/>
                <w:kern w:val="0"/>
                <w:sz w:val="24"/>
                <w:szCs w:val="24"/>
              </w:rPr>
            </w:pPr>
            <w:bookmarkStart w:id="6" w:name="_Hlk524435265"/>
            <w:r>
              <w:rPr>
                <w:rFonts w:ascii="宋体" w:hAnsi="宋体" w:hint="eastAsia"/>
                <w:sz w:val="24"/>
                <w:szCs w:val="24"/>
              </w:rPr>
              <w:t>系统需要布控的范围</w:t>
            </w:r>
          </w:p>
        </w:tc>
        <w:tc>
          <w:tcPr>
            <w:tcW w:w="6494" w:type="dxa"/>
            <w:vMerge w:val="restart"/>
            <w:shd w:val="clear" w:color="auto" w:fill="auto"/>
            <w:vAlign w:val="center"/>
          </w:tcPr>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hint="eastAsia"/>
                <w:bCs/>
                <w:kern w:val="0"/>
                <w:sz w:val="24"/>
                <w:szCs w:val="24"/>
              </w:rPr>
              <w:t>涵盖当前区域his系统各业务操作系统和相关医保管理部门。</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hint="eastAsia"/>
                <w:bCs/>
                <w:kern w:val="0"/>
                <w:sz w:val="24"/>
                <w:szCs w:val="24"/>
              </w:rPr>
              <w:t>1、医生工作站（门诊、住院）</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hint="eastAsia"/>
                <w:bCs/>
                <w:kern w:val="0"/>
                <w:sz w:val="24"/>
                <w:szCs w:val="24"/>
              </w:rPr>
              <w:t>2、护士工作站（门诊、住院）</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hint="eastAsia"/>
                <w:bCs/>
                <w:kern w:val="0"/>
                <w:sz w:val="24"/>
                <w:szCs w:val="24"/>
              </w:rPr>
              <w:t>3、收费系统（门诊、住院）</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hint="eastAsia"/>
                <w:bCs/>
                <w:kern w:val="0"/>
                <w:sz w:val="24"/>
                <w:szCs w:val="24"/>
              </w:rPr>
              <w:t>4、医保管理部门（领导监管及查询）</w:t>
            </w:r>
          </w:p>
        </w:tc>
      </w:tr>
      <w:tr w:rsidR="004575CF" w:rsidTr="00286429">
        <w:trPr>
          <w:trHeight w:val="528"/>
          <w:jc w:val="center"/>
        </w:trPr>
        <w:tc>
          <w:tcPr>
            <w:tcW w:w="1349" w:type="dxa"/>
            <w:vMerge/>
            <w:shd w:val="clear" w:color="auto" w:fill="auto"/>
            <w:vAlign w:val="center"/>
          </w:tcPr>
          <w:p w:rsidR="004575CF" w:rsidRDefault="004575CF" w:rsidP="00286429">
            <w:pPr>
              <w:shd w:val="clear" w:color="auto" w:fill="FFFFFF"/>
              <w:rPr>
                <w:rFonts w:ascii="宋体" w:hAnsi="宋体"/>
                <w:bCs/>
                <w:kern w:val="0"/>
                <w:sz w:val="24"/>
                <w:szCs w:val="24"/>
              </w:rPr>
            </w:pPr>
          </w:p>
        </w:tc>
        <w:tc>
          <w:tcPr>
            <w:tcW w:w="6494" w:type="dxa"/>
            <w:vMerge/>
            <w:shd w:val="clear" w:color="auto" w:fill="auto"/>
            <w:vAlign w:val="center"/>
          </w:tcPr>
          <w:p w:rsidR="004575CF" w:rsidRDefault="004575CF" w:rsidP="00286429">
            <w:pPr>
              <w:shd w:val="clear" w:color="auto" w:fill="FFFFFF"/>
              <w:rPr>
                <w:rFonts w:ascii="宋体" w:hAnsi="宋体"/>
                <w:bCs/>
                <w:kern w:val="0"/>
                <w:sz w:val="24"/>
                <w:szCs w:val="24"/>
              </w:rPr>
            </w:pPr>
          </w:p>
        </w:tc>
      </w:tr>
      <w:tr w:rsidR="004575CF" w:rsidTr="00286429">
        <w:trPr>
          <w:trHeight w:val="528"/>
          <w:jc w:val="center"/>
        </w:trPr>
        <w:tc>
          <w:tcPr>
            <w:tcW w:w="1349" w:type="dxa"/>
            <w:vMerge/>
            <w:shd w:val="clear" w:color="auto" w:fill="auto"/>
            <w:vAlign w:val="center"/>
          </w:tcPr>
          <w:p w:rsidR="004575CF" w:rsidRDefault="004575CF" w:rsidP="00286429">
            <w:pPr>
              <w:shd w:val="clear" w:color="auto" w:fill="FFFFFF"/>
              <w:rPr>
                <w:rFonts w:ascii="宋体" w:hAnsi="宋体"/>
                <w:bCs/>
                <w:kern w:val="0"/>
                <w:sz w:val="24"/>
                <w:szCs w:val="24"/>
              </w:rPr>
            </w:pPr>
          </w:p>
        </w:tc>
        <w:tc>
          <w:tcPr>
            <w:tcW w:w="6494" w:type="dxa"/>
            <w:vMerge/>
            <w:shd w:val="clear" w:color="auto" w:fill="auto"/>
            <w:vAlign w:val="center"/>
          </w:tcPr>
          <w:p w:rsidR="004575CF" w:rsidRDefault="004575CF" w:rsidP="00286429">
            <w:pPr>
              <w:shd w:val="clear" w:color="auto" w:fill="FFFFFF"/>
              <w:rPr>
                <w:rFonts w:ascii="宋体" w:hAnsi="宋体"/>
                <w:bCs/>
                <w:kern w:val="0"/>
                <w:sz w:val="24"/>
                <w:szCs w:val="24"/>
              </w:rPr>
            </w:pPr>
          </w:p>
        </w:tc>
      </w:tr>
      <w:tr w:rsidR="004575CF" w:rsidTr="00286429">
        <w:trPr>
          <w:trHeight w:val="1086"/>
          <w:jc w:val="center"/>
        </w:trPr>
        <w:tc>
          <w:tcPr>
            <w:tcW w:w="1349" w:type="dxa"/>
            <w:vMerge/>
            <w:shd w:val="clear" w:color="auto" w:fill="auto"/>
            <w:vAlign w:val="center"/>
          </w:tcPr>
          <w:p w:rsidR="004575CF" w:rsidRDefault="004575CF" w:rsidP="00286429">
            <w:pPr>
              <w:shd w:val="clear" w:color="auto" w:fill="FFFFFF"/>
              <w:rPr>
                <w:rFonts w:ascii="宋体" w:hAnsi="宋体"/>
                <w:bCs/>
                <w:kern w:val="0"/>
                <w:sz w:val="24"/>
                <w:szCs w:val="24"/>
              </w:rPr>
            </w:pPr>
          </w:p>
        </w:tc>
        <w:tc>
          <w:tcPr>
            <w:tcW w:w="6494" w:type="dxa"/>
            <w:vMerge/>
            <w:shd w:val="clear" w:color="auto" w:fill="auto"/>
            <w:vAlign w:val="center"/>
          </w:tcPr>
          <w:p w:rsidR="004575CF" w:rsidRDefault="004575CF" w:rsidP="00286429">
            <w:pPr>
              <w:shd w:val="clear" w:color="auto" w:fill="FFFFFF"/>
              <w:rPr>
                <w:rFonts w:ascii="宋体" w:hAnsi="宋体"/>
                <w:bCs/>
                <w:kern w:val="0"/>
                <w:sz w:val="24"/>
                <w:szCs w:val="24"/>
              </w:rPr>
            </w:pPr>
          </w:p>
        </w:tc>
      </w:tr>
      <w:tr w:rsidR="004575CF" w:rsidTr="00286429">
        <w:trPr>
          <w:trHeight w:val="2104"/>
          <w:jc w:val="center"/>
        </w:trPr>
        <w:tc>
          <w:tcPr>
            <w:tcW w:w="1349" w:type="dxa"/>
            <w:vMerge w:val="restart"/>
            <w:shd w:val="clear" w:color="auto" w:fill="auto"/>
            <w:vAlign w:val="center"/>
          </w:tcPr>
          <w:p w:rsidR="004575CF" w:rsidRDefault="004575CF" w:rsidP="00286429">
            <w:pPr>
              <w:shd w:val="clear" w:color="auto" w:fill="FFFFFF"/>
              <w:rPr>
                <w:rFonts w:ascii="宋体" w:hAnsi="宋体"/>
                <w:bCs/>
                <w:kern w:val="0"/>
                <w:sz w:val="24"/>
                <w:szCs w:val="24"/>
              </w:rPr>
            </w:pPr>
            <w:r>
              <w:rPr>
                <w:rFonts w:ascii="宋体" w:hAnsi="宋体"/>
                <w:sz w:val="24"/>
                <w:szCs w:val="24"/>
              </w:rPr>
              <w:t>功能需求</w:t>
            </w:r>
          </w:p>
        </w:tc>
        <w:tc>
          <w:tcPr>
            <w:tcW w:w="6494" w:type="dxa"/>
            <w:vMerge w:val="restart"/>
            <w:shd w:val="clear" w:color="auto" w:fill="auto"/>
            <w:vAlign w:val="center"/>
          </w:tcPr>
          <w:p w:rsidR="004575CF" w:rsidRDefault="004575CF" w:rsidP="00286429">
            <w:pPr>
              <w:autoSpaceDE w:val="0"/>
              <w:autoSpaceDN w:val="0"/>
              <w:adjustRightInd w:val="0"/>
              <w:spacing w:line="360" w:lineRule="auto"/>
              <w:rPr>
                <w:rFonts w:ascii="宋体" w:hAnsi="宋体"/>
                <w:bCs/>
                <w:kern w:val="0"/>
                <w:sz w:val="24"/>
                <w:szCs w:val="24"/>
              </w:rPr>
            </w:pPr>
            <w:r>
              <w:rPr>
                <w:rFonts w:ascii="宋体" w:hAnsi="宋体"/>
                <w:bCs/>
                <w:kern w:val="0"/>
                <w:sz w:val="24"/>
                <w:szCs w:val="24"/>
              </w:rPr>
              <w:t>根据</w:t>
            </w:r>
            <w:r>
              <w:rPr>
                <w:rFonts w:ascii="宋体" w:hAnsi="宋体" w:hint="eastAsia"/>
                <w:bCs/>
                <w:kern w:val="0"/>
                <w:sz w:val="24"/>
                <w:szCs w:val="24"/>
              </w:rPr>
              <w:t>杭州</w:t>
            </w:r>
            <w:r>
              <w:rPr>
                <w:rFonts w:ascii="宋体" w:hAnsi="宋体"/>
                <w:bCs/>
                <w:kern w:val="0"/>
                <w:sz w:val="24"/>
                <w:szCs w:val="24"/>
              </w:rPr>
              <w:t>医保规则对单据进行审核并反馈审核结果</w:t>
            </w:r>
            <w:r>
              <w:rPr>
                <w:rFonts w:ascii="宋体" w:hAnsi="宋体" w:hint="eastAsia"/>
                <w:bCs/>
                <w:kern w:val="0"/>
                <w:sz w:val="24"/>
                <w:szCs w:val="24"/>
              </w:rPr>
              <w:t>：</w:t>
            </w:r>
          </w:p>
          <w:p w:rsidR="004575CF" w:rsidRDefault="004575CF" w:rsidP="00286429">
            <w:pPr>
              <w:pStyle w:val="a5"/>
              <w:spacing w:beforeAutospacing="0" w:after="0" w:afterAutospacing="0"/>
              <w:ind w:firstLine="480"/>
              <w:jc w:val="both"/>
              <w:rPr>
                <w:bCs/>
              </w:rPr>
            </w:pPr>
            <w:r>
              <w:rPr>
                <w:bCs/>
              </w:rPr>
              <w:fldChar w:fldCharType="begin"/>
            </w:r>
            <w:r>
              <w:rPr>
                <w:rFonts w:hint="eastAsia"/>
                <w:bCs/>
              </w:rPr>
              <w:instrText>eq \o\ac(</w:instrText>
            </w:r>
            <w:r>
              <w:rPr>
                <w:rFonts w:hint="eastAsia"/>
                <w:bCs/>
                <w:position w:val="-4"/>
                <w:sz w:val="36"/>
              </w:rPr>
              <w:instrText>○</w:instrText>
            </w:r>
            <w:r>
              <w:rPr>
                <w:rFonts w:hint="eastAsia"/>
                <w:bCs/>
              </w:rPr>
              <w:instrText>,1)</w:instrText>
            </w:r>
            <w:r>
              <w:rPr>
                <w:bCs/>
              </w:rPr>
              <w:fldChar w:fldCharType="end"/>
            </w:r>
            <w:r>
              <w:rPr>
                <w:bCs/>
              </w:rPr>
              <w:t>限定科室使用</w:t>
            </w:r>
          </w:p>
          <w:p w:rsidR="004575CF" w:rsidRDefault="004575CF" w:rsidP="00286429">
            <w:pPr>
              <w:pStyle w:val="a5"/>
              <w:spacing w:beforeAutospacing="0" w:after="0" w:afterAutospacing="0"/>
              <w:ind w:firstLine="480"/>
              <w:jc w:val="both"/>
              <w:rPr>
                <w:bCs/>
              </w:rPr>
            </w:pPr>
            <w:r>
              <w:rPr>
                <w:bCs/>
              </w:rPr>
              <w:t>对限定在特定科室、医生使用的药品进行审核。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w:instrText>
            </w:r>
            <w:r>
              <w:rPr>
                <w:rFonts w:ascii="宋体" w:hAnsi="宋体"/>
                <w:bCs/>
                <w:kern w:val="0"/>
                <w:sz w:val="24"/>
                <w:szCs w:val="24"/>
              </w:rPr>
              <w:fldChar w:fldCharType="end"/>
            </w:r>
            <w:r>
              <w:rPr>
                <w:rFonts w:ascii="宋体" w:hAnsi="宋体"/>
                <w:bCs/>
                <w:kern w:val="0"/>
                <w:sz w:val="24"/>
                <w:szCs w:val="24"/>
              </w:rPr>
              <w:t>重复用药</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对最小分类项下的药品联合使用进行审核。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w:instrText>
            </w:r>
            <w:r>
              <w:rPr>
                <w:rFonts w:ascii="宋体" w:hAnsi="宋体"/>
                <w:bCs/>
                <w:kern w:val="0"/>
                <w:sz w:val="24"/>
                <w:szCs w:val="24"/>
              </w:rPr>
              <w:fldChar w:fldCharType="end"/>
            </w:r>
            <w:r>
              <w:rPr>
                <w:rFonts w:ascii="宋体" w:hAnsi="宋体"/>
                <w:bCs/>
                <w:kern w:val="0"/>
                <w:sz w:val="24"/>
                <w:szCs w:val="24"/>
              </w:rPr>
              <w:t>中药饮片超量</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药品目录内有用量限制的饮片，按照普通疾病和恶性肿瘤，限定不同的用量、帖数进行审核。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,4)</w:instrText>
            </w:r>
            <w:r>
              <w:rPr>
                <w:rFonts w:ascii="宋体" w:hAnsi="宋体"/>
                <w:bCs/>
                <w:kern w:val="0"/>
                <w:sz w:val="24"/>
                <w:szCs w:val="24"/>
              </w:rPr>
              <w:fldChar w:fldCharType="end"/>
            </w:r>
            <w:r>
              <w:rPr>
                <w:rFonts w:ascii="宋体" w:hAnsi="宋体"/>
                <w:bCs/>
                <w:kern w:val="0"/>
                <w:sz w:val="24"/>
                <w:szCs w:val="24"/>
              </w:rPr>
              <w:t>药品超量</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根据药品的规格、转换比，上传的用量、频次，参考说明书的用量计算出该药品的实际可使用天数，结合急性、慢性病用药量进行配药量的审核。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,5)</w:instrText>
            </w:r>
            <w:r>
              <w:rPr>
                <w:rFonts w:ascii="宋体" w:hAnsi="宋体"/>
                <w:bCs/>
                <w:kern w:val="0"/>
                <w:sz w:val="24"/>
                <w:szCs w:val="24"/>
              </w:rPr>
              <w:fldChar w:fldCharType="end"/>
            </w:r>
            <w:r>
              <w:rPr>
                <w:rFonts w:ascii="宋体" w:hAnsi="宋体"/>
                <w:bCs/>
                <w:kern w:val="0"/>
                <w:sz w:val="24"/>
                <w:szCs w:val="24"/>
              </w:rPr>
              <w:t>中药饮片审核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对单味不支付饮片、单味或复方均不支付饮片进行审核。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,6)</w:instrText>
            </w:r>
            <w:r>
              <w:rPr>
                <w:rFonts w:ascii="宋体" w:hAnsi="宋体"/>
                <w:bCs/>
                <w:kern w:val="0"/>
                <w:sz w:val="24"/>
                <w:szCs w:val="24"/>
              </w:rPr>
              <w:fldChar w:fldCharType="end"/>
            </w:r>
            <w:r>
              <w:rPr>
                <w:rFonts w:ascii="宋体" w:hAnsi="宋体"/>
                <w:bCs/>
                <w:kern w:val="0"/>
                <w:sz w:val="24"/>
                <w:szCs w:val="24"/>
              </w:rPr>
              <w:t>阶梯用药审核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对限二线使用的药品进行审核。限定支付的降压、降糖等长期慢性病用首次使用提供诊断依据。</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lastRenderedPageBreak/>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,7)</w:instrText>
            </w:r>
            <w:r>
              <w:rPr>
                <w:rFonts w:ascii="宋体" w:hAnsi="宋体"/>
                <w:bCs/>
                <w:kern w:val="0"/>
                <w:sz w:val="24"/>
                <w:szCs w:val="24"/>
              </w:rPr>
              <w:fldChar w:fldCharType="end"/>
            </w:r>
            <w:r>
              <w:rPr>
                <w:rFonts w:ascii="宋体" w:hAnsi="宋体"/>
                <w:bCs/>
                <w:kern w:val="0"/>
                <w:sz w:val="24"/>
                <w:szCs w:val="24"/>
              </w:rPr>
              <w:t>违反限定适应症(条件)用药</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对药品目录有限定支付的药品进行适应症审核。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,8)</w:instrText>
            </w:r>
            <w:r>
              <w:rPr>
                <w:rFonts w:ascii="宋体" w:hAnsi="宋体"/>
                <w:bCs/>
                <w:kern w:val="0"/>
                <w:sz w:val="24"/>
                <w:szCs w:val="24"/>
              </w:rPr>
              <w:fldChar w:fldCharType="end"/>
            </w:r>
            <w:r>
              <w:rPr>
                <w:rFonts w:ascii="宋体" w:hAnsi="宋体"/>
                <w:bCs/>
                <w:kern w:val="0"/>
                <w:sz w:val="24"/>
                <w:szCs w:val="24"/>
              </w:rPr>
              <w:t>频繁取药</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在限定时间段内重复配取最小分类项下的慢性病用药。</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,9)</w:instrText>
            </w:r>
            <w:r>
              <w:rPr>
                <w:rFonts w:ascii="宋体" w:hAnsi="宋体"/>
                <w:bCs/>
                <w:kern w:val="0"/>
                <w:sz w:val="24"/>
                <w:szCs w:val="24"/>
              </w:rPr>
              <w:fldChar w:fldCharType="end"/>
            </w:r>
            <w:r>
              <w:rPr>
                <w:rFonts w:ascii="宋体" w:hAnsi="宋体"/>
                <w:bCs/>
                <w:kern w:val="0"/>
                <w:sz w:val="24"/>
                <w:szCs w:val="24"/>
              </w:rPr>
              <w:t>单张单据药品种类异常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对单张单据药品种类高于设定数值的单据进行审核，发现其中的异常单据。</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,10)</w:instrText>
            </w:r>
            <w:r>
              <w:rPr>
                <w:rFonts w:ascii="宋体" w:hAnsi="宋体"/>
                <w:bCs/>
                <w:kern w:val="0"/>
                <w:sz w:val="24"/>
                <w:szCs w:val="24"/>
              </w:rPr>
              <w:fldChar w:fldCharType="end"/>
            </w:r>
            <w:r>
              <w:rPr>
                <w:rFonts w:ascii="宋体" w:hAnsi="宋体"/>
                <w:bCs/>
                <w:kern w:val="0"/>
                <w:sz w:val="24"/>
                <w:szCs w:val="24"/>
              </w:rPr>
              <w:t>均帖费用异常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对帖均费用过高、过低的饮片处方进行审核。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,11)</w:instrText>
            </w:r>
            <w:r>
              <w:rPr>
                <w:rFonts w:ascii="宋体" w:hAnsi="宋体"/>
                <w:bCs/>
                <w:kern w:val="0"/>
                <w:sz w:val="24"/>
                <w:szCs w:val="24"/>
              </w:rPr>
              <w:fldChar w:fldCharType="end"/>
            </w:r>
            <w:r>
              <w:rPr>
                <w:rFonts w:ascii="宋体" w:hAnsi="宋体"/>
                <w:bCs/>
                <w:kern w:val="0"/>
                <w:sz w:val="24"/>
                <w:szCs w:val="24"/>
              </w:rPr>
              <w:t>医用材料与治疗项目不符</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医用材料的使用必须与医疗服务项目相对应，材料编码对应项目编码，一对一关系</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,12)</w:instrText>
            </w:r>
            <w:r>
              <w:rPr>
                <w:rFonts w:ascii="宋体" w:hAnsi="宋体"/>
                <w:bCs/>
                <w:kern w:val="0"/>
                <w:sz w:val="24"/>
                <w:szCs w:val="24"/>
              </w:rPr>
              <w:fldChar w:fldCharType="end"/>
            </w:r>
            <w:r>
              <w:rPr>
                <w:rFonts w:ascii="宋体" w:hAnsi="宋体"/>
                <w:bCs/>
                <w:kern w:val="0"/>
                <w:sz w:val="24"/>
                <w:szCs w:val="24"/>
              </w:rPr>
              <w:t>超限定价格</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 xml:space="preserve">有限价的医用材料超过该项目限定单价进行结算控制。 </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,13)</w:instrText>
            </w:r>
            <w:r>
              <w:rPr>
                <w:rFonts w:ascii="宋体" w:hAnsi="宋体"/>
                <w:bCs/>
                <w:kern w:val="0"/>
                <w:sz w:val="24"/>
                <w:szCs w:val="24"/>
              </w:rPr>
              <w:fldChar w:fldCharType="end"/>
            </w:r>
            <w:r>
              <w:rPr>
                <w:rFonts w:ascii="宋体" w:hAnsi="宋体"/>
                <w:bCs/>
                <w:kern w:val="0"/>
                <w:sz w:val="24"/>
                <w:szCs w:val="24"/>
              </w:rPr>
              <w:t>超限定频次</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医疗服务项目在一个时间区间内限定报销的次数。</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,14)</w:instrText>
            </w:r>
            <w:r>
              <w:rPr>
                <w:rFonts w:ascii="宋体" w:hAnsi="宋体"/>
                <w:bCs/>
                <w:kern w:val="0"/>
                <w:sz w:val="24"/>
                <w:szCs w:val="24"/>
              </w:rPr>
              <w:fldChar w:fldCharType="end"/>
            </w:r>
            <w:r>
              <w:rPr>
                <w:rFonts w:ascii="宋体" w:hAnsi="宋体"/>
                <w:bCs/>
                <w:kern w:val="0"/>
                <w:sz w:val="24"/>
                <w:szCs w:val="24"/>
              </w:rPr>
              <w:t>重复收费</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医疗服务项目“项目内涵”已包含的项目，或“备注”中明确不得同时收费的项目同时收取。</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,15)</w:instrText>
            </w:r>
            <w:r>
              <w:rPr>
                <w:rFonts w:ascii="宋体" w:hAnsi="宋体"/>
                <w:bCs/>
                <w:kern w:val="0"/>
                <w:sz w:val="24"/>
                <w:szCs w:val="24"/>
              </w:rPr>
              <w:fldChar w:fldCharType="end"/>
            </w:r>
            <w:r>
              <w:rPr>
                <w:rFonts w:ascii="宋体" w:hAnsi="宋体"/>
                <w:bCs/>
                <w:kern w:val="0"/>
                <w:sz w:val="24"/>
                <w:szCs w:val="24"/>
              </w:rPr>
              <w:t>超项目限定报销总额</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一个治疗过程或时间区间使用该项目的累计总金额或列支金额。</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,16)</w:instrText>
            </w:r>
            <w:r>
              <w:rPr>
                <w:rFonts w:ascii="宋体" w:hAnsi="宋体"/>
                <w:bCs/>
                <w:kern w:val="0"/>
                <w:sz w:val="24"/>
                <w:szCs w:val="24"/>
              </w:rPr>
              <w:fldChar w:fldCharType="end"/>
            </w:r>
            <w:r>
              <w:rPr>
                <w:rFonts w:ascii="宋体" w:hAnsi="宋体"/>
                <w:bCs/>
                <w:kern w:val="0"/>
                <w:sz w:val="24"/>
                <w:szCs w:val="24"/>
              </w:rPr>
              <w:t>违反限定适应症(条件)项目</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对医疗服务项目“限定支付”的适应症进行审核。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,17)</w:instrText>
            </w:r>
            <w:r>
              <w:rPr>
                <w:rFonts w:ascii="宋体" w:hAnsi="宋体"/>
                <w:bCs/>
                <w:kern w:val="0"/>
                <w:sz w:val="24"/>
                <w:szCs w:val="24"/>
              </w:rPr>
              <w:fldChar w:fldCharType="end"/>
            </w:r>
            <w:r>
              <w:rPr>
                <w:rFonts w:ascii="宋体" w:hAnsi="宋体"/>
                <w:bCs/>
                <w:kern w:val="0"/>
                <w:sz w:val="24"/>
                <w:szCs w:val="24"/>
              </w:rPr>
              <w:t>限就医方式</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医疗服务项目限在门诊或住院使用。</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lastRenderedPageBreak/>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,18)</w:instrText>
            </w:r>
            <w:r>
              <w:rPr>
                <w:rFonts w:ascii="宋体" w:hAnsi="宋体"/>
                <w:bCs/>
                <w:kern w:val="0"/>
                <w:sz w:val="24"/>
                <w:szCs w:val="24"/>
              </w:rPr>
              <w:fldChar w:fldCharType="end"/>
            </w:r>
            <w:r>
              <w:rPr>
                <w:rFonts w:ascii="宋体" w:hAnsi="宋体"/>
                <w:bCs/>
                <w:kern w:val="0"/>
                <w:sz w:val="24"/>
                <w:szCs w:val="24"/>
              </w:rPr>
              <w:t>限定性别审核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男性、女性生殖系统的药品或医疗服务项目，限所对应的性别人群使用。</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,19)</w:instrText>
            </w:r>
            <w:r>
              <w:rPr>
                <w:rFonts w:ascii="宋体" w:hAnsi="宋体"/>
                <w:bCs/>
                <w:kern w:val="0"/>
                <w:sz w:val="24"/>
                <w:szCs w:val="24"/>
              </w:rPr>
              <w:fldChar w:fldCharType="end"/>
            </w:r>
            <w:r>
              <w:rPr>
                <w:rFonts w:ascii="宋体" w:hAnsi="宋体"/>
                <w:bCs/>
                <w:kern w:val="0"/>
                <w:sz w:val="24"/>
                <w:szCs w:val="24"/>
              </w:rPr>
              <w:t>非基本医疗保险目录</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对单据中的药品和项目进行支付范围审核。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,20)</w:instrText>
            </w:r>
            <w:r>
              <w:rPr>
                <w:rFonts w:ascii="宋体" w:hAnsi="宋体"/>
                <w:bCs/>
                <w:kern w:val="0"/>
                <w:sz w:val="24"/>
                <w:szCs w:val="24"/>
              </w:rPr>
              <w:fldChar w:fldCharType="end"/>
            </w:r>
            <w:r>
              <w:rPr>
                <w:rFonts w:ascii="宋体" w:hAnsi="宋体"/>
                <w:bCs/>
                <w:kern w:val="0"/>
                <w:sz w:val="24"/>
                <w:szCs w:val="24"/>
              </w:rPr>
              <w:t>限儿童</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对限子女统筹、儿童使用的药品和项目进行审核。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,21)</w:instrText>
            </w:r>
            <w:r>
              <w:rPr>
                <w:rFonts w:ascii="宋体" w:hAnsi="宋体"/>
                <w:bCs/>
                <w:kern w:val="0"/>
                <w:sz w:val="24"/>
                <w:szCs w:val="24"/>
              </w:rPr>
              <w:fldChar w:fldCharType="end"/>
            </w:r>
            <w:r>
              <w:rPr>
                <w:rFonts w:ascii="宋体" w:hAnsi="宋体"/>
                <w:bCs/>
                <w:kern w:val="0"/>
                <w:sz w:val="24"/>
                <w:szCs w:val="24"/>
              </w:rPr>
              <w:t>限定医院类型级别报销</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对限定医院类型、级别使用的药品和项目进行审核。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,22)</w:instrText>
            </w:r>
            <w:r>
              <w:rPr>
                <w:rFonts w:ascii="宋体" w:hAnsi="宋体"/>
                <w:bCs/>
                <w:kern w:val="0"/>
                <w:sz w:val="24"/>
                <w:szCs w:val="24"/>
              </w:rPr>
              <w:fldChar w:fldCharType="end"/>
            </w:r>
            <w:r>
              <w:rPr>
                <w:rFonts w:ascii="宋体" w:hAnsi="宋体"/>
                <w:bCs/>
                <w:kern w:val="0"/>
                <w:sz w:val="24"/>
                <w:szCs w:val="24"/>
              </w:rPr>
              <w:t>违反项目匹配</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药品或医疗服务项目的支付必须与限定的药品或医疗服务项目相对应，一一对应关系。</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,23)</w:instrText>
            </w:r>
            <w:r>
              <w:rPr>
                <w:rFonts w:ascii="宋体" w:hAnsi="宋体"/>
                <w:bCs/>
                <w:kern w:val="0"/>
                <w:sz w:val="24"/>
                <w:szCs w:val="24"/>
              </w:rPr>
              <w:fldChar w:fldCharType="end"/>
            </w:r>
            <w:r>
              <w:rPr>
                <w:rFonts w:ascii="宋体" w:hAnsi="宋体"/>
                <w:bCs/>
                <w:kern w:val="0"/>
                <w:sz w:val="24"/>
                <w:szCs w:val="24"/>
              </w:rPr>
              <w:t>就诊信息数据异常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诊断编码不规范的审核。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,24)</w:instrText>
            </w:r>
            <w:r>
              <w:rPr>
                <w:rFonts w:ascii="宋体" w:hAnsi="宋体"/>
                <w:bCs/>
                <w:kern w:val="0"/>
                <w:sz w:val="24"/>
                <w:szCs w:val="24"/>
              </w:rPr>
              <w:fldChar w:fldCharType="end"/>
            </w:r>
            <w:r>
              <w:rPr>
                <w:rFonts w:ascii="宋体" w:hAnsi="宋体"/>
                <w:bCs/>
                <w:kern w:val="0"/>
                <w:sz w:val="24"/>
                <w:szCs w:val="24"/>
              </w:rPr>
              <w:t>费用明细数据异常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药品用量、频次未按要求正确上传；医师、科室信息为空等的审核。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,25)</w:instrText>
            </w:r>
            <w:r>
              <w:rPr>
                <w:rFonts w:ascii="宋体" w:hAnsi="宋体"/>
                <w:bCs/>
                <w:kern w:val="0"/>
                <w:sz w:val="24"/>
                <w:szCs w:val="24"/>
              </w:rPr>
              <w:fldChar w:fldCharType="end"/>
            </w:r>
            <w:r>
              <w:rPr>
                <w:rFonts w:ascii="宋体" w:hAnsi="宋体"/>
                <w:bCs/>
                <w:kern w:val="0"/>
                <w:sz w:val="24"/>
                <w:szCs w:val="24"/>
              </w:rPr>
              <w:t>超限定疗程</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对有疗程限制的药品和医疗服务项目进行审核。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,26)</w:instrText>
            </w:r>
            <w:r>
              <w:rPr>
                <w:rFonts w:ascii="宋体" w:hAnsi="宋体"/>
                <w:bCs/>
                <w:kern w:val="0"/>
                <w:sz w:val="24"/>
                <w:szCs w:val="24"/>
              </w:rPr>
              <w:fldChar w:fldCharType="end"/>
            </w:r>
            <w:r>
              <w:rPr>
                <w:rFonts w:ascii="宋体" w:hAnsi="宋体"/>
                <w:bCs/>
                <w:kern w:val="0"/>
                <w:sz w:val="24"/>
                <w:szCs w:val="24"/>
              </w:rPr>
              <w:t>超限定数量</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医疗服务项目在一个时间区间内限定支付的数量，“缓解感冒症状的复方OTC制剂”等超过2个以上的审核。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,27)</w:instrText>
            </w:r>
            <w:r>
              <w:rPr>
                <w:rFonts w:ascii="宋体" w:hAnsi="宋体"/>
                <w:bCs/>
                <w:kern w:val="0"/>
                <w:sz w:val="24"/>
                <w:szCs w:val="24"/>
              </w:rPr>
              <w:fldChar w:fldCharType="end"/>
            </w:r>
            <w:r>
              <w:rPr>
                <w:rFonts w:ascii="宋体" w:hAnsi="宋体"/>
                <w:bCs/>
                <w:kern w:val="0"/>
                <w:sz w:val="24"/>
                <w:szCs w:val="24"/>
              </w:rPr>
              <w:t>单据重复数据异常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判定条件：同一参保人，同一天10分钟内，在同一家定点机构发生的相同金额、相同项目费用。</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,28)</w:instrText>
            </w:r>
            <w:r>
              <w:rPr>
                <w:rFonts w:ascii="宋体" w:hAnsi="宋体"/>
                <w:bCs/>
                <w:kern w:val="0"/>
                <w:sz w:val="24"/>
                <w:szCs w:val="24"/>
              </w:rPr>
              <w:fldChar w:fldCharType="end"/>
            </w:r>
            <w:r>
              <w:rPr>
                <w:rFonts w:ascii="宋体" w:hAnsi="宋体"/>
                <w:bCs/>
                <w:kern w:val="0"/>
                <w:sz w:val="24"/>
                <w:szCs w:val="24"/>
              </w:rPr>
              <w:t>门诊规定病种审核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lastRenderedPageBreak/>
              <w:t>根据各规定病种的用药、检查和治疗范围进行审核。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,29)</w:instrText>
            </w:r>
            <w:r>
              <w:rPr>
                <w:rFonts w:ascii="宋体" w:hAnsi="宋体"/>
                <w:bCs/>
                <w:kern w:val="0"/>
                <w:sz w:val="24"/>
                <w:szCs w:val="24"/>
              </w:rPr>
              <w:fldChar w:fldCharType="end"/>
            </w:r>
            <w:r>
              <w:rPr>
                <w:rFonts w:ascii="宋体" w:hAnsi="宋体"/>
                <w:bCs/>
                <w:kern w:val="0"/>
                <w:sz w:val="24"/>
                <w:szCs w:val="24"/>
              </w:rPr>
              <w:t>提前取药</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根据上次处方的日期及实际可使用天数，门诊慢性病用药提前3-5天以上配药的、按疗程收取的医疗服务项目提前1天以上开取的审核。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,30)</w:instrText>
            </w:r>
            <w:r>
              <w:rPr>
                <w:rFonts w:ascii="宋体" w:hAnsi="宋体"/>
                <w:bCs/>
                <w:kern w:val="0"/>
                <w:sz w:val="24"/>
                <w:szCs w:val="24"/>
              </w:rPr>
              <w:fldChar w:fldCharType="end"/>
            </w:r>
            <w:r>
              <w:rPr>
                <w:rFonts w:ascii="宋体" w:hAnsi="宋体"/>
                <w:bCs/>
                <w:kern w:val="0"/>
                <w:sz w:val="24"/>
                <w:szCs w:val="24"/>
              </w:rPr>
              <w:t>住院天数异常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对住院天数超过365天的进行审核。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,31)</w:instrText>
            </w:r>
            <w:r>
              <w:rPr>
                <w:rFonts w:ascii="宋体" w:hAnsi="宋体"/>
                <w:bCs/>
                <w:kern w:val="0"/>
                <w:sz w:val="24"/>
                <w:szCs w:val="24"/>
              </w:rPr>
              <w:fldChar w:fldCharType="end"/>
            </w:r>
            <w:r>
              <w:rPr>
                <w:rFonts w:ascii="宋体" w:hAnsi="宋体"/>
                <w:bCs/>
                <w:kern w:val="0"/>
                <w:sz w:val="24"/>
                <w:szCs w:val="24"/>
              </w:rPr>
              <w:t>分解住院</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对参保人员出院后7天内在同一家医院再次入院的住院费用进行相关费用的审核。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,32)</w:instrText>
            </w:r>
            <w:r>
              <w:rPr>
                <w:rFonts w:ascii="宋体" w:hAnsi="宋体"/>
                <w:bCs/>
                <w:kern w:val="0"/>
                <w:sz w:val="24"/>
                <w:szCs w:val="24"/>
              </w:rPr>
              <w:fldChar w:fldCharType="end"/>
            </w:r>
            <w:r>
              <w:rPr>
                <w:rFonts w:ascii="宋体" w:hAnsi="宋体"/>
                <w:bCs/>
                <w:kern w:val="0"/>
                <w:sz w:val="24"/>
                <w:szCs w:val="24"/>
              </w:rPr>
              <w:t>门诊频次异常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对参保人的门诊频次进行审核，发现门诊频次异常的单据。</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,33)</w:instrText>
            </w:r>
            <w:r>
              <w:rPr>
                <w:rFonts w:ascii="宋体" w:hAnsi="宋体"/>
                <w:bCs/>
                <w:kern w:val="0"/>
                <w:sz w:val="24"/>
                <w:szCs w:val="24"/>
              </w:rPr>
              <w:fldChar w:fldCharType="end"/>
            </w:r>
            <w:r>
              <w:rPr>
                <w:rFonts w:ascii="宋体" w:hAnsi="宋体"/>
                <w:bCs/>
                <w:kern w:val="0"/>
                <w:sz w:val="24"/>
                <w:szCs w:val="24"/>
              </w:rPr>
              <w:t>安全用药审核</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通过ESI临床知识引擎的运算，发现单据中违反禁忌症的药品以及对特殊人群的用药安全进行审核，对其中违反禁忌的药品进行提示。</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,34)</w:instrText>
            </w:r>
            <w:r>
              <w:rPr>
                <w:rFonts w:ascii="宋体" w:hAnsi="宋体"/>
                <w:bCs/>
                <w:kern w:val="0"/>
                <w:sz w:val="24"/>
                <w:szCs w:val="24"/>
              </w:rPr>
              <w:fldChar w:fldCharType="end"/>
            </w:r>
            <w:r>
              <w:rPr>
                <w:rFonts w:ascii="宋体" w:hAnsi="宋体"/>
                <w:bCs/>
                <w:kern w:val="0"/>
                <w:sz w:val="24"/>
                <w:szCs w:val="24"/>
              </w:rPr>
              <w:t>非诊疗常规用药</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通过ESI临床知识引擎的运算，发现单据中不符合临床常规诊疗规范的用药。</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,35)</w:instrText>
            </w:r>
            <w:r>
              <w:rPr>
                <w:rFonts w:ascii="宋体" w:hAnsi="宋体"/>
                <w:bCs/>
                <w:kern w:val="0"/>
                <w:sz w:val="24"/>
                <w:szCs w:val="24"/>
              </w:rPr>
              <w:fldChar w:fldCharType="end"/>
            </w:r>
            <w:r>
              <w:rPr>
                <w:rFonts w:ascii="宋体" w:hAnsi="宋体"/>
                <w:bCs/>
                <w:kern w:val="0"/>
                <w:sz w:val="24"/>
                <w:szCs w:val="24"/>
              </w:rPr>
              <w:t>非诊疗常规项目</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通过ESI临床知识引擎的运算，发现单据中不符合临床常规诊疗常规的诊疗项目。</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fldChar w:fldCharType="begin"/>
            </w:r>
            <w:r>
              <w:rPr>
                <w:rFonts w:ascii="宋体" w:hAnsi="宋体" w:hint="eastAsia"/>
                <w:bCs/>
                <w:kern w:val="0"/>
                <w:sz w:val="24"/>
                <w:szCs w:val="24"/>
              </w:rPr>
              <w:instrText>eq \o\ac(</w:instrText>
            </w:r>
            <w:r>
              <w:rPr>
                <w:rFonts w:ascii="宋体" w:hAnsi="宋体" w:hint="eastAsia"/>
                <w:bCs/>
                <w:kern w:val="0"/>
                <w:position w:val="-4"/>
                <w:sz w:val="36"/>
                <w:szCs w:val="24"/>
              </w:rPr>
              <w:instrText>○</w:instrText>
            </w:r>
            <w:r>
              <w:rPr>
                <w:rFonts w:ascii="宋体" w:hAnsi="宋体" w:hint="eastAsia"/>
                <w:bCs/>
                <w:kern w:val="0"/>
                <w:sz w:val="24"/>
                <w:szCs w:val="24"/>
              </w:rPr>
              <w:instrText>,36)</w:instrText>
            </w:r>
            <w:r>
              <w:rPr>
                <w:rFonts w:ascii="宋体" w:hAnsi="宋体"/>
                <w:bCs/>
                <w:kern w:val="0"/>
                <w:sz w:val="24"/>
                <w:szCs w:val="24"/>
              </w:rPr>
              <w:fldChar w:fldCharType="end"/>
            </w:r>
            <w:r>
              <w:rPr>
                <w:rFonts w:ascii="宋体" w:hAnsi="宋体"/>
                <w:bCs/>
                <w:kern w:val="0"/>
                <w:sz w:val="24"/>
                <w:szCs w:val="24"/>
              </w:rPr>
              <w:t>药品相互作用</w:t>
            </w:r>
          </w:p>
          <w:p w:rsidR="004575CF" w:rsidRDefault="004575CF" w:rsidP="00286429">
            <w:pPr>
              <w:autoSpaceDE w:val="0"/>
              <w:autoSpaceDN w:val="0"/>
              <w:adjustRightInd w:val="0"/>
              <w:spacing w:line="360" w:lineRule="auto"/>
              <w:ind w:firstLine="420"/>
              <w:rPr>
                <w:rFonts w:ascii="宋体" w:hAnsi="宋体"/>
                <w:bCs/>
                <w:kern w:val="0"/>
                <w:sz w:val="24"/>
                <w:szCs w:val="24"/>
              </w:rPr>
            </w:pPr>
            <w:r>
              <w:rPr>
                <w:rFonts w:ascii="宋体" w:hAnsi="宋体"/>
                <w:bCs/>
                <w:kern w:val="0"/>
                <w:sz w:val="24"/>
                <w:szCs w:val="24"/>
              </w:rPr>
              <w:t>通过ESI临床知识引擎的运算，发现单据中合并用药产生严重不良反应的药品，并对相应的药品进行提示。</w:t>
            </w:r>
          </w:p>
        </w:tc>
      </w:tr>
      <w:tr w:rsidR="004575CF" w:rsidTr="00286429">
        <w:trPr>
          <w:trHeight w:val="1823"/>
          <w:jc w:val="center"/>
        </w:trPr>
        <w:tc>
          <w:tcPr>
            <w:tcW w:w="1349" w:type="dxa"/>
            <w:vMerge/>
            <w:shd w:val="clear" w:color="auto" w:fill="auto"/>
            <w:vAlign w:val="center"/>
          </w:tcPr>
          <w:p w:rsidR="004575CF" w:rsidRDefault="004575CF" w:rsidP="00286429">
            <w:pPr>
              <w:shd w:val="clear" w:color="auto" w:fill="FFFFFF"/>
              <w:rPr>
                <w:rFonts w:ascii="宋体" w:hAnsi="宋体"/>
                <w:bCs/>
                <w:kern w:val="0"/>
                <w:sz w:val="24"/>
                <w:szCs w:val="24"/>
              </w:rPr>
            </w:pPr>
          </w:p>
        </w:tc>
        <w:tc>
          <w:tcPr>
            <w:tcW w:w="6494" w:type="dxa"/>
            <w:vMerge/>
            <w:shd w:val="clear" w:color="auto" w:fill="auto"/>
            <w:vAlign w:val="center"/>
          </w:tcPr>
          <w:p w:rsidR="004575CF" w:rsidRDefault="004575CF" w:rsidP="00286429">
            <w:pPr>
              <w:shd w:val="clear" w:color="auto" w:fill="FFFFFF"/>
              <w:rPr>
                <w:rFonts w:ascii="宋体" w:hAnsi="宋体"/>
                <w:bCs/>
                <w:kern w:val="0"/>
                <w:sz w:val="24"/>
                <w:szCs w:val="24"/>
              </w:rPr>
            </w:pPr>
          </w:p>
        </w:tc>
      </w:tr>
    </w:tbl>
    <w:bookmarkEnd w:id="6"/>
    <w:p w:rsidR="004575CF" w:rsidRDefault="004575CF" w:rsidP="004575CF">
      <w:pPr>
        <w:autoSpaceDE w:val="0"/>
        <w:autoSpaceDN w:val="0"/>
        <w:adjustRightInd w:val="0"/>
        <w:spacing w:line="360" w:lineRule="auto"/>
        <w:ind w:firstLineChars="200" w:firstLine="480"/>
        <w:rPr>
          <w:rFonts w:hAnsi="宋体"/>
          <w:sz w:val="24"/>
          <w:szCs w:val="24"/>
        </w:rPr>
      </w:pPr>
      <w:r>
        <w:rPr>
          <w:rFonts w:hAnsi="宋体" w:hint="eastAsia"/>
          <w:sz w:val="24"/>
          <w:szCs w:val="24"/>
        </w:rPr>
        <w:lastRenderedPageBreak/>
        <w:t>要求</w:t>
      </w:r>
      <w:r>
        <w:rPr>
          <w:rFonts w:hAnsi="宋体"/>
          <w:sz w:val="24"/>
          <w:szCs w:val="24"/>
        </w:rPr>
        <w:t>医保规则与</w:t>
      </w:r>
      <w:r>
        <w:rPr>
          <w:rFonts w:hAnsi="宋体" w:hint="eastAsia"/>
          <w:sz w:val="24"/>
          <w:szCs w:val="24"/>
        </w:rPr>
        <w:t>杭州</w:t>
      </w:r>
      <w:r>
        <w:rPr>
          <w:rFonts w:hAnsi="宋体"/>
          <w:sz w:val="24"/>
          <w:szCs w:val="24"/>
        </w:rPr>
        <w:t>医保的支付规则保证同步更新。在安装、调试和运维过</w:t>
      </w:r>
      <w:r>
        <w:rPr>
          <w:rFonts w:hAnsi="宋体"/>
          <w:sz w:val="24"/>
          <w:szCs w:val="24"/>
        </w:rPr>
        <w:lastRenderedPageBreak/>
        <w:t>程中配合医疗机构信息部门进行联调，保证系统正常运维。</w:t>
      </w:r>
      <w:bookmarkStart w:id="7" w:name="_Toc525763813"/>
      <w:bookmarkStart w:id="8" w:name="_Toc140560954"/>
      <w:bookmarkStart w:id="9" w:name="_Toc319995680"/>
      <w:bookmarkStart w:id="10" w:name="_Toc410304493"/>
      <w:bookmarkStart w:id="11" w:name="_Toc447265939"/>
      <w:bookmarkStart w:id="12" w:name="_Toc140399748"/>
      <w:bookmarkStart w:id="13" w:name="_Toc184522001"/>
      <w:bookmarkStart w:id="14" w:name="_Toc388624452"/>
      <w:bookmarkStart w:id="15" w:name="_Toc233713399"/>
      <w:bookmarkStart w:id="16" w:name="_Toc399493842"/>
      <w:bookmarkStart w:id="17" w:name="_Toc184522014"/>
      <w:bookmarkStart w:id="18" w:name="_Toc3785648"/>
      <w:bookmarkStart w:id="19" w:name="_Toc3785472"/>
      <w:bookmarkStart w:id="20" w:name="_Toc3785524"/>
      <w:bookmarkStart w:id="21" w:name="_Toc54513118"/>
      <w:bookmarkStart w:id="22" w:name="_Toc87857956"/>
      <w:bookmarkStart w:id="23" w:name="_Toc3785686"/>
      <w:bookmarkStart w:id="24" w:name="_Toc93397593"/>
      <w:bookmarkStart w:id="25" w:name="_Toc100490281"/>
      <w:bookmarkStart w:id="26" w:name="_Toc112337273"/>
      <w:bookmarkStart w:id="27" w:name="_Toc93397995"/>
      <w:bookmarkStart w:id="28" w:name="_Toc101106493"/>
      <w:bookmarkStart w:id="29" w:name="_Toc100490364"/>
      <w:bookmarkStart w:id="30" w:name="_Toc112318570"/>
      <w:bookmarkStart w:id="31" w:name="_Toc124144211"/>
      <w:bookmarkStart w:id="32" w:name="_Toc136053324"/>
      <w:bookmarkStart w:id="33" w:name="_Toc136052812"/>
      <w:bookmarkStart w:id="34" w:name="_Toc136405653"/>
      <w:bookmarkStart w:id="35" w:name="_Toc136319898"/>
      <w:bookmarkStart w:id="36" w:name="_Toc137550122"/>
      <w:bookmarkStart w:id="37" w:name="_Toc136342796"/>
      <w:bookmarkStart w:id="38" w:name="_Toc138057583"/>
      <w:bookmarkStart w:id="39" w:name="_Toc138058163"/>
      <w:bookmarkStart w:id="40" w:name="_Toc138058094"/>
      <w:bookmarkStart w:id="41" w:name="_Toc138058232"/>
      <w:bookmarkStart w:id="42" w:name="_Toc60130130"/>
      <w:bookmarkStart w:id="43" w:name="_Toc53570242"/>
    </w:p>
    <w:p w:rsidR="004575CF" w:rsidRDefault="004575CF" w:rsidP="004575CF">
      <w:pPr>
        <w:autoSpaceDE w:val="0"/>
        <w:autoSpaceDN w:val="0"/>
        <w:adjustRightInd w:val="0"/>
        <w:spacing w:line="360" w:lineRule="auto"/>
        <w:rPr>
          <w:rFonts w:hAnsi="宋体"/>
          <w:sz w:val="24"/>
          <w:szCs w:val="24"/>
        </w:rPr>
      </w:pPr>
      <w:r>
        <w:rPr>
          <w:rFonts w:hAnsi="宋体" w:hint="eastAsia"/>
          <w:sz w:val="24"/>
          <w:szCs w:val="24"/>
        </w:rPr>
        <w:t xml:space="preserve">    </w:t>
      </w:r>
      <w:r>
        <w:rPr>
          <w:rFonts w:hAnsi="宋体" w:hint="eastAsia"/>
          <w:sz w:val="24"/>
          <w:szCs w:val="24"/>
        </w:rPr>
        <w:t>本项目报价明细需至少包含医保质量控制系统与</w:t>
      </w:r>
      <w:r>
        <w:rPr>
          <w:rFonts w:hAnsi="宋体" w:hint="eastAsia"/>
          <w:sz w:val="24"/>
          <w:szCs w:val="24"/>
        </w:rPr>
        <w:t>HIS</w:t>
      </w:r>
      <w:r>
        <w:rPr>
          <w:rFonts w:hAnsi="宋体" w:hint="eastAsia"/>
          <w:sz w:val="24"/>
          <w:szCs w:val="24"/>
        </w:rPr>
        <w:t>接口改造二个部分。</w:t>
      </w:r>
    </w:p>
    <w:p w:rsidR="004575CF" w:rsidRDefault="004575CF" w:rsidP="004575CF">
      <w:pPr>
        <w:pStyle w:val="1"/>
        <w:rPr>
          <w:rFonts w:ascii="宋体" w:hAnsi="宋体" w:cs="宋体"/>
        </w:rPr>
      </w:pPr>
      <w:bookmarkStart w:id="44" w:name="_Toc2168"/>
      <w:bookmarkStart w:id="45" w:name="_Toc9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宋体" w:hAnsi="宋体" w:cs="宋体" w:hint="eastAsia"/>
        </w:rPr>
        <w:t>四、建设周期</w:t>
      </w:r>
      <w:bookmarkEnd w:id="44"/>
      <w:r>
        <w:rPr>
          <w:rFonts w:ascii="宋体" w:hAnsi="宋体" w:cs="宋体" w:hint="eastAsia"/>
        </w:rPr>
        <w:t>、付款、保修要求</w:t>
      </w:r>
      <w:bookmarkEnd w:id="45"/>
    </w:p>
    <w:p w:rsidR="004575CF" w:rsidRDefault="004575CF" w:rsidP="004575CF">
      <w:pPr>
        <w:ind w:firstLineChars="200" w:firstLine="480"/>
        <w:rPr>
          <w:rFonts w:ascii="宋体" w:hAnsi="宋体" w:cs="宋体"/>
          <w:sz w:val="24"/>
          <w:szCs w:val="24"/>
        </w:rPr>
      </w:pPr>
      <w:r>
        <w:rPr>
          <w:rFonts w:ascii="宋体" w:hAnsi="宋体" w:cs="宋体" w:hint="eastAsia"/>
          <w:sz w:val="24"/>
          <w:szCs w:val="24"/>
        </w:rPr>
        <w:t>要求合同签订收到首款后即马上施工，要求在3个月内完工。</w:t>
      </w:r>
    </w:p>
    <w:p w:rsidR="004575CF" w:rsidRDefault="004575CF" w:rsidP="004575CF">
      <w:pPr>
        <w:ind w:firstLineChars="200" w:firstLine="480"/>
        <w:rPr>
          <w:rFonts w:ascii="宋体" w:hAnsi="宋体" w:cs="宋体"/>
          <w:sz w:val="24"/>
          <w:szCs w:val="24"/>
        </w:rPr>
      </w:pPr>
      <w:r>
        <w:rPr>
          <w:rFonts w:ascii="宋体" w:hAnsi="宋体" w:cs="宋体" w:hint="eastAsia"/>
          <w:sz w:val="24"/>
          <w:szCs w:val="24"/>
        </w:rPr>
        <w:t>要求整个系统保修三年及以上。要求保证维护响应时限是7×24小时电话实时响应，如无法远程解决问题，正常工作日4小时（不含合理的在途时间）内到达现场，24小时内解决用户问题，重大故障1小时内到达现场。在维护期内每月至少一次上门随访和系统维护。</w:t>
      </w:r>
    </w:p>
    <w:p w:rsidR="004575CF" w:rsidRDefault="004575CF" w:rsidP="004575CF">
      <w:pPr>
        <w:ind w:firstLineChars="200" w:firstLine="480"/>
        <w:rPr>
          <w:rFonts w:ascii="宋体" w:hAnsi="宋体" w:cs="宋体"/>
          <w:sz w:val="24"/>
          <w:szCs w:val="24"/>
        </w:rPr>
      </w:pPr>
      <w:r>
        <w:rPr>
          <w:rFonts w:ascii="宋体" w:hAnsi="宋体" w:cs="宋体" w:hint="eastAsia"/>
          <w:sz w:val="24"/>
          <w:szCs w:val="24"/>
        </w:rPr>
        <w:t>本项目维护服务期满后，维保费用由甲乙双方另行友好商议决定，每年维保费最高不超过本合同项目</w:t>
      </w:r>
      <w:r>
        <w:rPr>
          <w:rFonts w:hAnsi="宋体" w:hint="eastAsia"/>
          <w:sz w:val="24"/>
          <w:szCs w:val="24"/>
        </w:rPr>
        <w:t>医保质量控制系统部分报价</w:t>
      </w:r>
      <w:bookmarkStart w:id="46" w:name="_GoBack"/>
      <w:bookmarkEnd w:id="46"/>
      <w:r>
        <w:rPr>
          <w:rFonts w:ascii="宋体" w:hAnsi="宋体" w:cs="宋体" w:hint="eastAsia"/>
          <w:sz w:val="24"/>
          <w:szCs w:val="24"/>
        </w:rPr>
        <w:t>的10%。</w:t>
      </w:r>
    </w:p>
    <w:p w:rsidR="004575CF" w:rsidRDefault="004575CF" w:rsidP="004575CF">
      <w:pPr>
        <w:ind w:firstLineChars="200" w:firstLine="480"/>
        <w:rPr>
          <w:rFonts w:ascii="宋体" w:hAnsi="宋体" w:cs="宋体"/>
          <w:sz w:val="24"/>
          <w:szCs w:val="24"/>
        </w:rPr>
      </w:pPr>
      <w:r>
        <w:rPr>
          <w:rFonts w:ascii="宋体" w:hAnsi="宋体" w:cs="宋体" w:hint="eastAsia"/>
          <w:sz w:val="24"/>
          <w:szCs w:val="24"/>
        </w:rPr>
        <w:t>付款方式为分期付款，合同签订后付合同价格的30%，验收合格后付合同价格的60%，保修期结束后付合同价格的10%。</w:t>
      </w:r>
    </w:p>
    <w:p w:rsidR="004575CF" w:rsidRDefault="004575CF" w:rsidP="004575CF">
      <w:pPr>
        <w:rPr>
          <w:rFonts w:ascii="宋体" w:hAnsi="宋体" w:cs="宋体"/>
          <w:sz w:val="24"/>
          <w:szCs w:val="24"/>
        </w:rPr>
      </w:pPr>
    </w:p>
    <w:p w:rsidR="004575CF" w:rsidRPr="00D92922" w:rsidRDefault="004575CF" w:rsidP="004575CF">
      <w:pPr>
        <w:rPr>
          <w:rFonts w:ascii="黑体" w:eastAsia="黑体" w:hAnsi="宋体"/>
          <w:spacing w:val="40"/>
          <w:kern w:val="0"/>
          <w:sz w:val="36"/>
          <w:szCs w:val="36"/>
        </w:rPr>
      </w:pPr>
    </w:p>
    <w:p w:rsidR="004575CF" w:rsidRDefault="004575CF" w:rsidP="004575CF">
      <w:pPr>
        <w:rPr>
          <w:rFonts w:ascii="黑体" w:eastAsia="黑体" w:hAnsi="宋体"/>
          <w:spacing w:val="40"/>
          <w:kern w:val="0"/>
          <w:sz w:val="36"/>
          <w:szCs w:val="36"/>
        </w:rPr>
      </w:pPr>
    </w:p>
    <w:p w:rsidR="00285E8D" w:rsidRPr="004575CF" w:rsidRDefault="00285E8D"/>
    <w:sectPr w:rsidR="00285E8D" w:rsidRPr="004575CF" w:rsidSect="00285E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073" w:rsidRDefault="00834073" w:rsidP="004575CF">
      <w:r>
        <w:separator/>
      </w:r>
    </w:p>
  </w:endnote>
  <w:endnote w:type="continuationSeparator" w:id="0">
    <w:p w:rsidR="00834073" w:rsidRDefault="00834073" w:rsidP="004575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073" w:rsidRDefault="00834073" w:rsidP="004575CF">
      <w:r>
        <w:separator/>
      </w:r>
    </w:p>
  </w:footnote>
  <w:footnote w:type="continuationSeparator" w:id="0">
    <w:p w:rsidR="00834073" w:rsidRDefault="00834073" w:rsidP="004575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5CF"/>
    <w:rsid w:val="00285E8D"/>
    <w:rsid w:val="004575CF"/>
    <w:rsid w:val="00834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C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575C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5C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75CF"/>
    <w:rPr>
      <w:sz w:val="18"/>
      <w:szCs w:val="18"/>
    </w:rPr>
  </w:style>
  <w:style w:type="paragraph" w:styleId="a4">
    <w:name w:val="footer"/>
    <w:basedOn w:val="a"/>
    <w:link w:val="Char0"/>
    <w:uiPriority w:val="99"/>
    <w:semiHidden/>
    <w:unhideWhenUsed/>
    <w:rsid w:val="004575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75CF"/>
    <w:rPr>
      <w:sz w:val="18"/>
      <w:szCs w:val="18"/>
    </w:rPr>
  </w:style>
  <w:style w:type="character" w:customStyle="1" w:styleId="1Char">
    <w:name w:val="标题 1 Char"/>
    <w:basedOn w:val="a0"/>
    <w:link w:val="1"/>
    <w:uiPriority w:val="9"/>
    <w:qFormat/>
    <w:rsid w:val="004575CF"/>
    <w:rPr>
      <w:rFonts w:ascii="Times New Roman" w:eastAsia="宋体" w:hAnsi="Times New Roman" w:cs="Times New Roman"/>
      <w:b/>
      <w:bCs/>
      <w:kern w:val="44"/>
      <w:sz w:val="44"/>
      <w:szCs w:val="44"/>
    </w:rPr>
  </w:style>
  <w:style w:type="character" w:customStyle="1" w:styleId="2Char">
    <w:name w:val="标题 2 Char"/>
    <w:basedOn w:val="a0"/>
    <w:link w:val="2"/>
    <w:rsid w:val="004575CF"/>
    <w:rPr>
      <w:rFonts w:ascii="Arial" w:eastAsia="黑体" w:hAnsi="Arial" w:cs="Times New Roman"/>
      <w:b/>
      <w:bCs/>
      <w:sz w:val="32"/>
      <w:szCs w:val="32"/>
    </w:rPr>
  </w:style>
  <w:style w:type="paragraph" w:styleId="a5">
    <w:name w:val="Normal (Web)"/>
    <w:basedOn w:val="a"/>
    <w:unhideWhenUsed/>
    <w:qFormat/>
    <w:rsid w:val="004575CF"/>
    <w:pPr>
      <w:widowControl/>
      <w:spacing w:before="100" w:beforeAutospacing="1" w:after="100" w:afterAutospacing="1"/>
      <w:jc w:val="left"/>
    </w:pPr>
    <w:rPr>
      <w:rFonts w:ascii="宋体" w:hAnsi="宋体" w:cs="宋体"/>
      <w:kern w:val="0"/>
      <w:sz w:val="24"/>
      <w:szCs w:val="24"/>
    </w:rPr>
  </w:style>
  <w:style w:type="paragraph" w:customStyle="1" w:styleId="a6">
    <w:name w:val="我的正文"/>
    <w:basedOn w:val="a"/>
    <w:qFormat/>
    <w:rsid w:val="004575CF"/>
    <w:pPr>
      <w:spacing w:afterLines="100" w:line="360" w:lineRule="auto"/>
      <w:ind w:firstLineChars="200" w:firstLine="480"/>
    </w:pPr>
    <w:rPr>
      <w:rFonts w:ascii="Calibri" w:eastAsia="仿宋_GB2312" w:hAnsi="Calibri"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2019-08-15T03:49:00Z</dcterms:created>
  <dcterms:modified xsi:type="dcterms:W3CDTF">2019-08-15T03:49:00Z</dcterms:modified>
</cp:coreProperties>
</file>