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sz w:val="52"/>
          <w:szCs w:val="52"/>
        </w:rPr>
      </w:pPr>
    </w:p>
    <w:p>
      <w:pPr>
        <w:pStyle w:val="5"/>
      </w:pPr>
    </w:p>
    <w:p>
      <w:pPr>
        <w:spacing w:line="360" w:lineRule="auto"/>
        <w:jc w:val="center"/>
        <w:rPr>
          <w:rFonts w:ascii="宋体" w:hAnsi="宋体"/>
          <w:b/>
          <w:sz w:val="44"/>
          <w:szCs w:val="44"/>
        </w:rPr>
      </w:pPr>
      <w:r>
        <w:rPr>
          <w:rFonts w:hint="eastAsia" w:ascii="宋体" w:hAnsi="宋体"/>
          <w:b/>
          <w:sz w:val="44"/>
          <w:szCs w:val="44"/>
        </w:rPr>
        <w:t>湖州市民服务中心机关二食堂餐饮管理服务项目</w:t>
      </w:r>
    </w:p>
    <w:p>
      <w:pPr>
        <w:pStyle w:val="5"/>
      </w:pPr>
    </w:p>
    <w:p/>
    <w:p>
      <w:pPr>
        <w:snapToGrid w:val="0"/>
        <w:spacing w:line="360" w:lineRule="auto"/>
        <w:jc w:val="center"/>
        <w:rPr>
          <w:rFonts w:ascii="宋体" w:hAnsi="宋体"/>
          <w:b/>
          <w:sz w:val="28"/>
          <w:szCs w:val="28"/>
        </w:rPr>
      </w:pPr>
      <w:r>
        <w:rPr>
          <w:rFonts w:hint="eastAsia" w:ascii="宋体" w:hAnsi="宋体"/>
          <w:b/>
          <w:sz w:val="28"/>
          <w:szCs w:val="28"/>
        </w:rPr>
        <w:t>（财政审批编号：</w:t>
      </w:r>
      <w:r>
        <w:fldChar w:fldCharType="begin"/>
      </w:r>
      <w:r>
        <w:instrText xml:space="preserve"> HYPERLINK "https://pay.zcygov.cn/purchaseplan_front/?_app_=zcy.procurement" \l "/plan/list/view?id=1000000000010949232&amp;_app_=zcy.procurement" \t "https://www.zcygov.cn/project-center/_procurement_/purchasePlans/_blank" </w:instrText>
      </w:r>
      <w:r>
        <w:fldChar w:fldCharType="separate"/>
      </w:r>
      <w:r>
        <w:rPr>
          <w:rFonts w:hint="eastAsia" w:ascii="宋体" w:hAnsi="宋体"/>
          <w:b/>
          <w:sz w:val="28"/>
          <w:szCs w:val="28"/>
        </w:rPr>
        <w:t>临[2023]27017号</w:t>
      </w:r>
      <w:r>
        <w:rPr>
          <w:rFonts w:hint="eastAsia" w:ascii="宋体" w:hAnsi="宋体"/>
          <w:b/>
          <w:sz w:val="28"/>
          <w:szCs w:val="28"/>
        </w:rPr>
        <w:fldChar w:fldCharType="end"/>
      </w:r>
      <w:r>
        <w:rPr>
          <w:rFonts w:hint="eastAsia" w:ascii="宋体" w:hAnsi="宋体"/>
          <w:b/>
          <w:sz w:val="28"/>
          <w:szCs w:val="28"/>
        </w:rPr>
        <w:t>）</w:t>
      </w: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pPr>
        <w:snapToGrid w:val="0"/>
        <w:spacing w:before="120" w:beforeLines="50" w:line="360" w:lineRule="auto"/>
        <w:rPr>
          <w:rFonts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snapToGrid w:val="0"/>
        <w:spacing w:line="360" w:lineRule="auto"/>
        <w:rPr>
          <w:rFonts w:ascii="宋体" w:hAnsi="宋体"/>
          <w:sz w:val="30"/>
          <w:szCs w:val="72"/>
        </w:rPr>
      </w:pPr>
    </w:p>
    <w:p>
      <w:pPr>
        <w:pStyle w:val="12"/>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HYHZ2023-228</w:t>
      </w:r>
    </w:p>
    <w:p>
      <w:pPr>
        <w:pStyle w:val="12"/>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项目名称：湖州市民服务中心机关二食堂餐饮管理服务项目</w:t>
      </w:r>
    </w:p>
    <w:p>
      <w:pPr>
        <w:pStyle w:val="12"/>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 xml:space="preserve">湖州市机关事务管理服务中心 </w:t>
      </w:r>
    </w:p>
    <w:p>
      <w:pPr>
        <w:pStyle w:val="12"/>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pPr>
        <w:pStyle w:val="12"/>
        <w:snapToGrid w:val="0"/>
        <w:spacing w:beforeLines="0" w:afterLines="0" w:line="360" w:lineRule="auto"/>
        <w:ind w:firstLine="590" w:firstLineChars="196"/>
        <w:rPr>
          <w:rFonts w:hAnsi="宋体"/>
          <w:b/>
          <w:sz w:val="30"/>
          <w:szCs w:val="30"/>
        </w:rPr>
      </w:pPr>
    </w:p>
    <w:p>
      <w:pPr>
        <w:snapToGrid w:val="0"/>
        <w:spacing w:line="360" w:lineRule="auto"/>
        <w:jc w:val="center"/>
        <w:rPr>
          <w:rFonts w:ascii="宋体" w:hAnsi="宋体"/>
          <w:b/>
          <w:bCs/>
          <w:w w:val="95"/>
          <w:sz w:val="30"/>
          <w:szCs w:val="30"/>
        </w:rPr>
      </w:pPr>
      <w:r>
        <w:rPr>
          <w:rFonts w:hint="eastAsia" w:ascii="宋体" w:hAnsi="宋体"/>
          <w:b/>
          <w:bCs/>
          <w:w w:val="95"/>
          <w:sz w:val="30"/>
          <w:szCs w:val="30"/>
        </w:rPr>
        <w:t>2023年11月3日</w:t>
      </w:r>
    </w:p>
    <w:p>
      <w:pPr>
        <w:pStyle w:val="12"/>
        <w:spacing w:beforeLines="0" w:afterLines="0" w:line="360" w:lineRule="auto"/>
        <w:jc w:val="center"/>
        <w:rPr>
          <w:rFonts w:ascii="创艺简标宋" w:hAnsi="宋体" w:eastAsia="创艺简标宋"/>
          <w:b/>
          <w:sz w:val="44"/>
          <w:szCs w:val="44"/>
        </w:rPr>
      </w:pPr>
    </w:p>
    <w:p>
      <w:pPr>
        <w:pStyle w:val="12"/>
        <w:spacing w:beforeLines="0" w:afterLines="0" w:line="360" w:lineRule="auto"/>
        <w:jc w:val="center"/>
        <w:rPr>
          <w:rFonts w:ascii="创艺简标宋" w:hAnsi="宋体" w:eastAsia="创艺简标宋"/>
          <w:b/>
          <w:sz w:val="44"/>
          <w:szCs w:val="44"/>
        </w:rPr>
      </w:pPr>
    </w:p>
    <w:p>
      <w:pPr>
        <w:pStyle w:val="12"/>
        <w:spacing w:beforeLines="0" w:afterLines="0" w:line="360" w:lineRule="auto"/>
        <w:jc w:val="center"/>
        <w:rPr>
          <w:rFonts w:ascii="创艺简标宋" w:hAnsi="宋体" w:eastAsia="创艺简标宋"/>
          <w:b/>
          <w:sz w:val="44"/>
          <w:szCs w:val="44"/>
        </w:rPr>
      </w:pPr>
    </w:p>
    <w:p>
      <w:pPr>
        <w:pStyle w:val="12"/>
        <w:spacing w:beforeLines="0" w:afterLines="0" w:line="360" w:lineRule="auto"/>
        <w:jc w:val="center"/>
        <w:rPr>
          <w:rFonts w:ascii="创艺简标宋" w:hAnsi="宋体" w:eastAsia="创艺简标宋"/>
          <w:b/>
          <w:sz w:val="44"/>
          <w:szCs w:val="44"/>
        </w:rPr>
      </w:pPr>
    </w:p>
    <w:p>
      <w:pPr>
        <w:pStyle w:val="12"/>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2"/>
        <w:spacing w:beforeLines="0" w:afterLines="0" w:line="360" w:lineRule="auto"/>
        <w:jc w:val="center"/>
        <w:rPr>
          <w:rFonts w:ascii="创艺简标宋" w:hAnsi="宋体" w:eastAsia="创艺简标宋"/>
          <w:sz w:val="44"/>
          <w:szCs w:val="44"/>
        </w:rPr>
      </w:pPr>
    </w:p>
    <w:p>
      <w:pPr>
        <w:pStyle w:val="12"/>
        <w:spacing w:beforeLines="0" w:afterLines="0" w:line="360" w:lineRule="auto"/>
        <w:ind w:left="5250" w:firstLine="994"/>
        <w:jc w:val="center"/>
        <w:rPr>
          <w:rFonts w:ascii="创艺简标宋" w:hAnsi="宋体" w:eastAsia="创艺简标宋"/>
          <w:sz w:val="44"/>
          <w:szCs w:val="44"/>
        </w:rPr>
      </w:pPr>
    </w:p>
    <w:p>
      <w:pPr>
        <w:numPr>
          <w:ilvl w:val="0"/>
          <w:numId w:val="2"/>
        </w:numPr>
        <w:spacing w:line="360" w:lineRule="auto"/>
        <w:ind w:left="600" w:hanging="600"/>
        <w:rPr>
          <w:rFonts w:ascii="宋体" w:hAnsi="宋体"/>
          <w:sz w:val="30"/>
          <w:szCs w:val="20"/>
        </w:rPr>
      </w:pPr>
      <w:r>
        <w:rPr>
          <w:rFonts w:hint="eastAsia" w:ascii="宋体" w:hAnsi="宋体"/>
          <w:sz w:val="30"/>
        </w:rPr>
        <w:t>公开招标采购公告   -------------------------3</w:t>
      </w:r>
    </w:p>
    <w:p>
      <w:pPr>
        <w:numPr>
          <w:ilvl w:val="0"/>
          <w:numId w:val="2"/>
        </w:numPr>
        <w:spacing w:line="360" w:lineRule="auto"/>
        <w:ind w:left="600" w:hanging="600"/>
        <w:rPr>
          <w:rFonts w:ascii="宋体" w:hAnsi="宋体"/>
          <w:sz w:val="30"/>
          <w:szCs w:val="20"/>
        </w:rPr>
      </w:pPr>
      <w:r>
        <w:rPr>
          <w:rFonts w:hint="eastAsia" w:ascii="宋体" w:hAnsi="宋体"/>
          <w:sz w:val="30"/>
        </w:rPr>
        <w:t>招标需求   ---------------------------------7</w:t>
      </w:r>
    </w:p>
    <w:p>
      <w:pPr>
        <w:numPr>
          <w:ilvl w:val="0"/>
          <w:numId w:val="2"/>
        </w:numPr>
        <w:spacing w:line="360" w:lineRule="auto"/>
        <w:ind w:left="600" w:hanging="600"/>
        <w:rPr>
          <w:sz w:val="30"/>
          <w:szCs w:val="30"/>
        </w:rPr>
      </w:pPr>
      <w:r>
        <w:rPr>
          <w:rFonts w:hint="eastAsia" w:ascii="宋体" w:hAnsi="宋体"/>
          <w:sz w:val="30"/>
        </w:rPr>
        <w:t>投标人须知   ------------------------------12</w:t>
      </w:r>
    </w:p>
    <w:p>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--------------------------------13</w:t>
      </w:r>
    </w:p>
    <w:p>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----------------------------16</w:t>
      </w:r>
    </w:p>
    <w:p>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---------------------17</w:t>
      </w:r>
    </w:p>
    <w:p>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---------------------------------21</w:t>
      </w:r>
    </w:p>
    <w:p>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---------------------------------23</w:t>
      </w:r>
    </w:p>
    <w:p>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---------------------------------25</w:t>
      </w:r>
    </w:p>
    <w:p>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-----------------------------25</w:t>
      </w:r>
    </w:p>
    <w:p>
      <w:pPr>
        <w:numPr>
          <w:ilvl w:val="0"/>
          <w:numId w:val="2"/>
        </w:numPr>
        <w:spacing w:line="360" w:lineRule="auto"/>
        <w:ind w:left="600" w:hanging="600"/>
        <w:rPr>
          <w:rFonts w:ascii="宋体" w:hAnsi="宋体"/>
          <w:sz w:val="30"/>
          <w:szCs w:val="20"/>
        </w:rPr>
      </w:pPr>
      <w:r>
        <w:rPr>
          <w:rFonts w:hint="eastAsia" w:ascii="宋体" w:hAnsi="宋体"/>
          <w:sz w:val="30"/>
        </w:rPr>
        <w:t>评标办法及评分标准 ------------------------27</w:t>
      </w:r>
    </w:p>
    <w:p>
      <w:pPr>
        <w:numPr>
          <w:ilvl w:val="0"/>
          <w:numId w:val="2"/>
        </w:numPr>
        <w:spacing w:line="360" w:lineRule="auto"/>
        <w:ind w:left="600" w:hanging="600"/>
        <w:rPr>
          <w:rFonts w:ascii="宋体" w:hAnsi="宋体"/>
          <w:sz w:val="30"/>
          <w:szCs w:val="20"/>
        </w:rPr>
      </w:pPr>
      <w:r>
        <w:rPr>
          <w:rFonts w:hint="eastAsia" w:ascii="宋体" w:hAnsi="宋体"/>
          <w:sz w:val="30"/>
        </w:rPr>
        <w:t>政府采购合同主要条款-----------------------33</w:t>
      </w:r>
    </w:p>
    <w:p>
      <w:pPr>
        <w:numPr>
          <w:ilvl w:val="0"/>
          <w:numId w:val="2"/>
        </w:numPr>
        <w:spacing w:line="360" w:lineRule="auto"/>
        <w:ind w:left="600" w:hanging="600"/>
        <w:rPr>
          <w:rFonts w:ascii="宋体" w:hAnsi="宋体"/>
          <w:sz w:val="30"/>
          <w:szCs w:val="20"/>
        </w:rPr>
      </w:pPr>
      <w:r>
        <w:rPr>
          <w:rFonts w:hint="eastAsia" w:ascii="宋体" w:hAnsi="宋体"/>
          <w:sz w:val="30"/>
        </w:rPr>
        <w:t>投标文件格式    ---------------------------36</w:t>
      </w:r>
    </w:p>
    <w:p/>
    <w:p/>
    <w:p/>
    <w:p/>
    <w:p>
      <w:pPr>
        <w:spacing w:line="360" w:lineRule="auto"/>
        <w:rPr>
          <w:rFonts w:ascii="宋体" w:hAnsi="宋体"/>
          <w:sz w:val="30"/>
          <w:szCs w:val="20"/>
        </w:rPr>
      </w:pPr>
    </w:p>
    <w:p/>
    <w:p/>
    <w:p>
      <w:pPr>
        <w:pStyle w:val="5"/>
      </w:pPr>
    </w:p>
    <w:p>
      <w:pPr>
        <w:spacing w:line="360" w:lineRule="auto"/>
        <w:rPr>
          <w:rFonts w:ascii="宋体" w:hAnsi="宋体"/>
          <w:sz w:val="30"/>
          <w:szCs w:val="20"/>
        </w:rPr>
      </w:pPr>
    </w:p>
    <w:p>
      <w:pPr>
        <w:pStyle w:val="12"/>
        <w:snapToGrid w:val="0"/>
        <w:spacing w:beforeLines="0" w:afterLines="0" w:line="360" w:lineRule="auto"/>
        <w:jc w:val="center"/>
        <w:outlineLvl w:val="0"/>
        <w:rPr>
          <w:rFonts w:ascii="黑体" w:hAnsi="宋体" w:eastAsia="黑体"/>
          <w:sz w:val="30"/>
          <w:szCs w:val="30"/>
        </w:rPr>
      </w:pPr>
      <w:r>
        <w:rPr>
          <w:rFonts w:hint="eastAsia" w:ascii="黑体" w:hAnsi="宋体" w:eastAsia="黑体"/>
          <w:sz w:val="30"/>
          <w:szCs w:val="30"/>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湖州市民服务中心机关二食堂餐饮管理服务招标项目的潜在投标人应在浙江政府采购网（http://zfcg.czt.zj.gov.cn/) 获取招标文件，并于2023年11月24日9：00（北京时间）前递交投标文件。</w:t>
      </w:r>
    </w:p>
    <w:p>
      <w:pPr>
        <w:snapToGrid w:val="0"/>
        <w:spacing w:line="360" w:lineRule="auto"/>
        <w:ind w:firstLine="482" w:firstLineChars="200"/>
        <w:rPr>
          <w:rFonts w:ascii="宋体" w:hAnsi="宋体"/>
          <w:sz w:val="24"/>
        </w:rPr>
      </w:pPr>
      <w:r>
        <w:rPr>
          <w:rFonts w:hint="eastAsia" w:ascii="宋体" w:hAnsi="宋体" w:cs="Arial"/>
          <w:b/>
          <w:sz w:val="24"/>
        </w:rPr>
        <w:t>一、项目基本情况</w:t>
      </w:r>
    </w:p>
    <w:p>
      <w:pPr>
        <w:spacing w:line="360" w:lineRule="auto"/>
        <w:ind w:firstLine="480" w:firstLineChars="200"/>
        <w:rPr>
          <w:rFonts w:ascii="宋体" w:hAnsi="宋体"/>
          <w:sz w:val="24"/>
        </w:rPr>
      </w:pPr>
      <w:r>
        <w:rPr>
          <w:rFonts w:hint="eastAsia" w:ascii="宋体" w:hAnsi="宋体"/>
          <w:sz w:val="24"/>
        </w:rPr>
        <w:t>项目编号：HYHZ2023-228(</w:t>
      </w:r>
      <w:r>
        <w:fldChar w:fldCharType="begin"/>
      </w:r>
      <w:r>
        <w:instrText xml:space="preserve"> HYPERLINK "https://pay.zcygov.cn/purchaseplan_front/?_app_=zcy.procurement" \l "/plan/list/view?id=1000000000010949232&amp;_app_=zcy.procurement" \t "https://www.zcygov.cn/project-center/_procurement_/purchasePlans/_blank" </w:instrText>
      </w:r>
      <w:r>
        <w:fldChar w:fldCharType="separate"/>
      </w:r>
      <w:r>
        <w:rPr>
          <w:rFonts w:hint="eastAsia" w:ascii="宋体" w:hAnsi="宋体"/>
          <w:sz w:val="24"/>
        </w:rPr>
        <w:t>临[2023]27017号</w:t>
      </w:r>
      <w:r>
        <w:rPr>
          <w:rFonts w:hint="eastAsia" w:ascii="宋体" w:hAnsi="宋体"/>
          <w:sz w:val="24"/>
        </w:rPr>
        <w:fldChar w:fldCharType="end"/>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项目名称：湖州市民服务中心机关二食堂餐饮管理服务项目</w:t>
      </w:r>
    </w:p>
    <w:p>
      <w:pPr>
        <w:spacing w:line="360" w:lineRule="auto"/>
        <w:ind w:firstLine="480" w:firstLineChars="200"/>
        <w:rPr>
          <w:rFonts w:ascii="宋体" w:hAnsi="宋体"/>
          <w:sz w:val="24"/>
        </w:rPr>
      </w:pPr>
      <w:r>
        <w:rPr>
          <w:rFonts w:hint="eastAsia" w:ascii="宋体" w:hAnsi="宋体"/>
          <w:sz w:val="24"/>
        </w:rPr>
        <w:t>预算金额：</w:t>
      </w:r>
      <w:r>
        <w:rPr>
          <w:rFonts w:hint="eastAsia" w:ascii="宋体" w:hAnsi="宋体" w:cs="宋体"/>
          <w:kern w:val="0"/>
          <w:sz w:val="24"/>
        </w:rPr>
        <w:t>930.7140万元</w:t>
      </w:r>
    </w:p>
    <w:p>
      <w:pPr>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ascii="宋体" w:hAnsi="宋体" w:cs="宋体"/>
          <w:kern w:val="0"/>
          <w:sz w:val="24"/>
        </w:rPr>
        <w:t>930</w:t>
      </w:r>
      <w:r>
        <w:rPr>
          <w:rFonts w:hint="eastAsia" w:ascii="宋体" w:hAnsi="宋体" w:cs="宋体"/>
          <w:kern w:val="0"/>
          <w:sz w:val="24"/>
        </w:rPr>
        <w:t>.</w:t>
      </w:r>
      <w:r>
        <w:rPr>
          <w:rFonts w:ascii="宋体" w:hAnsi="宋体" w:cs="宋体"/>
          <w:kern w:val="0"/>
          <w:sz w:val="24"/>
        </w:rPr>
        <w:t>7140</w:t>
      </w:r>
      <w:r>
        <w:rPr>
          <w:rFonts w:hint="eastAsia" w:ascii="宋体" w:hAnsi="宋体" w:cs="宋体"/>
          <w:kern w:val="0"/>
          <w:sz w:val="24"/>
        </w:rPr>
        <w:t>万元</w:t>
      </w:r>
    </w:p>
    <w:p>
      <w:pPr>
        <w:snapToGrid w:val="0"/>
        <w:spacing w:line="360" w:lineRule="auto"/>
        <w:ind w:firstLine="480" w:firstLineChars="200"/>
        <w:rPr>
          <w:rFonts w:ascii="宋体" w:hAnsi="宋体" w:cs="宋体"/>
          <w:kern w:val="0"/>
          <w:sz w:val="24"/>
        </w:rPr>
      </w:pPr>
      <w:r>
        <w:rPr>
          <w:rFonts w:hint="eastAsia" w:ascii="宋体" w:hAnsi="宋体"/>
          <w:sz w:val="24"/>
        </w:rPr>
        <w:t>采购需求：详</w:t>
      </w:r>
      <w:r>
        <w:rPr>
          <w:rFonts w:hint="eastAsia" w:ascii="宋体" w:hAnsi="宋体" w:cs="仿宋"/>
          <w:sz w:val="24"/>
        </w:rPr>
        <w:t>见招标文件第二章采购需求</w:t>
      </w:r>
    </w:p>
    <w:p>
      <w:pPr>
        <w:snapToGrid w:val="0"/>
        <w:spacing w:line="360" w:lineRule="auto"/>
        <w:ind w:firstLine="480" w:firstLineChars="200"/>
        <w:rPr>
          <w:rFonts w:ascii="宋体" w:hAnsi="宋体" w:cs="仿宋"/>
          <w:sz w:val="24"/>
        </w:rPr>
      </w:pPr>
      <w:r>
        <w:rPr>
          <w:rFonts w:hint="eastAsia" w:ascii="宋体" w:hAnsi="宋体" w:cs="仿宋"/>
          <w:sz w:val="24"/>
        </w:rPr>
        <w:t>合同履行期限：2年，</w:t>
      </w:r>
      <w:r>
        <w:rPr>
          <w:rFonts w:hint="eastAsia" w:ascii="宋体" w:hAnsi="宋体"/>
          <w:sz w:val="24"/>
        </w:rPr>
        <w:t>详</w:t>
      </w:r>
      <w:r>
        <w:rPr>
          <w:rFonts w:hint="eastAsia" w:ascii="宋体" w:hAnsi="宋体" w:cs="仿宋"/>
          <w:sz w:val="24"/>
        </w:rPr>
        <w:t>见招标文件第二章采购需求</w:t>
      </w:r>
    </w:p>
    <w:p>
      <w:pPr>
        <w:snapToGrid w:val="0"/>
        <w:spacing w:line="360" w:lineRule="auto"/>
        <w:ind w:firstLine="480" w:firstLineChars="200"/>
        <w:rPr>
          <w:rFonts w:ascii="宋体" w:hAnsi="宋体" w:cs="仿宋"/>
          <w:sz w:val="24"/>
        </w:rPr>
      </w:pPr>
      <w:r>
        <w:rPr>
          <w:rFonts w:hint="eastAsia" w:ascii="宋体" w:hAnsi="宋体" w:cs="仿宋"/>
          <w:sz w:val="24"/>
        </w:rPr>
        <w:t>本项目不接受联合体投标。</w:t>
      </w:r>
    </w:p>
    <w:p>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pPr>
        <w:snapToGrid w:val="0"/>
        <w:spacing w:line="360" w:lineRule="auto"/>
        <w:ind w:firstLine="480" w:firstLineChars="200"/>
        <w:rPr>
          <w:rFonts w:ascii="宋体" w:hAnsi="宋体"/>
          <w:sz w:val="24"/>
        </w:rPr>
      </w:pPr>
      <w:r>
        <w:rPr>
          <w:rFonts w:hint="eastAsia" w:ascii="宋体" w:hAnsi="宋体" w:cs="仿宋"/>
          <w:sz w:val="24"/>
        </w:rPr>
        <w:t>1.满足《中华人民共和国政府采购法》第二十二条规定；</w:t>
      </w:r>
      <w:r>
        <w:rPr>
          <w:rFonts w:hint="eastAsia" w:ascii="宋体" w:hAnsi="宋体"/>
          <w:sz w:val="24"/>
        </w:rPr>
        <w:t>未被“信用中国”（www.creditchina.gov.cn）、中国政府采购网（www.ccgp.gov.cn）列入失信被执行人、重大税收违法案件当事人名单、政府采购严重违法失信行为记录名单。</w:t>
      </w:r>
    </w:p>
    <w:p>
      <w:pPr>
        <w:widowControl/>
        <w:spacing w:line="360" w:lineRule="auto"/>
        <w:ind w:firstLine="482" w:firstLineChars="200"/>
        <w:jc w:val="left"/>
        <w:rPr>
          <w:rFonts w:ascii="宋体" w:hAnsi="宋体" w:cs="宋体"/>
          <w:sz w:val="24"/>
          <w:szCs w:val="20"/>
        </w:rPr>
      </w:pPr>
      <w:r>
        <w:rPr>
          <w:rFonts w:hint="eastAsia" w:ascii="宋体" w:hAnsi="宋体"/>
          <w:b/>
          <w:sz w:val="24"/>
        </w:rPr>
        <w:t>2.落实政府采购政策需满足的资格要求：</w:t>
      </w:r>
      <w:r>
        <w:rPr>
          <w:rFonts w:hint="eastAsia" w:ascii="宋体" w:hAnsi="宋体"/>
          <w:sz w:val="24"/>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p>
      <w:pPr>
        <w:widowControl/>
        <w:spacing w:line="360" w:lineRule="auto"/>
        <w:ind w:firstLine="482" w:firstLineChars="200"/>
        <w:jc w:val="left"/>
        <w:rPr>
          <w:rFonts w:ascii="宋体" w:hAnsi="宋体"/>
          <w:b/>
          <w:sz w:val="24"/>
          <w:lang w:val="zh-CN"/>
        </w:rPr>
      </w:pPr>
      <w:r>
        <w:rPr>
          <w:rFonts w:hint="eastAsia"/>
          <w:b/>
          <w:sz w:val="24"/>
        </w:rPr>
        <w:t>▲</w:t>
      </w:r>
      <w:r>
        <w:rPr>
          <w:rFonts w:hint="eastAsia" w:ascii="宋体" w:hAnsi="宋体"/>
          <w:b/>
          <w:sz w:val="24"/>
          <w:lang w:val="zh-CN"/>
        </w:rPr>
        <w:t>3.本项目的特定资格要求：无</w:t>
      </w:r>
    </w:p>
    <w:p>
      <w:pPr>
        <w:snapToGrid w:val="0"/>
        <w:spacing w:line="360" w:lineRule="auto"/>
        <w:ind w:firstLine="482" w:firstLineChars="200"/>
        <w:rPr>
          <w:rFonts w:ascii="宋体" w:hAnsi="宋体" w:cs="Arial"/>
          <w:b/>
          <w:sz w:val="24"/>
        </w:rPr>
      </w:pPr>
      <w:r>
        <w:rPr>
          <w:rFonts w:hint="eastAsia" w:ascii="宋体" w:hAnsi="宋体" w:cs="Arial"/>
          <w:b/>
          <w:sz w:val="24"/>
        </w:rPr>
        <w:t xml:space="preserve">三、获取招标文件 </w:t>
      </w:r>
    </w:p>
    <w:p>
      <w:pPr>
        <w:snapToGrid w:val="0"/>
        <w:spacing w:line="360" w:lineRule="auto"/>
        <w:ind w:firstLine="480" w:firstLineChars="200"/>
        <w:rPr>
          <w:rFonts w:ascii="宋体" w:hAnsi="宋体" w:cs="仿宋"/>
          <w:sz w:val="24"/>
        </w:rPr>
      </w:pPr>
      <w:r>
        <w:rPr>
          <w:rFonts w:hint="eastAsia" w:ascii="宋体" w:hAnsi="宋体" w:cs="仿宋"/>
          <w:sz w:val="24"/>
        </w:rPr>
        <w:t xml:space="preserve">时间：2023年11月3日至 </w:t>
      </w:r>
      <w:r>
        <w:rPr>
          <w:rFonts w:hint="eastAsia" w:ascii="宋体" w:hAnsi="宋体"/>
          <w:sz w:val="24"/>
        </w:rPr>
        <w:t>2023年11月24日</w:t>
      </w:r>
      <w:r>
        <w:rPr>
          <w:rFonts w:hint="eastAsia" w:ascii="宋体" w:hAnsi="宋体" w:cs="仿宋"/>
          <w:sz w:val="24"/>
        </w:rPr>
        <w:t>，每天上午00:00至12:00，下午12:00至23:59</w:t>
      </w:r>
    </w:p>
    <w:p>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pPr>
        <w:snapToGrid w:val="0"/>
        <w:spacing w:line="360" w:lineRule="auto"/>
        <w:ind w:firstLine="480" w:firstLineChars="200"/>
        <w:rPr>
          <w:rFonts w:ascii="宋体" w:hAnsi="宋体" w:cs="仿宋"/>
          <w:sz w:val="24"/>
        </w:rPr>
      </w:pPr>
      <w:r>
        <w:rPr>
          <w:rFonts w:hint="eastAsia" w:ascii="宋体" w:hAnsi="宋体" w:cs="仿宋"/>
          <w:sz w:val="24"/>
        </w:rPr>
        <w:t>售价：0</w:t>
      </w:r>
    </w:p>
    <w:p>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pPr>
        <w:snapToGrid w:val="0"/>
        <w:spacing w:line="360" w:lineRule="auto"/>
        <w:ind w:firstLine="600" w:firstLineChars="250"/>
        <w:rPr>
          <w:rFonts w:ascii="宋体" w:hAnsi="宋体" w:cs="仿宋"/>
          <w:bCs/>
          <w:sz w:val="24"/>
        </w:rPr>
      </w:pPr>
      <w:r>
        <w:rPr>
          <w:rFonts w:hint="eastAsia" w:ascii="宋体" w:hAnsi="宋体" w:cs="仿宋"/>
          <w:sz w:val="24"/>
        </w:rPr>
        <w:t>2023年</w:t>
      </w:r>
      <w:r>
        <w:rPr>
          <w:rFonts w:hint="eastAsia" w:ascii="宋体" w:hAnsi="宋体"/>
          <w:sz w:val="24"/>
        </w:rPr>
        <w:t>11月24日9：00</w:t>
      </w:r>
      <w:r>
        <w:rPr>
          <w:rFonts w:hint="eastAsia" w:ascii="宋体" w:hAnsi="宋体" w:cs="仿宋"/>
          <w:bCs/>
          <w:sz w:val="24"/>
        </w:rPr>
        <w:t>（北京时间）</w:t>
      </w:r>
    </w:p>
    <w:p>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根据《政府采购促进中小企业发展管理办法》，本项目是否专门面向中小企业采购：是</w:t>
      </w:r>
      <w:r>
        <w:rPr>
          <w:rFonts w:hint="eastAsia" w:ascii="宋体" w:hAnsi="宋体" w:cs="宋体"/>
          <w:sz w:val="24"/>
        </w:rPr>
        <w:t>。</w:t>
      </w:r>
    </w:p>
    <w:p>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28"/>
          <w:rFonts w:hint="eastAsia" w:ascii="宋体" w:hAnsi="宋体" w:cs="仿宋"/>
          <w:color w:val="auto"/>
          <w:sz w:val="24"/>
        </w:rPr>
        <w:t>http://zfcg.czt.zj.gov.cn/</w:t>
      </w:r>
      <w:r>
        <w:rPr>
          <w:rStyle w:val="28"/>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pPr>
        <w:spacing w:line="360" w:lineRule="auto"/>
        <w:ind w:firstLine="480" w:firstLineChars="200"/>
        <w:rPr>
          <w:rFonts w:ascii="宋体" w:hAnsi="宋体" w:cs="仿宋"/>
          <w:kern w:val="0"/>
          <w:sz w:val="24"/>
        </w:rPr>
      </w:pPr>
      <w:r>
        <w:rPr>
          <w:rFonts w:hint="eastAsia" w:ascii="宋体" w:hAnsi="宋体" w:cs="仿宋"/>
          <w:sz w:val="24"/>
        </w:rPr>
        <w:t>8.投标事项：</w:t>
      </w:r>
    </w:p>
    <w:p>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pPr>
        <w:spacing w:line="360" w:lineRule="auto"/>
        <w:ind w:firstLine="480" w:firstLineChars="200"/>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w:t>
      </w:r>
      <w:r>
        <w:rPr>
          <w:rFonts w:ascii="宋体" w:hAnsi="宋体" w:cs="宋体"/>
          <w:kern w:val="0"/>
          <w:sz w:val="24"/>
        </w:rPr>
        <w:t>:</w:t>
      </w:r>
      <w:r>
        <w:rPr>
          <w:rFonts w:hint="eastAsia" w:ascii="宋体" w:hAnsi="宋体" w:cs="宋体"/>
          <w:kern w:val="0"/>
          <w:sz w:val="24"/>
        </w:rPr>
        <w:t>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(BFBS格式)，按政采云平台项目采购-电子交易操作指南中上传的电子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pPr>
        <w:snapToGrid w:val="0"/>
        <w:spacing w:line="360" w:lineRule="auto"/>
        <w:ind w:firstLine="420" w:firstLineChars="200"/>
      </w:pPr>
    </w:p>
    <w:p>
      <w:pPr>
        <w:snapToGrid w:val="0"/>
        <w:spacing w:line="360" w:lineRule="auto"/>
        <w:ind w:firstLine="470" w:firstLineChars="196"/>
        <w:rPr>
          <w:rFonts w:ascii="宋体" w:hAnsi="宋体"/>
          <w:sz w:val="24"/>
        </w:rPr>
      </w:pPr>
      <w:r>
        <w:rPr>
          <w:rFonts w:hint="eastAsia" w:ascii="宋体" w:hAnsi="宋体" w:cs="Arial"/>
          <w:sz w:val="24"/>
        </w:rPr>
        <w:t>2.采购人名称：</w:t>
      </w:r>
      <w:r>
        <w:rPr>
          <w:rFonts w:hint="eastAsia" w:ascii="宋体" w:hAnsi="宋体"/>
          <w:sz w:val="24"/>
        </w:rPr>
        <w:t xml:space="preserve">湖州市机关事务管理服务中心 </w:t>
      </w:r>
    </w:p>
    <w:p>
      <w:pPr>
        <w:snapToGrid w:val="0"/>
        <w:spacing w:line="360" w:lineRule="auto"/>
        <w:ind w:firstLine="470" w:firstLineChars="196"/>
        <w:rPr>
          <w:rFonts w:ascii="宋体" w:hAnsi="宋体"/>
          <w:sz w:val="24"/>
        </w:rPr>
      </w:pPr>
      <w:r>
        <w:rPr>
          <w:rFonts w:hint="eastAsia" w:ascii="宋体" w:hAnsi="宋体"/>
          <w:sz w:val="24"/>
        </w:rPr>
        <w:t xml:space="preserve">联系人：陶先生                 联系电话：0572-2399678 </w:t>
      </w:r>
    </w:p>
    <w:p>
      <w:pPr>
        <w:snapToGrid w:val="0"/>
        <w:spacing w:line="360" w:lineRule="auto"/>
        <w:ind w:firstLine="470" w:firstLineChars="196"/>
        <w:rPr>
          <w:rFonts w:ascii="宋体"/>
          <w:sz w:val="24"/>
        </w:rPr>
      </w:pPr>
      <w:r>
        <w:rPr>
          <w:rFonts w:hint="eastAsia" w:ascii="宋体"/>
          <w:sz w:val="24"/>
        </w:rPr>
        <w:t>采购人质疑联系人：顾女士       联系电话：0572-3398320</w:t>
      </w:r>
    </w:p>
    <w:p>
      <w:pPr>
        <w:snapToGrid w:val="0"/>
        <w:spacing w:line="360" w:lineRule="auto"/>
        <w:ind w:firstLine="470" w:firstLineChars="196"/>
        <w:rPr>
          <w:rFonts w:ascii="宋体" w:hAnsi="宋体" w:cs="宋体"/>
          <w:sz w:val="24"/>
        </w:rPr>
      </w:pPr>
    </w:p>
    <w:p>
      <w:pPr>
        <w:snapToGrid w:val="0"/>
        <w:spacing w:line="360" w:lineRule="auto"/>
        <w:ind w:firstLine="470" w:firstLineChars="196"/>
        <w:rPr>
          <w:rFonts w:ascii="宋体" w:hAnsi="宋体" w:cs="宋体"/>
          <w:sz w:val="24"/>
        </w:rPr>
      </w:pPr>
      <w:r>
        <w:rPr>
          <w:rFonts w:hint="eastAsia" w:ascii="宋体" w:hAnsi="宋体" w:cs="Arial"/>
          <w:sz w:val="24"/>
        </w:rPr>
        <w:t>3.同级政府采购监督管理部门名称：</w:t>
      </w:r>
      <w:r>
        <w:rPr>
          <w:rFonts w:hint="eastAsia" w:ascii="宋体" w:hAnsi="宋体" w:cs="宋体"/>
          <w:sz w:val="24"/>
        </w:rPr>
        <w:t>湖州市财政局采监处</w:t>
      </w:r>
    </w:p>
    <w:p>
      <w:pPr>
        <w:snapToGrid w:val="0"/>
        <w:spacing w:line="360" w:lineRule="auto"/>
        <w:ind w:firstLine="470" w:firstLineChars="196"/>
        <w:rPr>
          <w:rFonts w:ascii="宋体" w:hAnsi="宋体"/>
          <w:sz w:val="24"/>
        </w:rPr>
      </w:pPr>
      <w:r>
        <w:rPr>
          <w:rFonts w:hint="eastAsia" w:ascii="宋体" w:hAnsi="宋体"/>
          <w:sz w:val="24"/>
        </w:rPr>
        <w:t>地址：湖州市龙王山路518号</w:t>
      </w:r>
    </w:p>
    <w:p>
      <w:pPr>
        <w:snapToGrid w:val="0"/>
        <w:spacing w:line="360" w:lineRule="auto"/>
        <w:ind w:firstLine="470" w:firstLineChars="196"/>
        <w:rPr>
          <w:rFonts w:ascii="宋体" w:hAnsi="宋体" w:cs="Arial"/>
          <w:sz w:val="24"/>
        </w:rPr>
      </w:pPr>
      <w:r>
        <w:rPr>
          <w:rFonts w:hint="eastAsia" w:ascii="宋体" w:hAnsi="宋体" w:cs="Arial"/>
          <w:sz w:val="24"/>
        </w:rPr>
        <w:t>联系人：李女士；监督投诉电话：0572-</w:t>
      </w:r>
      <w:r>
        <w:rPr>
          <w:rFonts w:ascii="宋体" w:hAnsi="宋体" w:cs="宋体"/>
          <w:sz w:val="24"/>
        </w:rPr>
        <w:t>21500</w:t>
      </w:r>
      <w:r>
        <w:rPr>
          <w:rFonts w:hint="eastAsia" w:ascii="宋体" w:hAnsi="宋体" w:cs="宋体"/>
          <w:sz w:val="24"/>
        </w:rPr>
        <w:t>86</w:t>
      </w:r>
    </w:p>
    <w:p>
      <w:pPr>
        <w:snapToGrid w:val="0"/>
        <w:spacing w:line="360" w:lineRule="auto"/>
        <w:ind w:left="238" w:firstLine="240" w:firstLineChars="100"/>
        <w:jc w:val="right"/>
        <w:rPr>
          <w:rFonts w:ascii="宋体" w:hAnsi="宋体"/>
          <w:sz w:val="24"/>
        </w:rPr>
      </w:pPr>
      <w:r>
        <w:rPr>
          <w:rFonts w:hint="eastAsia" w:ascii="宋体" w:hAnsi="宋体" w:cs="Arial"/>
          <w:sz w:val="24"/>
        </w:rPr>
        <w:t xml:space="preserve">湖州市机关事务管理服务中心 </w:t>
      </w:r>
    </w:p>
    <w:p>
      <w:pPr>
        <w:snapToGrid w:val="0"/>
        <w:spacing w:line="360" w:lineRule="auto"/>
        <w:ind w:left="238"/>
        <w:jc w:val="right"/>
        <w:rPr>
          <w:rFonts w:ascii="宋体" w:hAnsi="宋体"/>
          <w:sz w:val="24"/>
        </w:rPr>
      </w:pPr>
      <w:r>
        <w:rPr>
          <w:rFonts w:hint="eastAsia" w:ascii="宋体" w:hAnsi="宋体"/>
          <w:sz w:val="24"/>
        </w:rPr>
        <w:t xml:space="preserve">                                                 浙江华耀建设咨询有限公司</w:t>
      </w:r>
    </w:p>
    <w:p>
      <w:pPr>
        <w:snapToGrid w:val="0"/>
        <w:spacing w:line="360" w:lineRule="auto"/>
        <w:ind w:left="238"/>
        <w:jc w:val="right"/>
        <w:rPr>
          <w:rFonts w:ascii="宋体" w:hAnsi="宋体"/>
          <w:sz w:val="24"/>
        </w:rPr>
      </w:pPr>
      <w:r>
        <w:rPr>
          <w:rFonts w:hint="eastAsia" w:ascii="宋体" w:hAnsi="宋体"/>
          <w:sz w:val="24"/>
        </w:rPr>
        <w:t>2023年11月3日</w:t>
      </w:r>
    </w:p>
    <w:p>
      <w:pPr>
        <w:pStyle w:val="5"/>
      </w:pPr>
    </w:p>
    <w:p>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pPr>
        <w:rPr>
          <w:rFonts w:ascii="宋体" w:hAnsi="宋体" w:cs="仿宋"/>
          <w:b/>
          <w:sz w:val="24"/>
        </w:rPr>
      </w:pPr>
      <w:r>
        <w:rPr>
          <w:rFonts w:hint="eastAsia" w:ascii="宋体" w:hAnsi="宋体" w:cs="仿宋"/>
          <w:b/>
          <w:sz w:val="24"/>
        </w:rPr>
        <w:t>CA问题联系电话（人工）：汇信CA 400-888-4636；天谷CA 400-087-8198。</w:t>
      </w:r>
    </w:p>
    <w:p>
      <w:pPr>
        <w:snapToGrid w:val="0"/>
        <w:spacing w:line="360" w:lineRule="auto"/>
        <w:ind w:left="238"/>
        <w:jc w:val="center"/>
        <w:rPr>
          <w:rFonts w:ascii="宋体" w:hAnsi="宋体"/>
          <w:b/>
          <w:sz w:val="30"/>
          <w:szCs w:val="30"/>
        </w:rPr>
      </w:pPr>
    </w:p>
    <w:p>
      <w:pPr>
        <w:snapToGrid w:val="0"/>
        <w:spacing w:line="360" w:lineRule="auto"/>
        <w:ind w:left="238"/>
        <w:jc w:val="center"/>
        <w:rPr>
          <w:rFonts w:ascii="宋体" w:hAnsi="宋体"/>
          <w:b/>
          <w:sz w:val="30"/>
          <w:szCs w:val="30"/>
        </w:rPr>
      </w:pPr>
      <w:r>
        <w:rPr>
          <w:rFonts w:hint="eastAsia" w:ascii="宋体" w:hAnsi="宋体"/>
          <w:b/>
          <w:sz w:val="30"/>
          <w:szCs w:val="30"/>
        </w:rPr>
        <w:t>第二章  招标需求</w:t>
      </w:r>
    </w:p>
    <w:p>
      <w:pPr>
        <w:widowControl/>
        <w:spacing w:line="360" w:lineRule="auto"/>
        <w:ind w:firstLine="482" w:firstLineChars="200"/>
        <w:rPr>
          <w:rFonts w:ascii="宋体" w:hAnsi="宋体"/>
          <w:sz w:val="24"/>
        </w:rPr>
      </w:pPr>
      <w:r>
        <w:rPr>
          <w:rFonts w:hint="eastAsia" w:ascii="宋体" w:hAnsi="宋体"/>
          <w:b/>
          <w:sz w:val="24"/>
        </w:rPr>
        <w:t>一、采购项目名称：湖州市民服务中心机关二食堂餐饮管理服务项目</w:t>
      </w:r>
    </w:p>
    <w:p>
      <w:pPr>
        <w:widowControl/>
        <w:spacing w:line="360" w:lineRule="auto"/>
        <w:ind w:firstLine="482" w:firstLineChars="200"/>
        <w:rPr>
          <w:rFonts w:ascii="宋体" w:hAnsi="宋体"/>
          <w:b/>
          <w:sz w:val="24"/>
        </w:rPr>
      </w:pPr>
      <w:r>
        <w:rPr>
          <w:rFonts w:hint="eastAsia" w:ascii="宋体" w:hAnsi="宋体"/>
          <w:b/>
          <w:sz w:val="24"/>
        </w:rPr>
        <w:t>二、采购项目编号：HYHZ2023-228</w:t>
      </w:r>
    </w:p>
    <w:p>
      <w:pPr>
        <w:widowControl/>
        <w:spacing w:line="360" w:lineRule="auto"/>
        <w:ind w:firstLine="482" w:firstLineChars="200"/>
        <w:rPr>
          <w:rFonts w:ascii="宋体" w:hAnsi="宋体" w:cs="宋体"/>
          <w:b/>
          <w:kern w:val="0"/>
          <w:sz w:val="24"/>
        </w:rPr>
      </w:pPr>
      <w:r>
        <w:rPr>
          <w:rFonts w:hint="eastAsia" w:ascii="宋体" w:hAnsi="宋体"/>
          <w:b/>
          <w:sz w:val="24"/>
        </w:rPr>
        <w:t>三、采购项目预算：</w:t>
      </w:r>
      <w:r>
        <w:rPr>
          <w:rFonts w:hint="eastAsia" w:ascii="宋体" w:hAnsi="宋体" w:cs="宋体"/>
          <w:b/>
          <w:kern w:val="0"/>
          <w:sz w:val="24"/>
        </w:rPr>
        <w:t>人民币930.7140万元整（￥9307140.00）</w:t>
      </w:r>
    </w:p>
    <w:p>
      <w:pPr>
        <w:widowControl/>
        <w:spacing w:line="360" w:lineRule="auto"/>
        <w:ind w:firstLine="1446" w:firstLineChars="600"/>
        <w:rPr>
          <w:rFonts w:ascii="宋体" w:hAnsi="宋体" w:cs="宋体"/>
          <w:b/>
          <w:kern w:val="0"/>
          <w:sz w:val="24"/>
        </w:rPr>
      </w:pPr>
      <w:r>
        <w:rPr>
          <w:rFonts w:hint="eastAsia" w:ascii="宋体" w:hAnsi="宋体" w:cs="宋体"/>
          <w:b/>
          <w:kern w:val="0"/>
          <w:sz w:val="24"/>
        </w:rPr>
        <w:t>最高限价：人民币930.7140万元整（￥9307140.00）</w:t>
      </w:r>
    </w:p>
    <w:p>
      <w:pPr>
        <w:widowControl/>
        <w:spacing w:line="360" w:lineRule="auto"/>
        <w:ind w:firstLine="482" w:firstLineChars="200"/>
        <w:rPr>
          <w:rFonts w:ascii="宋体" w:hAnsi="宋体"/>
          <w:b/>
          <w:sz w:val="24"/>
        </w:rPr>
      </w:pPr>
      <w:r>
        <w:rPr>
          <w:rFonts w:hint="eastAsia" w:ascii="宋体" w:hAnsi="宋体"/>
          <w:b/>
          <w:sz w:val="24"/>
        </w:rPr>
        <w:t>四、采购项目实施地点：采购人指定地点</w:t>
      </w:r>
    </w:p>
    <w:p>
      <w:pPr>
        <w:widowControl/>
        <w:spacing w:line="360" w:lineRule="auto"/>
        <w:ind w:firstLine="482" w:firstLineChars="200"/>
        <w:outlineLvl w:val="1"/>
        <w:rPr>
          <w:rFonts w:ascii="宋体" w:hAnsi="宋体"/>
          <w:b/>
          <w:sz w:val="24"/>
        </w:rPr>
      </w:pPr>
      <w:r>
        <w:rPr>
          <w:rFonts w:hint="eastAsia" w:ascii="宋体" w:hAnsi="宋体"/>
          <w:b/>
          <w:sz w:val="24"/>
        </w:rPr>
        <w:t>五、采购项目内容</w:t>
      </w:r>
    </w:p>
    <w:p>
      <w:pPr>
        <w:spacing w:line="440" w:lineRule="exact"/>
        <w:ind w:firstLine="435"/>
        <w:rPr>
          <w:rFonts w:cs="宋体" w:asciiTheme="majorEastAsia" w:hAnsiTheme="majorEastAsia" w:eastAsiaTheme="majorEastAsia"/>
          <w:b/>
          <w:bCs/>
          <w:sz w:val="24"/>
        </w:rPr>
      </w:pPr>
      <w:r>
        <w:rPr>
          <w:rFonts w:hint="eastAsia" w:cs="宋体" w:asciiTheme="majorEastAsia" w:hAnsiTheme="majorEastAsia" w:eastAsiaTheme="majorEastAsia"/>
          <w:b/>
          <w:bCs/>
          <w:sz w:val="24"/>
        </w:rPr>
        <w:t>（一）食堂日常工作内容</w:t>
      </w:r>
    </w:p>
    <w:p>
      <w:pPr>
        <w:spacing w:line="440" w:lineRule="exact"/>
        <w:ind w:firstLine="435"/>
        <w:rPr>
          <w:rFonts w:cs="宋体" w:asciiTheme="majorEastAsia" w:hAnsiTheme="majorEastAsia" w:eastAsiaTheme="majorEastAsia"/>
          <w:sz w:val="24"/>
        </w:rPr>
      </w:pPr>
      <w:r>
        <w:rPr>
          <w:rFonts w:hint="eastAsia" w:cs="宋体" w:asciiTheme="majorEastAsia" w:hAnsiTheme="majorEastAsia" w:eastAsiaTheme="majorEastAsia"/>
          <w:sz w:val="24"/>
        </w:rPr>
        <w:t>承担</w:t>
      </w:r>
      <w:r>
        <w:rPr>
          <w:rFonts w:hint="eastAsia" w:asciiTheme="majorEastAsia" w:hAnsiTheme="majorEastAsia" w:eastAsiaTheme="majorEastAsia"/>
          <w:sz w:val="24"/>
        </w:rPr>
        <w:t>市民服务中心机关二食堂</w:t>
      </w:r>
      <w:r>
        <w:rPr>
          <w:rFonts w:hint="eastAsia" w:cs="宋体" w:asciiTheme="majorEastAsia" w:hAnsiTheme="majorEastAsia" w:eastAsiaTheme="majorEastAsia"/>
          <w:sz w:val="24"/>
        </w:rPr>
        <w:t>餐厅餐饮服务管理、餐饮食品加工、出售、服务、保洁等业务和与此相关的管理工作。以厨房、餐厅、食品采购存放加工、食品安全卫生、就餐环境、卫生管理为主要服务内容。供应商按照管理内容编制检查表，每日检查，发现问题及时整改。采购人对供应商各工作各岗位的服务质量随时进行抽查，发现问题，及时书面通知整改。</w:t>
      </w:r>
    </w:p>
    <w:p>
      <w:pPr>
        <w:spacing w:line="440" w:lineRule="exact"/>
        <w:ind w:firstLine="435"/>
        <w:rPr>
          <w:rFonts w:cs="宋体" w:asciiTheme="majorEastAsia" w:hAnsiTheme="majorEastAsia" w:eastAsiaTheme="majorEastAsia"/>
          <w:b/>
          <w:bCs/>
          <w:sz w:val="24"/>
        </w:rPr>
      </w:pPr>
      <w:r>
        <w:rPr>
          <w:rFonts w:hint="eastAsia" w:cs="宋体" w:asciiTheme="majorEastAsia" w:hAnsiTheme="majorEastAsia" w:eastAsiaTheme="majorEastAsia"/>
          <w:b/>
          <w:bCs/>
          <w:sz w:val="24"/>
        </w:rPr>
        <w:t>（二）员工数量及要求</w:t>
      </w:r>
    </w:p>
    <w:p>
      <w:pPr>
        <w:spacing w:line="440" w:lineRule="exact"/>
        <w:ind w:firstLine="435"/>
        <w:rPr>
          <w:rFonts w:asciiTheme="majorEastAsia" w:hAnsiTheme="majorEastAsia" w:eastAsiaTheme="majorEastAsia"/>
          <w:b/>
          <w:sz w:val="24"/>
        </w:rPr>
      </w:pPr>
      <w:r>
        <w:rPr>
          <w:rFonts w:hint="eastAsia" w:cs="宋体" w:asciiTheme="majorEastAsia" w:hAnsiTheme="majorEastAsia" w:eastAsiaTheme="majorEastAsia"/>
          <w:b/>
          <w:sz w:val="24"/>
        </w:rPr>
        <w:t>员工数量：</w:t>
      </w:r>
      <w:r>
        <w:rPr>
          <w:rFonts w:hint="eastAsia" w:cs="宋体" w:asciiTheme="majorEastAsia" w:hAnsiTheme="majorEastAsia" w:eastAsiaTheme="majorEastAsia"/>
          <w:sz w:val="24"/>
        </w:rPr>
        <w:t>供应商根据本食堂实际情况应配备员工队伍不少于63人，其中食堂经理1名、厨师长1名、服务员不少于5人、点心师不少于2名、大灶厨师不少于4名、小灶厨师不少于2名、切配厨师不少于1名、冷菜厨师不少于1名、蒸制师不少于1名、勤杂工不少于10名、仓管1名。人员必须身体健康，无各种遗传性疾病，技术过硬，保证出品质量。所有岗位建立岗位责任制与操作程序、工作质量标准。除供应商自行对服务人员的培训外，如有需要，须接受采购人对服务人员的集中培训。餐饮服务日常管理细则必须按采购人要求规定执行。</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1.供应商必须按照劳动合同法的规定合法规范用工；派遣的人员个人素质和工作技能必须符合采购人要求。</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2.供应商派遣人员应遵守采购人的规章制度和工作要求；供应商应掌握派遣人员的思想动态、工作表现、遵纪情况，合理分配劳动报酬，稳定员工队伍；负责派遣人员的居住、交通、安全等一切个人事宜。</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3.供应商必须根据采购人的要求设定工作岗位，分配工作任务；服从采购人的意见对不称职人员进行调整或更换。</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4.合同期间，供应商提供</w:t>
      </w:r>
      <w:r>
        <w:rPr>
          <w:rFonts w:hint="eastAsia" w:cs="仿宋_GB2312" w:asciiTheme="majorEastAsia" w:hAnsiTheme="majorEastAsia" w:eastAsiaTheme="majorEastAsia"/>
          <w:snapToGrid w:val="0"/>
          <w:kern w:val="0"/>
          <w:sz w:val="24"/>
        </w:rPr>
        <w:t>的供应品种、服务质量、产品质量、毛利率必须达到</w:t>
      </w:r>
      <w:r>
        <w:rPr>
          <w:rFonts w:hint="eastAsia" w:asciiTheme="majorEastAsia" w:hAnsiTheme="majorEastAsia" w:eastAsiaTheme="majorEastAsia"/>
          <w:sz w:val="24"/>
        </w:rPr>
        <w:t>采购人</w:t>
      </w:r>
      <w:r>
        <w:rPr>
          <w:rFonts w:hint="eastAsia" w:cs="仿宋_GB2312" w:asciiTheme="majorEastAsia" w:hAnsiTheme="majorEastAsia" w:eastAsiaTheme="majorEastAsia"/>
          <w:snapToGrid w:val="0"/>
          <w:kern w:val="0"/>
          <w:sz w:val="24"/>
        </w:rPr>
        <w:t>的规定要求</w:t>
      </w:r>
      <w:r>
        <w:rPr>
          <w:rFonts w:hint="eastAsia" w:asciiTheme="majorEastAsia" w:hAnsiTheme="majorEastAsia" w:eastAsiaTheme="majorEastAsia"/>
          <w:sz w:val="24"/>
        </w:rPr>
        <w:t>，</w:t>
      </w:r>
      <w:r>
        <w:rPr>
          <w:rFonts w:hint="eastAsia" w:cs="仿宋_GB2312" w:asciiTheme="majorEastAsia" w:hAnsiTheme="majorEastAsia" w:eastAsiaTheme="majorEastAsia"/>
          <w:snapToGrid w:val="0"/>
          <w:kern w:val="0"/>
          <w:sz w:val="24"/>
        </w:rPr>
        <w:t>不得擅自更改经营项目和降低工作要求。</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hint="eastAsia" w:asciiTheme="majorEastAsia" w:hAnsiTheme="majorEastAsia" w:eastAsiaTheme="majorEastAsia"/>
          <w:kern w:val="28"/>
          <w:sz w:val="24"/>
        </w:rPr>
        <w:t>采购人对</w:t>
      </w:r>
      <w:r>
        <w:rPr>
          <w:rFonts w:hint="eastAsia" w:cs="仿宋_GB2312" w:asciiTheme="majorEastAsia" w:hAnsiTheme="majorEastAsia" w:eastAsiaTheme="majorEastAsia"/>
          <w:kern w:val="0"/>
          <w:sz w:val="24"/>
        </w:rPr>
        <w:t>市民服务中心</w:t>
      </w:r>
      <w:r>
        <w:rPr>
          <w:rFonts w:hint="eastAsia" w:asciiTheme="majorEastAsia" w:hAnsiTheme="majorEastAsia" w:eastAsiaTheme="majorEastAsia"/>
          <w:kern w:val="28"/>
          <w:sz w:val="24"/>
        </w:rPr>
        <w:t>食堂的卫生、质量、价格、服务等方面拥有检查、监督、处罚的权力，供应商应无条件服从采购人的管理。</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6.供应商</w:t>
      </w:r>
      <w:r>
        <w:rPr>
          <w:rFonts w:hint="eastAsia" w:cs="仿宋_GB2312" w:asciiTheme="majorEastAsia" w:hAnsiTheme="majorEastAsia" w:eastAsiaTheme="majorEastAsia"/>
          <w:kern w:val="0"/>
          <w:sz w:val="24"/>
        </w:rPr>
        <w:t>不得</w:t>
      </w:r>
      <w:r>
        <w:rPr>
          <w:rFonts w:hint="eastAsia" w:cs="仿宋_GB2312" w:asciiTheme="majorEastAsia" w:hAnsiTheme="majorEastAsia" w:eastAsiaTheme="majorEastAsia"/>
          <w:snapToGrid w:val="0"/>
          <w:kern w:val="0"/>
          <w:sz w:val="24"/>
        </w:rPr>
        <w:t>擅自进行与</w:t>
      </w:r>
      <w:r>
        <w:rPr>
          <w:rFonts w:hint="eastAsia" w:cs="仿宋_GB2312" w:asciiTheme="majorEastAsia" w:hAnsiTheme="majorEastAsia" w:eastAsiaTheme="majorEastAsia"/>
          <w:kern w:val="0"/>
          <w:sz w:val="24"/>
        </w:rPr>
        <w:t>市民服务中心二食堂经营无关的活动；</w:t>
      </w:r>
      <w:r>
        <w:rPr>
          <w:rFonts w:hint="eastAsia" w:cs="仿宋_GB2312" w:asciiTheme="majorEastAsia" w:hAnsiTheme="majorEastAsia" w:eastAsiaTheme="majorEastAsia"/>
          <w:snapToGrid w:val="0"/>
          <w:kern w:val="0"/>
          <w:sz w:val="24"/>
        </w:rPr>
        <w:t>不得擅自将</w:t>
      </w:r>
      <w:r>
        <w:rPr>
          <w:rFonts w:hint="eastAsia" w:asciiTheme="majorEastAsia" w:hAnsiTheme="majorEastAsia" w:eastAsiaTheme="majorEastAsia"/>
          <w:kern w:val="28"/>
          <w:sz w:val="24"/>
        </w:rPr>
        <w:t>采购人</w:t>
      </w:r>
      <w:r>
        <w:rPr>
          <w:rFonts w:hint="eastAsia" w:cs="仿宋_GB2312" w:asciiTheme="majorEastAsia" w:hAnsiTheme="majorEastAsia" w:eastAsiaTheme="majorEastAsia"/>
          <w:snapToGrid w:val="0"/>
          <w:kern w:val="0"/>
          <w:sz w:val="24"/>
        </w:rPr>
        <w:t>的设备设施、生产资料、餐具用具无故损坏或转借他人</w:t>
      </w:r>
      <w:r>
        <w:rPr>
          <w:rFonts w:hint="eastAsia" w:asciiTheme="majorEastAsia" w:hAnsiTheme="majorEastAsia" w:eastAsiaTheme="majorEastAsia"/>
          <w:sz w:val="24"/>
        </w:rPr>
        <w:t>。</w:t>
      </w:r>
    </w:p>
    <w:p>
      <w:pPr>
        <w:tabs>
          <w:tab w:val="left" w:pos="1985"/>
        </w:tabs>
        <w:adjustRightInd w:val="0"/>
        <w:spacing w:line="440" w:lineRule="exact"/>
        <w:ind w:firstLine="480" w:firstLineChars="200"/>
        <w:rPr>
          <w:rFonts w:cs="仿宋_GB2312" w:asciiTheme="majorEastAsia" w:hAnsiTheme="majorEastAsia" w:eastAsiaTheme="majorEastAsia"/>
          <w:kern w:val="0"/>
          <w:sz w:val="24"/>
        </w:rPr>
      </w:pPr>
      <w:r>
        <w:rPr>
          <w:rFonts w:hint="eastAsia" w:asciiTheme="majorEastAsia" w:hAnsiTheme="majorEastAsia" w:eastAsiaTheme="majorEastAsia"/>
          <w:sz w:val="24"/>
        </w:rPr>
        <w:t>7.建立健全各项规章制度、岗位责任制、操作规程，</w:t>
      </w:r>
      <w:r>
        <w:rPr>
          <w:rFonts w:hint="eastAsia" w:cs="仿宋_GB2312" w:asciiTheme="majorEastAsia" w:hAnsiTheme="majorEastAsia" w:eastAsiaTheme="majorEastAsia"/>
          <w:kern w:val="0"/>
          <w:sz w:val="24"/>
        </w:rPr>
        <w:t>严格落实食品卫生和消防安全管理制度，确保安全生产无事故。</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cs="仿宋_GB2312" w:asciiTheme="majorEastAsia" w:hAnsiTheme="majorEastAsia" w:eastAsiaTheme="majorEastAsia"/>
          <w:kern w:val="0"/>
          <w:sz w:val="24"/>
        </w:rPr>
        <w:t>8</w:t>
      </w:r>
      <w:r>
        <w:rPr>
          <w:rFonts w:hint="eastAsia" w:asciiTheme="majorEastAsia" w:hAnsiTheme="majorEastAsia" w:eastAsiaTheme="majorEastAsia"/>
          <w:sz w:val="24"/>
        </w:rPr>
        <w:t>.</w:t>
      </w:r>
      <w:r>
        <w:rPr>
          <w:rFonts w:hint="eastAsia" w:cs="仿宋_GB2312" w:asciiTheme="majorEastAsia" w:hAnsiTheme="majorEastAsia" w:eastAsiaTheme="majorEastAsia"/>
          <w:snapToGrid w:val="0"/>
          <w:kern w:val="0"/>
          <w:sz w:val="24"/>
        </w:rPr>
        <w:t>认真做好</w:t>
      </w:r>
      <w:r>
        <w:rPr>
          <w:rFonts w:hint="eastAsia" w:asciiTheme="majorEastAsia" w:hAnsiTheme="majorEastAsia" w:eastAsiaTheme="majorEastAsia"/>
          <w:sz w:val="24"/>
        </w:rPr>
        <w:t>食堂管理的各类相关台账，</w:t>
      </w:r>
      <w:r>
        <w:rPr>
          <w:rFonts w:hint="eastAsia" w:cs="仿宋_GB2312" w:asciiTheme="majorEastAsia" w:hAnsiTheme="majorEastAsia" w:eastAsiaTheme="majorEastAsia"/>
          <w:snapToGrid w:val="0"/>
          <w:kern w:val="0"/>
          <w:sz w:val="24"/>
        </w:rPr>
        <w:t>认真做好</w:t>
      </w:r>
      <w:r>
        <w:rPr>
          <w:rFonts w:hint="eastAsia" w:asciiTheme="majorEastAsia" w:hAnsiTheme="majorEastAsia" w:eastAsiaTheme="majorEastAsia"/>
          <w:kern w:val="28"/>
          <w:sz w:val="24"/>
        </w:rPr>
        <w:t>采购人交办的有关财务及资产账目</w:t>
      </w:r>
      <w:r>
        <w:rPr>
          <w:rFonts w:hint="eastAsia" w:asciiTheme="majorEastAsia" w:hAnsiTheme="majorEastAsia" w:eastAsiaTheme="majorEastAsia"/>
          <w:sz w:val="24"/>
        </w:rPr>
        <w:t>。</w:t>
      </w:r>
    </w:p>
    <w:p>
      <w:pPr>
        <w:tabs>
          <w:tab w:val="left" w:pos="1985"/>
        </w:tabs>
        <w:adjustRightInd w:val="0"/>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（四）卫生管理要求</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1.严格按照《中华人民共和国食品安全法》验收、清洗、加工要求制作食品，厨房用品用具严格实行一洗二过三消毒的规程。</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2.对食堂的厨房、餐厅、包厢等所有区域的卫生应按《五常法》管理模式，实行分层负责，定置、定量、定位、定进出、定标识、责任到人。</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3.自觉接受卫生管理部门和采购人管理人员对食堂内工作检查、监督。</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4.垃圾污物应按指定地点放置，不得随意弃放。</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5.做好食堂区域内除虫害工作（蟑郎、老鼠、苍蝇、蚂蚁等）。</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6.做好烟道除垢、地沟油污清理工作等。</w:t>
      </w:r>
    </w:p>
    <w:p>
      <w:pPr>
        <w:tabs>
          <w:tab w:val="left" w:pos="1985"/>
        </w:tabs>
        <w:adjustRightInd w:val="0"/>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（五）安全管理要求</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1.严禁使用任何变质或受污染的原料制作食品，防止食物中毒事件发生。</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2.严格控制使用食品添加剂，注重食品卫生，防止食物中毒事件发生。</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3.严格执行索证制度、农药测试制度，预防食物中毒事件发生。</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4.下班后和设备使用完后落实关气、关电、关水、关门检查制度，预防火灾、偷盗事件发生。</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5.供应商每餐所有食品均须留样</w:t>
      </w:r>
      <w:r>
        <w:rPr>
          <w:rFonts w:asciiTheme="majorEastAsia" w:hAnsiTheme="majorEastAsia" w:eastAsiaTheme="majorEastAsia"/>
          <w:sz w:val="24"/>
        </w:rPr>
        <w:t>48</w:t>
      </w:r>
      <w:r>
        <w:rPr>
          <w:rFonts w:hint="eastAsia" w:asciiTheme="majorEastAsia" w:hAnsiTheme="majorEastAsia" w:eastAsiaTheme="majorEastAsia"/>
          <w:sz w:val="24"/>
        </w:rPr>
        <w:t>小时（每样</w:t>
      </w:r>
      <w:r>
        <w:rPr>
          <w:rFonts w:asciiTheme="majorEastAsia" w:hAnsiTheme="majorEastAsia" w:eastAsiaTheme="majorEastAsia"/>
          <w:sz w:val="24"/>
        </w:rPr>
        <w:t>100</w:t>
      </w:r>
      <w:r>
        <w:rPr>
          <w:rFonts w:hint="eastAsia" w:asciiTheme="majorEastAsia" w:hAnsiTheme="majorEastAsia" w:eastAsiaTheme="majorEastAsia"/>
          <w:sz w:val="24"/>
        </w:rPr>
        <w:t>克），并做好记录。</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保证食品卫生，防止食品污染和有害因素对人体的危害。必须认真贯彻执行《中华人民共和国食品卫生法》及本地相关部门的各项规章制度，对可能发生的各种卫生问题及处置方法负责。食品的卫生质量按《全国救灾防疫预案》的规定，不用来源不明的原料，不销售来源不明的食品。</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7.严格遵守市民服务中心机关食堂内部安全管理规定，严禁将无关人员擅自带入市民中心机关食堂，严禁擅自进入服务项目所在区域。</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8.如发生安全事故，按食品安全管理法要求，供应商承担全部事故责任及法律责任。</w:t>
      </w:r>
    </w:p>
    <w:p>
      <w:pPr>
        <w:tabs>
          <w:tab w:val="left" w:pos="1985"/>
        </w:tabs>
        <w:adjustRightInd w:val="0"/>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（六）供应商的服务要求及考核</w:t>
      </w:r>
    </w:p>
    <w:p>
      <w:pPr>
        <w:tabs>
          <w:tab w:val="left" w:pos="1985"/>
        </w:tabs>
        <w:adjustRightInd w:val="0"/>
        <w:spacing w:line="440" w:lineRule="exact"/>
        <w:ind w:firstLine="480" w:firstLineChars="200"/>
        <w:rPr>
          <w:rFonts w:asciiTheme="majorEastAsia" w:hAnsiTheme="majorEastAsia" w:eastAsiaTheme="majorEastAsia"/>
          <w:sz w:val="24"/>
        </w:rPr>
      </w:pPr>
      <w:r>
        <w:rPr>
          <w:rFonts w:asciiTheme="majorEastAsia" w:hAnsiTheme="majorEastAsia" w:eastAsiaTheme="majorEastAsia"/>
          <w:sz w:val="24"/>
        </w:rPr>
        <w:t>l</w:t>
      </w:r>
      <w:r>
        <w:rPr>
          <w:rFonts w:hint="eastAsia" w:asciiTheme="majorEastAsia" w:hAnsiTheme="majorEastAsia" w:eastAsiaTheme="majorEastAsia"/>
          <w:sz w:val="24"/>
        </w:rPr>
        <w:t>.卫生、工商、税务、食品药监等行政部门收取的有关费用由供应商负责。</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2.本次采购要求供应商配备的食堂工作人员必须按照现行《劳动合同法》的规定，全部参加国家法定的社会保险及达到国家对用人单位规定的各项福利要求，所须费用计入投标报价。</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合同期内，食堂消防、安全、卫生由供应商负责。如市场监督管理、消防等部门在检查过程中发现问题，执法人员下达整改通知书后，供应商应立即整改，提出有效的解决方案；如因供应商责任发生火灾、食物中毒、环境污染、安全等重大责任事故则采购人有权扣罚履约保证金并终止合同，所有损失由供应商承担，并依照相关法律追究供应商责任。</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4.采购人对食堂的卫生、质量、价格、服务态度等方面拥有检查、监督、处罚的权力，供应商应无条件服从采购人的管理。</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5.供应商须本着对企业品牌的延伸，以社会化效益为重的原则进行报价。</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6.供应商须在对现场、周边环境全面了解的情况下编制科学合理、切实可行的实施计划以及具体的保障措施、工作程序。</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7.供应商应制定具体的质量保证措施和相关服务承诺，如因服务质量未达到要求，供应商应因此承担责任和经济赔偿。</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8.供应商须按现代企业制度运行，发挥自身优势，以热心、爱心、专心、贴心的服务，提供全方位、一体化的专业服务保障，确保食堂正常运作，各项重大活动顺利完成。</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9.供应商达不到采购人要求或供应商的各项服务承诺，采购人有权要求其整改，直至扣款或终止合同。供应商所有的工作除应按照供应商的内部流程实施外，还应接受采购人或第三方的监督检查、考核。</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10.供应商应对食堂服务人员进行严格管理、降低消耗、节约成本，让利于消费者。</w:t>
      </w:r>
    </w:p>
    <w:p>
      <w:pPr>
        <w:tabs>
          <w:tab w:val="left" w:pos="1985"/>
        </w:tabs>
        <w:adjustRightInd w:val="0"/>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11.供应商须制定大型会议、接待、活动、消防、抗台等应急预案的用餐方案，切实地培训到每个岗位员工，随时待命，接受采购人的调配，供应商应预计以上服务所须的费用，计入投标报价。</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12.夜间、双休日、国家法定节假日期间，如采购人需要提供供应保障，供应商应全力配合，保证该时间段正常就餐供应，所需费用计入投标报价。</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13.供应商应保持餐厅内的餐桌椅、墙柱面、地面等环境设施的消毒清洁，保持室内空气流通，严防各种污染；对各种餐具、饮具、食品容器等按规定进行洗涮消毒，确保清洁卫生，消毒设施和流程要符合国家现行标准的要求；厨房所有工作间应保持清洁卫生，厨房用具餐具应及时清洗、消毒，严格做到生熟分开；为每位就餐者提供符合卫生要求的独立餐具，包括：餐盘、餐碗、筷子、汤勺、纸巾等。</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14.供应商必须每周报一次早、中、晚三餐菜单，采购人可根据实际情况及就餐人员对菜肴的评价调整菜单的结构（包括荤素比例，海鲜、蛋禽菜的数量）及份量、质量，菜单必须经得采购人认可方可执行，并服从采购人的调整。供应商须根据就餐人数分布统计，饭菜安排合理，避免供应不足和浪费，尽量减少剩菜剩饭。剩菜剩饭当餐清净，不得过期保存，混入下一餐中。</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15.</w:t>
      </w:r>
      <w:r>
        <w:rPr>
          <w:rFonts w:hint="eastAsia" w:asciiTheme="majorEastAsia" w:hAnsiTheme="majorEastAsia" w:eastAsiaTheme="majorEastAsia"/>
          <w:b/>
          <w:sz w:val="24"/>
        </w:rPr>
        <w:t>供应商不得转包或分包本食堂服务项目，一经发现，采购人有权终止合同且无须承担任何责任，并没收履约保证金</w:t>
      </w:r>
      <w:r>
        <w:rPr>
          <w:rFonts w:hint="eastAsia" w:asciiTheme="majorEastAsia" w:hAnsiTheme="majorEastAsia" w:eastAsiaTheme="majorEastAsia"/>
          <w:sz w:val="24"/>
        </w:rPr>
        <w:t>。</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16.供应商须每日对整个食堂垃圾处理按垃圾分类的要求收集，放置在指定地点，采购人对此项工作拥有监督、管理权。</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17.早餐服务时间为7：30-8:40，午餐服务时间为11:30－12：40，晚餐服务时间为17：00-18：30（具体随机关作息时间调整而调整）。</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18.针对食堂日常工作出现的问题，采购人发送“整改通知书”给供应商，供应商必须在规定的时限内无条件整改到位，否则采购人可对供应商进行处罚。</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19.招标文件中未明确的采购人对供应商服务质量的奖、罚制度在具体签订合同及日常工作过程中确定。</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20.经评标中标的供应商，在接到中标通知书到合同结束这段时间内，不得以任何理由和任何形式转租、转让承包服务。</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21.供应商与其他商家产生的账务、资金纠纷，均与采购人无关。</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22.供应商在合同履行期间发生的安全责任事故由供应商自行承担责任，均与采购人无关。</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23.供应商必须在合同期间为工作人员购买人身意外保险，工作人员所发生一切意外伤害由供应商自行承担责任，均与采购人无关。</w:t>
      </w:r>
    </w:p>
    <w:p>
      <w:pPr>
        <w:tabs>
          <w:tab w:val="left" w:pos="1985"/>
        </w:tabs>
        <w:adjustRightInd w:val="0"/>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（七）供应商须制定提供的方案</w:t>
      </w:r>
    </w:p>
    <w:p>
      <w:pPr>
        <w:tabs>
          <w:tab w:val="left" w:pos="1985"/>
        </w:tabs>
        <w:adjustRightInd w:val="0"/>
        <w:spacing w:line="440" w:lineRule="exact"/>
        <w:ind w:firstLine="480" w:firstLineChars="20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.供应商建立各种财务报表，对每日的收支作详细记录，并提交采购人备案。</w:t>
      </w:r>
    </w:p>
    <w:p>
      <w:pPr>
        <w:tabs>
          <w:tab w:val="left" w:pos="1985"/>
        </w:tabs>
        <w:adjustRightInd w:val="0"/>
        <w:spacing w:line="440" w:lineRule="exact"/>
        <w:ind w:firstLine="480" w:firstLineChars="20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供应商针对采购人提供的现场建筑图纸、设备材料表及服务要求，编制服务内容的相关陈述说明（包括人员组成及管理方式；是否从事过类似服务的说明；各项服务工作计划、流程；各项服务的具体实施方法、技术措施及承诺；针对本项目的特点和难点分析及解决措施；将采取何种措施来确保工作人员的安全等）；</w:t>
      </w:r>
    </w:p>
    <w:p>
      <w:pPr>
        <w:tabs>
          <w:tab w:val="left" w:pos="1985"/>
        </w:tabs>
        <w:adjustRightInd w:val="0"/>
        <w:spacing w:line="440" w:lineRule="exact"/>
        <w:ind w:firstLine="480" w:firstLineChars="200"/>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.建立原料采购、餐厅用品消毒保管、员工教育培训、应对投诉等情况的计划表格并作好纪录，所有纪录至少应保存</w:t>
      </w:r>
      <w:r>
        <w:rPr>
          <w:rFonts w:asciiTheme="majorEastAsia" w:hAnsiTheme="majorEastAsia" w:eastAsiaTheme="majorEastAsia"/>
          <w:sz w:val="24"/>
        </w:rPr>
        <w:t>12</w:t>
      </w:r>
      <w:r>
        <w:rPr>
          <w:rFonts w:hint="eastAsia" w:asciiTheme="majorEastAsia" w:hAnsiTheme="majorEastAsia" w:eastAsiaTheme="majorEastAsia"/>
          <w:sz w:val="24"/>
        </w:rPr>
        <w:t>个月，并交一份给采购人备案。</w:t>
      </w:r>
    </w:p>
    <w:p>
      <w:pPr>
        <w:tabs>
          <w:tab w:val="left" w:pos="1985"/>
        </w:tabs>
        <w:adjustRightInd w:val="0"/>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（八）其他要求</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1、供应商在签订合同时，若坚持提出附加条件和不合理要求，中标资格将被取消，该供应商对由此产生的一切后果负责。</w:t>
      </w:r>
    </w:p>
    <w:p>
      <w:pPr>
        <w:tabs>
          <w:tab w:val="left" w:pos="1985"/>
        </w:tabs>
        <w:adjustRightIn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2、服务质量由采购单位及相关机构验收考核，</w:t>
      </w:r>
      <w:r>
        <w:rPr>
          <w:rFonts w:hint="eastAsia" w:asciiTheme="majorEastAsia" w:hAnsiTheme="majorEastAsia" w:eastAsiaTheme="majorEastAsia"/>
          <w:b/>
          <w:sz w:val="24"/>
        </w:rPr>
        <w:t>考核标准具体实施方案另行制定</w:t>
      </w:r>
      <w:r>
        <w:rPr>
          <w:rFonts w:hint="eastAsia" w:asciiTheme="majorEastAsia" w:hAnsiTheme="majorEastAsia" w:eastAsiaTheme="majorEastAsia"/>
          <w:sz w:val="24"/>
        </w:rPr>
        <w:t>。</w:t>
      </w:r>
    </w:p>
    <w:p>
      <w:pPr>
        <w:tabs>
          <w:tab w:val="left" w:pos="1985"/>
        </w:tabs>
        <w:adjustRightInd w:val="0"/>
        <w:spacing w:line="440" w:lineRule="exact"/>
        <w:ind w:firstLine="480" w:firstLineChars="200"/>
        <w:rPr>
          <w:rFonts w:asciiTheme="majorEastAsia" w:hAnsiTheme="majorEastAsia" w:eastAsiaTheme="majorEastAsia"/>
          <w:b/>
          <w:sz w:val="24"/>
        </w:rPr>
      </w:pPr>
      <w:r>
        <w:rPr>
          <w:rFonts w:hint="eastAsia" w:ascii="宋体" w:hAnsi="宋体" w:cs="宋体"/>
          <w:sz w:val="24"/>
        </w:rPr>
        <w:t>▲</w:t>
      </w:r>
      <w:r>
        <w:rPr>
          <w:rFonts w:hint="eastAsia" w:asciiTheme="majorEastAsia" w:hAnsiTheme="majorEastAsia" w:eastAsiaTheme="majorEastAsia"/>
          <w:b/>
          <w:sz w:val="24"/>
        </w:rPr>
        <w:t>3、其他费用20万元，用于采购人要求中标人完成合同外临时性保障和创新奖励等不可预见情况发生的费用,具体按实结算。费用支出由采购人确认后，根据中标单位提供的明细清单和税务发票，在15个工作日内完成支付。</w:t>
      </w:r>
    </w:p>
    <w:p>
      <w:pPr>
        <w:snapToGrid w:val="0"/>
        <w:spacing w:line="360" w:lineRule="auto"/>
        <w:ind w:firstLine="420" w:firstLineChars="200"/>
        <w:outlineLvl w:val="1"/>
      </w:pPr>
    </w:p>
    <w:p>
      <w:pPr>
        <w:pStyle w:val="12"/>
        <w:spacing w:beforeLines="0" w:afterLines="0" w:line="360" w:lineRule="auto"/>
        <w:outlineLvl w:val="0"/>
        <w:rPr>
          <w:rFonts w:hAnsi="宋体"/>
          <w:b/>
        </w:rPr>
      </w:pPr>
      <w:r>
        <w:rPr>
          <w:rFonts w:hint="eastAsia" w:hAnsi="宋体"/>
          <w:b/>
        </w:rPr>
        <w:t>六、</w:t>
      </w:r>
      <w:r>
        <w:rPr>
          <w:rFonts w:hAnsi="宋体"/>
          <w:b/>
        </w:rPr>
        <w:t>商务要求</w:t>
      </w:r>
    </w:p>
    <w:tbl>
      <w:tblPr>
        <w:tblStyle w:val="24"/>
        <w:tblW w:w="92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7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85"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服务时间</w:t>
            </w:r>
          </w:p>
        </w:tc>
        <w:tc>
          <w:tcPr>
            <w:tcW w:w="7255"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宋体" w:hAnsi="宋体" w:cs="宋体"/>
                <w:sz w:val="24"/>
              </w:rPr>
              <w:t>▲服务时间：</w:t>
            </w:r>
            <w:r>
              <w:rPr>
                <w:rFonts w:hint="eastAsia" w:asciiTheme="majorEastAsia" w:hAnsiTheme="majorEastAsia" w:eastAsiaTheme="majorEastAsia"/>
                <w:sz w:val="24"/>
              </w:rPr>
              <w:t>合同签订之日起2年</w:t>
            </w:r>
          </w:p>
          <w:p>
            <w:pPr>
              <w:rPr>
                <w:rFonts w:ascii="宋体" w:hAnsi="宋体" w:cs="宋体"/>
                <w:sz w:val="24"/>
              </w:rPr>
            </w:pPr>
            <w:r>
              <w:rPr>
                <w:rFonts w:hint="eastAsia" w:ascii="宋体" w:hAnsi="宋体" w:cs="宋体"/>
                <w:sz w:val="24"/>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985"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付款方式</w:t>
            </w:r>
          </w:p>
        </w:tc>
        <w:tc>
          <w:tcPr>
            <w:tcW w:w="725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▲根据《保障中小企业款项支付条例》</w:t>
            </w:r>
            <w:r>
              <w:rPr>
                <w:rFonts w:ascii="宋体" w:hAnsi="宋体" w:cs="宋体"/>
                <w:sz w:val="24"/>
              </w:rPr>
              <w:t>、</w:t>
            </w:r>
            <w:r>
              <w:rPr>
                <w:rFonts w:hint="eastAsia" w:ascii="宋体" w:hAnsi="宋体" w:cs="宋体"/>
                <w:sz w:val="24"/>
              </w:rPr>
              <w:t>省财政厅《关于坚决打赢疫情防控阻击战进一步做好政府采购资金支持企业发展工作的通知》（浙财采监【2020】3号）要求，制定如下付款方式：</w:t>
            </w:r>
          </w:p>
          <w:p>
            <w:pPr>
              <w:spacing w:line="4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1、预付款：</w:t>
            </w:r>
            <w:r>
              <w:rPr>
                <w:rFonts w:hint="eastAsia" w:asciiTheme="majorEastAsia" w:hAnsiTheme="majorEastAsia" w:eastAsiaTheme="majorEastAsia"/>
                <w:sz w:val="24"/>
              </w:rPr>
              <w:t>合同生效及具备实施条件</w:t>
            </w:r>
            <w:r>
              <w:rPr>
                <w:rFonts w:hint="eastAsia" w:ascii="宋体" w:hAnsi="宋体" w:cs="宋体"/>
                <w:sz w:val="24"/>
              </w:rPr>
              <w:t>后7日内</w:t>
            </w:r>
            <w:r>
              <w:rPr>
                <w:rFonts w:hint="eastAsia" w:asciiTheme="majorEastAsia" w:hAnsiTheme="majorEastAsia" w:eastAsiaTheme="majorEastAsia"/>
                <w:sz w:val="24"/>
              </w:rPr>
              <w:t>支付当年服务费用的20%；</w:t>
            </w:r>
          </w:p>
          <w:p>
            <w:pPr>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2、剩余资金支付：</w:t>
            </w:r>
            <w:r>
              <w:rPr>
                <w:rFonts w:hint="eastAsia" w:asciiTheme="majorEastAsia" w:hAnsiTheme="majorEastAsia" w:eastAsiaTheme="majorEastAsia"/>
                <w:sz w:val="24"/>
              </w:rPr>
              <w:t>餐饮管理服务费按季度结算支付，中标人于每季度第三个月月未根据双方确认的餐饮管理服务费的结算金额开出该季度餐饮管理服务费的发票，采购人在收到正规税务发票后15日内付款。</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结算金额按以下公式计算：</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结算金额=年餐饮管理服务费的季平均金额</w:t>
            </w:r>
            <w:r>
              <w:rPr>
                <w:rFonts w:hint="eastAsia" w:ascii="宋体" w:hAnsi="宋体" w:cs="宋体"/>
                <w:sz w:val="24"/>
              </w:rPr>
              <w:t>＋（－）</w:t>
            </w:r>
            <w:r>
              <w:rPr>
                <w:rFonts w:hint="eastAsia" w:asciiTheme="majorEastAsia" w:hAnsiTheme="majorEastAsia" w:eastAsiaTheme="majorEastAsia"/>
                <w:sz w:val="24"/>
              </w:rPr>
              <w:t>季度考核奖罚金额。</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如中标单位为中小企业的，按照《保障中小企业款项支付条例》要求剩余资金支付期限不得超过30日；合同另有约定的，付款期限最长不得超过60日；付款期限自约定的检验或者验收期限届满之日起计算。</w:t>
            </w:r>
          </w:p>
          <w:p>
            <w:pPr>
              <w:snapToGrid w:val="0"/>
              <w:spacing w:line="360" w:lineRule="auto"/>
              <w:ind w:firstLine="480" w:firstLineChars="200"/>
              <w:rPr>
                <w:rFonts w:ascii="宋体" w:hAnsi="宋体" w:cs="仿宋_GB2312"/>
                <w:sz w:val="24"/>
              </w:rPr>
            </w:pPr>
            <w:r>
              <w:rPr>
                <w:rFonts w:hint="eastAsia" w:ascii="宋体" w:hAnsi="宋体" w:cs="仿宋_GB2312"/>
                <w:sz w:val="24"/>
              </w:rPr>
              <w:t>注:若中标供应商明确表示无需预付款或者主动要求降低预付款比例的，采购人可不适用前述规定。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985"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履约保证金</w:t>
            </w:r>
          </w:p>
        </w:tc>
        <w:tc>
          <w:tcPr>
            <w:tcW w:w="7255" w:type="dxa"/>
            <w:tcBorders>
              <w:top w:val="single" w:color="auto" w:sz="4" w:space="0"/>
              <w:left w:val="single" w:color="auto" w:sz="4" w:space="0"/>
              <w:bottom w:val="single" w:color="auto" w:sz="4" w:space="0"/>
              <w:right w:val="single" w:color="auto" w:sz="4" w:space="0"/>
            </w:tcBorders>
          </w:tcPr>
          <w:p>
            <w:pPr>
              <w:pStyle w:val="32"/>
              <w:numPr>
                <w:ilvl w:val="0"/>
                <w:numId w:val="0"/>
              </w:numPr>
              <w:tabs>
                <w:tab w:val="left" w:pos="900"/>
                <w:tab w:val="left" w:pos="980"/>
                <w:tab w:val="left" w:pos="1710"/>
              </w:tabs>
              <w:spacing w:before="120" w:after="120" w:line="460" w:lineRule="exact"/>
              <w:rPr>
                <w:rFonts w:ascii="宋体" w:hAnsi="宋体" w:cs="宋体"/>
                <w:sz w:val="24"/>
              </w:rPr>
            </w:pPr>
            <w:r>
              <w:rPr>
                <w:rFonts w:hint="eastAsia" w:ascii="宋体" w:hAnsi="宋体" w:cs="宋体"/>
                <w:sz w:val="24"/>
              </w:rPr>
              <w:t>▲</w:t>
            </w:r>
            <w:r>
              <w:rPr>
                <w:rFonts w:ascii="宋体" w:hAnsi="宋体" w:cs="宋体"/>
                <w:sz w:val="24"/>
              </w:rPr>
              <w:t>合同价的1%</w:t>
            </w:r>
            <w:r>
              <w:rPr>
                <w:rFonts w:hint="eastAsia" w:ascii="宋体" w:hAnsi="宋体" w:cs="宋体"/>
                <w:sz w:val="24"/>
              </w:rPr>
              <w:t>，履约保证金形式为：现金或银行、保险公司出具的保函；合同期限结束后由采购人无息退还。</w:t>
            </w:r>
          </w:p>
        </w:tc>
      </w:tr>
    </w:tbl>
    <w:p>
      <w:pPr>
        <w:spacing w:line="560" w:lineRule="exact"/>
        <w:jc w:val="left"/>
        <w:rPr>
          <w:rFonts w:ascii="宋体" w:hAnsi="宋体" w:cs="宋体"/>
          <w:b/>
          <w:kern w:val="0"/>
          <w:sz w:val="24"/>
          <w:szCs w:val="22"/>
        </w:rPr>
      </w:pPr>
      <w:r>
        <w:rPr>
          <w:rFonts w:hint="eastAsia" w:ascii="宋体" w:hAnsi="宋体" w:cs="宋体"/>
          <w:b/>
          <w:kern w:val="0"/>
          <w:sz w:val="24"/>
          <w:szCs w:val="22"/>
        </w:rPr>
        <w:t>注：1、本项目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为餐饮业。</w:t>
      </w:r>
    </w:p>
    <w:p>
      <w:pPr>
        <w:spacing w:line="560" w:lineRule="exact"/>
        <w:jc w:val="left"/>
        <w:rPr>
          <w:rFonts w:ascii="宋体" w:hAnsi="宋体" w:cs="宋体"/>
          <w:b/>
          <w:kern w:val="0"/>
          <w:sz w:val="24"/>
        </w:rPr>
      </w:pPr>
      <w:r>
        <w:rPr>
          <w:rFonts w:hint="eastAsia" w:ascii="宋体" w:hAnsi="宋体" w:cs="宋体"/>
          <w:b/>
          <w:kern w:val="0"/>
          <w:sz w:val="24"/>
        </w:rPr>
        <w:t>2.</w:t>
      </w:r>
      <w:r>
        <w:rPr>
          <w:rFonts w:ascii="宋体" w:hAnsi="宋体" w:cs="宋体"/>
          <w:b/>
          <w:kern w:val="0"/>
          <w:sz w:val="24"/>
        </w:rPr>
        <w:t>依据《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pPr>
        <w:spacing w:line="560" w:lineRule="exact"/>
        <w:ind w:firstLine="482"/>
        <w:jc w:val="left"/>
        <w:rPr>
          <w:rFonts w:ascii="宋体" w:hAnsi="宋体" w:cs="宋体"/>
          <w:b/>
          <w:kern w:val="0"/>
          <w:sz w:val="24"/>
        </w:rPr>
      </w:pPr>
      <w:r>
        <w:rPr>
          <w:rFonts w:ascii="宋体" w:hAnsi="宋体" w:cs="宋体"/>
          <w:b/>
          <w:kern w:val="0"/>
          <w:sz w:val="24"/>
        </w:rPr>
        <w:t>3</w:t>
      </w:r>
      <w:r>
        <w:rPr>
          <w:rFonts w:hint="eastAsia" w:ascii="宋体" w:hAnsi="宋体" w:cs="宋体"/>
          <w:b/>
          <w:kern w:val="0"/>
          <w:sz w:val="24"/>
        </w:rPr>
        <w:t>．带▲号项，投标单位必须响应，否则做无效标处理。</w:t>
      </w:r>
    </w:p>
    <w:p>
      <w:pPr>
        <w:pStyle w:val="5"/>
      </w:pPr>
    </w:p>
    <w:p>
      <w:pPr>
        <w:snapToGrid w:val="0"/>
        <w:spacing w:line="360" w:lineRule="auto"/>
        <w:jc w:val="center"/>
        <w:rPr>
          <w:rFonts w:ascii="黑体" w:hAnsi="宋体" w:eastAsia="黑体"/>
          <w:sz w:val="30"/>
          <w:szCs w:val="30"/>
        </w:rPr>
      </w:pPr>
    </w:p>
    <w:p>
      <w:pPr>
        <w:pStyle w:val="5"/>
      </w:pPr>
      <w:r>
        <w:br w:type="page"/>
      </w:r>
    </w:p>
    <w:p>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24"/>
        <w:tblW w:w="1028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93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项目名称：湖州市民服务中心机关二食堂餐饮管理服务项目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2</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3</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.不论投标结果如何，投标人均应自行承担所有与投标有关的全部费用。3.本项目招标代理服务费人民币肆万零陆佰贰拾元整(￥40620.00) ，由中标人全额支付。在中标通知书发出后当日内一次性结清。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4</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5</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6</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2023年11月16日17:00前，以书面形式要求招标采购单位作出书面解释、澄清或者向招标采购单位提出书面质疑；招标采购单位将于2023年11月17日前组织答疑；答疑内容是招标文件的组成部分，将在网上发布补充（答疑、澄清）文件，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8</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投标文件份数：1、“电子加密投标文件”：在线上传递交、一份。2、“备份投标文件”：一份。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。供应商应于2023年</w:t>
            </w:r>
            <w:r>
              <w:rPr>
                <w:rFonts w:hint="eastAsia" w:ascii="宋体" w:hAnsi="宋体"/>
                <w:sz w:val="24"/>
              </w:rPr>
              <w:fldChar w:fldCharType="end"/>
            </w:r>
            <w:r>
              <w:rPr>
                <w:rFonts w:hint="eastAsia" w:ascii="宋体" w:hAnsi="宋体"/>
                <w:sz w:val="24"/>
              </w:rPr>
              <w:t>11月23日17:00时前准时送达，拒绝到付。以收件人实际签收时间为准，逾期送达的将拒绝接收。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9</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电子加密投标文件的解密和异常情况处理：</w:t>
            </w:r>
          </w:p>
          <w:p>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开标时间及地点：2023年11月24日9：00时</w:t>
            </w:r>
          </w:p>
          <w:p>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10</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评标办法及评分标准：详见招标文件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11</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中标公告：中标供应商确定后，中标公告于浙江省政府采购网：</w:t>
            </w:r>
            <w:r>
              <w:rPr>
                <w:rFonts w:ascii="宋体" w:hAnsi="宋体"/>
                <w:sz w:val="24"/>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12</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13</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本项目的履约保证金：</w:t>
            </w:r>
            <w:r>
              <w:rPr>
                <w:rFonts w:ascii="宋体" w:hAnsi="宋体" w:cs="宋体"/>
                <w:sz w:val="24"/>
              </w:rPr>
              <w:t>本项目的履约保证金为合同价的1%；履约保证金形式为：现金或银行、保险公司出具的保函；中标人应根据采购人要求汇入采购人指定账号或提供保函。项目终验合格后，退还履约保证金。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14</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15</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16</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17</w:t>
            </w:r>
          </w:p>
        </w:tc>
        <w:tc>
          <w:tcPr>
            <w:tcW w:w="93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sz w:val="24"/>
              </w:rPr>
            </w:pPr>
            <w:r>
              <w:rPr>
                <w:rFonts w:hint="eastAsia" w:ascii="宋体" w:hAnsi="宋体"/>
                <w:sz w:val="24"/>
              </w:rPr>
              <w:t xml:space="preserve">招标单位：湖州市机关事务管理服务中心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szCs w:val="20"/>
              </w:rPr>
              <w:t>18</w:t>
            </w:r>
          </w:p>
        </w:tc>
        <w:tc>
          <w:tcPr>
            <w:tcW w:w="9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解释：本招标文件的解释权属于招标采购单位</w:t>
            </w:r>
          </w:p>
        </w:tc>
      </w:tr>
    </w:tbl>
    <w:p>
      <w:pPr>
        <w:pStyle w:val="12"/>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本招标文件适用于湖州市民服务中心机关二食堂餐饮管理服务项目的招标、评标、定标、验收、合同履约、付款等（法律、法规另有规定的，从其规定）。</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（湖州市机关事务管理服务中心 ）</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3"/>
        <w:snapToGrid w:val="0"/>
        <w:spacing w:line="360" w:lineRule="auto"/>
        <w:ind w:left="0" w:leftChars="0" w:firstLine="480" w:firstLineChars="20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600" w:firstLineChars="250"/>
        <w:jc w:val="left"/>
        <w:rPr>
          <w:rFonts w:ascii="宋体" w:hAnsi="宋体"/>
          <w:sz w:val="24"/>
        </w:rPr>
      </w:pPr>
      <w:r>
        <w:rPr>
          <w:rFonts w:hint="eastAsia" w:ascii="宋体" w:hAnsi="宋体"/>
          <w:sz w:val="24"/>
        </w:rPr>
        <w:t>2.本项目招标代理服务费人民币肆万零陆佰贰拾元整(￥40620.00) ，由中标人全额支付。在</w:t>
      </w:r>
      <w:r>
        <w:rPr>
          <w:rFonts w:hint="eastAsia" w:ascii="宋体" w:hAnsi="宋体"/>
          <w:bCs/>
          <w:sz w:val="24"/>
        </w:rPr>
        <w:t>中标通知书发出后</w:t>
      </w:r>
      <w:r>
        <w:rPr>
          <w:rFonts w:hint="eastAsia" w:ascii="宋体" w:hAnsi="宋体"/>
          <w:sz w:val="24"/>
        </w:rPr>
        <w:t>当日内一次性结清。</w:t>
      </w:r>
    </w:p>
    <w:p>
      <w:pPr>
        <w:snapToGrid w:val="0"/>
        <w:spacing w:line="360" w:lineRule="auto"/>
        <w:ind w:firstLine="482" w:firstLineChars="200"/>
        <w:jc w:val="left"/>
        <w:rPr>
          <w:rFonts w:ascii="宋体" w:hAnsi="宋体"/>
          <w:b/>
          <w:sz w:val="24"/>
        </w:rPr>
      </w:pPr>
      <w:r>
        <w:rPr>
          <w:rFonts w:hint="eastAsia" w:ascii="宋体" w:hAnsi="宋体"/>
          <w:b/>
          <w:sz w:val="24"/>
        </w:rPr>
        <w:t>（六）联合体投标</w:t>
      </w:r>
    </w:p>
    <w:p>
      <w:pPr>
        <w:snapToGrid w:val="0"/>
        <w:spacing w:line="360" w:lineRule="auto"/>
        <w:ind w:firstLine="480" w:firstLineChars="200"/>
        <w:jc w:val="left"/>
        <w:rPr>
          <w:rFonts w:ascii="宋体" w:hAnsi="宋体" w:cs="Arial"/>
          <w:sz w:val="24"/>
        </w:rPr>
      </w:pPr>
      <w:r>
        <w:rPr>
          <w:rFonts w:hint="eastAsia" w:ascii="宋体" w:hAnsi="宋体" w:cs="Arial"/>
          <w:sz w:val="24"/>
        </w:rPr>
        <w:t>本项目不接受联合体投标。</w:t>
      </w:r>
    </w:p>
    <w:p>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ascii="宋体" w:hAnsi="宋体"/>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w:t>
      </w:r>
      <w:r>
        <w:rPr>
          <w:rFonts w:hint="eastAsia" w:ascii="宋体" w:hAnsi="宋体" w:cs="宋体"/>
          <w:kern w:val="0"/>
          <w:sz w:val="24"/>
        </w:rPr>
        <w:t>不</w:t>
      </w:r>
      <w:r>
        <w:rPr>
          <w:rFonts w:ascii="宋体" w:hAnsi="宋体" w:cs="宋体"/>
          <w:kern w:val="0"/>
          <w:sz w:val="24"/>
        </w:rPr>
        <w:t>可以分包</w:t>
      </w:r>
      <w:r>
        <w:rPr>
          <w:rFonts w:hint="eastAsia" w:ascii="宋体" w:hAnsi="宋体"/>
          <w:sz w:val="24"/>
        </w:rPr>
        <w:t>。</w:t>
      </w:r>
    </w:p>
    <w:p>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12"/>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2.</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pPr>
        <w:pStyle w:val="12"/>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3.</w:t>
      </w:r>
      <w:r>
        <w:rPr>
          <w:rFonts w:hAnsi="宋体"/>
          <w:sz w:val="24"/>
        </w:rPr>
        <w:t>投标人应仔细阅读招标文件的所有内容，按照招标文件的要求提交投标文件，并对所提供的全部资料的真实性承担法律责任。</w:t>
      </w:r>
    </w:p>
    <w:p>
      <w:pPr>
        <w:pStyle w:val="12"/>
        <w:snapToGrid w:val="0"/>
        <w:spacing w:beforeLines="0" w:afterLines="0" w:line="360" w:lineRule="auto"/>
        <w:ind w:left="2" w:leftChars="1" w:firstLine="480" w:firstLineChars="200"/>
        <w:rPr>
          <w:rFonts w:hAnsi="宋体"/>
          <w:b/>
          <w:sz w:val="24"/>
        </w:rPr>
      </w:pPr>
      <w:r>
        <w:rPr>
          <w:rFonts w:hAnsi="宋体"/>
          <w:sz w:val="24"/>
        </w:rPr>
        <w:t>▲</w:t>
      </w:r>
      <w:r>
        <w:rPr>
          <w:rFonts w:hint="eastAsia" w:hAnsi="宋体"/>
          <w:sz w:val="24"/>
        </w:rPr>
        <w:t>4.</w:t>
      </w:r>
      <w:r>
        <w:rPr>
          <w:rFonts w:hAnsi="宋体"/>
          <w:sz w:val="24"/>
        </w:rPr>
        <w:t>投标人在投标活动中提供任何虚假材料,其投标无效，并报监管部门查处；中标后发现的,中标人须依照《中华人民共和国消费者权益保护法》第49条之规定双倍赔偿采购人</w:t>
      </w:r>
      <w:r>
        <w:rPr>
          <w:rFonts w:hint="eastAsia" w:hAnsi="宋体"/>
          <w:sz w:val="24"/>
        </w:rPr>
        <w:t>，</w:t>
      </w:r>
      <w:r>
        <w:rPr>
          <w:rFonts w:hAnsi="宋体"/>
          <w:sz w:val="24"/>
        </w:rPr>
        <w:t>且民事赔偿并不免除违法投标人的行政与刑事责任。</w:t>
      </w:r>
    </w:p>
    <w:p>
      <w:pPr>
        <w:pStyle w:val="12"/>
        <w:snapToGrid w:val="0"/>
        <w:spacing w:beforeLines="0" w:afterLines="0" w:line="360" w:lineRule="auto"/>
        <w:ind w:firstLine="472" w:firstLineChars="196"/>
        <w:outlineLvl w:val="1"/>
        <w:rPr>
          <w:rFonts w:hAnsi="宋体"/>
          <w:b/>
          <w:bCs/>
          <w:sz w:val="24"/>
        </w:rPr>
      </w:pPr>
      <w:r>
        <w:rPr>
          <w:rFonts w:hAnsi="宋体"/>
          <w:b/>
          <w:bCs/>
          <w:sz w:val="24"/>
        </w:rPr>
        <w:t>（九）质疑和投诉</w:t>
      </w:r>
    </w:p>
    <w:p>
      <w:pPr>
        <w:pStyle w:val="12"/>
        <w:snapToGrid w:val="0"/>
        <w:spacing w:beforeLines="0" w:afterLines="0" w:line="360" w:lineRule="auto"/>
        <w:ind w:left="2" w:leftChars="1" w:firstLine="480" w:firstLineChars="200"/>
        <w:rPr>
          <w:rFonts w:hAnsi="宋体"/>
          <w:sz w:val="24"/>
        </w:rPr>
      </w:pPr>
      <w:r>
        <w:rPr>
          <w:rFonts w:hint="eastAsia" w:hAnsi="宋体"/>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rPr>
        <w:t>以书面形式向采购人、采购代理机构提出质疑</w:t>
      </w:r>
      <w:r>
        <w:rPr>
          <w:rFonts w:hint="eastAsia" w:hAnsi="宋体"/>
          <w:sz w:val="24"/>
        </w:rPr>
        <w:t>，并电话联系代理公司，由代理公司书面回复“已知悉”，否则代理公司有权不予认可该质疑</w:t>
      </w:r>
      <w:r>
        <w:rPr>
          <w:rFonts w:hAnsi="宋体"/>
          <w:sz w:val="24"/>
        </w:rPr>
        <w:t>。</w:t>
      </w:r>
    </w:p>
    <w:p>
      <w:pPr>
        <w:pStyle w:val="12"/>
        <w:snapToGrid w:val="0"/>
        <w:spacing w:beforeLines="0" w:afterLines="0" w:line="360" w:lineRule="auto"/>
        <w:ind w:left="2" w:leftChars="1" w:firstLine="480" w:firstLineChars="200"/>
        <w:rPr>
          <w:rFonts w:hAnsi="宋体"/>
          <w:sz w:val="24"/>
        </w:rPr>
      </w:pPr>
      <w:r>
        <w:rPr>
          <w:rFonts w:hint="eastAsia" w:hAnsi="宋体"/>
          <w:sz w:val="24"/>
        </w:rPr>
        <w:t>供应商在法定质疑期内一次性提出针对同一采购程序环节的质疑。</w:t>
      </w:r>
    </w:p>
    <w:p>
      <w:pPr>
        <w:pStyle w:val="12"/>
        <w:snapToGrid w:val="0"/>
        <w:spacing w:beforeLines="0" w:afterLines="0" w:line="360" w:lineRule="auto"/>
        <w:ind w:left="2" w:leftChars="1" w:firstLine="480" w:firstLineChars="200"/>
        <w:rPr>
          <w:rFonts w:hAnsi="宋体"/>
          <w:sz w:val="24"/>
        </w:rPr>
      </w:pPr>
      <w:r>
        <w:rPr>
          <w:rFonts w:hint="eastAsia" w:hAnsi="宋体"/>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pStyle w:val="12"/>
        <w:snapToGrid w:val="0"/>
        <w:spacing w:beforeLines="0" w:afterLines="0" w:line="360" w:lineRule="auto"/>
        <w:ind w:left="2" w:leftChars="1" w:firstLine="480" w:firstLineChars="200"/>
        <w:rPr>
          <w:rFonts w:hAnsi="宋体"/>
          <w:sz w:val="24"/>
        </w:rPr>
      </w:pPr>
      <w:r>
        <w:rPr>
          <w:rFonts w:hint="eastAsia" w:hAnsi="宋体"/>
          <w:sz w:val="24"/>
        </w:rPr>
        <w:t>2.供应商提出质疑应当提交质疑函和必要的证明材料。质疑函应当包括下列内容：</w:t>
      </w:r>
    </w:p>
    <w:p>
      <w:pPr>
        <w:pStyle w:val="12"/>
        <w:snapToGrid w:val="0"/>
        <w:spacing w:beforeLines="0" w:afterLines="0" w:line="360" w:lineRule="auto"/>
        <w:ind w:left="2" w:leftChars="1" w:firstLine="480" w:firstLineChars="200"/>
        <w:rPr>
          <w:rFonts w:hAnsi="宋体"/>
          <w:sz w:val="24"/>
        </w:rPr>
      </w:pPr>
      <w:r>
        <w:rPr>
          <w:rFonts w:hint="eastAsia" w:hAnsi="宋体"/>
          <w:sz w:val="24"/>
        </w:rPr>
        <w:t>1）供应商的姓名或者名称、地址、邮编、联系人及联系电话；</w:t>
      </w:r>
    </w:p>
    <w:p>
      <w:pPr>
        <w:pStyle w:val="12"/>
        <w:snapToGrid w:val="0"/>
        <w:spacing w:beforeLines="0" w:afterLines="0" w:line="360" w:lineRule="auto"/>
        <w:ind w:left="2" w:leftChars="1" w:firstLine="480" w:firstLineChars="200"/>
        <w:rPr>
          <w:rFonts w:hAnsi="宋体"/>
          <w:sz w:val="24"/>
        </w:rPr>
      </w:pPr>
      <w:r>
        <w:rPr>
          <w:rFonts w:hint="eastAsia" w:hAnsi="宋体"/>
          <w:sz w:val="24"/>
        </w:rPr>
        <w:t>2）质疑项目的名称、编号；</w:t>
      </w:r>
    </w:p>
    <w:p>
      <w:pPr>
        <w:pStyle w:val="12"/>
        <w:snapToGrid w:val="0"/>
        <w:spacing w:beforeLines="0" w:afterLines="0" w:line="360" w:lineRule="auto"/>
        <w:ind w:left="2" w:leftChars="1" w:firstLine="480" w:firstLineChars="200"/>
        <w:rPr>
          <w:rFonts w:hAnsi="宋体"/>
          <w:sz w:val="24"/>
        </w:rPr>
      </w:pPr>
      <w:r>
        <w:rPr>
          <w:rFonts w:hint="eastAsia" w:hAnsi="宋体"/>
          <w:sz w:val="24"/>
        </w:rPr>
        <w:t>3）具体、明确的质疑事项和与质疑事项相关的请求；</w:t>
      </w:r>
    </w:p>
    <w:p>
      <w:pPr>
        <w:pStyle w:val="12"/>
        <w:snapToGrid w:val="0"/>
        <w:spacing w:beforeLines="0" w:afterLines="0" w:line="360" w:lineRule="auto"/>
        <w:ind w:left="2" w:leftChars="1" w:firstLine="480" w:firstLineChars="200"/>
        <w:rPr>
          <w:rFonts w:hAnsi="宋体"/>
          <w:sz w:val="24"/>
        </w:rPr>
      </w:pPr>
      <w:r>
        <w:rPr>
          <w:rFonts w:hint="eastAsia" w:hAnsi="宋体"/>
          <w:sz w:val="24"/>
        </w:rPr>
        <w:t>4）事实依据；</w:t>
      </w:r>
    </w:p>
    <w:p>
      <w:pPr>
        <w:pStyle w:val="12"/>
        <w:snapToGrid w:val="0"/>
        <w:spacing w:beforeLines="0" w:afterLines="0" w:line="360" w:lineRule="auto"/>
        <w:ind w:left="2" w:leftChars="1" w:firstLine="480" w:firstLineChars="200"/>
        <w:rPr>
          <w:rFonts w:hAnsi="宋体"/>
          <w:sz w:val="24"/>
        </w:rPr>
      </w:pPr>
      <w:r>
        <w:rPr>
          <w:rFonts w:hint="eastAsia" w:hAnsi="宋体"/>
          <w:sz w:val="24"/>
        </w:rPr>
        <w:t>5）必要的法律依据；</w:t>
      </w:r>
    </w:p>
    <w:p>
      <w:pPr>
        <w:pStyle w:val="12"/>
        <w:snapToGrid w:val="0"/>
        <w:spacing w:beforeLines="0" w:afterLines="0" w:line="360" w:lineRule="auto"/>
        <w:ind w:left="2" w:leftChars="1" w:firstLine="480" w:firstLineChars="200"/>
        <w:rPr>
          <w:rFonts w:hAnsi="宋体"/>
          <w:sz w:val="24"/>
        </w:rPr>
      </w:pPr>
      <w:r>
        <w:rPr>
          <w:rFonts w:hint="eastAsia" w:hAnsi="宋体"/>
          <w:sz w:val="24"/>
        </w:rPr>
        <w:t>6）提出质疑的日期。</w:t>
      </w:r>
    </w:p>
    <w:p>
      <w:pPr>
        <w:pStyle w:val="12"/>
        <w:snapToGrid w:val="0"/>
        <w:spacing w:beforeLines="0" w:afterLines="0" w:line="360" w:lineRule="auto"/>
        <w:ind w:left="2" w:leftChars="1" w:firstLine="480" w:firstLineChars="200"/>
        <w:rPr>
          <w:rFonts w:hAnsi="宋体"/>
          <w:sz w:val="24"/>
        </w:rPr>
      </w:pPr>
      <w:r>
        <w:rPr>
          <w:rFonts w:hint="eastAsia" w:hAnsi="宋体"/>
          <w:sz w:val="24"/>
        </w:rPr>
        <w:t>3.投诉人提起投诉应当符合下列条件：</w:t>
      </w:r>
    </w:p>
    <w:p>
      <w:pPr>
        <w:pStyle w:val="12"/>
        <w:snapToGrid w:val="0"/>
        <w:spacing w:beforeLines="0" w:afterLines="0" w:line="360" w:lineRule="auto"/>
        <w:ind w:left="2" w:leftChars="1" w:firstLine="480" w:firstLineChars="200"/>
        <w:rPr>
          <w:rFonts w:hAnsi="宋体"/>
          <w:sz w:val="24"/>
        </w:rPr>
      </w:pPr>
      <w:r>
        <w:rPr>
          <w:rFonts w:hint="eastAsia" w:hAnsi="宋体"/>
          <w:sz w:val="24"/>
        </w:rPr>
        <w:t>1）提起投诉前已依法进行质疑；</w:t>
      </w:r>
    </w:p>
    <w:p>
      <w:pPr>
        <w:pStyle w:val="12"/>
        <w:snapToGrid w:val="0"/>
        <w:spacing w:beforeLines="0" w:afterLines="0" w:line="360" w:lineRule="auto"/>
        <w:ind w:left="2" w:leftChars="1" w:firstLine="480" w:firstLineChars="200"/>
        <w:rPr>
          <w:rFonts w:hAnsi="宋体"/>
          <w:sz w:val="24"/>
        </w:rPr>
      </w:pPr>
      <w:r>
        <w:rPr>
          <w:rFonts w:hint="eastAsia" w:hAnsi="宋体"/>
          <w:sz w:val="24"/>
        </w:rPr>
        <w:t>2）投诉书内容符合本办法的规定；</w:t>
      </w:r>
    </w:p>
    <w:p>
      <w:pPr>
        <w:pStyle w:val="12"/>
        <w:snapToGrid w:val="0"/>
        <w:spacing w:beforeLines="0" w:afterLines="0" w:line="360" w:lineRule="auto"/>
        <w:ind w:left="2" w:leftChars="1" w:firstLine="480" w:firstLineChars="200"/>
        <w:rPr>
          <w:rFonts w:hAnsi="宋体"/>
          <w:sz w:val="24"/>
        </w:rPr>
      </w:pPr>
      <w:r>
        <w:rPr>
          <w:rFonts w:hint="eastAsia" w:hAnsi="宋体"/>
          <w:sz w:val="24"/>
        </w:rPr>
        <w:t>3）在投诉有效期限内提起投诉；</w:t>
      </w:r>
    </w:p>
    <w:p>
      <w:pPr>
        <w:pStyle w:val="12"/>
        <w:snapToGrid w:val="0"/>
        <w:spacing w:beforeLines="0" w:afterLines="0" w:line="360" w:lineRule="auto"/>
        <w:ind w:left="2" w:leftChars="1" w:firstLine="480" w:firstLineChars="200"/>
        <w:rPr>
          <w:rFonts w:hAnsi="宋体"/>
          <w:sz w:val="24"/>
        </w:rPr>
      </w:pPr>
      <w:r>
        <w:rPr>
          <w:rFonts w:hint="eastAsia" w:hAnsi="宋体"/>
          <w:sz w:val="24"/>
        </w:rPr>
        <w:t>4）同一投诉事项未经财政部门投诉处理；</w:t>
      </w:r>
    </w:p>
    <w:p>
      <w:pPr>
        <w:pStyle w:val="12"/>
        <w:snapToGrid w:val="0"/>
        <w:spacing w:beforeLines="0" w:afterLines="0" w:line="360" w:lineRule="auto"/>
        <w:ind w:left="2" w:leftChars="1" w:firstLine="480" w:firstLineChars="200"/>
        <w:rPr>
          <w:rFonts w:hAnsi="宋体"/>
          <w:sz w:val="24"/>
        </w:rPr>
      </w:pPr>
      <w:r>
        <w:rPr>
          <w:rFonts w:hint="eastAsia" w:hAnsi="宋体"/>
          <w:sz w:val="24"/>
        </w:rPr>
        <w:t>5）财政部规定的其他条件。</w:t>
      </w:r>
    </w:p>
    <w:p>
      <w:pPr>
        <w:pStyle w:val="12"/>
        <w:snapToGrid w:val="0"/>
        <w:spacing w:beforeLines="0" w:afterLines="0" w:line="360" w:lineRule="auto"/>
        <w:ind w:left="2" w:leftChars="1" w:firstLine="480" w:firstLineChars="200"/>
        <w:rPr>
          <w:rFonts w:hAnsi="宋体"/>
          <w:sz w:val="24"/>
        </w:rPr>
      </w:pPr>
      <w:r>
        <w:rPr>
          <w:rFonts w:hint="eastAsia" w:hAnsi="宋体"/>
          <w:sz w:val="24"/>
        </w:rPr>
        <w:t>4.投诉人投诉时,应当提交投诉书和必要的证明材料，并按照被投诉采购人、采购代理机构和与投诉事项有关的供应商数量提供投诉书的副本。投诉书应当包括下列内容：</w:t>
      </w:r>
    </w:p>
    <w:p>
      <w:pPr>
        <w:pStyle w:val="12"/>
        <w:snapToGrid w:val="0"/>
        <w:spacing w:beforeLines="0" w:afterLines="0" w:line="360" w:lineRule="auto"/>
        <w:ind w:left="2" w:leftChars="1" w:firstLine="480" w:firstLineChars="200"/>
        <w:rPr>
          <w:rFonts w:hAnsi="宋体"/>
          <w:sz w:val="24"/>
        </w:rPr>
      </w:pPr>
      <w:r>
        <w:rPr>
          <w:rFonts w:hint="eastAsia" w:hAnsi="宋体"/>
          <w:sz w:val="24"/>
        </w:rPr>
        <w:t>1）投诉人和被投诉人的姓名或者名称、通讯地址、邮编、联系人及联系电话；</w:t>
      </w:r>
    </w:p>
    <w:p>
      <w:pPr>
        <w:pStyle w:val="12"/>
        <w:snapToGrid w:val="0"/>
        <w:spacing w:beforeLines="0" w:afterLines="0" w:line="360" w:lineRule="auto"/>
        <w:ind w:left="2" w:leftChars="1" w:firstLine="480" w:firstLineChars="200"/>
        <w:rPr>
          <w:rFonts w:hAnsi="宋体"/>
          <w:sz w:val="24"/>
        </w:rPr>
      </w:pPr>
      <w:r>
        <w:rPr>
          <w:rFonts w:hint="eastAsia" w:hAnsi="宋体"/>
          <w:sz w:val="24"/>
        </w:rPr>
        <w:t>2）质疑和质疑答复情况说明及相关证明材料；</w:t>
      </w:r>
    </w:p>
    <w:p>
      <w:pPr>
        <w:pStyle w:val="12"/>
        <w:snapToGrid w:val="0"/>
        <w:spacing w:beforeLines="0" w:afterLines="0" w:line="360" w:lineRule="auto"/>
        <w:ind w:left="2" w:leftChars="1" w:firstLine="480" w:firstLineChars="200"/>
        <w:rPr>
          <w:rFonts w:hAnsi="宋体"/>
          <w:sz w:val="24"/>
        </w:rPr>
      </w:pPr>
      <w:r>
        <w:rPr>
          <w:rFonts w:hint="eastAsia" w:hAnsi="宋体"/>
          <w:sz w:val="24"/>
        </w:rPr>
        <w:t>3）具体、明确的投诉事项和与投诉事项相关的投诉请求；</w:t>
      </w:r>
    </w:p>
    <w:p>
      <w:pPr>
        <w:pStyle w:val="12"/>
        <w:snapToGrid w:val="0"/>
        <w:spacing w:beforeLines="0" w:afterLines="0" w:line="360" w:lineRule="auto"/>
        <w:ind w:left="2" w:leftChars="1" w:firstLine="480" w:firstLineChars="200"/>
        <w:rPr>
          <w:rFonts w:hAnsi="宋体"/>
          <w:sz w:val="24"/>
        </w:rPr>
      </w:pPr>
      <w:r>
        <w:rPr>
          <w:rFonts w:hint="eastAsia" w:hAnsi="宋体"/>
          <w:sz w:val="24"/>
        </w:rPr>
        <w:t>4）事实依据；</w:t>
      </w:r>
    </w:p>
    <w:p>
      <w:pPr>
        <w:pStyle w:val="12"/>
        <w:snapToGrid w:val="0"/>
        <w:spacing w:beforeLines="0" w:afterLines="0" w:line="360" w:lineRule="auto"/>
        <w:ind w:left="2" w:leftChars="1" w:firstLine="480" w:firstLineChars="200"/>
        <w:rPr>
          <w:rFonts w:hAnsi="宋体"/>
          <w:sz w:val="24"/>
        </w:rPr>
      </w:pPr>
      <w:r>
        <w:rPr>
          <w:rFonts w:hint="eastAsia" w:hAnsi="宋体"/>
          <w:sz w:val="24"/>
        </w:rPr>
        <w:t>5）法律依据；</w:t>
      </w:r>
    </w:p>
    <w:p>
      <w:pPr>
        <w:pStyle w:val="12"/>
        <w:snapToGrid w:val="0"/>
        <w:spacing w:beforeLines="0" w:afterLines="0" w:line="360" w:lineRule="auto"/>
        <w:ind w:left="2" w:leftChars="1" w:firstLine="480" w:firstLineChars="200"/>
        <w:rPr>
          <w:rFonts w:hAnsi="宋体"/>
          <w:sz w:val="24"/>
        </w:rPr>
      </w:pPr>
      <w:r>
        <w:rPr>
          <w:rFonts w:hint="eastAsia" w:hAnsi="宋体"/>
          <w:sz w:val="24"/>
        </w:rPr>
        <w:t>6）提起投诉的日期。</w:t>
      </w:r>
    </w:p>
    <w:p>
      <w:pPr>
        <w:pStyle w:val="12"/>
        <w:snapToGrid w:val="0"/>
        <w:spacing w:beforeLines="0" w:afterLines="0" w:line="360" w:lineRule="auto"/>
        <w:ind w:left="2" w:leftChars="1" w:firstLine="480" w:firstLineChars="200"/>
        <w:rPr>
          <w:rFonts w:hAnsi="宋体"/>
          <w:sz w:val="24"/>
        </w:rPr>
      </w:pPr>
      <w:r>
        <w:rPr>
          <w:rFonts w:hAnsi="宋体"/>
          <w:sz w:val="24"/>
        </w:rPr>
        <w:t>质疑供应商对采购人、采购代理机构的答复不满意，或者采购人、采购代理机构未在规定时间内作出答复的，可以在答复期满后15个工作日内向本办法第六条规定的财政部门提起投诉。</w:t>
      </w:r>
    </w:p>
    <w:p>
      <w:pPr>
        <w:pStyle w:val="12"/>
        <w:snapToGrid w:val="0"/>
        <w:spacing w:beforeLines="0" w:afterLines="0" w:line="360" w:lineRule="auto"/>
        <w:ind w:left="2" w:leftChars="1" w:firstLine="480" w:firstLineChars="200"/>
        <w:rPr>
          <w:rFonts w:hAnsi="宋体"/>
          <w:sz w:val="24"/>
        </w:rPr>
      </w:pPr>
      <w:r>
        <w:rPr>
          <w:rFonts w:hint="eastAsia" w:hAnsi="宋体"/>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12"/>
        <w:snapToGrid w:val="0"/>
        <w:spacing w:beforeLines="0" w:afterLines="0" w:line="360" w:lineRule="auto"/>
        <w:ind w:left="2" w:leftChars="1" w:firstLine="480" w:firstLineChars="200"/>
        <w:rPr>
          <w:rFonts w:hAnsi="宋体"/>
          <w:sz w:val="24"/>
        </w:rPr>
      </w:pPr>
      <w:r>
        <w:rPr>
          <w:rFonts w:hint="eastAsia" w:hAnsi="宋体"/>
          <w:sz w:val="24"/>
        </w:rPr>
        <w:t>5.质疑函须采用财政部发布的政府采购供应商质疑函范本（参考样式可从</w:t>
      </w:r>
      <w:r>
        <w:rPr>
          <w:rFonts w:hAnsi="宋体"/>
          <w:sz w:val="24"/>
        </w:rPr>
        <w:t>浙江政府采购网下载专区下载</w:t>
      </w:r>
      <w:r>
        <w:rPr>
          <w:rFonts w:hint="eastAsia" w:hAnsi="宋体"/>
          <w:sz w:val="24"/>
        </w:rPr>
        <w:t>），否则采购代理机构有权要求质疑供应商改正后重新提出。</w:t>
      </w:r>
    </w:p>
    <w:p>
      <w:pPr>
        <w:pStyle w:val="12"/>
        <w:snapToGrid w:val="0"/>
        <w:spacing w:beforeLines="0" w:afterLines="0" w:line="360" w:lineRule="auto"/>
        <w:ind w:firstLine="472" w:firstLineChars="196"/>
        <w:outlineLvl w:val="0"/>
        <w:rPr>
          <w:rFonts w:hAnsi="宋体"/>
          <w:b/>
          <w:sz w:val="24"/>
        </w:rPr>
      </w:pPr>
      <w:r>
        <w:rPr>
          <w:rFonts w:hAnsi="宋体"/>
          <w:b/>
          <w:sz w:val="24"/>
        </w:rPr>
        <w:t>二  招标文件</w:t>
      </w:r>
    </w:p>
    <w:p>
      <w:pPr>
        <w:snapToGrid w:val="0"/>
        <w:spacing w:line="360" w:lineRule="auto"/>
        <w:ind w:firstLine="472" w:firstLineChars="196"/>
        <w:jc w:val="left"/>
        <w:rPr>
          <w:rFonts w:ascii="宋体" w:hAnsi="宋体"/>
          <w:b/>
          <w:sz w:val="24"/>
        </w:rPr>
      </w:pPr>
      <w:r>
        <w:rPr>
          <w:rFonts w:hint="eastAsia" w:ascii="宋体" w:hAnsi="宋体"/>
          <w:b/>
          <w:sz w:val="24"/>
        </w:rPr>
        <w:t>（一）招标文件的构成。本招标文件由以下部分组成：</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line="360" w:lineRule="auto"/>
        <w:ind w:firstLine="472" w:firstLineChars="196"/>
        <w:jc w:val="left"/>
        <w:rPr>
          <w:rFonts w:ascii="宋体" w:hAnsi="宋体"/>
          <w:b/>
          <w:sz w:val="24"/>
        </w:rPr>
      </w:pPr>
      <w:r>
        <w:rPr>
          <w:rFonts w:hint="eastAsia" w:ascii="宋体" w:hAnsi="宋体"/>
          <w:b/>
          <w:sz w:val="24"/>
        </w:rPr>
        <w:t>（二）投标人的风险</w:t>
      </w:r>
    </w:p>
    <w:p>
      <w:pPr>
        <w:pStyle w:val="21"/>
        <w:spacing w:line="360" w:lineRule="auto"/>
        <w:ind w:left="0" w:leftChars="0" w:firstLine="480" w:firstLineChars="200"/>
        <w:rPr>
          <w:rFonts w:ascii="宋体"/>
          <w:sz w:val="24"/>
          <w:szCs w:val="24"/>
        </w:rPr>
      </w:pPr>
      <w:r>
        <w:rPr>
          <w:rFonts w:hint="eastAsia" w:ascii="宋体"/>
          <w:sz w:val="24"/>
          <w:szCs w:val="24"/>
        </w:rPr>
        <w:t>投标人没有按照招标文件要求提供全部资料，或者投标人没有对招标文件在各方面作出实质性响应是投标人的风险，并可能导致其投标被拒绝。</w:t>
      </w:r>
    </w:p>
    <w:p>
      <w:pPr>
        <w:pStyle w:val="9"/>
        <w:numPr>
          <w:ilvl w:val="0"/>
          <w:numId w:val="0"/>
        </w:numPr>
        <w:tabs>
          <w:tab w:val="left" w:pos="720"/>
        </w:tabs>
        <w:snapToGrid w:val="0"/>
        <w:spacing w:line="360" w:lineRule="auto"/>
        <w:ind w:left="413"/>
        <w:rPr>
          <w:rFonts w:ascii="宋体" w:hAnsi="宋体"/>
          <w:b/>
        </w:rPr>
      </w:pPr>
      <w:r>
        <w:rPr>
          <w:rFonts w:hint="eastAsia" w:ascii="宋体" w:hAnsi="宋体"/>
          <w:b/>
        </w:rPr>
        <w:t>（三）招标文件的澄清与修改</w:t>
      </w:r>
    </w:p>
    <w:p>
      <w:pPr>
        <w:pStyle w:val="12"/>
        <w:snapToGrid w:val="0"/>
        <w:spacing w:beforeLines="0" w:afterLines="0" w:line="360" w:lineRule="auto"/>
        <w:ind w:firstLine="480" w:firstLineChars="200"/>
        <w:rPr>
          <w:rFonts w:hAnsi="宋体"/>
          <w:sz w:val="24"/>
        </w:rPr>
      </w:pPr>
      <w:r>
        <w:rPr>
          <w:rFonts w:hAnsi="宋体"/>
          <w:sz w:val="24"/>
        </w:rPr>
        <w:t>1</w:t>
      </w:r>
      <w:r>
        <w:rPr>
          <w:rFonts w:hint="eastAsia" w:hAnsi="宋体"/>
          <w:sz w:val="24"/>
        </w:rPr>
        <w:t>.</w:t>
      </w:r>
      <w:r>
        <w:rPr>
          <w:rFonts w:hAnsi="宋体"/>
          <w:bCs/>
          <w:sz w:val="24"/>
        </w:rPr>
        <w:t>投标人应认真阅读本招标文件，发现其中有误或有不合理要求的，投标人必须在</w:t>
      </w:r>
      <w:r>
        <w:rPr>
          <w:rFonts w:hint="eastAsia" w:hAnsi="宋体"/>
          <w:bCs/>
          <w:sz w:val="24"/>
        </w:rPr>
        <w:t>2023年11月16日17：00</w:t>
      </w:r>
      <w:r>
        <w:rPr>
          <w:rFonts w:hAnsi="宋体"/>
          <w:bCs/>
          <w:sz w:val="24"/>
        </w:rPr>
        <w:t>前以书面形式要求招标采购单位澄清。采购代理机构对已发出的招</w:t>
      </w:r>
      <w:r>
        <w:rPr>
          <w:rFonts w:hAnsi="宋体"/>
          <w:sz w:val="24"/>
        </w:rPr>
        <w:t>标文件进行必要澄清、答复、修改或补充的，应当在招标文件要求提交投标文件截止时间五日前，在财政部门指定的政府采购信息发布媒体上发布更正公告，并以书面形式通知所有招标文件收受人。</w:t>
      </w:r>
    </w:p>
    <w:p>
      <w:pPr>
        <w:pStyle w:val="12"/>
        <w:snapToGrid w:val="0"/>
        <w:spacing w:beforeLines="0" w:afterLines="0" w:line="360" w:lineRule="auto"/>
        <w:ind w:firstLine="480" w:firstLineChars="200"/>
        <w:rPr>
          <w:rFonts w:hAnsi="宋体"/>
          <w:sz w:val="24"/>
        </w:rPr>
      </w:pPr>
      <w:r>
        <w:rPr>
          <w:rFonts w:hAnsi="宋体"/>
          <w:sz w:val="24"/>
        </w:rPr>
        <w:t>2</w:t>
      </w:r>
      <w:r>
        <w:rPr>
          <w:rFonts w:hint="eastAsia" w:hAnsi="宋体"/>
          <w:sz w:val="24"/>
        </w:rPr>
        <w:t>.</w:t>
      </w:r>
      <w:r>
        <w:rPr>
          <w:rFonts w:hAnsi="宋体"/>
          <w:sz w:val="24"/>
        </w:rPr>
        <w:t>采购代理机构必须以书面形式答复投标人要求澄清的问题，并将不包含问题来源的答复书面通知所有购买招标文件的投标人；除书面答复以外的其他澄清方式及澄清内容均无效。</w:t>
      </w:r>
    </w:p>
    <w:p>
      <w:pPr>
        <w:pStyle w:val="12"/>
        <w:snapToGrid w:val="0"/>
        <w:spacing w:beforeLines="0" w:afterLines="0" w:line="360" w:lineRule="auto"/>
        <w:ind w:firstLine="480" w:firstLineChars="200"/>
        <w:rPr>
          <w:rFonts w:hAnsi="宋体"/>
          <w:sz w:val="24"/>
        </w:rPr>
      </w:pPr>
      <w:r>
        <w:rPr>
          <w:rFonts w:hint="eastAsia" w:hAnsi="宋体"/>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pPr>
        <w:pStyle w:val="12"/>
        <w:snapToGrid w:val="0"/>
        <w:spacing w:beforeLines="0" w:afterLines="0" w:line="360" w:lineRule="auto"/>
        <w:ind w:firstLine="480" w:firstLineChars="200"/>
        <w:rPr>
          <w:rFonts w:hAnsi="宋体"/>
          <w:sz w:val="24"/>
        </w:rPr>
      </w:pPr>
      <w:r>
        <w:rPr>
          <w:rFonts w:hint="eastAsia" w:hAnsi="宋体"/>
          <w:sz w:val="24"/>
        </w:rPr>
        <w:t>4.</w:t>
      </w:r>
      <w:r>
        <w:rPr>
          <w:rFonts w:hAnsi="宋体"/>
          <w:sz w:val="24"/>
        </w:rPr>
        <w:t>招标文件的澄清、答复、修改或补充都应该通过本代理机构以法定形式发布，采购人非通过本机构，不得擅自澄清、答复、修改或补充招标文件。</w:t>
      </w:r>
    </w:p>
    <w:p>
      <w:pPr>
        <w:pStyle w:val="12"/>
        <w:snapToGrid w:val="0"/>
        <w:spacing w:beforeLines="0" w:afterLines="0" w:line="360" w:lineRule="auto"/>
        <w:ind w:firstLine="472" w:firstLineChars="196"/>
        <w:outlineLvl w:val="1"/>
        <w:rPr>
          <w:rFonts w:hAnsi="宋体"/>
          <w:b/>
          <w:sz w:val="24"/>
        </w:rPr>
      </w:pPr>
      <w:r>
        <w:rPr>
          <w:rFonts w:hAnsi="宋体"/>
          <w:b/>
          <w:sz w:val="24"/>
        </w:rPr>
        <w:t>三、投标文件的编制</w:t>
      </w:r>
    </w:p>
    <w:p>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4"/>
        </w:rPr>
        <w:t>《</w:t>
      </w:r>
      <w:r>
        <w:rPr>
          <w:rFonts w:hint="eastAsia" w:ascii="宋体" w:hAnsi="宋体"/>
          <w:sz w:val="24"/>
        </w:rPr>
        <w:t>资格文件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技术/资信/商务文件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投标报价</w:t>
      </w:r>
      <w:r>
        <w:rPr>
          <w:rFonts w:hint="eastAsia" w:ascii="宋体" w:hAnsi="宋体" w:cs="宋体"/>
          <w:sz w:val="24"/>
        </w:rPr>
        <w:t>》</w:t>
      </w:r>
      <w:r>
        <w:rPr>
          <w:rFonts w:hint="eastAsia" w:ascii="宋体" w:hAnsi="宋体"/>
          <w:sz w:val="24"/>
        </w:rPr>
        <w:t>文件三部分组成。（电子投标文件中所盖公章均采用CA签章）。</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pPr>
        <w:spacing w:line="360" w:lineRule="auto"/>
        <w:ind w:firstLine="470" w:firstLineChars="196"/>
        <w:jc w:val="left"/>
        <w:rPr>
          <w:rFonts w:ascii="宋体" w:hAnsi="宋体"/>
          <w:sz w:val="24"/>
        </w:rPr>
      </w:pPr>
      <w:r>
        <w:rPr>
          <w:rFonts w:hint="eastAsia" w:ascii="宋体" w:hAnsi="宋体"/>
          <w:sz w:val="24"/>
        </w:rPr>
        <w:t>（2）投标人基本情况介绍；</w:t>
      </w:r>
    </w:p>
    <w:p>
      <w:pPr>
        <w:spacing w:line="360" w:lineRule="auto"/>
        <w:ind w:firstLine="470" w:firstLineChars="196"/>
        <w:jc w:val="left"/>
        <w:rPr>
          <w:sz w:val="24"/>
        </w:rPr>
      </w:pPr>
      <w:r>
        <w:rPr>
          <w:rFonts w:hint="eastAsia" w:ascii="宋体" w:hAnsi="宋体"/>
          <w:sz w:val="24"/>
        </w:rPr>
        <w:t>（3）</w:t>
      </w:r>
      <w:r>
        <w:rPr>
          <w:rFonts w:ascii="宋体" w:hAnsi="宋体"/>
          <w:sz w:val="24"/>
        </w:rPr>
        <w:t>法定代表人授权委托书(格式见附件)及授权代理人社保证明复印件（社保机构出具的由本单位或分公司为其缴纳的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（5）有效的营业执照副本（复印件一份）；</w:t>
      </w:r>
    </w:p>
    <w:p>
      <w:pPr>
        <w:widowControl/>
        <w:spacing w:line="360" w:lineRule="auto"/>
        <w:ind w:right="60" w:firstLine="480" w:firstLineChars="200"/>
        <w:rPr>
          <w:rFonts w:ascii="宋体" w:hAnsi="宋体" w:cs="宋体"/>
          <w:sz w:val="24"/>
        </w:rPr>
      </w:pPr>
      <w:r>
        <w:rPr>
          <w:rFonts w:hint="eastAsia" w:ascii="宋体" w:hAnsi="宋体" w:cs="宋体"/>
          <w:sz w:val="24"/>
        </w:rPr>
        <w:t>（6）近二年度（2021,2022年）企业的财务报表或银行资信证明（复印件一份）；</w:t>
      </w:r>
    </w:p>
    <w:p>
      <w:pPr>
        <w:spacing w:line="360" w:lineRule="auto"/>
        <w:ind w:firstLine="470" w:firstLineChars="196"/>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pPr>
        <w:widowControl/>
        <w:spacing w:line="360" w:lineRule="auto"/>
        <w:ind w:right="60" w:firstLine="480" w:firstLineChars="200"/>
        <w:rPr>
          <w:rFonts w:ascii="宋体" w:hAnsi="宋体"/>
          <w:sz w:val="24"/>
        </w:rPr>
      </w:pPr>
      <w:r>
        <w:rPr>
          <w:rFonts w:hint="eastAsia" w:ascii="宋体" w:hAnsi="宋体"/>
          <w:sz w:val="24"/>
        </w:rPr>
        <w:t>（8）《中小企业声明函》（格式见附件），残疾人福利性单位需提供《残疾人福利性单位声明函》，监狱企业需提供省级以上监狱管理局、戒毒管理局（含新疆生产建设兵团）出具的属于监狱企业的证明文件。</w:t>
      </w:r>
    </w:p>
    <w:p>
      <w:pPr>
        <w:widowControl/>
        <w:spacing w:line="360" w:lineRule="auto"/>
        <w:ind w:right="60" w:firstLine="482" w:firstLineChars="200"/>
        <w:rPr>
          <w:rFonts w:ascii="宋体" w:hAnsi="宋体"/>
          <w:b/>
          <w:bCs/>
          <w:sz w:val="24"/>
        </w:rPr>
      </w:pPr>
      <w:r>
        <w:rPr>
          <w:rFonts w:hint="eastAsia" w:ascii="宋体" w:hAnsi="宋体"/>
          <w:b/>
          <w:sz w:val="24"/>
        </w:rPr>
        <w:t>2.</w:t>
      </w:r>
      <w:r>
        <w:rPr>
          <w:rFonts w:ascii="宋体" w:hAnsi="宋体"/>
          <w:b/>
          <w:bCs/>
          <w:sz w:val="24"/>
        </w:rPr>
        <w:t xml:space="preserve"> 技术文件</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整体方案；</w:t>
      </w:r>
    </w:p>
    <w:p>
      <w:pPr>
        <w:snapToGrid w:val="0"/>
        <w:spacing w:line="360" w:lineRule="auto"/>
        <w:ind w:firstLine="480" w:firstLineChars="200"/>
        <w:jc w:val="left"/>
        <w:rPr>
          <w:rFonts w:hAnsi="宋体" w:cs="宋体"/>
          <w:sz w:val="24"/>
        </w:rPr>
      </w:pPr>
      <w:r>
        <w:rPr>
          <w:rFonts w:hint="eastAsia" w:ascii="宋体" w:hAnsi="宋体"/>
          <w:sz w:val="24"/>
        </w:rPr>
        <w:t>（</w:t>
      </w:r>
      <w:r>
        <w:rPr>
          <w:rFonts w:ascii="宋体" w:hAnsi="宋体"/>
          <w:sz w:val="24"/>
        </w:rPr>
        <w:t>2）</w:t>
      </w:r>
      <w:r>
        <w:rPr>
          <w:rFonts w:hint="eastAsia" w:hAnsi="宋体" w:cs="宋体"/>
          <w:sz w:val="24"/>
        </w:rPr>
        <w:t>技术方案；</w:t>
      </w:r>
    </w:p>
    <w:p>
      <w:pPr>
        <w:snapToGri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应急预案；</w:t>
      </w:r>
    </w:p>
    <w:p>
      <w:pPr>
        <w:snapToGrid w:val="0"/>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sz w:val="24"/>
        </w:rPr>
        <w:t>）</w:t>
      </w:r>
      <w:r>
        <w:rPr>
          <w:rFonts w:hint="eastAsia" w:ascii="宋体" w:hAnsi="宋体"/>
          <w:sz w:val="24"/>
        </w:rPr>
        <w:t>关键点、难点解决方案</w:t>
      </w:r>
      <w:r>
        <w:rPr>
          <w:rFonts w:hint="eastAsia" w:ascii="宋体" w:hAnsi="宋体" w:cs="宋体"/>
          <w:kern w:val="0"/>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（5</w:t>
      </w:r>
      <w:r>
        <w:rPr>
          <w:rFonts w:ascii="宋体" w:hAnsi="宋体"/>
          <w:sz w:val="24"/>
        </w:rPr>
        <w:t>）</w:t>
      </w:r>
      <w:r>
        <w:rPr>
          <w:rFonts w:hint="eastAsia" w:ascii="宋体" w:hAnsi="宋体" w:cs="宋体"/>
          <w:sz w:val="24"/>
        </w:rPr>
        <w:t>与采购人配合方案；</w:t>
      </w:r>
    </w:p>
    <w:p>
      <w:pPr>
        <w:snapToGrid w:val="0"/>
        <w:spacing w:line="360" w:lineRule="auto"/>
        <w:ind w:firstLine="480" w:firstLineChars="200"/>
        <w:jc w:val="left"/>
        <w:rPr>
          <w:rFonts w:ascii="宋体" w:hAnsi="宋体"/>
          <w:sz w:val="24"/>
          <w:szCs w:val="20"/>
        </w:rPr>
      </w:pPr>
      <w:r>
        <w:rPr>
          <w:rFonts w:hint="eastAsia" w:ascii="宋体" w:hAnsi="宋体"/>
          <w:sz w:val="24"/>
        </w:rPr>
        <w:t>（6</w:t>
      </w:r>
      <w:r>
        <w:rPr>
          <w:rFonts w:ascii="宋体" w:hAnsi="宋体"/>
          <w:sz w:val="24"/>
        </w:rPr>
        <w:t>）</w:t>
      </w:r>
      <w:r>
        <w:rPr>
          <w:rFonts w:hint="eastAsia" w:ascii="宋体" w:hAnsi="宋体"/>
          <w:sz w:val="24"/>
        </w:rPr>
        <w:t>餐厨废弃物处理管理方案</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）项目实施人员一览表</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）投标人对本项目的合理化建议和改进措施</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）投标人需要说明的其他文件和说明（格式略）</w:t>
      </w:r>
      <w:r>
        <w:rPr>
          <w:rFonts w:hint="eastAsia" w:ascii="宋体" w:hAnsi="宋体"/>
          <w:sz w:val="24"/>
        </w:rPr>
        <w:t>；</w:t>
      </w:r>
    </w:p>
    <w:p>
      <w:pPr>
        <w:spacing w:line="360" w:lineRule="auto"/>
        <w:ind w:firstLine="472" w:firstLineChars="196"/>
        <w:jc w:val="left"/>
        <w:rPr>
          <w:rFonts w:ascii="宋体" w:hAnsi="宋体"/>
          <w:b/>
          <w:sz w:val="24"/>
        </w:rPr>
      </w:pPr>
      <w:r>
        <w:rPr>
          <w:rFonts w:ascii="宋体" w:hAnsi="宋体"/>
          <w:b/>
          <w:sz w:val="24"/>
        </w:rPr>
        <w:t>资信文件：</w:t>
      </w:r>
    </w:p>
    <w:p>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类似案例成功的业绩（投标人同类项目实施情况一览表、合同复印件）；</w:t>
      </w:r>
    </w:p>
    <w:p>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）权威认证证书；</w:t>
      </w:r>
    </w:p>
    <w:p>
      <w:pPr>
        <w:snapToGrid w:val="0"/>
        <w:spacing w:line="360" w:lineRule="auto"/>
        <w:ind w:firstLine="480" w:firstLineChars="200"/>
        <w:jc w:val="left"/>
      </w:pPr>
      <w:r>
        <w:rPr>
          <w:rFonts w:hint="eastAsia" w:ascii="宋体" w:hAnsi="宋体"/>
          <w:sz w:val="24"/>
        </w:rPr>
        <w:t>（12</w:t>
      </w:r>
      <w:r>
        <w:rPr>
          <w:rFonts w:ascii="宋体" w:hAnsi="宋体"/>
          <w:sz w:val="24"/>
        </w:rPr>
        <w:t>）</w:t>
      </w:r>
      <w:r>
        <w:rPr>
          <w:rFonts w:hint="eastAsia" w:hAnsi="宋体" w:cs="宋体"/>
          <w:sz w:val="24"/>
        </w:rPr>
        <w:t>企业和人员荣誉证书或文件;</w:t>
      </w:r>
    </w:p>
    <w:p>
      <w:pPr>
        <w:snapToGrid w:val="0"/>
        <w:spacing w:line="360" w:lineRule="auto"/>
        <w:ind w:firstLine="480" w:firstLineChars="200"/>
        <w:jc w:val="left"/>
        <w:rPr>
          <w:rFonts w:ascii="宋体" w:hAnsi="宋体"/>
          <w:sz w:val="24"/>
        </w:rPr>
      </w:pPr>
      <w:r>
        <w:rPr>
          <w:rFonts w:hint="eastAsia" w:ascii="宋体" w:hAnsi="宋体"/>
          <w:sz w:val="24"/>
        </w:rPr>
        <w:t>（13</w:t>
      </w:r>
      <w:r>
        <w:rPr>
          <w:rFonts w:ascii="宋体" w:hAnsi="宋体"/>
          <w:sz w:val="24"/>
        </w:rPr>
        <w:t>）</w:t>
      </w:r>
      <w:r>
        <w:rPr>
          <w:rFonts w:hint="eastAsia" w:hAnsi="宋体" w:cs="宋体"/>
          <w:sz w:val="24"/>
        </w:rPr>
        <w:t>企业综合实力证明材料；</w:t>
      </w:r>
    </w:p>
    <w:p>
      <w:pPr>
        <w:snapToGrid w:val="0"/>
        <w:spacing w:line="360" w:lineRule="auto"/>
        <w:ind w:firstLine="480" w:firstLineChars="200"/>
        <w:jc w:val="left"/>
        <w:rPr>
          <w:rFonts w:ascii="宋体" w:hAnsi="宋体"/>
          <w:sz w:val="24"/>
        </w:rPr>
      </w:pPr>
      <w:r>
        <w:rPr>
          <w:rFonts w:hint="eastAsia" w:ascii="宋体" w:hAnsi="宋体"/>
          <w:sz w:val="24"/>
        </w:rPr>
        <w:t>（14）其他特殊资质证书</w:t>
      </w:r>
      <w:r>
        <w:rPr>
          <w:rFonts w:ascii="宋体" w:hAnsi="宋体"/>
          <w:sz w:val="24"/>
        </w:rPr>
        <w:t>（如</w:t>
      </w:r>
      <w:r>
        <w:rPr>
          <w:rFonts w:hint="eastAsia" w:ascii="宋体" w:hAnsi="宋体"/>
          <w:sz w:val="24"/>
        </w:rPr>
        <w:t>本地化服务能力等）；</w:t>
      </w:r>
    </w:p>
    <w:p>
      <w:pPr>
        <w:snapToGrid w:val="0"/>
        <w:spacing w:line="360" w:lineRule="auto"/>
        <w:ind w:firstLine="480" w:firstLineChars="200"/>
        <w:jc w:val="left"/>
        <w:rPr>
          <w:rFonts w:ascii="宋体" w:hAnsi="宋体"/>
          <w:sz w:val="24"/>
        </w:rPr>
      </w:pPr>
      <w:r>
        <w:rPr>
          <w:rFonts w:hint="eastAsia" w:ascii="宋体" w:hAnsi="宋体"/>
          <w:sz w:val="24"/>
        </w:rPr>
        <w:t>（15）投标人认为可以证明其能力或业绩的其他材料；</w:t>
      </w:r>
    </w:p>
    <w:p>
      <w:pPr>
        <w:spacing w:line="360" w:lineRule="auto"/>
        <w:ind w:firstLine="472" w:firstLineChars="196"/>
        <w:jc w:val="left"/>
        <w:rPr>
          <w:rFonts w:ascii="宋体" w:hAnsi="宋体"/>
          <w:b/>
          <w:sz w:val="24"/>
        </w:rPr>
      </w:pPr>
      <w:r>
        <w:rPr>
          <w:rFonts w:ascii="宋体" w:hAnsi="宋体"/>
          <w:b/>
          <w:sz w:val="24"/>
        </w:rPr>
        <w:t>商务文件</w:t>
      </w:r>
    </w:p>
    <w:p>
      <w:pPr>
        <w:snapToGrid w:val="0"/>
        <w:spacing w:line="360" w:lineRule="auto"/>
        <w:ind w:firstLine="480" w:firstLineChars="200"/>
        <w:jc w:val="left"/>
        <w:rPr>
          <w:rFonts w:ascii="宋体" w:hAnsi="宋体"/>
          <w:sz w:val="24"/>
        </w:rPr>
      </w:pPr>
      <w:r>
        <w:rPr>
          <w:rFonts w:hint="eastAsia" w:ascii="宋体" w:hAnsi="宋体"/>
          <w:sz w:val="24"/>
        </w:rPr>
        <w:t>（16）商务响应表（格式见附件）；</w:t>
      </w:r>
    </w:p>
    <w:p>
      <w:pPr>
        <w:snapToGrid w:val="0"/>
        <w:spacing w:line="360" w:lineRule="auto"/>
        <w:ind w:firstLine="480" w:firstLineChars="200"/>
        <w:jc w:val="left"/>
      </w:pPr>
      <w:r>
        <w:rPr>
          <w:rFonts w:hint="eastAsia" w:ascii="宋体" w:hAnsi="宋体"/>
          <w:sz w:val="24"/>
        </w:rPr>
        <w:t>（17）培训方案；</w:t>
      </w:r>
    </w:p>
    <w:p>
      <w:pPr>
        <w:snapToGrid w:val="0"/>
        <w:spacing w:line="360" w:lineRule="auto"/>
        <w:ind w:firstLine="480" w:firstLineChars="200"/>
        <w:jc w:val="left"/>
        <w:rPr>
          <w:rFonts w:ascii="宋体" w:hAnsi="宋体"/>
          <w:sz w:val="24"/>
        </w:rPr>
      </w:pPr>
      <w:r>
        <w:rPr>
          <w:rFonts w:hint="eastAsia" w:ascii="宋体" w:hAnsi="宋体"/>
          <w:sz w:val="24"/>
        </w:rPr>
        <w:t>（18</w:t>
      </w:r>
      <w:r>
        <w:rPr>
          <w:rFonts w:ascii="宋体" w:hAnsi="宋体"/>
          <w:sz w:val="24"/>
        </w:rPr>
        <w:t>）</w:t>
      </w:r>
      <w:r>
        <w:rPr>
          <w:rFonts w:hint="eastAsia" w:ascii="宋体" w:hAnsi="宋体"/>
          <w:sz w:val="24"/>
        </w:rPr>
        <w:t>信用承诺书；</w:t>
      </w:r>
    </w:p>
    <w:p>
      <w:pPr>
        <w:snapToGrid w:val="0"/>
        <w:spacing w:line="360" w:lineRule="auto"/>
        <w:ind w:firstLine="480" w:firstLineChars="200"/>
        <w:jc w:val="left"/>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技术、商务、资信及其他分自评表。</w:t>
      </w:r>
    </w:p>
    <w:p>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pPr>
        <w:spacing w:line="360" w:lineRule="auto"/>
        <w:ind w:firstLine="470" w:firstLineChars="196"/>
        <w:jc w:val="left"/>
        <w:rPr>
          <w:rFonts w:ascii="宋体" w:hAnsi="宋体"/>
          <w:sz w:val="24"/>
        </w:rPr>
      </w:pPr>
      <w:r>
        <w:rPr>
          <w:rFonts w:hint="eastAsia" w:ascii="宋体" w:hAnsi="宋体"/>
          <w:sz w:val="24"/>
        </w:rPr>
        <w:t xml:space="preserve">（1）投标函（格式见附件）； </w:t>
      </w:r>
    </w:p>
    <w:p>
      <w:pPr>
        <w:spacing w:line="360" w:lineRule="auto"/>
        <w:ind w:firstLine="470" w:firstLineChars="196"/>
        <w:jc w:val="left"/>
        <w:rPr>
          <w:rFonts w:ascii="宋体" w:hAnsi="宋体" w:cs="仿宋"/>
          <w:sz w:val="24"/>
        </w:rPr>
      </w:pPr>
      <w:r>
        <w:rPr>
          <w:rFonts w:hint="eastAsia" w:ascii="宋体" w:hAnsi="宋体"/>
          <w:sz w:val="24"/>
        </w:rPr>
        <w:t>（2</w:t>
      </w:r>
      <w:r>
        <w:rPr>
          <w:rFonts w:ascii="宋体" w:hAnsi="宋体"/>
          <w:sz w:val="24"/>
        </w:rPr>
        <w:t>）报价明细表；</w:t>
      </w:r>
    </w:p>
    <w:p>
      <w:pPr>
        <w:spacing w:line="360" w:lineRule="auto"/>
        <w:ind w:firstLine="470" w:firstLineChars="196"/>
        <w:jc w:val="left"/>
        <w:rPr>
          <w:rFonts w:ascii="宋体" w:hAnsi="宋体"/>
          <w:sz w:val="24"/>
        </w:rPr>
      </w:pPr>
      <w:r>
        <w:rPr>
          <w:rFonts w:hint="eastAsia" w:ascii="宋体" w:hAnsi="宋体"/>
          <w:sz w:val="24"/>
        </w:rPr>
        <w:t>（6</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pPr>
        <w:spacing w:line="360" w:lineRule="auto"/>
        <w:ind w:firstLine="470" w:firstLineChars="196"/>
        <w:jc w:val="left"/>
        <w:rPr>
          <w:rFonts w:ascii="宋体" w:hAnsi="宋体"/>
          <w:sz w:val="24"/>
        </w:rPr>
      </w:pPr>
      <w:r>
        <w:rPr>
          <w:rFonts w:hint="eastAsia" w:ascii="宋体" w:hAnsi="宋体"/>
          <w:sz w:val="24"/>
        </w:rPr>
        <w:t>（7）招标代理费承诺函；</w:t>
      </w:r>
    </w:p>
    <w:p>
      <w:pPr>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开标一览表（格式见附件）</w:t>
      </w:r>
      <w:r>
        <w:rPr>
          <w:rFonts w:hint="eastAsia" w:ascii="宋体" w:hAnsi="宋体"/>
          <w:sz w:val="24"/>
        </w:rPr>
        <w:t>。</w:t>
      </w:r>
    </w:p>
    <w:p>
      <w:pPr>
        <w:pStyle w:val="22"/>
        <w:widowControl w:val="0"/>
        <w:spacing w:before="0" w:afterLines="0" w:line="360" w:lineRule="auto"/>
        <w:ind w:firstLine="482" w:firstLineChars="200"/>
        <w:rPr>
          <w:b/>
          <w:bCs/>
          <w:sz w:val="24"/>
          <w:szCs w:val="24"/>
        </w:rPr>
      </w:pPr>
      <w:r>
        <w:rPr>
          <w:b/>
          <w:sz w:val="24"/>
          <w:szCs w:val="24"/>
        </w:rPr>
        <w:t>▲</w:t>
      </w:r>
      <w:r>
        <w:rPr>
          <w:b/>
          <w:bCs/>
          <w:sz w:val="24"/>
          <w:szCs w:val="24"/>
        </w:rPr>
        <w:t>注：法定代表人授权委托书、投标声明书、投标函、开标一览表必须由法定代表人签名并加盖单位公章。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sz w:val="24"/>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b/>
          <w:kern w:val="0"/>
          <w:sz w:val="24"/>
        </w:rPr>
      </w:pPr>
      <w:r>
        <w:rPr>
          <w:rFonts w:hint="eastAsia" w:ascii="宋体" w:hAnsi="宋体"/>
          <w:b/>
          <w:kern w:val="0"/>
          <w:sz w:val="24"/>
        </w:rPr>
        <w:t>（三）投标报价</w:t>
      </w:r>
    </w:p>
    <w:p>
      <w:pPr>
        <w:snapToGrid w:val="0"/>
        <w:spacing w:line="360" w:lineRule="auto"/>
        <w:ind w:firstLine="411" w:firstLineChars="196"/>
        <w:jc w:val="left"/>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cs="宋体"/>
          <w:sz w:val="24"/>
        </w:rPr>
        <w:t>投标报价应按招标文件中相关附表格式填写。投标报价为本招标项目全部工作内容的报价。</w:t>
      </w:r>
    </w:p>
    <w:p>
      <w:pPr>
        <w:snapToGrid w:val="0"/>
        <w:spacing w:line="360" w:lineRule="auto"/>
        <w:ind w:firstLine="411" w:firstLineChars="196"/>
        <w:jc w:val="left"/>
        <w:outlineLvl w:val="0"/>
        <w:rPr>
          <w:rFonts w:ascii="宋体" w:hAnsi="宋体" w:cs="宋体"/>
          <w:sz w:val="24"/>
        </w:rPr>
      </w:pPr>
      <w:r>
        <w:rPr>
          <w:rFonts w:hAnsi="宋体"/>
        </w:rPr>
        <w:t>▲</w:t>
      </w:r>
      <w:r>
        <w:rPr>
          <w:rFonts w:hint="eastAsia" w:ascii="宋体" w:hAnsi="宋体" w:cs="宋体"/>
          <w:sz w:val="24"/>
        </w:rPr>
        <w:t>2.投标报价是履行合同的最终价格，完成项目的各种费用及必要的保险费用和各项税金等所有费用的总和，其市场风险由投标人承担。</w:t>
      </w:r>
    </w:p>
    <w:p>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9"/>
        <w:tabs>
          <w:tab w:val="left" w:pos="720"/>
        </w:tabs>
        <w:snapToGrid w:val="0"/>
        <w:spacing w:line="360" w:lineRule="auto"/>
        <w:ind w:left="0" w:firstLine="413" w:firstLineChars="196"/>
        <w:rPr>
          <w:rFonts w:ascii="宋体" w:hAnsi="宋体"/>
          <w:b/>
        </w:rPr>
      </w:pPr>
      <w:r>
        <w:rPr>
          <w:rFonts w:hint="eastAsia" w:ascii="宋体" w:hAnsi="宋体"/>
          <w:b/>
        </w:rPr>
        <w:t>（四）投标文件的有效期</w:t>
      </w:r>
    </w:p>
    <w:p>
      <w:pPr>
        <w:pStyle w:val="9"/>
        <w:tabs>
          <w:tab w:val="left" w:pos="720"/>
        </w:tabs>
        <w:snapToGrid w:val="0"/>
        <w:spacing w:line="360" w:lineRule="auto"/>
        <w:ind w:left="0" w:firstLine="420" w:firstLineChars="200"/>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自投标截止日起</w:t>
      </w:r>
      <w:r>
        <w:rPr>
          <w:rFonts w:hint="eastAsia" w:ascii="宋体" w:hAnsi="宋体"/>
          <w:u w:val="single"/>
        </w:rPr>
        <w:t>120</w:t>
      </w:r>
      <w:r>
        <w:rPr>
          <w:rFonts w:ascii="宋体" w:hAnsi="宋体"/>
        </w:rPr>
        <w:t>天投标</w:t>
      </w:r>
      <w:r>
        <w:rPr>
          <w:rFonts w:hint="eastAsia" w:ascii="宋体" w:hAnsi="宋体"/>
        </w:rPr>
        <w:t>文件</w:t>
      </w:r>
      <w:r>
        <w:rPr>
          <w:rFonts w:ascii="宋体" w:hAnsi="宋体"/>
        </w:rPr>
        <w:t>应保持有效。有效期</w:t>
      </w:r>
      <w:r>
        <w:rPr>
          <w:rFonts w:hint="eastAsia" w:ascii="宋体" w:hAnsi="宋体"/>
        </w:rPr>
        <w:t>不足</w:t>
      </w:r>
      <w:r>
        <w:rPr>
          <w:rFonts w:ascii="宋体" w:hAnsi="宋体"/>
        </w:rPr>
        <w:t>的投标</w:t>
      </w:r>
      <w:r>
        <w:rPr>
          <w:rFonts w:hint="eastAsia" w:ascii="宋体" w:hAnsi="宋体"/>
        </w:rPr>
        <w:t>文件</w:t>
      </w:r>
      <w:r>
        <w:rPr>
          <w:rFonts w:ascii="宋体" w:hAnsi="宋体"/>
        </w:rPr>
        <w:t>将被拒绝。</w:t>
      </w:r>
    </w:p>
    <w:p>
      <w:pPr>
        <w:pStyle w:val="9"/>
        <w:numPr>
          <w:numId w:val="0"/>
        </w:numPr>
        <w:tabs>
          <w:tab w:val="left" w:pos="720"/>
          <w:tab w:val="clear" w:pos="360"/>
        </w:tabs>
        <w:snapToGrid w:val="0"/>
        <w:spacing w:line="360" w:lineRule="auto"/>
        <w:ind w:leftChars="200"/>
        <w:rPr>
          <w:rFonts w:ascii="宋体" w:hAnsi="宋体"/>
        </w:rPr>
      </w:pPr>
      <w:r>
        <w:rPr>
          <w:rFonts w:hint="eastAsia" w:ascii="宋体" w:hAnsi="宋体"/>
          <w:lang w:val="en-US" w:eastAsia="zh-CN"/>
        </w:rPr>
        <w:t>2.</w:t>
      </w:r>
      <w:bookmarkStart w:id="2" w:name="_GoBack"/>
      <w:bookmarkEnd w:id="2"/>
      <w:r>
        <w:rPr>
          <w:rFonts w:ascii="宋体" w:hAnsi="宋体"/>
        </w:rPr>
        <w:t>2</w:t>
      </w:r>
      <w:r>
        <w:rPr>
          <w:rFonts w:hint="eastAsia" w:ascii="宋体" w:hAnsi="宋体"/>
        </w:rPr>
        <w:t>.</w:t>
      </w:r>
      <w:r>
        <w:rPr>
          <w:rFonts w:ascii="宋体" w:hAnsi="宋体"/>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pPr>
        <w:snapToGrid w:val="0"/>
        <w:spacing w:line="360" w:lineRule="auto"/>
        <w:ind w:firstLine="470" w:firstLineChars="196"/>
        <w:rPr>
          <w:rFonts w:hAnsi="宋体"/>
          <w:bCs/>
          <w:sz w:val="24"/>
        </w:rPr>
      </w:pPr>
      <w:r>
        <w:rPr>
          <w:rFonts w:hAnsi="宋体"/>
          <w:bCs/>
          <w:sz w:val="24"/>
        </w:rPr>
        <w:t>（</w:t>
      </w:r>
      <w:r>
        <w:rPr>
          <w:rFonts w:hint="eastAsia" w:hAnsi="宋体"/>
          <w:bCs/>
          <w:sz w:val="24"/>
        </w:rPr>
        <w:t>4</w:t>
      </w:r>
      <w:r>
        <w:rPr>
          <w:rFonts w:hAnsi="宋体"/>
          <w:bCs/>
          <w:sz w:val="24"/>
        </w:rPr>
        <w:t>）投标文件格式不规范、项目不齐全或者内容虚假的；</w:t>
      </w:r>
    </w:p>
    <w:p>
      <w:pPr>
        <w:snapToGrid w:val="0"/>
        <w:spacing w:line="360" w:lineRule="auto"/>
        <w:ind w:firstLine="470" w:firstLineChars="196"/>
        <w:rPr>
          <w:rFonts w:hAnsi="宋体"/>
          <w:bCs/>
          <w:sz w:val="24"/>
        </w:rPr>
      </w:pPr>
      <w:r>
        <w:rPr>
          <w:rFonts w:hAnsi="宋体"/>
          <w:bCs/>
          <w:sz w:val="24"/>
        </w:rPr>
        <w:t>（</w:t>
      </w:r>
      <w:r>
        <w:rPr>
          <w:rFonts w:hint="eastAsia" w:hAnsi="宋体"/>
          <w:bCs/>
          <w:sz w:val="24"/>
        </w:rPr>
        <w:t>5</w:t>
      </w:r>
      <w:r>
        <w:rPr>
          <w:rFonts w:hAnsi="宋体"/>
          <w:bCs/>
          <w:sz w:val="24"/>
        </w:rPr>
        <w:t>）投标文件的实质性内容未使用中文表述、意思表述不明确、前后矛盾或者使用计量单位不符合招标文件要求的（经评标委员会认定</w:t>
      </w:r>
      <w:r>
        <w:rPr>
          <w:rFonts w:hint="eastAsia" w:hAnsi="宋体"/>
          <w:bCs/>
          <w:sz w:val="24"/>
        </w:rPr>
        <w:t>并</w:t>
      </w:r>
      <w:r>
        <w:rPr>
          <w:rFonts w:hAnsi="宋体"/>
          <w:bCs/>
          <w:sz w:val="24"/>
        </w:rPr>
        <w:t>允许其当场更正的笔误除外）</w:t>
      </w:r>
      <w:r>
        <w:rPr>
          <w:rFonts w:hint="eastAsia" w:hAnsi="宋体"/>
          <w:bCs/>
          <w:sz w:val="24"/>
        </w:rPr>
        <w:t>；</w:t>
      </w:r>
    </w:p>
    <w:p>
      <w:pPr>
        <w:snapToGrid w:val="0"/>
        <w:spacing w:line="360" w:lineRule="auto"/>
        <w:ind w:firstLine="470" w:firstLineChars="196"/>
        <w:rPr>
          <w:rFonts w:hAnsi="宋体"/>
          <w:bCs/>
          <w:sz w:val="24"/>
        </w:rPr>
      </w:pPr>
      <w:r>
        <w:rPr>
          <w:rFonts w:hAnsi="宋体"/>
          <w:bCs/>
          <w:sz w:val="24"/>
        </w:rPr>
        <w:t>（</w:t>
      </w:r>
      <w:r>
        <w:rPr>
          <w:rFonts w:hint="eastAsia" w:hAnsi="宋体"/>
          <w:bCs/>
          <w:sz w:val="24"/>
        </w:rPr>
        <w:t>6</w:t>
      </w:r>
      <w:r>
        <w:rPr>
          <w:rFonts w:hAnsi="宋体"/>
          <w:bCs/>
          <w:sz w:val="24"/>
        </w:rPr>
        <w:t>）投标有效期、</w:t>
      </w:r>
      <w:r>
        <w:rPr>
          <w:rFonts w:hint="eastAsia" w:hAnsi="宋体"/>
          <w:bCs/>
          <w:sz w:val="24"/>
        </w:rPr>
        <w:t>交货期</w:t>
      </w:r>
      <w:r>
        <w:rPr>
          <w:rFonts w:hAnsi="宋体"/>
          <w:bCs/>
          <w:sz w:val="24"/>
        </w:rPr>
        <w:t>、服务期</w:t>
      </w:r>
      <w:r>
        <w:rPr>
          <w:rFonts w:hint="eastAsia" w:hAnsi="宋体"/>
          <w:bCs/>
          <w:sz w:val="24"/>
        </w:rPr>
        <w:t>、</w:t>
      </w:r>
      <w:r>
        <w:rPr>
          <w:rFonts w:hAnsi="宋体"/>
          <w:bCs/>
          <w:sz w:val="24"/>
        </w:rPr>
        <w:t>质保期等商务条款不能满足招标文件要求的；</w:t>
      </w:r>
    </w:p>
    <w:p>
      <w:pPr>
        <w:snapToGrid w:val="0"/>
        <w:spacing w:line="360" w:lineRule="auto"/>
        <w:ind w:firstLine="470" w:firstLineChars="196"/>
        <w:rPr>
          <w:sz w:val="24"/>
        </w:rPr>
      </w:pPr>
      <w:r>
        <w:rPr>
          <w:rFonts w:hAnsi="宋体"/>
          <w:bCs/>
          <w:sz w:val="24"/>
        </w:rPr>
        <w:t>（</w:t>
      </w:r>
      <w:r>
        <w:rPr>
          <w:rFonts w:hint="eastAsia" w:hAnsi="宋体"/>
          <w:bCs/>
          <w:sz w:val="24"/>
        </w:rPr>
        <w:t>7</w:t>
      </w:r>
      <w:r>
        <w:rPr>
          <w:rFonts w:hAnsi="宋体"/>
          <w:bCs/>
          <w:sz w:val="24"/>
        </w:rPr>
        <w:t>）</w:t>
      </w:r>
      <w:r>
        <w:rPr>
          <w:rFonts w:hint="eastAsia" w:hAnsi="宋体"/>
          <w:bCs/>
          <w:sz w:val="24"/>
        </w:rPr>
        <w:t>未实质性</w:t>
      </w:r>
      <w:r>
        <w:rPr>
          <w:rFonts w:hAnsi="宋体"/>
          <w:bCs/>
          <w:sz w:val="24"/>
        </w:rPr>
        <w:t>响应招标文件要求或者投标文件有招标方不能接受</w:t>
      </w:r>
      <w:r>
        <w:rPr>
          <w:sz w:val="24"/>
        </w:rPr>
        <w:t>的附加条件的；</w:t>
      </w:r>
    </w:p>
    <w:p>
      <w:pPr>
        <w:snapToGrid w:val="0"/>
        <w:spacing w:line="360" w:lineRule="auto"/>
        <w:ind w:firstLine="470" w:firstLineChars="196"/>
        <w:rPr>
          <w:rFonts w:hAnsi="宋体"/>
          <w:bCs/>
          <w:sz w:val="24"/>
        </w:rPr>
      </w:pPr>
      <w:r>
        <w:rPr>
          <w:rFonts w:hint="eastAsia"/>
          <w:sz w:val="24"/>
        </w:rPr>
        <w:t>（8）</w:t>
      </w:r>
      <w:r>
        <w:rPr>
          <w:rFonts w:hint="eastAsia" w:hAnsi="宋体"/>
          <w:bCs/>
          <w:sz w:val="24"/>
        </w:rPr>
        <w:t>供应商提供的《中小企业声明函》未采用本采购文件的模板或提供的《中小企业声明函》未填写完整的或未如实填写《中小企业声明函》的。</w:t>
      </w:r>
    </w:p>
    <w:p>
      <w:pPr>
        <w:snapToGrid w:val="0"/>
        <w:spacing w:line="360" w:lineRule="auto"/>
        <w:ind w:firstLine="470" w:firstLineChars="196"/>
        <w:rPr>
          <w:rFonts w:hAnsi="宋体" w:cs="宋体"/>
          <w:sz w:val="24"/>
        </w:rPr>
      </w:pPr>
      <w:r>
        <w:rPr>
          <w:rFonts w:hint="eastAsia" w:hAnsi="宋体"/>
          <w:bCs/>
          <w:sz w:val="24"/>
        </w:rPr>
        <w:t>（9）</w:t>
      </w:r>
      <w:r>
        <w:rPr>
          <w:rFonts w:hAnsi="宋体" w:cs="宋体"/>
          <w:sz w:val="24"/>
        </w:rPr>
        <w:t>供应商在《中小企业声明函》中所填企业规模不是中型、小型或微型企业的。</w:t>
      </w:r>
    </w:p>
    <w:p>
      <w:pPr>
        <w:snapToGrid w:val="0"/>
        <w:spacing w:line="360" w:lineRule="auto"/>
        <w:ind w:firstLine="472" w:firstLineChars="196"/>
        <w:rPr>
          <w:rFonts w:hAnsi="宋体"/>
          <w:b/>
          <w:bCs/>
          <w:sz w:val="24"/>
        </w:rPr>
      </w:pPr>
      <w:r>
        <w:rPr>
          <w:rFonts w:hAnsi="宋体"/>
          <w:b/>
          <w:bCs/>
          <w:sz w:val="24"/>
        </w:rPr>
        <w:t>2</w:t>
      </w:r>
      <w:r>
        <w:rPr>
          <w:rFonts w:hint="eastAsia" w:hAnsi="宋体"/>
          <w:b/>
          <w:bCs/>
          <w:sz w:val="24"/>
        </w:rPr>
        <w:t>.</w:t>
      </w:r>
      <w:r>
        <w:rPr>
          <w:rFonts w:hAnsi="宋体"/>
          <w:b/>
          <w:bCs/>
          <w:sz w:val="24"/>
        </w:rPr>
        <w:t>在技术评审时，如发现下列情形之一的，投标文件将被视为无效：</w:t>
      </w:r>
    </w:p>
    <w:p>
      <w:pPr>
        <w:snapToGrid w:val="0"/>
        <w:spacing w:line="360" w:lineRule="auto"/>
        <w:ind w:firstLine="472" w:firstLineChars="196"/>
        <w:rPr>
          <w:rFonts w:hAnsi="宋体"/>
          <w:sz w:val="24"/>
        </w:rPr>
      </w:pPr>
      <w:r>
        <w:rPr>
          <w:rFonts w:hAnsi="宋体"/>
          <w:b/>
          <w:sz w:val="24"/>
        </w:rPr>
        <w:t>（</w:t>
      </w:r>
      <w:r>
        <w:rPr>
          <w:rFonts w:hAnsi="宋体"/>
          <w:sz w:val="24"/>
        </w:rPr>
        <w:t>1）未提供或未如实提供投标项目的技术参数，或者投标文件标明的响应或偏离与事实不符或虚假投标的；</w:t>
      </w:r>
    </w:p>
    <w:p>
      <w:pPr>
        <w:snapToGrid w:val="0"/>
        <w:spacing w:line="360" w:lineRule="auto"/>
        <w:ind w:firstLine="470" w:firstLineChars="196"/>
        <w:rPr>
          <w:sz w:val="24"/>
        </w:rPr>
      </w:pPr>
      <w:r>
        <w:rPr>
          <w:sz w:val="24"/>
        </w:rPr>
        <w:t>（2）明显不符合招标文件</w:t>
      </w:r>
      <w:r>
        <w:rPr>
          <w:rFonts w:hint="eastAsia"/>
          <w:sz w:val="24"/>
        </w:rPr>
        <w:t>要求</w:t>
      </w:r>
      <w:r>
        <w:rPr>
          <w:sz w:val="24"/>
        </w:rPr>
        <w:t>的规格型号、质量标准，或者</w:t>
      </w:r>
      <w:r>
        <w:rPr>
          <w:rFonts w:hint="eastAsia"/>
          <w:sz w:val="24"/>
        </w:rPr>
        <w:t>与</w:t>
      </w:r>
      <w:r>
        <w:rPr>
          <w:sz w:val="24"/>
        </w:rPr>
        <w:t>招标文件中标“▲”的技术指标、主要功能项目发生实质性偏离的；</w:t>
      </w:r>
    </w:p>
    <w:p>
      <w:pPr>
        <w:snapToGrid w:val="0"/>
        <w:spacing w:line="360" w:lineRule="auto"/>
        <w:ind w:firstLine="470" w:firstLineChars="196"/>
        <w:rPr>
          <w:sz w:val="24"/>
        </w:rPr>
      </w:pPr>
      <w:r>
        <w:rPr>
          <w:sz w:val="24"/>
        </w:rPr>
        <w:t>（3）投标技术方案不明确，存在一个或一个以上备选（替代）投标方案的；</w:t>
      </w:r>
    </w:p>
    <w:p>
      <w:pPr>
        <w:snapToGrid w:val="0"/>
        <w:spacing w:line="360" w:lineRule="auto"/>
        <w:ind w:firstLine="470" w:firstLineChars="196"/>
        <w:rPr>
          <w:sz w:val="24"/>
        </w:rPr>
      </w:pPr>
      <w:r>
        <w:rPr>
          <w:sz w:val="24"/>
        </w:rPr>
        <w:t>（4）</w:t>
      </w:r>
      <w:r>
        <w:rPr>
          <w:rFonts w:hint="eastAsia"/>
          <w:sz w:val="24"/>
        </w:rPr>
        <w:t>与其他参加本次投标供应商的投标文件（技术文件）的文字表述内容相同连续20行以上或者差错相同2处以上的；</w:t>
      </w:r>
    </w:p>
    <w:p>
      <w:pPr>
        <w:snapToGrid w:val="0"/>
        <w:spacing w:line="360" w:lineRule="auto"/>
        <w:ind w:firstLine="472" w:firstLineChars="196"/>
        <w:rPr>
          <w:rFonts w:hAnsi="宋体"/>
          <w:b/>
          <w:bCs/>
          <w:sz w:val="24"/>
        </w:rPr>
      </w:pPr>
      <w:r>
        <w:rPr>
          <w:rFonts w:hAnsi="宋体"/>
          <w:b/>
          <w:bCs/>
          <w:sz w:val="24"/>
        </w:rPr>
        <w:t>3</w:t>
      </w:r>
      <w:r>
        <w:rPr>
          <w:rFonts w:hint="eastAsia" w:hAnsi="宋体"/>
          <w:b/>
          <w:bCs/>
          <w:sz w:val="24"/>
        </w:rPr>
        <w:t>.</w:t>
      </w:r>
      <w:r>
        <w:rPr>
          <w:rFonts w:hAnsi="宋体"/>
          <w:b/>
          <w:bCs/>
          <w:sz w:val="24"/>
        </w:rPr>
        <w:t>在报价评审时，如发现下列情形之一的，投标文件将被视为无效：</w:t>
      </w:r>
    </w:p>
    <w:p>
      <w:pPr>
        <w:snapToGrid w:val="0"/>
        <w:spacing w:line="360" w:lineRule="auto"/>
        <w:ind w:firstLine="472" w:firstLineChars="196"/>
        <w:rPr>
          <w:rFonts w:hAnsi="宋体"/>
          <w:sz w:val="24"/>
        </w:rPr>
      </w:pPr>
      <w:r>
        <w:rPr>
          <w:rFonts w:hAnsi="宋体"/>
          <w:b/>
          <w:sz w:val="24"/>
        </w:rPr>
        <w:t>（</w:t>
      </w:r>
      <w:r>
        <w:rPr>
          <w:rFonts w:hAnsi="宋体"/>
          <w:sz w:val="24"/>
        </w:rPr>
        <w:t>1）未采用人民币报价或者未按照招标文件标明的币种报价的；</w:t>
      </w:r>
    </w:p>
    <w:p>
      <w:pPr>
        <w:snapToGrid w:val="0"/>
        <w:spacing w:line="360" w:lineRule="auto"/>
        <w:ind w:firstLine="472" w:firstLineChars="196"/>
        <w:rPr>
          <w:rFonts w:hAnsi="宋体"/>
          <w:sz w:val="24"/>
        </w:rPr>
      </w:pPr>
      <w:r>
        <w:rPr>
          <w:rFonts w:hAnsi="宋体"/>
          <w:b/>
          <w:sz w:val="24"/>
        </w:rPr>
        <w:t>（</w:t>
      </w:r>
      <w:r>
        <w:rPr>
          <w:rFonts w:hAnsi="宋体"/>
          <w:sz w:val="24"/>
        </w:rPr>
        <w:t>2）报价超出最高限价的</w:t>
      </w:r>
      <w:r>
        <w:rPr>
          <w:rFonts w:hint="eastAsia" w:hAnsi="宋体"/>
          <w:sz w:val="24"/>
        </w:rPr>
        <w:t>；</w:t>
      </w:r>
    </w:p>
    <w:p>
      <w:pPr>
        <w:snapToGrid w:val="0"/>
        <w:spacing w:line="360" w:lineRule="auto"/>
        <w:ind w:firstLine="470" w:firstLineChars="196"/>
        <w:rPr>
          <w:rFonts w:hAnsi="宋体"/>
          <w:sz w:val="24"/>
        </w:rPr>
      </w:pPr>
      <w:r>
        <w:rPr>
          <w:rFonts w:hint="eastAsia" w:hAnsi="宋体"/>
          <w:sz w:val="24"/>
        </w:rPr>
        <w:t>（3）投标报价具有选择性，或者开标价格与投标文件承诺的优惠（折扣）价格不一致的；</w:t>
      </w:r>
    </w:p>
    <w:p>
      <w:pPr>
        <w:snapToGrid w:val="0"/>
        <w:spacing w:line="360" w:lineRule="auto"/>
        <w:ind w:firstLine="472" w:firstLineChars="196"/>
        <w:rPr>
          <w:rFonts w:hAnsi="宋体"/>
          <w:b/>
          <w:sz w:val="24"/>
        </w:rPr>
      </w:pPr>
      <w:r>
        <w:rPr>
          <w:rFonts w:hAnsi="宋体"/>
          <w:b/>
          <w:sz w:val="24"/>
        </w:rPr>
        <w:t>4</w:t>
      </w:r>
      <w:r>
        <w:rPr>
          <w:rFonts w:hint="eastAsia" w:hAnsi="宋体"/>
          <w:b/>
          <w:sz w:val="24"/>
        </w:rPr>
        <w:t>.</w:t>
      </w:r>
      <w:r>
        <w:rPr>
          <w:rFonts w:hAnsi="宋体"/>
          <w:b/>
          <w:sz w:val="24"/>
        </w:rPr>
        <w:t>被拒绝的投标文件为无效。</w:t>
      </w:r>
    </w:p>
    <w:p>
      <w:pPr>
        <w:snapToGrid w:val="0"/>
        <w:spacing w:line="360" w:lineRule="auto"/>
        <w:ind w:firstLine="472" w:firstLineChars="196"/>
        <w:rPr>
          <w:rFonts w:hAnsi="宋体"/>
          <w:b/>
          <w:sz w:val="24"/>
        </w:rPr>
      </w:pPr>
      <w:r>
        <w:rPr>
          <w:rFonts w:hint="eastAsia" w:hAnsi="宋体"/>
          <w:b/>
          <w:sz w:val="24"/>
        </w:rPr>
        <w:t>5.仅提供备份投标文件的无效。</w:t>
      </w:r>
    </w:p>
    <w:p>
      <w:pPr>
        <w:snapToGrid w:val="0"/>
        <w:spacing w:line="360" w:lineRule="auto"/>
        <w:ind w:firstLine="472" w:firstLineChars="196"/>
        <w:rPr>
          <w:rFonts w:hAnsi="宋体"/>
          <w:b/>
          <w:sz w:val="24"/>
        </w:rPr>
      </w:pPr>
      <w:r>
        <w:rPr>
          <w:rFonts w:hint="eastAsia" w:hAnsi="宋体"/>
          <w:b/>
          <w:sz w:val="24"/>
        </w:rPr>
        <w:t>四、开标</w:t>
      </w:r>
    </w:p>
    <w:p>
      <w:pPr>
        <w:snapToGrid w:val="0"/>
        <w:spacing w:line="360" w:lineRule="auto"/>
        <w:ind w:firstLine="472" w:firstLineChars="196"/>
        <w:rPr>
          <w:rFonts w:hAnsi="宋体"/>
          <w:b/>
          <w:sz w:val="24"/>
        </w:rPr>
      </w:pPr>
      <w:r>
        <w:rPr>
          <w:rFonts w:hAnsi="宋体"/>
          <w:b/>
          <w:sz w:val="24"/>
        </w:rPr>
        <w:t>（一）开标准备</w:t>
      </w:r>
    </w:p>
    <w:p>
      <w:pPr>
        <w:snapToGrid w:val="0"/>
        <w:spacing w:line="360" w:lineRule="auto"/>
        <w:ind w:firstLine="470" w:firstLineChars="196"/>
        <w:rPr>
          <w:rFonts w:hAnsi="宋体"/>
          <w:sz w:val="24"/>
        </w:rPr>
      </w:pPr>
      <w:r>
        <w:rPr>
          <w:rFonts w:hint="eastAsia" w:hAnsi="宋体"/>
          <w:sz w:val="24"/>
        </w:rPr>
        <w:t>1.组织机构将按照招标文件规定的时间通过“政府采购云平台”组织开标、开启投标文件，所有供应商均应当准时在线参加。</w:t>
      </w:r>
    </w:p>
    <w:p>
      <w:pPr>
        <w:snapToGrid w:val="0"/>
        <w:spacing w:line="360" w:lineRule="auto"/>
        <w:ind w:firstLine="470" w:firstLineChars="196"/>
        <w:rPr>
          <w:rFonts w:hAnsi="宋体"/>
          <w:sz w:val="24"/>
        </w:rPr>
      </w:pPr>
      <w:r>
        <w:rPr>
          <w:rFonts w:hint="eastAsia" w:hAnsi="宋体"/>
          <w:sz w:val="24"/>
        </w:rPr>
        <w:t>2.按照“不见面、少接触”的原则，本项目原则上采取“不见面”形式进行开评标活动,法定代表人或其授权代表无须到场，在线响应即可（通过指定的电子邮箱、传真等），但也允许供应商派授权代表出席开标会议。</w:t>
      </w:r>
    </w:p>
    <w:p>
      <w:pPr>
        <w:snapToGrid w:val="0"/>
        <w:spacing w:line="360" w:lineRule="auto"/>
        <w:ind w:firstLine="472" w:firstLineChars="196"/>
        <w:rPr>
          <w:rFonts w:hAnsi="宋体"/>
          <w:b/>
          <w:sz w:val="24"/>
        </w:rPr>
      </w:pPr>
      <w:r>
        <w:rPr>
          <w:rFonts w:hAnsi="宋体"/>
          <w:b/>
          <w:sz w:val="24"/>
        </w:rPr>
        <w:t>（二）开标程序：</w:t>
      </w:r>
    </w:p>
    <w:p>
      <w:pPr>
        <w:snapToGrid w:val="0"/>
        <w:spacing w:line="360" w:lineRule="auto"/>
        <w:ind w:firstLine="470" w:firstLineChars="196"/>
        <w:rPr>
          <w:rFonts w:hAnsi="宋体"/>
          <w:sz w:val="24"/>
        </w:rPr>
      </w:pPr>
      <w:r>
        <w:rPr>
          <w:rFonts w:hint="eastAsia" w:hAnsi="宋体"/>
          <w:sz w:val="24"/>
        </w:rPr>
        <w:t>1.开标的准备工作由采购组织机构负责落实；</w:t>
      </w:r>
    </w:p>
    <w:p>
      <w:pPr>
        <w:snapToGrid w:val="0"/>
        <w:spacing w:line="360" w:lineRule="auto"/>
        <w:ind w:firstLine="470" w:firstLineChars="196"/>
        <w:rPr>
          <w:rFonts w:hAnsi="宋体"/>
          <w:sz w:val="24"/>
        </w:rPr>
      </w:pPr>
      <w:r>
        <w:rPr>
          <w:rFonts w:hint="eastAsia" w:hAnsi="宋体"/>
          <w:sz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60" w:lineRule="auto"/>
        <w:ind w:firstLine="472" w:firstLineChars="196"/>
        <w:rPr>
          <w:rFonts w:hAnsi="宋体"/>
          <w:b/>
          <w:sz w:val="24"/>
        </w:rPr>
      </w:pPr>
      <w:r>
        <w:rPr>
          <w:rFonts w:hint="eastAsia" w:hAnsi="宋体"/>
          <w:b/>
          <w:sz w:val="24"/>
        </w:rPr>
        <w:t>（三）开标流程</w:t>
      </w:r>
    </w:p>
    <w:p>
      <w:pPr>
        <w:snapToGrid w:val="0"/>
        <w:spacing w:line="360" w:lineRule="auto"/>
        <w:ind w:firstLine="470" w:firstLineChars="196"/>
        <w:rPr>
          <w:rFonts w:hAnsi="宋体"/>
          <w:sz w:val="24"/>
        </w:rPr>
      </w:pPr>
      <w:r>
        <w:rPr>
          <w:rFonts w:hint="eastAsia" w:hAnsi="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360" w:lineRule="auto"/>
        <w:ind w:firstLine="470" w:firstLineChars="196"/>
        <w:rPr>
          <w:rFonts w:hAnsi="宋体"/>
          <w:sz w:val="24"/>
        </w:rPr>
      </w:pPr>
      <w:r>
        <w:rPr>
          <w:rFonts w:hint="eastAsia" w:hAnsi="宋体"/>
          <w:sz w:val="24"/>
        </w:rPr>
        <w:t>2.投标文件解密结束；</w:t>
      </w:r>
    </w:p>
    <w:p>
      <w:pPr>
        <w:snapToGrid w:val="0"/>
        <w:spacing w:line="360" w:lineRule="auto"/>
        <w:ind w:firstLine="470" w:firstLineChars="196"/>
        <w:rPr>
          <w:rFonts w:hAnsi="宋体"/>
          <w:sz w:val="24"/>
        </w:rPr>
      </w:pPr>
      <w:r>
        <w:rPr>
          <w:rFonts w:hint="eastAsia" w:hAnsi="宋体"/>
          <w:sz w:val="24"/>
        </w:rPr>
        <w:t>3.开启投标文件，进入资格审查；</w:t>
      </w:r>
    </w:p>
    <w:p>
      <w:pPr>
        <w:snapToGrid w:val="0"/>
        <w:spacing w:line="360" w:lineRule="auto"/>
        <w:ind w:firstLine="470" w:firstLineChars="196"/>
        <w:rPr>
          <w:rFonts w:hAnsi="宋体"/>
          <w:sz w:val="24"/>
        </w:rPr>
      </w:pPr>
      <w:r>
        <w:rPr>
          <w:rFonts w:hint="eastAsia" w:hAnsi="宋体"/>
          <w:sz w:val="24"/>
        </w:rPr>
        <w:t>4.开启资格审查通过的投标供应商的商务技术文件进入符合性审查、商务技术评审；</w:t>
      </w:r>
    </w:p>
    <w:p>
      <w:pPr>
        <w:snapToGrid w:val="0"/>
        <w:spacing w:line="360" w:lineRule="auto"/>
        <w:ind w:firstLine="470" w:firstLineChars="196"/>
        <w:rPr>
          <w:rFonts w:hAnsi="宋体"/>
          <w:sz w:val="24"/>
        </w:rPr>
      </w:pPr>
      <w:r>
        <w:rPr>
          <w:rFonts w:hint="eastAsia" w:hAnsi="宋体"/>
          <w:sz w:val="24"/>
        </w:rPr>
        <w:t>1）符合性审查、商务技术评审结束后，公布符合性审查、商务技术评审无效供应商名称及理由；公布经商务技术评审后有效投标供应商的名单，同时公布其商务技术部分得分情况。</w:t>
      </w:r>
    </w:p>
    <w:p>
      <w:pPr>
        <w:snapToGrid w:val="0"/>
        <w:spacing w:line="360" w:lineRule="auto"/>
        <w:ind w:firstLine="470" w:firstLineChars="196"/>
        <w:rPr>
          <w:rFonts w:hAnsi="宋体"/>
          <w:sz w:val="24"/>
        </w:rPr>
      </w:pPr>
      <w:r>
        <w:rPr>
          <w:rFonts w:hint="eastAsia" w:hAnsi="宋体"/>
          <w:sz w:val="24"/>
        </w:rPr>
        <w:t>2）开启符合性审查、商务技术评审有效投标供应商的《报价文件》，公布开标一览表有关内容，同时当场制作开标记录表，唱标结束后，由评标委员会对报价的合理性、准确性等进行审查核实。</w:t>
      </w:r>
    </w:p>
    <w:p>
      <w:pPr>
        <w:snapToGrid w:val="0"/>
        <w:spacing w:line="360" w:lineRule="auto"/>
        <w:ind w:firstLine="470" w:firstLineChars="196"/>
        <w:rPr>
          <w:rFonts w:hAnsi="宋体"/>
          <w:sz w:val="24"/>
        </w:rPr>
      </w:pPr>
      <w:r>
        <w:rPr>
          <w:rFonts w:hint="eastAsia" w:hAnsi="宋体"/>
          <w:sz w:val="24"/>
        </w:rPr>
        <w:t>3）公布报价部分得分情况；</w:t>
      </w:r>
    </w:p>
    <w:p>
      <w:pPr>
        <w:snapToGrid w:val="0"/>
        <w:spacing w:line="360" w:lineRule="auto"/>
        <w:ind w:firstLine="470" w:firstLineChars="196"/>
        <w:rPr>
          <w:rFonts w:hAnsi="宋体"/>
          <w:sz w:val="24"/>
        </w:rPr>
      </w:pPr>
      <w:r>
        <w:rPr>
          <w:rFonts w:hint="eastAsia" w:hAnsi="宋体"/>
          <w:sz w:val="24"/>
        </w:rPr>
        <w:t>4）评审结束后，公布中标（成交）候选供应商名单等。</w:t>
      </w:r>
    </w:p>
    <w:p>
      <w:pPr>
        <w:snapToGrid w:val="0"/>
        <w:spacing w:line="360" w:lineRule="auto"/>
        <w:ind w:firstLine="470" w:firstLineChars="196"/>
        <w:rPr>
          <w:rFonts w:hAnsi="宋体"/>
          <w:sz w:val="24"/>
        </w:rPr>
      </w:pPr>
      <w:r>
        <w:rPr>
          <w:rFonts w:hint="eastAsia" w:hAnsi="宋体"/>
          <w:sz w:val="24"/>
        </w:rPr>
        <w:t>5）开标结束。</w:t>
      </w:r>
    </w:p>
    <w:p>
      <w:pPr>
        <w:snapToGrid w:val="0"/>
        <w:spacing w:line="360" w:lineRule="auto"/>
        <w:ind w:firstLine="470" w:firstLineChars="196"/>
        <w:rPr>
          <w:rFonts w:hAnsi="宋体"/>
          <w:sz w:val="24"/>
        </w:rPr>
      </w:pPr>
      <w:r>
        <w:rPr>
          <w:rFonts w:hint="eastAsia" w:hAnsi="宋体"/>
          <w:sz w:val="24"/>
        </w:rPr>
        <w:t>特别说明：如遇“政府采购云平台”电子化开标或评审程序调整的，按调整后程序执行。</w:t>
      </w:r>
      <w:bookmarkStart w:id="0" w:name="_Toc33194393"/>
      <w:bookmarkStart w:id="1" w:name="_Toc24550037"/>
    </w:p>
    <w:p>
      <w:pPr>
        <w:snapToGrid w:val="0"/>
        <w:spacing w:line="360" w:lineRule="auto"/>
        <w:ind w:firstLine="472" w:firstLineChars="196"/>
        <w:rPr>
          <w:rFonts w:hAnsi="宋体"/>
          <w:b/>
          <w:sz w:val="24"/>
        </w:rPr>
      </w:pPr>
      <w:r>
        <w:rPr>
          <w:rFonts w:hint="eastAsia" w:hAnsi="宋体"/>
          <w:b/>
          <w:sz w:val="24"/>
        </w:rPr>
        <w:t>（四）投标供应商资格审查</w:t>
      </w:r>
      <w:bookmarkEnd w:id="0"/>
      <w:bookmarkEnd w:id="1"/>
    </w:p>
    <w:p>
      <w:pPr>
        <w:snapToGrid w:val="0"/>
        <w:spacing w:line="360" w:lineRule="auto"/>
        <w:ind w:firstLine="470" w:firstLineChars="196"/>
        <w:rPr>
          <w:rFonts w:hAnsi="宋体"/>
          <w:sz w:val="24"/>
        </w:rPr>
      </w:pPr>
      <w:r>
        <w:rPr>
          <w:rFonts w:hint="eastAsia" w:hAnsi="宋体"/>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2"/>
        <w:snapToGrid w:val="0"/>
        <w:spacing w:beforeLines="0" w:afterLines="0" w:line="360" w:lineRule="auto"/>
        <w:ind w:firstLine="480" w:firstLineChars="200"/>
        <w:rPr>
          <w:rFonts w:hAnsi="宋体"/>
          <w:sz w:val="24"/>
        </w:rPr>
      </w:pPr>
      <w:r>
        <w:rPr>
          <w:rFonts w:hint="eastAsia" w:hAnsi="宋体"/>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2"/>
        <w:snapToGrid w:val="0"/>
        <w:spacing w:beforeLines="0" w:afterLines="0" w:line="360" w:lineRule="auto"/>
        <w:ind w:firstLine="480" w:firstLineChars="200"/>
        <w:rPr>
          <w:rFonts w:hAnsi="宋体"/>
          <w:bCs/>
          <w:sz w:val="24"/>
        </w:rPr>
      </w:pPr>
      <w:r>
        <w:rPr>
          <w:rFonts w:hint="eastAsia" w:hAnsi="宋体"/>
          <w:sz w:val="24"/>
        </w:rPr>
        <w:t>3.单位负责人为同一人或者存在直接控股、管理关系的不同供应商参加同一合同项下的政府采购活动的，相关投标供应商均作资格无效处理。</w:t>
      </w:r>
    </w:p>
    <w:p>
      <w:pPr>
        <w:pStyle w:val="12"/>
        <w:snapToGrid w:val="0"/>
        <w:spacing w:beforeLines="0" w:afterLines="0" w:line="360" w:lineRule="auto"/>
        <w:ind w:left="802" w:leftChars="267" w:hanging="241" w:hangingChars="100"/>
        <w:outlineLvl w:val="1"/>
        <w:rPr>
          <w:rFonts w:hAnsi="宋体"/>
          <w:b/>
          <w:sz w:val="24"/>
        </w:rPr>
      </w:pPr>
      <w:r>
        <w:rPr>
          <w:rFonts w:hint="eastAsia" w:hAnsi="宋体"/>
          <w:b/>
          <w:sz w:val="24"/>
        </w:rPr>
        <w:t>五、评标</w:t>
      </w:r>
    </w:p>
    <w:p>
      <w:pPr>
        <w:pStyle w:val="12"/>
        <w:snapToGrid w:val="0"/>
        <w:spacing w:beforeLines="0" w:afterLines="0" w:line="360" w:lineRule="auto"/>
        <w:ind w:left="720" w:leftChars="228" w:hanging="241" w:hangingChars="100"/>
        <w:rPr>
          <w:rFonts w:hAnsi="宋体"/>
          <w:b/>
          <w:sz w:val="24"/>
        </w:rPr>
      </w:pPr>
      <w:r>
        <w:rPr>
          <w:rFonts w:hAnsi="宋体"/>
          <w:b/>
          <w:sz w:val="24"/>
        </w:rPr>
        <w:t>（一）组建评标委员会</w:t>
      </w:r>
    </w:p>
    <w:p>
      <w:pPr>
        <w:pStyle w:val="12"/>
        <w:snapToGrid w:val="0"/>
        <w:spacing w:beforeLines="0" w:afterLines="0" w:line="360" w:lineRule="auto"/>
        <w:ind w:firstLine="480" w:firstLineChars="200"/>
        <w:rPr>
          <w:rFonts w:hAnsi="宋体"/>
          <w:sz w:val="24"/>
        </w:rPr>
      </w:pPr>
      <w:r>
        <w:rPr>
          <w:rFonts w:hAnsi="宋体"/>
          <w:sz w:val="24"/>
        </w:rPr>
        <w:t>本项目评标委员会由政府</w:t>
      </w:r>
      <w:r>
        <w:rPr>
          <w:rFonts w:hint="eastAsia" w:hAnsi="宋体"/>
          <w:sz w:val="24"/>
        </w:rPr>
        <w:t>采购评审专家</w:t>
      </w:r>
      <w:r>
        <w:rPr>
          <w:rFonts w:hAnsi="宋体"/>
          <w:sz w:val="24"/>
        </w:rPr>
        <w:t xml:space="preserve"> 4 </w:t>
      </w:r>
      <w:r>
        <w:rPr>
          <w:rFonts w:hint="eastAsia" w:hAnsi="宋体"/>
          <w:sz w:val="24"/>
        </w:rPr>
        <w:t>人和采购人代表</w:t>
      </w:r>
      <w:r>
        <w:rPr>
          <w:rFonts w:hAnsi="宋体"/>
          <w:sz w:val="24"/>
        </w:rPr>
        <w:t xml:space="preserve"> 1</w:t>
      </w:r>
      <w:r>
        <w:rPr>
          <w:rFonts w:hint="eastAsia" w:hAnsi="宋体"/>
          <w:sz w:val="24"/>
        </w:rPr>
        <w:t>人</w:t>
      </w:r>
      <w:r>
        <w:rPr>
          <w:rFonts w:hAnsi="宋体"/>
          <w:sz w:val="24"/>
        </w:rPr>
        <w:t>,</w:t>
      </w:r>
      <w:r>
        <w:rPr>
          <w:rFonts w:hint="eastAsia" w:hAnsi="宋体"/>
          <w:sz w:val="24"/>
        </w:rPr>
        <w:t>共</w:t>
      </w:r>
      <w:r>
        <w:rPr>
          <w:rFonts w:hAnsi="宋体"/>
          <w:sz w:val="24"/>
        </w:rPr>
        <w:t xml:space="preserve"> 5</w:t>
      </w:r>
      <w:r>
        <w:rPr>
          <w:rFonts w:hint="eastAsia" w:hAnsi="宋体"/>
          <w:sz w:val="24"/>
        </w:rPr>
        <w:t>人组成。</w:t>
      </w:r>
    </w:p>
    <w:p>
      <w:pPr>
        <w:pStyle w:val="12"/>
        <w:snapToGrid w:val="0"/>
        <w:spacing w:beforeLines="0" w:afterLines="0" w:line="360" w:lineRule="auto"/>
        <w:ind w:firstLine="482" w:firstLineChars="200"/>
        <w:rPr>
          <w:rFonts w:hAnsi="宋体"/>
          <w:b/>
          <w:sz w:val="24"/>
        </w:rPr>
      </w:pPr>
      <w:r>
        <w:rPr>
          <w:rFonts w:hAnsi="宋体"/>
          <w:b/>
          <w:sz w:val="24"/>
        </w:rPr>
        <w:t>（二）评标的方式</w:t>
      </w:r>
    </w:p>
    <w:p>
      <w:pPr>
        <w:pStyle w:val="12"/>
        <w:snapToGrid w:val="0"/>
        <w:spacing w:beforeLines="0" w:afterLines="0" w:line="360" w:lineRule="auto"/>
        <w:ind w:left="719" w:leftChars="228" w:hanging="240" w:hangingChars="100"/>
        <w:rPr>
          <w:rFonts w:hAnsi="宋体"/>
          <w:sz w:val="24"/>
        </w:rPr>
      </w:pPr>
      <w:r>
        <w:rPr>
          <w:rFonts w:hAnsi="宋体"/>
          <w:sz w:val="24"/>
        </w:rPr>
        <w:t>本项目采用不公开方式评标，评标的依据为招标文件和投标文件。</w:t>
      </w:r>
    </w:p>
    <w:p>
      <w:pPr>
        <w:pStyle w:val="12"/>
        <w:snapToGrid w:val="0"/>
        <w:spacing w:beforeLines="0" w:afterLines="0" w:line="360" w:lineRule="auto"/>
        <w:ind w:left="720" w:leftChars="228" w:hanging="241" w:hangingChars="100"/>
        <w:rPr>
          <w:rFonts w:hAnsi="宋体"/>
          <w:b/>
          <w:bCs/>
          <w:sz w:val="24"/>
        </w:rPr>
      </w:pPr>
      <w:r>
        <w:rPr>
          <w:rFonts w:hAnsi="宋体"/>
          <w:b/>
          <w:sz w:val="24"/>
        </w:rPr>
        <w:t>（三）</w:t>
      </w:r>
      <w:r>
        <w:rPr>
          <w:rFonts w:hAnsi="宋体"/>
          <w:b/>
          <w:bCs/>
          <w:sz w:val="24"/>
        </w:rPr>
        <w:t>评标程序</w:t>
      </w:r>
    </w:p>
    <w:p>
      <w:pPr>
        <w:pStyle w:val="12"/>
        <w:snapToGrid w:val="0"/>
        <w:spacing w:beforeLines="0" w:afterLines="0" w:line="360" w:lineRule="auto"/>
        <w:ind w:firstLine="470" w:firstLineChars="196"/>
        <w:rPr>
          <w:rFonts w:hAnsi="宋体"/>
          <w:sz w:val="24"/>
        </w:rPr>
      </w:pPr>
      <w:r>
        <w:rPr>
          <w:rFonts w:hint="eastAsia" w:hAnsi="宋体"/>
          <w:sz w:val="24"/>
        </w:rPr>
        <w:t>1.对所有通过资格审查的投标供应商的投标文件进行初步审查，审查、评价投标文件是否符合招标文件的商务、技术、服务等实质性要求。</w:t>
      </w:r>
    </w:p>
    <w:p>
      <w:pPr>
        <w:pStyle w:val="12"/>
        <w:snapToGrid w:val="0"/>
        <w:spacing w:beforeLines="0" w:afterLines="0" w:line="360" w:lineRule="auto"/>
        <w:ind w:firstLine="470" w:firstLineChars="196"/>
        <w:rPr>
          <w:rFonts w:hAnsi="宋体"/>
          <w:sz w:val="24"/>
        </w:rPr>
      </w:pPr>
      <w:r>
        <w:rPr>
          <w:rFonts w:hint="eastAsia" w:hAnsi="宋体"/>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12"/>
        <w:snapToGrid w:val="0"/>
        <w:spacing w:beforeLines="0" w:afterLines="0" w:line="360" w:lineRule="auto"/>
        <w:ind w:firstLine="470" w:firstLineChars="196"/>
        <w:rPr>
          <w:rFonts w:hAnsi="宋体"/>
          <w:sz w:val="24"/>
        </w:rPr>
      </w:pPr>
      <w:r>
        <w:rPr>
          <w:rFonts w:hint="eastAsia" w:hAnsi="宋体"/>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napToGrid w:val="0"/>
        <w:spacing w:line="360" w:lineRule="auto"/>
        <w:ind w:firstLine="482" w:firstLineChars="200"/>
        <w:rPr>
          <w:rFonts w:ascii="宋体" w:hAnsi="宋体"/>
          <w:b/>
          <w:sz w:val="24"/>
        </w:rPr>
      </w:pPr>
      <w:r>
        <w:rPr>
          <w:rFonts w:hint="eastAsia" w:ascii="宋体" w:hAnsi="宋体"/>
          <w:b/>
          <w:sz w:val="24"/>
        </w:rPr>
        <w:t>（四）澄清问题的形式</w:t>
      </w:r>
    </w:p>
    <w:p>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360" w:lineRule="auto"/>
        <w:ind w:firstLine="482" w:firstLineChars="200"/>
        <w:rPr>
          <w:rFonts w:ascii="宋体" w:hAnsi="宋体"/>
          <w:b/>
          <w:sz w:val="24"/>
        </w:rPr>
      </w:pPr>
      <w:r>
        <w:rPr>
          <w:rFonts w:ascii="宋体" w:hAnsi="宋体"/>
          <w:b/>
          <w:sz w:val="24"/>
        </w:rPr>
        <w:t>（五）错误修正</w:t>
      </w:r>
    </w:p>
    <w:p>
      <w:pPr>
        <w:pStyle w:val="12"/>
        <w:snapToGrid w:val="0"/>
        <w:spacing w:beforeLines="0" w:afterLines="0" w:line="360" w:lineRule="auto"/>
        <w:ind w:firstLine="470" w:firstLineChars="196"/>
        <w:rPr>
          <w:rFonts w:hAnsi="宋体"/>
          <w:sz w:val="24"/>
        </w:rPr>
      </w:pPr>
      <w:r>
        <w:rPr>
          <w:rFonts w:hAnsi="宋体"/>
          <w:sz w:val="24"/>
        </w:rPr>
        <w:t>投标文件如果出现计算或表达上的错误，修正错误的原则如下：</w:t>
      </w:r>
    </w:p>
    <w:p>
      <w:pPr>
        <w:pStyle w:val="12"/>
        <w:snapToGrid w:val="0"/>
        <w:spacing w:beforeLines="0" w:afterLines="0" w:line="360" w:lineRule="auto"/>
        <w:ind w:firstLine="470" w:firstLineChars="196"/>
        <w:rPr>
          <w:rFonts w:hAnsi="宋体"/>
          <w:sz w:val="24"/>
        </w:rPr>
      </w:pPr>
      <w:r>
        <w:rPr>
          <w:rFonts w:hAnsi="宋体"/>
          <w:sz w:val="24"/>
        </w:rPr>
        <w:t>1</w:t>
      </w:r>
      <w:r>
        <w:rPr>
          <w:rFonts w:hint="eastAsia" w:hAnsi="宋体"/>
          <w:sz w:val="24"/>
        </w:rPr>
        <w:t>.开标一览表总价与投标报价明细表汇总数不一致的，以开标一览表为准；</w:t>
      </w:r>
    </w:p>
    <w:p>
      <w:pPr>
        <w:pStyle w:val="12"/>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投标文件的大写金额和小写金额不一致的，以大写金额为准；</w:t>
      </w:r>
    </w:p>
    <w:p>
      <w:pPr>
        <w:pStyle w:val="12"/>
        <w:snapToGrid w:val="0"/>
        <w:spacing w:beforeLines="0" w:afterLines="0" w:line="360" w:lineRule="auto"/>
        <w:ind w:firstLine="470" w:firstLineChars="196"/>
        <w:rPr>
          <w:rFonts w:hAnsi="宋体"/>
          <w:sz w:val="24"/>
        </w:rPr>
      </w:pPr>
      <w:r>
        <w:rPr>
          <w:rFonts w:hAnsi="宋体"/>
          <w:sz w:val="24"/>
        </w:rPr>
        <w:t>3</w:t>
      </w:r>
      <w:r>
        <w:rPr>
          <w:rFonts w:hint="eastAsia" w:hAnsi="宋体"/>
          <w:sz w:val="24"/>
        </w:rPr>
        <w:t>.</w:t>
      </w:r>
      <w:r>
        <w:rPr>
          <w:rFonts w:hAnsi="宋体"/>
          <w:sz w:val="24"/>
        </w:rPr>
        <w:t>总价金额与按单价汇总金额不一致的，以单价金额计算结果为准；</w:t>
      </w:r>
    </w:p>
    <w:p>
      <w:pPr>
        <w:pStyle w:val="12"/>
        <w:snapToGrid w:val="0"/>
        <w:spacing w:beforeLines="0" w:afterLines="0" w:line="360" w:lineRule="auto"/>
        <w:ind w:firstLine="470" w:firstLineChars="196"/>
        <w:rPr>
          <w:rFonts w:hAnsi="宋体"/>
          <w:sz w:val="24"/>
        </w:rPr>
      </w:pPr>
      <w:r>
        <w:rPr>
          <w:rFonts w:hAnsi="宋体"/>
          <w:sz w:val="24"/>
        </w:rPr>
        <w:t>4</w:t>
      </w:r>
      <w:r>
        <w:rPr>
          <w:rFonts w:hint="eastAsia" w:hAnsi="宋体"/>
          <w:sz w:val="24"/>
        </w:rPr>
        <w:t>.</w:t>
      </w:r>
      <w:r>
        <w:rPr>
          <w:rFonts w:hAnsi="宋体"/>
          <w:sz w:val="24"/>
        </w:rPr>
        <w:t>对不同文字文本投标文件的解释发生异议的，以中文文本为准。</w:t>
      </w:r>
    </w:p>
    <w:p>
      <w:pPr>
        <w:pStyle w:val="12"/>
        <w:snapToGrid w:val="0"/>
        <w:spacing w:beforeLines="0" w:afterLines="0" w:line="360" w:lineRule="auto"/>
        <w:ind w:firstLine="482" w:firstLineChars="200"/>
        <w:rPr>
          <w:rFonts w:hAnsi="宋体"/>
          <w:b/>
          <w:bCs/>
          <w:sz w:val="24"/>
        </w:rPr>
      </w:pPr>
      <w:r>
        <w:rPr>
          <w:rFonts w:hAnsi="宋体"/>
          <w:b/>
          <w:bCs/>
          <w:sz w:val="24"/>
        </w:rPr>
        <w:t>按上述修正错误的原则及方法调整或修正投标文件的投标报价，投标人同意</w:t>
      </w:r>
      <w:r>
        <w:rPr>
          <w:rFonts w:hint="eastAsia" w:hAnsi="宋体"/>
          <w:b/>
          <w:bCs/>
          <w:sz w:val="24"/>
        </w:rPr>
        <w:t>并签字确认</w:t>
      </w:r>
      <w:r>
        <w:rPr>
          <w:rFonts w:hAnsi="宋体"/>
          <w:b/>
          <w:bCs/>
          <w:sz w:val="24"/>
        </w:rPr>
        <w:t>后，调整后的投标报价对投标人具有约束作用。如果投标人不接受修正后的报价，则其投标将</w:t>
      </w:r>
      <w:r>
        <w:rPr>
          <w:rFonts w:hint="eastAsia" w:hAnsi="宋体"/>
          <w:b/>
          <w:bCs/>
          <w:sz w:val="24"/>
        </w:rPr>
        <w:t>作为无效投标处理</w:t>
      </w:r>
      <w:r>
        <w:rPr>
          <w:rFonts w:hAnsi="宋体"/>
          <w:b/>
          <w:bCs/>
          <w:sz w:val="24"/>
        </w:rPr>
        <w:t>。</w:t>
      </w:r>
    </w:p>
    <w:p>
      <w:pPr>
        <w:pStyle w:val="12"/>
        <w:tabs>
          <w:tab w:val="left" w:pos="630"/>
        </w:tabs>
        <w:snapToGrid w:val="0"/>
        <w:spacing w:beforeLines="0" w:afterLines="0" w:line="360" w:lineRule="auto"/>
        <w:ind w:firstLine="472" w:firstLineChars="196"/>
        <w:rPr>
          <w:rFonts w:hAnsi="宋体"/>
          <w:b/>
          <w:sz w:val="24"/>
        </w:rPr>
      </w:pPr>
      <w:r>
        <w:rPr>
          <w:rFonts w:hAnsi="宋体"/>
          <w:b/>
          <w:sz w:val="24"/>
        </w:rPr>
        <w:t>（六）评标原则和评标办法</w:t>
      </w:r>
    </w:p>
    <w:p>
      <w:pPr>
        <w:pStyle w:val="12"/>
        <w:snapToGrid w:val="0"/>
        <w:spacing w:beforeLines="0" w:afterLines="0" w:line="360" w:lineRule="auto"/>
        <w:ind w:firstLine="470" w:firstLineChars="196"/>
        <w:rPr>
          <w:rFonts w:hAnsi="宋体"/>
          <w:sz w:val="24"/>
        </w:rPr>
      </w:pPr>
      <w:r>
        <w:rPr>
          <w:rFonts w:hAnsi="宋体"/>
          <w:sz w:val="24"/>
        </w:rPr>
        <w:t>1</w:t>
      </w:r>
      <w:r>
        <w:rPr>
          <w:rFonts w:hint="eastAsia" w:hAnsi="宋体"/>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评标办法。本项目评标办法是本项目采取综合评分法，具体评标内容及评分标准等详见《第四章：评标办法及评分标准》。</w:t>
      </w:r>
    </w:p>
    <w:p>
      <w:pPr>
        <w:pStyle w:val="12"/>
        <w:snapToGrid w:val="0"/>
        <w:spacing w:beforeLines="0" w:afterLines="0" w:line="360" w:lineRule="auto"/>
        <w:ind w:firstLine="482" w:firstLineChars="200"/>
        <w:rPr>
          <w:rFonts w:hAnsi="宋体"/>
          <w:b/>
          <w:sz w:val="24"/>
        </w:rPr>
      </w:pPr>
      <w:r>
        <w:rPr>
          <w:rFonts w:hint="eastAsia" w:hAnsi="宋体"/>
          <w:b/>
          <w:sz w:val="24"/>
        </w:rPr>
        <w:t>（七）废标</w:t>
      </w:r>
    </w:p>
    <w:p>
      <w:pPr>
        <w:pStyle w:val="12"/>
        <w:snapToGrid w:val="0"/>
        <w:spacing w:beforeLines="0" w:afterLines="0" w:line="360" w:lineRule="auto"/>
        <w:ind w:firstLine="470" w:firstLineChars="196"/>
        <w:rPr>
          <w:rFonts w:hAnsi="宋体"/>
          <w:sz w:val="24"/>
        </w:rPr>
      </w:pPr>
      <w:r>
        <w:rPr>
          <w:rFonts w:hint="eastAsia" w:hAnsi="宋体"/>
          <w:sz w:val="24"/>
        </w:rPr>
        <w:t>在采购中，出现下列情形之一的，应予废标：</w:t>
      </w:r>
    </w:p>
    <w:p>
      <w:pPr>
        <w:pStyle w:val="12"/>
        <w:snapToGrid w:val="0"/>
        <w:spacing w:beforeLines="0" w:afterLines="0" w:line="360" w:lineRule="auto"/>
        <w:ind w:firstLine="470" w:firstLineChars="196"/>
        <w:rPr>
          <w:rFonts w:hAnsi="宋体"/>
          <w:sz w:val="24"/>
        </w:rPr>
      </w:pPr>
      <w:r>
        <w:rPr>
          <w:rFonts w:hint="eastAsia" w:hAnsi="宋体"/>
          <w:sz w:val="24"/>
        </w:rPr>
        <w:t>1.符合专业条件的供应商或者对招标文件作实质响应的供应商不足3家的；</w:t>
      </w:r>
    </w:p>
    <w:p>
      <w:pPr>
        <w:pStyle w:val="12"/>
        <w:snapToGrid w:val="0"/>
        <w:spacing w:beforeLines="0" w:afterLines="0" w:line="360" w:lineRule="auto"/>
        <w:ind w:firstLine="470" w:firstLineChars="196"/>
        <w:rPr>
          <w:rFonts w:hAnsi="宋体"/>
          <w:sz w:val="24"/>
        </w:rPr>
      </w:pPr>
      <w:r>
        <w:rPr>
          <w:rFonts w:hint="eastAsia" w:hAnsi="宋体"/>
          <w:sz w:val="24"/>
        </w:rPr>
        <w:t>2.出现影响采购公正的违法、违规行为的；</w:t>
      </w:r>
    </w:p>
    <w:p>
      <w:pPr>
        <w:pStyle w:val="12"/>
        <w:snapToGrid w:val="0"/>
        <w:spacing w:beforeLines="0" w:afterLines="0" w:line="360" w:lineRule="auto"/>
        <w:ind w:firstLine="470" w:firstLineChars="196"/>
        <w:rPr>
          <w:rFonts w:hAnsi="宋体"/>
          <w:sz w:val="24"/>
        </w:rPr>
      </w:pPr>
      <w:r>
        <w:rPr>
          <w:rFonts w:hint="eastAsia" w:hAnsi="宋体"/>
          <w:sz w:val="24"/>
        </w:rPr>
        <w:t>3.报价均超过预算，不能支付的；</w:t>
      </w:r>
    </w:p>
    <w:p>
      <w:pPr>
        <w:pStyle w:val="12"/>
        <w:snapToGrid w:val="0"/>
        <w:spacing w:beforeLines="0" w:afterLines="0" w:line="360" w:lineRule="auto"/>
        <w:ind w:firstLine="470" w:firstLineChars="196"/>
        <w:rPr>
          <w:rFonts w:hAnsi="宋体"/>
          <w:sz w:val="24"/>
        </w:rPr>
      </w:pPr>
      <w:r>
        <w:rPr>
          <w:rFonts w:hint="eastAsia" w:hAnsi="宋体"/>
          <w:sz w:val="24"/>
        </w:rPr>
        <w:t>4.因重大变故，采购任务取消的。</w:t>
      </w:r>
    </w:p>
    <w:p>
      <w:pPr>
        <w:pStyle w:val="12"/>
        <w:snapToGrid w:val="0"/>
        <w:spacing w:beforeLines="0" w:afterLines="0" w:line="360" w:lineRule="auto"/>
        <w:ind w:firstLine="482" w:firstLineChars="200"/>
        <w:rPr>
          <w:rFonts w:hAnsi="宋体"/>
          <w:b/>
          <w:sz w:val="24"/>
        </w:rPr>
      </w:pPr>
      <w:r>
        <w:rPr>
          <w:rFonts w:hint="eastAsia" w:hAnsi="宋体"/>
          <w:b/>
          <w:sz w:val="24"/>
        </w:rPr>
        <w:t>（八）可中止电子交易活动的情形</w:t>
      </w:r>
    </w:p>
    <w:p>
      <w:pPr>
        <w:pStyle w:val="12"/>
        <w:snapToGrid w:val="0"/>
        <w:spacing w:beforeLines="0" w:afterLines="0" w:line="360" w:lineRule="auto"/>
        <w:ind w:firstLine="470" w:firstLineChars="196"/>
        <w:rPr>
          <w:rFonts w:hAnsi="宋体"/>
          <w:sz w:val="24"/>
        </w:rPr>
      </w:pPr>
      <w:r>
        <w:rPr>
          <w:rFonts w:hint="eastAsia" w:hAnsi="宋体"/>
          <w:sz w:val="24"/>
        </w:rPr>
        <w:t>采购过程中出现以下情形，导致电子交易平台无法正常运行，或者无法保证电子交易的公平、公正和安全时，采购组织机构可中止电子交易活动：</w:t>
      </w:r>
    </w:p>
    <w:p>
      <w:pPr>
        <w:pStyle w:val="12"/>
        <w:snapToGrid w:val="0"/>
        <w:spacing w:beforeLines="0" w:afterLines="0" w:line="360" w:lineRule="auto"/>
        <w:ind w:firstLine="470" w:firstLineChars="196"/>
        <w:rPr>
          <w:rFonts w:hAnsi="宋体"/>
          <w:sz w:val="24"/>
        </w:rPr>
      </w:pPr>
      <w:r>
        <w:rPr>
          <w:rFonts w:hint="eastAsia" w:hAnsi="宋体"/>
          <w:sz w:val="24"/>
        </w:rPr>
        <w:t>1、电子交易平台发生故障而无法登录访问的；</w:t>
      </w:r>
    </w:p>
    <w:p>
      <w:pPr>
        <w:pStyle w:val="12"/>
        <w:snapToGrid w:val="0"/>
        <w:spacing w:beforeLines="0" w:afterLines="0" w:line="360" w:lineRule="auto"/>
        <w:ind w:firstLine="470" w:firstLineChars="196"/>
        <w:rPr>
          <w:rFonts w:hAnsi="宋体"/>
          <w:sz w:val="24"/>
        </w:rPr>
      </w:pPr>
      <w:r>
        <w:rPr>
          <w:rFonts w:hint="eastAsia" w:hAnsi="宋体"/>
          <w:sz w:val="24"/>
        </w:rPr>
        <w:t>2、电子交易平台应用或数据库出现错误，不能进行正常操作的；</w:t>
      </w:r>
    </w:p>
    <w:p>
      <w:pPr>
        <w:pStyle w:val="12"/>
        <w:snapToGrid w:val="0"/>
        <w:spacing w:beforeLines="0" w:afterLines="0" w:line="360" w:lineRule="auto"/>
        <w:ind w:firstLine="470" w:firstLineChars="196"/>
        <w:rPr>
          <w:rFonts w:hAnsi="宋体"/>
          <w:sz w:val="24"/>
        </w:rPr>
      </w:pPr>
      <w:r>
        <w:rPr>
          <w:rFonts w:hint="eastAsia" w:hAnsi="宋体"/>
          <w:sz w:val="24"/>
        </w:rPr>
        <w:t>3、电子交易平台发现严重安全漏洞，有潜在泄密危险的；</w:t>
      </w:r>
    </w:p>
    <w:p>
      <w:pPr>
        <w:pStyle w:val="12"/>
        <w:snapToGrid w:val="0"/>
        <w:spacing w:beforeLines="0" w:afterLines="0" w:line="360" w:lineRule="auto"/>
        <w:ind w:firstLine="470" w:firstLineChars="196"/>
        <w:rPr>
          <w:rFonts w:hAnsi="宋体"/>
          <w:sz w:val="24"/>
        </w:rPr>
      </w:pPr>
      <w:r>
        <w:rPr>
          <w:rFonts w:hint="eastAsia" w:hAnsi="宋体"/>
          <w:sz w:val="24"/>
        </w:rPr>
        <w:t>4、病毒发作导致不能进行正常操作的；</w:t>
      </w:r>
    </w:p>
    <w:p>
      <w:pPr>
        <w:pStyle w:val="12"/>
        <w:snapToGrid w:val="0"/>
        <w:spacing w:beforeLines="0" w:afterLines="0" w:line="360" w:lineRule="auto"/>
        <w:ind w:firstLine="470" w:firstLineChars="196"/>
        <w:rPr>
          <w:rFonts w:hAnsi="宋体"/>
          <w:sz w:val="24"/>
        </w:rPr>
      </w:pPr>
      <w:r>
        <w:rPr>
          <w:rFonts w:hint="eastAsia" w:hAnsi="宋体"/>
          <w:sz w:val="24"/>
        </w:rPr>
        <w:t>5、其他无法保证电子交易的公平、公正和安全的情况。</w:t>
      </w:r>
    </w:p>
    <w:p>
      <w:pPr>
        <w:pStyle w:val="12"/>
        <w:snapToGrid w:val="0"/>
        <w:spacing w:beforeLines="0" w:afterLines="0" w:line="360" w:lineRule="auto"/>
        <w:ind w:firstLine="470" w:firstLineChars="196"/>
        <w:rPr>
          <w:rFonts w:hAnsi="宋体"/>
          <w:sz w:val="24"/>
        </w:rPr>
      </w:pPr>
      <w:r>
        <w:rPr>
          <w:rFonts w:hint="eastAsia" w:hAnsi="宋体"/>
          <w:sz w:val="24"/>
        </w:rPr>
        <w:t>出现前款规定情形，不影响采购公平、公正性的，采购组织机构可以待上述情形消除后继续组织电子交易活动；影响或可能影响采购公平、公正性的，应当重新采购。</w:t>
      </w:r>
    </w:p>
    <w:p>
      <w:pPr>
        <w:pStyle w:val="12"/>
        <w:snapToGrid w:val="0"/>
        <w:spacing w:beforeLines="0" w:afterLines="0" w:line="360" w:lineRule="auto"/>
        <w:ind w:firstLine="472" w:firstLineChars="196"/>
        <w:outlineLvl w:val="1"/>
        <w:rPr>
          <w:rFonts w:hAnsi="宋体"/>
          <w:b/>
          <w:sz w:val="24"/>
        </w:rPr>
      </w:pPr>
      <w:r>
        <w:rPr>
          <w:rFonts w:hint="eastAsia" w:hAnsi="宋体"/>
          <w:b/>
          <w:sz w:val="24"/>
        </w:rPr>
        <w:t>六、定标</w:t>
      </w:r>
    </w:p>
    <w:p>
      <w:pPr>
        <w:pStyle w:val="12"/>
        <w:snapToGrid w:val="0"/>
        <w:spacing w:beforeLines="0" w:afterLines="0" w:line="360" w:lineRule="auto"/>
        <w:ind w:firstLine="472" w:firstLineChars="196"/>
        <w:rPr>
          <w:rFonts w:hAnsi="宋体"/>
          <w:b/>
          <w:bCs/>
          <w:sz w:val="24"/>
        </w:rPr>
      </w:pPr>
      <w:r>
        <w:rPr>
          <w:rFonts w:hint="eastAsia" w:hAnsi="宋体"/>
          <w:b/>
          <w:bCs/>
          <w:sz w:val="24"/>
        </w:rPr>
        <w:t>（一）确定中标人。</w:t>
      </w:r>
      <w:r>
        <w:rPr>
          <w:rFonts w:hint="eastAsia" w:hAnsi="宋体"/>
          <w:b/>
          <w:sz w:val="24"/>
        </w:rPr>
        <w:t>本项目由采购人授权评标委员会确定中标人。</w:t>
      </w:r>
    </w:p>
    <w:p>
      <w:pPr>
        <w:pStyle w:val="12"/>
        <w:snapToGrid w:val="0"/>
        <w:spacing w:beforeLines="0" w:afterLines="0" w:line="360" w:lineRule="auto"/>
        <w:ind w:firstLine="470" w:firstLineChars="196"/>
        <w:rPr>
          <w:rFonts w:hAnsi="宋体"/>
          <w:sz w:val="24"/>
        </w:rPr>
      </w:pPr>
      <w:r>
        <w:rPr>
          <w:rFonts w:hint="eastAsia" w:hAnsi="宋体"/>
          <w:sz w:val="24"/>
        </w:rPr>
        <w:t>1.采购人在收到评标报告后五个工作日内，依法确认中标供应商。</w:t>
      </w:r>
    </w:p>
    <w:p>
      <w:pPr>
        <w:pStyle w:val="12"/>
        <w:snapToGrid w:val="0"/>
        <w:spacing w:beforeLines="0" w:afterLines="0" w:line="360" w:lineRule="auto"/>
        <w:ind w:firstLine="470" w:firstLineChars="196"/>
        <w:rPr>
          <w:rFonts w:hAnsi="宋体"/>
          <w:sz w:val="24"/>
        </w:rPr>
      </w:pPr>
      <w:r>
        <w:rPr>
          <w:rFonts w:hint="eastAsia" w:hAnsi="宋体"/>
          <w:sz w:val="24"/>
        </w:rPr>
        <w:t>2.中标供应商确定后，中标结果在财政部门指定的政府采购信息发布媒体上公告。</w:t>
      </w:r>
    </w:p>
    <w:p>
      <w:pPr>
        <w:pStyle w:val="12"/>
        <w:snapToGrid w:val="0"/>
        <w:spacing w:beforeLines="0" w:afterLines="0" w:line="360" w:lineRule="auto"/>
        <w:ind w:firstLine="470" w:firstLineChars="196"/>
        <w:rPr>
          <w:rFonts w:hAnsi="宋体"/>
          <w:sz w:val="24"/>
        </w:rPr>
      </w:pPr>
      <w:r>
        <w:rPr>
          <w:rFonts w:hint="eastAsia" w:hAnsi="宋体"/>
          <w:sz w:val="24"/>
        </w:rPr>
        <w:t>3.在发布公告的同时，招标采购单位向中标供应商发出中标通知书，中标通知书对采购人和中标供应商具有同等法律效力。</w:t>
      </w:r>
    </w:p>
    <w:p>
      <w:pPr>
        <w:pStyle w:val="12"/>
        <w:snapToGrid w:val="0"/>
        <w:spacing w:beforeLines="0" w:afterLines="0" w:line="360" w:lineRule="auto"/>
        <w:ind w:firstLine="472" w:firstLineChars="196"/>
        <w:rPr>
          <w:rFonts w:hAnsi="宋体"/>
          <w:b/>
          <w:sz w:val="24"/>
        </w:rPr>
      </w:pPr>
      <w:r>
        <w:rPr>
          <w:rFonts w:hint="eastAsia" w:hAnsi="宋体"/>
          <w:b/>
          <w:sz w:val="24"/>
        </w:rPr>
        <w:t>4根据浙江省财政厅《</w:t>
      </w:r>
      <w:r>
        <w:rPr>
          <w:rFonts w:hAnsi="宋体"/>
          <w:b/>
          <w:sz w:val="24"/>
        </w:rPr>
        <w:t>关于印发浙江省政府采购供应商注册及诚信管理暂行办法的通知</w:t>
      </w:r>
      <w:r>
        <w:rPr>
          <w:rFonts w:hint="eastAsia" w:hAnsi="宋体"/>
          <w:b/>
          <w:sz w:val="24"/>
        </w:rPr>
        <w:t>》[</w:t>
      </w:r>
      <w:r>
        <w:rPr>
          <w:rFonts w:hAnsi="宋体"/>
          <w:b/>
          <w:sz w:val="24"/>
        </w:rPr>
        <w:t>浙财采监字〔2009〕28号</w:t>
      </w:r>
      <w:r>
        <w:rPr>
          <w:rFonts w:hint="eastAsia" w:hAnsi="宋体"/>
          <w:b/>
          <w:sz w:val="24"/>
        </w:rPr>
        <w:t>]精神，中标供应商在领取中标通知书前，必须在《浙江政府采购网》上完成供应商的注册工作，经初审、终审及公示后方可正式领取中标通知书。</w:t>
      </w:r>
    </w:p>
    <w:p>
      <w:pPr>
        <w:pStyle w:val="12"/>
        <w:snapToGrid w:val="0"/>
        <w:spacing w:beforeLines="0" w:afterLines="0" w:line="360" w:lineRule="auto"/>
        <w:ind w:firstLine="470" w:firstLineChars="196"/>
        <w:rPr>
          <w:rFonts w:hAnsi="宋体"/>
          <w:sz w:val="24"/>
        </w:rPr>
      </w:pPr>
      <w:r>
        <w:rPr>
          <w:rFonts w:hint="eastAsia" w:hAnsi="宋体"/>
          <w:sz w:val="24"/>
        </w:rPr>
        <w:t>5.中标通知书发出后，采购人改变中标结果，或者中标供应商放弃中标，应当承担相应的法律责任。</w:t>
      </w:r>
    </w:p>
    <w:p>
      <w:pPr>
        <w:pStyle w:val="12"/>
        <w:snapToGrid w:val="0"/>
        <w:spacing w:beforeLines="0" w:afterLines="0" w:line="360" w:lineRule="auto"/>
        <w:ind w:firstLine="470" w:firstLineChars="196"/>
        <w:rPr>
          <w:rFonts w:hAnsi="宋体"/>
          <w:sz w:val="24"/>
        </w:rPr>
      </w:pPr>
      <w:r>
        <w:rPr>
          <w:rFonts w:hint="eastAsia" w:hAnsi="宋体"/>
          <w:sz w:val="24"/>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12"/>
        <w:snapToGrid w:val="0"/>
        <w:spacing w:beforeLines="0" w:afterLines="0" w:line="360" w:lineRule="auto"/>
        <w:ind w:firstLine="472" w:firstLineChars="196"/>
        <w:rPr>
          <w:rFonts w:hAnsi="宋体"/>
          <w:b/>
          <w:sz w:val="24"/>
        </w:rPr>
      </w:pPr>
      <w:r>
        <w:rPr>
          <w:rFonts w:hint="eastAsia" w:hAnsi="宋体"/>
          <w:b/>
          <w:sz w:val="24"/>
        </w:rPr>
        <w:t>（二）中标通知书</w:t>
      </w:r>
    </w:p>
    <w:p>
      <w:pPr>
        <w:pStyle w:val="12"/>
        <w:snapToGrid w:val="0"/>
        <w:spacing w:beforeLines="0" w:afterLines="0" w:line="360" w:lineRule="auto"/>
        <w:ind w:firstLine="470" w:firstLineChars="196"/>
        <w:rPr>
          <w:rFonts w:hAnsi="宋体"/>
          <w:sz w:val="24"/>
        </w:rPr>
      </w:pPr>
      <w:r>
        <w:rPr>
          <w:rFonts w:hint="eastAsia" w:hAnsi="宋体"/>
          <w:sz w:val="24"/>
        </w:rPr>
        <w:t>1.确定中标供应商后，招标采购单位将以书面形式发出中标通知书，通知中标的投标人其投标被接受。</w:t>
      </w:r>
    </w:p>
    <w:p>
      <w:pPr>
        <w:pStyle w:val="12"/>
        <w:snapToGrid w:val="0"/>
        <w:spacing w:beforeLines="0" w:afterLines="0" w:line="360" w:lineRule="auto"/>
        <w:ind w:firstLine="470" w:firstLineChars="196"/>
        <w:rPr>
          <w:rFonts w:hAnsi="宋体"/>
          <w:sz w:val="24"/>
        </w:rPr>
      </w:pPr>
      <w:r>
        <w:rPr>
          <w:rFonts w:hint="eastAsia" w:hAnsi="宋体"/>
          <w:sz w:val="24"/>
        </w:rPr>
        <w:t>2.中标通知书为双方签订合同的依据。</w:t>
      </w:r>
    </w:p>
    <w:p>
      <w:pPr>
        <w:pStyle w:val="12"/>
        <w:snapToGrid w:val="0"/>
        <w:spacing w:beforeLines="0" w:afterLines="0" w:line="360" w:lineRule="auto"/>
        <w:ind w:firstLine="470" w:firstLineChars="196"/>
        <w:rPr>
          <w:rFonts w:hAnsi="宋体"/>
          <w:sz w:val="24"/>
        </w:rPr>
      </w:pPr>
      <w:r>
        <w:rPr>
          <w:rFonts w:hint="eastAsia" w:hAnsi="宋体"/>
          <w:sz w:val="24"/>
        </w:rPr>
        <w:t>3.中标供应商应根据中标通知书中规定的时间内，由法定代表人或其授权代理人与采购人签订合同。</w:t>
      </w:r>
    </w:p>
    <w:p>
      <w:pPr>
        <w:pStyle w:val="12"/>
        <w:snapToGrid w:val="0"/>
        <w:spacing w:beforeLines="0" w:afterLines="0" w:line="360" w:lineRule="auto"/>
        <w:ind w:firstLine="472" w:firstLineChars="196"/>
        <w:outlineLvl w:val="1"/>
        <w:rPr>
          <w:rFonts w:hAnsi="宋体"/>
          <w:b/>
          <w:sz w:val="24"/>
        </w:rPr>
      </w:pPr>
      <w:r>
        <w:rPr>
          <w:rFonts w:hint="eastAsia" w:hAnsi="宋体"/>
          <w:b/>
          <w:sz w:val="24"/>
        </w:rPr>
        <w:t>七、合同授予</w:t>
      </w:r>
    </w:p>
    <w:p>
      <w:pPr>
        <w:snapToGrid w:val="0"/>
        <w:spacing w:line="360" w:lineRule="auto"/>
        <w:ind w:firstLine="472" w:firstLineChars="196"/>
        <w:rPr>
          <w:rFonts w:ascii="宋体" w:hAnsi="宋体"/>
          <w:b/>
          <w:bCs/>
          <w:sz w:val="24"/>
        </w:rPr>
      </w:pPr>
      <w:r>
        <w:rPr>
          <w:rFonts w:hint="eastAsia" w:ascii="宋体" w:hAnsi="宋体"/>
          <w:b/>
          <w:bCs/>
          <w:sz w:val="24"/>
        </w:rPr>
        <w:t>（一）签订合同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12"/>
        <w:snapToGrid w:val="0"/>
        <w:spacing w:beforeLines="0" w:afterLines="0" w:line="360" w:lineRule="auto"/>
        <w:ind w:firstLine="472" w:firstLineChars="196"/>
        <w:rPr>
          <w:rFonts w:hAnsi="宋体"/>
          <w:b/>
          <w:sz w:val="24"/>
        </w:rPr>
      </w:pPr>
      <w:r>
        <w:rPr>
          <w:rFonts w:hAnsi="宋体"/>
          <w:b/>
          <w:sz w:val="24"/>
        </w:rPr>
        <w:t>（二）履约保证金</w:t>
      </w:r>
    </w:p>
    <w:p>
      <w:pPr>
        <w:pStyle w:val="12"/>
        <w:snapToGrid w:val="0"/>
        <w:spacing w:beforeLines="0" w:afterLines="0" w:line="360" w:lineRule="auto"/>
        <w:ind w:firstLine="470" w:firstLineChars="196"/>
        <w:outlineLvl w:val="1"/>
        <w:rPr>
          <w:rFonts w:hAnsi="宋体"/>
          <w:sz w:val="24"/>
        </w:rPr>
      </w:pPr>
      <w:r>
        <w:rPr>
          <w:rFonts w:hAnsi="宋体"/>
          <w:sz w:val="24"/>
        </w:rPr>
        <w:t>本项目的履约保证金为合同价的1%；履约保证金形式为：现金或银行、保险公司出具的保函；中标人应根据采购人要求汇入采购人指定账号或提供保函。项目终验合格后，退还履约保证金。</w:t>
      </w:r>
    </w:p>
    <w:p>
      <w:pPr>
        <w:pStyle w:val="12"/>
        <w:snapToGrid w:val="0"/>
        <w:spacing w:beforeLines="0" w:afterLines="0" w:line="360" w:lineRule="auto"/>
        <w:ind w:firstLine="472" w:firstLineChars="196"/>
        <w:outlineLvl w:val="1"/>
        <w:rPr>
          <w:rFonts w:hAnsi="宋体"/>
          <w:b/>
          <w:sz w:val="24"/>
        </w:rPr>
      </w:pPr>
      <w:r>
        <w:rPr>
          <w:rFonts w:hint="eastAsia" w:hAnsi="宋体"/>
          <w:b/>
          <w:sz w:val="24"/>
        </w:rPr>
        <w:t>(三)其他</w:t>
      </w:r>
    </w:p>
    <w:p>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pPr>
        <w:snapToGrid w:val="0"/>
        <w:spacing w:line="360" w:lineRule="auto"/>
        <w:ind w:firstLine="470" w:firstLineChars="196"/>
        <w:rPr>
          <w:rFonts w:ascii="宋体" w:hAnsi="宋体"/>
          <w:sz w:val="24"/>
        </w:rPr>
      </w:pPr>
      <w:r>
        <w:rPr>
          <w:rFonts w:hint="eastAsia" w:ascii="宋体" w:hAnsi="宋体"/>
          <w:sz w:val="24"/>
        </w:rPr>
        <w:t>（5）拒绝履行合同义务的；</w:t>
      </w:r>
    </w:p>
    <w:p>
      <w:pPr>
        <w:snapToGrid w:val="0"/>
        <w:spacing w:line="360" w:lineRule="auto"/>
        <w:ind w:firstLine="470" w:firstLineChars="196"/>
        <w:rPr>
          <w:rFonts w:ascii="宋体" w:hAnsi="宋体"/>
          <w:sz w:val="24"/>
        </w:rPr>
      </w:pPr>
      <w:r>
        <w:rPr>
          <w:rFonts w:hint="eastAsia" w:ascii="宋体" w:hAnsi="宋体"/>
          <w:sz w:val="24"/>
        </w:rPr>
        <w:t>（6）其他严重扰乱招投标程序的。</w:t>
      </w:r>
    </w:p>
    <w:p>
      <w:pPr>
        <w:pStyle w:val="5"/>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p>
    <w:p>
      <w:pPr>
        <w:pStyle w:val="12"/>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湖州市民服务中心机关二食堂餐饮管理服务项目</w:t>
      </w:r>
      <w:r>
        <w:rPr>
          <w:rFonts w:hint="eastAsia" w:ascii="宋体" w:hAnsi="宋体"/>
          <w:sz w:val="24"/>
        </w:rPr>
        <w:t>》</w:t>
      </w:r>
      <w:r>
        <w:rPr>
          <w:rFonts w:hint="eastAsia"/>
          <w:sz w:val="24"/>
        </w:rPr>
        <w:t>采购文件</w:t>
      </w:r>
      <w:r>
        <w:rPr>
          <w:rFonts w:hint="eastAsia" w:ascii="宋体" w:hAnsi="宋体"/>
          <w:sz w:val="24"/>
        </w:rPr>
        <w:t>规定，并结合本项目的实际，制定本办法。</w:t>
      </w:r>
    </w:p>
    <w:p>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湖州市民服务中心机关二食堂餐饮管理服务项目</w:t>
      </w:r>
      <w:r>
        <w:rPr>
          <w:rFonts w:hint="eastAsia" w:ascii="宋体" w:hAnsi="宋体"/>
          <w:bCs/>
          <w:sz w:val="24"/>
          <w:szCs w:val="48"/>
        </w:rPr>
        <w:t>的评标。</w:t>
      </w:r>
    </w:p>
    <w:p>
      <w:pPr>
        <w:spacing w:line="360" w:lineRule="auto"/>
        <w:ind w:firstLine="551" w:firstLineChars="196"/>
        <w:rPr>
          <w:rFonts w:ascii="宋体" w:hAnsi="宋体"/>
          <w:b/>
          <w:sz w:val="28"/>
          <w:szCs w:val="28"/>
        </w:rPr>
      </w:pPr>
      <w:r>
        <w:rPr>
          <w:rFonts w:hint="eastAsia" w:ascii="宋体" w:hAnsi="宋体"/>
          <w:b/>
          <w:sz w:val="28"/>
          <w:szCs w:val="28"/>
        </w:rPr>
        <w:t>一、总则</w:t>
      </w:r>
    </w:p>
    <w:p>
      <w:pPr>
        <w:spacing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总分为100分，包含：价格分（10分）、技术、商务、资信及其他分（90分）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pPr>
        <w:spacing w:line="360" w:lineRule="auto"/>
        <w:ind w:firstLine="562" w:firstLineChars="200"/>
        <w:rPr>
          <w:rFonts w:ascii="宋体" w:hAnsi="宋体"/>
          <w:b/>
          <w:sz w:val="28"/>
          <w:szCs w:val="28"/>
        </w:rPr>
      </w:pPr>
      <w:r>
        <w:rPr>
          <w:rFonts w:hint="eastAsia" w:ascii="宋体" w:hAnsi="宋体"/>
          <w:b/>
          <w:sz w:val="28"/>
          <w:szCs w:val="28"/>
        </w:rPr>
        <w:t>二、评标内容及标准</w:t>
      </w:r>
    </w:p>
    <w:p>
      <w:pPr>
        <w:pStyle w:val="3"/>
        <w:spacing w:line="360" w:lineRule="auto"/>
        <w:ind w:firstLine="482" w:firstLineChars="200"/>
        <w:rPr>
          <w:rFonts w:hAnsi="宋体"/>
          <w:b/>
          <w:bCs/>
          <w:sz w:val="24"/>
        </w:rPr>
      </w:pPr>
      <w:r>
        <w:rPr>
          <w:rFonts w:hint="eastAsia" w:hAnsi="宋体"/>
          <w:b/>
          <w:bCs/>
          <w:sz w:val="24"/>
        </w:rPr>
        <w:t>（一）价格分（10分）</w:t>
      </w:r>
    </w:p>
    <w:p>
      <w:pPr>
        <w:pStyle w:val="3"/>
        <w:spacing w:line="360" w:lineRule="auto"/>
        <w:ind w:firstLine="480"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pPr>
        <w:spacing w:line="360" w:lineRule="auto"/>
        <w:ind w:firstLine="480" w:firstLineChars="200"/>
        <w:rPr>
          <w:rFonts w:ascii="宋体" w:hAnsi="宋体"/>
          <w:sz w:val="24"/>
        </w:rPr>
      </w:pPr>
      <w:r>
        <w:rPr>
          <w:rFonts w:hint="eastAsia" w:ascii="宋体" w:hAnsi="宋体"/>
          <w:sz w:val="24"/>
        </w:rPr>
        <w:t>价格分=（评标基准价/投标报价）×10%×100</w:t>
      </w:r>
    </w:p>
    <w:p>
      <w:pPr>
        <w:spacing w:before="120" w:beforeLines="50" w:after="120" w:afterLines="50" w:line="360" w:lineRule="auto"/>
        <w:ind w:firstLine="472" w:firstLineChars="196"/>
        <w:rPr>
          <w:rFonts w:ascii="宋体" w:hAnsi="宋体"/>
          <w:b/>
          <w:sz w:val="24"/>
        </w:rPr>
      </w:pPr>
      <w:r>
        <w:rPr>
          <w:rFonts w:hint="eastAsia" w:ascii="宋体" w:hAnsi="宋体"/>
          <w:b/>
          <w:bCs/>
          <w:sz w:val="24"/>
        </w:rPr>
        <w:t>（二）</w:t>
      </w:r>
      <w:r>
        <w:rPr>
          <w:rFonts w:hint="eastAsia" w:ascii="宋体" w:hAnsi="宋体"/>
          <w:b/>
          <w:sz w:val="24"/>
        </w:rPr>
        <w:t>技术分、商务、资信及其他分（90分）</w:t>
      </w:r>
    </w:p>
    <w:tbl>
      <w:tblPr>
        <w:tblStyle w:val="2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
        <w:gridCol w:w="765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9" w:type="dxa"/>
            <w:vAlign w:val="center"/>
          </w:tcPr>
          <w:p>
            <w:pPr>
              <w:pStyle w:val="3"/>
              <w:spacing w:before="120" w:beforeLines="50" w:afterLines="50" w:line="360" w:lineRule="auto"/>
              <w:ind w:left="0" w:leftChars="0"/>
              <w:jc w:val="center"/>
              <w:rPr>
                <w:rFonts w:hAnsi="宋体" w:cs="宋体"/>
                <w:b/>
                <w:bCs/>
                <w:sz w:val="24"/>
                <w:szCs w:val="24"/>
              </w:rPr>
            </w:pPr>
            <w:r>
              <w:rPr>
                <w:rFonts w:hint="eastAsia" w:hAnsi="宋体" w:cs="宋体"/>
                <w:b/>
                <w:bCs/>
                <w:sz w:val="24"/>
                <w:szCs w:val="24"/>
              </w:rPr>
              <w:t>评定项目</w:t>
            </w:r>
          </w:p>
        </w:tc>
        <w:tc>
          <w:tcPr>
            <w:tcW w:w="7938" w:type="dxa"/>
            <w:gridSpan w:val="2"/>
            <w:vAlign w:val="center"/>
          </w:tcPr>
          <w:p>
            <w:pPr>
              <w:pStyle w:val="3"/>
              <w:spacing w:before="120" w:beforeLines="50" w:afterLines="50" w:line="360" w:lineRule="auto"/>
              <w:ind w:firstLine="482" w:firstLineChars="200"/>
              <w:rPr>
                <w:rFonts w:hAnsi="宋体" w:cs="宋体"/>
                <w:b/>
                <w:bCs/>
                <w:sz w:val="24"/>
                <w:szCs w:val="24"/>
              </w:rPr>
            </w:pPr>
            <w:r>
              <w:rPr>
                <w:rFonts w:hint="eastAsia" w:hAnsi="宋体" w:cs="宋体"/>
                <w:b/>
                <w:bCs/>
                <w:sz w:val="24"/>
                <w:szCs w:val="24"/>
              </w:rPr>
              <w:t>评定内容</w:t>
            </w:r>
          </w:p>
        </w:tc>
        <w:tc>
          <w:tcPr>
            <w:tcW w:w="850" w:type="dxa"/>
            <w:vAlign w:val="center"/>
          </w:tcPr>
          <w:p>
            <w:pPr>
              <w:pStyle w:val="3"/>
              <w:spacing w:before="120" w:beforeLines="50" w:afterLines="50" w:line="360" w:lineRule="auto"/>
              <w:ind w:left="0" w:leftChars="0"/>
              <w:rPr>
                <w:rFonts w:hAnsi="宋体" w:cs="宋体"/>
                <w:b/>
                <w:bCs/>
                <w:sz w:val="24"/>
                <w:szCs w:val="24"/>
              </w:rPr>
            </w:pPr>
            <w:r>
              <w:rPr>
                <w:rFonts w:hint="eastAsia"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57" w:type="dxa"/>
            <w:gridSpan w:val="3"/>
            <w:vAlign w:val="center"/>
          </w:tcPr>
          <w:p>
            <w:pPr>
              <w:pStyle w:val="3"/>
              <w:spacing w:before="120" w:beforeLines="50" w:afterLines="50" w:line="360" w:lineRule="auto"/>
              <w:ind w:firstLine="480" w:firstLineChars="200"/>
              <w:rPr>
                <w:rFonts w:hAnsi="宋体" w:cs="宋体"/>
                <w:sz w:val="24"/>
                <w:szCs w:val="24"/>
              </w:rPr>
            </w:pPr>
            <w:r>
              <w:rPr>
                <w:rFonts w:hint="eastAsia" w:hAnsi="宋体" w:cs="宋体"/>
                <w:sz w:val="24"/>
                <w:szCs w:val="24"/>
              </w:rPr>
              <w:t>技术部分</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19" w:type="dxa"/>
            <w:vAlign w:val="center"/>
          </w:tcPr>
          <w:p>
            <w:pPr>
              <w:pStyle w:val="3"/>
              <w:spacing w:before="120" w:beforeLines="50" w:afterLines="50" w:line="360" w:lineRule="auto"/>
              <w:ind w:left="0" w:leftChars="0"/>
              <w:jc w:val="center"/>
              <w:rPr>
                <w:rFonts w:ascii="Calibri" w:hAnsi="Calibri" w:cs="Calibri"/>
                <w:bCs/>
                <w:kern w:val="2"/>
                <w:sz w:val="24"/>
                <w:szCs w:val="21"/>
              </w:rPr>
            </w:pPr>
            <w:r>
              <w:rPr>
                <w:rFonts w:hint="eastAsia" w:ascii="Calibri" w:hAnsi="Calibri" w:cs="Calibri"/>
                <w:bCs/>
                <w:sz w:val="24"/>
                <w:szCs w:val="21"/>
              </w:rPr>
              <w:t>整体方案</w:t>
            </w:r>
          </w:p>
        </w:tc>
        <w:tc>
          <w:tcPr>
            <w:tcW w:w="7938" w:type="dxa"/>
            <w:gridSpan w:val="2"/>
          </w:tcPr>
          <w:p>
            <w:pPr>
              <w:spacing w:before="120" w:beforeLines="50" w:after="120" w:afterLines="50" w:line="360" w:lineRule="auto"/>
              <w:jc w:val="left"/>
              <w:rPr>
                <w:rFonts w:ascii="宋体" w:hAnsi="宋体"/>
                <w:bCs/>
                <w:spacing w:val="-4"/>
                <w:sz w:val="24"/>
              </w:rPr>
            </w:pPr>
            <w:r>
              <w:rPr>
                <w:rFonts w:hint="eastAsia" w:ascii="Calibri" w:hAnsi="Calibri" w:cs="Calibri"/>
                <w:bCs/>
                <w:sz w:val="24"/>
                <w:szCs w:val="21"/>
              </w:rPr>
              <w:t>针对本项目设计一套可行性方案（包括服务时间、窗口开设率、花色品种、荤素搭配比例、包厢接待服务以及特色服务设计可行性方案）。方案可行、严密、合理、</w:t>
            </w:r>
            <w:r>
              <w:rPr>
                <w:rFonts w:ascii="宋体" w:hAnsi="宋体"/>
                <w:bCs/>
                <w:spacing w:val="-4"/>
                <w:sz w:val="24"/>
              </w:rPr>
              <w:t>全面，不漏项且有针对性解释说明:</w:t>
            </w:r>
            <w:r>
              <w:rPr>
                <w:rFonts w:hint="eastAsia" w:ascii="宋体" w:hAnsi="宋体"/>
                <w:bCs/>
                <w:spacing w:val="-4"/>
                <w:sz w:val="24"/>
              </w:rPr>
              <w:t>5</w:t>
            </w:r>
            <w:r>
              <w:rPr>
                <w:rFonts w:ascii="宋体" w:hAnsi="宋体"/>
                <w:bCs/>
                <w:spacing w:val="-4"/>
                <w:sz w:val="24"/>
              </w:rPr>
              <w:t>分;提供的</w:t>
            </w:r>
            <w:r>
              <w:rPr>
                <w:rFonts w:hint="eastAsia" w:ascii="Calibri" w:hAnsi="Calibri" w:cs="Calibri"/>
                <w:bCs/>
                <w:sz w:val="24"/>
                <w:szCs w:val="21"/>
              </w:rPr>
              <w:t>整体方案</w:t>
            </w:r>
            <w:r>
              <w:rPr>
                <w:rFonts w:ascii="宋体" w:hAnsi="宋体"/>
                <w:bCs/>
                <w:spacing w:val="-4"/>
                <w:sz w:val="24"/>
              </w:rPr>
              <w:t>漏缺1项或2项，有针对性解释说明: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sz w:val="24"/>
                <w:szCs w:val="21"/>
              </w:rPr>
              <w:t>整体方案</w:t>
            </w:r>
            <w:r>
              <w:rPr>
                <w:rFonts w:ascii="宋体" w:hAnsi="宋体"/>
                <w:bCs/>
                <w:spacing w:val="-4"/>
                <w:sz w:val="24"/>
              </w:rPr>
              <w:t>基本全面，有针对性解释说明:</w:t>
            </w:r>
            <w:r>
              <w:rPr>
                <w:rFonts w:hint="eastAsia" w:ascii="宋体" w:hAnsi="宋体"/>
                <w:bCs/>
                <w:spacing w:val="-4"/>
                <w:sz w:val="24"/>
              </w:rPr>
              <w:t>3</w:t>
            </w:r>
            <w:r>
              <w:rPr>
                <w:rFonts w:ascii="宋体" w:hAnsi="宋体"/>
                <w:bCs/>
                <w:spacing w:val="-4"/>
                <w:sz w:val="24"/>
              </w:rPr>
              <w:t>分;提供的</w:t>
            </w:r>
            <w:r>
              <w:rPr>
                <w:rFonts w:hint="eastAsia" w:ascii="Calibri" w:hAnsi="Calibri" w:cs="Calibri"/>
                <w:bCs/>
                <w:sz w:val="24"/>
                <w:szCs w:val="21"/>
              </w:rPr>
              <w:t>整体方案</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8"/>
              <w:jc w:val="center"/>
              <w:rPr>
                <w:rFonts w:ascii="Calibri" w:hAnsi="Calibri" w:eastAsia="宋体" w:cs="Calibri"/>
                <w:b w:val="0"/>
                <w:kern w:val="2"/>
                <w:sz w:val="24"/>
                <w:szCs w:val="21"/>
              </w:rPr>
            </w:pPr>
            <w:r>
              <w:rPr>
                <w:rFonts w:hint="eastAsia" w:ascii="Calibri" w:hAnsi="Calibri" w:eastAsia="宋体" w:cs="Calibri"/>
                <w:b w:val="0"/>
                <w:kern w:val="2"/>
                <w:sz w:val="24"/>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Merge w:val="restart"/>
            <w:vAlign w:val="center"/>
          </w:tcPr>
          <w:p>
            <w:pPr>
              <w:pStyle w:val="3"/>
              <w:spacing w:before="120" w:beforeLines="50" w:afterLines="50" w:line="360" w:lineRule="auto"/>
              <w:ind w:left="0" w:leftChars="0"/>
              <w:jc w:val="center"/>
              <w:rPr>
                <w:rFonts w:ascii="Calibri" w:hAnsi="Calibri" w:cs="Calibri"/>
                <w:bCs/>
                <w:kern w:val="2"/>
                <w:sz w:val="24"/>
                <w:szCs w:val="21"/>
              </w:rPr>
            </w:pPr>
            <w:r>
              <w:rPr>
                <w:rFonts w:ascii="Calibri" w:hAnsi="Calibri" w:cs="Calibri"/>
                <w:bCs/>
                <w:kern w:val="2"/>
                <w:sz w:val="24"/>
                <w:szCs w:val="21"/>
              </w:rPr>
              <w:t>技术方案</w:t>
            </w:r>
          </w:p>
        </w:tc>
        <w:tc>
          <w:tcPr>
            <w:tcW w:w="7938" w:type="dxa"/>
            <w:gridSpan w:val="2"/>
            <w:vAlign w:val="center"/>
          </w:tcPr>
          <w:p>
            <w:pPr>
              <w:pStyle w:val="3"/>
              <w:spacing w:before="120" w:beforeLines="50" w:afterLines="50" w:line="360" w:lineRule="auto"/>
              <w:ind w:left="0" w:leftChars="0"/>
              <w:jc w:val="left"/>
              <w:rPr>
                <w:rFonts w:ascii="Calibri" w:hAnsi="Calibri" w:cs="Calibri"/>
                <w:bCs/>
                <w:kern w:val="2"/>
                <w:sz w:val="24"/>
                <w:szCs w:val="21"/>
              </w:rPr>
            </w:pPr>
            <w:r>
              <w:rPr>
                <w:rFonts w:hint="eastAsia" w:ascii="Calibri" w:hAnsi="Calibri" w:cs="Calibri"/>
                <w:bCs/>
                <w:kern w:val="2"/>
                <w:sz w:val="24"/>
                <w:szCs w:val="21"/>
              </w:rPr>
              <w:t>服务方案：针对本项目服务的定位、所采用的管理办法、服务措施、服务流程设计等方面内容以及可行的产品质量监控及价格控制方案。</w:t>
            </w:r>
            <w:r>
              <w:rPr>
                <w:rFonts w:hint="eastAsia" w:ascii="Calibri" w:hAnsi="Calibri" w:cs="Calibri"/>
                <w:bCs/>
                <w:sz w:val="24"/>
                <w:szCs w:val="21"/>
              </w:rPr>
              <w:t>方案可行、严密、合理、</w:t>
            </w:r>
            <w:r>
              <w:rPr>
                <w:rFonts w:ascii="宋体" w:hAnsi="宋体"/>
                <w:bCs/>
                <w:spacing w:val="-4"/>
                <w:sz w:val="24"/>
              </w:rPr>
              <w:t>全面，不漏项且有针对性解释说明:</w:t>
            </w:r>
            <w:r>
              <w:rPr>
                <w:rFonts w:hint="eastAsia" w:ascii="宋体" w:hAnsi="宋体"/>
                <w:bCs/>
                <w:spacing w:val="-4"/>
                <w:sz w:val="24"/>
              </w:rPr>
              <w:t>5</w:t>
            </w:r>
            <w:r>
              <w:rPr>
                <w:rFonts w:ascii="宋体" w:hAnsi="宋体"/>
                <w:bCs/>
                <w:spacing w:val="-4"/>
                <w:sz w:val="24"/>
              </w:rPr>
              <w:t>分;提供的</w:t>
            </w:r>
            <w:r>
              <w:rPr>
                <w:rFonts w:hint="eastAsia" w:ascii="Calibri" w:hAnsi="Calibri" w:cs="Calibri"/>
                <w:bCs/>
                <w:kern w:val="2"/>
                <w:sz w:val="24"/>
                <w:szCs w:val="21"/>
              </w:rPr>
              <w:t>服务方案</w:t>
            </w:r>
            <w:r>
              <w:rPr>
                <w:rFonts w:ascii="宋体" w:hAnsi="宋体"/>
                <w:bCs/>
                <w:spacing w:val="-4"/>
                <w:sz w:val="24"/>
              </w:rPr>
              <w:t>漏缺1项或2项，有针对性解释说明: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kern w:val="2"/>
                <w:sz w:val="24"/>
                <w:szCs w:val="21"/>
              </w:rPr>
              <w:t>服务方案</w:t>
            </w:r>
            <w:r>
              <w:rPr>
                <w:rFonts w:ascii="宋体" w:hAnsi="宋体"/>
                <w:bCs/>
                <w:spacing w:val="-4"/>
                <w:sz w:val="24"/>
              </w:rPr>
              <w:t>基本全面，有针对性解释说明:</w:t>
            </w:r>
            <w:r>
              <w:rPr>
                <w:rFonts w:hint="eastAsia" w:ascii="宋体" w:hAnsi="宋体"/>
                <w:bCs/>
                <w:spacing w:val="-4"/>
                <w:sz w:val="24"/>
              </w:rPr>
              <w:t>3</w:t>
            </w:r>
            <w:r>
              <w:rPr>
                <w:rFonts w:ascii="宋体" w:hAnsi="宋体"/>
                <w:bCs/>
                <w:spacing w:val="-4"/>
                <w:sz w:val="24"/>
              </w:rPr>
              <w:t>分;提供的</w:t>
            </w:r>
            <w:r>
              <w:rPr>
                <w:rFonts w:hint="eastAsia" w:ascii="Calibri" w:hAnsi="Calibri" w:cs="Calibri"/>
                <w:bCs/>
                <w:kern w:val="2"/>
                <w:sz w:val="24"/>
                <w:szCs w:val="21"/>
              </w:rPr>
              <w:t>服务方案</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8"/>
              <w:jc w:val="center"/>
              <w:rPr>
                <w:rFonts w:ascii="Calibri" w:hAnsi="Calibri" w:eastAsia="宋体" w:cs="Calibri"/>
                <w:b w:val="0"/>
                <w:kern w:val="2"/>
                <w:sz w:val="24"/>
                <w:szCs w:val="21"/>
              </w:rPr>
            </w:pPr>
            <w:r>
              <w:rPr>
                <w:rFonts w:hint="eastAsia" w:ascii="Calibri" w:hAnsi="Calibri" w:eastAsia="宋体" w:cs="Calibri"/>
                <w:b w:val="0"/>
                <w:kern w:val="2"/>
                <w:sz w:val="24"/>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Merge w:val="continue"/>
            <w:vAlign w:val="center"/>
          </w:tcPr>
          <w:p>
            <w:pPr>
              <w:pStyle w:val="3"/>
              <w:spacing w:before="120" w:beforeLines="50" w:afterLines="50" w:line="360" w:lineRule="auto"/>
              <w:ind w:left="0" w:leftChars="0"/>
              <w:jc w:val="center"/>
              <w:rPr>
                <w:rFonts w:ascii="Calibri" w:hAnsi="Calibri" w:cs="Calibri"/>
                <w:bCs/>
                <w:kern w:val="2"/>
                <w:sz w:val="24"/>
                <w:szCs w:val="21"/>
              </w:rPr>
            </w:pPr>
          </w:p>
        </w:tc>
        <w:tc>
          <w:tcPr>
            <w:tcW w:w="7938" w:type="dxa"/>
            <w:gridSpan w:val="2"/>
            <w:vAlign w:val="center"/>
          </w:tcPr>
          <w:p>
            <w:pPr>
              <w:pStyle w:val="3"/>
              <w:spacing w:before="120" w:beforeLines="50" w:afterLines="50" w:line="360" w:lineRule="auto"/>
              <w:ind w:left="0" w:leftChars="0"/>
              <w:jc w:val="center"/>
              <w:rPr>
                <w:rFonts w:ascii="Calibri" w:hAnsi="Calibri" w:cs="Calibri"/>
                <w:bCs/>
                <w:kern w:val="2"/>
                <w:sz w:val="24"/>
                <w:szCs w:val="21"/>
              </w:rPr>
            </w:pPr>
            <w:r>
              <w:rPr>
                <w:rFonts w:hint="eastAsia" w:ascii="Calibri" w:hAnsi="Calibri" w:cs="Calibri"/>
                <w:bCs/>
                <w:kern w:val="2"/>
                <w:sz w:val="24"/>
                <w:szCs w:val="21"/>
              </w:rPr>
              <w:t>管理制度、操作流程：内部管理方案、节能管理措施等全面、科学、可操作性强，管理制度及操作流程可行、严密、合理、</w:t>
            </w:r>
            <w:r>
              <w:rPr>
                <w:rFonts w:ascii="宋体" w:hAnsi="宋体"/>
                <w:bCs/>
                <w:spacing w:val="-4"/>
                <w:sz w:val="24"/>
              </w:rPr>
              <w:t>全面，不漏项且有针对性解释说明:</w:t>
            </w:r>
            <w:r>
              <w:rPr>
                <w:rFonts w:hint="eastAsia" w:ascii="宋体" w:hAnsi="宋体"/>
                <w:bCs/>
                <w:spacing w:val="-4"/>
                <w:sz w:val="24"/>
              </w:rPr>
              <w:t>5</w:t>
            </w:r>
            <w:r>
              <w:rPr>
                <w:rFonts w:ascii="宋体" w:hAnsi="宋体"/>
                <w:bCs/>
                <w:spacing w:val="-4"/>
                <w:sz w:val="24"/>
              </w:rPr>
              <w:t>分;提供的</w:t>
            </w:r>
            <w:r>
              <w:rPr>
                <w:rFonts w:hint="eastAsia" w:ascii="Calibri" w:hAnsi="Calibri" w:cs="Calibri"/>
                <w:bCs/>
                <w:kern w:val="2"/>
                <w:sz w:val="24"/>
                <w:szCs w:val="21"/>
              </w:rPr>
              <w:t>管理制度、操作流程</w:t>
            </w:r>
            <w:r>
              <w:rPr>
                <w:rFonts w:ascii="宋体" w:hAnsi="宋体"/>
                <w:bCs/>
                <w:spacing w:val="-4"/>
                <w:sz w:val="24"/>
              </w:rPr>
              <w:t>漏缺1项或2项，有针对性解释说明: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kern w:val="2"/>
                <w:sz w:val="24"/>
                <w:szCs w:val="21"/>
              </w:rPr>
              <w:t>管理制度、操作流程</w:t>
            </w:r>
            <w:r>
              <w:rPr>
                <w:rFonts w:ascii="宋体" w:hAnsi="宋体"/>
                <w:bCs/>
                <w:spacing w:val="-4"/>
                <w:sz w:val="24"/>
              </w:rPr>
              <w:t>基本全面，有针对性解释说明:</w:t>
            </w:r>
            <w:r>
              <w:rPr>
                <w:rFonts w:hint="eastAsia" w:ascii="宋体" w:hAnsi="宋体"/>
                <w:bCs/>
                <w:spacing w:val="-4"/>
                <w:sz w:val="24"/>
              </w:rPr>
              <w:t>3</w:t>
            </w:r>
            <w:r>
              <w:rPr>
                <w:rFonts w:ascii="宋体" w:hAnsi="宋体"/>
                <w:bCs/>
                <w:spacing w:val="-4"/>
                <w:sz w:val="24"/>
              </w:rPr>
              <w:t>分;提供</w:t>
            </w:r>
            <w:r>
              <w:rPr>
                <w:rFonts w:hint="eastAsia" w:ascii="Calibri" w:hAnsi="Calibri" w:cs="Calibri"/>
                <w:bCs/>
                <w:kern w:val="2"/>
                <w:sz w:val="24"/>
                <w:szCs w:val="21"/>
              </w:rPr>
              <w:t>管理制度、操作流程</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8"/>
              <w:jc w:val="center"/>
              <w:rPr>
                <w:rFonts w:ascii="Calibri" w:hAnsi="Calibri" w:eastAsia="宋体" w:cs="Calibri"/>
                <w:b w:val="0"/>
                <w:kern w:val="2"/>
                <w:sz w:val="24"/>
                <w:szCs w:val="21"/>
              </w:rPr>
            </w:pPr>
            <w:r>
              <w:rPr>
                <w:rFonts w:hint="eastAsia" w:ascii="Calibri" w:hAnsi="Calibri" w:eastAsia="宋体" w:cs="Calibri"/>
                <w:b w:val="0"/>
                <w:kern w:val="2"/>
                <w:sz w:val="24"/>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Merge w:val="continue"/>
            <w:vAlign w:val="center"/>
          </w:tcPr>
          <w:p>
            <w:pPr>
              <w:pStyle w:val="3"/>
              <w:spacing w:before="120" w:beforeLines="50" w:afterLines="50" w:line="360" w:lineRule="auto"/>
              <w:ind w:left="0" w:leftChars="0"/>
              <w:jc w:val="center"/>
              <w:rPr>
                <w:rFonts w:ascii="Calibri" w:hAnsi="Calibri" w:cs="Calibri"/>
                <w:bCs/>
                <w:kern w:val="2"/>
                <w:sz w:val="24"/>
                <w:szCs w:val="21"/>
              </w:rPr>
            </w:pPr>
          </w:p>
        </w:tc>
        <w:tc>
          <w:tcPr>
            <w:tcW w:w="7938" w:type="dxa"/>
            <w:gridSpan w:val="2"/>
            <w:vAlign w:val="center"/>
          </w:tcPr>
          <w:p>
            <w:pPr>
              <w:spacing w:line="500" w:lineRule="exact"/>
              <w:jc w:val="left"/>
              <w:rPr>
                <w:rFonts w:ascii="Calibri" w:hAnsi="Calibri" w:cs="Calibri"/>
                <w:bCs/>
                <w:sz w:val="24"/>
                <w:szCs w:val="21"/>
              </w:rPr>
            </w:pPr>
            <w:r>
              <w:rPr>
                <w:rFonts w:hint="eastAsia" w:ascii="Calibri" w:hAnsi="Calibri" w:cs="Calibri"/>
                <w:bCs/>
                <w:sz w:val="24"/>
                <w:szCs w:val="21"/>
              </w:rPr>
              <w:t>卫生保洁方案：包括食堂环境卫生、餐具卫生和设备设施卫生保洁方案。方案可行、严密、合理、</w:t>
            </w:r>
            <w:r>
              <w:rPr>
                <w:rFonts w:ascii="宋体" w:hAnsi="宋体"/>
                <w:bCs/>
                <w:spacing w:val="-4"/>
                <w:sz w:val="24"/>
              </w:rPr>
              <w:t>全面，不漏项且有针对性解释说明:</w:t>
            </w:r>
            <w:r>
              <w:rPr>
                <w:rFonts w:hint="eastAsia" w:ascii="宋体" w:hAnsi="宋体"/>
                <w:bCs/>
                <w:spacing w:val="-4"/>
                <w:sz w:val="24"/>
              </w:rPr>
              <w:t>5</w:t>
            </w:r>
            <w:r>
              <w:rPr>
                <w:rFonts w:ascii="宋体" w:hAnsi="宋体"/>
                <w:bCs/>
                <w:spacing w:val="-4"/>
                <w:sz w:val="24"/>
              </w:rPr>
              <w:t>分;提供的</w:t>
            </w:r>
            <w:r>
              <w:rPr>
                <w:rFonts w:hint="eastAsia" w:ascii="Calibri" w:hAnsi="Calibri" w:cs="Calibri"/>
                <w:bCs/>
                <w:sz w:val="24"/>
                <w:szCs w:val="21"/>
              </w:rPr>
              <w:t>卫生保洁方案</w:t>
            </w:r>
            <w:r>
              <w:rPr>
                <w:rFonts w:ascii="宋体" w:hAnsi="宋体"/>
                <w:bCs/>
                <w:spacing w:val="-4"/>
                <w:sz w:val="24"/>
              </w:rPr>
              <w:t>漏缺1项或2项，有针对性解释说明: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sz w:val="24"/>
                <w:szCs w:val="21"/>
              </w:rPr>
              <w:t>卫生保洁方案</w:t>
            </w:r>
            <w:r>
              <w:rPr>
                <w:rFonts w:ascii="宋体" w:hAnsi="宋体"/>
                <w:bCs/>
                <w:spacing w:val="-4"/>
                <w:sz w:val="24"/>
              </w:rPr>
              <w:t>基本全面，有针对性解释说明:</w:t>
            </w:r>
            <w:r>
              <w:rPr>
                <w:rFonts w:hint="eastAsia" w:ascii="宋体" w:hAnsi="宋体"/>
                <w:bCs/>
                <w:spacing w:val="-4"/>
                <w:sz w:val="24"/>
              </w:rPr>
              <w:t>3</w:t>
            </w:r>
            <w:r>
              <w:rPr>
                <w:rFonts w:ascii="宋体" w:hAnsi="宋体"/>
                <w:bCs/>
                <w:spacing w:val="-4"/>
                <w:sz w:val="24"/>
              </w:rPr>
              <w:t>分;提供的</w:t>
            </w:r>
            <w:r>
              <w:rPr>
                <w:rFonts w:hint="eastAsia" w:ascii="Calibri" w:hAnsi="Calibri" w:cs="Calibri"/>
                <w:bCs/>
                <w:sz w:val="24"/>
                <w:szCs w:val="21"/>
              </w:rPr>
              <w:t>卫生保洁方案</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12"/>
              <w:spacing w:before="120" w:after="120" w:line="500" w:lineRule="exact"/>
              <w:jc w:val="center"/>
              <w:rPr>
                <w:rFonts w:ascii="Calibri" w:hAnsi="Calibri" w:cs="Calibri"/>
                <w:bCs/>
                <w:kern w:val="2"/>
                <w:sz w:val="24"/>
                <w:szCs w:val="21"/>
              </w:rPr>
            </w:pPr>
            <w:r>
              <w:rPr>
                <w:rFonts w:hint="eastAsia" w:ascii="Calibri" w:hAnsi="Calibri" w:cs="Calibri"/>
                <w:bCs/>
                <w:kern w:val="2"/>
                <w:sz w:val="24"/>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Merge w:val="continue"/>
            <w:vAlign w:val="center"/>
          </w:tcPr>
          <w:p>
            <w:pPr>
              <w:pStyle w:val="3"/>
              <w:spacing w:before="120" w:beforeLines="50" w:afterLines="50" w:line="360" w:lineRule="auto"/>
              <w:ind w:left="0" w:leftChars="0"/>
              <w:jc w:val="center"/>
              <w:rPr>
                <w:rFonts w:ascii="Calibri" w:hAnsi="Calibri" w:cs="Calibri"/>
                <w:bCs/>
                <w:kern w:val="2"/>
                <w:sz w:val="24"/>
                <w:szCs w:val="21"/>
              </w:rPr>
            </w:pPr>
          </w:p>
        </w:tc>
        <w:tc>
          <w:tcPr>
            <w:tcW w:w="7938" w:type="dxa"/>
            <w:gridSpan w:val="2"/>
            <w:vAlign w:val="center"/>
          </w:tcPr>
          <w:p>
            <w:pPr>
              <w:spacing w:line="500" w:lineRule="exact"/>
              <w:jc w:val="left"/>
              <w:rPr>
                <w:rFonts w:ascii="Calibri" w:hAnsi="Calibri" w:cs="Calibri"/>
                <w:bCs/>
                <w:sz w:val="24"/>
                <w:szCs w:val="21"/>
              </w:rPr>
            </w:pPr>
            <w:r>
              <w:rPr>
                <w:rFonts w:hint="eastAsia" w:ascii="Calibri" w:hAnsi="Calibri" w:cs="Calibri"/>
                <w:bCs/>
                <w:sz w:val="24"/>
                <w:szCs w:val="21"/>
              </w:rPr>
              <w:t>食品质量控制方案：包括原材料的存储、加工、发售等各环节质量控制。方案可行、严密、合理、</w:t>
            </w:r>
            <w:r>
              <w:rPr>
                <w:rFonts w:ascii="宋体" w:hAnsi="宋体"/>
                <w:bCs/>
                <w:spacing w:val="-4"/>
                <w:sz w:val="24"/>
              </w:rPr>
              <w:t>全面，不漏项且有针对性解释说明:</w:t>
            </w:r>
            <w:r>
              <w:rPr>
                <w:rFonts w:hint="eastAsia" w:ascii="宋体" w:hAnsi="宋体"/>
                <w:bCs/>
                <w:spacing w:val="-4"/>
                <w:sz w:val="24"/>
              </w:rPr>
              <w:t>5</w:t>
            </w:r>
            <w:r>
              <w:rPr>
                <w:rFonts w:ascii="宋体" w:hAnsi="宋体"/>
                <w:bCs/>
                <w:spacing w:val="-4"/>
                <w:sz w:val="24"/>
              </w:rPr>
              <w:t>分;提供的</w:t>
            </w:r>
            <w:r>
              <w:rPr>
                <w:rFonts w:hint="eastAsia" w:ascii="Calibri" w:hAnsi="Calibri" w:cs="Calibri"/>
                <w:bCs/>
                <w:sz w:val="24"/>
                <w:szCs w:val="21"/>
              </w:rPr>
              <w:t>食品质量控制方案</w:t>
            </w:r>
            <w:r>
              <w:rPr>
                <w:rFonts w:ascii="宋体" w:hAnsi="宋体"/>
                <w:bCs/>
                <w:spacing w:val="-4"/>
                <w:sz w:val="24"/>
              </w:rPr>
              <w:t>漏缺1项或2项，有针对性解释说明: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sz w:val="24"/>
                <w:szCs w:val="21"/>
              </w:rPr>
              <w:t>食品质量控制方案</w:t>
            </w:r>
            <w:r>
              <w:rPr>
                <w:rFonts w:ascii="宋体" w:hAnsi="宋体"/>
                <w:bCs/>
                <w:spacing w:val="-4"/>
                <w:sz w:val="24"/>
              </w:rPr>
              <w:t>基本全面，有针对性解释说明:</w:t>
            </w:r>
            <w:r>
              <w:rPr>
                <w:rFonts w:hint="eastAsia" w:ascii="宋体" w:hAnsi="宋体"/>
                <w:bCs/>
                <w:spacing w:val="-4"/>
                <w:sz w:val="24"/>
              </w:rPr>
              <w:t>3</w:t>
            </w:r>
            <w:r>
              <w:rPr>
                <w:rFonts w:ascii="宋体" w:hAnsi="宋体"/>
                <w:bCs/>
                <w:spacing w:val="-4"/>
                <w:sz w:val="24"/>
              </w:rPr>
              <w:t>分;提供的</w:t>
            </w:r>
            <w:r>
              <w:rPr>
                <w:rFonts w:hint="eastAsia" w:ascii="Calibri" w:hAnsi="Calibri" w:cs="Calibri"/>
                <w:bCs/>
                <w:sz w:val="24"/>
                <w:szCs w:val="21"/>
              </w:rPr>
              <w:t>食品质量控制方案</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12"/>
              <w:spacing w:before="120" w:after="120" w:line="500" w:lineRule="exact"/>
              <w:jc w:val="center"/>
              <w:rPr>
                <w:rFonts w:ascii="Calibri" w:hAnsi="Calibri" w:cs="Calibri"/>
                <w:bCs/>
                <w:kern w:val="2"/>
                <w:sz w:val="24"/>
                <w:szCs w:val="21"/>
              </w:rPr>
            </w:pPr>
            <w:r>
              <w:rPr>
                <w:rFonts w:hint="eastAsia" w:ascii="Calibri" w:hAnsi="Calibri" w:cs="Calibri"/>
                <w:bCs/>
                <w:kern w:val="2"/>
                <w:sz w:val="24"/>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Merge w:val="continue"/>
            <w:vAlign w:val="center"/>
          </w:tcPr>
          <w:p>
            <w:pPr>
              <w:pStyle w:val="3"/>
              <w:spacing w:before="120" w:beforeLines="50" w:afterLines="50" w:line="360" w:lineRule="auto"/>
              <w:ind w:left="0" w:leftChars="0"/>
              <w:jc w:val="center"/>
              <w:rPr>
                <w:rFonts w:ascii="Calibri" w:hAnsi="Calibri" w:cs="Calibri"/>
                <w:bCs/>
                <w:kern w:val="2"/>
                <w:sz w:val="24"/>
                <w:szCs w:val="21"/>
              </w:rPr>
            </w:pPr>
          </w:p>
        </w:tc>
        <w:tc>
          <w:tcPr>
            <w:tcW w:w="7938" w:type="dxa"/>
            <w:gridSpan w:val="2"/>
            <w:vAlign w:val="center"/>
          </w:tcPr>
          <w:p>
            <w:pPr>
              <w:spacing w:line="500" w:lineRule="exact"/>
              <w:jc w:val="left"/>
              <w:rPr>
                <w:rFonts w:ascii="Calibri" w:hAnsi="Calibri" w:cs="Calibri"/>
                <w:bCs/>
                <w:sz w:val="24"/>
                <w:szCs w:val="21"/>
              </w:rPr>
            </w:pPr>
            <w:r>
              <w:rPr>
                <w:rFonts w:hint="eastAsia" w:ascii="Calibri" w:hAnsi="Calibri" w:cs="Calibri"/>
                <w:bCs/>
                <w:sz w:val="24"/>
                <w:szCs w:val="21"/>
              </w:rPr>
              <w:t>安全预防方案：包括食品安全、环境安全、消防安全、疾病控制预防、事故应急处理预案。方案可行、严密、合理、</w:t>
            </w:r>
            <w:r>
              <w:rPr>
                <w:rFonts w:ascii="宋体" w:hAnsi="宋体"/>
                <w:bCs/>
                <w:spacing w:val="-4"/>
                <w:sz w:val="24"/>
              </w:rPr>
              <w:t>全面，不漏项且有针对性解释说明: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sz w:val="24"/>
                <w:szCs w:val="21"/>
              </w:rPr>
              <w:t>安全预防方案</w:t>
            </w:r>
            <w:r>
              <w:rPr>
                <w:rFonts w:ascii="宋体" w:hAnsi="宋体"/>
                <w:bCs/>
                <w:spacing w:val="-4"/>
                <w:sz w:val="24"/>
              </w:rPr>
              <w:t>漏缺1项或2项，有针对性解释说明:</w:t>
            </w:r>
            <w:r>
              <w:rPr>
                <w:rFonts w:hint="eastAsia" w:ascii="宋体" w:hAnsi="宋体"/>
                <w:bCs/>
                <w:spacing w:val="-4"/>
                <w:sz w:val="24"/>
              </w:rPr>
              <w:t>3</w:t>
            </w:r>
            <w:r>
              <w:rPr>
                <w:rFonts w:ascii="宋体" w:hAnsi="宋体"/>
                <w:bCs/>
                <w:spacing w:val="-4"/>
                <w:sz w:val="24"/>
              </w:rPr>
              <w:t>分;提供的</w:t>
            </w:r>
            <w:r>
              <w:rPr>
                <w:rFonts w:hint="eastAsia" w:ascii="Calibri" w:hAnsi="Calibri" w:cs="Calibri"/>
                <w:bCs/>
                <w:sz w:val="24"/>
                <w:szCs w:val="21"/>
              </w:rPr>
              <w:t>安全预防方案</w:t>
            </w:r>
            <w:r>
              <w:rPr>
                <w:rFonts w:ascii="宋体" w:hAnsi="宋体"/>
                <w:bCs/>
                <w:spacing w:val="-4"/>
                <w:sz w:val="24"/>
              </w:rPr>
              <w:t>基本全面，有针对性解释说明:</w:t>
            </w:r>
            <w:r>
              <w:rPr>
                <w:rFonts w:hint="eastAsia" w:ascii="宋体" w:hAnsi="宋体"/>
                <w:bCs/>
                <w:spacing w:val="-4"/>
                <w:sz w:val="24"/>
              </w:rPr>
              <w:t>2</w:t>
            </w:r>
            <w:r>
              <w:rPr>
                <w:rFonts w:ascii="宋体" w:hAnsi="宋体"/>
                <w:bCs/>
                <w:spacing w:val="-4"/>
                <w:sz w:val="24"/>
              </w:rPr>
              <w:t>分;提供的</w:t>
            </w:r>
            <w:r>
              <w:rPr>
                <w:rFonts w:hint="eastAsia" w:ascii="Calibri" w:hAnsi="Calibri" w:cs="Calibri"/>
                <w:bCs/>
                <w:sz w:val="24"/>
                <w:szCs w:val="21"/>
              </w:rPr>
              <w:t>安全预防方案</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12"/>
              <w:spacing w:before="120" w:after="120" w:line="500" w:lineRule="exact"/>
              <w:jc w:val="center"/>
              <w:rPr>
                <w:rFonts w:ascii="Calibri" w:hAnsi="Calibri" w:cs="Calibri"/>
                <w:bCs/>
                <w:kern w:val="2"/>
                <w:sz w:val="24"/>
                <w:szCs w:val="21"/>
              </w:rPr>
            </w:pPr>
            <w:r>
              <w:rPr>
                <w:rFonts w:hint="eastAsia" w:ascii="Calibri" w:hAnsi="Calibri" w:cs="Calibri"/>
                <w:bCs/>
                <w:kern w:val="2"/>
                <w:sz w:val="24"/>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Merge w:val="continue"/>
            <w:vAlign w:val="center"/>
          </w:tcPr>
          <w:p>
            <w:pPr>
              <w:pStyle w:val="3"/>
              <w:spacing w:before="120" w:beforeLines="50" w:afterLines="50" w:line="360" w:lineRule="auto"/>
              <w:ind w:left="0" w:leftChars="0"/>
              <w:jc w:val="center"/>
              <w:rPr>
                <w:rFonts w:ascii="Calibri" w:hAnsi="Calibri" w:cs="Calibri"/>
                <w:bCs/>
                <w:kern w:val="2"/>
                <w:sz w:val="24"/>
                <w:szCs w:val="21"/>
              </w:rPr>
            </w:pPr>
          </w:p>
        </w:tc>
        <w:tc>
          <w:tcPr>
            <w:tcW w:w="7938" w:type="dxa"/>
            <w:gridSpan w:val="2"/>
            <w:vAlign w:val="center"/>
          </w:tcPr>
          <w:p>
            <w:pPr>
              <w:pStyle w:val="3"/>
              <w:spacing w:before="120" w:beforeLines="50" w:afterLines="50" w:line="360" w:lineRule="auto"/>
              <w:ind w:left="0" w:leftChars="0"/>
              <w:jc w:val="left"/>
              <w:rPr>
                <w:rFonts w:ascii="Calibri" w:hAnsi="Calibri" w:cs="Calibri"/>
                <w:bCs/>
                <w:kern w:val="2"/>
                <w:sz w:val="24"/>
                <w:szCs w:val="21"/>
              </w:rPr>
            </w:pPr>
            <w:r>
              <w:rPr>
                <w:rFonts w:hint="eastAsia" w:ascii="宋体" w:hAnsi="宋体"/>
                <w:bCs/>
                <w:spacing w:val="-4"/>
                <w:kern w:val="2"/>
                <w:sz w:val="24"/>
                <w:szCs w:val="24"/>
              </w:rPr>
              <w:t>垃圾分类方案：投标人制定相应的垃圾分类方案，方案可行、严密、合理、</w:t>
            </w:r>
            <w:r>
              <w:rPr>
                <w:rFonts w:ascii="宋体" w:hAnsi="宋体"/>
                <w:bCs/>
                <w:spacing w:val="-4"/>
                <w:kern w:val="2"/>
                <w:sz w:val="24"/>
                <w:szCs w:val="24"/>
              </w:rPr>
              <w:t>全面，不漏项且有针对性解释说明:</w:t>
            </w:r>
            <w:r>
              <w:rPr>
                <w:rFonts w:hint="eastAsia" w:ascii="宋体" w:hAnsi="宋体"/>
                <w:bCs/>
                <w:spacing w:val="-4"/>
                <w:kern w:val="2"/>
                <w:sz w:val="24"/>
                <w:szCs w:val="24"/>
              </w:rPr>
              <w:t>4</w:t>
            </w:r>
            <w:r>
              <w:rPr>
                <w:rFonts w:ascii="宋体" w:hAnsi="宋体"/>
                <w:bCs/>
                <w:spacing w:val="-4"/>
                <w:kern w:val="2"/>
                <w:sz w:val="24"/>
                <w:szCs w:val="24"/>
              </w:rPr>
              <w:t>分;提供的</w:t>
            </w:r>
            <w:r>
              <w:rPr>
                <w:rFonts w:hint="eastAsia" w:ascii="宋体" w:hAnsi="宋体"/>
                <w:bCs/>
                <w:spacing w:val="-4"/>
                <w:kern w:val="2"/>
                <w:sz w:val="24"/>
                <w:szCs w:val="24"/>
              </w:rPr>
              <w:t>垃圾分类方案</w:t>
            </w:r>
            <w:r>
              <w:rPr>
                <w:rFonts w:ascii="宋体" w:hAnsi="宋体"/>
                <w:bCs/>
                <w:spacing w:val="-4"/>
                <w:kern w:val="2"/>
                <w:sz w:val="24"/>
                <w:szCs w:val="24"/>
              </w:rPr>
              <w:t>漏缺1项或2项，有针对性解释说明:</w:t>
            </w:r>
            <w:r>
              <w:rPr>
                <w:rFonts w:hint="eastAsia" w:ascii="宋体" w:hAnsi="宋体"/>
                <w:bCs/>
                <w:spacing w:val="-4"/>
                <w:kern w:val="2"/>
                <w:sz w:val="24"/>
                <w:szCs w:val="24"/>
              </w:rPr>
              <w:t>3</w:t>
            </w:r>
            <w:r>
              <w:rPr>
                <w:rFonts w:ascii="宋体" w:hAnsi="宋体"/>
                <w:bCs/>
                <w:spacing w:val="-4"/>
                <w:kern w:val="2"/>
                <w:sz w:val="24"/>
                <w:szCs w:val="24"/>
              </w:rPr>
              <w:t>分;提供的</w:t>
            </w:r>
            <w:r>
              <w:rPr>
                <w:rFonts w:hint="eastAsia" w:ascii="宋体" w:hAnsi="宋体"/>
                <w:bCs/>
                <w:spacing w:val="-4"/>
                <w:kern w:val="2"/>
                <w:sz w:val="24"/>
                <w:szCs w:val="24"/>
              </w:rPr>
              <w:t>垃圾分类方案</w:t>
            </w:r>
            <w:r>
              <w:rPr>
                <w:rFonts w:ascii="宋体" w:hAnsi="宋体"/>
                <w:bCs/>
                <w:spacing w:val="-4"/>
                <w:kern w:val="2"/>
                <w:sz w:val="24"/>
                <w:szCs w:val="24"/>
              </w:rPr>
              <w:t>基本全面，有针对性解释说明:</w:t>
            </w:r>
            <w:r>
              <w:rPr>
                <w:rFonts w:hint="eastAsia" w:ascii="宋体" w:hAnsi="宋体"/>
                <w:bCs/>
                <w:spacing w:val="-4"/>
                <w:kern w:val="2"/>
                <w:sz w:val="24"/>
                <w:szCs w:val="24"/>
              </w:rPr>
              <w:t>2</w:t>
            </w:r>
            <w:r>
              <w:rPr>
                <w:rFonts w:ascii="宋体" w:hAnsi="宋体"/>
                <w:bCs/>
                <w:spacing w:val="-4"/>
                <w:kern w:val="2"/>
                <w:sz w:val="24"/>
                <w:szCs w:val="24"/>
              </w:rPr>
              <w:t>分;提供的</w:t>
            </w:r>
            <w:r>
              <w:rPr>
                <w:rFonts w:hint="eastAsia" w:ascii="宋体" w:hAnsi="宋体"/>
                <w:bCs/>
                <w:spacing w:val="-4"/>
                <w:kern w:val="2"/>
                <w:sz w:val="24"/>
                <w:szCs w:val="24"/>
              </w:rPr>
              <w:t>垃圾分类方案</w:t>
            </w:r>
            <w:r>
              <w:rPr>
                <w:rFonts w:ascii="宋体" w:hAnsi="宋体"/>
                <w:bCs/>
                <w:spacing w:val="-4"/>
                <w:kern w:val="2"/>
                <w:sz w:val="24"/>
                <w:szCs w:val="24"/>
              </w:rPr>
              <w:t>不全面，没有解释说明:</w:t>
            </w:r>
            <w:r>
              <w:rPr>
                <w:rFonts w:hint="eastAsia" w:ascii="宋体" w:hAnsi="宋体"/>
                <w:bCs/>
                <w:spacing w:val="-4"/>
                <w:kern w:val="2"/>
                <w:sz w:val="24"/>
                <w:szCs w:val="24"/>
              </w:rPr>
              <w:t>0.5</w:t>
            </w:r>
            <w:r>
              <w:rPr>
                <w:rFonts w:ascii="宋体" w:hAnsi="宋体"/>
                <w:bCs/>
                <w:spacing w:val="-4"/>
                <w:kern w:val="2"/>
                <w:sz w:val="24"/>
                <w:szCs w:val="24"/>
              </w:rPr>
              <w:t>分</w:t>
            </w:r>
            <w:r>
              <w:rPr>
                <w:rFonts w:hint="eastAsia" w:ascii="宋体" w:hAnsi="宋体"/>
                <w:bCs/>
                <w:spacing w:val="-4"/>
                <w:kern w:val="2"/>
                <w:sz w:val="24"/>
                <w:szCs w:val="24"/>
              </w:rPr>
              <w:t>；</w:t>
            </w:r>
            <w:r>
              <w:rPr>
                <w:rFonts w:ascii="宋体" w:hAnsi="宋体"/>
                <w:bCs/>
                <w:spacing w:val="-4"/>
                <w:kern w:val="2"/>
                <w:sz w:val="24"/>
                <w:szCs w:val="24"/>
              </w:rPr>
              <w:t>未提供方案不得分。</w:t>
            </w:r>
          </w:p>
        </w:tc>
        <w:tc>
          <w:tcPr>
            <w:tcW w:w="850" w:type="dxa"/>
            <w:vAlign w:val="center"/>
          </w:tcPr>
          <w:p>
            <w:pPr>
              <w:pStyle w:val="3"/>
              <w:spacing w:before="120" w:beforeLines="50" w:afterLines="50" w:line="360" w:lineRule="auto"/>
              <w:ind w:left="0" w:leftChars="0"/>
              <w:jc w:val="center"/>
              <w:rPr>
                <w:rFonts w:ascii="Calibri" w:hAnsi="Calibri" w:cs="Calibri"/>
                <w:bCs/>
                <w:kern w:val="2"/>
                <w:sz w:val="24"/>
                <w:szCs w:val="21"/>
              </w:rPr>
            </w:pPr>
            <w:r>
              <w:rPr>
                <w:rFonts w:hint="eastAsia" w:ascii="Calibri" w:hAnsi="Calibri" w:cs="Calibri"/>
                <w:bCs/>
                <w:kern w:val="2"/>
                <w:sz w:val="24"/>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sz w:val="24"/>
                <w:szCs w:val="21"/>
              </w:rPr>
              <w:t>应急预案</w:t>
            </w:r>
          </w:p>
        </w:tc>
        <w:tc>
          <w:tcPr>
            <w:tcW w:w="7938" w:type="dxa"/>
            <w:gridSpan w:val="2"/>
            <w:vAlign w:val="center"/>
          </w:tcPr>
          <w:p>
            <w:pPr>
              <w:pStyle w:val="3"/>
              <w:spacing w:before="120" w:beforeLines="50" w:afterLines="50" w:line="360" w:lineRule="auto"/>
              <w:ind w:left="0" w:leftChars="0"/>
              <w:jc w:val="left"/>
              <w:rPr>
                <w:rFonts w:ascii="Calibri" w:hAnsi="Calibri" w:cs="Calibri"/>
                <w:bCs/>
                <w:sz w:val="24"/>
                <w:szCs w:val="21"/>
              </w:rPr>
            </w:pPr>
            <w:r>
              <w:rPr>
                <w:rFonts w:hint="eastAsia" w:ascii="Calibri" w:hAnsi="Calibri" w:cs="Calibri"/>
                <w:bCs/>
                <w:sz w:val="24"/>
                <w:szCs w:val="21"/>
              </w:rPr>
              <w:t>供应商提供的针对本项目的食品安全、生产安全的风险分析及可行控制方案。根据企业提供的方案的相关内容，对食堂风险的分析，对食品安全的保障措施及应急预案的科学合理性，考察企业在安全方案的内控机制及能力等可行、严密、合理的得3分，</w:t>
            </w:r>
            <w:r>
              <w:rPr>
                <w:rFonts w:ascii="Calibri" w:hAnsi="Calibri" w:cs="Calibri"/>
                <w:bCs/>
                <w:sz w:val="24"/>
                <w:szCs w:val="21"/>
              </w:rPr>
              <w:t>提供的</w:t>
            </w:r>
            <w:r>
              <w:rPr>
                <w:rFonts w:hint="eastAsia" w:ascii="Calibri" w:hAnsi="Calibri" w:cs="Calibri"/>
                <w:bCs/>
                <w:sz w:val="24"/>
                <w:szCs w:val="21"/>
              </w:rPr>
              <w:t>应急预案</w:t>
            </w:r>
            <w:r>
              <w:rPr>
                <w:rFonts w:ascii="Calibri" w:hAnsi="Calibri" w:cs="Calibri"/>
                <w:bCs/>
                <w:sz w:val="24"/>
                <w:szCs w:val="21"/>
              </w:rPr>
              <w:t>漏缺1项或2项，有针对性解释说明:</w:t>
            </w:r>
            <w:r>
              <w:rPr>
                <w:rFonts w:hint="eastAsia" w:ascii="Calibri" w:hAnsi="Calibri" w:cs="Calibri"/>
                <w:bCs/>
                <w:sz w:val="24"/>
                <w:szCs w:val="21"/>
              </w:rPr>
              <w:t>2</w:t>
            </w:r>
            <w:r>
              <w:rPr>
                <w:rFonts w:ascii="Calibri" w:hAnsi="Calibri" w:cs="Calibri"/>
                <w:bCs/>
                <w:sz w:val="24"/>
                <w:szCs w:val="21"/>
              </w:rPr>
              <w:t>分;提供的</w:t>
            </w:r>
            <w:r>
              <w:rPr>
                <w:rFonts w:hint="eastAsia" w:ascii="Calibri" w:hAnsi="Calibri" w:cs="Calibri"/>
                <w:bCs/>
                <w:sz w:val="24"/>
                <w:szCs w:val="21"/>
              </w:rPr>
              <w:t>应急预案</w:t>
            </w:r>
            <w:r>
              <w:rPr>
                <w:rFonts w:ascii="Calibri" w:hAnsi="Calibri" w:cs="Calibri"/>
                <w:bCs/>
                <w:sz w:val="24"/>
                <w:szCs w:val="21"/>
              </w:rPr>
              <w:t>基本全面，有针对性解释说明:</w:t>
            </w:r>
            <w:r>
              <w:rPr>
                <w:rFonts w:hint="eastAsia" w:ascii="Calibri" w:hAnsi="Calibri" w:cs="Calibri"/>
                <w:bCs/>
                <w:sz w:val="24"/>
                <w:szCs w:val="21"/>
              </w:rPr>
              <w:t>1</w:t>
            </w:r>
            <w:r>
              <w:rPr>
                <w:rFonts w:ascii="Calibri" w:hAnsi="Calibri" w:cs="Calibri"/>
                <w:bCs/>
                <w:sz w:val="24"/>
                <w:szCs w:val="21"/>
              </w:rPr>
              <w:t>分;提供的</w:t>
            </w:r>
            <w:r>
              <w:rPr>
                <w:rFonts w:hint="eastAsia" w:ascii="Calibri" w:hAnsi="Calibri" w:cs="Calibri"/>
                <w:bCs/>
                <w:sz w:val="24"/>
                <w:szCs w:val="21"/>
              </w:rPr>
              <w:t>应急预案</w:t>
            </w:r>
            <w:r>
              <w:rPr>
                <w:rFonts w:ascii="Calibri" w:hAnsi="Calibri" w:cs="Calibri"/>
                <w:bCs/>
                <w:sz w:val="24"/>
                <w:szCs w:val="21"/>
              </w:rPr>
              <w:t>不全面，没有解释说明:</w:t>
            </w:r>
            <w:r>
              <w:rPr>
                <w:rFonts w:hint="eastAsia" w:ascii="Calibri" w:hAnsi="Calibri" w:cs="Calibri"/>
                <w:bCs/>
                <w:sz w:val="24"/>
                <w:szCs w:val="21"/>
              </w:rPr>
              <w:t>0.5</w:t>
            </w:r>
            <w:r>
              <w:rPr>
                <w:rFonts w:ascii="Calibri" w:hAnsi="Calibri" w:cs="Calibri"/>
                <w:bCs/>
                <w:sz w:val="24"/>
                <w:szCs w:val="21"/>
              </w:rPr>
              <w:t>分</w:t>
            </w:r>
            <w:r>
              <w:rPr>
                <w:rFonts w:hint="eastAsia" w:ascii="Calibri" w:hAnsi="Calibri" w:cs="Calibri"/>
                <w:bCs/>
                <w:sz w:val="24"/>
                <w:szCs w:val="21"/>
              </w:rPr>
              <w:t>；</w:t>
            </w:r>
            <w:r>
              <w:rPr>
                <w:rFonts w:ascii="Calibri" w:hAnsi="Calibri" w:cs="Calibri"/>
                <w:bCs/>
                <w:sz w:val="24"/>
                <w:szCs w:val="21"/>
              </w:rPr>
              <w:t>未提供方案不得分。</w:t>
            </w:r>
          </w:p>
        </w:tc>
        <w:tc>
          <w:tcPr>
            <w:tcW w:w="850"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sz w:val="24"/>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sz w:val="24"/>
                <w:szCs w:val="21"/>
              </w:rPr>
              <w:t>关键点、难点解决方案</w:t>
            </w:r>
          </w:p>
        </w:tc>
        <w:tc>
          <w:tcPr>
            <w:tcW w:w="7938" w:type="dxa"/>
            <w:gridSpan w:val="2"/>
            <w:vAlign w:val="center"/>
          </w:tcPr>
          <w:p>
            <w:pPr>
              <w:pStyle w:val="3"/>
              <w:spacing w:before="120" w:beforeLines="50" w:afterLines="50" w:line="360" w:lineRule="auto"/>
              <w:ind w:left="0" w:leftChars="0"/>
              <w:jc w:val="left"/>
              <w:rPr>
                <w:rFonts w:ascii="Calibri" w:hAnsi="Calibri" w:cs="Calibri"/>
                <w:bCs/>
                <w:sz w:val="24"/>
                <w:szCs w:val="21"/>
              </w:rPr>
            </w:pPr>
            <w:r>
              <w:rPr>
                <w:rFonts w:hint="eastAsia" w:ascii="Calibri" w:hAnsi="Calibri" w:cs="Calibri"/>
                <w:bCs/>
                <w:sz w:val="24"/>
                <w:szCs w:val="21"/>
              </w:rPr>
              <w:t>提供的针对本项目实施情况找准关键点、难点，并提出解决方案的</w:t>
            </w:r>
            <w:r>
              <w:rPr>
                <w:rFonts w:hint="eastAsia" w:ascii="Calibri" w:hAnsi="Calibri" w:cs="Calibri"/>
                <w:bCs/>
                <w:kern w:val="2"/>
                <w:sz w:val="24"/>
                <w:szCs w:val="21"/>
              </w:rPr>
              <w:t>，</w:t>
            </w:r>
            <w:r>
              <w:rPr>
                <w:rFonts w:hint="eastAsia" w:ascii="Calibri" w:hAnsi="Calibri" w:cs="Calibri"/>
                <w:bCs/>
                <w:sz w:val="24"/>
                <w:szCs w:val="21"/>
              </w:rPr>
              <w:t>提出的技术难点及解决方案贴近于本项目，可行、严密、合理</w:t>
            </w:r>
            <w:r>
              <w:rPr>
                <w:rFonts w:hint="eastAsia" w:ascii="Calibri" w:hAnsi="Calibri" w:cs="Calibri"/>
                <w:bCs/>
                <w:kern w:val="2"/>
                <w:sz w:val="24"/>
                <w:szCs w:val="21"/>
              </w:rPr>
              <w:t>、</w:t>
            </w:r>
            <w:r>
              <w:rPr>
                <w:rFonts w:ascii="宋体" w:hAnsi="宋体"/>
                <w:bCs/>
                <w:spacing w:val="-4"/>
                <w:sz w:val="24"/>
              </w:rPr>
              <w:t>全面，不漏项且有针对性解释说明:</w:t>
            </w:r>
            <w:r>
              <w:rPr>
                <w:rFonts w:hint="eastAsia" w:ascii="宋体" w:hAnsi="宋体"/>
                <w:bCs/>
                <w:spacing w:val="-4"/>
                <w:sz w:val="24"/>
              </w:rPr>
              <w:t>5</w:t>
            </w:r>
            <w:r>
              <w:rPr>
                <w:rFonts w:ascii="宋体" w:hAnsi="宋体"/>
                <w:bCs/>
                <w:spacing w:val="-4"/>
                <w:sz w:val="24"/>
              </w:rPr>
              <w:t>分;提供的</w:t>
            </w:r>
            <w:r>
              <w:rPr>
                <w:rFonts w:hint="eastAsia" w:ascii="Calibri" w:hAnsi="Calibri" w:cs="Calibri"/>
                <w:bCs/>
                <w:sz w:val="24"/>
                <w:szCs w:val="21"/>
              </w:rPr>
              <w:t>解决方案</w:t>
            </w:r>
            <w:r>
              <w:rPr>
                <w:rFonts w:ascii="宋体" w:hAnsi="宋体"/>
                <w:bCs/>
                <w:spacing w:val="-4"/>
                <w:sz w:val="24"/>
              </w:rPr>
              <w:t>漏缺1项或2项，有针对性解释说明:</w:t>
            </w:r>
            <w:r>
              <w:rPr>
                <w:rFonts w:hint="eastAsia" w:ascii="宋体" w:hAnsi="宋体"/>
                <w:bCs/>
                <w:spacing w:val="-4"/>
                <w:sz w:val="24"/>
              </w:rPr>
              <w:t>4</w:t>
            </w:r>
            <w:r>
              <w:rPr>
                <w:rFonts w:ascii="宋体" w:hAnsi="宋体"/>
                <w:bCs/>
                <w:spacing w:val="-4"/>
                <w:sz w:val="24"/>
              </w:rPr>
              <w:t>分;提供的</w:t>
            </w:r>
            <w:r>
              <w:rPr>
                <w:rFonts w:hint="eastAsia" w:ascii="Calibri" w:hAnsi="Calibri" w:cs="Calibri"/>
                <w:bCs/>
                <w:sz w:val="24"/>
                <w:szCs w:val="21"/>
              </w:rPr>
              <w:t>解决方案</w:t>
            </w:r>
            <w:r>
              <w:rPr>
                <w:rFonts w:ascii="宋体" w:hAnsi="宋体"/>
                <w:bCs/>
                <w:spacing w:val="-4"/>
                <w:sz w:val="24"/>
              </w:rPr>
              <w:t>基本全面，有针对性解释说明:</w:t>
            </w:r>
            <w:r>
              <w:rPr>
                <w:rFonts w:hint="eastAsia" w:ascii="宋体" w:hAnsi="宋体"/>
                <w:bCs/>
                <w:spacing w:val="-4"/>
                <w:sz w:val="24"/>
              </w:rPr>
              <w:t>3</w:t>
            </w:r>
            <w:r>
              <w:rPr>
                <w:rFonts w:ascii="宋体" w:hAnsi="宋体"/>
                <w:bCs/>
                <w:spacing w:val="-4"/>
                <w:sz w:val="24"/>
              </w:rPr>
              <w:t>分;提供的</w:t>
            </w:r>
            <w:r>
              <w:rPr>
                <w:rFonts w:hint="eastAsia" w:ascii="Calibri" w:hAnsi="Calibri" w:cs="Calibri"/>
                <w:bCs/>
                <w:sz w:val="24"/>
                <w:szCs w:val="21"/>
              </w:rPr>
              <w:t>解决方案</w:t>
            </w:r>
            <w:r>
              <w:rPr>
                <w:rFonts w:ascii="宋体" w:hAnsi="宋体"/>
                <w:bCs/>
                <w:spacing w:val="-4"/>
                <w:sz w:val="24"/>
              </w:rPr>
              <w:t>不全面，没有解释说明:</w:t>
            </w:r>
            <w:r>
              <w:rPr>
                <w:rFonts w:hint="eastAsia" w:ascii="宋体" w:hAnsi="宋体"/>
                <w:bCs/>
                <w:spacing w:val="-4"/>
                <w:sz w:val="24"/>
              </w:rPr>
              <w:t>1</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sz w:val="24"/>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vAlign w:val="center"/>
          </w:tcPr>
          <w:p>
            <w:pPr>
              <w:pStyle w:val="3"/>
              <w:spacing w:before="120" w:beforeLines="50" w:afterLines="50" w:line="360" w:lineRule="auto"/>
              <w:ind w:left="0" w:leftChars="0"/>
              <w:jc w:val="center"/>
              <w:rPr>
                <w:rFonts w:ascii="Calibri" w:hAnsi="Calibri" w:cs="Calibri"/>
                <w:bCs/>
                <w:kern w:val="2"/>
                <w:sz w:val="24"/>
                <w:szCs w:val="21"/>
              </w:rPr>
            </w:pPr>
            <w:r>
              <w:rPr>
                <w:rFonts w:hint="eastAsia" w:ascii="Calibri" w:hAnsi="Calibri" w:cs="Calibri"/>
                <w:bCs/>
                <w:sz w:val="24"/>
                <w:szCs w:val="21"/>
              </w:rPr>
              <w:t>与采购人配合方案</w:t>
            </w:r>
          </w:p>
        </w:tc>
        <w:tc>
          <w:tcPr>
            <w:tcW w:w="7938" w:type="dxa"/>
            <w:gridSpan w:val="2"/>
            <w:vAlign w:val="center"/>
          </w:tcPr>
          <w:p>
            <w:pPr>
              <w:pStyle w:val="3"/>
              <w:spacing w:before="120" w:beforeLines="50" w:afterLines="50" w:line="360" w:lineRule="auto"/>
              <w:ind w:left="0" w:leftChars="0"/>
              <w:jc w:val="left"/>
              <w:rPr>
                <w:rFonts w:ascii="Calibri" w:hAnsi="Calibri" w:cs="Calibri"/>
                <w:bCs/>
                <w:sz w:val="24"/>
                <w:szCs w:val="21"/>
              </w:rPr>
            </w:pPr>
            <w:r>
              <w:rPr>
                <w:rFonts w:hint="eastAsia" w:ascii="Calibri" w:hAnsi="Calibri" w:cs="Calibri"/>
                <w:bCs/>
                <w:sz w:val="24"/>
                <w:szCs w:val="21"/>
              </w:rPr>
              <w:t>针对本项目与采购单位有完整科学合理有效的配合方案：方案全面、科学合理</w:t>
            </w:r>
            <w:r>
              <w:rPr>
                <w:rFonts w:hint="eastAsia" w:ascii="Calibri" w:hAnsi="Calibri" w:cs="Calibri"/>
                <w:bCs/>
                <w:kern w:val="2"/>
                <w:sz w:val="24"/>
                <w:szCs w:val="21"/>
              </w:rPr>
              <w:t>、</w:t>
            </w:r>
            <w:r>
              <w:rPr>
                <w:rFonts w:ascii="宋体" w:hAnsi="宋体"/>
                <w:bCs/>
                <w:spacing w:val="-4"/>
                <w:sz w:val="24"/>
              </w:rPr>
              <w:t>全面，不漏项且有针对性解释说明:</w:t>
            </w:r>
            <w:r>
              <w:rPr>
                <w:rFonts w:hint="eastAsia" w:ascii="宋体" w:hAnsi="宋体"/>
                <w:bCs/>
                <w:spacing w:val="-4"/>
                <w:sz w:val="24"/>
              </w:rPr>
              <w:t>2</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漏缺1项或2项，有针对性解释说明:</w:t>
            </w:r>
            <w:r>
              <w:rPr>
                <w:rFonts w:hint="eastAsia" w:ascii="宋体" w:hAnsi="宋体"/>
                <w:bCs/>
                <w:spacing w:val="-4"/>
                <w:sz w:val="24"/>
              </w:rPr>
              <w:t>1.5</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基本全面，有针对性解释说明</w:t>
            </w:r>
            <w:r>
              <w:rPr>
                <w:rFonts w:hint="eastAsia" w:ascii="宋体" w:hAnsi="宋体"/>
                <w:bCs/>
                <w:spacing w:val="-4"/>
                <w:sz w:val="24"/>
              </w:rPr>
              <w:t>1</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不全面，没有解释说明:</w:t>
            </w:r>
            <w:r>
              <w:rPr>
                <w:rFonts w:hint="eastAsia" w:ascii="宋体" w:hAnsi="宋体"/>
                <w:bCs/>
                <w:spacing w:val="-4"/>
                <w:sz w:val="24"/>
              </w:rPr>
              <w:t>0.5</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p>
            <w:pPr>
              <w:pStyle w:val="3"/>
              <w:spacing w:before="120" w:beforeLines="50" w:afterLines="50" w:line="360" w:lineRule="auto"/>
              <w:ind w:left="0" w:leftChars="0"/>
              <w:jc w:val="left"/>
              <w:rPr>
                <w:rFonts w:ascii="Calibri" w:hAnsi="Calibri" w:cs="Calibri"/>
                <w:bCs/>
                <w:sz w:val="24"/>
                <w:szCs w:val="21"/>
              </w:rPr>
            </w:pPr>
            <w:r>
              <w:rPr>
                <w:rFonts w:hint="eastAsia" w:ascii="Calibri" w:hAnsi="Calibri" w:cs="Calibri"/>
                <w:bCs/>
                <w:sz w:val="24"/>
                <w:szCs w:val="21"/>
              </w:rPr>
              <w:t>针对禁塑令与采购单位有完整科学合理有效的配合方案：方案全面、科学合理的</w:t>
            </w:r>
            <w:r>
              <w:rPr>
                <w:rFonts w:hint="eastAsia" w:ascii="Calibri" w:hAnsi="Calibri" w:cs="Calibri"/>
                <w:bCs/>
                <w:kern w:val="2"/>
                <w:sz w:val="24"/>
                <w:szCs w:val="21"/>
              </w:rPr>
              <w:t>、</w:t>
            </w:r>
            <w:r>
              <w:rPr>
                <w:rFonts w:ascii="宋体" w:hAnsi="宋体"/>
                <w:bCs/>
                <w:spacing w:val="-4"/>
                <w:sz w:val="24"/>
              </w:rPr>
              <w:t>全面，不漏项且有针对性解释说明:</w:t>
            </w:r>
            <w:r>
              <w:rPr>
                <w:rFonts w:hint="eastAsia" w:ascii="宋体" w:hAnsi="宋体"/>
                <w:bCs/>
                <w:spacing w:val="-4"/>
                <w:sz w:val="24"/>
              </w:rPr>
              <w:t>2</w:t>
            </w:r>
            <w:r>
              <w:rPr>
                <w:rFonts w:ascii="宋体" w:hAnsi="宋体"/>
                <w:bCs/>
                <w:spacing w:val="-4"/>
                <w:sz w:val="24"/>
              </w:rPr>
              <w:t>分; 提供的</w:t>
            </w:r>
            <w:r>
              <w:rPr>
                <w:rFonts w:hint="eastAsia" w:ascii="Calibri" w:hAnsi="Calibri" w:cs="Calibri"/>
                <w:bCs/>
                <w:sz w:val="24"/>
                <w:szCs w:val="21"/>
              </w:rPr>
              <w:t>配合方案</w:t>
            </w:r>
            <w:r>
              <w:rPr>
                <w:rFonts w:ascii="宋体" w:hAnsi="宋体"/>
                <w:bCs/>
                <w:spacing w:val="-4"/>
                <w:sz w:val="24"/>
              </w:rPr>
              <w:t>漏缺1项或2项，有针对性解释说明:</w:t>
            </w:r>
            <w:r>
              <w:rPr>
                <w:rFonts w:hint="eastAsia" w:ascii="宋体" w:hAnsi="宋体"/>
                <w:bCs/>
                <w:spacing w:val="-4"/>
                <w:sz w:val="24"/>
              </w:rPr>
              <w:t>1.5</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基本全面，有针对性解释说明</w:t>
            </w:r>
            <w:r>
              <w:rPr>
                <w:rFonts w:hint="eastAsia" w:ascii="宋体" w:hAnsi="宋体"/>
                <w:bCs/>
                <w:spacing w:val="-4"/>
                <w:sz w:val="24"/>
              </w:rPr>
              <w:t>1</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不全面，没有解释说明:</w:t>
            </w:r>
            <w:r>
              <w:rPr>
                <w:rFonts w:hint="eastAsia" w:ascii="宋体" w:hAnsi="宋体"/>
                <w:bCs/>
                <w:spacing w:val="-4"/>
                <w:sz w:val="24"/>
              </w:rPr>
              <w:t>0.5</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p>
            <w:pPr>
              <w:pStyle w:val="3"/>
              <w:spacing w:before="120" w:beforeLines="50" w:afterLines="50" w:line="360" w:lineRule="auto"/>
              <w:ind w:left="0" w:leftChars="0"/>
              <w:jc w:val="left"/>
            </w:pPr>
            <w:r>
              <w:rPr>
                <w:rFonts w:hint="eastAsia" w:ascii="Calibri" w:hAnsi="Calibri" w:cs="Calibri"/>
                <w:bCs/>
                <w:sz w:val="24"/>
                <w:szCs w:val="21"/>
              </w:rPr>
              <w:t>针对有关制止浪费、尽量减少剩菜剩饭有完整科学合理有效的配合方案：方案全面、科学合理</w:t>
            </w:r>
            <w:r>
              <w:rPr>
                <w:rFonts w:hint="eastAsia" w:ascii="Calibri" w:hAnsi="Calibri" w:cs="Calibri"/>
                <w:bCs/>
                <w:kern w:val="2"/>
                <w:sz w:val="24"/>
                <w:szCs w:val="21"/>
              </w:rPr>
              <w:t>、</w:t>
            </w:r>
            <w:r>
              <w:rPr>
                <w:rFonts w:ascii="宋体" w:hAnsi="宋体"/>
                <w:bCs/>
                <w:spacing w:val="-4"/>
                <w:sz w:val="24"/>
              </w:rPr>
              <w:t>全面，不漏项且有针对性解释说明:</w:t>
            </w:r>
            <w:r>
              <w:rPr>
                <w:rFonts w:hint="eastAsia" w:ascii="宋体" w:hAnsi="宋体"/>
                <w:bCs/>
                <w:spacing w:val="-4"/>
                <w:sz w:val="24"/>
              </w:rPr>
              <w:t>2</w:t>
            </w:r>
            <w:r>
              <w:rPr>
                <w:rFonts w:ascii="宋体" w:hAnsi="宋体"/>
                <w:bCs/>
                <w:spacing w:val="-4"/>
                <w:sz w:val="24"/>
              </w:rPr>
              <w:t>分; 提供的</w:t>
            </w:r>
            <w:r>
              <w:rPr>
                <w:rFonts w:hint="eastAsia" w:ascii="Calibri" w:hAnsi="Calibri" w:cs="Calibri"/>
                <w:bCs/>
                <w:sz w:val="24"/>
                <w:szCs w:val="21"/>
              </w:rPr>
              <w:t>配合方案</w:t>
            </w:r>
            <w:r>
              <w:rPr>
                <w:rFonts w:ascii="宋体" w:hAnsi="宋体"/>
                <w:bCs/>
                <w:spacing w:val="-4"/>
                <w:sz w:val="24"/>
              </w:rPr>
              <w:t>漏缺1项或2项，有针对性解释说明:</w:t>
            </w:r>
            <w:r>
              <w:rPr>
                <w:rFonts w:hint="eastAsia" w:ascii="宋体" w:hAnsi="宋体"/>
                <w:bCs/>
                <w:spacing w:val="-4"/>
                <w:sz w:val="24"/>
              </w:rPr>
              <w:t>1.5</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基本全面，有针对性解释说明</w:t>
            </w:r>
            <w:r>
              <w:rPr>
                <w:rFonts w:hint="eastAsia" w:ascii="宋体" w:hAnsi="宋体"/>
                <w:bCs/>
                <w:spacing w:val="-4"/>
                <w:sz w:val="24"/>
              </w:rPr>
              <w:t>1</w:t>
            </w:r>
            <w:r>
              <w:rPr>
                <w:rFonts w:ascii="宋体" w:hAnsi="宋体"/>
                <w:bCs/>
                <w:spacing w:val="-4"/>
                <w:sz w:val="24"/>
              </w:rPr>
              <w:t>分;提供的</w:t>
            </w:r>
            <w:r>
              <w:rPr>
                <w:rFonts w:hint="eastAsia" w:ascii="Calibri" w:hAnsi="Calibri" w:cs="Calibri"/>
                <w:bCs/>
                <w:sz w:val="24"/>
                <w:szCs w:val="21"/>
              </w:rPr>
              <w:t>配合方案</w:t>
            </w:r>
            <w:r>
              <w:rPr>
                <w:rFonts w:ascii="宋体" w:hAnsi="宋体"/>
                <w:bCs/>
                <w:spacing w:val="-4"/>
                <w:sz w:val="24"/>
              </w:rPr>
              <w:t>不全面，没有解释说明:</w:t>
            </w:r>
            <w:r>
              <w:rPr>
                <w:rFonts w:hint="eastAsia" w:ascii="宋体" w:hAnsi="宋体"/>
                <w:bCs/>
                <w:spacing w:val="-4"/>
                <w:sz w:val="24"/>
              </w:rPr>
              <w:t>0.5</w:t>
            </w:r>
            <w:r>
              <w:rPr>
                <w:rFonts w:ascii="宋体" w:hAnsi="宋体"/>
                <w:bCs/>
                <w:spacing w:val="-4"/>
                <w:sz w:val="24"/>
              </w:rPr>
              <w:t>分</w:t>
            </w:r>
            <w:r>
              <w:rPr>
                <w:rFonts w:hint="eastAsia" w:ascii="宋体" w:hAnsi="宋体"/>
                <w:bCs/>
                <w:spacing w:val="-4"/>
                <w:sz w:val="24"/>
              </w:rPr>
              <w:t>；</w:t>
            </w:r>
            <w:r>
              <w:rPr>
                <w:rFonts w:ascii="宋体" w:hAnsi="宋体"/>
                <w:bCs/>
                <w:spacing w:val="-4"/>
                <w:sz w:val="24"/>
              </w:rPr>
              <w:t>未提供方案不得分。</w:t>
            </w:r>
          </w:p>
        </w:tc>
        <w:tc>
          <w:tcPr>
            <w:tcW w:w="850" w:type="dxa"/>
            <w:vAlign w:val="center"/>
          </w:tcPr>
          <w:p>
            <w:pPr>
              <w:pStyle w:val="3"/>
              <w:spacing w:before="120" w:beforeLines="50" w:afterLines="50" w:line="360" w:lineRule="auto"/>
              <w:ind w:left="0" w:leftChars="0"/>
              <w:jc w:val="center"/>
              <w:rPr>
                <w:rFonts w:ascii="Calibri" w:hAnsi="Calibri" w:cs="Calibri"/>
                <w:bCs/>
                <w:kern w:val="2"/>
                <w:sz w:val="24"/>
                <w:szCs w:val="21"/>
              </w:rPr>
            </w:pPr>
            <w:r>
              <w:rPr>
                <w:rFonts w:hint="eastAsia" w:ascii="Calibri" w:hAnsi="Calibri" w:cs="Calibri"/>
                <w:bCs/>
                <w:sz w:val="24"/>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sz w:val="24"/>
                <w:szCs w:val="21"/>
              </w:rPr>
              <w:t>餐厨废弃物处理管理方案</w:t>
            </w:r>
          </w:p>
        </w:tc>
        <w:tc>
          <w:tcPr>
            <w:tcW w:w="7938" w:type="dxa"/>
            <w:gridSpan w:val="2"/>
            <w:vAlign w:val="center"/>
          </w:tcPr>
          <w:p>
            <w:pPr>
              <w:pStyle w:val="3"/>
              <w:spacing w:before="120" w:beforeLines="50" w:afterLines="50" w:line="360" w:lineRule="auto"/>
              <w:ind w:left="0" w:leftChars="0"/>
              <w:jc w:val="left"/>
              <w:rPr>
                <w:rFonts w:ascii="Calibri" w:hAnsi="Calibri" w:cs="Calibri"/>
                <w:bCs/>
                <w:sz w:val="24"/>
                <w:szCs w:val="21"/>
              </w:rPr>
            </w:pPr>
            <w:r>
              <w:rPr>
                <w:rFonts w:hint="eastAsia" w:ascii="Calibri" w:hAnsi="Calibri" w:cs="Calibri"/>
                <w:bCs/>
                <w:sz w:val="24"/>
                <w:szCs w:val="21"/>
              </w:rPr>
              <w:t>投标人提供与有资质的餐厨废弃物收集、运输服务企业签订餐厨废弃物收集、运输经营协议的得2分。提供协议原件扫描件</w:t>
            </w:r>
            <w:r>
              <w:rPr>
                <w:rFonts w:hint="eastAsia" w:ascii="Calibri" w:hAnsi="Calibri" w:cs="Calibri"/>
                <w:bCs/>
                <w:kern w:val="2"/>
                <w:sz w:val="24"/>
                <w:szCs w:val="21"/>
              </w:rPr>
              <w:t>或复印件。</w:t>
            </w:r>
          </w:p>
        </w:tc>
        <w:tc>
          <w:tcPr>
            <w:tcW w:w="850"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sz w:val="24"/>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vAlign w:val="center"/>
          </w:tcPr>
          <w:p>
            <w:pPr>
              <w:pStyle w:val="3"/>
              <w:spacing w:before="120" w:beforeLines="50" w:afterLines="50" w:line="360" w:lineRule="auto"/>
              <w:ind w:left="0" w:leftChars="0"/>
              <w:jc w:val="center"/>
              <w:rPr>
                <w:rFonts w:asciiTheme="minorEastAsia" w:hAnsiTheme="minorEastAsia" w:eastAsiaTheme="minorEastAsia"/>
                <w:sz w:val="24"/>
                <w:szCs w:val="24"/>
              </w:rPr>
            </w:pPr>
            <w:r>
              <w:rPr>
                <w:rFonts w:hint="eastAsia" w:hAnsi="宋体" w:cs="宋体"/>
                <w:sz w:val="24"/>
                <w:szCs w:val="24"/>
              </w:rPr>
              <w:t>拟投入本项目人员</w:t>
            </w:r>
          </w:p>
        </w:tc>
        <w:tc>
          <w:tcPr>
            <w:tcW w:w="7938" w:type="dxa"/>
            <w:gridSpan w:val="2"/>
            <w:vAlign w:val="center"/>
          </w:tcPr>
          <w:p>
            <w:pPr>
              <w:pStyle w:val="3"/>
              <w:spacing w:before="120" w:beforeLines="50" w:afterLines="50" w:line="360" w:lineRule="auto"/>
              <w:ind w:left="0" w:leftChars="0"/>
              <w:jc w:val="left"/>
              <w:rPr>
                <w:rFonts w:ascii="宋体" w:hAnsi="宋体" w:cs="宋体"/>
                <w:sz w:val="24"/>
                <w:szCs w:val="24"/>
              </w:rPr>
            </w:pPr>
            <w:r>
              <w:rPr>
                <w:rFonts w:ascii="宋体" w:hAnsi="宋体" w:cs="宋体"/>
                <w:sz w:val="24"/>
                <w:szCs w:val="24"/>
              </w:rPr>
              <w:t>1、厨师：服务团队中有</w:t>
            </w:r>
            <w:r>
              <w:rPr>
                <w:rFonts w:hint="eastAsia" w:ascii="宋体" w:hAnsi="宋体" w:cs="宋体"/>
                <w:sz w:val="24"/>
                <w:szCs w:val="24"/>
              </w:rPr>
              <w:t>一级/</w:t>
            </w:r>
            <w:r>
              <w:rPr>
                <w:rFonts w:ascii="宋体" w:hAnsi="宋体" w:cs="宋体"/>
                <w:sz w:val="24"/>
                <w:szCs w:val="24"/>
              </w:rPr>
              <w:t>高级</w:t>
            </w:r>
            <w:r>
              <w:rPr>
                <w:rFonts w:hint="eastAsia" w:ascii="宋体" w:hAnsi="宋体" w:cs="宋体"/>
                <w:sz w:val="24"/>
                <w:szCs w:val="24"/>
              </w:rPr>
              <w:t>技师</w:t>
            </w:r>
            <w:r>
              <w:rPr>
                <w:rFonts w:ascii="宋体" w:hAnsi="宋体" w:cs="宋体"/>
                <w:sz w:val="24"/>
                <w:szCs w:val="24"/>
              </w:rPr>
              <w:t>及以上中式烹调师的，每一名得1分，最高得5分，</w:t>
            </w:r>
            <w:r>
              <w:rPr>
                <w:rFonts w:ascii="宋体" w:hAnsi="宋体"/>
                <w:bCs/>
                <w:spacing w:val="-4"/>
                <w:sz w:val="24"/>
              </w:rPr>
              <w:t>未提供不得分</w:t>
            </w:r>
            <w:r>
              <w:rPr>
                <w:rFonts w:ascii="宋体" w:hAnsi="宋体" w:cs="宋体"/>
                <w:sz w:val="24"/>
                <w:szCs w:val="24"/>
              </w:rPr>
              <w:t>。</w:t>
            </w:r>
          </w:p>
          <w:p>
            <w:pPr>
              <w:pStyle w:val="3"/>
              <w:spacing w:before="120" w:beforeLines="50" w:afterLines="50" w:line="360" w:lineRule="auto"/>
              <w:ind w:left="0" w:leftChars="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面点师：具有四级/中级技能及以上中式面点师的每人得1分，最高得2分；未提供不得分。</w:t>
            </w:r>
          </w:p>
          <w:p>
            <w:pPr>
              <w:pStyle w:val="3"/>
              <w:spacing w:before="120" w:beforeLines="50" w:afterLines="50" w:line="360" w:lineRule="auto"/>
              <w:ind w:left="0" w:leftChars="0"/>
              <w:jc w:val="left"/>
              <w:rPr>
                <w:rFonts w:ascii="宋体" w:hAnsi="宋体" w:cs="宋体"/>
                <w:sz w:val="24"/>
                <w:szCs w:val="24"/>
              </w:rPr>
            </w:pPr>
            <w:r>
              <w:rPr>
                <w:rFonts w:hint="eastAsia" w:ascii="宋体" w:hAnsi="宋体" w:cs="宋体"/>
                <w:sz w:val="24"/>
                <w:szCs w:val="24"/>
              </w:rPr>
              <w:t>3、服务员：服务团队中有一级/高级及以上餐厅服务员的，每一名得1分，最高得2分；未提供不得分。</w:t>
            </w:r>
          </w:p>
          <w:p>
            <w:pPr>
              <w:pStyle w:val="5"/>
              <w:spacing w:after="0" w:line="480" w:lineRule="exact"/>
              <w:jc w:val="left"/>
            </w:pPr>
            <w:r>
              <w:rPr>
                <w:rFonts w:hint="eastAsia" w:ascii="宋体" w:hAnsi="宋体" w:cs="宋体"/>
                <w:sz w:val="24"/>
                <w:szCs w:val="24"/>
              </w:rPr>
              <w:t>4、配餐员：具有三级/高级技能及以上营养配餐员的每人得1分，最高2分；没有不得分。</w:t>
            </w:r>
          </w:p>
          <w:p>
            <w:pPr>
              <w:pStyle w:val="5"/>
              <w:spacing w:after="0" w:line="480" w:lineRule="exact"/>
              <w:jc w:val="left"/>
              <w:rPr>
                <w:rFonts w:ascii="宋体" w:hAnsi="宋体" w:cs="宋体"/>
                <w:sz w:val="24"/>
                <w:szCs w:val="24"/>
              </w:rPr>
            </w:pPr>
            <w:r>
              <w:rPr>
                <w:rFonts w:hint="eastAsia" w:ascii="宋体" w:hAnsi="宋体" w:cs="宋体"/>
                <w:sz w:val="24"/>
                <w:szCs w:val="24"/>
              </w:rPr>
              <w:t>5、核算员：服务团队有中级及以上会计证书的得1分，最高得1分；未提供不得分。</w:t>
            </w:r>
          </w:p>
          <w:p>
            <w:pPr>
              <w:pStyle w:val="3"/>
              <w:spacing w:before="120" w:beforeLines="50" w:afterLines="50" w:line="360" w:lineRule="auto"/>
              <w:ind w:left="0" w:leftChars="0"/>
              <w:jc w:val="left"/>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投标人</w:t>
            </w:r>
            <w:r>
              <w:rPr>
                <w:rFonts w:ascii="宋体" w:hAnsi="宋体" w:cs="宋体"/>
                <w:sz w:val="24"/>
                <w:szCs w:val="24"/>
              </w:rPr>
              <w:t>其他人员配置：拟派人员总人数不少于63人，岗位架构配备合理、分工明确，所有人员提供必要的健康证等信息的，得2分，最高得2分。</w:t>
            </w:r>
          </w:p>
          <w:p>
            <w:pPr>
              <w:pStyle w:val="3"/>
              <w:spacing w:before="120" w:beforeLines="50" w:afterLines="50" w:line="360" w:lineRule="auto"/>
              <w:ind w:left="0" w:leftChars="0"/>
              <w:jc w:val="left"/>
              <w:rPr>
                <w:rFonts w:asciiTheme="minorEastAsia" w:hAnsiTheme="minorEastAsia" w:eastAsiaTheme="minorEastAsia"/>
                <w:sz w:val="24"/>
                <w:szCs w:val="24"/>
              </w:rPr>
            </w:pPr>
            <w:r>
              <w:rPr>
                <w:rFonts w:ascii="宋体" w:hAnsi="宋体" w:cs="宋体"/>
                <w:sz w:val="24"/>
                <w:szCs w:val="24"/>
              </w:rPr>
              <w:t>提供</w:t>
            </w:r>
            <w:r>
              <w:rPr>
                <w:rFonts w:hint="eastAsia" w:ascii="宋体" w:hAnsi="宋体" w:cs="宋体"/>
                <w:sz w:val="24"/>
                <w:szCs w:val="24"/>
              </w:rPr>
              <w:t>以上相关人员</w:t>
            </w:r>
            <w:r>
              <w:rPr>
                <w:rFonts w:ascii="宋体" w:hAnsi="宋体" w:cs="宋体"/>
                <w:sz w:val="24"/>
                <w:szCs w:val="24"/>
              </w:rPr>
              <w:t>政府行政职能部门或行业主管部门授予的相关证书或证明材料的复印件</w:t>
            </w:r>
            <w:r>
              <w:rPr>
                <w:rFonts w:hint="eastAsia" w:ascii="宋体" w:hAnsi="宋体" w:cs="宋体"/>
                <w:sz w:val="24"/>
                <w:szCs w:val="24"/>
              </w:rPr>
              <w:t>以及</w:t>
            </w:r>
            <w:r>
              <w:rPr>
                <w:rFonts w:ascii="宋体" w:hAnsi="宋体" w:cs="宋体"/>
                <w:sz w:val="24"/>
                <w:szCs w:val="24"/>
              </w:rPr>
              <w:t>本单位为其缴纳的近一个月社保证明复印件；</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本项目有效的改进措施和合理化</w:t>
            </w:r>
          </w:p>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建议</w:t>
            </w:r>
          </w:p>
        </w:tc>
        <w:tc>
          <w:tcPr>
            <w:tcW w:w="7938" w:type="dxa"/>
            <w:gridSpan w:val="2"/>
            <w:vAlign w:val="center"/>
          </w:tcPr>
          <w:p>
            <w:pPr>
              <w:spacing w:before="120" w:beforeLines="50" w:after="120" w:afterLines="50" w:line="400" w:lineRule="exact"/>
              <w:jc w:val="left"/>
              <w:rPr>
                <w:rFonts w:hAnsi="宋体" w:cs="宋体"/>
                <w:kern w:val="0"/>
                <w:sz w:val="24"/>
              </w:rPr>
            </w:pPr>
            <w:r>
              <w:rPr>
                <w:rFonts w:hint="eastAsia" w:hAnsi="宋体" w:cs="宋体"/>
                <w:kern w:val="0"/>
                <w:sz w:val="24"/>
              </w:rPr>
              <w:t>针对本项目实际情况提出的确实可行有效建议或措施的每项得1分，最高得5分。</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资信、商务及其他部分</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702" w:type="dxa"/>
            <w:gridSpan w:val="2"/>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企业业绩</w:t>
            </w:r>
          </w:p>
        </w:tc>
        <w:tc>
          <w:tcPr>
            <w:tcW w:w="7655" w:type="dxa"/>
            <w:vAlign w:val="center"/>
          </w:tcPr>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投标人20</w:t>
            </w:r>
            <w:r>
              <w:rPr>
                <w:rFonts w:hAnsi="宋体" w:cs="宋体"/>
                <w:sz w:val="24"/>
                <w:szCs w:val="24"/>
              </w:rPr>
              <w:t>20</w:t>
            </w:r>
            <w:r>
              <w:rPr>
                <w:rFonts w:hint="eastAsia" w:hAnsi="宋体" w:cs="宋体"/>
                <w:sz w:val="24"/>
                <w:szCs w:val="24"/>
              </w:rPr>
              <w:t>年1月1日至今（以合同签订时间为准），每提供1个同类项目业绩得0.5分，最高得1分。提供合同复印件。</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gridSpan w:val="2"/>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权威认证</w:t>
            </w:r>
          </w:p>
        </w:tc>
        <w:tc>
          <w:tcPr>
            <w:tcW w:w="7655" w:type="dxa"/>
            <w:vAlign w:val="center"/>
          </w:tcPr>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投标人具有有效期内的质量管理体系认证证书、环境管理体系认证证书、职业健康安全认证证书的，每项得1分，最高得3分。注：提供全国认证认可信息公共服务平台（</w:t>
            </w:r>
            <w:r>
              <w:rPr>
                <w:rFonts w:hAnsi="宋体" w:cs="宋体"/>
                <w:sz w:val="24"/>
                <w:szCs w:val="24"/>
              </w:rPr>
              <w:t>http://cx.cnca.cn/CertECloud/index/index/page</w:t>
            </w:r>
            <w:r>
              <w:rPr>
                <w:rFonts w:hint="eastAsia" w:hAnsi="宋体" w:cs="宋体"/>
                <w:sz w:val="24"/>
                <w:szCs w:val="24"/>
              </w:rPr>
              <w:t>）查询结果及认证证书复印件，未提供不得分。</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gridSpan w:val="2"/>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企业和</w:t>
            </w:r>
          </w:p>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人员荣誉</w:t>
            </w:r>
          </w:p>
        </w:tc>
        <w:tc>
          <w:tcPr>
            <w:tcW w:w="7655" w:type="dxa"/>
            <w:vAlign w:val="center"/>
          </w:tcPr>
          <w:p>
            <w:pPr>
              <w:pStyle w:val="3"/>
              <w:numPr>
                <w:ilvl w:val="0"/>
                <w:numId w:val="3"/>
              </w:numPr>
              <w:spacing w:before="120" w:beforeLines="50" w:afterLines="50" w:line="360" w:lineRule="auto"/>
              <w:ind w:left="0" w:leftChars="0"/>
              <w:jc w:val="left"/>
              <w:rPr>
                <w:rFonts w:hAnsi="宋体" w:cs="宋体"/>
                <w:sz w:val="24"/>
                <w:szCs w:val="24"/>
              </w:rPr>
            </w:pPr>
            <w:r>
              <w:rPr>
                <w:rFonts w:hint="eastAsia" w:hAnsi="宋体" w:cs="宋体"/>
                <w:sz w:val="24"/>
                <w:szCs w:val="24"/>
              </w:rPr>
              <w:t>投标人获得过县级及以上政府行政职能部门颁发的荣誉证书的每项得1分，最高得1分；投标人获得过市级及以上政府行政职能部门颁发的荣誉证书的得2分，最高得2分；投标人获得过省级及以上政府行政职能部门颁发的荣誉证书的得3分，最高得3分；本项按最高荣誉计分，不累计计分。</w:t>
            </w:r>
          </w:p>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2.食堂经理荣誉：获得过市级政府行政职能部门、行业协会颁发的荣誉证书的得1分，省级政府行政职能部门、行业协会颁发的荣誉证书的得2分；本项按最高荣誉计分，不累计计分。</w:t>
            </w:r>
          </w:p>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3.拟派本项目厨师（含厨师长）获得过市级政府行政职能部门、行业协会颁发的荣誉证书的得1分，省级政府行政职能部门、行业协会颁发的荣誉证书的得2分；本项按最高荣誉计分，不累计计分。</w:t>
            </w:r>
          </w:p>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注：提供以上相关证书或证明材料扫描件或复印件 ，未提供不得分。</w:t>
            </w:r>
          </w:p>
        </w:tc>
        <w:tc>
          <w:tcPr>
            <w:tcW w:w="850" w:type="dxa"/>
            <w:vAlign w:val="center"/>
          </w:tcPr>
          <w:p>
            <w:pPr>
              <w:pStyle w:val="3"/>
              <w:spacing w:before="120" w:beforeLines="50" w:afterLines="50" w:line="360" w:lineRule="auto"/>
              <w:ind w:left="0" w:leftChars="0"/>
              <w:jc w:val="center"/>
              <w:rPr>
                <w:rFonts w:ascii="Calibri" w:hAnsi="Calibri" w:cs="Calibri"/>
                <w:bCs/>
                <w:sz w:val="24"/>
                <w:szCs w:val="21"/>
              </w:rPr>
            </w:pPr>
            <w:r>
              <w:rPr>
                <w:rFonts w:hint="eastAsia" w:ascii="Calibri" w:hAnsi="Calibri" w:cs="Calibri"/>
                <w:bCs/>
                <w:kern w:val="2"/>
                <w:sz w:val="24"/>
                <w:szCs w:val="21"/>
              </w:rPr>
              <w:t>7</w:t>
            </w:r>
            <w:r>
              <w:rPr>
                <w:rFonts w:hint="eastAsia" w:ascii="Calibri" w:hAnsi="Calibri" w:cs="Calibri"/>
                <w:bCs/>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702" w:type="dxa"/>
            <w:gridSpan w:val="2"/>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企业综合实力</w:t>
            </w:r>
          </w:p>
        </w:tc>
        <w:tc>
          <w:tcPr>
            <w:tcW w:w="7655" w:type="dxa"/>
            <w:vAlign w:val="center"/>
          </w:tcPr>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1. 投标人具有市场监督管理部门颁发的食品安全量化分级管理A级以上（含A级）得2分，具有B级得1分，最高2分；</w:t>
            </w:r>
          </w:p>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2. 投标人具有公共场所卫生量化分级管理A级以上（含A级）得2分，具有B级得1分，最高2分；</w:t>
            </w:r>
          </w:p>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3、投标人近三年获得过市级及以上服务业标杆企业的得2分；</w:t>
            </w:r>
          </w:p>
          <w:p>
            <w:pPr>
              <w:pStyle w:val="3"/>
              <w:spacing w:before="120" w:beforeLines="50" w:afterLines="50" w:line="360" w:lineRule="auto"/>
              <w:ind w:left="0" w:leftChars="0"/>
              <w:jc w:val="left"/>
              <w:rPr>
                <w:rFonts w:hAnsi="宋体" w:cs="宋体"/>
                <w:sz w:val="24"/>
                <w:szCs w:val="24"/>
              </w:rPr>
            </w:pPr>
            <w:r>
              <w:rPr>
                <w:rFonts w:hint="eastAsia" w:hAnsi="宋体" w:cs="宋体"/>
                <w:sz w:val="24"/>
                <w:szCs w:val="24"/>
              </w:rPr>
              <w:t>注：提供证书扫描件或复印件，未提供不得分。</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gridSpan w:val="2"/>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培训方案</w:t>
            </w:r>
          </w:p>
        </w:tc>
        <w:tc>
          <w:tcPr>
            <w:tcW w:w="7655" w:type="dxa"/>
            <w:vAlign w:val="center"/>
          </w:tcPr>
          <w:p>
            <w:pPr>
              <w:spacing w:before="120" w:beforeLines="50" w:after="120" w:afterLines="50" w:line="400" w:lineRule="exact"/>
              <w:rPr>
                <w:rFonts w:hAnsi="宋体" w:cs="宋体"/>
                <w:kern w:val="0"/>
                <w:sz w:val="24"/>
              </w:rPr>
            </w:pPr>
            <w:r>
              <w:rPr>
                <w:rFonts w:hint="eastAsia" w:hAnsi="宋体" w:cs="宋体"/>
                <w:kern w:val="0"/>
                <w:sz w:val="24"/>
              </w:rPr>
              <w:t>对负责本项目的服务人员制定的培训方案(包括人员、时间、培训内容和目标等)内容完整、科学合理、切实可行、</w:t>
            </w:r>
            <w:r>
              <w:rPr>
                <w:rFonts w:hAnsi="宋体" w:cs="宋体"/>
                <w:kern w:val="0"/>
                <w:sz w:val="24"/>
              </w:rPr>
              <w:t>全面，不漏项且有针对性解释说明:</w:t>
            </w:r>
            <w:r>
              <w:rPr>
                <w:rFonts w:hint="eastAsia" w:hAnsi="宋体" w:cs="宋体"/>
                <w:kern w:val="0"/>
                <w:sz w:val="24"/>
              </w:rPr>
              <w:t>5</w:t>
            </w:r>
            <w:r>
              <w:rPr>
                <w:rFonts w:hAnsi="宋体" w:cs="宋体"/>
                <w:kern w:val="0"/>
                <w:sz w:val="24"/>
              </w:rPr>
              <w:t>分;提供的</w:t>
            </w:r>
            <w:r>
              <w:rPr>
                <w:rFonts w:hint="eastAsia" w:hAnsi="宋体" w:cs="宋体"/>
                <w:kern w:val="0"/>
                <w:sz w:val="24"/>
              </w:rPr>
              <w:t>培训方案</w:t>
            </w:r>
            <w:r>
              <w:rPr>
                <w:rFonts w:hAnsi="宋体" w:cs="宋体"/>
                <w:kern w:val="0"/>
                <w:sz w:val="24"/>
              </w:rPr>
              <w:t>漏缺1项或2项，有针对性解释说明:</w:t>
            </w:r>
            <w:r>
              <w:rPr>
                <w:rFonts w:hint="eastAsia" w:hAnsi="宋体" w:cs="宋体"/>
                <w:kern w:val="0"/>
                <w:sz w:val="24"/>
              </w:rPr>
              <w:t>4</w:t>
            </w:r>
            <w:r>
              <w:rPr>
                <w:rFonts w:hAnsi="宋体" w:cs="宋体"/>
                <w:kern w:val="0"/>
                <w:sz w:val="24"/>
              </w:rPr>
              <w:t>分;提供的</w:t>
            </w:r>
            <w:r>
              <w:rPr>
                <w:rFonts w:hint="eastAsia" w:hAnsi="宋体" w:cs="宋体"/>
                <w:kern w:val="0"/>
                <w:sz w:val="24"/>
              </w:rPr>
              <w:t>培训方案</w:t>
            </w:r>
            <w:r>
              <w:rPr>
                <w:rFonts w:hAnsi="宋体" w:cs="宋体"/>
                <w:kern w:val="0"/>
                <w:sz w:val="24"/>
              </w:rPr>
              <w:t>基本全面，有针对性解释说明:</w:t>
            </w:r>
            <w:r>
              <w:rPr>
                <w:rFonts w:hint="eastAsia" w:hAnsi="宋体" w:cs="宋体"/>
                <w:kern w:val="0"/>
                <w:sz w:val="24"/>
              </w:rPr>
              <w:t>3</w:t>
            </w:r>
            <w:r>
              <w:rPr>
                <w:rFonts w:hAnsi="宋体" w:cs="宋体"/>
                <w:kern w:val="0"/>
                <w:sz w:val="24"/>
              </w:rPr>
              <w:t>分;提供的</w:t>
            </w:r>
            <w:r>
              <w:rPr>
                <w:rFonts w:hint="eastAsia" w:hAnsi="宋体" w:cs="宋体"/>
                <w:kern w:val="0"/>
                <w:sz w:val="24"/>
              </w:rPr>
              <w:t>培训方案</w:t>
            </w:r>
            <w:r>
              <w:rPr>
                <w:rFonts w:hAnsi="宋体" w:cs="宋体"/>
                <w:kern w:val="0"/>
                <w:sz w:val="24"/>
              </w:rPr>
              <w:t>不全面，没有解释说明:</w:t>
            </w:r>
            <w:r>
              <w:rPr>
                <w:rFonts w:hint="eastAsia" w:hAnsi="宋体" w:cs="宋体"/>
                <w:kern w:val="0"/>
                <w:sz w:val="24"/>
              </w:rPr>
              <w:t>1</w:t>
            </w:r>
            <w:r>
              <w:rPr>
                <w:rFonts w:hAnsi="宋体" w:cs="宋体"/>
                <w:kern w:val="0"/>
                <w:sz w:val="24"/>
              </w:rPr>
              <w:t>分</w:t>
            </w:r>
            <w:r>
              <w:rPr>
                <w:rFonts w:hint="eastAsia" w:hAnsi="宋体" w:cs="宋体"/>
                <w:kern w:val="0"/>
                <w:sz w:val="24"/>
              </w:rPr>
              <w:t>；</w:t>
            </w:r>
            <w:r>
              <w:rPr>
                <w:rFonts w:hAnsi="宋体" w:cs="宋体"/>
                <w:kern w:val="0"/>
                <w:sz w:val="24"/>
              </w:rPr>
              <w:t>未提供方案不得分。</w:t>
            </w:r>
          </w:p>
        </w:tc>
        <w:tc>
          <w:tcPr>
            <w:tcW w:w="850" w:type="dxa"/>
            <w:vAlign w:val="center"/>
          </w:tcPr>
          <w:p>
            <w:pPr>
              <w:pStyle w:val="3"/>
              <w:spacing w:before="120" w:beforeLines="50" w:afterLines="50" w:line="360" w:lineRule="auto"/>
              <w:ind w:left="0" w:leftChars="0"/>
              <w:jc w:val="center"/>
              <w:rPr>
                <w:rFonts w:hAnsi="宋体" w:cs="宋体"/>
                <w:sz w:val="24"/>
                <w:szCs w:val="24"/>
              </w:rPr>
            </w:pPr>
            <w:r>
              <w:rPr>
                <w:rFonts w:hint="eastAsia" w:hAnsi="宋体" w:cs="宋体"/>
                <w:sz w:val="24"/>
                <w:szCs w:val="24"/>
              </w:rPr>
              <w:t>5分</w:t>
            </w:r>
          </w:p>
        </w:tc>
      </w:tr>
    </w:tbl>
    <w:p>
      <w:pPr>
        <w:spacing w:line="360" w:lineRule="auto"/>
        <w:ind w:firstLine="482" w:firstLineChars="200"/>
        <w:rPr>
          <w:rFonts w:ascii="宋体" w:hAnsi="宋体"/>
          <w:b/>
          <w:bCs/>
          <w:sz w:val="24"/>
        </w:rPr>
      </w:pPr>
      <w:r>
        <w:rPr>
          <w:rFonts w:hint="eastAsia" w:ascii="宋体" w:hAnsi="宋体"/>
          <w:b/>
          <w:bCs/>
          <w:sz w:val="24"/>
        </w:rPr>
        <w:t>（四）技术、商务、资信及其他分的计算</w:t>
      </w:r>
    </w:p>
    <w:p>
      <w:pPr>
        <w:spacing w:before="120" w:beforeLines="50" w:after="120" w:afterLines="50"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pPr>
        <w:pStyle w:val="5"/>
      </w:pPr>
      <w:r>
        <w:br w:type="page"/>
      </w:r>
    </w:p>
    <w:p>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w:t>
      </w:r>
    </w:p>
    <w:p>
      <w:pPr>
        <w:spacing w:line="460" w:lineRule="exact"/>
        <w:rPr>
          <w:rFonts w:ascii="宋体"/>
          <w:sz w:val="24"/>
        </w:rPr>
      </w:pPr>
      <w:r>
        <w:rPr>
          <w:rFonts w:hint="eastAsia" w:ascii="宋体" w:hAnsi="宋体" w:cs="宋体"/>
          <w:b/>
          <w:bCs/>
          <w:sz w:val="24"/>
        </w:rPr>
        <w:t>项目名称：                                   项目编号：</w:t>
      </w:r>
    </w:p>
    <w:p>
      <w:pPr>
        <w:spacing w:line="460" w:lineRule="exact"/>
        <w:rPr>
          <w:rFonts w:ascii="宋体"/>
          <w:sz w:val="24"/>
        </w:rPr>
      </w:pPr>
      <w:r>
        <w:rPr>
          <w:rFonts w:hint="eastAsia" w:ascii="宋体" w:hAnsi="宋体" w:cs="宋体"/>
          <w:sz w:val="24"/>
        </w:rPr>
        <w:t>甲方：（采购人）</w:t>
      </w:r>
    </w:p>
    <w:p>
      <w:pPr>
        <w:spacing w:line="460" w:lineRule="exact"/>
        <w:rPr>
          <w:rFonts w:ascii="宋体"/>
          <w:sz w:val="24"/>
        </w:rPr>
      </w:pPr>
      <w:r>
        <w:rPr>
          <w:rFonts w:hint="eastAsia" w:ascii="宋体" w:hAnsi="宋体" w:cs="宋体"/>
          <w:sz w:val="24"/>
        </w:rPr>
        <w:t>乙方：（中标供应商）</w:t>
      </w:r>
    </w:p>
    <w:p>
      <w:pPr>
        <w:spacing w:line="460" w:lineRule="exact"/>
        <w:ind w:left="165" w:firstLine="480" w:firstLineChars="200"/>
        <w:rPr>
          <w:rFonts w:ascii="宋体"/>
          <w:sz w:val="24"/>
        </w:rPr>
      </w:pPr>
      <w:r>
        <w:rPr>
          <w:rFonts w:hint="eastAsia" w:ascii="宋体" w:hAnsi="宋体" w:cs="宋体"/>
          <w:sz w:val="24"/>
        </w:rPr>
        <w:t>乙双方根据</w:t>
      </w:r>
      <w:r>
        <w:rPr>
          <w:rFonts w:hint="eastAsia" w:ascii="宋体" w:hAnsi="宋体" w:cs="宋体"/>
          <w:sz w:val="24"/>
          <w:u w:val="single"/>
        </w:rPr>
        <w:t>浙江华耀建设咨询有限公司</w:t>
      </w:r>
      <w:r>
        <w:rPr>
          <w:rFonts w:hint="eastAsia" w:ascii="宋体" w:hAnsi="宋体" w:cs="宋体"/>
          <w:sz w:val="24"/>
        </w:rPr>
        <w:t>关于</w:t>
      </w:r>
      <w:r>
        <w:rPr>
          <w:rFonts w:hint="eastAsia" w:ascii="宋体" w:hAnsi="宋体" w:cs="宋体"/>
          <w:spacing w:val="-4"/>
          <w:sz w:val="24"/>
          <w:u w:val="single"/>
        </w:rPr>
        <w:t>湖州市民服务中心机关二食堂餐饮管理服务项目公开招标</w:t>
      </w:r>
      <w:r>
        <w:rPr>
          <w:rFonts w:hint="eastAsia" w:ascii="宋体" w:hAnsi="宋体" w:cs="宋体"/>
          <w:sz w:val="24"/>
        </w:rPr>
        <w:t>的结果，签署本合同。</w:t>
      </w:r>
    </w:p>
    <w:p>
      <w:pPr>
        <w:spacing w:line="460" w:lineRule="exact"/>
        <w:ind w:firstLine="482" w:firstLineChars="200"/>
        <w:rPr>
          <w:rFonts w:ascii="宋体"/>
          <w:b/>
          <w:bCs/>
          <w:sz w:val="24"/>
        </w:rPr>
      </w:pPr>
      <w:r>
        <w:rPr>
          <w:rFonts w:hint="eastAsia" w:ascii="宋体" w:hAnsi="宋体" w:cs="宋体"/>
          <w:b/>
          <w:bCs/>
          <w:sz w:val="24"/>
        </w:rPr>
        <w:t>一、服务内容</w:t>
      </w:r>
    </w:p>
    <w:p>
      <w:pPr>
        <w:spacing w:line="460" w:lineRule="exact"/>
        <w:ind w:firstLine="480" w:firstLineChars="200"/>
        <w:rPr>
          <w:rFonts w:ascii="宋体" w:hAnsi="宋体" w:cs="宋体"/>
          <w:sz w:val="24"/>
        </w:rPr>
      </w:pPr>
      <w:r>
        <w:rPr>
          <w:rFonts w:hint="eastAsia" w:ascii="宋体" w:hAnsi="宋体" w:cs="宋体"/>
          <w:sz w:val="24"/>
        </w:rPr>
        <w:t xml:space="preserve">湖州市民服务中心机关二食堂餐饮管理服务项目 </w:t>
      </w:r>
    </w:p>
    <w:p>
      <w:pPr>
        <w:spacing w:line="460" w:lineRule="exact"/>
        <w:ind w:firstLine="482" w:firstLineChars="200"/>
        <w:rPr>
          <w:rFonts w:ascii="宋体"/>
          <w:b/>
          <w:bCs/>
          <w:sz w:val="24"/>
        </w:rPr>
      </w:pPr>
      <w:r>
        <w:rPr>
          <w:rFonts w:hint="eastAsia" w:ascii="宋体" w:hAnsi="宋体" w:cs="宋体"/>
          <w:b/>
          <w:bCs/>
          <w:sz w:val="24"/>
        </w:rPr>
        <w:t>二、合同金额</w:t>
      </w:r>
    </w:p>
    <w:p>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w:t>
      </w:r>
      <w:r>
        <w:rPr>
          <w:rFonts w:hint="eastAsia" w:hAnsi="宋体" w:cs="宋体"/>
          <w:sz w:val="24"/>
        </w:rPr>
        <w:t>元（￥</w:t>
      </w:r>
      <w:r>
        <w:rPr>
          <w:rFonts w:hAnsi="宋体"/>
          <w:sz w:val="24"/>
        </w:rPr>
        <w:t>__________</w:t>
      </w:r>
      <w:r>
        <w:rPr>
          <w:rFonts w:hint="eastAsia" w:hAnsi="宋体" w:cs="宋体"/>
          <w:sz w:val="24"/>
        </w:rPr>
        <w:t>元）人民币。</w:t>
      </w:r>
    </w:p>
    <w:p>
      <w:pPr>
        <w:spacing w:line="460" w:lineRule="exact"/>
        <w:ind w:firstLine="482" w:firstLineChars="200"/>
        <w:rPr>
          <w:rFonts w:ascii="宋体"/>
          <w:sz w:val="24"/>
        </w:rPr>
      </w:pPr>
      <w:r>
        <w:rPr>
          <w:rFonts w:hint="eastAsia" w:ascii="宋体" w:hAnsi="宋体" w:cs="宋体"/>
          <w:b/>
          <w:bCs/>
          <w:sz w:val="24"/>
        </w:rPr>
        <w:t>三、技术资料</w:t>
      </w:r>
    </w:p>
    <w:p>
      <w:pPr>
        <w:spacing w:line="460" w:lineRule="exact"/>
        <w:ind w:firstLine="480" w:firstLineChars="200"/>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60" w:lineRule="exact"/>
        <w:ind w:firstLine="482" w:firstLineChars="200"/>
        <w:rPr>
          <w:rFonts w:ascii="宋体"/>
          <w:b/>
          <w:bCs/>
          <w:sz w:val="24"/>
        </w:rPr>
      </w:pPr>
      <w:r>
        <w:rPr>
          <w:rFonts w:hint="eastAsia" w:ascii="宋体" w:hAnsi="宋体" w:cs="宋体"/>
          <w:b/>
          <w:bCs/>
          <w:sz w:val="24"/>
        </w:rPr>
        <w:t>四、知识产权</w:t>
      </w:r>
    </w:p>
    <w:p>
      <w:pPr>
        <w:spacing w:line="460" w:lineRule="exact"/>
        <w:ind w:firstLine="480" w:firstLineChars="200"/>
        <w:rPr>
          <w:rFonts w:ascii="宋体"/>
          <w:sz w:val="24"/>
        </w:rPr>
      </w:pPr>
      <w:r>
        <w:rPr>
          <w:rFonts w:hint="eastAsia" w:ascii="宋体" w:hAnsi="宋体" w:cs="宋体"/>
          <w:sz w:val="24"/>
        </w:rPr>
        <w:t>乙方应保证提供服务过程中不会侵犯任何第三方的知识产权。</w:t>
      </w:r>
    </w:p>
    <w:p>
      <w:pPr>
        <w:spacing w:line="460" w:lineRule="exact"/>
        <w:ind w:firstLine="482" w:firstLineChars="200"/>
        <w:rPr>
          <w:rFonts w:ascii="宋体"/>
          <w:b/>
          <w:bCs/>
          <w:sz w:val="24"/>
        </w:rPr>
      </w:pPr>
      <w:r>
        <w:rPr>
          <w:rFonts w:hint="eastAsia" w:ascii="宋体" w:hAnsi="宋体" w:cs="宋体"/>
          <w:b/>
          <w:bCs/>
          <w:sz w:val="24"/>
        </w:rPr>
        <w:t>五、转包或分包</w:t>
      </w:r>
    </w:p>
    <w:p>
      <w:pPr>
        <w:spacing w:line="460" w:lineRule="exact"/>
        <w:ind w:firstLine="480" w:firstLineChars="200"/>
        <w:rPr>
          <w:rFonts w:ascii="宋体" w:hAnsi="宋体" w:cs="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pPr>
        <w:spacing w:line="460" w:lineRule="exact"/>
        <w:ind w:firstLine="480" w:firstLineChars="200"/>
        <w:rPr>
          <w:rFonts w:ascii="宋体" w:hAnsi="宋体"/>
          <w:sz w:val="24"/>
        </w:rPr>
      </w:pPr>
      <w:r>
        <w:rPr>
          <w:rFonts w:ascii="宋体" w:hAnsi="宋体" w:cs="宋体"/>
          <w:sz w:val="24"/>
        </w:rPr>
        <w:t>2</w:t>
      </w:r>
      <w:r>
        <w:rPr>
          <w:rFonts w:ascii="宋体" w:cs="宋体"/>
          <w:sz w:val="24"/>
        </w:rPr>
        <w:t>.</w:t>
      </w:r>
      <w:r>
        <w:rPr>
          <w:rFonts w:ascii="宋体" w:hAnsi="宋体" w:cs="宋体"/>
          <w:kern w:val="0"/>
          <w:sz w:val="24"/>
        </w:rPr>
        <w:t>本项目不可以分包</w:t>
      </w:r>
      <w:r>
        <w:rPr>
          <w:rFonts w:hint="eastAsia" w:ascii="宋体" w:hAnsi="宋体"/>
          <w:sz w:val="24"/>
        </w:rPr>
        <w:t>。</w:t>
      </w:r>
    </w:p>
    <w:p>
      <w:pPr>
        <w:spacing w:line="460" w:lineRule="exact"/>
        <w:ind w:firstLine="480" w:firstLineChars="200"/>
        <w:rPr>
          <w:rFonts w:ascii="宋体"/>
          <w:sz w:val="24"/>
        </w:rPr>
      </w:pPr>
      <w:r>
        <w:rPr>
          <w:rFonts w:ascii="宋体" w:hAnsi="宋体" w:cs="宋体"/>
          <w:sz w:val="24"/>
        </w:rPr>
        <w:t>3</w:t>
      </w:r>
      <w:r>
        <w:rPr>
          <w:rFonts w:ascii="宋体" w:cs="宋体"/>
          <w:sz w:val="24"/>
        </w:rPr>
        <w:t>.</w:t>
      </w:r>
      <w:r>
        <w:rPr>
          <w:rFonts w:hint="eastAsia" w:ascii="宋体" w:hAnsi="宋体" w:cs="宋体"/>
          <w:sz w:val="24"/>
        </w:rPr>
        <w:t>如有转让，甲方有权解除合同并追究乙方的违约责任。</w:t>
      </w:r>
    </w:p>
    <w:p>
      <w:pPr>
        <w:spacing w:line="460" w:lineRule="exact"/>
        <w:ind w:firstLine="482" w:firstLineChars="200"/>
        <w:rPr>
          <w:rFonts w:ascii="宋体" w:hAnsi="宋体" w:cs="宋体"/>
          <w:b/>
          <w:bCs/>
          <w:sz w:val="24"/>
        </w:rPr>
      </w:pPr>
      <w:r>
        <w:rPr>
          <w:rFonts w:hint="eastAsia" w:ascii="宋体" w:hAnsi="宋体" w:cs="宋体"/>
          <w:b/>
          <w:bCs/>
          <w:sz w:val="24"/>
        </w:rPr>
        <w:t>六、合同履行时间</w:t>
      </w:r>
    </w:p>
    <w:p>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履行时间：自合同签订之日起2年。</w:t>
      </w:r>
    </w:p>
    <w:p>
      <w:pPr>
        <w:spacing w:line="460" w:lineRule="exact"/>
        <w:ind w:firstLine="482" w:firstLineChars="200"/>
        <w:rPr>
          <w:rFonts w:hAnsi="宋体" w:cs="宋体"/>
          <w:b/>
          <w:bCs/>
          <w:sz w:val="24"/>
        </w:rPr>
      </w:pPr>
      <w:r>
        <w:rPr>
          <w:rFonts w:hint="eastAsia" w:hAnsi="宋体" w:cs="宋体"/>
          <w:b/>
          <w:bCs/>
          <w:sz w:val="24"/>
        </w:rPr>
        <w:t>七、履约保证金</w:t>
      </w:r>
    </w:p>
    <w:p>
      <w:pPr>
        <w:spacing w:line="460" w:lineRule="exact"/>
        <w:ind w:firstLine="480" w:firstLineChars="200"/>
        <w:rPr>
          <w:rFonts w:ascii="宋体" w:hAnsi="宋体" w:cs="宋体"/>
          <w:sz w:val="24"/>
        </w:rPr>
      </w:pPr>
      <w:r>
        <w:rPr>
          <w:rFonts w:ascii="宋体" w:hAnsi="宋体" w:cs="宋体"/>
          <w:sz w:val="24"/>
        </w:rPr>
        <w:t>本项目的履约保证金为合同价的1%；履约保证金形式为：现金或银行、保险公司出具的保函；中标人应根据采购人要求汇入采购人指定账号或提供保函。项目终验合格后，退还履约保证金。</w:t>
      </w:r>
    </w:p>
    <w:p>
      <w:pPr>
        <w:spacing w:line="460" w:lineRule="exact"/>
        <w:ind w:firstLine="482" w:firstLineChars="200"/>
        <w:rPr>
          <w:rFonts w:ascii="宋体" w:hAnsi="宋体" w:cs="宋体"/>
          <w:b/>
          <w:bCs/>
          <w:sz w:val="24"/>
        </w:rPr>
      </w:pPr>
      <w:r>
        <w:rPr>
          <w:rFonts w:hint="eastAsia" w:ascii="宋体" w:hAnsi="宋体" w:cs="宋体"/>
          <w:b/>
          <w:bCs/>
          <w:sz w:val="24"/>
        </w:rPr>
        <w:t>八、款项支付</w:t>
      </w:r>
    </w:p>
    <w:p>
      <w:pPr>
        <w:spacing w:line="460" w:lineRule="exact"/>
        <w:ind w:firstLine="480" w:firstLineChars="200"/>
        <w:rPr>
          <w:rFonts w:ascii="宋体" w:hAnsi="宋体" w:cs="仿宋_GB2312"/>
          <w:sz w:val="24"/>
        </w:rPr>
      </w:pPr>
      <w:r>
        <w:rPr>
          <w:rFonts w:ascii="宋体" w:hAnsi="Courier New" w:cs="宋体"/>
          <w:kern w:val="0"/>
          <w:sz w:val="24"/>
        </w:rPr>
        <w:t>1.</w:t>
      </w:r>
      <w:r>
        <w:rPr>
          <w:rFonts w:hint="eastAsia" w:ascii="宋体" w:hAnsi="宋体" w:cs="仿宋_GB2312"/>
          <w:sz w:val="24"/>
        </w:rPr>
        <w:t>根据《保障中小企业款项支付条例》、《浙江省财政厅关于坚决打赢疫情防控阻击战进一步做好政府采购资金支持企业发展工作的通知》（浙财采监〔2022〕3号）、《浙江省财政厅关于进一步发挥政府采购政策功能全力推动经济稳进提质的通知》（浙财采监〔2022〕3号）要求,制定如以下付款方式: 1、预付款：合同生效及具备实施条件后7日内支付当年服务费用的20%；2、剩余资金支付：餐饮管理服务费按季度结算支付，中标人于每季度第三个月月未根据双方确认的餐饮管理服务费的结算金额开出该季度餐饮管理服务费的发票，采购人在收到正规税务发票后15日内付款。</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结算金额按以下公式计算：</w:t>
      </w:r>
    </w:p>
    <w:p>
      <w:pPr>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结算金额=年餐饮管理服务费的季平均金额</w:t>
      </w:r>
      <w:r>
        <w:rPr>
          <w:rFonts w:hint="eastAsia" w:ascii="宋体" w:hAnsi="宋体" w:cs="宋体"/>
          <w:sz w:val="24"/>
        </w:rPr>
        <w:t>＋（－）</w:t>
      </w:r>
      <w:r>
        <w:rPr>
          <w:rFonts w:hint="eastAsia" w:asciiTheme="majorEastAsia" w:hAnsiTheme="majorEastAsia" w:eastAsiaTheme="majorEastAsia"/>
          <w:sz w:val="24"/>
        </w:rPr>
        <w:t>季度考核奖罚金额。</w:t>
      </w:r>
    </w:p>
    <w:p>
      <w:pPr>
        <w:spacing w:line="460" w:lineRule="exact"/>
        <w:ind w:firstLine="480" w:firstLineChars="200"/>
        <w:rPr>
          <w:rFonts w:ascii="宋体" w:hAnsi="宋体" w:cs="仿宋_GB2312"/>
          <w:sz w:val="24"/>
        </w:rPr>
      </w:pPr>
      <w:r>
        <w:rPr>
          <w:rFonts w:hint="eastAsia" w:ascii="宋体" w:hAnsi="宋体" w:cs="仿宋_GB2312"/>
          <w:sz w:val="24"/>
        </w:rPr>
        <w:t>注:若中标供应商明确表示无需预付款或者主动要求降低预付款比例的，采购人可不适用前述规定。</w:t>
      </w:r>
    </w:p>
    <w:p>
      <w:pPr>
        <w:snapToGrid w:val="0"/>
        <w:spacing w:line="360" w:lineRule="auto"/>
        <w:ind w:firstLine="480" w:firstLineChars="200"/>
        <w:rPr>
          <w:rFonts w:ascii="宋体" w:hAnsi="宋体" w:cs="仿宋_GB2312"/>
          <w:sz w:val="24"/>
        </w:rPr>
      </w:pPr>
      <w:r>
        <w:rPr>
          <w:rFonts w:ascii="宋体" w:hAnsi="宋体" w:cs="仿宋_GB2312"/>
          <w:sz w:val="24"/>
        </w:rPr>
        <w:t>2.</w:t>
      </w:r>
      <w:r>
        <w:rPr>
          <w:rFonts w:hint="eastAsia" w:ascii="宋体" w:hAnsi="宋体" w:cs="仿宋_GB2312"/>
          <w:sz w:val="24"/>
        </w:rPr>
        <w:t>当采购数量与实际使用不一致时，乙方应根据实际情况，合同的最终结算金额按实际使用量乘以成交单价进行计算。</w:t>
      </w:r>
    </w:p>
    <w:p>
      <w:pPr>
        <w:pStyle w:val="32"/>
        <w:numPr>
          <w:ilvl w:val="0"/>
          <w:numId w:val="0"/>
        </w:numPr>
        <w:tabs>
          <w:tab w:val="left" w:pos="900"/>
          <w:tab w:val="left" w:pos="980"/>
          <w:tab w:val="left" w:pos="1710"/>
        </w:tabs>
        <w:spacing w:before="120" w:after="120" w:line="360" w:lineRule="auto"/>
        <w:ind w:left="2"/>
        <w:rPr>
          <w:rFonts w:ascii="宋体" w:hAnsi="宋体" w:cs="宋体"/>
          <w:b/>
          <w:bCs/>
          <w:sz w:val="24"/>
        </w:rPr>
      </w:pPr>
      <w:r>
        <w:rPr>
          <w:rFonts w:hint="eastAsia" w:ascii="宋体" w:hAnsi="宋体" w:cs="宋体"/>
          <w:b/>
          <w:bCs/>
          <w:sz w:val="24"/>
        </w:rPr>
        <w:t>九、税费</w:t>
      </w:r>
    </w:p>
    <w:p>
      <w:pPr>
        <w:spacing w:line="360" w:lineRule="auto"/>
        <w:ind w:firstLine="480" w:firstLineChars="200"/>
        <w:rPr>
          <w:rFonts w:ascii="宋体"/>
          <w:sz w:val="24"/>
        </w:rPr>
      </w:pPr>
      <w:r>
        <w:rPr>
          <w:rFonts w:hint="eastAsia" w:ascii="宋体" w:hAnsi="宋体" w:cs="宋体"/>
          <w:sz w:val="24"/>
        </w:rPr>
        <w:t>本合同执行中相关的一切税费均由乙方负担。</w:t>
      </w:r>
    </w:p>
    <w:p>
      <w:pPr>
        <w:spacing w:line="360" w:lineRule="auto"/>
        <w:rPr>
          <w:rFonts w:ascii="宋体"/>
          <w:b/>
          <w:bCs/>
          <w:sz w:val="24"/>
        </w:rPr>
      </w:pPr>
      <w:r>
        <w:rPr>
          <w:rFonts w:hint="eastAsia" w:ascii="宋体" w:hAnsi="宋体" w:cs="宋体"/>
          <w:b/>
          <w:bCs/>
          <w:sz w:val="24"/>
        </w:rPr>
        <w:t>十、质量保证及后续服务</w:t>
      </w:r>
    </w:p>
    <w:p>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．乙方应按磋商文件规定向甲方提供服务。</w:t>
      </w:r>
    </w:p>
    <w:p>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pPr>
        <w:spacing w:line="460" w:lineRule="exact"/>
        <w:rPr>
          <w:rFonts w:ascii="宋体"/>
          <w:b/>
          <w:bCs/>
          <w:sz w:val="24"/>
        </w:rPr>
      </w:pPr>
      <w:r>
        <w:rPr>
          <w:rFonts w:hint="eastAsia" w:ascii="宋体" w:hAnsi="宋体" w:cs="宋体"/>
          <w:b/>
          <w:bCs/>
          <w:sz w:val="24"/>
        </w:rPr>
        <w:t>十一、违约责任</w:t>
      </w:r>
    </w:p>
    <w:p>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．甲方无正当理由拒收接受服务的，甲方向乙方偿付合同款项百分之五作为违约金。</w:t>
      </w:r>
    </w:p>
    <w:p>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w:t>
      </w:r>
      <w:r>
        <w:rPr>
          <w:rFonts w:ascii="宋体" w:cs="宋体"/>
          <w:sz w:val="24"/>
        </w:rPr>
        <w:t>,</w:t>
      </w:r>
      <w:r>
        <w:rPr>
          <w:rFonts w:hint="eastAsia" w:ascii="宋体" w:hAnsi="宋体" w:cs="宋体"/>
          <w:sz w:val="24"/>
        </w:rPr>
        <w:t>甲方应按逾期付款总额每日万分之五向乙方支付违约金。</w:t>
      </w:r>
    </w:p>
    <w:p>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pPr>
        <w:spacing w:line="460" w:lineRule="exact"/>
        <w:rPr>
          <w:rFonts w:ascii="宋体"/>
          <w:b/>
          <w:bCs/>
          <w:sz w:val="24"/>
        </w:rPr>
      </w:pPr>
      <w:r>
        <w:rPr>
          <w:rFonts w:hint="eastAsia" w:ascii="宋体" w:hAnsi="宋体" w:cs="宋体"/>
          <w:b/>
          <w:bCs/>
          <w:sz w:val="24"/>
        </w:rPr>
        <w:t>十二、不可抗力事件处理</w:t>
      </w:r>
    </w:p>
    <w:p>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pPr>
        <w:spacing w:line="460" w:lineRule="exact"/>
        <w:rPr>
          <w:rFonts w:ascii="宋体"/>
          <w:b/>
          <w:bCs/>
          <w:sz w:val="24"/>
        </w:rPr>
      </w:pPr>
      <w:r>
        <w:rPr>
          <w:rFonts w:hint="eastAsia" w:ascii="宋体" w:hAnsi="宋体" w:cs="宋体"/>
          <w:b/>
          <w:bCs/>
          <w:sz w:val="24"/>
        </w:rPr>
        <w:t>十三、诉讼</w:t>
      </w:r>
    </w:p>
    <w:p>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pPr>
        <w:spacing w:line="460" w:lineRule="exact"/>
        <w:rPr>
          <w:rFonts w:ascii="宋体"/>
          <w:b/>
          <w:bCs/>
          <w:sz w:val="24"/>
        </w:rPr>
      </w:pPr>
      <w:r>
        <w:rPr>
          <w:rFonts w:hint="eastAsia" w:ascii="宋体" w:hAnsi="宋体" w:cs="宋体"/>
          <w:b/>
          <w:bCs/>
          <w:sz w:val="24"/>
        </w:rPr>
        <w:t>十四、合同生效及其它</w:t>
      </w:r>
    </w:p>
    <w:p>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rPr>
        <w:t>浙江华耀建设咨询有限公司</w:t>
      </w:r>
      <w:r>
        <w:rPr>
          <w:rFonts w:hint="eastAsia" w:ascii="宋体" w:hAnsi="宋体" w:cs="宋体"/>
          <w:sz w:val="24"/>
        </w:rPr>
        <w:t>（招标代理机构）执一份备案。</w:t>
      </w:r>
    </w:p>
    <w:p>
      <w:pPr>
        <w:spacing w:line="460" w:lineRule="exact"/>
        <w:ind w:firstLine="482" w:firstLineChars="200"/>
        <w:rPr>
          <w:rFonts w:ascii="宋体"/>
          <w:b/>
          <w:bCs/>
          <w:sz w:val="24"/>
        </w:rPr>
      </w:pPr>
    </w:p>
    <w:p>
      <w:pPr>
        <w:spacing w:line="460" w:lineRule="exact"/>
        <w:rPr>
          <w:rFonts w:ascii="宋体"/>
          <w:b/>
          <w:bCs/>
          <w:sz w:val="24"/>
        </w:rPr>
      </w:pPr>
      <w:r>
        <w:rPr>
          <w:rFonts w:hint="eastAsia" w:ascii="宋体" w:hAnsi="宋体" w:cs="宋体"/>
          <w:b/>
          <w:bCs/>
          <w:sz w:val="24"/>
        </w:rPr>
        <w:t>十五、补充条款</w:t>
      </w:r>
    </w:p>
    <w:p>
      <w:pPr>
        <w:spacing w:line="460" w:lineRule="exact"/>
        <w:rPr>
          <w:rFonts w:ascii="宋体"/>
          <w:sz w:val="24"/>
        </w:rPr>
      </w:pPr>
    </w:p>
    <w:p>
      <w:pPr>
        <w:tabs>
          <w:tab w:val="left" w:pos="1440"/>
        </w:tabs>
        <w:spacing w:line="460" w:lineRule="exact"/>
        <w:rPr>
          <w:rFonts w:ascii="宋体"/>
          <w:sz w:val="24"/>
        </w:rPr>
      </w:pPr>
    </w:p>
    <w:p>
      <w:pPr>
        <w:tabs>
          <w:tab w:val="left" w:pos="1440"/>
        </w:tabs>
        <w:spacing w:line="460" w:lineRule="exact"/>
        <w:rPr>
          <w:rFonts w:ascii="宋体"/>
          <w:sz w:val="24"/>
        </w:rPr>
      </w:pPr>
      <w:r>
        <w:rPr>
          <w:rFonts w:hint="eastAsia" w:ascii="宋体" w:hAnsi="宋体" w:cs="宋体"/>
          <w:sz w:val="24"/>
        </w:rPr>
        <w:t>甲方：                         乙方：</w:t>
      </w:r>
    </w:p>
    <w:p>
      <w:pPr>
        <w:tabs>
          <w:tab w:val="left" w:pos="1440"/>
        </w:tabs>
        <w:spacing w:line="460" w:lineRule="exact"/>
        <w:rPr>
          <w:rFonts w:ascii="宋体"/>
          <w:sz w:val="24"/>
        </w:rPr>
      </w:pPr>
      <w:r>
        <w:rPr>
          <w:rFonts w:hint="eastAsia" w:ascii="宋体" w:hAnsi="宋体" w:cs="宋体"/>
          <w:sz w:val="24"/>
        </w:rPr>
        <w:t>地址：                         地址：</w:t>
      </w:r>
    </w:p>
    <w:p>
      <w:pPr>
        <w:tabs>
          <w:tab w:val="left" w:pos="1440"/>
        </w:tabs>
        <w:spacing w:line="460" w:lineRule="exact"/>
        <w:rPr>
          <w:rFonts w:ascii="宋体"/>
          <w:sz w:val="24"/>
        </w:rPr>
      </w:pPr>
      <w:r>
        <w:rPr>
          <w:rFonts w:hint="eastAsia" w:ascii="宋体" w:hAnsi="宋体" w:cs="宋体"/>
          <w:sz w:val="24"/>
        </w:rPr>
        <w:t>法定（授权）代表人：           法定（授权）代表人：</w:t>
      </w:r>
    </w:p>
    <w:p>
      <w:pPr>
        <w:tabs>
          <w:tab w:val="left" w:pos="1440"/>
        </w:tabs>
        <w:spacing w:line="460" w:lineRule="exact"/>
        <w:rPr>
          <w:rFonts w:ascii="宋体"/>
          <w:sz w:val="24"/>
        </w:rPr>
      </w:pPr>
      <w:r>
        <w:rPr>
          <w:rFonts w:hint="eastAsia" w:ascii="宋体" w:hAnsi="宋体" w:cs="宋体"/>
          <w:sz w:val="24"/>
        </w:rPr>
        <w:t>邮编：                         邮编：</w:t>
      </w:r>
    </w:p>
    <w:p>
      <w:pPr>
        <w:spacing w:line="460" w:lineRule="exact"/>
        <w:ind w:right="420" w:rightChars="200"/>
        <w:rPr>
          <w:rFonts w:ascii="宋体"/>
          <w:sz w:val="24"/>
        </w:rPr>
      </w:pPr>
      <w:r>
        <w:rPr>
          <w:rFonts w:hint="eastAsia" w:ascii="宋体" w:hAnsi="宋体" w:cs="宋体"/>
          <w:sz w:val="24"/>
        </w:rPr>
        <w:t>日期：                         日期：</w:t>
      </w: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snapToGrid w:val="0"/>
        <w:spacing w:line="360" w:lineRule="auto"/>
        <w:jc w:val="center"/>
        <w:rPr>
          <w:sz w:val="30"/>
          <w:szCs w:val="30"/>
        </w:rPr>
      </w:pPr>
      <w:r>
        <w:rPr>
          <w:rFonts w:hint="eastAsia"/>
          <w:sz w:val="30"/>
          <w:szCs w:val="30"/>
        </w:rPr>
        <w:t>第六章　投标文件格式</w:t>
      </w:r>
    </w:p>
    <w:p>
      <w:pPr>
        <w:snapToGrid w:val="0"/>
        <w:spacing w:line="360" w:lineRule="auto"/>
        <w:jc w:val="center"/>
        <w:outlineLvl w:val="1"/>
        <w:rPr>
          <w:rFonts w:ascii="宋体" w:hAnsi="宋体"/>
          <w:b/>
          <w:bCs/>
          <w:sz w:val="24"/>
        </w:rPr>
      </w:pPr>
      <w:r>
        <w:rPr>
          <w:rFonts w:hint="eastAsia" w:ascii="宋体" w:hAnsi="宋体"/>
          <w:b/>
          <w:bCs/>
          <w:sz w:val="24"/>
        </w:rPr>
        <w:t>一、资格文件格式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1.资格文件封面格式：</w:t>
      </w:r>
    </w:p>
    <w:p>
      <w:pPr>
        <w:snapToGrid w:val="0"/>
        <w:spacing w:line="360" w:lineRule="auto"/>
        <w:jc w:val="center"/>
        <w:rPr>
          <w:rFonts w:ascii="宋体" w:hAnsi="宋体"/>
          <w:bCs/>
          <w:sz w:val="24"/>
          <w:szCs w:val="20"/>
        </w:rPr>
      </w:pPr>
      <w:r>
        <w:rPr>
          <w:rFonts w:hint="eastAsia" w:ascii="宋体" w:hAnsi="宋体"/>
          <w:bCs/>
          <w:sz w:val="24"/>
        </w:rPr>
        <w:t>资 格 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湖州市民服务中心机关二食堂餐饮管理服务项目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HYHZ2023-228</w:t>
      </w:r>
    </w:p>
    <w:p>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snapToGrid w:val="0"/>
        <w:spacing w:line="360" w:lineRule="auto"/>
        <w:ind w:firstLine="645"/>
        <w:jc w:val="center"/>
        <w:rPr>
          <w:rFonts w:ascii="宋体" w:hAnsi="宋体"/>
          <w:sz w:val="24"/>
          <w:szCs w:val="20"/>
        </w:rPr>
      </w:pPr>
      <w:r>
        <w:rPr>
          <w:rFonts w:hint="eastAsia" w:ascii="宋体" w:hAnsi="宋体"/>
          <w:sz w:val="24"/>
        </w:rPr>
        <w:t>年月日</w:t>
      </w:r>
    </w:p>
    <w:p>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）投标人基本情况介绍————————</w:t>
      </w:r>
    </w:p>
    <w:p>
      <w:pPr>
        <w:snapToGrid w:val="0"/>
        <w:spacing w:line="360" w:lineRule="auto"/>
        <w:jc w:val="left"/>
        <w:rPr>
          <w:rFonts w:ascii="宋体" w:hAnsi="宋体"/>
          <w:sz w:val="24"/>
        </w:rPr>
      </w:pPr>
      <w:r>
        <w:rPr>
          <w:rFonts w:hint="eastAsia" w:ascii="宋体" w:hAnsi="宋体"/>
          <w:sz w:val="24"/>
        </w:rPr>
        <w:t>（3）</w:t>
      </w:r>
      <w:r>
        <w:rPr>
          <w:rFonts w:ascii="宋体" w:hAnsi="宋体"/>
          <w:sz w:val="24"/>
        </w:rPr>
        <w:t>法定代表人授权委托书</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（4）近三个月依法缴纳税收和社保费的证明【税费凭证，或者依法缴纳税费或依法免缴税费的证明】（</w:t>
      </w:r>
      <w:r>
        <w:rPr>
          <w:rFonts w:hint="eastAsia" w:ascii="宋体" w:hAnsi="宋体"/>
          <w:bCs/>
          <w:sz w:val="24"/>
        </w:rPr>
        <w:t>复印件各一份</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（5）有效的营业执照副本复印件————————</w:t>
      </w:r>
    </w:p>
    <w:p>
      <w:pPr>
        <w:snapToGrid w:val="0"/>
        <w:spacing w:line="360" w:lineRule="auto"/>
        <w:jc w:val="left"/>
        <w:rPr>
          <w:rFonts w:ascii="宋体" w:hAnsi="宋体" w:cs="Arial"/>
          <w:kern w:val="0"/>
          <w:sz w:val="24"/>
        </w:rPr>
      </w:pPr>
      <w:r>
        <w:rPr>
          <w:rFonts w:hint="eastAsia" w:ascii="宋体" w:hAnsi="宋体" w:cs="Arial"/>
          <w:kern w:val="0"/>
          <w:sz w:val="24"/>
        </w:rPr>
        <w:t>（6）</w:t>
      </w:r>
      <w:r>
        <w:rPr>
          <w:rFonts w:hint="eastAsia" w:ascii="宋体" w:hAnsi="宋体" w:cs="宋体"/>
          <w:sz w:val="24"/>
        </w:rPr>
        <w:t>近二年(2021、2022年)企业的财务状况报告或银行资信证明复印件</w:t>
      </w:r>
      <w:r>
        <w:rPr>
          <w:rFonts w:hint="eastAsia" w:ascii="宋体" w:hAnsi="宋体"/>
          <w:sz w:val="24"/>
        </w:rPr>
        <w:t>———————</w:t>
      </w:r>
    </w:p>
    <w:p>
      <w:pPr>
        <w:snapToGrid w:val="0"/>
        <w:spacing w:line="360" w:lineRule="auto"/>
        <w:jc w:val="left"/>
        <w:rPr>
          <w:rFonts w:ascii="宋体" w:hAnsi="宋体"/>
          <w:sz w:val="24"/>
        </w:rPr>
      </w:pPr>
      <w:r>
        <w:rPr>
          <w:rFonts w:hint="eastAsia" w:ascii="宋体" w:hAnsi="宋体" w:cs="Arial"/>
          <w:kern w:val="0"/>
          <w:sz w:val="24"/>
        </w:rPr>
        <w:t>（7）</w:t>
      </w:r>
      <w:r>
        <w:rPr>
          <w:rFonts w:hint="eastAsia" w:ascii="宋体" w:hAnsi="宋体"/>
          <w:sz w:val="24"/>
        </w:rPr>
        <w:t>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sz w:val="24"/>
        </w:rPr>
      </w:pPr>
      <w:r>
        <w:rPr>
          <w:rFonts w:hint="eastAsia" w:ascii="宋体" w:hAnsi="宋体" w:cs="Arial"/>
          <w:kern w:val="0"/>
          <w:sz w:val="24"/>
        </w:rPr>
        <w:t>（8）</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pPr>
        <w:snapToGrid w:val="0"/>
        <w:spacing w:line="360" w:lineRule="auto"/>
        <w:jc w:val="left"/>
        <w:rPr>
          <w:rFonts w:ascii="宋体" w:hAnsi="宋体"/>
        </w:rPr>
      </w:pPr>
    </w:p>
    <w:p>
      <w:pPr>
        <w:pStyle w:val="2"/>
        <w:ind w:firstLine="400"/>
      </w:pPr>
    </w:p>
    <w:p>
      <w:pPr>
        <w:pStyle w:val="5"/>
      </w:pPr>
    </w:p>
    <w:p/>
    <w:p>
      <w:pPr>
        <w:pStyle w:val="5"/>
      </w:pPr>
    </w:p>
    <w:p/>
    <w:p>
      <w:pPr>
        <w:pStyle w:val="5"/>
      </w:pPr>
    </w:p>
    <w:p>
      <w:pPr>
        <w:snapToGrid w:val="0"/>
        <w:spacing w:line="360" w:lineRule="auto"/>
        <w:jc w:val="left"/>
        <w:rPr>
          <w:rFonts w:ascii="宋体" w:hAnsi="宋体"/>
          <w:sz w:val="24"/>
          <w:szCs w:val="20"/>
        </w:rPr>
      </w:pPr>
      <w:r>
        <w:rPr>
          <w:rFonts w:hint="eastAsia" w:ascii="宋体" w:hAnsi="宋体"/>
        </w:rPr>
        <w:t>3</w:t>
      </w:r>
      <w:r>
        <w:rPr>
          <w:rFonts w:hint="eastAsia" w:ascii="宋体" w:hAnsi="宋体"/>
          <w:sz w:val="24"/>
        </w:rPr>
        <w:t>.投标声明书格式：</w:t>
      </w:r>
    </w:p>
    <w:p>
      <w:pPr>
        <w:snapToGrid w:val="0"/>
        <w:spacing w:line="360" w:lineRule="auto"/>
        <w:jc w:val="center"/>
        <w:rPr>
          <w:rFonts w:ascii="宋体" w:hAnsi="宋体"/>
          <w:sz w:val="24"/>
          <w:szCs w:val="20"/>
        </w:rPr>
      </w:pPr>
      <w:r>
        <w:rPr>
          <w:rFonts w:hint="eastAsia" w:ascii="宋体" w:hAnsi="宋体"/>
          <w:sz w:val="30"/>
        </w:rPr>
        <w:t>投标声明书</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Ansi="宋体"/>
          <w:sz w:val="24"/>
        </w:rPr>
      </w:pPr>
      <w:r>
        <w:rPr>
          <w:rFonts w:ascii="宋体" w:hAnsi="宋体"/>
          <w:sz w:val="24"/>
        </w:rPr>
        <w:t>3</w:t>
      </w:r>
      <w:r>
        <w:rPr>
          <w:rFonts w:hint="eastAsia" w:ascii="宋体" w:hAnsi="宋体"/>
          <w:sz w:val="24"/>
        </w:rPr>
        <w:t>.</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80" w:firstLineChars="200"/>
        <w:rPr>
          <w:rFonts w:ascii="宋体" w:hAnsi="宋体"/>
          <w:sz w:val="24"/>
          <w:szCs w:val="20"/>
        </w:rPr>
      </w:pPr>
      <w:r>
        <w:rPr>
          <w:rFonts w:hint="eastAsia" w:ascii="宋体" w:hAnsi="宋体"/>
          <w:sz w:val="24"/>
        </w:rPr>
        <w:t>4.以上事项如有虚假或隐瞒，我方愿意承担一切后果，并不再寻求任何旨在减轻或免除法律责任的辩解。</w:t>
      </w:r>
    </w:p>
    <w:p>
      <w:pPr>
        <w:pStyle w:val="33"/>
        <w:snapToGrid w:val="0"/>
        <w:spacing w:line="360" w:lineRule="auto"/>
        <w:ind w:firstLine="220"/>
        <w:rPr>
          <w:rFonts w:ascii="宋体" w:hAnsi="宋体"/>
        </w:rPr>
      </w:pPr>
    </w:p>
    <w:p>
      <w:pPr>
        <w:snapToGrid w:val="0"/>
        <w:spacing w:line="360" w:lineRule="auto"/>
        <w:ind w:firstLine="200"/>
        <w:rPr>
          <w:rFonts w:ascii="宋体" w:hAnsi="宋体"/>
          <w:sz w:val="24"/>
          <w:szCs w:val="20"/>
          <w:u w:val="single"/>
        </w:rPr>
      </w:pPr>
      <w:r>
        <w:rPr>
          <w:rFonts w:hint="eastAsia" w:ascii="宋体" w:hAnsi="宋体"/>
          <w:sz w:val="24"/>
        </w:rPr>
        <w:t>法定代表人签字：</w:t>
      </w:r>
    </w:p>
    <w:p>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pPr>
        <w:pStyle w:val="5"/>
      </w:pPr>
    </w:p>
    <w:p>
      <w:pPr>
        <w:pStyle w:val="34"/>
        <w:rPr>
          <w:color w:val="auto"/>
        </w:rPr>
      </w:pPr>
    </w:p>
    <w:p>
      <w:pPr>
        <w:snapToGrid w:val="0"/>
        <w:spacing w:line="360" w:lineRule="auto"/>
        <w:rPr>
          <w:rFonts w:ascii="宋体" w:hAnsi="宋体"/>
          <w:sz w:val="24"/>
          <w:szCs w:val="20"/>
        </w:rPr>
      </w:pPr>
    </w:p>
    <w:p>
      <w:pPr>
        <w:pStyle w:val="2"/>
        <w:ind w:firstLine="400"/>
      </w:pPr>
    </w:p>
    <w:p>
      <w:pPr>
        <w:pStyle w:val="4"/>
        <w:ind w:firstLine="240"/>
      </w:pPr>
    </w:p>
    <w:p>
      <w:pPr>
        <w:snapToGrid w:val="0"/>
        <w:spacing w:line="360" w:lineRule="auto"/>
        <w:rPr>
          <w:rFonts w:ascii="宋体" w:hAnsi="宋体"/>
          <w:sz w:val="24"/>
        </w:rPr>
      </w:pPr>
      <w:r>
        <w:rPr>
          <w:rFonts w:hint="eastAsia" w:ascii="宋体" w:hAnsi="宋体"/>
          <w:sz w:val="24"/>
        </w:rPr>
        <w:t>4.投标人情况介绍（格式自拟）</w:t>
      </w:r>
    </w:p>
    <w:p>
      <w:pPr>
        <w:pStyle w:val="5"/>
      </w:pPr>
    </w:p>
    <w:p/>
    <w:p>
      <w:pPr>
        <w:pStyle w:val="5"/>
      </w:pPr>
    </w:p>
    <w:p>
      <w:pPr>
        <w:pStyle w:val="4"/>
        <w:ind w:firstLine="240"/>
      </w:pPr>
    </w:p>
    <w:p>
      <w:pPr>
        <w:pStyle w:val="6"/>
      </w:pPr>
    </w:p>
    <w:p/>
    <w:p>
      <w:pPr>
        <w:pStyle w:val="2"/>
        <w:ind w:firstLine="400"/>
      </w:pPr>
    </w:p>
    <w:p>
      <w:pPr>
        <w:pStyle w:val="5"/>
      </w:pPr>
    </w:p>
    <w:p>
      <w:pPr>
        <w:snapToGrid w:val="0"/>
        <w:spacing w:line="360" w:lineRule="auto"/>
        <w:rPr>
          <w:rFonts w:ascii="宋体" w:hAnsi="宋体"/>
          <w:sz w:val="24"/>
          <w:szCs w:val="20"/>
        </w:rPr>
      </w:pPr>
      <w:r>
        <w:rPr>
          <w:rFonts w:hint="eastAsia" w:ascii="宋体" w:hAnsi="宋体"/>
          <w:sz w:val="24"/>
        </w:rPr>
        <w:t>5.法定代表人授权委托书格式：</w:t>
      </w:r>
    </w:p>
    <w:p>
      <w:pPr>
        <w:snapToGrid w:val="0"/>
        <w:spacing w:line="360"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湖州市民服务中心机关二食堂餐饮管理服务项目</w:t>
      </w:r>
      <w:r>
        <w:rPr>
          <w:rFonts w:hint="eastAsia" w:ascii="宋体" w:hAnsi="宋体"/>
          <w:sz w:val="24"/>
        </w:rPr>
        <w:t>的投标活动，并代表我方全权办理针对上述项目的投标、开标、评标、签约等具体事务和签署相关文件。</w:t>
      </w:r>
    </w:p>
    <w:p>
      <w:pPr>
        <w:snapToGrid w:val="0"/>
        <w:spacing w:line="360" w:lineRule="auto"/>
        <w:rPr>
          <w:rFonts w:ascii="宋体" w:hAnsi="宋体"/>
          <w:sz w:val="24"/>
          <w:szCs w:val="20"/>
        </w:rPr>
      </w:pP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被授权人签名：法定代表人签名：</w:t>
      </w:r>
    </w:p>
    <w:p>
      <w:pPr>
        <w:snapToGrid w:val="0"/>
        <w:spacing w:line="360" w:lineRule="auto"/>
        <w:ind w:firstLine="960" w:firstLineChars="400"/>
        <w:rPr>
          <w:rFonts w:ascii="宋体" w:hAnsi="宋体"/>
          <w:sz w:val="24"/>
          <w:szCs w:val="20"/>
        </w:rPr>
      </w:pPr>
      <w:r>
        <w:rPr>
          <w:rFonts w:hint="eastAsia" w:ascii="宋体" w:hAnsi="宋体"/>
          <w:sz w:val="24"/>
        </w:rPr>
        <w:t>职务：职务：</w:t>
      </w:r>
    </w:p>
    <w:p>
      <w:pPr>
        <w:snapToGrid w:val="0"/>
        <w:spacing w:line="360" w:lineRule="auto"/>
        <w:rPr>
          <w:rFonts w:ascii="宋体" w:hAnsi="宋体"/>
          <w:sz w:val="24"/>
          <w:szCs w:val="20"/>
        </w:rPr>
      </w:pPr>
      <w:r>
        <w:rPr>
          <w:rFonts w:hint="eastAsia" w:ascii="宋体" w:hAnsi="宋体"/>
          <w:sz w:val="24"/>
        </w:rPr>
        <w:t>被授权人身份证号码：</w:t>
      </w:r>
    </w:p>
    <w:p>
      <w:pPr>
        <w:snapToGrid w:val="0"/>
        <w:spacing w:line="360" w:lineRule="auto"/>
        <w:rPr>
          <w:rFonts w:ascii="宋体" w:hAnsi="宋体"/>
          <w:sz w:val="24"/>
        </w:rPr>
      </w:pPr>
      <w:r>
        <w:rPr>
          <w:rFonts w:hint="eastAsia" w:ascii="宋体" w:hAnsi="宋体"/>
          <w:sz w:val="24"/>
        </w:rPr>
        <w:t>投标人公章：</w:t>
      </w:r>
    </w:p>
    <w:p>
      <w:pPr>
        <w:pStyle w:val="10"/>
        <w:spacing w:line="360" w:lineRule="auto"/>
        <w:ind w:firstLine="374" w:firstLineChars="156"/>
        <w:rPr>
          <w:rFonts w:ascii="宋体" w:hAnsi="宋体"/>
          <w:sz w:val="24"/>
          <w:szCs w:val="24"/>
        </w:rPr>
      </w:pPr>
      <w:r>
        <w:rPr>
          <w:rFonts w:hint="eastAsia" w:ascii="宋体" w:hAnsi="宋体"/>
          <w:sz w:val="24"/>
          <w:szCs w:val="24"/>
        </w:rPr>
        <w:t>————————————————————-----------</w:t>
      </w:r>
    </w:p>
    <w:p>
      <w:pPr>
        <w:pStyle w:val="10"/>
        <w:spacing w:line="360" w:lineRule="auto"/>
        <w:ind w:firstLine="374" w:firstLineChars="156"/>
        <w:jc w:val="center"/>
        <w:rPr>
          <w:rFonts w:ascii="宋体" w:hAnsi="宋体"/>
          <w:sz w:val="24"/>
          <w:szCs w:val="24"/>
        </w:rPr>
      </w:pPr>
    </w:p>
    <w:p>
      <w:pPr>
        <w:pStyle w:val="10"/>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center"/>
        <w:rPr>
          <w:rFonts w:ascii="宋体" w:hAnsi="宋体"/>
          <w:sz w:val="24"/>
        </w:rPr>
      </w:pPr>
      <w:r>
        <w:rPr>
          <w:rFonts w:hint="eastAsia" w:ascii="宋体" w:hAnsi="宋体"/>
          <w:sz w:val="24"/>
        </w:rPr>
        <w:t>年月日</w:t>
      </w:r>
    </w:p>
    <w:p>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pPr>
        <w:snapToGrid w:val="0"/>
        <w:spacing w:line="360" w:lineRule="auto"/>
        <w:rPr>
          <w:rFonts w:ascii="宋体" w:hAnsi="宋体"/>
        </w:rPr>
      </w:pPr>
    </w:p>
    <w:p>
      <w:pPr>
        <w:pStyle w:val="5"/>
      </w:pPr>
    </w:p>
    <w:p>
      <w:pPr>
        <w:pStyle w:val="13"/>
      </w:pPr>
    </w:p>
    <w:p/>
    <w:p>
      <w:pPr>
        <w:pStyle w:val="23"/>
        <w:spacing w:before="120"/>
      </w:pPr>
    </w:p>
    <w:p/>
    <w:p>
      <w:pPr>
        <w:pStyle w:val="5"/>
      </w:pPr>
    </w:p>
    <w:p>
      <w:pPr>
        <w:pStyle w:val="23"/>
        <w:spacing w:before="120"/>
      </w:pPr>
    </w:p>
    <w:p>
      <w:pPr>
        <w:snapToGrid w:val="0"/>
        <w:spacing w:line="360" w:lineRule="auto"/>
        <w:rPr>
          <w:rFonts w:ascii="宋体" w:hAnsi="宋体"/>
          <w:sz w:val="24"/>
          <w:szCs w:val="20"/>
        </w:rPr>
      </w:pPr>
      <w:r>
        <w:rPr>
          <w:rFonts w:hint="eastAsia" w:ascii="宋体" w:hAnsi="宋体"/>
          <w:sz w:val="24"/>
        </w:rPr>
        <w:t>6.近三个月依法缴纳税收和社保费的证明【税费凭证，或者依法缴纳税费或依法免缴税费的证明】</w:t>
      </w:r>
      <w:r>
        <w:rPr>
          <w:rFonts w:hint="eastAsia" w:ascii="宋体" w:hAnsi="宋体"/>
          <w:sz w:val="24"/>
          <w:szCs w:val="20"/>
        </w:rPr>
        <w:t>（格式自拟，</w:t>
      </w:r>
      <w:r>
        <w:rPr>
          <w:rFonts w:hint="eastAsia" w:ascii="宋体" w:hAnsi="宋体"/>
          <w:bCs/>
          <w:sz w:val="24"/>
        </w:rPr>
        <w:t>复印件各一份</w:t>
      </w:r>
      <w:r>
        <w:rPr>
          <w:rFonts w:hint="eastAsia" w:ascii="宋体" w:hAnsi="宋体"/>
          <w:sz w:val="24"/>
          <w:szCs w:val="20"/>
        </w:rPr>
        <w:t>），《依法纳税或依法免税证明》原件一年内均保持有效。</w:t>
      </w:r>
    </w:p>
    <w:p>
      <w:pPr>
        <w:snapToGrid w:val="0"/>
        <w:spacing w:line="360" w:lineRule="auto"/>
        <w:rPr>
          <w:rFonts w:ascii="宋体" w:hAnsi="宋体"/>
        </w:rPr>
      </w:pPr>
    </w:p>
    <w:p>
      <w:pPr>
        <w:snapToGrid w:val="0"/>
        <w:spacing w:line="360" w:lineRule="auto"/>
        <w:rPr>
          <w:rFonts w:ascii="宋体" w:hAnsi="宋体"/>
        </w:rPr>
      </w:pPr>
    </w:p>
    <w:p>
      <w:pPr>
        <w:snapToGrid w:val="0"/>
        <w:spacing w:line="360" w:lineRule="auto"/>
        <w:rPr>
          <w:rFonts w:ascii="宋体" w:hAnsi="宋体"/>
        </w:rPr>
      </w:pPr>
    </w:p>
    <w:p>
      <w:pPr>
        <w:pStyle w:val="5"/>
      </w:pPr>
    </w:p>
    <w:p/>
    <w:p>
      <w:pPr>
        <w:snapToGrid w:val="0"/>
        <w:spacing w:line="360" w:lineRule="auto"/>
        <w:rPr>
          <w:rFonts w:ascii="宋体" w:hAnsi="宋体"/>
        </w:rPr>
      </w:pPr>
    </w:p>
    <w:p>
      <w:pPr>
        <w:snapToGrid w:val="0"/>
        <w:spacing w:line="360" w:lineRule="auto"/>
        <w:rPr>
          <w:u w:val="single"/>
        </w:rPr>
      </w:pPr>
      <w:r>
        <w:rPr>
          <w:rFonts w:hint="eastAsia" w:ascii="宋体" w:hAnsi="宋体"/>
          <w:sz w:val="24"/>
        </w:rPr>
        <w:t>7.有效</w:t>
      </w:r>
      <w:r>
        <w:rPr>
          <w:rFonts w:hint="eastAsia" w:ascii="宋体" w:hAnsi="宋体" w:cs="宋体"/>
          <w:sz w:val="24"/>
        </w:rPr>
        <w:t>的营业执照副本</w:t>
      </w:r>
      <w:r>
        <w:rPr>
          <w:rFonts w:hint="eastAsia" w:ascii="宋体" w:hAnsi="宋体"/>
          <w:sz w:val="24"/>
        </w:rPr>
        <w:t>复印件</w:t>
      </w:r>
    </w:p>
    <w:p>
      <w:pPr>
        <w:snapToGrid w:val="0"/>
        <w:spacing w:line="360" w:lineRule="auto"/>
        <w:jc w:val="left"/>
        <w:rPr>
          <w:rFonts w:ascii="宋体" w:hAnsi="宋体"/>
          <w:sz w:val="24"/>
          <w:szCs w:val="20"/>
        </w:rPr>
      </w:pPr>
    </w:p>
    <w:p>
      <w:pPr>
        <w:snapToGrid w:val="0"/>
        <w:spacing w:line="360" w:lineRule="auto"/>
        <w:jc w:val="left"/>
        <w:rPr>
          <w:rFonts w:ascii="宋体" w:hAnsi="宋体"/>
          <w:sz w:val="24"/>
        </w:rPr>
      </w:pPr>
    </w:p>
    <w:p>
      <w:pPr>
        <w:pStyle w:val="5"/>
      </w:pPr>
    </w:p>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cs="宋体"/>
          <w:sz w:val="24"/>
        </w:rPr>
        <w:t>8.近二年(2021、2022年)企业的财务状况报告或银行资信证明</w:t>
      </w:r>
      <w:r>
        <w:rPr>
          <w:rFonts w:hint="eastAsia" w:ascii="宋体" w:hAnsi="宋体"/>
          <w:sz w:val="24"/>
        </w:rPr>
        <w:t>复印件</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5"/>
      </w:pPr>
    </w:p>
    <w:p>
      <w:pPr>
        <w:snapToGrid w:val="0"/>
        <w:spacing w:line="360" w:lineRule="auto"/>
        <w:jc w:val="left"/>
        <w:rPr>
          <w:rFonts w:ascii="宋体" w:hAnsi="宋体"/>
          <w:sz w:val="24"/>
        </w:rPr>
      </w:pPr>
      <w:r>
        <w:rPr>
          <w:rFonts w:hint="eastAsia" w:ascii="宋体" w:hAnsi="宋体"/>
          <w:sz w:val="24"/>
        </w:rPr>
        <w:t>9.提供自招标公告发布之日起至投标截止日内任意时间的“信用中国”网站（www.creditchina.gov.cn）、中国政府采购网（www.ccgp.gov.cn）投标人信用查询网页截图</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23"/>
        <w:spacing w:before="120"/>
      </w:pPr>
    </w:p>
    <w:p/>
    <w:p>
      <w:pPr>
        <w:pStyle w:val="5"/>
      </w:pPr>
    </w:p>
    <w:p>
      <w:pPr>
        <w:pStyle w:val="5"/>
      </w:pPr>
    </w:p>
    <w:p>
      <w:pPr>
        <w:pStyle w:val="5"/>
      </w:pPr>
    </w:p>
    <w:p/>
    <w:p>
      <w:pPr>
        <w:pStyle w:val="35"/>
      </w:pPr>
    </w:p>
    <w:p/>
    <w:p>
      <w:pPr>
        <w:snapToGrid w:val="0"/>
        <w:spacing w:line="360" w:lineRule="auto"/>
        <w:jc w:val="left"/>
        <w:rPr>
          <w:rFonts w:ascii="宋体" w:hAnsi="宋体"/>
          <w:b/>
          <w:sz w:val="28"/>
          <w:szCs w:val="28"/>
        </w:rPr>
      </w:pPr>
      <w:r>
        <w:rPr>
          <w:rFonts w:hint="eastAsia" w:ascii="宋体" w:hAnsi="宋体"/>
          <w:b/>
          <w:sz w:val="24"/>
        </w:rPr>
        <w:t xml:space="preserve">10. </w:t>
      </w:r>
      <w:r>
        <w:rPr>
          <w:rFonts w:hint="eastAsia" w:ascii="宋体" w:hAnsi="宋体"/>
          <w:b/>
          <w:sz w:val="28"/>
          <w:szCs w:val="28"/>
        </w:rPr>
        <w:t>中小企业声明函</w:t>
      </w:r>
    </w:p>
    <w:p>
      <w:pPr>
        <w:pStyle w:val="5"/>
      </w:pPr>
    </w:p>
    <w:p>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360" w:lineRule="auto"/>
        <w:ind w:firstLine="480" w:firstLineChars="200"/>
        <w:rPr>
          <w:rFonts w:ascii="宋体" w:hAnsi="宋体" w:cs="仿宋"/>
          <w:kern w:val="0"/>
          <w:sz w:val="24"/>
        </w:rPr>
      </w:pPr>
    </w:p>
    <w:p>
      <w:pPr>
        <w:spacing w:line="360" w:lineRule="auto"/>
        <w:ind w:firstLine="480" w:firstLineChars="200"/>
        <w:rPr>
          <w:rFonts w:ascii="宋体" w:hAnsi="宋体" w:cs="仿宋"/>
          <w:kern w:val="0"/>
          <w:sz w:val="24"/>
        </w:rPr>
      </w:pPr>
      <w:r>
        <w:rPr>
          <w:rFonts w:hint="eastAsia" w:ascii="宋体" w:hAnsi="宋体" w:cs="仿宋"/>
          <w:kern w:val="0"/>
          <w:sz w:val="24"/>
        </w:rPr>
        <w:t>……</w:t>
      </w:r>
    </w:p>
    <w:p>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pPr>
        <w:spacing w:line="360" w:lineRule="auto"/>
        <w:ind w:firstLine="5640" w:firstLineChars="2350"/>
        <w:rPr>
          <w:rFonts w:ascii="宋体" w:hAnsi="宋体" w:cs="仿宋"/>
          <w:kern w:val="0"/>
          <w:sz w:val="24"/>
        </w:rPr>
      </w:pPr>
      <w:r>
        <w:rPr>
          <w:rFonts w:hint="eastAsia" w:ascii="宋体" w:hAnsi="宋体" w:cs="仿宋"/>
          <w:kern w:val="0"/>
          <w:sz w:val="24"/>
        </w:rPr>
        <w:t>日期：</w:t>
      </w:r>
    </w:p>
    <w:p>
      <w:pPr>
        <w:spacing w:line="360" w:lineRule="auto"/>
        <w:ind w:firstLine="5640" w:firstLineChars="2350"/>
        <w:rPr>
          <w:rFonts w:ascii="宋体" w:hAnsi="宋体" w:cs="仿宋"/>
          <w:kern w:val="0"/>
          <w:sz w:val="24"/>
        </w:rPr>
      </w:pPr>
    </w:p>
    <w:p>
      <w:pPr>
        <w:spacing w:line="360" w:lineRule="auto"/>
        <w:ind w:firstLine="5640" w:firstLineChars="2350"/>
        <w:rPr>
          <w:rFonts w:ascii="宋体" w:hAnsi="宋体"/>
          <w:bCs/>
          <w:sz w:val="24"/>
        </w:rPr>
      </w:pPr>
    </w:p>
    <w:p>
      <w:pPr>
        <w:numPr>
          <w:ilvl w:val="0"/>
          <w:numId w:val="4"/>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pPr>
        <w:spacing w:line="360" w:lineRule="auto"/>
        <w:ind w:firstLine="5600" w:firstLineChars="2000"/>
        <w:rPr>
          <w:rFonts w:ascii="宋体" w:hAnsi="宋体"/>
          <w:sz w:val="28"/>
          <w:szCs w:val="28"/>
        </w:rPr>
      </w:pPr>
    </w:p>
    <w:p>
      <w:pPr>
        <w:snapToGrid w:val="0"/>
        <w:spacing w:line="360" w:lineRule="auto"/>
        <w:jc w:val="left"/>
        <w:rPr>
          <w:rFonts w:ascii="宋体" w:hAnsi="宋体"/>
          <w:sz w:val="28"/>
          <w:szCs w:val="28"/>
        </w:rPr>
      </w:pPr>
    </w:p>
    <w:p>
      <w:pPr>
        <w:widowControl/>
        <w:jc w:val="left"/>
        <w:rPr>
          <w:rFonts w:ascii="宋体" w:hAnsi="宋体" w:cs="宋体"/>
          <w:sz w:val="24"/>
          <w:szCs w:val="20"/>
        </w:rPr>
      </w:pPr>
    </w:p>
    <w:p>
      <w:pPr>
        <w:spacing w:line="360" w:lineRule="auto"/>
        <w:jc w:val="left"/>
        <w:outlineLvl w:val="1"/>
        <w:rPr>
          <w:rFonts w:ascii="宋体" w:hAnsi="宋体" w:cs="宋体"/>
        </w:rPr>
      </w:pPr>
      <w:r>
        <w:rPr>
          <w:rFonts w:hint="eastAsia" w:hAnsi="宋体" w:cs="宋体"/>
          <w:sz w:val="24"/>
          <w:u w:val="single"/>
        </w:rPr>
        <w:t>此表必须如实填写，不能留有空格。</w:t>
      </w:r>
    </w:p>
    <w:p>
      <w:pPr>
        <w:rPr>
          <w:rFonts w:ascii="宋体" w:hAnsi="宋体" w:cs="宋体"/>
        </w:rPr>
      </w:pPr>
    </w:p>
    <w:p>
      <w:pPr>
        <w:pStyle w:val="36"/>
        <w:ind w:left="402" w:hanging="402"/>
      </w:pPr>
    </w:p>
    <w:p>
      <w:pPr>
        <w:pStyle w:val="36"/>
        <w:ind w:left="402" w:hanging="402"/>
      </w:pPr>
    </w:p>
    <w:p>
      <w:pPr>
        <w:pStyle w:val="36"/>
        <w:ind w:left="402" w:hanging="402"/>
      </w:pPr>
    </w:p>
    <w:p>
      <w:pPr>
        <w:pStyle w:val="36"/>
        <w:ind w:left="402" w:hanging="402"/>
      </w:pPr>
    </w:p>
    <w:p>
      <w:pPr>
        <w:pStyle w:val="36"/>
        <w:ind w:left="402" w:hanging="402"/>
      </w:pPr>
    </w:p>
    <w:p>
      <w:pPr>
        <w:pStyle w:val="36"/>
        <w:ind w:left="402" w:hanging="402"/>
      </w:pPr>
    </w:p>
    <w:p>
      <w:pPr>
        <w:pStyle w:val="36"/>
        <w:ind w:left="402" w:hanging="402"/>
      </w:pPr>
    </w:p>
    <w:p>
      <w:pPr>
        <w:pStyle w:val="36"/>
        <w:ind w:left="402" w:hanging="402"/>
      </w:pPr>
    </w:p>
    <w:p>
      <w:pPr>
        <w:pStyle w:val="36"/>
        <w:ind w:left="402" w:hanging="402"/>
      </w:pPr>
    </w:p>
    <w:p>
      <w:pPr>
        <w:pStyle w:val="36"/>
        <w:ind w:left="402" w:hanging="402"/>
      </w:pPr>
    </w:p>
    <w:p>
      <w:pPr>
        <w:spacing w:line="588" w:lineRule="exact"/>
        <w:jc w:val="center"/>
        <w:rPr>
          <w:rFonts w:ascii="宋体" w:hAnsi="宋体"/>
          <w:b/>
          <w:bCs/>
          <w:sz w:val="30"/>
        </w:rPr>
      </w:pPr>
      <w:r>
        <w:rPr>
          <w:rFonts w:hint="eastAsia" w:ascii="宋体" w:hAnsi="宋体"/>
          <w:b/>
          <w:bCs/>
          <w:sz w:val="30"/>
        </w:rPr>
        <w:t>残疾人福利性单位声明函</w:t>
      </w:r>
    </w:p>
    <w:p>
      <w:pPr>
        <w:spacing w:line="588" w:lineRule="exact"/>
        <w:jc w:val="center"/>
        <w:rPr>
          <w:rFonts w:ascii="宋体" w:hAnsi="宋体"/>
          <w:b/>
          <w:spacing w:val="6"/>
          <w:sz w:val="24"/>
        </w:rPr>
      </w:pPr>
    </w:p>
    <w:p>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pPr>
        <w:rPr>
          <w:rFonts w:ascii="宋体" w:hAnsi="宋体"/>
          <w:sz w:val="24"/>
        </w:rPr>
      </w:pPr>
    </w:p>
    <w:p>
      <w:pPr>
        <w:rPr>
          <w:rFonts w:ascii="宋体" w:hAnsi="宋体"/>
          <w:sz w:val="24"/>
        </w:rPr>
      </w:pPr>
    </w:p>
    <w:p>
      <w:pPr>
        <w:pStyle w:val="10"/>
        <w:spacing w:line="500" w:lineRule="exact"/>
        <w:ind w:firstLine="0"/>
        <w:rPr>
          <w:rFonts w:ascii="宋体" w:hAnsi="宋体"/>
          <w:szCs w:val="24"/>
        </w:rPr>
      </w:pPr>
    </w:p>
    <w:p>
      <w:pPr>
        <w:pStyle w:val="10"/>
        <w:spacing w:line="500" w:lineRule="exact"/>
        <w:ind w:firstLine="0"/>
        <w:rPr>
          <w:rFonts w:ascii="宋体" w:hAnsi="宋体"/>
          <w:szCs w:val="24"/>
        </w:rPr>
      </w:pPr>
    </w:p>
    <w:p>
      <w:pPr>
        <w:snapToGrid w:val="0"/>
        <w:spacing w:before="50"/>
        <w:jc w:val="center"/>
        <w:rPr>
          <w:rFonts w:ascii="宋体" w:hAnsi="宋体"/>
          <w:b/>
          <w:spacing w:val="40"/>
          <w:kern w:val="0"/>
          <w:sz w:val="24"/>
        </w:rPr>
      </w:pPr>
    </w:p>
    <w:p>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pPr>
        <w:rPr>
          <w:rFonts w:ascii="宋体" w:hAnsi="宋体"/>
          <w:sz w:val="24"/>
        </w:rPr>
      </w:pPr>
    </w:p>
    <w:p>
      <w:pPr>
        <w:pStyle w:val="20"/>
      </w:pPr>
    </w:p>
    <w:p>
      <w:pPr>
        <w:pStyle w:val="20"/>
      </w:pPr>
    </w:p>
    <w:p>
      <w:pPr>
        <w:pStyle w:val="20"/>
      </w:pPr>
    </w:p>
    <w:p>
      <w:pPr>
        <w:pStyle w:val="20"/>
      </w:pPr>
    </w:p>
    <w:p>
      <w:pPr>
        <w:pStyle w:val="20"/>
      </w:pPr>
    </w:p>
    <w:p>
      <w:pPr>
        <w:pStyle w:val="20"/>
      </w:pPr>
    </w:p>
    <w:p/>
    <w:p>
      <w:pPr>
        <w:pStyle w:val="23"/>
        <w:spacing w:before="120"/>
      </w:pPr>
    </w:p>
    <w:p>
      <w:pPr>
        <w:pStyle w:val="35"/>
      </w:pPr>
    </w:p>
    <w:p/>
    <w:p>
      <w:pPr>
        <w:ind w:firstLine="5140" w:firstLineChars="1600"/>
        <w:rPr>
          <w:rFonts w:ascii="仿宋" w:hAnsi="仿宋" w:eastAsia="仿宋" w:cs="仿宋"/>
          <w:b/>
          <w:kern w:val="0"/>
          <w:sz w:val="32"/>
          <w:szCs w:val="32"/>
        </w:rPr>
      </w:pPr>
    </w:p>
    <w:p>
      <w:pPr>
        <w:pStyle w:val="2"/>
        <w:ind w:firstLine="400"/>
      </w:pPr>
    </w:p>
    <w:p>
      <w:pPr>
        <w:ind w:firstLine="5140" w:firstLineChars="1600"/>
        <w:rPr>
          <w:rFonts w:ascii="仿宋" w:hAnsi="仿宋" w:eastAsia="仿宋" w:cs="仿宋"/>
          <w:b/>
          <w:kern w:val="0"/>
          <w:sz w:val="32"/>
          <w:szCs w:val="32"/>
        </w:rPr>
      </w:pPr>
    </w:p>
    <w:p>
      <w:pPr>
        <w:pStyle w:val="5"/>
      </w:pPr>
    </w:p>
    <w:p/>
    <w:p>
      <w:pPr>
        <w:pStyle w:val="5"/>
      </w:pPr>
    </w:p>
    <w:p>
      <w:pPr>
        <w:snapToGrid w:val="0"/>
        <w:spacing w:line="360" w:lineRule="auto"/>
        <w:jc w:val="center"/>
        <w:outlineLvl w:val="1"/>
        <w:rPr>
          <w:rFonts w:ascii="宋体" w:hAnsi="宋体"/>
          <w:b/>
          <w:bCs/>
          <w:sz w:val="24"/>
        </w:rPr>
      </w:pPr>
    </w:p>
    <w:p>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pPr>
        <w:snapToGrid w:val="0"/>
        <w:spacing w:line="360" w:lineRule="auto"/>
        <w:jc w:val="center"/>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11.技术/资信/商务文件封面格式：</w:t>
      </w: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技术/资信/商务文件</w:t>
      </w:r>
    </w:p>
    <w:p>
      <w:pPr>
        <w:snapToGrid w:val="0"/>
        <w:spacing w:line="360" w:lineRule="auto"/>
        <w:rPr>
          <w:rFonts w:ascii="宋体" w:hAnsi="宋体"/>
          <w:bCs/>
          <w:sz w:val="24"/>
          <w:szCs w:val="20"/>
        </w:rPr>
      </w:pPr>
    </w:p>
    <w:p>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湖州市民服务中心机关二食堂餐饮管理服务项目</w:t>
      </w:r>
    </w:p>
    <w:p>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HYHZ2023-228</w:t>
      </w:r>
    </w:p>
    <w:p>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snapToGrid w:val="0"/>
        <w:spacing w:line="360" w:lineRule="auto"/>
        <w:ind w:firstLine="645"/>
        <w:jc w:val="center"/>
        <w:rPr>
          <w:rFonts w:ascii="宋体" w:hAnsi="宋体"/>
          <w:sz w:val="24"/>
        </w:rPr>
      </w:pPr>
      <w:r>
        <w:rPr>
          <w:rFonts w:hint="eastAsia" w:ascii="宋体" w:hAnsi="宋体"/>
          <w:sz w:val="24"/>
        </w:rPr>
        <w:t>年月日</w:t>
      </w:r>
    </w:p>
    <w:p>
      <w:pPr>
        <w:snapToGrid w:val="0"/>
        <w:spacing w:line="360" w:lineRule="auto"/>
        <w:ind w:firstLine="645"/>
        <w:jc w:val="center"/>
        <w:rPr>
          <w:rFonts w:ascii="宋体" w:hAnsi="宋体"/>
          <w:sz w:val="24"/>
        </w:rPr>
      </w:pPr>
    </w:p>
    <w:p>
      <w:pPr>
        <w:pStyle w:val="5"/>
      </w:pPr>
    </w:p>
    <w:p>
      <w:pPr>
        <w:snapToGrid w:val="0"/>
        <w:spacing w:line="360" w:lineRule="auto"/>
        <w:rPr>
          <w:rFonts w:ascii="宋体" w:hAnsi="宋体"/>
          <w:sz w:val="24"/>
        </w:rPr>
      </w:pPr>
      <w:r>
        <w:rPr>
          <w:rFonts w:hint="eastAsia" w:ascii="宋体" w:hAnsi="宋体"/>
          <w:sz w:val="24"/>
        </w:rPr>
        <w:t>12.</w:t>
      </w:r>
      <w:r>
        <w:rPr>
          <w:rFonts w:hint="eastAsia" w:ascii="宋体" w:hAnsi="宋体"/>
          <w:b/>
          <w:bCs/>
          <w:sz w:val="24"/>
        </w:rPr>
        <w:t>技术/资信/商务文件目录</w:t>
      </w:r>
    </w:p>
    <w:p>
      <w:pPr>
        <w:snapToGrid w:val="0"/>
        <w:spacing w:line="360" w:lineRule="auto"/>
        <w:rPr>
          <w:rFonts w:ascii="宋体" w:hAnsi="宋体"/>
          <w:sz w:val="24"/>
        </w:rPr>
      </w:pPr>
      <w:r>
        <w:rPr>
          <w:rFonts w:hint="eastAsia" w:ascii="宋体" w:hAnsi="宋体"/>
          <w:sz w:val="24"/>
        </w:rPr>
        <w:t>技术：</w:t>
      </w:r>
    </w:p>
    <w:p>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）整体方案————————（页码）</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hAnsi="宋体" w:cs="宋体"/>
          <w:sz w:val="24"/>
        </w:rPr>
        <w:t>技术方案</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）应急预案————————</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）关键点、难点解决方案————————</w:t>
      </w:r>
    </w:p>
    <w:p>
      <w:pPr>
        <w:pStyle w:val="5"/>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与采购人配合方案</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（6）餐厨废弃物处理管理方案————</w:t>
      </w:r>
    </w:p>
    <w:p>
      <w:pPr>
        <w:snapToGrid w:val="0"/>
        <w:spacing w:line="360" w:lineRule="auto"/>
        <w:jc w:val="left"/>
        <w:rPr>
          <w:rFonts w:ascii="宋体" w:hAnsi="宋体"/>
          <w:sz w:val="24"/>
        </w:rPr>
      </w:pPr>
      <w:r>
        <w:rPr>
          <w:rFonts w:hint="eastAsia" w:ascii="宋体" w:hAnsi="宋体"/>
          <w:sz w:val="24"/>
        </w:rPr>
        <w:t>（7）项目实施人员一览表————————</w:t>
      </w:r>
    </w:p>
    <w:p>
      <w:pPr>
        <w:snapToGrid w:val="0"/>
        <w:spacing w:line="360" w:lineRule="auto"/>
        <w:jc w:val="left"/>
      </w:pPr>
      <w:r>
        <w:rPr>
          <w:rFonts w:hint="eastAsia" w:ascii="宋体" w:hAnsi="宋体"/>
          <w:sz w:val="24"/>
        </w:rPr>
        <w:t>（8）投标人对本项目的合理化建议和改进措施————————</w:t>
      </w:r>
    </w:p>
    <w:p>
      <w:pPr>
        <w:snapToGrid w:val="0"/>
        <w:spacing w:line="360" w:lineRule="auto"/>
        <w:jc w:val="left"/>
        <w:rPr>
          <w:rFonts w:ascii="宋体" w:hAnsi="宋体"/>
          <w:sz w:val="24"/>
          <w:szCs w:val="20"/>
        </w:rPr>
      </w:pPr>
      <w:r>
        <w:rPr>
          <w:rFonts w:hint="eastAsia" w:ascii="宋体" w:hAnsi="宋体"/>
          <w:sz w:val="24"/>
        </w:rPr>
        <w:t>（9）</w:t>
      </w:r>
      <w:r>
        <w:rPr>
          <w:rFonts w:ascii="宋体" w:hAnsi="宋体"/>
          <w:sz w:val="24"/>
        </w:rPr>
        <w:t>投标人需要说明的其他文件和说明</w:t>
      </w:r>
      <w:r>
        <w:rPr>
          <w:rFonts w:hint="eastAsia" w:ascii="宋体" w:hAnsi="宋体"/>
          <w:sz w:val="24"/>
        </w:rPr>
        <w:t>————————</w:t>
      </w:r>
    </w:p>
    <w:p>
      <w:pPr>
        <w:snapToGrid w:val="0"/>
        <w:spacing w:line="360" w:lineRule="auto"/>
        <w:rPr>
          <w:rFonts w:ascii="宋体" w:hAnsi="宋体"/>
          <w:sz w:val="24"/>
        </w:rPr>
      </w:pPr>
      <w:r>
        <w:rPr>
          <w:rFonts w:hint="eastAsia" w:ascii="宋体" w:hAnsi="宋体"/>
          <w:sz w:val="24"/>
        </w:rPr>
        <w:t>资信：</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0）类似成功案例的业绩证明（投标人同类项目实施情况一览表、合同复印件）————————</w:t>
      </w:r>
    </w:p>
    <w:p>
      <w:pPr>
        <w:snapToGrid w:val="0"/>
        <w:spacing w:line="360" w:lineRule="auto"/>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1）权威认证证书————————</w:t>
      </w:r>
    </w:p>
    <w:p>
      <w:pPr>
        <w:snapToGrid w:val="0"/>
        <w:spacing w:line="360" w:lineRule="auto"/>
        <w:jc w:val="left"/>
        <w:rPr>
          <w:rFonts w:ascii="宋体" w:hAnsi="宋体"/>
          <w:sz w:val="24"/>
        </w:rPr>
      </w:pPr>
      <w:r>
        <w:rPr>
          <w:rFonts w:hint="eastAsia" w:ascii="宋体" w:hAnsi="宋体"/>
          <w:sz w:val="24"/>
        </w:rPr>
        <w:t>（12</w:t>
      </w:r>
      <w:r>
        <w:rPr>
          <w:rFonts w:ascii="宋体" w:hAnsi="宋体"/>
          <w:sz w:val="24"/>
        </w:rPr>
        <w:t>）</w:t>
      </w:r>
      <w:r>
        <w:rPr>
          <w:rFonts w:hint="eastAsia" w:hAnsi="宋体" w:cs="宋体"/>
          <w:sz w:val="24"/>
        </w:rPr>
        <w:t>企业和人员荣誉证书或文件</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（13</w:t>
      </w:r>
      <w:r>
        <w:rPr>
          <w:rFonts w:ascii="宋体" w:hAnsi="宋体"/>
          <w:sz w:val="24"/>
        </w:rPr>
        <w:t>）</w:t>
      </w:r>
      <w:r>
        <w:rPr>
          <w:rFonts w:hint="eastAsia" w:hAnsi="宋体" w:cs="宋体"/>
          <w:sz w:val="24"/>
        </w:rPr>
        <w:t>企业综合实力证明材料</w:t>
      </w:r>
      <w:r>
        <w:rPr>
          <w:rFonts w:hint="eastAsia" w:ascii="宋体" w:hAnsi="宋体"/>
          <w:sz w:val="24"/>
        </w:rPr>
        <w:t>————————</w:t>
      </w:r>
    </w:p>
    <w:p>
      <w:pPr>
        <w:snapToGrid w:val="0"/>
        <w:spacing w:line="360" w:lineRule="auto"/>
        <w:jc w:val="left"/>
        <w:rPr>
          <w:rFonts w:ascii="宋体" w:hAnsi="宋体"/>
          <w:sz w:val="24"/>
        </w:rPr>
      </w:pPr>
      <w:r>
        <w:rPr>
          <w:rFonts w:hint="eastAsia" w:ascii="宋体" w:hAnsi="宋体"/>
          <w:sz w:val="24"/>
        </w:rPr>
        <w:t>（14）其他特殊资质证书</w:t>
      </w:r>
      <w:r>
        <w:rPr>
          <w:rFonts w:ascii="宋体" w:hAnsi="宋体"/>
          <w:sz w:val="24"/>
        </w:rPr>
        <w:t>（如</w:t>
      </w:r>
      <w:r>
        <w:rPr>
          <w:rFonts w:hint="eastAsia" w:ascii="宋体" w:hAnsi="宋体"/>
          <w:sz w:val="24"/>
        </w:rPr>
        <w:t>本地化服务能力等）（格式可自拟）—————</w:t>
      </w:r>
    </w:p>
    <w:p>
      <w:pPr>
        <w:snapToGrid w:val="0"/>
        <w:spacing w:line="360" w:lineRule="auto"/>
        <w:jc w:val="left"/>
        <w:rPr>
          <w:rFonts w:ascii="宋体" w:hAnsi="宋体"/>
          <w:sz w:val="24"/>
        </w:rPr>
      </w:pPr>
      <w:r>
        <w:rPr>
          <w:rFonts w:hint="eastAsia" w:ascii="宋体" w:hAnsi="宋体"/>
          <w:sz w:val="24"/>
        </w:rPr>
        <w:t>（15）投标人认为可以证明其能力或业绩的其他材料————————</w:t>
      </w:r>
    </w:p>
    <w:p>
      <w:pPr>
        <w:snapToGrid w:val="0"/>
        <w:spacing w:line="360" w:lineRule="auto"/>
        <w:rPr>
          <w:rFonts w:ascii="宋体" w:hAnsi="宋体"/>
          <w:sz w:val="24"/>
        </w:rPr>
      </w:pPr>
      <w:r>
        <w:rPr>
          <w:rFonts w:hint="eastAsia" w:ascii="宋体" w:hAnsi="宋体"/>
          <w:sz w:val="24"/>
        </w:rPr>
        <w:t>商务：</w:t>
      </w:r>
    </w:p>
    <w:p>
      <w:pPr>
        <w:snapToGrid w:val="0"/>
        <w:spacing w:line="360" w:lineRule="auto"/>
        <w:jc w:val="left"/>
        <w:rPr>
          <w:rFonts w:ascii="宋体" w:hAnsi="宋体"/>
          <w:sz w:val="24"/>
        </w:rPr>
      </w:pPr>
      <w:r>
        <w:rPr>
          <w:rFonts w:hint="eastAsia" w:ascii="宋体" w:hAnsi="宋体"/>
          <w:sz w:val="24"/>
        </w:rPr>
        <w:t>（16）商务响应表————————</w:t>
      </w:r>
    </w:p>
    <w:p>
      <w:pPr>
        <w:snapToGrid w:val="0"/>
        <w:spacing w:line="360" w:lineRule="auto"/>
        <w:jc w:val="left"/>
      </w:pPr>
      <w:r>
        <w:rPr>
          <w:rFonts w:hint="eastAsia" w:ascii="宋体" w:hAnsi="宋体"/>
          <w:sz w:val="24"/>
        </w:rPr>
        <w:t>（17）培训方案————————</w:t>
      </w:r>
    </w:p>
    <w:p>
      <w:pPr>
        <w:snapToGrid w:val="0"/>
        <w:spacing w:line="360" w:lineRule="auto"/>
        <w:jc w:val="left"/>
        <w:rPr>
          <w:rFonts w:ascii="宋体" w:hAnsi="宋体"/>
          <w:sz w:val="24"/>
        </w:rPr>
      </w:pPr>
      <w:r>
        <w:rPr>
          <w:rFonts w:hint="eastAsia" w:ascii="宋体" w:hAnsi="宋体"/>
          <w:sz w:val="24"/>
        </w:rPr>
        <w:t>（18）信用承诺书————————</w:t>
      </w:r>
    </w:p>
    <w:p>
      <w:pPr>
        <w:snapToGrid w:val="0"/>
        <w:spacing w:line="360" w:lineRule="auto"/>
        <w:rPr>
          <w:rFonts w:ascii="宋体" w:hAnsi="宋体"/>
          <w:sz w:val="24"/>
        </w:rPr>
      </w:pPr>
      <w:r>
        <w:rPr>
          <w:rFonts w:hint="eastAsia" w:ascii="宋体" w:hAnsi="宋体"/>
          <w:sz w:val="24"/>
        </w:rPr>
        <w:t>（19）技术、商务、资信及其他分自评表————————</w:t>
      </w:r>
    </w:p>
    <w:p>
      <w:pPr>
        <w:snapToGrid w:val="0"/>
        <w:spacing w:line="360" w:lineRule="auto"/>
        <w:jc w:val="left"/>
      </w:pPr>
    </w:p>
    <w:p>
      <w:pPr>
        <w:pStyle w:val="5"/>
      </w:pPr>
    </w:p>
    <w:p/>
    <w:p/>
    <w:p>
      <w:pPr>
        <w:snapToGrid w:val="0"/>
        <w:spacing w:line="360" w:lineRule="auto"/>
        <w:jc w:val="left"/>
        <w:rPr>
          <w:rFonts w:ascii="宋体" w:hAnsi="宋体"/>
          <w:sz w:val="24"/>
        </w:rPr>
      </w:pPr>
      <w:r>
        <w:rPr>
          <w:rFonts w:hint="eastAsia" w:ascii="宋体" w:hAnsi="宋体"/>
          <w:sz w:val="24"/>
        </w:rPr>
        <w:t>13.整体方案（格式自拟）</w:t>
      </w:r>
    </w:p>
    <w:p/>
    <w:p/>
    <w:p>
      <w:pPr>
        <w:pStyle w:val="5"/>
      </w:pPr>
    </w:p>
    <w:p/>
    <w:p/>
    <w:p>
      <w:pPr>
        <w:snapToGrid w:val="0"/>
        <w:spacing w:line="360" w:lineRule="auto"/>
        <w:jc w:val="left"/>
        <w:rPr>
          <w:rFonts w:ascii="宋体" w:hAnsi="宋体"/>
          <w:sz w:val="24"/>
        </w:rPr>
      </w:pPr>
      <w:r>
        <w:rPr>
          <w:rFonts w:hint="eastAsia" w:ascii="宋体" w:hAnsi="宋体"/>
          <w:sz w:val="24"/>
        </w:rPr>
        <w:t>14.技术方案（格式自拟）</w:t>
      </w:r>
    </w:p>
    <w:p>
      <w:pPr>
        <w:pStyle w:val="5"/>
      </w:pPr>
    </w:p>
    <w:p>
      <w:pPr>
        <w:pStyle w:val="4"/>
        <w:ind w:firstLine="240"/>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15.应急预案（格式自拟）</w:t>
      </w:r>
    </w:p>
    <w:p>
      <w:pPr>
        <w:pStyle w:val="5"/>
      </w:pPr>
    </w:p>
    <w:p>
      <w:pPr>
        <w:pStyle w:val="4"/>
        <w:ind w:firstLine="240"/>
      </w:pPr>
    </w:p>
    <w:p>
      <w:pPr>
        <w:pStyle w:val="5"/>
      </w:pPr>
    </w:p>
    <w:p>
      <w:pPr>
        <w:snapToGrid w:val="0"/>
        <w:spacing w:line="360" w:lineRule="auto"/>
        <w:jc w:val="left"/>
        <w:rPr>
          <w:rFonts w:ascii="宋体" w:hAnsi="宋体"/>
          <w:sz w:val="24"/>
          <w:szCs w:val="20"/>
        </w:rPr>
      </w:pPr>
      <w:r>
        <w:rPr>
          <w:rFonts w:hint="eastAsia" w:ascii="宋体" w:hAnsi="宋体"/>
          <w:sz w:val="24"/>
        </w:rPr>
        <w:t>16.关键点、难点解决方案（格式自拟）</w:t>
      </w:r>
    </w:p>
    <w:p>
      <w:pPr>
        <w:pStyle w:val="5"/>
      </w:pPr>
    </w:p>
    <w:p/>
    <w:p>
      <w:pPr>
        <w:pStyle w:val="5"/>
      </w:pPr>
    </w:p>
    <w:p>
      <w:pPr>
        <w:pStyle w:val="5"/>
      </w:pPr>
    </w:p>
    <w:p/>
    <w:p>
      <w:pPr>
        <w:pStyle w:val="34"/>
        <w:rPr>
          <w:rFonts w:hAnsi="宋体" w:cs="Times New Roman"/>
          <w:color w:val="auto"/>
          <w:kern w:val="2"/>
        </w:rPr>
      </w:pPr>
      <w:r>
        <w:rPr>
          <w:rFonts w:hint="eastAsia" w:hAnsi="宋体" w:cs="Times New Roman"/>
          <w:color w:val="auto"/>
          <w:kern w:val="2"/>
        </w:rPr>
        <w:t>17.与采购人配合方案（格式自拟）</w:t>
      </w:r>
    </w:p>
    <w:p>
      <w:pPr>
        <w:pStyle w:val="35"/>
      </w:pPr>
    </w:p>
    <w:p/>
    <w:p/>
    <w:p>
      <w:pPr>
        <w:pStyle w:val="5"/>
      </w:pPr>
    </w:p>
    <w:p/>
    <w:p>
      <w:pPr>
        <w:pStyle w:val="5"/>
      </w:pPr>
    </w:p>
    <w:p>
      <w:pPr>
        <w:pStyle w:val="4"/>
        <w:ind w:firstLine="240"/>
      </w:pPr>
    </w:p>
    <w:p>
      <w:pPr>
        <w:spacing w:line="360" w:lineRule="auto"/>
        <w:jc w:val="left"/>
        <w:rPr>
          <w:rFonts w:ascii="宋体" w:hAnsi="宋体"/>
          <w:sz w:val="24"/>
        </w:rPr>
      </w:pPr>
      <w:r>
        <w:rPr>
          <w:rFonts w:hint="eastAsia" w:ascii="宋体" w:hAnsi="宋体"/>
          <w:sz w:val="24"/>
        </w:rPr>
        <w:t>18.餐厨废弃物处理管理方案（格式自拟）</w:t>
      </w:r>
    </w:p>
    <w:p>
      <w:pPr>
        <w:pStyle w:val="5"/>
      </w:pPr>
    </w:p>
    <w:p>
      <w:pPr>
        <w:pStyle w:val="5"/>
      </w:pPr>
    </w:p>
    <w:p/>
    <w:p/>
    <w:p>
      <w:pPr>
        <w:pStyle w:val="5"/>
      </w:pPr>
    </w:p>
    <w:p/>
    <w:p>
      <w:pPr>
        <w:snapToGrid w:val="0"/>
        <w:spacing w:line="360" w:lineRule="auto"/>
        <w:jc w:val="left"/>
        <w:rPr>
          <w:rFonts w:ascii="宋体" w:hAnsi="宋体"/>
          <w:sz w:val="24"/>
          <w:szCs w:val="20"/>
        </w:rPr>
      </w:pPr>
      <w:r>
        <w:rPr>
          <w:rFonts w:hint="eastAsia" w:ascii="宋体" w:hAnsi="宋体"/>
          <w:sz w:val="24"/>
          <w:szCs w:val="20"/>
        </w:rPr>
        <w:t>19.</w:t>
      </w:r>
      <w:r>
        <w:rPr>
          <w:rFonts w:hint="eastAsia" w:ascii="宋体" w:hAnsi="宋体"/>
          <w:sz w:val="24"/>
        </w:rPr>
        <w:t>项目实施人员一览表格式：</w:t>
      </w:r>
    </w:p>
    <w:p>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pPr>
        <w:snapToGrid w:val="0"/>
        <w:spacing w:line="360" w:lineRule="auto"/>
        <w:rPr>
          <w:rFonts w:ascii="宋体" w:hAnsi="宋体"/>
          <w:sz w:val="24"/>
          <w:szCs w:val="20"/>
        </w:rPr>
      </w:pPr>
      <w:r>
        <w:rPr>
          <w:rFonts w:hint="eastAsia" w:ascii="宋体" w:hAnsi="宋体"/>
        </w:rPr>
        <w:t>项目名称：</w:t>
      </w:r>
    </w:p>
    <w:tbl>
      <w:tblPr>
        <w:tblStyle w:val="2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bCs/>
                <w:sz w:val="24"/>
                <w:szCs w:val="20"/>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pStyle w:val="14"/>
              <w:snapToGrid w:val="0"/>
              <w:spacing w:line="360" w:lineRule="auto"/>
              <w:ind w:left="5250"/>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p>
      <w:pPr>
        <w:snapToGrid w:val="0"/>
        <w:spacing w:line="360" w:lineRule="auto"/>
        <w:jc w:val="left"/>
        <w:rPr>
          <w:rFonts w:ascii="宋体" w:hAnsi="宋体"/>
          <w:sz w:val="24"/>
        </w:rPr>
      </w:pPr>
    </w:p>
    <w:p>
      <w:pPr>
        <w:snapToGrid w:val="0"/>
        <w:spacing w:line="360" w:lineRule="auto"/>
        <w:jc w:val="left"/>
        <w:rPr>
          <w:rFonts w:ascii="宋体" w:hAnsi="宋体"/>
          <w:sz w:val="24"/>
          <w:szCs w:val="20"/>
        </w:rPr>
      </w:pPr>
      <w:r>
        <w:rPr>
          <w:rFonts w:hint="eastAsia" w:ascii="宋体" w:hAnsi="宋体"/>
          <w:sz w:val="24"/>
        </w:rPr>
        <w:t>20.投标人对本项目的合理化建议和改进措施（格式自拟）</w:t>
      </w:r>
    </w:p>
    <w:p>
      <w:pPr>
        <w:snapToGrid w:val="0"/>
        <w:spacing w:line="360" w:lineRule="auto"/>
        <w:jc w:val="left"/>
        <w:rPr>
          <w:rFonts w:ascii="宋体" w:hAnsi="宋体"/>
          <w:sz w:val="24"/>
          <w:szCs w:val="20"/>
        </w:rPr>
      </w:pPr>
    </w:p>
    <w:p>
      <w:pPr>
        <w:pStyle w:val="5"/>
      </w:pPr>
    </w:p>
    <w:p/>
    <w:p/>
    <w:p>
      <w:pPr>
        <w:snapToGrid w:val="0"/>
        <w:spacing w:line="360" w:lineRule="auto"/>
        <w:jc w:val="left"/>
        <w:rPr>
          <w:rFonts w:ascii="宋体" w:hAnsi="宋体"/>
          <w:sz w:val="24"/>
        </w:rPr>
      </w:pPr>
      <w:r>
        <w:rPr>
          <w:rFonts w:hint="eastAsia" w:ascii="宋体" w:hAnsi="宋体"/>
          <w:sz w:val="24"/>
        </w:rPr>
        <w:t>21.投标人需要说明的其他文件和说明（格式自拟）</w:t>
      </w:r>
    </w:p>
    <w:p>
      <w:pPr>
        <w:pStyle w:val="5"/>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22.投标人的类似成功案例的业绩证明文件：</w:t>
      </w:r>
    </w:p>
    <w:p>
      <w:pPr>
        <w:pStyle w:val="19"/>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w:t>
            </w:r>
          </w:p>
          <w:p>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p>
            <w:pPr>
              <w:snapToGrid w:val="0"/>
              <w:spacing w:line="360" w:lineRule="auto"/>
              <w:jc w:val="center"/>
              <w:rPr>
                <w:rFonts w:ascii="宋体" w:hAnsi="宋体"/>
                <w:sz w:val="18"/>
                <w:szCs w:val="20"/>
              </w:rPr>
            </w:pPr>
            <w:r>
              <w:rPr>
                <w:rFonts w:hint="eastAsia" w:ascii="宋体" w:hAnsi="宋体"/>
                <w:sz w:val="18"/>
              </w:rPr>
              <w:t>金额</w:t>
            </w:r>
          </w:p>
          <w:p>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采购单位联系人及</w:t>
            </w:r>
          </w:p>
          <w:p>
            <w:pPr>
              <w:snapToGrid w:val="0"/>
              <w:spacing w:line="360" w:lineRule="auto"/>
              <w:jc w:val="center"/>
              <w:rPr>
                <w:rFonts w:ascii="宋体" w:hAnsi="宋体"/>
                <w:sz w:val="18"/>
                <w:szCs w:val="20"/>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1"/>
        <w:snapToGrid w:val="0"/>
        <w:spacing w:line="360" w:lineRule="auto"/>
        <w:rPr>
          <w:rFonts w:ascii="宋体" w:hAnsi="宋体" w:eastAsia="宋体"/>
          <w:sz w:val="24"/>
        </w:rPr>
      </w:pPr>
    </w:p>
    <w:p>
      <w:pPr>
        <w:pStyle w:val="11"/>
        <w:snapToGrid w:val="0"/>
        <w:spacing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pPr>
        <w:snapToGrid w:val="0"/>
        <w:spacing w:line="360" w:lineRule="auto"/>
        <w:ind w:firstLine="480" w:firstLineChars="200"/>
        <w:jc w:val="left"/>
        <w:rPr>
          <w:rFonts w:ascii="宋体" w:hAnsi="宋体"/>
          <w:sz w:val="24"/>
        </w:rPr>
      </w:pPr>
      <w:r>
        <w:rPr>
          <w:rFonts w:hint="eastAsia" w:ascii="宋体" w:hAnsi="宋体"/>
          <w:sz w:val="24"/>
        </w:rPr>
        <w:t>投标人公章：年月日</w:t>
      </w:r>
    </w:p>
    <w:p>
      <w:pPr>
        <w:snapToGrid w:val="0"/>
        <w:spacing w:line="360" w:lineRule="auto"/>
        <w:ind w:firstLine="480" w:firstLineChars="200"/>
        <w:jc w:val="left"/>
        <w:rPr>
          <w:rFonts w:ascii="仿宋_GB2312" w:eastAsia="仿宋_GB2312"/>
          <w:sz w:val="24"/>
        </w:rPr>
      </w:pPr>
    </w:p>
    <w:p>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pPr>
        <w:snapToGrid w:val="0"/>
        <w:spacing w:line="360" w:lineRule="auto"/>
        <w:jc w:val="left"/>
        <w:rPr>
          <w:rFonts w:ascii="宋体" w:hAnsi="宋体"/>
          <w:sz w:val="24"/>
        </w:rPr>
      </w:pPr>
      <w:r>
        <w:rPr>
          <w:rFonts w:hint="eastAsia" w:ascii="宋体" w:hAnsi="宋体"/>
          <w:sz w:val="24"/>
        </w:rPr>
        <w:t>23.</w:t>
      </w:r>
      <w:r>
        <w:rPr>
          <w:rFonts w:ascii="宋体" w:hAnsi="宋体"/>
          <w:sz w:val="24"/>
        </w:rPr>
        <w:t>权威认证证书复印件</w:t>
      </w:r>
    </w:p>
    <w:p>
      <w:pPr>
        <w:pStyle w:val="5"/>
      </w:pPr>
    </w:p>
    <w:p/>
    <w:p>
      <w:pPr>
        <w:pStyle w:val="5"/>
      </w:pPr>
    </w:p>
    <w:p/>
    <w:p>
      <w:pPr>
        <w:snapToGrid w:val="0"/>
        <w:spacing w:line="360" w:lineRule="auto"/>
        <w:jc w:val="left"/>
        <w:rPr>
          <w:rFonts w:ascii="宋体" w:hAnsi="宋体"/>
          <w:sz w:val="24"/>
        </w:rPr>
      </w:pPr>
      <w:r>
        <w:rPr>
          <w:rFonts w:hint="eastAsia" w:ascii="宋体" w:hAnsi="宋体"/>
          <w:sz w:val="24"/>
        </w:rPr>
        <w:t>24.企业和人员荣誉证书或文件</w:t>
      </w:r>
      <w:r>
        <w:rPr>
          <w:rFonts w:ascii="宋体" w:hAnsi="宋体"/>
          <w:sz w:val="24"/>
        </w:rPr>
        <w:t>复印件</w:t>
      </w:r>
    </w:p>
    <w:p>
      <w:pPr>
        <w:pStyle w:val="5"/>
      </w:pPr>
    </w:p>
    <w:p/>
    <w:p>
      <w:pPr>
        <w:pStyle w:val="5"/>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25. 企业综合实力证明材料</w:t>
      </w:r>
      <w:r>
        <w:rPr>
          <w:rFonts w:ascii="宋体" w:hAnsi="宋体"/>
          <w:sz w:val="24"/>
        </w:rPr>
        <w:t>复印件</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26.其他特殊资质证书</w:t>
      </w:r>
      <w:r>
        <w:rPr>
          <w:rFonts w:ascii="宋体" w:hAnsi="宋体"/>
          <w:sz w:val="24"/>
        </w:rPr>
        <w:t>（如</w:t>
      </w:r>
      <w:r>
        <w:rPr>
          <w:rFonts w:hint="eastAsia" w:ascii="宋体" w:hAnsi="宋体"/>
          <w:sz w:val="24"/>
        </w:rPr>
        <w:t>本地化服务能力等）</w:t>
      </w:r>
    </w:p>
    <w:p>
      <w:pPr>
        <w:snapToGrid w:val="0"/>
        <w:spacing w:line="360" w:lineRule="auto"/>
        <w:jc w:val="left"/>
        <w:rPr>
          <w:rFonts w:ascii="宋体" w:hAnsi="宋体"/>
          <w:i/>
          <w:sz w:val="24"/>
        </w:rPr>
      </w:pPr>
      <w:r>
        <w:rPr>
          <w:rFonts w:hint="eastAsia" w:ascii="宋体" w:hAnsi="宋体"/>
          <w:sz w:val="24"/>
        </w:rPr>
        <w:t>距采购人最近或者能为本项目提供最优服务的网点情况表</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投标文件</w:t>
            </w:r>
          </w:p>
          <w:p>
            <w:pPr>
              <w:snapToGrid w:val="0"/>
              <w:spacing w:line="360" w:lineRule="auto"/>
              <w:jc w:val="center"/>
              <w:rPr>
                <w:rFonts w:ascii="宋体" w:hAnsi="宋体"/>
                <w:sz w:val="24"/>
                <w:szCs w:val="20"/>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sz w:val="24"/>
                <w:szCs w:val="20"/>
              </w:rPr>
            </w:pPr>
          </w:p>
        </w:tc>
      </w:tr>
    </w:tbl>
    <w:p>
      <w:pPr>
        <w:pStyle w:val="11"/>
        <w:snapToGrid w:val="0"/>
        <w:spacing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pPr>
        <w:pStyle w:val="5"/>
        <w:snapToGrid w:val="0"/>
        <w:spacing w:after="0" w:line="360" w:lineRule="auto"/>
        <w:rPr>
          <w:rFonts w:ascii="宋体" w:hAnsi="宋体"/>
          <w:sz w:val="24"/>
        </w:rPr>
      </w:pPr>
      <w:r>
        <w:rPr>
          <w:rFonts w:hint="eastAsia" w:ascii="宋体" w:hAnsi="宋体"/>
          <w:sz w:val="24"/>
        </w:rPr>
        <w:t>投标人公章：　 年月　 日</w:t>
      </w:r>
    </w:p>
    <w:p/>
    <w:p>
      <w:pPr>
        <w:pStyle w:val="5"/>
      </w:pPr>
    </w:p>
    <w:p/>
    <w:p>
      <w:pPr>
        <w:pStyle w:val="5"/>
      </w:pPr>
    </w:p>
    <w:p/>
    <w:p>
      <w:pPr>
        <w:snapToGrid w:val="0"/>
        <w:spacing w:line="360" w:lineRule="auto"/>
        <w:jc w:val="left"/>
        <w:rPr>
          <w:rFonts w:ascii="宋体" w:hAnsi="宋体"/>
          <w:sz w:val="24"/>
        </w:rPr>
      </w:pPr>
      <w:r>
        <w:rPr>
          <w:rFonts w:hint="eastAsia" w:ascii="宋体" w:hAnsi="宋体"/>
          <w:sz w:val="24"/>
        </w:rPr>
        <w:t>27.投标人认为可以证明其能力或业绩的其他材料（格式自拟）</w:t>
      </w:r>
    </w:p>
    <w:p>
      <w:pPr>
        <w:pStyle w:val="5"/>
      </w:pPr>
    </w:p>
    <w:p/>
    <w:p>
      <w:pPr>
        <w:pStyle w:val="5"/>
      </w:pPr>
    </w:p>
    <w:p>
      <w:pPr>
        <w:pStyle w:val="5"/>
      </w:pPr>
    </w:p>
    <w:p>
      <w:pPr>
        <w:snapToGrid w:val="0"/>
        <w:spacing w:line="360" w:lineRule="auto"/>
        <w:jc w:val="left"/>
        <w:rPr>
          <w:rFonts w:ascii="宋体" w:hAnsi="宋体"/>
          <w:sz w:val="24"/>
          <w:szCs w:val="20"/>
        </w:rPr>
      </w:pPr>
      <w:r>
        <w:rPr>
          <w:rFonts w:hint="eastAsia" w:ascii="宋体" w:hAnsi="宋体"/>
          <w:sz w:val="24"/>
        </w:rPr>
        <w:t>28.商务响应表格式：</w:t>
      </w:r>
    </w:p>
    <w:p>
      <w:pPr>
        <w:snapToGrid w:val="0"/>
        <w:spacing w:line="360" w:lineRule="auto"/>
        <w:jc w:val="left"/>
        <w:rPr>
          <w:rFonts w:ascii="宋体" w:hAnsi="宋体"/>
          <w:sz w:val="24"/>
          <w:szCs w:val="20"/>
          <w:u w:val="single"/>
        </w:rPr>
      </w:pPr>
      <w:r>
        <w:rPr>
          <w:rFonts w:hint="eastAsia" w:ascii="宋体" w:hAnsi="宋体"/>
          <w:sz w:val="24"/>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6379"/>
        <w:gridCol w:w="992"/>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项目</w:t>
            </w:r>
          </w:p>
        </w:tc>
        <w:tc>
          <w:tcPr>
            <w:tcW w:w="637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招标文件要求</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服务时间</w:t>
            </w: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4"/>
              </w:rPr>
            </w:pPr>
            <w:r>
              <w:rPr>
                <w:rFonts w:hint="eastAsia" w:ascii="宋体" w:hAnsi="宋体" w:cs="宋体"/>
                <w:sz w:val="24"/>
              </w:rPr>
              <w:t>▲服务时间：</w:t>
            </w:r>
            <w:r>
              <w:rPr>
                <w:rFonts w:hint="eastAsia" w:asciiTheme="majorEastAsia" w:hAnsiTheme="majorEastAsia" w:eastAsiaTheme="majorEastAsia"/>
                <w:sz w:val="24"/>
              </w:rPr>
              <w:t>合同签订之日起2年</w:t>
            </w:r>
          </w:p>
          <w:p>
            <w:pPr>
              <w:rPr>
                <w:rFonts w:ascii="宋体" w:hAnsi="宋体" w:cs="宋体"/>
                <w:sz w:val="24"/>
              </w:rPr>
            </w:pPr>
            <w:r>
              <w:rPr>
                <w:rFonts w:hint="eastAsia" w:ascii="宋体" w:hAnsi="宋体" w:cs="宋体"/>
                <w:sz w:val="24"/>
              </w:rPr>
              <w:t>地点：采购人指定地点</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付款方式</w:t>
            </w:r>
          </w:p>
        </w:tc>
        <w:tc>
          <w:tcPr>
            <w:tcW w:w="6379"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cs="宋体"/>
                <w:sz w:val="24"/>
              </w:rPr>
            </w:pPr>
            <w:r>
              <w:rPr>
                <w:rFonts w:hint="eastAsia" w:ascii="宋体" w:hAnsi="宋体" w:cs="宋体"/>
                <w:sz w:val="24"/>
              </w:rPr>
              <w:t>▲根据《保障中小企业款项支付条例》</w:t>
            </w:r>
            <w:r>
              <w:rPr>
                <w:rFonts w:ascii="宋体" w:hAnsi="宋体" w:cs="宋体"/>
                <w:sz w:val="24"/>
              </w:rPr>
              <w:t>、</w:t>
            </w:r>
            <w:r>
              <w:rPr>
                <w:rFonts w:hint="eastAsia" w:ascii="宋体" w:hAnsi="宋体" w:cs="宋体"/>
                <w:sz w:val="24"/>
              </w:rPr>
              <w:t>省财政厅《关于坚决打赢疫情防控阻击战进一步做好政府采购资金支持企业发展工作的通知》（浙财采监【2020】3号）要求，制定如下付款方式：</w:t>
            </w:r>
          </w:p>
          <w:p>
            <w:pPr>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1、预付款：</w:t>
            </w:r>
            <w:r>
              <w:rPr>
                <w:rFonts w:hint="eastAsia" w:asciiTheme="majorEastAsia" w:hAnsiTheme="majorEastAsia" w:eastAsiaTheme="majorEastAsia"/>
                <w:sz w:val="24"/>
              </w:rPr>
              <w:t>合同生效及具备实施条件后</w:t>
            </w:r>
            <w:r>
              <w:rPr>
                <w:rFonts w:hint="eastAsia" w:asciiTheme="majorEastAsia" w:hAnsiTheme="majorEastAsia" w:eastAsiaTheme="majorEastAsia"/>
                <w:sz w:val="24"/>
                <w:highlight w:val="yellow"/>
              </w:rPr>
              <w:t>7</w:t>
            </w:r>
            <w:r>
              <w:rPr>
                <w:rFonts w:hint="eastAsia" w:asciiTheme="majorEastAsia" w:hAnsiTheme="majorEastAsia" w:eastAsiaTheme="majorEastAsia"/>
                <w:sz w:val="24"/>
              </w:rPr>
              <w:t>日内支付当年服务费用的20%；</w:t>
            </w:r>
          </w:p>
          <w:p>
            <w:pPr>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2、剩余资金支付：</w:t>
            </w:r>
            <w:r>
              <w:rPr>
                <w:rFonts w:hint="eastAsia" w:asciiTheme="majorEastAsia" w:hAnsiTheme="majorEastAsia" w:eastAsiaTheme="majorEastAsia"/>
                <w:sz w:val="24"/>
              </w:rPr>
              <w:t>餐饮管理服务费按季度结算支付，中标人于每季度第三个月月未根据双方确认的餐饮管理服务费的结算金额开出该季度餐饮管理服务费的发票，采购人在收到正规税务发票后15日内付款。</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结算金额按以下公式计算：</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结算金额=年餐饮管理服务费的季平均金额</w:t>
            </w:r>
            <w:r>
              <w:rPr>
                <w:rFonts w:hint="eastAsia" w:ascii="宋体" w:hAnsi="宋体" w:cs="宋体"/>
                <w:sz w:val="24"/>
              </w:rPr>
              <w:t>＋（－）</w:t>
            </w:r>
            <w:r>
              <w:rPr>
                <w:rFonts w:hint="eastAsia" w:asciiTheme="majorEastAsia" w:hAnsiTheme="majorEastAsia" w:eastAsiaTheme="majorEastAsia"/>
                <w:sz w:val="24"/>
              </w:rPr>
              <w:t>季度考核奖罚金额。</w:t>
            </w:r>
          </w:p>
          <w:p>
            <w:pPr>
              <w:spacing w:line="360" w:lineRule="auto"/>
              <w:rPr>
                <w:rFonts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履约保证金</w:t>
            </w:r>
          </w:p>
        </w:tc>
        <w:tc>
          <w:tcPr>
            <w:tcW w:w="6379" w:type="dxa"/>
            <w:tcBorders>
              <w:top w:val="single" w:color="auto" w:sz="4" w:space="0"/>
              <w:left w:val="single" w:color="auto" w:sz="4" w:space="0"/>
              <w:bottom w:val="single" w:color="auto" w:sz="4" w:space="0"/>
              <w:right w:val="single" w:color="auto" w:sz="4" w:space="0"/>
            </w:tcBorders>
          </w:tcPr>
          <w:p>
            <w:pPr>
              <w:pStyle w:val="32"/>
              <w:numPr>
                <w:ilvl w:val="0"/>
                <w:numId w:val="0"/>
              </w:numPr>
              <w:tabs>
                <w:tab w:val="left" w:pos="900"/>
                <w:tab w:val="left" w:pos="980"/>
                <w:tab w:val="left" w:pos="1710"/>
              </w:tabs>
              <w:spacing w:before="120" w:after="120" w:line="460" w:lineRule="exact"/>
              <w:rPr>
                <w:rFonts w:ascii="宋体" w:hAnsi="宋体" w:cs="宋体"/>
                <w:sz w:val="24"/>
              </w:rPr>
            </w:pPr>
            <w:r>
              <w:rPr>
                <w:rFonts w:hint="eastAsia" w:ascii="宋体" w:hAnsi="宋体" w:cs="宋体"/>
                <w:sz w:val="24"/>
              </w:rPr>
              <w:t>▲</w:t>
            </w:r>
            <w:r>
              <w:rPr>
                <w:rFonts w:ascii="宋体" w:hAnsi="宋体" w:cs="宋体"/>
                <w:sz w:val="24"/>
              </w:rPr>
              <w:t>合同价的1%</w:t>
            </w:r>
            <w:r>
              <w:rPr>
                <w:rFonts w:hint="eastAsia" w:ascii="宋体" w:hAnsi="宋体" w:cs="宋体"/>
                <w:sz w:val="24"/>
              </w:rPr>
              <w:t>，履约保证金形式为：现金或银行、保险公司出具的保函；合同期限结束后由采购人无息退还。</w:t>
            </w: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 w:val="24"/>
                <w:szCs w:val="20"/>
              </w:rPr>
            </w:pPr>
          </w:p>
        </w:tc>
      </w:tr>
    </w:tbl>
    <w:p/>
    <w:p>
      <w:pPr>
        <w:pStyle w:val="5"/>
      </w:pPr>
    </w:p>
    <w:p/>
    <w:p>
      <w:pPr>
        <w:pStyle w:val="5"/>
      </w:pPr>
    </w:p>
    <w:p>
      <w:pPr>
        <w:pStyle w:val="5"/>
      </w:pPr>
    </w:p>
    <w:p>
      <w:pPr>
        <w:snapToGrid w:val="0"/>
        <w:spacing w:line="360" w:lineRule="auto"/>
        <w:jc w:val="left"/>
        <w:rPr>
          <w:rFonts w:ascii="宋体" w:hAnsi="宋体"/>
          <w:sz w:val="24"/>
        </w:rPr>
      </w:pPr>
      <w:r>
        <w:rPr>
          <w:rFonts w:hint="eastAsia" w:ascii="宋体" w:hAnsi="宋体"/>
          <w:sz w:val="24"/>
        </w:rPr>
        <w:t>29.培训方案（格式自拟）</w:t>
      </w:r>
    </w:p>
    <w:p>
      <w:pPr>
        <w:pStyle w:val="5"/>
        <w:rPr>
          <w:rFonts w:ascii="宋体" w:hAnsi="宋体"/>
          <w:kern w:val="2"/>
          <w:sz w:val="24"/>
          <w:szCs w:val="24"/>
        </w:rPr>
      </w:pPr>
    </w:p>
    <w:p>
      <w:pPr>
        <w:rPr>
          <w:rFonts w:ascii="宋体" w:hAnsi="宋体"/>
          <w:sz w:val="24"/>
        </w:rPr>
      </w:pPr>
    </w:p>
    <w:p>
      <w:pPr>
        <w:pStyle w:val="5"/>
      </w:pPr>
    </w:p>
    <w:p/>
    <w:p>
      <w:pPr>
        <w:pStyle w:val="5"/>
      </w:pPr>
    </w:p>
    <w:p/>
    <w:p>
      <w:pPr>
        <w:pStyle w:val="5"/>
      </w:pPr>
    </w:p>
    <w:p/>
    <w:p/>
    <w:p>
      <w:pPr>
        <w:snapToGrid w:val="0"/>
        <w:spacing w:line="360" w:lineRule="auto"/>
        <w:jc w:val="left"/>
        <w:rPr>
          <w:rFonts w:ascii="宋体" w:hAnsi="宋体"/>
          <w:sz w:val="24"/>
        </w:rPr>
      </w:pPr>
      <w:r>
        <w:rPr>
          <w:rFonts w:hint="eastAsia" w:ascii="宋体" w:hAnsi="宋体"/>
          <w:sz w:val="24"/>
        </w:rPr>
        <w:t>30.信用承诺书</w:t>
      </w:r>
    </w:p>
    <w:p>
      <w:pPr>
        <w:tabs>
          <w:tab w:val="left" w:pos="1650"/>
        </w:tabs>
        <w:spacing w:line="360" w:lineRule="auto"/>
        <w:jc w:val="center"/>
        <w:rPr>
          <w:rFonts w:ascii="宋体" w:hAnsi="宋体"/>
          <w:sz w:val="44"/>
          <w:szCs w:val="44"/>
        </w:rPr>
      </w:pPr>
      <w:r>
        <w:rPr>
          <w:rFonts w:hint="eastAsia" w:ascii="宋体" w:hAnsi="宋体"/>
          <w:sz w:val="44"/>
          <w:szCs w:val="44"/>
        </w:rPr>
        <w:t>信用承诺书</w:t>
      </w:r>
    </w:p>
    <w:p>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37"/>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pPr>
        <w:pStyle w:val="37"/>
        <w:spacing w:before="0" w:beforeAutospacing="0" w:after="0" w:afterAutospacing="0" w:line="360" w:lineRule="auto"/>
        <w:ind w:firstLine="600" w:firstLineChars="250"/>
        <w:rPr>
          <w:rFonts w:cs="Times New Roman"/>
          <w:kern w:val="2"/>
        </w:rPr>
      </w:pPr>
    </w:p>
    <w:p>
      <w:pPr>
        <w:pStyle w:val="37"/>
        <w:spacing w:before="0" w:beforeAutospacing="0" w:after="0" w:afterAutospacing="0" w:line="360" w:lineRule="auto"/>
        <w:ind w:firstLine="565" w:firstLineChars="250"/>
        <w:rPr>
          <w:rFonts w:cs="Times New Roman"/>
          <w:spacing w:val="-7"/>
        </w:rPr>
      </w:pPr>
    </w:p>
    <w:p>
      <w:pPr>
        <w:pStyle w:val="37"/>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2023年</w:t>
      </w:r>
      <w:r>
        <w:rPr>
          <w:rFonts w:hint="eastAsia" w:ascii="宋体" w:hAnsi="宋体"/>
          <w:sz w:val="24"/>
        </w:rPr>
        <w:t xml:space="preserve"> 月 日</w:t>
      </w:r>
    </w:p>
    <w:p>
      <w:pPr>
        <w:pStyle w:val="5"/>
      </w:pPr>
    </w:p>
    <w:p>
      <w:pPr>
        <w:pStyle w:val="13"/>
      </w:pPr>
    </w:p>
    <w:p/>
    <w:p>
      <w:pPr>
        <w:pStyle w:val="5"/>
      </w:pPr>
    </w:p>
    <w:p/>
    <w:p>
      <w:pPr>
        <w:pStyle w:val="5"/>
      </w:pPr>
    </w:p>
    <w:p/>
    <w:p>
      <w:pPr>
        <w:pStyle w:val="5"/>
      </w:pPr>
    </w:p>
    <w:p/>
    <w:p>
      <w:pPr>
        <w:pStyle w:val="5"/>
      </w:pPr>
    </w:p>
    <w:p/>
    <w:p/>
    <w:p>
      <w:pPr>
        <w:pStyle w:val="5"/>
      </w:pPr>
    </w:p>
    <w:p/>
    <w:p>
      <w:pPr>
        <w:pStyle w:val="5"/>
      </w:pPr>
    </w:p>
    <w:p/>
    <w:p>
      <w:pPr>
        <w:snapToGrid w:val="0"/>
        <w:spacing w:line="360" w:lineRule="auto"/>
        <w:rPr>
          <w:rFonts w:ascii="宋体" w:hAnsi="宋体"/>
          <w:sz w:val="24"/>
        </w:rPr>
      </w:pPr>
      <w:r>
        <w:rPr>
          <w:rFonts w:hint="eastAsia" w:ascii="宋体" w:hAnsi="宋体"/>
          <w:bCs/>
          <w:sz w:val="24"/>
        </w:rPr>
        <w:t>31.</w:t>
      </w:r>
      <w:r>
        <w:rPr>
          <w:rFonts w:hint="eastAsia" w:ascii="宋体" w:hAnsi="宋体"/>
          <w:sz w:val="24"/>
        </w:rPr>
        <w:t xml:space="preserve">技术、商务、资信及其他分自评表  </w:t>
      </w:r>
    </w:p>
    <w:p>
      <w:pPr>
        <w:pStyle w:val="3"/>
        <w:spacing w:line="360" w:lineRule="auto"/>
        <w:ind w:firstLine="311" w:firstLineChars="129"/>
        <w:rPr>
          <w:rFonts w:hAnsi="宋体"/>
          <w:b/>
          <w:sz w:val="24"/>
        </w:rPr>
      </w:pPr>
      <w:r>
        <w:rPr>
          <w:rFonts w:hint="eastAsia" w:hAnsi="宋体"/>
          <w:b/>
          <w:sz w:val="24"/>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pPr>
              <w:spacing w:line="360" w:lineRule="auto"/>
              <w:jc w:val="center"/>
              <w:rPr>
                <w:rFonts w:ascii="宋体" w:hAnsi="宋体"/>
                <w:sz w:val="24"/>
              </w:rPr>
            </w:pPr>
            <w:r>
              <w:rPr>
                <w:rFonts w:hint="eastAsia" w:ascii="宋体" w:hAnsi="宋体"/>
                <w:sz w:val="24"/>
              </w:rPr>
              <w:t>评分项目</w:t>
            </w:r>
          </w:p>
        </w:tc>
        <w:tc>
          <w:tcPr>
            <w:tcW w:w="2268" w:type="dxa"/>
            <w:vAlign w:val="center"/>
          </w:tcPr>
          <w:p>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pPr>
              <w:snapToGrid w:val="0"/>
              <w:spacing w:line="360" w:lineRule="auto"/>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pPr>
              <w:spacing w:line="360" w:lineRule="auto"/>
              <w:jc w:val="center"/>
              <w:rPr>
                <w:rFonts w:ascii="宋体" w:hAnsi="宋体"/>
                <w:sz w:val="24"/>
              </w:rPr>
            </w:pPr>
            <w:r>
              <w:rPr>
                <w:rFonts w:hint="eastAsia" w:ascii="宋体" w:hAnsi="宋体"/>
                <w:sz w:val="24"/>
              </w:rPr>
              <w:t>技</w:t>
            </w:r>
          </w:p>
          <w:p>
            <w:pPr>
              <w:spacing w:line="360" w:lineRule="auto"/>
              <w:jc w:val="center"/>
              <w:rPr>
                <w:rFonts w:ascii="宋体" w:hAnsi="宋体"/>
                <w:sz w:val="24"/>
              </w:rPr>
            </w:pPr>
            <w:r>
              <w:rPr>
                <w:rFonts w:hint="eastAsia" w:ascii="宋体" w:hAnsi="宋体"/>
                <w:sz w:val="24"/>
              </w:rPr>
              <w:t>术</w:t>
            </w:r>
          </w:p>
          <w:p>
            <w:pPr>
              <w:spacing w:line="360" w:lineRule="auto"/>
              <w:jc w:val="center"/>
              <w:rPr>
                <w:rFonts w:ascii="宋体" w:hAnsi="宋体"/>
                <w:sz w:val="24"/>
              </w:rPr>
            </w:pPr>
            <w:r>
              <w:rPr>
                <w:rFonts w:hint="eastAsia" w:ascii="宋体" w:hAnsi="宋体"/>
                <w:sz w:val="24"/>
              </w:rPr>
              <w:t>分</w:t>
            </w:r>
          </w:p>
          <w:p>
            <w:pPr>
              <w:spacing w:line="360" w:lineRule="auto"/>
              <w:jc w:val="center"/>
              <w:rPr>
                <w:rFonts w:ascii="宋体" w:hAnsi="宋体"/>
                <w:sz w:val="24"/>
              </w:rPr>
            </w:pPr>
            <w:r>
              <w:rPr>
                <w:rFonts w:hint="eastAsia" w:ascii="宋体" w:hAnsi="宋体"/>
                <w:sz w:val="24"/>
              </w:rPr>
              <w:t>68</w:t>
            </w:r>
          </w:p>
          <w:p>
            <w:pPr>
              <w:spacing w:line="360" w:lineRule="auto"/>
              <w:jc w:val="center"/>
              <w:rPr>
                <w:rFonts w:ascii="宋体" w:hAnsi="宋体"/>
                <w:sz w:val="24"/>
              </w:rPr>
            </w:pPr>
            <w:r>
              <w:rPr>
                <w:rFonts w:hint="eastAsia" w:ascii="宋体" w:hAnsi="宋体"/>
                <w:sz w:val="24"/>
              </w:rPr>
              <w:t>分</w:t>
            </w: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pPr>
              <w:spacing w:line="360" w:lineRule="auto"/>
              <w:jc w:val="center"/>
              <w:rPr>
                <w:rFonts w:ascii="宋体" w:hAnsi="宋体"/>
                <w:sz w:val="24"/>
              </w:rPr>
            </w:pPr>
            <w:r>
              <w:rPr>
                <w:rFonts w:hint="eastAsia" w:ascii="宋体" w:hAnsi="宋体"/>
                <w:sz w:val="24"/>
              </w:rPr>
              <w:t>商务、资信及其他</w:t>
            </w:r>
          </w:p>
          <w:p>
            <w:pPr>
              <w:spacing w:line="360" w:lineRule="auto"/>
              <w:jc w:val="center"/>
              <w:rPr>
                <w:rFonts w:ascii="宋体" w:hAnsi="宋体"/>
                <w:sz w:val="24"/>
              </w:rPr>
            </w:pPr>
            <w:r>
              <w:rPr>
                <w:rFonts w:hint="eastAsia" w:ascii="宋体" w:hAnsi="宋体"/>
                <w:sz w:val="24"/>
              </w:rPr>
              <w:t>分22分</w:t>
            </w: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pPr>
              <w:spacing w:line="360" w:lineRule="auto"/>
              <w:jc w:val="center"/>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pPr>
              <w:spacing w:line="360" w:lineRule="auto"/>
              <w:rPr>
                <w:rFonts w:ascii="宋体" w:hAnsi="宋体"/>
                <w:sz w:val="24"/>
              </w:rPr>
            </w:pPr>
          </w:p>
        </w:tc>
        <w:tc>
          <w:tcPr>
            <w:tcW w:w="3533" w:type="dxa"/>
          </w:tcPr>
          <w:p>
            <w:pPr>
              <w:spacing w:line="360" w:lineRule="auto"/>
              <w:jc w:val="left"/>
              <w:rPr>
                <w:rFonts w:ascii="宋体" w:hAnsi="宋体"/>
                <w:sz w:val="24"/>
              </w:rPr>
            </w:pPr>
          </w:p>
        </w:tc>
        <w:tc>
          <w:tcPr>
            <w:tcW w:w="2268" w:type="dxa"/>
          </w:tcPr>
          <w:p>
            <w:pPr>
              <w:spacing w:line="360" w:lineRule="auto"/>
              <w:rPr>
                <w:rFonts w:ascii="宋体" w:hAnsi="宋体"/>
                <w:sz w:val="24"/>
              </w:rPr>
            </w:pPr>
          </w:p>
        </w:tc>
        <w:tc>
          <w:tcPr>
            <w:tcW w:w="1276" w:type="dxa"/>
          </w:tcPr>
          <w:p>
            <w:pPr>
              <w:spacing w:line="360" w:lineRule="auto"/>
              <w:rPr>
                <w:rFonts w:ascii="宋体" w:hAnsi="宋体"/>
                <w:sz w:val="24"/>
              </w:rPr>
            </w:pPr>
          </w:p>
        </w:tc>
        <w:tc>
          <w:tcPr>
            <w:tcW w:w="170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pPr>
              <w:spacing w:line="360" w:lineRule="auto"/>
              <w:jc w:val="center"/>
              <w:rPr>
                <w:rFonts w:ascii="宋体" w:hAnsi="宋体"/>
                <w:sz w:val="24"/>
              </w:rPr>
            </w:pPr>
            <w:r>
              <w:rPr>
                <w:rFonts w:hint="eastAsia" w:ascii="宋体" w:hAnsi="宋体"/>
                <w:sz w:val="24"/>
              </w:rPr>
              <w:t>总分</w:t>
            </w:r>
          </w:p>
        </w:tc>
        <w:tc>
          <w:tcPr>
            <w:tcW w:w="2268" w:type="dxa"/>
          </w:tcPr>
          <w:p>
            <w:pPr>
              <w:spacing w:line="360" w:lineRule="auto"/>
              <w:rPr>
                <w:rFonts w:ascii="宋体" w:hAnsi="宋体"/>
                <w:sz w:val="24"/>
              </w:rPr>
            </w:pPr>
          </w:p>
        </w:tc>
        <w:tc>
          <w:tcPr>
            <w:tcW w:w="2977" w:type="dxa"/>
            <w:gridSpan w:val="2"/>
          </w:tcPr>
          <w:p>
            <w:pPr>
              <w:spacing w:line="360" w:lineRule="auto"/>
              <w:rPr>
                <w:rFonts w:ascii="宋体" w:hAnsi="宋体"/>
                <w:sz w:val="24"/>
              </w:rPr>
            </w:pPr>
          </w:p>
        </w:tc>
      </w:tr>
    </w:tbl>
    <w:p>
      <w:pPr>
        <w:pStyle w:val="3"/>
        <w:spacing w:line="360" w:lineRule="auto"/>
        <w:ind w:firstLine="258" w:firstLineChars="129"/>
      </w:pPr>
    </w:p>
    <w:p>
      <w:pPr>
        <w:snapToGrid w:val="0"/>
        <w:spacing w:line="360" w:lineRule="auto"/>
        <w:jc w:val="center"/>
        <w:rPr>
          <w:rFonts w:ascii="宋体" w:hAnsi="宋体"/>
          <w:sz w:val="24"/>
        </w:rPr>
      </w:pPr>
    </w:p>
    <w:p>
      <w:pPr>
        <w:pStyle w:val="23"/>
        <w:spacing w:before="120"/>
      </w:pPr>
    </w:p>
    <w:p/>
    <w:p>
      <w:pPr>
        <w:pStyle w:val="23"/>
        <w:spacing w:before="120"/>
      </w:pPr>
    </w:p>
    <w:p/>
    <w:p>
      <w:pPr>
        <w:pStyle w:val="23"/>
        <w:spacing w:before="120"/>
      </w:pPr>
    </w:p>
    <w:p/>
    <w:p>
      <w:pPr>
        <w:pStyle w:val="23"/>
        <w:spacing w:before="120"/>
      </w:pPr>
    </w:p>
    <w:p>
      <w:pPr>
        <w:snapToGrid w:val="0"/>
        <w:spacing w:line="360" w:lineRule="auto"/>
        <w:jc w:val="center"/>
        <w:rPr>
          <w:rFonts w:ascii="宋体" w:hAnsi="宋体"/>
          <w:sz w:val="30"/>
          <w:szCs w:val="20"/>
        </w:rPr>
      </w:pPr>
      <w:r>
        <w:rPr>
          <w:rFonts w:hint="eastAsia" w:ascii="宋体" w:hAnsi="宋体"/>
          <w:sz w:val="24"/>
        </w:rPr>
        <w:t>三、报价文件格式</w:t>
      </w:r>
    </w:p>
    <w:p>
      <w:pPr>
        <w:snapToGrid w:val="0"/>
        <w:spacing w:line="360" w:lineRule="auto"/>
        <w:rPr>
          <w:rFonts w:ascii="宋体" w:hAnsi="宋体"/>
          <w:sz w:val="24"/>
          <w:szCs w:val="20"/>
        </w:rPr>
      </w:pPr>
      <w:r>
        <w:rPr>
          <w:rFonts w:hint="eastAsia" w:ascii="宋体" w:hAnsi="宋体"/>
          <w:sz w:val="24"/>
        </w:rPr>
        <w:t>32.报价文件封面格式：</w:t>
      </w:r>
    </w:p>
    <w:p>
      <w:pPr>
        <w:snapToGrid w:val="0"/>
        <w:spacing w:line="360" w:lineRule="auto"/>
        <w:rPr>
          <w:rFonts w:ascii="宋体" w:hAnsi="宋体"/>
          <w:sz w:val="24"/>
          <w:szCs w:val="20"/>
        </w:rPr>
      </w:pPr>
    </w:p>
    <w:p>
      <w:pPr>
        <w:snapToGrid w:val="0"/>
        <w:spacing w:line="360" w:lineRule="auto"/>
        <w:jc w:val="center"/>
        <w:rPr>
          <w:rFonts w:ascii="宋体" w:hAnsi="宋体"/>
          <w:bCs/>
          <w:sz w:val="24"/>
          <w:szCs w:val="20"/>
        </w:rPr>
      </w:pPr>
    </w:p>
    <w:p>
      <w:pPr>
        <w:snapToGrid w:val="0"/>
        <w:spacing w:line="360" w:lineRule="auto"/>
        <w:jc w:val="center"/>
        <w:rPr>
          <w:rFonts w:ascii="宋体" w:hAnsi="宋体"/>
          <w:bCs/>
          <w:sz w:val="24"/>
          <w:szCs w:val="20"/>
        </w:rPr>
      </w:pPr>
      <w:r>
        <w:rPr>
          <w:rFonts w:hint="eastAsia" w:ascii="宋体" w:hAnsi="宋体"/>
          <w:bCs/>
          <w:sz w:val="24"/>
        </w:rPr>
        <w:t>报价文件</w:t>
      </w:r>
    </w:p>
    <w:p>
      <w:pPr>
        <w:snapToGrid w:val="0"/>
        <w:spacing w:line="360" w:lineRule="auto"/>
        <w:rPr>
          <w:rFonts w:ascii="宋体" w:hAnsi="宋体"/>
          <w:bCs/>
          <w:sz w:val="24"/>
          <w:szCs w:val="20"/>
        </w:rPr>
      </w:pPr>
    </w:p>
    <w:p>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湖州市民服务中心机关二食堂餐饮管理服务项目</w:t>
      </w:r>
    </w:p>
    <w:p>
      <w:pPr>
        <w:snapToGrid w:val="0"/>
        <w:spacing w:line="360" w:lineRule="auto"/>
        <w:ind w:firstLine="1080" w:firstLineChars="450"/>
        <w:jc w:val="left"/>
        <w:rPr>
          <w:rFonts w:ascii="宋体" w:hAnsi="宋体"/>
          <w:sz w:val="24"/>
        </w:rPr>
      </w:pPr>
      <w:r>
        <w:rPr>
          <w:rFonts w:hint="eastAsia" w:ascii="宋体" w:hAnsi="宋体"/>
          <w:bCs/>
          <w:sz w:val="24"/>
        </w:rPr>
        <w:t>项目编号：HYHZ2023-228</w:t>
      </w:r>
    </w:p>
    <w:p>
      <w:pPr>
        <w:snapToGrid w:val="0"/>
        <w:spacing w:line="360" w:lineRule="auto"/>
        <w:ind w:firstLine="1080" w:firstLineChars="450"/>
        <w:rPr>
          <w:sz w:val="24"/>
        </w:rPr>
      </w:pPr>
      <w:r>
        <w:rPr>
          <w:rFonts w:hint="eastAsia"/>
          <w:sz w:val="24"/>
        </w:rPr>
        <w:t>投标人名称：</w:t>
      </w:r>
    </w:p>
    <w:p>
      <w:pPr>
        <w:pStyle w:val="10"/>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pPr>
        <w:pStyle w:val="10"/>
        <w:snapToGrid w:val="0"/>
        <w:spacing w:line="360" w:lineRule="auto"/>
        <w:ind w:firstLine="960" w:firstLineChars="400"/>
        <w:rPr>
          <w:rFonts w:ascii="宋体" w:hAnsi="宋体"/>
          <w:bCs/>
          <w:sz w:val="24"/>
          <w:szCs w:val="24"/>
        </w:rPr>
      </w:pPr>
    </w:p>
    <w:p>
      <w:pPr>
        <w:pStyle w:val="10"/>
        <w:snapToGrid w:val="0"/>
        <w:spacing w:line="360" w:lineRule="auto"/>
        <w:ind w:firstLine="1497" w:firstLineChars="416"/>
        <w:rPr>
          <w:rFonts w:ascii="宋体" w:hAnsi="宋体"/>
          <w:sz w:val="36"/>
        </w:rPr>
      </w:pPr>
    </w:p>
    <w:p>
      <w:pPr>
        <w:snapToGrid w:val="0"/>
        <w:spacing w:line="360" w:lineRule="auto"/>
        <w:ind w:firstLine="4080" w:firstLineChars="1700"/>
        <w:rPr>
          <w:rFonts w:ascii="宋体" w:hAnsi="宋体"/>
          <w:sz w:val="24"/>
          <w:szCs w:val="20"/>
        </w:rPr>
      </w:pPr>
    </w:p>
    <w:p>
      <w:pPr>
        <w:snapToGrid w:val="0"/>
        <w:spacing w:line="360" w:lineRule="auto"/>
        <w:jc w:val="center"/>
        <w:rPr>
          <w:rFonts w:ascii="宋体" w:hAnsi="宋体"/>
          <w:sz w:val="30"/>
          <w:szCs w:val="20"/>
        </w:rPr>
      </w:pPr>
      <w:r>
        <w:rPr>
          <w:rFonts w:hint="eastAsia" w:ascii="宋体" w:hAnsi="宋体"/>
          <w:sz w:val="24"/>
        </w:rPr>
        <w:t>年月日</w:t>
      </w:r>
    </w:p>
    <w:p>
      <w:pPr>
        <w:snapToGrid w:val="0"/>
        <w:spacing w:line="360" w:lineRule="auto"/>
        <w:jc w:val="center"/>
        <w:rPr>
          <w:rFonts w:ascii="宋体" w:hAnsi="宋体"/>
          <w:sz w:val="30"/>
          <w:szCs w:val="20"/>
        </w:rPr>
      </w:pPr>
    </w:p>
    <w:p>
      <w:pPr>
        <w:snapToGrid w:val="0"/>
        <w:spacing w:line="360" w:lineRule="auto"/>
        <w:rPr>
          <w:rFonts w:ascii="宋体" w:hAnsi="宋体"/>
          <w:sz w:val="24"/>
          <w:szCs w:val="20"/>
        </w:rPr>
      </w:pPr>
      <w:r>
        <w:rPr>
          <w:rFonts w:ascii="宋体" w:hAnsi="宋体"/>
        </w:rPr>
        <w:br w:type="page"/>
      </w:r>
      <w:r>
        <w:rPr>
          <w:rFonts w:hint="eastAsia" w:ascii="宋体" w:hAnsi="宋体"/>
          <w:sz w:val="24"/>
        </w:rPr>
        <w:t>33.投标函格式：</w:t>
      </w:r>
    </w:p>
    <w:p>
      <w:pPr>
        <w:snapToGrid w:val="0"/>
        <w:spacing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开户银行：银行账号：</w:t>
      </w:r>
    </w:p>
    <w:p>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12"/>
        <w:snapToGrid w:val="0"/>
        <w:spacing w:beforeLines="0" w:afterLines="0" w:line="360" w:lineRule="auto"/>
        <w:rPr>
          <w:rFonts w:hAnsi="宋体"/>
        </w:rPr>
      </w:pPr>
    </w:p>
    <w:p>
      <w:pPr>
        <w:snapToGrid w:val="0"/>
        <w:spacing w:line="360" w:lineRule="auto"/>
        <w:jc w:val="left"/>
        <w:rPr>
          <w:rFonts w:hAnsi="宋体" w:cs="仿宋"/>
        </w:rPr>
      </w:pPr>
      <w:r>
        <w:rPr>
          <w:rFonts w:hAnsi="宋体"/>
        </w:rPr>
        <w:br w:type="page"/>
      </w:r>
    </w:p>
    <w:p>
      <w:pPr>
        <w:pStyle w:val="12"/>
        <w:snapToGrid w:val="0"/>
        <w:spacing w:beforeLines="0" w:afterLines="0" w:line="360" w:lineRule="auto"/>
        <w:rPr>
          <w:rFonts w:hAnsi="宋体"/>
        </w:rPr>
      </w:pPr>
      <w:r>
        <w:rPr>
          <w:rFonts w:hint="eastAsia" w:hAnsi="宋体" w:cs="仿宋"/>
        </w:rPr>
        <w:t>34.</w:t>
      </w:r>
      <w:r>
        <w:rPr>
          <w:rFonts w:hAnsi="宋体"/>
        </w:rPr>
        <w:t xml:space="preserve">投标报价明细表：       </w:t>
      </w:r>
    </w:p>
    <w:p>
      <w:pPr>
        <w:pStyle w:val="12"/>
        <w:snapToGrid w:val="0"/>
        <w:spacing w:beforeLines="0" w:afterLines="0" w:line="360" w:lineRule="auto"/>
        <w:ind w:left="1470" w:right="1470"/>
        <w:jc w:val="center"/>
        <w:rPr>
          <w:rFonts w:hAnsi="宋体"/>
        </w:rPr>
      </w:pPr>
      <w:r>
        <w:rPr>
          <w:rFonts w:hAnsi="宋体"/>
        </w:rPr>
        <w:t>投标报价明细表</w:t>
      </w:r>
      <w:r>
        <w:rPr>
          <w:rFonts w:hint="eastAsia" w:hAnsi="宋体"/>
        </w:rPr>
        <w:t>（格式自拟）</w:t>
      </w:r>
    </w:p>
    <w:p>
      <w:pPr>
        <w:spacing w:line="360" w:lineRule="auto"/>
        <w:jc w:val="left"/>
        <w:rPr>
          <w:rFonts w:hAnsi="宋体"/>
          <w:szCs w:val="21"/>
        </w:rPr>
      </w:pPr>
      <w:r>
        <w:rPr>
          <w:rFonts w:hAnsi="宋体"/>
        </w:rPr>
        <w:t>项目名称：</w:t>
      </w:r>
      <w:r>
        <w:rPr>
          <w:rFonts w:hAnsi="宋体"/>
          <w:szCs w:val="21"/>
        </w:rPr>
        <w:t>金额单位：人民币（元）</w:t>
      </w:r>
    </w:p>
    <w:p>
      <w:pPr>
        <w:snapToGrid w:val="0"/>
        <w:spacing w:line="360" w:lineRule="auto"/>
        <w:rPr>
          <w:rFonts w:hAnsi="宋体"/>
        </w:rPr>
      </w:pPr>
    </w:p>
    <w:tbl>
      <w:tblPr>
        <w:tblStyle w:val="24"/>
        <w:tblW w:w="8946" w:type="dxa"/>
        <w:tblInd w:w="93" w:type="dxa"/>
        <w:tblLayout w:type="fixed"/>
        <w:tblCellMar>
          <w:top w:w="0" w:type="dxa"/>
          <w:left w:w="108" w:type="dxa"/>
          <w:bottom w:w="0" w:type="dxa"/>
          <w:right w:w="108" w:type="dxa"/>
        </w:tblCellMar>
      </w:tblPr>
      <w:tblGrid>
        <w:gridCol w:w="724"/>
        <w:gridCol w:w="3260"/>
        <w:gridCol w:w="1843"/>
        <w:gridCol w:w="1276"/>
        <w:gridCol w:w="1843"/>
      </w:tblGrid>
      <w:tr>
        <w:tblPrEx>
          <w:tblCellMar>
            <w:top w:w="0" w:type="dxa"/>
            <w:left w:w="108" w:type="dxa"/>
            <w:bottom w:w="0" w:type="dxa"/>
            <w:right w:w="108" w:type="dxa"/>
          </w:tblCellMar>
        </w:tblPrEx>
        <w:trPr>
          <w:trHeight w:val="1035" w:hRule="atLeast"/>
        </w:trPr>
        <w:tc>
          <w:tcPr>
            <w:tcW w:w="724" w:type="dxa"/>
            <w:tcBorders>
              <w:top w:val="single" w:color="auto" w:sz="4" w:space="0"/>
              <w:left w:val="single" w:color="000000" w:sz="8" w:space="0"/>
              <w:bottom w:val="single" w:color="000000" w:sz="8" w:space="0"/>
              <w:right w:val="single" w:color="000000" w:sz="8" w:space="0"/>
            </w:tcBorders>
            <w:vAlign w:val="center"/>
          </w:tcPr>
          <w:p>
            <w:pPr>
              <w:spacing w:line="360" w:lineRule="auto"/>
              <w:jc w:val="center"/>
              <w:rPr>
                <w:rFonts w:ascii="宋体" w:hAnsi="宋体"/>
                <w:sz w:val="24"/>
              </w:rPr>
            </w:pPr>
            <w:r>
              <w:rPr>
                <w:rFonts w:ascii="宋体" w:hAnsi="宋体"/>
                <w:sz w:val="24"/>
              </w:rPr>
              <w:t>序号</w:t>
            </w:r>
          </w:p>
        </w:tc>
        <w:tc>
          <w:tcPr>
            <w:tcW w:w="3260" w:type="dxa"/>
            <w:tcBorders>
              <w:top w:val="single" w:color="auto" w:sz="4" w:space="0"/>
              <w:left w:val="nil"/>
              <w:bottom w:val="single" w:color="000000" w:sz="8" w:space="0"/>
              <w:right w:val="single" w:color="000000" w:sz="8" w:space="0"/>
            </w:tcBorders>
            <w:vAlign w:val="center"/>
          </w:tcPr>
          <w:p>
            <w:pPr>
              <w:spacing w:line="360" w:lineRule="auto"/>
              <w:jc w:val="center"/>
              <w:rPr>
                <w:rFonts w:ascii="宋体" w:hAnsi="宋体"/>
                <w:sz w:val="24"/>
              </w:rPr>
            </w:pPr>
            <w:r>
              <w:rPr>
                <w:rFonts w:ascii="宋体" w:hAnsi="宋体"/>
                <w:sz w:val="24"/>
              </w:rPr>
              <w:t>名称</w:t>
            </w:r>
          </w:p>
        </w:tc>
        <w:tc>
          <w:tcPr>
            <w:tcW w:w="1843" w:type="dxa"/>
            <w:tcBorders>
              <w:top w:val="single" w:color="auto" w:sz="4" w:space="0"/>
              <w:left w:val="nil"/>
              <w:bottom w:val="single" w:color="000000" w:sz="8" w:space="0"/>
              <w:right w:val="single" w:color="000000" w:sz="8" w:space="0"/>
            </w:tcBorders>
            <w:vAlign w:val="center"/>
          </w:tcPr>
          <w:p>
            <w:pPr>
              <w:spacing w:line="360" w:lineRule="auto"/>
              <w:ind w:right="720"/>
              <w:jc w:val="center"/>
              <w:rPr>
                <w:rFonts w:ascii="宋体" w:hAnsi="宋体" w:cs="宋体"/>
                <w:sz w:val="24"/>
              </w:rPr>
            </w:pPr>
            <w:r>
              <w:rPr>
                <w:rFonts w:ascii="宋体" w:hAnsi="宋体" w:cs="宋体"/>
                <w:sz w:val="24"/>
              </w:rPr>
              <w:t>单价</w:t>
            </w:r>
          </w:p>
        </w:tc>
        <w:tc>
          <w:tcPr>
            <w:tcW w:w="1276" w:type="dxa"/>
            <w:tcBorders>
              <w:top w:val="single" w:color="auto" w:sz="4" w:space="0"/>
              <w:left w:val="nil"/>
              <w:bottom w:val="single" w:color="000000" w:sz="8" w:space="0"/>
              <w:right w:val="single" w:color="000000" w:sz="8" w:space="0"/>
            </w:tcBorders>
            <w:vAlign w:val="center"/>
          </w:tcPr>
          <w:p>
            <w:pPr>
              <w:spacing w:line="360" w:lineRule="auto"/>
              <w:ind w:right="240"/>
              <w:jc w:val="center"/>
              <w:rPr>
                <w:rFonts w:ascii="宋体" w:hAnsi="宋体" w:cs="宋体"/>
                <w:sz w:val="24"/>
              </w:rPr>
            </w:pPr>
            <w:r>
              <w:rPr>
                <w:rFonts w:ascii="宋体" w:hAnsi="宋体" w:cs="宋体"/>
                <w:sz w:val="24"/>
              </w:rPr>
              <w:t>数量</w:t>
            </w:r>
          </w:p>
        </w:tc>
        <w:tc>
          <w:tcPr>
            <w:tcW w:w="1843" w:type="dxa"/>
            <w:tcBorders>
              <w:top w:val="single" w:color="auto" w:sz="4" w:space="0"/>
              <w:left w:val="nil"/>
              <w:bottom w:val="single" w:color="000000" w:sz="8" w:space="0"/>
              <w:right w:val="single" w:color="000000" w:sz="8" w:space="0"/>
            </w:tcBorders>
            <w:vAlign w:val="center"/>
          </w:tcPr>
          <w:p>
            <w:pPr>
              <w:spacing w:line="360" w:lineRule="auto"/>
              <w:jc w:val="center"/>
              <w:rPr>
                <w:rFonts w:ascii="宋体" w:hAnsi="宋体" w:cs="宋体"/>
                <w:bCs/>
                <w:sz w:val="24"/>
              </w:rPr>
            </w:pPr>
            <w:r>
              <w:rPr>
                <w:rFonts w:ascii="宋体" w:hAnsi="宋体" w:cs="宋体"/>
                <w:bCs/>
                <w:sz w:val="24"/>
              </w:rPr>
              <w:t>合计</w:t>
            </w:r>
          </w:p>
        </w:tc>
      </w:tr>
      <w:tr>
        <w:tblPrEx>
          <w:tblCellMar>
            <w:top w:w="0" w:type="dxa"/>
            <w:left w:w="108" w:type="dxa"/>
            <w:bottom w:w="0" w:type="dxa"/>
            <w:right w:w="108" w:type="dxa"/>
          </w:tblCellMar>
        </w:tblPrEx>
        <w:trPr>
          <w:trHeight w:val="1035"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sz w:val="24"/>
              </w:rPr>
            </w:pPr>
            <w:r>
              <w:rPr>
                <w:rFonts w:hint="eastAsia" w:ascii="宋体" w:hAnsi="宋体"/>
                <w:sz w:val="24"/>
              </w:rPr>
              <w:t>1</w:t>
            </w:r>
          </w:p>
        </w:tc>
        <w:tc>
          <w:tcPr>
            <w:tcW w:w="3260" w:type="dxa"/>
            <w:tcBorders>
              <w:top w:val="nil"/>
              <w:left w:val="nil"/>
              <w:bottom w:val="single" w:color="000000" w:sz="8" w:space="0"/>
              <w:right w:val="single" w:color="000000" w:sz="8" w:space="0"/>
            </w:tcBorders>
            <w:vAlign w:val="center"/>
          </w:tcPr>
          <w:p>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bCs/>
                <w:sz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3260" w:type="dxa"/>
            <w:tcBorders>
              <w:top w:val="nil"/>
              <w:left w:val="nil"/>
              <w:bottom w:val="single" w:color="000000" w:sz="8" w:space="0"/>
              <w:right w:val="single" w:color="000000" w:sz="8" w:space="0"/>
            </w:tcBorders>
            <w:vAlign w:val="center"/>
          </w:tcPr>
          <w:p>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bCs/>
                <w:sz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3260" w:type="dxa"/>
            <w:tcBorders>
              <w:top w:val="nil"/>
              <w:left w:val="nil"/>
              <w:bottom w:val="single" w:color="000000" w:sz="8" w:space="0"/>
              <w:right w:val="single" w:color="000000" w:sz="8" w:space="0"/>
            </w:tcBorders>
            <w:vAlign w:val="center"/>
          </w:tcPr>
          <w:p>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bCs/>
                <w:sz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ascii="宋体" w:hAnsi="宋体" w:cs="宋体"/>
                <w:sz w:val="24"/>
              </w:rPr>
            </w:pPr>
            <w:r>
              <w:rPr>
                <w:rFonts w:ascii="宋体" w:hAnsi="宋体" w:cs="宋体"/>
                <w:sz w:val="24"/>
              </w:rPr>
              <w:t>4</w:t>
            </w:r>
          </w:p>
        </w:tc>
        <w:tc>
          <w:tcPr>
            <w:tcW w:w="3260" w:type="dxa"/>
            <w:tcBorders>
              <w:top w:val="nil"/>
              <w:left w:val="nil"/>
              <w:bottom w:val="single" w:color="000000" w:sz="8" w:space="0"/>
              <w:right w:val="single" w:color="000000" w:sz="8" w:space="0"/>
            </w:tcBorders>
            <w:vAlign w:val="center"/>
          </w:tcPr>
          <w:p>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bCs/>
                <w:sz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3260" w:type="dxa"/>
            <w:tcBorders>
              <w:top w:val="nil"/>
              <w:left w:val="nil"/>
              <w:bottom w:val="single" w:color="000000" w:sz="8" w:space="0"/>
              <w:right w:val="single" w:color="000000" w:sz="8" w:space="0"/>
            </w:tcBorders>
            <w:vAlign w:val="center"/>
          </w:tcPr>
          <w:p>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bCs/>
                <w:sz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3260" w:type="dxa"/>
            <w:tcBorders>
              <w:top w:val="nil"/>
              <w:left w:val="nil"/>
              <w:bottom w:val="single" w:color="000000" w:sz="8" w:space="0"/>
              <w:right w:val="single" w:color="000000" w:sz="8" w:space="0"/>
            </w:tcBorders>
            <w:vAlign w:val="center"/>
          </w:tcPr>
          <w:p>
            <w:pPr>
              <w:spacing w:line="360" w:lineRule="auto"/>
              <w:rPr>
                <w:rFonts w:ascii="宋体" w:hAnsi="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276" w:type="dxa"/>
            <w:tcBorders>
              <w:top w:val="nil"/>
              <w:left w:val="nil"/>
              <w:bottom w:val="single" w:color="000000" w:sz="8" w:space="0"/>
              <w:right w:val="single" w:color="000000" w:sz="8" w:space="0"/>
            </w:tcBorders>
            <w:vAlign w:val="center"/>
          </w:tcPr>
          <w:p>
            <w:pPr>
              <w:spacing w:line="360" w:lineRule="auto"/>
              <w:jc w:val="right"/>
              <w:rPr>
                <w:rFonts w:ascii="宋体" w:hAnsi="宋体" w:cs="宋体"/>
                <w:sz w:val="24"/>
              </w:rPr>
            </w:pPr>
          </w:p>
        </w:tc>
        <w:tc>
          <w:tcPr>
            <w:tcW w:w="1843" w:type="dxa"/>
            <w:tcBorders>
              <w:top w:val="nil"/>
              <w:left w:val="nil"/>
              <w:bottom w:val="single" w:color="000000" w:sz="8" w:space="0"/>
              <w:right w:val="single" w:color="000000" w:sz="8" w:space="0"/>
            </w:tcBorders>
            <w:vAlign w:val="center"/>
          </w:tcPr>
          <w:p>
            <w:pPr>
              <w:spacing w:line="360" w:lineRule="auto"/>
              <w:jc w:val="right"/>
              <w:rPr>
                <w:rFonts w:ascii="宋体" w:hAnsi="宋体" w:cs="宋体"/>
                <w:bCs/>
                <w:sz w:val="24"/>
              </w:rPr>
            </w:pPr>
          </w:p>
        </w:tc>
      </w:tr>
      <w:tr>
        <w:tblPrEx>
          <w:tblCellMar>
            <w:top w:w="0" w:type="dxa"/>
            <w:left w:w="108" w:type="dxa"/>
            <w:bottom w:w="0" w:type="dxa"/>
            <w:right w:w="108" w:type="dxa"/>
          </w:tblCellMar>
        </w:tblPrEx>
        <w:trPr>
          <w:trHeight w:val="780" w:hRule="atLeast"/>
        </w:trPr>
        <w:tc>
          <w:tcPr>
            <w:tcW w:w="724" w:type="dxa"/>
            <w:tcBorders>
              <w:top w:val="nil"/>
              <w:left w:val="single" w:color="000000" w:sz="8" w:space="0"/>
              <w:bottom w:val="single" w:color="000000" w:sz="8" w:space="0"/>
              <w:right w:val="single" w:color="000000" w:sz="8"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3260" w:type="dxa"/>
            <w:tcBorders>
              <w:top w:val="nil"/>
              <w:left w:val="nil"/>
              <w:bottom w:val="single" w:color="000000" w:sz="8" w:space="0"/>
              <w:right w:val="single" w:color="000000" w:sz="8" w:space="0"/>
            </w:tcBorders>
            <w:vAlign w:val="center"/>
          </w:tcPr>
          <w:p>
            <w:pPr>
              <w:tabs>
                <w:tab w:val="left" w:pos="1985"/>
              </w:tabs>
              <w:adjustRightInd w:val="0"/>
              <w:spacing w:line="440" w:lineRule="exact"/>
              <w:rPr>
                <w:rFonts w:ascii="宋体" w:hAnsi="宋体"/>
                <w:b/>
                <w:sz w:val="24"/>
              </w:rPr>
            </w:pPr>
            <w:r>
              <w:rPr>
                <w:rFonts w:ascii="宋体" w:hAnsi="宋体"/>
                <w:b/>
                <w:sz w:val="24"/>
              </w:rPr>
              <w:t>其他费用（</w:t>
            </w:r>
            <w:r>
              <w:rPr>
                <w:rFonts w:hint="eastAsia" w:asciiTheme="majorEastAsia" w:hAnsiTheme="majorEastAsia" w:eastAsiaTheme="majorEastAsia"/>
                <w:b/>
                <w:sz w:val="24"/>
              </w:rPr>
              <w:t>用于采购人要求中标人完成合同外临时性保障和创新奖励等不可预情况发生的费用</w:t>
            </w:r>
            <w:r>
              <w:rPr>
                <w:rFonts w:ascii="宋体" w:hAnsi="宋体"/>
                <w:b/>
                <w:sz w:val="24"/>
              </w:rPr>
              <w:t>）</w:t>
            </w:r>
          </w:p>
        </w:tc>
        <w:tc>
          <w:tcPr>
            <w:tcW w:w="1843" w:type="dxa"/>
            <w:tcBorders>
              <w:top w:val="nil"/>
              <w:left w:val="nil"/>
              <w:bottom w:val="single" w:color="000000" w:sz="8" w:space="0"/>
              <w:right w:val="single" w:color="000000" w:sz="8" w:space="0"/>
            </w:tcBorders>
            <w:vAlign w:val="center"/>
          </w:tcPr>
          <w:p>
            <w:pPr>
              <w:spacing w:line="360" w:lineRule="auto"/>
              <w:ind w:right="240"/>
              <w:jc w:val="right"/>
              <w:rPr>
                <w:rFonts w:ascii="宋体" w:hAnsi="宋体" w:cs="宋体"/>
                <w:sz w:val="24"/>
              </w:rPr>
            </w:pPr>
            <w:r>
              <w:rPr>
                <w:rFonts w:hint="eastAsia" w:ascii="宋体" w:hAnsi="宋体" w:cs="宋体"/>
                <w:sz w:val="24"/>
              </w:rPr>
              <w:t>200000.00</w:t>
            </w:r>
          </w:p>
        </w:tc>
        <w:tc>
          <w:tcPr>
            <w:tcW w:w="1276" w:type="dxa"/>
            <w:tcBorders>
              <w:top w:val="nil"/>
              <w:left w:val="nil"/>
              <w:bottom w:val="single" w:color="000000" w:sz="8" w:space="0"/>
              <w:right w:val="single" w:color="000000" w:sz="8" w:space="0"/>
            </w:tcBorders>
            <w:vAlign w:val="center"/>
          </w:tcPr>
          <w:p>
            <w:pPr>
              <w:spacing w:line="360" w:lineRule="auto"/>
              <w:ind w:right="240"/>
              <w:jc w:val="right"/>
              <w:rPr>
                <w:rFonts w:ascii="宋体" w:hAnsi="宋体" w:cs="宋体"/>
                <w:sz w:val="24"/>
              </w:rPr>
            </w:pPr>
            <w:r>
              <w:rPr>
                <w:rFonts w:hint="eastAsia" w:ascii="宋体" w:hAnsi="宋体" w:cs="宋体"/>
                <w:sz w:val="24"/>
              </w:rPr>
              <w:t>1</w:t>
            </w:r>
            <w:r>
              <w:rPr>
                <w:rFonts w:ascii="宋体" w:hAnsi="宋体" w:cs="宋体"/>
                <w:sz w:val="24"/>
              </w:rPr>
              <w:t>项</w:t>
            </w:r>
          </w:p>
        </w:tc>
        <w:tc>
          <w:tcPr>
            <w:tcW w:w="1843" w:type="dxa"/>
            <w:tcBorders>
              <w:top w:val="nil"/>
              <w:left w:val="nil"/>
              <w:bottom w:val="single" w:color="000000" w:sz="8" w:space="0"/>
              <w:right w:val="single" w:color="000000" w:sz="8" w:space="0"/>
            </w:tcBorders>
            <w:vAlign w:val="center"/>
          </w:tcPr>
          <w:p>
            <w:pPr>
              <w:spacing w:line="360" w:lineRule="auto"/>
              <w:ind w:right="240"/>
              <w:jc w:val="right"/>
              <w:rPr>
                <w:rFonts w:ascii="宋体" w:hAnsi="宋体" w:cs="宋体"/>
                <w:bCs/>
                <w:sz w:val="24"/>
              </w:rPr>
            </w:pPr>
            <w:r>
              <w:rPr>
                <w:rFonts w:hint="eastAsia" w:ascii="宋体" w:hAnsi="宋体" w:cs="宋体"/>
                <w:sz w:val="24"/>
              </w:rPr>
              <w:t>200000.00</w:t>
            </w:r>
          </w:p>
        </w:tc>
      </w:tr>
      <w:tr>
        <w:tblPrEx>
          <w:tblCellMar>
            <w:top w:w="0" w:type="dxa"/>
            <w:left w:w="108" w:type="dxa"/>
            <w:bottom w:w="0" w:type="dxa"/>
            <w:right w:w="108" w:type="dxa"/>
          </w:tblCellMar>
        </w:tblPrEx>
        <w:trPr>
          <w:trHeight w:val="780" w:hRule="atLeast"/>
        </w:trPr>
        <w:tc>
          <w:tcPr>
            <w:tcW w:w="3984" w:type="dxa"/>
            <w:gridSpan w:val="2"/>
            <w:tcBorders>
              <w:top w:val="nil"/>
              <w:left w:val="single" w:color="000000" w:sz="8" w:space="0"/>
              <w:bottom w:val="single" w:color="000000" w:sz="8" w:space="0"/>
              <w:right w:val="single" w:color="000000" w:sz="8" w:space="0"/>
            </w:tcBorders>
            <w:vAlign w:val="center"/>
          </w:tcPr>
          <w:p>
            <w:pPr>
              <w:spacing w:line="360" w:lineRule="auto"/>
              <w:rPr>
                <w:rFonts w:ascii="宋体" w:hAnsi="宋体"/>
                <w:sz w:val="24"/>
              </w:rPr>
            </w:pPr>
            <w:r>
              <w:rPr>
                <w:rFonts w:hint="eastAsia" w:ascii="宋体" w:hAnsi="宋体"/>
                <w:sz w:val="24"/>
              </w:rPr>
              <w:t>总价</w:t>
            </w:r>
          </w:p>
        </w:tc>
        <w:tc>
          <w:tcPr>
            <w:tcW w:w="4962" w:type="dxa"/>
            <w:gridSpan w:val="3"/>
            <w:tcBorders>
              <w:top w:val="nil"/>
              <w:left w:val="nil"/>
              <w:bottom w:val="single" w:color="000000" w:sz="8" w:space="0"/>
              <w:right w:val="single" w:color="000000" w:sz="8" w:space="0"/>
            </w:tcBorders>
            <w:vAlign w:val="center"/>
          </w:tcPr>
          <w:p>
            <w:pPr>
              <w:wordWrap w:val="0"/>
              <w:spacing w:line="360" w:lineRule="auto"/>
              <w:ind w:right="960"/>
              <w:rPr>
                <w:rFonts w:ascii="宋体" w:hAnsi="宋体" w:cs="宋体"/>
                <w:bCs/>
                <w:sz w:val="24"/>
              </w:rPr>
            </w:pPr>
            <w:r>
              <w:rPr>
                <w:rFonts w:hint="eastAsia" w:ascii="宋体" w:hAnsi="宋体" w:cs="宋体"/>
                <w:bCs/>
                <w:sz w:val="24"/>
              </w:rPr>
              <w:t>人民币元整（￥）</w:t>
            </w:r>
          </w:p>
        </w:tc>
      </w:tr>
    </w:tbl>
    <w:p>
      <w:pPr>
        <w:spacing w:line="360" w:lineRule="auto"/>
        <w:jc w:val="left"/>
        <w:rPr>
          <w:rFonts w:hAnsi="宋体"/>
          <w:szCs w:val="21"/>
        </w:rPr>
      </w:pPr>
    </w:p>
    <w:p>
      <w:pPr>
        <w:pStyle w:val="23"/>
        <w:spacing w:before="120"/>
      </w:pPr>
    </w:p>
    <w:p/>
    <w:p>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pPr>
        <w:snapToGrid w:val="0"/>
        <w:spacing w:line="360" w:lineRule="auto"/>
        <w:rPr>
          <w:rFonts w:ascii="宋体" w:hAnsi="宋体"/>
          <w:spacing w:val="20"/>
          <w:sz w:val="24"/>
          <w:u w:val="single"/>
        </w:rPr>
      </w:pPr>
      <w:r>
        <w:rPr>
          <w:rFonts w:hint="eastAsia" w:ascii="宋体" w:hAnsi="宋体"/>
          <w:spacing w:val="20"/>
          <w:sz w:val="24"/>
        </w:rPr>
        <w:t>投标人盖章：日期：</w:t>
      </w:r>
    </w:p>
    <w:p>
      <w:pPr>
        <w:pStyle w:val="5"/>
      </w:pPr>
    </w:p>
    <w:p/>
    <w:p>
      <w:pPr>
        <w:pStyle w:val="5"/>
      </w:pPr>
    </w:p>
    <w:p/>
    <w:p>
      <w:pPr>
        <w:spacing w:line="360" w:lineRule="auto"/>
        <w:rPr>
          <w:rFonts w:ascii="宋体" w:hAnsi="宋体"/>
          <w:sz w:val="24"/>
        </w:rPr>
      </w:pPr>
      <w:r>
        <w:rPr>
          <w:rFonts w:hint="eastAsia" w:ascii="宋体" w:hAnsi="宋体"/>
          <w:sz w:val="24"/>
        </w:rPr>
        <w:t>35.招标代理服务费承诺函</w:t>
      </w:r>
    </w:p>
    <w:p>
      <w:pPr>
        <w:spacing w:line="360" w:lineRule="auto"/>
        <w:jc w:val="center"/>
        <w:rPr>
          <w:b/>
          <w:sz w:val="32"/>
        </w:rPr>
      </w:pPr>
    </w:p>
    <w:p>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pPr>
        <w:spacing w:line="360" w:lineRule="auto"/>
        <w:rPr>
          <w:sz w:val="24"/>
        </w:rPr>
      </w:pPr>
    </w:p>
    <w:p>
      <w:pPr>
        <w:spacing w:line="360" w:lineRule="auto"/>
        <w:rPr>
          <w:sz w:val="24"/>
        </w:rPr>
      </w:pPr>
    </w:p>
    <w:p>
      <w:pPr>
        <w:pStyle w:val="10"/>
        <w:spacing w:line="360" w:lineRule="auto"/>
        <w:ind w:firstLine="1454" w:firstLineChars="606"/>
        <w:rPr>
          <w:rFonts w:ascii="宋体" w:hAnsi="宋体"/>
          <w:sz w:val="24"/>
          <w:szCs w:val="24"/>
        </w:rPr>
      </w:pPr>
      <w:r>
        <w:rPr>
          <w:rFonts w:hint="eastAsia" w:ascii="宋体" w:hAnsi="宋体"/>
          <w:sz w:val="24"/>
          <w:szCs w:val="24"/>
        </w:rPr>
        <w:t>投标人：（盖章）</w:t>
      </w:r>
    </w:p>
    <w:p>
      <w:pPr>
        <w:pStyle w:val="10"/>
        <w:spacing w:line="360" w:lineRule="auto"/>
        <w:ind w:firstLine="374" w:firstLineChars="156"/>
        <w:rPr>
          <w:rFonts w:ascii="宋体" w:hAnsi="宋体"/>
          <w:sz w:val="24"/>
          <w:szCs w:val="24"/>
        </w:rPr>
      </w:pPr>
    </w:p>
    <w:p>
      <w:pPr>
        <w:pStyle w:val="10"/>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pPr>
        <w:pStyle w:val="10"/>
        <w:spacing w:line="360" w:lineRule="auto"/>
        <w:ind w:firstLine="374" w:firstLineChars="156"/>
        <w:jc w:val="center"/>
        <w:rPr>
          <w:rFonts w:ascii="宋体" w:hAnsi="宋体"/>
          <w:sz w:val="24"/>
          <w:szCs w:val="24"/>
        </w:rPr>
      </w:pPr>
    </w:p>
    <w:p>
      <w:pPr>
        <w:pStyle w:val="10"/>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pPr>
        <w:pStyle w:val="12"/>
        <w:snapToGrid w:val="0"/>
        <w:spacing w:beforeLines="0" w:afterLines="0" w:line="360" w:lineRule="auto"/>
      </w:pPr>
    </w:p>
    <w:p>
      <w:pPr>
        <w:pStyle w:val="10"/>
        <w:spacing w:line="500" w:lineRule="exact"/>
        <w:ind w:firstLine="0"/>
        <w:jc w:val="left"/>
        <w:rPr>
          <w:rFonts w:ascii="宋体" w:hAnsi="宋体"/>
          <w:sz w:val="24"/>
          <w:szCs w:val="24"/>
          <w:u w:val="single"/>
        </w:rPr>
      </w:pPr>
    </w:p>
    <w:p>
      <w:pPr>
        <w:pStyle w:val="10"/>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pPr>
        <w:pStyle w:val="10"/>
        <w:spacing w:line="500" w:lineRule="exact"/>
        <w:ind w:firstLine="0"/>
        <w:jc w:val="left"/>
        <w:rPr>
          <w:rFonts w:ascii="宋体" w:hAnsi="宋体"/>
          <w:sz w:val="24"/>
          <w:szCs w:val="24"/>
        </w:rPr>
      </w:pPr>
      <w:r>
        <w:rPr>
          <w:rFonts w:hint="eastAsia" w:ascii="宋体" w:hAnsi="宋体"/>
          <w:sz w:val="24"/>
          <w:szCs w:val="24"/>
        </w:rPr>
        <w:t>代理费汇款账号：</w:t>
      </w:r>
    </w:p>
    <w:p>
      <w:pPr>
        <w:snapToGrid w:val="0"/>
        <w:jc w:val="left"/>
        <w:rPr>
          <w:rFonts w:ascii="宋体" w:hAnsi="宋体"/>
          <w:sz w:val="24"/>
        </w:rPr>
      </w:pPr>
    </w:p>
    <w:p>
      <w:pPr>
        <w:snapToGrid w:val="0"/>
        <w:jc w:val="left"/>
        <w:rPr>
          <w:rFonts w:ascii="宋体" w:hAnsi="宋体"/>
          <w:sz w:val="24"/>
        </w:rPr>
      </w:pPr>
    </w:p>
    <w:p>
      <w:pPr>
        <w:snapToGrid w:val="0"/>
        <w:rPr>
          <w:rFonts w:ascii="宋体" w:hAnsi="宋体"/>
          <w:sz w:val="24"/>
        </w:rPr>
      </w:pPr>
      <w:r>
        <w:rPr>
          <w:rFonts w:hint="eastAsia" w:ascii="宋体" w:hAnsi="宋体"/>
          <w:sz w:val="24"/>
        </w:rPr>
        <w:t>单位名称：浙江华耀建设咨询有限公司湖州分公司</w:t>
      </w:r>
    </w:p>
    <w:p>
      <w:pPr>
        <w:snapToGrid w:val="0"/>
        <w:rPr>
          <w:rFonts w:ascii="宋体" w:hAnsi="宋体"/>
          <w:sz w:val="24"/>
        </w:rPr>
      </w:pPr>
      <w:r>
        <w:rPr>
          <w:rFonts w:hint="eastAsia" w:ascii="宋体" w:hAnsi="宋体"/>
          <w:sz w:val="24"/>
        </w:rPr>
        <w:t>开户银行：中国工商银行股份有限公司湖州经济开发区支行</w:t>
      </w:r>
    </w:p>
    <w:p>
      <w:pPr>
        <w:tabs>
          <w:tab w:val="left" w:pos="1418"/>
        </w:tabs>
        <w:snapToGrid w:val="0"/>
        <w:spacing w:before="50" w:after="50"/>
        <w:rPr>
          <w:rFonts w:ascii="宋体" w:hAnsi="宋体"/>
          <w:sz w:val="24"/>
        </w:rPr>
      </w:pPr>
      <w:r>
        <w:rPr>
          <w:rFonts w:hint="eastAsia" w:ascii="宋体" w:hAnsi="宋体"/>
          <w:sz w:val="24"/>
        </w:rPr>
        <w:t>银行账号：</w:t>
      </w:r>
      <w:r>
        <w:rPr>
          <w:rFonts w:ascii="宋体" w:hAnsi="宋体"/>
          <w:sz w:val="24"/>
        </w:rPr>
        <w:t>1205220009200129524</w:t>
      </w: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pStyle w:val="12"/>
        <w:snapToGrid w:val="0"/>
        <w:spacing w:beforeLines="0" w:afterLines="0" w:line="360" w:lineRule="auto"/>
      </w:pPr>
    </w:p>
    <w:p>
      <w:pPr>
        <w:snapToGrid w:val="0"/>
        <w:spacing w:line="360" w:lineRule="auto"/>
        <w:rPr>
          <w:rFonts w:ascii="宋体" w:hAnsi="宋体"/>
          <w:b/>
          <w:sz w:val="24"/>
        </w:rPr>
      </w:pPr>
      <w:r>
        <w:rPr>
          <w:rFonts w:hint="eastAsia" w:ascii="宋体" w:hAnsi="宋体"/>
          <w:b/>
          <w:sz w:val="24"/>
        </w:rPr>
        <w:t xml:space="preserve">36.开标一览表 </w:t>
      </w:r>
    </w:p>
    <w:p>
      <w:pPr>
        <w:snapToGrid w:val="0"/>
        <w:spacing w:line="360" w:lineRule="auto"/>
        <w:jc w:val="center"/>
        <w:rPr>
          <w:rFonts w:ascii="宋体" w:hAnsi="宋体"/>
          <w:b/>
          <w:sz w:val="30"/>
          <w:szCs w:val="20"/>
        </w:rPr>
      </w:pPr>
      <w:r>
        <w:rPr>
          <w:rFonts w:hint="eastAsia" w:ascii="宋体" w:hAnsi="宋体"/>
          <w:b/>
          <w:sz w:val="30"/>
        </w:rPr>
        <w:t>开标一览表</w:t>
      </w:r>
    </w:p>
    <w:p>
      <w:pPr>
        <w:pStyle w:val="12"/>
        <w:snapToGrid w:val="0"/>
        <w:spacing w:beforeLines="0" w:afterLines="0" w:line="360" w:lineRule="auto"/>
      </w:pPr>
    </w:p>
    <w:p>
      <w:pPr>
        <w:snapToGrid w:val="0"/>
        <w:spacing w:before="50" w:after="50"/>
        <w:rPr>
          <w:rFonts w:ascii="宋体" w:hAnsi="宋体"/>
          <w:sz w:val="24"/>
        </w:rPr>
      </w:pPr>
      <w:r>
        <w:rPr>
          <w:rFonts w:hint="eastAsia" w:ascii="宋体" w:hAnsi="宋体"/>
          <w:sz w:val="24"/>
        </w:rPr>
        <w:t>招标编号：   项目名称：    投标人名称：单位：元</w:t>
      </w:r>
    </w:p>
    <w:tbl>
      <w:tblPr>
        <w:tblStyle w:val="24"/>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名称</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单价</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30"/>
              </w:rPr>
            </w:pPr>
            <w:r>
              <w:rPr>
                <w:rFonts w:hint="eastAsia" w:ascii="宋体" w:hAnsi="宋体"/>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bCs/>
                <w:sz w:val="24"/>
                <w:szCs w:val="20"/>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1"/>
              </w:rPr>
            </w:pP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    元    ￥</w:t>
            </w:r>
          </w:p>
        </w:tc>
      </w:tr>
    </w:tbl>
    <w:p>
      <w:pPr>
        <w:snapToGrid w:val="0"/>
        <w:spacing w:before="50" w:after="50"/>
        <w:rPr>
          <w:rFonts w:ascii="宋体" w:hAnsi="宋体"/>
          <w:sz w:val="24"/>
          <w:szCs w:val="20"/>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szCs w:val="20"/>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pPr>
        <w:snapToGrid w:val="0"/>
        <w:spacing w:line="360" w:lineRule="auto"/>
        <w:ind w:firstLine="480" w:firstLineChars="200"/>
        <w:jc w:val="left"/>
        <w:rPr>
          <w:rFonts w:ascii="宋体" w:hAnsi="宋体"/>
          <w:sz w:val="24"/>
          <w:szCs w:val="20"/>
        </w:rPr>
      </w:pPr>
      <w:r>
        <w:rPr>
          <w:rFonts w:hint="eastAsia" w:ascii="宋体" w:hAnsi="宋体"/>
          <w:sz w:val="24"/>
        </w:rPr>
        <w:t>3、以上报价应与“投标报价明细表”中的“投标总价”相一致。</w:t>
      </w:r>
    </w:p>
    <w:p>
      <w:pPr>
        <w:snapToGrid w:val="0"/>
        <w:spacing w:line="360" w:lineRule="auto"/>
        <w:ind w:left="-2" w:leftChars="-1" w:right="-817" w:rightChars="-389"/>
        <w:rPr>
          <w:rFonts w:ascii="宋体" w:hAnsi="宋体"/>
          <w:sz w:val="24"/>
        </w:rPr>
      </w:pPr>
    </w:p>
    <w:p>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pPr>
        <w:snapToGrid w:val="0"/>
        <w:spacing w:line="360" w:lineRule="auto"/>
        <w:ind w:right="-817" w:rightChars="-389"/>
        <w:rPr>
          <w:rFonts w:ascii="宋体" w:hAnsi="宋体"/>
          <w:sz w:val="24"/>
        </w:rPr>
      </w:pPr>
      <w:r>
        <w:rPr>
          <w:rFonts w:hint="eastAsia" w:ascii="宋体" w:hAnsi="宋体"/>
          <w:sz w:val="24"/>
        </w:rPr>
        <w:t>投标人名称（盖章）：日期：年月日</w:t>
      </w:r>
    </w:p>
    <w:p>
      <w:pPr>
        <w:pStyle w:val="4"/>
        <w:ind w:firstLine="240"/>
      </w:pPr>
    </w:p>
    <w:p>
      <w:pPr>
        <w:pStyle w:val="4"/>
        <w:ind w:firstLine="240"/>
      </w:pPr>
    </w:p>
    <w:p>
      <w:pPr>
        <w:pStyle w:val="4"/>
        <w:ind w:firstLine="240"/>
      </w:pPr>
    </w:p>
    <w:p>
      <w:pPr>
        <w:pStyle w:val="4"/>
        <w:ind w:firstLine="240"/>
      </w:pPr>
    </w:p>
    <w:p>
      <w:pPr>
        <w:pStyle w:val="4"/>
        <w:ind w:firstLine="240"/>
      </w:pPr>
    </w:p>
    <w:p>
      <w:pPr>
        <w:pStyle w:val="4"/>
        <w:ind w:firstLine="240"/>
      </w:pPr>
    </w:p>
    <w:p>
      <w:pPr>
        <w:pStyle w:val="4"/>
        <w:ind w:firstLine="240"/>
      </w:pPr>
    </w:p>
    <w:p>
      <w:pPr>
        <w:pStyle w:val="4"/>
        <w:ind w:firstLine="240"/>
      </w:pPr>
    </w:p>
    <w:p>
      <w:pPr>
        <w:pStyle w:val="4"/>
        <w:ind w:firstLine="240"/>
      </w:pPr>
    </w:p>
    <w:p>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pPr>
        <w:spacing w:line="360" w:lineRule="auto"/>
        <w:rPr>
          <w:i/>
          <w:sz w:val="28"/>
          <w:szCs w:val="28"/>
        </w:rPr>
      </w:pPr>
    </w:p>
    <w:p>
      <w: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175766" cy="3847079"/>
                    </a:xfrm>
                    <a:prstGeom prst="rect">
                      <a:avLst/>
                    </a:prstGeom>
                  </pic:spPr>
                </pic:pic>
              </a:graphicData>
            </a:graphic>
          </wp:inline>
        </w:drawing>
      </w:r>
      <w: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4310" cy="3066327"/>
                    </a:xfrm>
                    <a:prstGeom prst="rect">
                      <a:avLst/>
                    </a:prstGeom>
                  </pic:spPr>
                </pic:pic>
              </a:graphicData>
            </a:graphic>
          </wp:inline>
        </w:drawing>
      </w:r>
    </w:p>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Fonts w:ascii="宋体" w:hAnsi="宋体"/>
        <w:sz w:val="28"/>
        <w:szCs w:val="28"/>
      </w:rPr>
    </w:pPr>
  </w:p>
  <w:p>
    <w:pPr>
      <w:pStyle w:val="38"/>
      <w:ind w:firstLine="420"/>
      <w:rPr>
        <w:sz w:val="24"/>
      </w:rPr>
    </w:pPr>
    <w:r>
      <w:rPr>
        <w:rFonts w:hint="eastAsia"/>
      </w:rPr>
      <w:t>浙江华耀建设咨询有限公司</w:t>
    </w:r>
    <w:r>
      <w:tab/>
    </w:r>
    <w:r>
      <w:rPr>
        <w:sz w:val="24"/>
      </w:rPr>
      <w:t xml:space="preserve">- </w:t>
    </w:r>
    <w:r>
      <w:rPr>
        <w:sz w:val="24"/>
      </w:rPr>
      <w:fldChar w:fldCharType="begin"/>
    </w:r>
    <w:r>
      <w:rPr>
        <w:sz w:val="24"/>
      </w:rPr>
      <w:instrText xml:space="preserve"> PAGE </w:instrText>
    </w:r>
    <w:r>
      <w:rPr>
        <w:sz w:val="24"/>
      </w:rPr>
      <w:fldChar w:fldCharType="separate"/>
    </w:r>
    <w:r>
      <w:rPr>
        <w:sz w:val="24"/>
      </w:rPr>
      <w:t>3</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fldChar w:fldCharType="begin"/>
    </w:r>
    <w:r>
      <w:rPr>
        <w:rStyle w:val="27"/>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Fonts w:ascii="宋体" w:hAnsi="宋体"/>
        <w:sz w:val="28"/>
        <w:szCs w:val="28"/>
      </w:rPr>
    </w:pPr>
  </w:p>
  <w:p>
    <w:pPr>
      <w:pStyle w:val="17"/>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46</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fldChar w:fldCharType="begin"/>
    </w:r>
    <w:r>
      <w:rPr>
        <w:rStyle w:val="27"/>
      </w:rPr>
      <w:instrText xml:space="preserve">PAGE  </w:instrText>
    </w:r>
    <w:r>
      <w:fldChar w:fldCharType="end"/>
    </w:r>
  </w:p>
  <w:p>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napToGrid w:val="0"/>
      <w:spacing w:beforeLines="0" w:afterLines="0" w:line="360" w:lineRule="auto"/>
      <w:rPr>
        <w:rFonts w:hAnsi="宋体"/>
        <w:szCs w:val="21"/>
        <w:u w:val="single"/>
      </w:rPr>
    </w:pPr>
    <w:r>
      <w:rPr>
        <w:rFonts w:hint="eastAsia" w:cs="Arial"/>
        <w:szCs w:val="21"/>
        <w:u w:val="single"/>
      </w:rPr>
      <w:t xml:space="preserve">湖州市民服务中心机关二食堂餐饮管理服务项目                                       </w:t>
    </w:r>
    <w:r>
      <w:rPr>
        <w:rFonts w:hint="eastAsia" w:hAnsi="宋体" w:cs="Arial"/>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napToGrid w:val="0"/>
      <w:spacing w:beforeLines="0" w:afterLines="0" w:line="360" w:lineRule="auto"/>
      <w:rPr>
        <w:rFonts w:hAnsi="宋体"/>
        <w:szCs w:val="21"/>
        <w:u w:val="single"/>
      </w:rPr>
    </w:pPr>
    <w:r>
      <w:rPr>
        <w:rFonts w:hint="eastAsia" w:cs="Arial"/>
        <w:szCs w:val="21"/>
        <w:u w:val="single"/>
      </w:rPr>
      <w:t>湖州市民服务中心机关二食堂餐饮管理服务项目                                          招标文</w:t>
    </w:r>
    <w:r>
      <w:rPr>
        <w:rFonts w:hint="eastAsia" w:hAnsi="宋体" w:cs="Arial"/>
        <w:szCs w:val="21"/>
        <w:u w:val="singl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56F656F8"/>
    <w:multiLevelType w:val="singleLevel"/>
    <w:tmpl w:val="56F656F8"/>
    <w:lvl w:ilvl="0" w:tentative="0">
      <w:start w:val="1"/>
      <w:numFmt w:val="decimal"/>
      <w:pStyle w:val="9"/>
      <w:lvlText w:val="%1."/>
      <w:lvlJc w:val="left"/>
      <w:pPr>
        <w:tabs>
          <w:tab w:val="left" w:pos="360"/>
        </w:tabs>
        <w:ind w:left="360" w:hanging="360"/>
      </w:pPr>
    </w:lvl>
  </w:abstractNum>
  <w:abstractNum w:abstractNumId="2">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BC2E5B"/>
    <w:multiLevelType w:val="singleLevel"/>
    <w:tmpl w:val="73BC2E5B"/>
    <w:lvl w:ilvl="0" w:tentative="0">
      <w:start w:val="1"/>
      <w:numFmt w:val="decimal"/>
      <w:suff w:val="space"/>
      <w:lvlText w:val="%1."/>
      <w:lvlJc w:val="left"/>
    </w:lvl>
  </w:abstractNum>
  <w:num w:numId="1">
    <w:abstractNumId w:val="1"/>
  </w:num>
  <w:num w:numId="2">
    <w:abstractNumId w:val="0"/>
    <w:lvlOverride w:ilvl="0">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3YzJlMmZmMDkwMzU3M2RlN2ZjMTllNmYwMDAxODAifQ=="/>
  </w:docVars>
  <w:rsids>
    <w:rsidRoot w:val="28232F7C"/>
    <w:rsid w:val="000045D3"/>
    <w:rsid w:val="00006338"/>
    <w:rsid w:val="00021634"/>
    <w:rsid w:val="00021FF8"/>
    <w:rsid w:val="00031084"/>
    <w:rsid w:val="000407F8"/>
    <w:rsid w:val="00041A43"/>
    <w:rsid w:val="00043BB8"/>
    <w:rsid w:val="0007021F"/>
    <w:rsid w:val="0007194F"/>
    <w:rsid w:val="0007663A"/>
    <w:rsid w:val="000771FF"/>
    <w:rsid w:val="000776F2"/>
    <w:rsid w:val="0008013B"/>
    <w:rsid w:val="000824B3"/>
    <w:rsid w:val="00085BFC"/>
    <w:rsid w:val="000B6B3C"/>
    <w:rsid w:val="000B76D0"/>
    <w:rsid w:val="001112B3"/>
    <w:rsid w:val="001377B9"/>
    <w:rsid w:val="00140C49"/>
    <w:rsid w:val="001513B0"/>
    <w:rsid w:val="001517E9"/>
    <w:rsid w:val="00154530"/>
    <w:rsid w:val="00155AF0"/>
    <w:rsid w:val="00155E2D"/>
    <w:rsid w:val="001640A1"/>
    <w:rsid w:val="001735C2"/>
    <w:rsid w:val="0017694F"/>
    <w:rsid w:val="00180CFA"/>
    <w:rsid w:val="00181A69"/>
    <w:rsid w:val="00185D60"/>
    <w:rsid w:val="00186046"/>
    <w:rsid w:val="001860E1"/>
    <w:rsid w:val="001872FA"/>
    <w:rsid w:val="00195B89"/>
    <w:rsid w:val="001A1830"/>
    <w:rsid w:val="001A1D6A"/>
    <w:rsid w:val="001A2E9E"/>
    <w:rsid w:val="001B00C4"/>
    <w:rsid w:val="001B1684"/>
    <w:rsid w:val="001B267B"/>
    <w:rsid w:val="001B3696"/>
    <w:rsid w:val="001B5FEE"/>
    <w:rsid w:val="001C4D30"/>
    <w:rsid w:val="001D17AD"/>
    <w:rsid w:val="001E357D"/>
    <w:rsid w:val="001F16B4"/>
    <w:rsid w:val="001F5BED"/>
    <w:rsid w:val="002010BB"/>
    <w:rsid w:val="00213C68"/>
    <w:rsid w:val="00214924"/>
    <w:rsid w:val="0021728C"/>
    <w:rsid w:val="00241272"/>
    <w:rsid w:val="00251C28"/>
    <w:rsid w:val="0025728C"/>
    <w:rsid w:val="00270D0F"/>
    <w:rsid w:val="00273845"/>
    <w:rsid w:val="00280419"/>
    <w:rsid w:val="002810D2"/>
    <w:rsid w:val="00283B9B"/>
    <w:rsid w:val="00286F9F"/>
    <w:rsid w:val="002A0ED9"/>
    <w:rsid w:val="002A7901"/>
    <w:rsid w:val="002B5D40"/>
    <w:rsid w:val="002C1C95"/>
    <w:rsid w:val="002C54F6"/>
    <w:rsid w:val="002C577F"/>
    <w:rsid w:val="002C5AD4"/>
    <w:rsid w:val="002F087A"/>
    <w:rsid w:val="002F4C5C"/>
    <w:rsid w:val="0031666A"/>
    <w:rsid w:val="003321BB"/>
    <w:rsid w:val="00350592"/>
    <w:rsid w:val="00354AF5"/>
    <w:rsid w:val="00361530"/>
    <w:rsid w:val="0036220B"/>
    <w:rsid w:val="00362B30"/>
    <w:rsid w:val="003701FA"/>
    <w:rsid w:val="00377F42"/>
    <w:rsid w:val="003B3DD4"/>
    <w:rsid w:val="003F316D"/>
    <w:rsid w:val="004231F7"/>
    <w:rsid w:val="004243F2"/>
    <w:rsid w:val="00447C29"/>
    <w:rsid w:val="00450D76"/>
    <w:rsid w:val="00470C79"/>
    <w:rsid w:val="00474B75"/>
    <w:rsid w:val="00485227"/>
    <w:rsid w:val="004A2C36"/>
    <w:rsid w:val="004C05B3"/>
    <w:rsid w:val="004C266B"/>
    <w:rsid w:val="004D0759"/>
    <w:rsid w:val="004D6A5F"/>
    <w:rsid w:val="004E3DB6"/>
    <w:rsid w:val="004F0BFD"/>
    <w:rsid w:val="004F53F3"/>
    <w:rsid w:val="00505034"/>
    <w:rsid w:val="0050643B"/>
    <w:rsid w:val="005108A3"/>
    <w:rsid w:val="0052672C"/>
    <w:rsid w:val="00536E97"/>
    <w:rsid w:val="00563B3E"/>
    <w:rsid w:val="00565C35"/>
    <w:rsid w:val="0056624C"/>
    <w:rsid w:val="00581985"/>
    <w:rsid w:val="00585C59"/>
    <w:rsid w:val="005C243A"/>
    <w:rsid w:val="005C2FAD"/>
    <w:rsid w:val="005C3921"/>
    <w:rsid w:val="005D4C7A"/>
    <w:rsid w:val="005D5CF5"/>
    <w:rsid w:val="005E7DC3"/>
    <w:rsid w:val="005F1D5B"/>
    <w:rsid w:val="006131CC"/>
    <w:rsid w:val="00614873"/>
    <w:rsid w:val="006162AA"/>
    <w:rsid w:val="0061784B"/>
    <w:rsid w:val="0062253B"/>
    <w:rsid w:val="0064271E"/>
    <w:rsid w:val="006467CA"/>
    <w:rsid w:val="0065030A"/>
    <w:rsid w:val="00672F44"/>
    <w:rsid w:val="0068532B"/>
    <w:rsid w:val="006B7426"/>
    <w:rsid w:val="006C546B"/>
    <w:rsid w:val="006C7748"/>
    <w:rsid w:val="006D46DB"/>
    <w:rsid w:val="006D5BCC"/>
    <w:rsid w:val="006E0E3B"/>
    <w:rsid w:val="006F7716"/>
    <w:rsid w:val="00700765"/>
    <w:rsid w:val="007020B8"/>
    <w:rsid w:val="00705E97"/>
    <w:rsid w:val="00706F07"/>
    <w:rsid w:val="007156A8"/>
    <w:rsid w:val="007173C8"/>
    <w:rsid w:val="00734C84"/>
    <w:rsid w:val="00745DF1"/>
    <w:rsid w:val="00756C16"/>
    <w:rsid w:val="00760089"/>
    <w:rsid w:val="007729FA"/>
    <w:rsid w:val="00785378"/>
    <w:rsid w:val="00791CFB"/>
    <w:rsid w:val="00791D23"/>
    <w:rsid w:val="0079386A"/>
    <w:rsid w:val="0079531C"/>
    <w:rsid w:val="007A2969"/>
    <w:rsid w:val="007B1946"/>
    <w:rsid w:val="007B3235"/>
    <w:rsid w:val="007C5CF1"/>
    <w:rsid w:val="007D1ECF"/>
    <w:rsid w:val="007F2756"/>
    <w:rsid w:val="007F6C30"/>
    <w:rsid w:val="0080236C"/>
    <w:rsid w:val="008046D7"/>
    <w:rsid w:val="00820716"/>
    <w:rsid w:val="00820867"/>
    <w:rsid w:val="008269F1"/>
    <w:rsid w:val="00843449"/>
    <w:rsid w:val="0086100F"/>
    <w:rsid w:val="008744CE"/>
    <w:rsid w:val="008912FE"/>
    <w:rsid w:val="00896FC8"/>
    <w:rsid w:val="00897A74"/>
    <w:rsid w:val="008B43CE"/>
    <w:rsid w:val="008B47C1"/>
    <w:rsid w:val="008B6811"/>
    <w:rsid w:val="008C5030"/>
    <w:rsid w:val="008E08E9"/>
    <w:rsid w:val="008E0B3D"/>
    <w:rsid w:val="008F55ED"/>
    <w:rsid w:val="00902318"/>
    <w:rsid w:val="009059FB"/>
    <w:rsid w:val="00913250"/>
    <w:rsid w:val="009169CA"/>
    <w:rsid w:val="00917C50"/>
    <w:rsid w:val="00937F6D"/>
    <w:rsid w:val="00942E2B"/>
    <w:rsid w:val="00955382"/>
    <w:rsid w:val="009729DF"/>
    <w:rsid w:val="00973FD4"/>
    <w:rsid w:val="00976225"/>
    <w:rsid w:val="00977CD5"/>
    <w:rsid w:val="0099707E"/>
    <w:rsid w:val="009A2E17"/>
    <w:rsid w:val="009A3F2F"/>
    <w:rsid w:val="009C286D"/>
    <w:rsid w:val="009C74A4"/>
    <w:rsid w:val="009D6BC5"/>
    <w:rsid w:val="00A004C8"/>
    <w:rsid w:val="00A017F8"/>
    <w:rsid w:val="00A06EB1"/>
    <w:rsid w:val="00A1641E"/>
    <w:rsid w:val="00A2759A"/>
    <w:rsid w:val="00A47E2A"/>
    <w:rsid w:val="00A62894"/>
    <w:rsid w:val="00AB1630"/>
    <w:rsid w:val="00AC0518"/>
    <w:rsid w:val="00AC4C77"/>
    <w:rsid w:val="00AD0394"/>
    <w:rsid w:val="00AD09E8"/>
    <w:rsid w:val="00AE2608"/>
    <w:rsid w:val="00AF20AC"/>
    <w:rsid w:val="00AF6776"/>
    <w:rsid w:val="00AF724D"/>
    <w:rsid w:val="00B0525E"/>
    <w:rsid w:val="00B10E98"/>
    <w:rsid w:val="00B1593D"/>
    <w:rsid w:val="00B40929"/>
    <w:rsid w:val="00B839B5"/>
    <w:rsid w:val="00BA12F7"/>
    <w:rsid w:val="00BC3175"/>
    <w:rsid w:val="00BD0676"/>
    <w:rsid w:val="00BD38DA"/>
    <w:rsid w:val="00BE4194"/>
    <w:rsid w:val="00BF23D1"/>
    <w:rsid w:val="00BF524B"/>
    <w:rsid w:val="00C00E5E"/>
    <w:rsid w:val="00C0183C"/>
    <w:rsid w:val="00C0232C"/>
    <w:rsid w:val="00C028C4"/>
    <w:rsid w:val="00C12693"/>
    <w:rsid w:val="00C34798"/>
    <w:rsid w:val="00C35DE3"/>
    <w:rsid w:val="00C41753"/>
    <w:rsid w:val="00C41CB5"/>
    <w:rsid w:val="00C44011"/>
    <w:rsid w:val="00C6392D"/>
    <w:rsid w:val="00C64807"/>
    <w:rsid w:val="00C741EF"/>
    <w:rsid w:val="00C90D35"/>
    <w:rsid w:val="00C94185"/>
    <w:rsid w:val="00CA2EC0"/>
    <w:rsid w:val="00CA4B8E"/>
    <w:rsid w:val="00CA5297"/>
    <w:rsid w:val="00CB3439"/>
    <w:rsid w:val="00CB76F7"/>
    <w:rsid w:val="00CC470C"/>
    <w:rsid w:val="00CD323A"/>
    <w:rsid w:val="00CD3A9D"/>
    <w:rsid w:val="00D0253B"/>
    <w:rsid w:val="00D10F56"/>
    <w:rsid w:val="00D16B1C"/>
    <w:rsid w:val="00D24257"/>
    <w:rsid w:val="00D257D6"/>
    <w:rsid w:val="00D2652F"/>
    <w:rsid w:val="00D434C8"/>
    <w:rsid w:val="00D56CDD"/>
    <w:rsid w:val="00D610CC"/>
    <w:rsid w:val="00D812A4"/>
    <w:rsid w:val="00D962A9"/>
    <w:rsid w:val="00D96D17"/>
    <w:rsid w:val="00DA5CFB"/>
    <w:rsid w:val="00DB0275"/>
    <w:rsid w:val="00DB1C34"/>
    <w:rsid w:val="00DB258C"/>
    <w:rsid w:val="00DB2C50"/>
    <w:rsid w:val="00DC14C3"/>
    <w:rsid w:val="00DC68E0"/>
    <w:rsid w:val="00DD74A4"/>
    <w:rsid w:val="00DE7C23"/>
    <w:rsid w:val="00DF0DF7"/>
    <w:rsid w:val="00DF5060"/>
    <w:rsid w:val="00E0128A"/>
    <w:rsid w:val="00E12AB0"/>
    <w:rsid w:val="00E13C45"/>
    <w:rsid w:val="00E15C60"/>
    <w:rsid w:val="00E27495"/>
    <w:rsid w:val="00E354C0"/>
    <w:rsid w:val="00E37435"/>
    <w:rsid w:val="00E64DD9"/>
    <w:rsid w:val="00E73776"/>
    <w:rsid w:val="00E76429"/>
    <w:rsid w:val="00E92102"/>
    <w:rsid w:val="00EA7BE5"/>
    <w:rsid w:val="00EB5859"/>
    <w:rsid w:val="00EE023F"/>
    <w:rsid w:val="00EF545F"/>
    <w:rsid w:val="00F002BD"/>
    <w:rsid w:val="00F03836"/>
    <w:rsid w:val="00F1459F"/>
    <w:rsid w:val="00F2546B"/>
    <w:rsid w:val="00F343D2"/>
    <w:rsid w:val="00F46011"/>
    <w:rsid w:val="00F47566"/>
    <w:rsid w:val="00F53E29"/>
    <w:rsid w:val="00F63709"/>
    <w:rsid w:val="00F63E50"/>
    <w:rsid w:val="00F80F7B"/>
    <w:rsid w:val="00F85FF7"/>
    <w:rsid w:val="00F958E5"/>
    <w:rsid w:val="00FA114E"/>
    <w:rsid w:val="00FA4265"/>
    <w:rsid w:val="00FB1654"/>
    <w:rsid w:val="00FB649C"/>
    <w:rsid w:val="00FD5199"/>
    <w:rsid w:val="00FE145D"/>
    <w:rsid w:val="00FE2A09"/>
    <w:rsid w:val="00FE4CC2"/>
    <w:rsid w:val="00FE7060"/>
    <w:rsid w:val="00FF56DC"/>
    <w:rsid w:val="00FF6174"/>
    <w:rsid w:val="039B5B6E"/>
    <w:rsid w:val="0A187F27"/>
    <w:rsid w:val="0AAF1847"/>
    <w:rsid w:val="1D725739"/>
    <w:rsid w:val="1D7E7C3A"/>
    <w:rsid w:val="22C141A3"/>
    <w:rsid w:val="243F3E9B"/>
    <w:rsid w:val="25355375"/>
    <w:rsid w:val="263D174D"/>
    <w:rsid w:val="26F13502"/>
    <w:rsid w:val="28232F7C"/>
    <w:rsid w:val="2B040302"/>
    <w:rsid w:val="2D481281"/>
    <w:rsid w:val="2F433B90"/>
    <w:rsid w:val="34784F8C"/>
    <w:rsid w:val="37144770"/>
    <w:rsid w:val="41981549"/>
    <w:rsid w:val="46FF67C5"/>
    <w:rsid w:val="4BC21F9C"/>
    <w:rsid w:val="54C73BEB"/>
    <w:rsid w:val="582E1C82"/>
    <w:rsid w:val="5A3609A1"/>
    <w:rsid w:val="60382902"/>
    <w:rsid w:val="644D2537"/>
    <w:rsid w:val="68A27411"/>
    <w:rsid w:val="6AFA4153"/>
    <w:rsid w:val="6B61461B"/>
    <w:rsid w:val="6BBA5E0C"/>
    <w:rsid w:val="6F1674DE"/>
    <w:rsid w:val="6F76166B"/>
    <w:rsid w:val="7316544B"/>
    <w:rsid w:val="73AB1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link w:val="42"/>
    <w:qFormat/>
    <w:uiPriority w:val="0"/>
    <w:pPr>
      <w:spacing w:after="120"/>
      <w:ind w:left="420" w:leftChars="200"/>
    </w:pPr>
    <w:rPr>
      <w:kern w:val="0"/>
      <w:sz w:val="20"/>
      <w:szCs w:val="20"/>
    </w:rPr>
  </w:style>
  <w:style w:type="paragraph" w:styleId="4">
    <w:name w:val="Body Text First Indent"/>
    <w:basedOn w:val="5"/>
    <w:next w:val="6"/>
    <w:qFormat/>
    <w:uiPriority w:val="0"/>
    <w:pPr>
      <w:spacing w:line="390" w:lineRule="atLeast"/>
      <w:ind w:firstLine="420" w:firstLineChars="100"/>
    </w:pPr>
    <w:rPr>
      <w:sz w:val="24"/>
      <w:szCs w:val="24"/>
    </w:rPr>
  </w:style>
  <w:style w:type="paragraph" w:styleId="5">
    <w:name w:val="Body Text"/>
    <w:basedOn w:val="1"/>
    <w:next w:val="4"/>
    <w:qFormat/>
    <w:uiPriority w:val="0"/>
    <w:pPr>
      <w:spacing w:after="120"/>
    </w:pPr>
    <w:rPr>
      <w:kern w:val="0"/>
      <w:sz w:val="20"/>
      <w:szCs w:val="20"/>
    </w:rPr>
  </w:style>
  <w:style w:type="paragraph" w:styleId="6">
    <w:name w:val="toc 6"/>
    <w:basedOn w:val="1"/>
    <w:next w:val="1"/>
    <w:semiHidden/>
    <w:unhideWhenUsed/>
    <w:qFormat/>
    <w:uiPriority w:val="0"/>
    <w:pPr>
      <w:ind w:left="2100" w:leftChars="1000"/>
    </w:pPr>
  </w:style>
  <w:style w:type="paragraph" w:styleId="9">
    <w:name w:val="List Number"/>
    <w:basedOn w:val="1"/>
    <w:qFormat/>
    <w:uiPriority w:val="0"/>
    <w:pPr>
      <w:numPr>
        <w:ilvl w:val="0"/>
        <w:numId w:val="1"/>
      </w:numPr>
    </w:pPr>
  </w:style>
  <w:style w:type="paragraph" w:styleId="10">
    <w:name w:val="Normal Indent"/>
    <w:basedOn w:val="1"/>
    <w:qFormat/>
    <w:uiPriority w:val="0"/>
    <w:pPr>
      <w:ind w:firstLine="420"/>
    </w:pPr>
    <w:rPr>
      <w:kern w:val="0"/>
      <w:sz w:val="20"/>
      <w:szCs w:val="20"/>
    </w:rPr>
  </w:style>
  <w:style w:type="paragraph" w:styleId="11">
    <w:name w:val="caption"/>
    <w:basedOn w:val="1"/>
    <w:next w:val="1"/>
    <w:qFormat/>
    <w:uiPriority w:val="0"/>
    <w:rPr>
      <w:rFonts w:ascii="Arial" w:hAnsi="Arial" w:eastAsia="黑体" w:cs="Arial"/>
      <w:sz w:val="20"/>
      <w:szCs w:val="20"/>
    </w:rPr>
  </w:style>
  <w:style w:type="paragraph" w:styleId="12">
    <w:name w:val="Plain Text"/>
    <w:basedOn w:val="1"/>
    <w:link w:val="44"/>
    <w:qFormat/>
    <w:uiPriority w:val="0"/>
    <w:pPr>
      <w:spacing w:beforeLines="50" w:afterLines="50" w:line="400" w:lineRule="exact"/>
    </w:pPr>
    <w:rPr>
      <w:rFonts w:ascii="宋体" w:hAnsi="Courier New" w:cs="宋体"/>
      <w:kern w:val="0"/>
    </w:rPr>
  </w:style>
  <w:style w:type="paragraph" w:styleId="13">
    <w:name w:val="toc 8"/>
    <w:basedOn w:val="1"/>
    <w:next w:val="1"/>
    <w:qFormat/>
    <w:uiPriority w:val="0"/>
    <w:pPr>
      <w:ind w:left="1470"/>
      <w:jc w:val="left"/>
    </w:pPr>
    <w:rPr>
      <w:sz w:val="18"/>
      <w:szCs w:val="18"/>
    </w:rPr>
  </w:style>
  <w:style w:type="paragraph" w:styleId="14">
    <w:name w:val="Date"/>
    <w:basedOn w:val="1"/>
    <w:next w:val="1"/>
    <w:qFormat/>
    <w:uiPriority w:val="0"/>
    <w:pPr>
      <w:ind w:left="100" w:leftChars="2500"/>
    </w:pPr>
    <w:rPr>
      <w:kern w:val="0"/>
      <w:sz w:val="20"/>
      <w:szCs w:val="20"/>
    </w:rPr>
  </w:style>
  <w:style w:type="paragraph" w:styleId="15">
    <w:name w:val="Body Text Indent 2"/>
    <w:basedOn w:val="1"/>
    <w:link w:val="43"/>
    <w:qFormat/>
    <w:uiPriority w:val="0"/>
    <w:pPr>
      <w:spacing w:after="120" w:line="480" w:lineRule="auto"/>
      <w:ind w:left="420" w:leftChars="200"/>
    </w:pPr>
    <w:rPr>
      <w:rFonts w:ascii="Calibri" w:hAnsi="Calibri"/>
    </w:rPr>
  </w:style>
  <w:style w:type="paragraph" w:styleId="16">
    <w:name w:val="Balloon Text"/>
    <w:basedOn w:val="1"/>
    <w:link w:val="39"/>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sz w:val="28"/>
      <w:szCs w:val="28"/>
    </w:rPr>
  </w:style>
  <w:style w:type="paragraph" w:styleId="20">
    <w:name w:val="footnote text"/>
    <w:basedOn w:val="1"/>
    <w:semiHidden/>
    <w:qFormat/>
    <w:uiPriority w:val="99"/>
    <w:pPr>
      <w:snapToGrid w:val="0"/>
      <w:jc w:val="left"/>
    </w:pPr>
    <w:rPr>
      <w:kern w:val="0"/>
      <w:sz w:val="18"/>
      <w:szCs w:val="18"/>
    </w:rPr>
  </w:style>
  <w:style w:type="paragraph" w:styleId="21">
    <w:name w:val="Body Text Indent 3"/>
    <w:basedOn w:val="1"/>
    <w:qFormat/>
    <w:uiPriority w:val="0"/>
    <w:pPr>
      <w:spacing w:after="120"/>
      <w:ind w:left="420" w:leftChars="200"/>
    </w:pPr>
    <w:rPr>
      <w:kern w:val="0"/>
      <w:sz w:val="16"/>
      <w:szCs w:val="16"/>
    </w:rPr>
  </w:style>
  <w:style w:type="paragraph" w:styleId="22">
    <w:name w:val="Body Text 2"/>
    <w:basedOn w:val="1"/>
    <w:qFormat/>
    <w:uiPriority w:val="0"/>
    <w:pPr>
      <w:widowControl/>
      <w:snapToGrid w:val="0"/>
      <w:spacing w:before="50" w:afterLines="50" w:line="400" w:lineRule="exact"/>
      <w:jc w:val="left"/>
    </w:pPr>
    <w:rPr>
      <w:kern w:val="0"/>
      <w:sz w:val="20"/>
      <w:szCs w:val="20"/>
    </w:rPr>
  </w:style>
  <w:style w:type="paragraph" w:styleId="23">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qFormat/>
    <w:uiPriority w:val="0"/>
    <w:rPr>
      <w:color w:val="333333"/>
      <w:u w:val="none"/>
    </w:rPr>
  </w:style>
  <w:style w:type="paragraph" w:customStyle="1" w:styleId="29">
    <w:name w:val="列出段落1"/>
    <w:basedOn w:val="1"/>
    <w:qFormat/>
    <w:uiPriority w:val="34"/>
    <w:pPr>
      <w:ind w:firstLine="420" w:firstLineChars="200"/>
    </w:pPr>
    <w:rPr>
      <w:rFonts w:ascii="Calibri" w:hAnsi="Calibri"/>
      <w:kern w:val="0"/>
      <w:sz w:val="20"/>
      <w:szCs w:val="20"/>
    </w:rPr>
  </w:style>
  <w:style w:type="paragraph" w:customStyle="1" w:styleId="30">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1">
    <w:name w:val="表正文"/>
    <w:basedOn w:val="1"/>
    <w:qFormat/>
    <w:uiPriority w:val="0"/>
    <w:pPr>
      <w:jc w:val="left"/>
    </w:pPr>
    <w:rPr>
      <w:rFonts w:ascii="Arial" w:hAnsi="Arial"/>
      <w:sz w:val="18"/>
      <w:szCs w:val="21"/>
    </w:rPr>
  </w:style>
  <w:style w:type="paragraph" w:customStyle="1" w:styleId="32">
    <w:name w:val="样式 列表编号 + 段后: 0.5 行"/>
    <w:basedOn w:val="9"/>
    <w:qFormat/>
    <w:uiPriority w:val="0"/>
  </w:style>
  <w:style w:type="paragraph" w:customStyle="1" w:styleId="33">
    <w:name w:val="默认段落字体 Para Char Char Char Char Char Char Char Char Char1 Char Char Char Char"/>
    <w:basedOn w:val="1"/>
    <w:qFormat/>
    <w:uiPriority w:val="0"/>
    <w:rPr>
      <w:rFonts w:ascii="Tahoma" w:hAnsi="Tahoma" w:cs="Tahoma"/>
      <w:sz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表格文字"/>
    <w:basedOn w:val="1"/>
    <w:qFormat/>
    <w:uiPriority w:val="0"/>
    <w:pPr>
      <w:spacing w:before="25" w:after="25"/>
      <w:jc w:val="left"/>
    </w:pPr>
    <w:rPr>
      <w:spacing w:val="10"/>
      <w:kern w:val="0"/>
      <w:sz w:val="24"/>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Char"/>
    <w:basedOn w:val="1"/>
    <w:qFormat/>
    <w:uiPriority w:val="0"/>
  </w:style>
  <w:style w:type="character" w:customStyle="1" w:styleId="39">
    <w:name w:val="批注框文本 Char"/>
    <w:basedOn w:val="26"/>
    <w:link w:val="16"/>
    <w:qFormat/>
    <w:uiPriority w:val="0"/>
    <w:rPr>
      <w:rFonts w:ascii="Times New Roman" w:hAnsi="Times New Roman" w:eastAsia="宋体" w:cs="Times New Roman"/>
      <w:kern w:val="2"/>
      <w:sz w:val="18"/>
      <w:szCs w:val="18"/>
    </w:rPr>
  </w:style>
  <w:style w:type="character" w:customStyle="1" w:styleId="40">
    <w:name w:val="页眉 Char"/>
    <w:basedOn w:val="26"/>
    <w:link w:val="18"/>
    <w:qFormat/>
    <w:uiPriority w:val="0"/>
    <w:rPr>
      <w:rFonts w:ascii="Times New Roman" w:hAnsi="Times New Roman" w:eastAsia="宋体" w:cs="Times New Roman"/>
      <w:kern w:val="2"/>
      <w:sz w:val="18"/>
      <w:szCs w:val="18"/>
    </w:rPr>
  </w:style>
  <w:style w:type="paragraph" w:customStyle="1" w:styleId="41">
    <w:name w:val="样式4"/>
    <w:basedOn w:val="1"/>
    <w:qFormat/>
    <w:uiPriority w:val="0"/>
    <w:pPr>
      <w:ind w:firstLine="482"/>
    </w:pPr>
    <w:rPr>
      <w:rFonts w:asciiTheme="minorHAnsi" w:hAnsiTheme="minorHAnsi" w:eastAsiaTheme="minorEastAsia" w:cstheme="minorBidi"/>
      <w:b/>
    </w:rPr>
  </w:style>
  <w:style w:type="character" w:customStyle="1" w:styleId="42">
    <w:name w:val="正文文本缩进 Char"/>
    <w:basedOn w:val="26"/>
    <w:link w:val="3"/>
    <w:qFormat/>
    <w:uiPriority w:val="0"/>
    <w:rPr>
      <w:rFonts w:ascii="Times New Roman" w:hAnsi="Times New Roman" w:eastAsia="宋体" w:cs="Times New Roman"/>
    </w:rPr>
  </w:style>
  <w:style w:type="character" w:customStyle="1" w:styleId="43">
    <w:name w:val="正文文本缩进 2 Char"/>
    <w:basedOn w:val="26"/>
    <w:link w:val="15"/>
    <w:qFormat/>
    <w:uiPriority w:val="0"/>
    <w:rPr>
      <w:rFonts w:ascii="Calibri" w:hAnsi="Calibri" w:eastAsia="宋体" w:cs="Times New Roman"/>
      <w:kern w:val="2"/>
      <w:sz w:val="21"/>
      <w:szCs w:val="24"/>
    </w:rPr>
  </w:style>
  <w:style w:type="character" w:customStyle="1" w:styleId="44">
    <w:name w:val="纯文本 Char"/>
    <w:basedOn w:val="26"/>
    <w:link w:val="12"/>
    <w:qFormat/>
    <w:uiPriority w:val="0"/>
    <w:rPr>
      <w:rFonts w:ascii="宋体" w:hAnsi="Courier New" w:eastAsia="宋体" w:cs="宋体"/>
      <w:sz w:val="21"/>
      <w:szCs w:val="24"/>
    </w:rPr>
  </w:style>
  <w:style w:type="character" w:customStyle="1" w:styleId="45">
    <w:name w:val="纯文本 Char1"/>
    <w:qFormat/>
    <w:uiPriority w:val="0"/>
    <w:rPr>
      <w:rFonts w:ascii="宋体" w:hAnsi="Courier New"/>
      <w:kern w:val="2"/>
      <w:sz w:val="24"/>
      <w:szCs w:val="24"/>
    </w:rPr>
  </w:style>
  <w:style w:type="character" w:customStyle="1" w:styleId="46">
    <w:name w:val="正文文本缩进 Char1"/>
    <w:qFormat/>
    <w:uiPriority w:val="0"/>
    <w:rPr>
      <w:rFonts w:ascii="Times New Roman" w:hAnsi="Times New Roman" w:eastAsia="宋体" w:cs="Times New Roman"/>
      <w:kern w:val="0"/>
      <w:sz w:val="20"/>
      <w:szCs w:val="20"/>
    </w:rPr>
  </w:style>
  <w:style w:type="character" w:customStyle="1" w:styleId="47">
    <w:name w:val="纯文本 Char4"/>
    <w:qFormat/>
    <w:uiPriority w:val="0"/>
    <w:rPr>
      <w:rFonts w:ascii="宋体" w:hAnsi="Courier New"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D53D-2AAA-4883-9E9B-DA9887C296D1}">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5110</Words>
  <Characters>29133</Characters>
  <Lines>242</Lines>
  <Paragraphs>68</Paragraphs>
  <TotalTime>84</TotalTime>
  <ScaleCrop>false</ScaleCrop>
  <LinksUpToDate>false</LinksUpToDate>
  <CharactersWithSpaces>34175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2023-08-05T03:55:00Z</dcterms:created>
  <dc:creator>小浪花</dc:creator>
  <cp:lastModifiedBy>不搭.</cp:lastModifiedBy>
  <cp:lastPrinted>2023-11-03T07:57:46Z</cp:lastPrinted>
  <dcterms:modified xsi:type="dcterms:W3CDTF">2023-11-03T08:25:12Z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93AC7302FA4A40EAB676F639794F00B1_13</vt:lpwstr>
  </property>
</Properties>
</file>