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宋体" w:eastAsia="仿宋_GB2312"/>
          <w:b/>
          <w:sz w:val="52"/>
          <w:szCs w:val="52"/>
        </w:rPr>
      </w:pPr>
    </w:p>
    <w:p>
      <w:pPr>
        <w:spacing w:line="360" w:lineRule="auto"/>
        <w:jc w:val="center"/>
        <w:rPr>
          <w:rFonts w:ascii="宋体" w:hAnsi="宋体"/>
          <w:b/>
          <w:sz w:val="44"/>
          <w:szCs w:val="44"/>
        </w:rPr>
      </w:pPr>
      <w:r>
        <w:rPr>
          <w:rFonts w:hint="eastAsia" w:ascii="宋体" w:hAnsi="宋体"/>
          <w:b/>
          <w:sz w:val="44"/>
          <w:szCs w:val="44"/>
        </w:rPr>
        <w:t>湖州师范学院工学院中国智能制造挑战赛实验室设备采购项目</w:t>
      </w:r>
    </w:p>
    <w:p>
      <w:pPr>
        <w:spacing w:line="360" w:lineRule="auto"/>
        <w:rPr>
          <w:rFonts w:ascii="宋体" w:hAnsi="宋体"/>
          <w:b/>
          <w:sz w:val="28"/>
          <w:szCs w:val="28"/>
        </w:rPr>
      </w:pPr>
    </w:p>
    <w:p>
      <w:pPr>
        <w:snapToGrid w:val="0"/>
        <w:spacing w:line="360" w:lineRule="auto"/>
        <w:jc w:val="center"/>
        <w:rPr>
          <w:rFonts w:ascii="宋体" w:hAnsi="宋体"/>
          <w:b/>
          <w:sz w:val="28"/>
          <w:szCs w:val="28"/>
        </w:rPr>
      </w:pPr>
      <w:r>
        <w:rPr>
          <w:rFonts w:hint="eastAsia" w:ascii="宋体" w:hAnsi="宋体"/>
          <w:b/>
          <w:sz w:val="28"/>
          <w:szCs w:val="28"/>
        </w:rPr>
        <w:t>（财政审批编号：HZCG[2022]2061号）</w:t>
      </w:r>
    </w:p>
    <w:p>
      <w:pPr>
        <w:snapToGrid w:val="0"/>
        <w:spacing w:before="120" w:beforeLines="50" w:line="360" w:lineRule="auto"/>
        <w:jc w:val="center"/>
        <w:rPr>
          <w:rFonts w:ascii="隶书" w:hAnsi="Arial Narrow" w:eastAsia="楷体_GB2312"/>
          <w:sz w:val="30"/>
          <w:szCs w:val="72"/>
        </w:rPr>
      </w:pPr>
      <w:r>
        <w:rPr>
          <w:rFonts w:hint="eastAsia" w:ascii="宋体" w:hAnsi="宋体" w:cs="宋体"/>
          <w:b/>
          <w:sz w:val="52"/>
          <w:szCs w:val="52"/>
        </w:rPr>
        <w:t>（电子招投标）</w:t>
      </w:r>
    </w:p>
    <w:p>
      <w:pPr>
        <w:snapToGrid w:val="0"/>
        <w:spacing w:before="120" w:beforeLines="50" w:line="360" w:lineRule="auto"/>
        <w:rPr>
          <w:rFonts w:ascii="隶书" w:hAnsi="Arial Narrow" w:eastAsia="楷体_GB2312"/>
          <w:sz w:val="30"/>
          <w:szCs w:val="72"/>
        </w:rPr>
      </w:pPr>
    </w:p>
    <w:p>
      <w:pPr>
        <w:spacing w:before="120" w:beforeLines="50"/>
        <w:jc w:val="center"/>
        <w:rPr>
          <w:rFonts w:ascii="宋体" w:hAnsi="宋体"/>
          <w:sz w:val="72"/>
          <w:szCs w:val="72"/>
        </w:rPr>
      </w:pPr>
      <w:r>
        <w:rPr>
          <w:rFonts w:hint="eastAsia" w:ascii="宋体" w:hAnsi="宋体"/>
          <w:sz w:val="72"/>
          <w:szCs w:val="72"/>
        </w:rPr>
        <w:t>公开招标采购文件</w:t>
      </w:r>
    </w:p>
    <w:p>
      <w:pPr>
        <w:snapToGrid w:val="0"/>
        <w:spacing w:line="360" w:lineRule="auto"/>
        <w:rPr>
          <w:rFonts w:ascii="宋体" w:hAnsi="宋体"/>
          <w:sz w:val="30"/>
          <w:szCs w:val="72"/>
        </w:rPr>
      </w:pPr>
    </w:p>
    <w:p>
      <w:pPr>
        <w:snapToGrid w:val="0"/>
        <w:spacing w:line="360" w:lineRule="auto"/>
        <w:rPr>
          <w:rFonts w:ascii="宋体" w:hAnsi="宋体"/>
          <w:sz w:val="30"/>
          <w:szCs w:val="72"/>
        </w:rPr>
      </w:pPr>
    </w:p>
    <w:p>
      <w:pPr>
        <w:snapToGrid w:val="0"/>
        <w:spacing w:line="360" w:lineRule="auto"/>
        <w:rPr>
          <w:rFonts w:ascii="宋体" w:hAnsi="宋体"/>
          <w:sz w:val="30"/>
          <w:szCs w:val="72"/>
        </w:rPr>
      </w:pPr>
    </w:p>
    <w:p>
      <w:pPr>
        <w:pStyle w:val="20"/>
        <w:snapToGrid w:val="0"/>
        <w:spacing w:beforeLines="0" w:afterLines="0" w:line="360" w:lineRule="auto"/>
        <w:ind w:firstLine="596" w:firstLineChars="198"/>
        <w:rPr>
          <w:rFonts w:hAnsi="宋体"/>
          <w:b/>
          <w:sz w:val="30"/>
          <w:szCs w:val="30"/>
        </w:rPr>
      </w:pPr>
      <w:r>
        <w:rPr>
          <w:rFonts w:hAnsi="宋体"/>
          <w:b/>
          <w:sz w:val="30"/>
          <w:szCs w:val="30"/>
        </w:rPr>
        <w:t>项目编号：</w:t>
      </w:r>
      <w:r>
        <w:rPr>
          <w:rFonts w:hint="eastAsia" w:hAnsi="宋体"/>
          <w:b/>
          <w:sz w:val="30"/>
          <w:szCs w:val="30"/>
        </w:rPr>
        <w:t>HYHZ2022-135</w:t>
      </w:r>
    </w:p>
    <w:p>
      <w:pPr>
        <w:pStyle w:val="20"/>
        <w:snapToGrid w:val="0"/>
        <w:spacing w:beforeLines="0" w:afterLines="0" w:line="360" w:lineRule="auto"/>
        <w:ind w:left="2086" w:leftChars="282" w:hanging="1494" w:hangingChars="496"/>
        <w:rPr>
          <w:rFonts w:hAnsi="宋体"/>
          <w:b/>
          <w:sz w:val="30"/>
          <w:szCs w:val="30"/>
        </w:rPr>
      </w:pPr>
      <w:r>
        <w:rPr>
          <w:rFonts w:hint="eastAsia" w:hAnsi="宋体"/>
          <w:b/>
          <w:sz w:val="30"/>
          <w:szCs w:val="30"/>
        </w:rPr>
        <w:t>项目名称：湖州师范学院工学院中国智能制造挑战赛实验室设备采购项目</w:t>
      </w:r>
    </w:p>
    <w:p>
      <w:pPr>
        <w:pStyle w:val="20"/>
        <w:snapToGrid w:val="0"/>
        <w:spacing w:beforeLines="0" w:afterLines="0" w:line="360" w:lineRule="auto"/>
        <w:ind w:left="2087" w:leftChars="284" w:hanging="1491" w:hangingChars="495"/>
        <w:rPr>
          <w:rFonts w:hAnsi="宋体"/>
          <w:b/>
          <w:sz w:val="30"/>
          <w:szCs w:val="30"/>
        </w:rPr>
      </w:pPr>
      <w:r>
        <w:rPr>
          <w:rFonts w:hAnsi="宋体"/>
          <w:b/>
          <w:sz w:val="30"/>
          <w:szCs w:val="30"/>
        </w:rPr>
        <w:t>采购单位：</w:t>
      </w:r>
      <w:r>
        <w:rPr>
          <w:rFonts w:hint="eastAsia" w:hAnsi="宋体"/>
          <w:b/>
          <w:sz w:val="30"/>
          <w:szCs w:val="30"/>
        </w:rPr>
        <w:t>湖州师范学院</w:t>
      </w:r>
    </w:p>
    <w:p>
      <w:pPr>
        <w:pStyle w:val="20"/>
        <w:snapToGrid w:val="0"/>
        <w:spacing w:beforeLines="0" w:afterLines="0" w:line="360" w:lineRule="auto"/>
        <w:ind w:firstLine="590" w:firstLineChars="196"/>
        <w:rPr>
          <w:rFonts w:hAnsi="宋体"/>
          <w:b/>
          <w:sz w:val="30"/>
          <w:szCs w:val="30"/>
        </w:rPr>
      </w:pPr>
      <w:r>
        <w:rPr>
          <w:rFonts w:hAnsi="宋体"/>
          <w:b/>
          <w:sz w:val="30"/>
          <w:szCs w:val="30"/>
        </w:rPr>
        <w:t>代理机构：</w:t>
      </w:r>
      <w:r>
        <w:rPr>
          <w:rFonts w:hint="eastAsia" w:hAnsi="宋体"/>
          <w:b/>
          <w:sz w:val="30"/>
          <w:szCs w:val="30"/>
        </w:rPr>
        <w:t>浙江华耀建设咨询有限公司</w:t>
      </w:r>
    </w:p>
    <w:p>
      <w:pPr>
        <w:pStyle w:val="20"/>
        <w:snapToGrid w:val="0"/>
        <w:spacing w:beforeLines="0" w:afterLines="0" w:line="360" w:lineRule="auto"/>
        <w:ind w:firstLine="590" w:firstLineChars="196"/>
        <w:rPr>
          <w:rFonts w:hAnsi="宋体"/>
          <w:b/>
          <w:sz w:val="30"/>
          <w:szCs w:val="30"/>
        </w:rPr>
      </w:pPr>
    </w:p>
    <w:p>
      <w:pPr>
        <w:snapToGrid w:val="0"/>
        <w:spacing w:line="360" w:lineRule="auto"/>
        <w:jc w:val="center"/>
        <w:rPr>
          <w:rFonts w:ascii="宋体" w:hAnsi="宋体"/>
          <w:b/>
          <w:bCs/>
          <w:w w:val="95"/>
          <w:sz w:val="30"/>
          <w:szCs w:val="30"/>
        </w:rPr>
      </w:pPr>
      <w:r>
        <w:rPr>
          <w:rFonts w:hint="eastAsia" w:ascii="宋体" w:hAnsi="宋体"/>
          <w:b/>
          <w:bCs/>
          <w:w w:val="95"/>
          <w:sz w:val="30"/>
          <w:szCs w:val="30"/>
        </w:rPr>
        <w:t xml:space="preserve">                      2022年</w:t>
      </w:r>
      <w:r>
        <w:rPr>
          <w:rFonts w:hint="eastAsia" w:ascii="宋体" w:hAnsi="宋体"/>
          <w:b/>
          <w:bCs/>
          <w:w w:val="95"/>
          <w:sz w:val="30"/>
          <w:szCs w:val="30"/>
          <w:lang w:val="en-US" w:eastAsia="zh-CN"/>
        </w:rPr>
        <w:t>8</w:t>
      </w:r>
      <w:r>
        <w:rPr>
          <w:rFonts w:hint="eastAsia" w:ascii="宋体" w:hAnsi="宋体"/>
          <w:b/>
          <w:bCs/>
          <w:w w:val="95"/>
          <w:sz w:val="30"/>
          <w:szCs w:val="30"/>
        </w:rPr>
        <w:t>月</w:t>
      </w:r>
      <w:r>
        <w:rPr>
          <w:rFonts w:hint="eastAsia" w:ascii="宋体" w:hAnsi="宋体"/>
          <w:b/>
          <w:bCs/>
          <w:w w:val="95"/>
          <w:sz w:val="30"/>
          <w:szCs w:val="30"/>
          <w:lang w:val="en-US" w:eastAsia="zh-CN"/>
        </w:rPr>
        <w:t>5</w:t>
      </w:r>
      <w:r>
        <w:rPr>
          <w:rFonts w:hint="eastAsia" w:ascii="宋体" w:hAnsi="宋体"/>
          <w:b/>
          <w:bCs/>
          <w:w w:val="95"/>
          <w:sz w:val="30"/>
          <w:szCs w:val="30"/>
        </w:rPr>
        <w:t>日</w:t>
      </w:r>
    </w:p>
    <w:p>
      <w:pPr>
        <w:pStyle w:val="20"/>
        <w:spacing w:beforeLines="0" w:afterLines="0" w:line="360" w:lineRule="auto"/>
        <w:jc w:val="center"/>
        <w:rPr>
          <w:rFonts w:ascii="创艺简标宋" w:hAnsi="宋体" w:eastAsia="创艺简标宋"/>
          <w:b/>
          <w:sz w:val="44"/>
          <w:szCs w:val="44"/>
        </w:rPr>
      </w:pPr>
    </w:p>
    <w:p>
      <w:pPr>
        <w:pStyle w:val="20"/>
        <w:spacing w:beforeLines="0" w:afterLines="0" w:line="360" w:lineRule="auto"/>
        <w:jc w:val="center"/>
        <w:rPr>
          <w:rFonts w:ascii="创艺简标宋" w:hAnsi="宋体" w:eastAsia="创艺简标宋"/>
          <w:b/>
          <w:sz w:val="44"/>
          <w:szCs w:val="44"/>
        </w:rPr>
      </w:pPr>
    </w:p>
    <w:p>
      <w:pPr>
        <w:pStyle w:val="20"/>
        <w:spacing w:beforeLines="0" w:afterLines="0" w:line="360" w:lineRule="auto"/>
        <w:jc w:val="center"/>
        <w:rPr>
          <w:rFonts w:ascii="创艺简标宋" w:hAnsi="宋体" w:eastAsia="创艺简标宋"/>
          <w:b/>
          <w:sz w:val="44"/>
          <w:szCs w:val="44"/>
        </w:rPr>
      </w:pPr>
      <w:r>
        <w:rPr>
          <w:rFonts w:hint="eastAsia" w:ascii="创艺简标宋" w:hAnsi="宋体" w:eastAsia="创艺简标宋"/>
          <w:b/>
          <w:sz w:val="44"/>
          <w:szCs w:val="44"/>
        </w:rPr>
        <w:t>目    录</w:t>
      </w:r>
    </w:p>
    <w:p>
      <w:pPr>
        <w:pStyle w:val="20"/>
        <w:spacing w:beforeLines="0" w:afterLines="0" w:line="360" w:lineRule="auto"/>
        <w:jc w:val="center"/>
        <w:rPr>
          <w:rFonts w:ascii="创艺简标宋" w:hAnsi="宋体" w:eastAsia="创艺简标宋"/>
          <w:b/>
          <w:sz w:val="44"/>
          <w:szCs w:val="44"/>
        </w:rPr>
      </w:pPr>
    </w:p>
    <w:p>
      <w:pPr>
        <w:pStyle w:val="20"/>
        <w:spacing w:beforeLines="0" w:afterLines="0" w:line="360" w:lineRule="auto"/>
        <w:jc w:val="center"/>
        <w:rPr>
          <w:rFonts w:ascii="创艺简标宋" w:hAnsi="宋体" w:eastAsia="创艺简标宋"/>
          <w:sz w:val="44"/>
          <w:szCs w:val="44"/>
        </w:rPr>
      </w:pPr>
    </w:p>
    <w:p>
      <w:pPr>
        <w:numPr>
          <w:ilvl w:val="0"/>
          <w:numId w:val="1"/>
        </w:numPr>
        <w:spacing w:line="360" w:lineRule="auto"/>
        <w:ind w:left="600" w:hanging="600"/>
        <w:rPr>
          <w:rFonts w:ascii="宋体" w:hAnsi="宋体"/>
          <w:sz w:val="30"/>
          <w:szCs w:val="20"/>
        </w:rPr>
      </w:pPr>
      <w:r>
        <w:rPr>
          <w:rFonts w:hint="eastAsia" w:ascii="宋体" w:hAnsi="宋体"/>
          <w:sz w:val="30"/>
        </w:rPr>
        <w:t>公开招标采购公告   -------------------------3</w:t>
      </w:r>
    </w:p>
    <w:p>
      <w:pPr>
        <w:numPr>
          <w:ilvl w:val="0"/>
          <w:numId w:val="1"/>
        </w:numPr>
        <w:spacing w:line="360" w:lineRule="auto"/>
        <w:ind w:left="600" w:hanging="600"/>
        <w:rPr>
          <w:rFonts w:ascii="宋体" w:hAnsi="宋体"/>
          <w:sz w:val="30"/>
          <w:szCs w:val="20"/>
        </w:rPr>
      </w:pPr>
      <w:r>
        <w:rPr>
          <w:rFonts w:hint="eastAsia" w:ascii="宋体" w:hAnsi="宋体"/>
          <w:sz w:val="30"/>
        </w:rPr>
        <w:t>招标需求   ---------------------------------8</w:t>
      </w:r>
    </w:p>
    <w:p>
      <w:pPr>
        <w:numPr>
          <w:ilvl w:val="0"/>
          <w:numId w:val="1"/>
        </w:numPr>
        <w:spacing w:line="360" w:lineRule="auto"/>
        <w:ind w:left="600" w:hanging="600"/>
        <w:rPr>
          <w:sz w:val="30"/>
          <w:szCs w:val="30"/>
        </w:rPr>
      </w:pPr>
      <w:r>
        <w:rPr>
          <w:rFonts w:hint="eastAsia" w:ascii="宋体" w:hAnsi="宋体"/>
          <w:sz w:val="30"/>
        </w:rPr>
        <w:t>投标人须知   ------------------------------24</w:t>
      </w:r>
    </w:p>
    <w:p>
      <w:pPr>
        <w:spacing w:line="360" w:lineRule="auto"/>
        <w:ind w:firstLine="1350" w:firstLineChars="450"/>
        <w:rPr>
          <w:rFonts w:ascii="宋体" w:hAnsi="宋体"/>
          <w:sz w:val="30"/>
        </w:rPr>
      </w:pPr>
      <w:r>
        <w:rPr>
          <w:rFonts w:hint="eastAsia"/>
          <w:sz w:val="30"/>
          <w:szCs w:val="30"/>
        </w:rPr>
        <w:t xml:space="preserve">一、总则    </w:t>
      </w:r>
      <w:r>
        <w:rPr>
          <w:rFonts w:hint="eastAsia" w:ascii="宋体" w:hAnsi="宋体"/>
          <w:sz w:val="30"/>
        </w:rPr>
        <w:t>--------------------------------25</w:t>
      </w:r>
    </w:p>
    <w:p>
      <w:pPr>
        <w:spacing w:line="360" w:lineRule="auto"/>
        <w:ind w:firstLine="1350" w:firstLineChars="450"/>
        <w:rPr>
          <w:rFonts w:ascii="宋体" w:hAnsi="宋体"/>
          <w:sz w:val="30"/>
        </w:rPr>
      </w:pPr>
      <w:r>
        <w:rPr>
          <w:rFonts w:hint="eastAsia"/>
          <w:sz w:val="30"/>
          <w:szCs w:val="30"/>
        </w:rPr>
        <w:t xml:space="preserve">二、招标文件  </w:t>
      </w:r>
      <w:r>
        <w:rPr>
          <w:rFonts w:hint="eastAsia" w:ascii="宋体" w:hAnsi="宋体"/>
          <w:sz w:val="30"/>
        </w:rPr>
        <w:t>------------------------------28</w:t>
      </w:r>
    </w:p>
    <w:p>
      <w:pPr>
        <w:spacing w:line="360" w:lineRule="auto"/>
        <w:ind w:firstLine="1350" w:firstLineChars="450"/>
        <w:rPr>
          <w:rFonts w:ascii="宋体" w:hAnsi="宋体"/>
          <w:sz w:val="30"/>
        </w:rPr>
      </w:pPr>
      <w:r>
        <w:rPr>
          <w:rFonts w:hint="eastAsia"/>
          <w:sz w:val="30"/>
          <w:szCs w:val="30"/>
        </w:rPr>
        <w:t xml:space="preserve">三、投标文件的编制 </w:t>
      </w:r>
      <w:r>
        <w:rPr>
          <w:rFonts w:hint="eastAsia" w:ascii="宋体" w:hAnsi="宋体"/>
          <w:sz w:val="30"/>
        </w:rPr>
        <w:t>-------------------------29</w:t>
      </w:r>
    </w:p>
    <w:p>
      <w:pPr>
        <w:spacing w:line="360" w:lineRule="auto"/>
        <w:ind w:firstLine="1350" w:firstLineChars="450"/>
        <w:rPr>
          <w:rFonts w:ascii="宋体" w:hAnsi="宋体"/>
          <w:sz w:val="30"/>
        </w:rPr>
      </w:pPr>
      <w:r>
        <w:rPr>
          <w:rFonts w:hint="eastAsia"/>
          <w:sz w:val="30"/>
          <w:szCs w:val="30"/>
        </w:rPr>
        <w:t xml:space="preserve">四、开标   </w:t>
      </w:r>
      <w:r>
        <w:rPr>
          <w:rFonts w:hint="eastAsia" w:ascii="宋体" w:hAnsi="宋体"/>
          <w:sz w:val="30"/>
        </w:rPr>
        <w:t>---------------------------------34</w:t>
      </w:r>
    </w:p>
    <w:p>
      <w:pPr>
        <w:spacing w:line="360" w:lineRule="auto"/>
        <w:ind w:firstLine="1350" w:firstLineChars="450"/>
        <w:rPr>
          <w:rFonts w:ascii="宋体" w:hAnsi="宋体"/>
          <w:sz w:val="30"/>
        </w:rPr>
      </w:pPr>
      <w:r>
        <w:rPr>
          <w:rFonts w:hint="eastAsia"/>
          <w:sz w:val="30"/>
          <w:szCs w:val="30"/>
        </w:rPr>
        <w:t xml:space="preserve">五、评标   </w:t>
      </w:r>
      <w:r>
        <w:rPr>
          <w:rFonts w:hint="eastAsia" w:ascii="宋体" w:hAnsi="宋体"/>
          <w:sz w:val="30"/>
        </w:rPr>
        <w:t>---------------------------------35</w:t>
      </w:r>
    </w:p>
    <w:p>
      <w:pPr>
        <w:spacing w:line="360" w:lineRule="auto"/>
        <w:ind w:firstLine="1350" w:firstLineChars="450"/>
        <w:rPr>
          <w:rFonts w:ascii="宋体" w:hAnsi="宋体"/>
          <w:sz w:val="30"/>
        </w:rPr>
      </w:pPr>
      <w:r>
        <w:rPr>
          <w:rFonts w:hint="eastAsia"/>
          <w:sz w:val="30"/>
          <w:szCs w:val="30"/>
        </w:rPr>
        <w:t xml:space="preserve">六、定标   </w:t>
      </w:r>
      <w:r>
        <w:rPr>
          <w:rFonts w:hint="eastAsia" w:ascii="宋体" w:hAnsi="宋体"/>
          <w:sz w:val="30"/>
        </w:rPr>
        <w:t>---------------------------------37</w:t>
      </w:r>
    </w:p>
    <w:p>
      <w:pPr>
        <w:spacing w:line="360" w:lineRule="auto"/>
        <w:ind w:firstLine="1350" w:firstLineChars="450"/>
        <w:rPr>
          <w:sz w:val="30"/>
          <w:szCs w:val="30"/>
        </w:rPr>
      </w:pPr>
      <w:r>
        <w:rPr>
          <w:rFonts w:hint="eastAsia"/>
          <w:sz w:val="30"/>
          <w:szCs w:val="30"/>
        </w:rPr>
        <w:t xml:space="preserve">七、合同授予   </w:t>
      </w:r>
      <w:r>
        <w:rPr>
          <w:rFonts w:hint="eastAsia" w:ascii="宋体" w:hAnsi="宋体"/>
          <w:sz w:val="30"/>
        </w:rPr>
        <w:t>-----------------------------38</w:t>
      </w:r>
    </w:p>
    <w:p>
      <w:pPr>
        <w:numPr>
          <w:ilvl w:val="0"/>
          <w:numId w:val="1"/>
        </w:numPr>
        <w:spacing w:line="360" w:lineRule="auto"/>
        <w:ind w:left="600" w:hanging="600"/>
        <w:rPr>
          <w:rFonts w:ascii="宋体" w:hAnsi="宋体"/>
          <w:sz w:val="30"/>
          <w:szCs w:val="20"/>
        </w:rPr>
      </w:pPr>
      <w:r>
        <w:rPr>
          <w:rFonts w:hint="eastAsia" w:ascii="宋体" w:hAnsi="宋体"/>
          <w:sz w:val="30"/>
        </w:rPr>
        <w:t>评标办法及评分标准 ------------------------39</w:t>
      </w:r>
    </w:p>
    <w:p>
      <w:pPr>
        <w:numPr>
          <w:ilvl w:val="0"/>
          <w:numId w:val="1"/>
        </w:numPr>
        <w:spacing w:line="360" w:lineRule="auto"/>
        <w:ind w:left="600" w:hanging="600"/>
        <w:rPr>
          <w:rFonts w:ascii="宋体" w:hAnsi="宋体"/>
          <w:sz w:val="30"/>
          <w:szCs w:val="20"/>
        </w:rPr>
      </w:pPr>
      <w:r>
        <w:rPr>
          <w:rFonts w:hint="eastAsia" w:ascii="宋体" w:hAnsi="宋体"/>
          <w:sz w:val="30"/>
        </w:rPr>
        <w:t>政府采购合同主要条款-----------------------42</w:t>
      </w:r>
    </w:p>
    <w:p>
      <w:pPr>
        <w:numPr>
          <w:ilvl w:val="0"/>
          <w:numId w:val="1"/>
        </w:numPr>
        <w:spacing w:line="360" w:lineRule="auto"/>
        <w:ind w:left="600" w:hanging="600"/>
        <w:rPr>
          <w:rFonts w:ascii="宋体" w:hAnsi="宋体"/>
          <w:sz w:val="30"/>
          <w:szCs w:val="20"/>
        </w:rPr>
      </w:pPr>
      <w:r>
        <w:rPr>
          <w:rFonts w:hint="eastAsia" w:ascii="宋体" w:hAnsi="宋体"/>
          <w:sz w:val="30"/>
        </w:rPr>
        <w:t>投标文件格式    ---------------------------46</w:t>
      </w:r>
    </w:p>
    <w:p/>
    <w:p/>
    <w:p/>
    <w:p>
      <w:pPr>
        <w:spacing w:line="360" w:lineRule="auto"/>
        <w:rPr>
          <w:rFonts w:ascii="宋体" w:hAnsi="宋体"/>
          <w:sz w:val="30"/>
          <w:szCs w:val="20"/>
        </w:rPr>
      </w:pPr>
    </w:p>
    <w:p>
      <w:pPr>
        <w:spacing w:line="360" w:lineRule="auto"/>
        <w:rPr>
          <w:rFonts w:ascii="宋体" w:hAnsi="宋体"/>
          <w:sz w:val="30"/>
          <w:szCs w:val="20"/>
        </w:rPr>
      </w:pPr>
    </w:p>
    <w:p>
      <w:pPr>
        <w:pStyle w:val="20"/>
        <w:snapToGrid w:val="0"/>
        <w:spacing w:beforeLines="0" w:afterLines="0" w:line="360" w:lineRule="auto"/>
        <w:jc w:val="center"/>
        <w:outlineLvl w:val="0"/>
        <w:rPr>
          <w:rFonts w:ascii="黑体" w:hAnsi="宋体" w:eastAsia="黑体"/>
          <w:sz w:val="30"/>
          <w:szCs w:val="30"/>
        </w:rPr>
      </w:pPr>
      <w:r>
        <w:rPr>
          <w:rFonts w:hAnsi="宋体"/>
        </w:rPr>
        <w:br w:type="page"/>
      </w:r>
      <w:r>
        <w:rPr>
          <w:rFonts w:hint="eastAsia" w:ascii="黑体" w:hAnsi="宋体" w:eastAsia="黑体"/>
          <w:sz w:val="30"/>
          <w:szCs w:val="30"/>
        </w:rPr>
        <w:t>第一章  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 xml:space="preserve">湖州师范学院工学院中国智能制造挑战赛实验室设备采购项目招标项目的潜在投标人应在浙江政府采购网（http://zfcg.czt.zj.gov.cn/) 获取招标文件，并于2022年 </w:t>
      </w:r>
      <w:r>
        <w:rPr>
          <w:rFonts w:hint="eastAsia" w:ascii="宋体" w:hAnsi="宋体" w:cs="仿宋"/>
          <w:sz w:val="24"/>
        </w:rPr>
        <w:t>月日14</w:t>
      </w:r>
      <w:r>
        <w:rPr>
          <w:rFonts w:hint="eastAsia" w:ascii="宋体" w:hAnsi="宋体"/>
          <w:sz w:val="24"/>
        </w:rPr>
        <w:t>：30（北京时间）前递交投标文件。</w:t>
      </w:r>
    </w:p>
    <w:p>
      <w:pPr>
        <w:snapToGrid w:val="0"/>
        <w:spacing w:line="360" w:lineRule="auto"/>
        <w:ind w:firstLine="482" w:firstLineChars="200"/>
        <w:rPr>
          <w:rFonts w:ascii="宋体" w:hAnsi="宋体"/>
          <w:sz w:val="24"/>
        </w:rPr>
      </w:pPr>
      <w:r>
        <w:rPr>
          <w:rFonts w:hint="eastAsia" w:ascii="宋体" w:hAnsi="宋体" w:cs="Arial"/>
          <w:b/>
          <w:sz w:val="24"/>
        </w:rPr>
        <w:t>一、项目基本情况</w:t>
      </w:r>
    </w:p>
    <w:p>
      <w:pPr>
        <w:spacing w:line="360" w:lineRule="auto"/>
        <w:ind w:firstLine="480" w:firstLineChars="200"/>
        <w:rPr>
          <w:rFonts w:ascii="宋体" w:hAnsi="宋体"/>
          <w:sz w:val="24"/>
        </w:rPr>
      </w:pPr>
      <w:r>
        <w:rPr>
          <w:rFonts w:hint="eastAsia" w:ascii="宋体" w:hAnsi="宋体"/>
          <w:sz w:val="24"/>
        </w:rPr>
        <w:t>项目编号：HYHZ2022-135(HZCG[2022]2061号)</w:t>
      </w:r>
    </w:p>
    <w:p>
      <w:pPr>
        <w:spacing w:line="360" w:lineRule="auto"/>
        <w:ind w:left="1620" w:leftChars="200" w:hanging="1200" w:hangingChars="500"/>
        <w:rPr>
          <w:rFonts w:ascii="宋体" w:hAnsi="宋体"/>
          <w:sz w:val="24"/>
        </w:rPr>
      </w:pPr>
      <w:r>
        <w:rPr>
          <w:rFonts w:hint="eastAsia" w:ascii="宋体" w:hAnsi="宋体"/>
          <w:sz w:val="24"/>
        </w:rPr>
        <w:t>项目名称：湖州师范学院工学院中国智能制造挑战赛实验室设备采购项目</w:t>
      </w:r>
    </w:p>
    <w:p>
      <w:pPr>
        <w:spacing w:line="360" w:lineRule="auto"/>
        <w:ind w:firstLine="480" w:firstLineChars="200"/>
        <w:rPr>
          <w:rFonts w:ascii="宋体" w:hAnsi="宋体"/>
          <w:sz w:val="24"/>
        </w:rPr>
      </w:pPr>
      <w:r>
        <w:rPr>
          <w:rFonts w:hint="eastAsia" w:ascii="宋体" w:hAnsi="宋体"/>
          <w:sz w:val="24"/>
        </w:rPr>
        <w:t>预算金额：</w:t>
      </w:r>
      <w:r>
        <w:rPr>
          <w:rFonts w:hint="eastAsia" w:ascii="宋体" w:hAnsi="宋体" w:cs="宋体"/>
          <w:kern w:val="0"/>
          <w:sz w:val="24"/>
        </w:rPr>
        <w:t>200万元</w:t>
      </w:r>
    </w:p>
    <w:p>
      <w:pPr>
        <w:spacing w:line="360" w:lineRule="auto"/>
        <w:ind w:firstLine="480" w:firstLineChars="200"/>
        <w:rPr>
          <w:rFonts w:ascii="宋体" w:hAnsi="宋体" w:cs="宋体"/>
          <w:kern w:val="0"/>
          <w:sz w:val="24"/>
        </w:rPr>
      </w:pPr>
      <w:r>
        <w:rPr>
          <w:rFonts w:hint="eastAsia" w:ascii="宋体" w:hAnsi="宋体"/>
          <w:sz w:val="24"/>
        </w:rPr>
        <w:t>最高限价：</w:t>
      </w:r>
      <w:r>
        <w:rPr>
          <w:rFonts w:hint="eastAsia" w:ascii="宋体" w:hAnsi="宋体" w:cs="宋体"/>
          <w:kern w:val="0"/>
          <w:sz w:val="24"/>
        </w:rPr>
        <w:t>200万元</w:t>
      </w:r>
    </w:p>
    <w:p>
      <w:pPr>
        <w:spacing w:line="360" w:lineRule="auto"/>
        <w:ind w:firstLine="480" w:firstLineChars="200"/>
        <w:rPr>
          <w:rFonts w:ascii="宋体" w:hAnsi="宋体"/>
          <w:sz w:val="24"/>
        </w:rPr>
      </w:pPr>
      <w:r>
        <w:rPr>
          <w:rFonts w:hint="eastAsia" w:ascii="宋体" w:hAnsi="宋体"/>
          <w:sz w:val="24"/>
        </w:rPr>
        <w:t>采购需求：详</w:t>
      </w:r>
      <w:r>
        <w:rPr>
          <w:rFonts w:hint="eastAsia" w:ascii="宋体" w:hAnsi="宋体" w:cs="仿宋"/>
          <w:sz w:val="24"/>
        </w:rPr>
        <w:t>见招标文件第二章采购需求</w:t>
      </w:r>
      <w:r>
        <w:rPr>
          <w:rFonts w:hint="eastAsia" w:ascii="宋体" w:hAnsi="Courier New"/>
          <w:sz w:val="24"/>
        </w:rPr>
        <w:t>。</w:t>
      </w:r>
    </w:p>
    <w:p>
      <w:pPr>
        <w:snapToGrid w:val="0"/>
        <w:spacing w:line="360" w:lineRule="auto"/>
        <w:ind w:firstLine="480" w:firstLineChars="200"/>
        <w:rPr>
          <w:rFonts w:ascii="宋体" w:hAnsi="宋体" w:cs="仿宋"/>
          <w:sz w:val="24"/>
        </w:rPr>
      </w:pPr>
      <w:r>
        <w:rPr>
          <w:rFonts w:hint="eastAsia" w:ascii="宋体" w:hAnsi="宋体" w:cs="仿宋"/>
          <w:sz w:val="24"/>
        </w:rPr>
        <w:t>合同履行期限：见招标文件第二章采购需求</w:t>
      </w:r>
    </w:p>
    <w:p>
      <w:pPr>
        <w:snapToGrid w:val="0"/>
        <w:spacing w:line="360" w:lineRule="auto"/>
        <w:ind w:firstLine="480" w:firstLineChars="200"/>
        <w:rPr>
          <w:rFonts w:ascii="宋体" w:hAnsi="宋体" w:cs="仿宋"/>
          <w:sz w:val="24"/>
        </w:rPr>
      </w:pPr>
      <w:r>
        <w:rPr>
          <w:rFonts w:hint="eastAsia" w:ascii="宋体" w:hAnsi="宋体" w:cs="仿宋"/>
          <w:sz w:val="24"/>
        </w:rPr>
        <w:t>本项目（</w:t>
      </w:r>
      <w:r>
        <w:rPr>
          <w:rFonts w:hint="eastAsia" w:ascii="宋体" w:hAnsi="宋体" w:cs="仿宋"/>
          <w:i/>
          <w:sz w:val="24"/>
        </w:rPr>
        <w:t>是</w:t>
      </w:r>
      <w:r>
        <w:rPr>
          <w:rFonts w:hint="eastAsia" w:ascii="宋体" w:hAnsi="宋体" w:cs="仿宋"/>
          <w:sz w:val="24"/>
        </w:rPr>
        <w:t>）接受联合体投标。</w:t>
      </w:r>
    </w:p>
    <w:p>
      <w:pPr>
        <w:snapToGrid w:val="0"/>
        <w:spacing w:line="360" w:lineRule="auto"/>
        <w:ind w:firstLine="482" w:firstLineChars="200"/>
        <w:rPr>
          <w:rFonts w:ascii="宋体" w:hAnsi="宋体" w:cs="Arial"/>
          <w:b/>
          <w:sz w:val="24"/>
        </w:rPr>
      </w:pPr>
      <w:r>
        <w:rPr>
          <w:rFonts w:hint="eastAsia" w:ascii="宋体" w:hAnsi="宋体" w:cs="Arial"/>
          <w:b/>
          <w:sz w:val="24"/>
        </w:rPr>
        <w:t xml:space="preserve">二、申请人的资格要求 </w:t>
      </w:r>
    </w:p>
    <w:p>
      <w:pPr>
        <w:snapToGrid w:val="0"/>
        <w:spacing w:line="360" w:lineRule="auto"/>
        <w:ind w:firstLine="480" w:firstLineChars="200"/>
        <w:rPr>
          <w:rFonts w:ascii="宋体" w:hAnsi="宋体" w:cs="Arial"/>
          <w:sz w:val="24"/>
        </w:rPr>
      </w:pPr>
      <w:r>
        <w:rPr>
          <w:rFonts w:hint="eastAsia" w:ascii="宋体" w:hAnsi="宋体" w:cs="仿宋"/>
          <w:sz w:val="24"/>
        </w:rPr>
        <w:t>1.满足《中华人民共和国政府采购法》第二十二条规定；</w:t>
      </w:r>
      <w:r>
        <w:rPr>
          <w:rFonts w:hint="eastAsia" w:ascii="宋体" w:hAnsi="宋体"/>
          <w:sz w:val="24"/>
        </w:rPr>
        <w:t>未被“信用中国”（www.creditchina.gov.cn）、中国政府采购网（www.ccgp.gov.cn）列入失信被执行人、重大税收违法案件当事人名单、政府采购严重违法失信行为记录名单。</w:t>
      </w:r>
    </w:p>
    <w:p>
      <w:pPr>
        <w:widowControl/>
        <w:spacing w:line="360" w:lineRule="auto"/>
        <w:ind w:firstLine="480" w:firstLineChars="200"/>
        <w:jc w:val="left"/>
        <w:rPr>
          <w:rFonts w:ascii="宋体" w:hAnsi="宋体" w:cs="宋体"/>
          <w:sz w:val="24"/>
          <w:szCs w:val="20"/>
        </w:rPr>
      </w:pPr>
      <w:r>
        <w:rPr>
          <w:rFonts w:hint="eastAsia" w:ascii="宋体" w:hAnsi="宋体" w:cs="仿宋"/>
          <w:sz w:val="24"/>
        </w:rPr>
        <w:t>2.落实政府采购政策需满足的资格要求：</w:t>
      </w:r>
      <w:r>
        <w:rPr>
          <w:rFonts w:hint="eastAsia" w:ascii="宋体" w:hAnsi="宋体"/>
          <w:sz w:val="24"/>
          <w:lang w:val="zh-CN"/>
        </w:rPr>
        <w:t>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r>
        <w:rPr>
          <w:rFonts w:hint="eastAsia" w:ascii="宋体" w:hAnsi="宋体" w:cs="宋体"/>
          <w:sz w:val="24"/>
          <w:szCs w:val="20"/>
        </w:rPr>
        <w:t>；</w:t>
      </w:r>
    </w:p>
    <w:p>
      <w:pPr>
        <w:spacing w:line="360" w:lineRule="auto"/>
        <w:ind w:firstLine="480" w:firstLineChars="200"/>
        <w:rPr>
          <w:rFonts w:ascii="宋体" w:hAnsi="宋体" w:cs="仿宋"/>
          <w:sz w:val="24"/>
        </w:rPr>
      </w:pPr>
      <w:r>
        <w:rPr>
          <w:rFonts w:hint="eastAsia" w:ascii="宋体" w:hAnsi="宋体" w:cs="仿宋"/>
          <w:sz w:val="24"/>
        </w:rPr>
        <w:t>3.本项目的特定资格要求：无</w:t>
      </w:r>
      <w:r>
        <w:rPr>
          <w:rFonts w:hint="eastAsia" w:ascii="宋体" w:hAnsi="宋体" w:cs="宋体"/>
          <w:sz w:val="24"/>
        </w:rPr>
        <w:t>；</w:t>
      </w:r>
    </w:p>
    <w:p>
      <w:pPr>
        <w:snapToGrid w:val="0"/>
        <w:spacing w:line="360" w:lineRule="auto"/>
        <w:ind w:firstLine="482" w:firstLineChars="200"/>
        <w:rPr>
          <w:rFonts w:ascii="宋体" w:hAnsi="宋体" w:cs="Arial"/>
          <w:b/>
          <w:sz w:val="24"/>
        </w:rPr>
      </w:pPr>
      <w:r>
        <w:rPr>
          <w:rFonts w:hint="eastAsia" w:ascii="宋体" w:hAnsi="宋体" w:cs="Arial"/>
          <w:b/>
          <w:sz w:val="24"/>
        </w:rPr>
        <w:t xml:space="preserve">三、获取招标文件 </w:t>
      </w:r>
    </w:p>
    <w:p>
      <w:pPr>
        <w:snapToGrid w:val="0"/>
        <w:spacing w:line="360" w:lineRule="auto"/>
        <w:ind w:firstLine="480" w:firstLineChars="200"/>
        <w:rPr>
          <w:rFonts w:ascii="宋体" w:hAnsi="宋体" w:cs="仿宋"/>
          <w:sz w:val="24"/>
        </w:rPr>
      </w:pPr>
      <w:r>
        <w:rPr>
          <w:rFonts w:hint="eastAsia" w:ascii="宋体" w:hAnsi="宋体" w:cs="仿宋"/>
          <w:sz w:val="24"/>
        </w:rPr>
        <w:t>时间：2022年</w:t>
      </w:r>
      <w:r>
        <w:rPr>
          <w:rFonts w:hint="eastAsia" w:ascii="宋体" w:hAnsi="宋体" w:cs="仿宋"/>
          <w:sz w:val="24"/>
          <w:lang w:val="en-US" w:eastAsia="zh-CN"/>
        </w:rPr>
        <w:t>8</w:t>
      </w:r>
      <w:r>
        <w:rPr>
          <w:rFonts w:hint="eastAsia" w:ascii="宋体" w:hAnsi="宋体" w:cs="仿宋"/>
          <w:sz w:val="24"/>
        </w:rPr>
        <w:t>月</w:t>
      </w:r>
      <w:r>
        <w:rPr>
          <w:rFonts w:hint="eastAsia" w:ascii="宋体" w:hAnsi="宋体" w:cs="仿宋"/>
          <w:sz w:val="24"/>
          <w:lang w:val="en-US" w:eastAsia="zh-CN"/>
        </w:rPr>
        <w:t>5</w:t>
      </w:r>
      <w:r>
        <w:rPr>
          <w:rFonts w:hint="eastAsia" w:ascii="宋体" w:hAnsi="宋体" w:cs="仿宋"/>
          <w:sz w:val="24"/>
        </w:rPr>
        <w:t xml:space="preserve">日至 </w:t>
      </w:r>
      <w:r>
        <w:rPr>
          <w:rFonts w:hint="eastAsia" w:ascii="宋体" w:hAnsi="宋体"/>
          <w:sz w:val="24"/>
        </w:rPr>
        <w:t>2022年</w:t>
      </w:r>
      <w:r>
        <w:rPr>
          <w:rFonts w:hint="eastAsia" w:ascii="宋体" w:hAnsi="宋体" w:cs="仿宋"/>
          <w:sz w:val="24"/>
          <w:lang w:val="en-US" w:eastAsia="zh-CN"/>
        </w:rPr>
        <w:t>8</w:t>
      </w:r>
      <w:r>
        <w:rPr>
          <w:rFonts w:hint="eastAsia" w:ascii="宋体" w:hAnsi="宋体" w:cs="仿宋"/>
          <w:sz w:val="24"/>
        </w:rPr>
        <w:t>月</w:t>
      </w:r>
      <w:r>
        <w:rPr>
          <w:rFonts w:hint="eastAsia" w:ascii="宋体" w:hAnsi="宋体" w:cs="仿宋"/>
          <w:sz w:val="24"/>
          <w:lang w:val="en-US" w:eastAsia="zh-CN"/>
        </w:rPr>
        <w:t>26</w:t>
      </w:r>
      <w:r>
        <w:rPr>
          <w:rFonts w:hint="eastAsia" w:ascii="宋体" w:hAnsi="宋体" w:cs="仿宋"/>
          <w:sz w:val="24"/>
        </w:rPr>
        <w:t>日，每天上午00:00至12:00，下午12:00至23:59</w:t>
      </w:r>
    </w:p>
    <w:p>
      <w:pPr>
        <w:snapToGrid w:val="0"/>
        <w:spacing w:line="360" w:lineRule="auto"/>
        <w:ind w:firstLine="480" w:firstLineChars="200"/>
        <w:rPr>
          <w:rFonts w:ascii="宋体" w:hAnsi="宋体" w:cs="仿宋"/>
          <w:sz w:val="24"/>
        </w:rPr>
      </w:pPr>
      <w:r>
        <w:rPr>
          <w:rFonts w:hint="eastAsia" w:ascii="宋体" w:hAnsi="宋体" w:cs="仿宋"/>
          <w:sz w:val="24"/>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pPr>
        <w:snapToGrid w:val="0"/>
        <w:spacing w:line="360" w:lineRule="auto"/>
        <w:ind w:firstLine="480" w:firstLineChars="200"/>
        <w:rPr>
          <w:rFonts w:ascii="宋体" w:hAnsi="宋体" w:cs="仿宋"/>
          <w:sz w:val="24"/>
        </w:rPr>
      </w:pPr>
      <w:r>
        <w:rPr>
          <w:rFonts w:hint="eastAsia" w:ascii="宋体" w:hAnsi="宋体" w:cs="仿宋"/>
          <w:sz w:val="24"/>
        </w:rPr>
        <w:t>方式：本次招标文件实行网上获取，不接受供应商现场报名。</w:t>
      </w:r>
    </w:p>
    <w:p>
      <w:pPr>
        <w:snapToGrid w:val="0"/>
        <w:spacing w:line="360" w:lineRule="auto"/>
        <w:ind w:firstLine="480" w:firstLineChars="200"/>
        <w:rPr>
          <w:rFonts w:ascii="宋体" w:hAnsi="宋体" w:cs="仿宋"/>
          <w:sz w:val="24"/>
        </w:rPr>
      </w:pPr>
      <w:r>
        <w:rPr>
          <w:rFonts w:hint="eastAsia" w:ascii="宋体" w:hAnsi="宋体" w:cs="仿宋"/>
          <w:sz w:val="24"/>
        </w:rPr>
        <w:t>售价：0</w:t>
      </w:r>
    </w:p>
    <w:p>
      <w:pPr>
        <w:snapToGrid w:val="0"/>
        <w:spacing w:line="360" w:lineRule="auto"/>
        <w:ind w:firstLine="482" w:firstLineChars="200"/>
        <w:rPr>
          <w:rFonts w:ascii="宋体" w:hAnsi="宋体" w:cs="Arial"/>
          <w:b/>
          <w:sz w:val="24"/>
        </w:rPr>
      </w:pPr>
      <w:r>
        <w:rPr>
          <w:rFonts w:hint="eastAsia" w:ascii="宋体" w:hAnsi="宋体" w:cs="Arial"/>
          <w:b/>
          <w:sz w:val="24"/>
        </w:rPr>
        <w:t xml:space="preserve">四、提交投标文件截止时间、开标时间和地点 </w:t>
      </w:r>
    </w:p>
    <w:p>
      <w:pPr>
        <w:snapToGrid w:val="0"/>
        <w:spacing w:line="360" w:lineRule="auto"/>
        <w:ind w:firstLine="600" w:firstLineChars="250"/>
        <w:rPr>
          <w:rFonts w:ascii="宋体" w:hAnsi="宋体" w:cs="仿宋"/>
          <w:bCs/>
          <w:sz w:val="24"/>
        </w:rPr>
      </w:pPr>
      <w:r>
        <w:rPr>
          <w:rFonts w:hint="eastAsia" w:ascii="宋体" w:hAnsi="宋体" w:cs="仿宋"/>
          <w:sz w:val="24"/>
        </w:rPr>
        <w:t>2022年</w:t>
      </w:r>
      <w:r>
        <w:rPr>
          <w:rFonts w:hint="eastAsia" w:ascii="宋体" w:hAnsi="宋体" w:cs="仿宋"/>
          <w:sz w:val="24"/>
          <w:lang w:val="en-US" w:eastAsia="zh-CN"/>
        </w:rPr>
        <w:t>8</w:t>
      </w:r>
      <w:r>
        <w:rPr>
          <w:rFonts w:hint="eastAsia" w:ascii="宋体" w:hAnsi="宋体" w:cs="仿宋"/>
          <w:sz w:val="24"/>
        </w:rPr>
        <w:t>月</w:t>
      </w:r>
      <w:r>
        <w:rPr>
          <w:rFonts w:hint="eastAsia" w:ascii="宋体" w:hAnsi="宋体" w:cs="仿宋"/>
          <w:sz w:val="24"/>
          <w:lang w:val="en-US" w:eastAsia="zh-CN"/>
        </w:rPr>
        <w:t>26</w:t>
      </w:r>
      <w:r>
        <w:rPr>
          <w:rFonts w:hint="eastAsia" w:ascii="宋体" w:hAnsi="宋体" w:cs="仿宋"/>
          <w:sz w:val="24"/>
        </w:rPr>
        <w:t>日14</w:t>
      </w:r>
      <w:r>
        <w:rPr>
          <w:rFonts w:hint="eastAsia" w:ascii="宋体" w:hAnsi="宋体"/>
          <w:sz w:val="24"/>
        </w:rPr>
        <w:t>：30（北京时间）</w:t>
      </w:r>
    </w:p>
    <w:p>
      <w:pPr>
        <w:snapToGrid w:val="0"/>
        <w:spacing w:line="360" w:lineRule="auto"/>
        <w:ind w:firstLine="600" w:firstLineChars="250"/>
        <w:rPr>
          <w:rFonts w:ascii="宋体" w:hAnsi="宋体" w:cs="仿宋"/>
          <w:bCs/>
          <w:sz w:val="24"/>
          <w:u w:val="single"/>
        </w:rPr>
      </w:pPr>
      <w:r>
        <w:rPr>
          <w:rFonts w:hint="eastAsia" w:ascii="宋体" w:hAnsi="宋体" w:cs="仿宋"/>
          <w:sz w:val="24"/>
        </w:rPr>
        <w:t>地点：通过“政府采购云平台（http://www.zcygov.cn）”实行在线投标及开标</w:t>
      </w:r>
    </w:p>
    <w:p>
      <w:pPr>
        <w:snapToGrid w:val="0"/>
        <w:spacing w:line="360" w:lineRule="auto"/>
        <w:ind w:firstLine="482" w:firstLineChars="200"/>
        <w:rPr>
          <w:rFonts w:ascii="宋体" w:hAnsi="宋体" w:cs="Arial"/>
          <w:b/>
          <w:sz w:val="24"/>
        </w:rPr>
      </w:pPr>
      <w:r>
        <w:rPr>
          <w:rFonts w:hint="eastAsia" w:ascii="宋体" w:hAnsi="宋体" w:cs="Arial"/>
          <w:b/>
          <w:sz w:val="24"/>
        </w:rPr>
        <w:t>五、公告期限</w:t>
      </w:r>
    </w:p>
    <w:p>
      <w:pPr>
        <w:snapToGrid w:val="0"/>
        <w:spacing w:line="360" w:lineRule="auto"/>
        <w:ind w:firstLine="480" w:firstLineChars="200"/>
        <w:rPr>
          <w:rFonts w:ascii="宋体" w:hAnsi="宋体" w:cs="仿宋"/>
          <w:kern w:val="0"/>
          <w:sz w:val="24"/>
        </w:rPr>
      </w:pPr>
      <w:r>
        <w:rPr>
          <w:rFonts w:hint="eastAsia" w:ascii="宋体" w:hAnsi="宋体" w:cs="仿宋"/>
          <w:kern w:val="0"/>
          <w:sz w:val="24"/>
        </w:rPr>
        <w:t>自本公告发布之日起5个工作日。</w:t>
      </w:r>
    </w:p>
    <w:p>
      <w:pPr>
        <w:snapToGrid w:val="0"/>
        <w:spacing w:line="360" w:lineRule="auto"/>
        <w:ind w:firstLine="482" w:firstLineChars="200"/>
        <w:rPr>
          <w:rFonts w:ascii="宋体" w:hAnsi="宋体" w:cs="Arial"/>
          <w:b/>
          <w:sz w:val="24"/>
        </w:rPr>
      </w:pPr>
      <w:r>
        <w:rPr>
          <w:rFonts w:hint="eastAsia" w:ascii="宋体" w:hAnsi="宋体" w:cs="Arial"/>
          <w:b/>
          <w:sz w:val="24"/>
        </w:rPr>
        <w:t>六、其他补充事宜</w:t>
      </w:r>
    </w:p>
    <w:p>
      <w:pPr>
        <w:spacing w:line="360" w:lineRule="auto"/>
        <w:ind w:firstLine="480" w:firstLineChars="200"/>
        <w:rPr>
          <w:rFonts w:ascii="宋体" w:hAnsi="宋体" w:cs="仿宋"/>
          <w:kern w:val="0"/>
          <w:sz w:val="24"/>
        </w:rPr>
      </w:pPr>
      <w:r>
        <w:rPr>
          <w:rFonts w:hint="eastAsia" w:ascii="宋体" w:hAnsi="宋体" w:cs="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仿宋"/>
          <w:kern w:val="0"/>
          <w:sz w:val="24"/>
        </w:rPr>
      </w:pPr>
      <w:r>
        <w:rPr>
          <w:rFonts w:hint="eastAsia" w:ascii="宋体" w:hAnsi="宋体" w:cs="仿宋"/>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仿宋"/>
          <w:kern w:val="0"/>
          <w:sz w:val="24"/>
        </w:rPr>
      </w:pPr>
      <w:r>
        <w:rPr>
          <w:rFonts w:hint="eastAsia" w:ascii="宋体" w:hAnsi="宋体" w:cs="仿宋"/>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pPr>
        <w:spacing w:line="360" w:lineRule="auto"/>
        <w:ind w:firstLine="480" w:firstLineChars="200"/>
        <w:rPr>
          <w:rFonts w:ascii="宋体" w:hAnsi="宋体" w:cs="仿宋"/>
          <w:kern w:val="0"/>
          <w:sz w:val="24"/>
        </w:rPr>
      </w:pPr>
      <w:r>
        <w:rPr>
          <w:rFonts w:hint="eastAsia" w:ascii="宋体" w:hAnsi="宋体" w:cs="仿宋"/>
          <w:sz w:val="24"/>
        </w:rPr>
        <w:t>4.答疑内容是招标文件的组成部分，并将在网上发布补充（答疑、澄清）文件，潜在供应商应自行关注网站公告，采购人不再一一通知，供应商因自身贻误行为导致投标失效的，责任自负。</w:t>
      </w:r>
    </w:p>
    <w:p>
      <w:pPr>
        <w:spacing w:line="360" w:lineRule="auto"/>
        <w:ind w:firstLine="480" w:firstLineChars="200"/>
        <w:rPr>
          <w:rFonts w:ascii="宋体" w:hAnsi="宋体" w:cs="仿宋"/>
          <w:sz w:val="24"/>
        </w:rPr>
      </w:pPr>
      <w:r>
        <w:rPr>
          <w:rFonts w:hint="eastAsia" w:ascii="宋体" w:hAnsi="宋体" w:cs="仿宋"/>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snapToGrid w:val="0"/>
        <w:spacing w:line="360" w:lineRule="auto"/>
        <w:ind w:firstLine="480" w:firstLineChars="200"/>
        <w:rPr>
          <w:rFonts w:ascii="宋体" w:hAnsi="宋体" w:cs="Arial"/>
          <w:b/>
          <w:sz w:val="24"/>
        </w:rPr>
      </w:pPr>
      <w:r>
        <w:rPr>
          <w:rFonts w:hint="eastAsia" w:ascii="宋体" w:hAnsi="宋体" w:cs="宋体"/>
          <w:sz w:val="24"/>
        </w:rPr>
        <w:t>6.</w:t>
      </w:r>
      <w:r>
        <w:rPr>
          <w:rFonts w:ascii="宋体" w:hAnsi="宋体" w:cs="宋体"/>
          <w:sz w:val="24"/>
        </w:rPr>
        <w:t>根据《政府采购促进中小企业发展管理办法》，本项目是否专门面向中小企业采购：</w:t>
      </w:r>
      <w:r>
        <w:rPr>
          <w:rFonts w:hint="eastAsia" w:ascii="宋体" w:hAnsi="宋体" w:cs="宋体"/>
          <w:sz w:val="24"/>
          <w:lang w:val="en-US" w:eastAsia="zh-CN"/>
        </w:rPr>
        <w:t>是</w:t>
      </w:r>
      <w:r>
        <w:rPr>
          <w:rFonts w:hint="eastAsia" w:ascii="宋体" w:hAnsi="宋体" w:cs="宋体"/>
          <w:kern w:val="0"/>
          <w:sz w:val="24"/>
        </w:rPr>
        <w:t>。</w:t>
      </w:r>
    </w:p>
    <w:p>
      <w:pPr>
        <w:snapToGrid w:val="0"/>
        <w:spacing w:line="360" w:lineRule="auto"/>
        <w:ind w:firstLine="480" w:firstLineChars="200"/>
        <w:rPr>
          <w:rFonts w:ascii="宋体" w:hAnsi="宋体" w:cs="仿宋"/>
          <w:kern w:val="0"/>
          <w:sz w:val="24"/>
        </w:rPr>
      </w:pPr>
      <w:r>
        <w:rPr>
          <w:rFonts w:hint="eastAsia" w:ascii="宋体" w:hAnsi="宋体" w:cs="仿宋"/>
          <w:sz w:val="24"/>
        </w:rPr>
        <w:t>7.本项目公告发布网站： 浙江政府采购网：</w:t>
      </w:r>
      <w:r>
        <w:fldChar w:fldCharType="begin"/>
      </w:r>
      <w:r>
        <w:instrText xml:space="preserve"> HYPERLINK "http://zfcg.czt.zj.gov.cn/" </w:instrText>
      </w:r>
      <w:r>
        <w:fldChar w:fldCharType="separate"/>
      </w:r>
      <w:r>
        <w:rPr>
          <w:rStyle w:val="41"/>
          <w:rFonts w:hint="eastAsia" w:ascii="宋体" w:hAnsi="宋体" w:cs="仿宋"/>
          <w:color w:val="auto"/>
          <w:sz w:val="24"/>
        </w:rPr>
        <w:t>http://zfcg.czt.zj.gov.cn/</w:t>
      </w:r>
      <w:r>
        <w:rPr>
          <w:rStyle w:val="41"/>
          <w:rFonts w:hint="eastAsia" w:ascii="宋体" w:hAnsi="宋体" w:cs="仿宋"/>
          <w:color w:val="auto"/>
          <w:sz w:val="24"/>
        </w:rPr>
        <w:fldChar w:fldCharType="end"/>
      </w:r>
      <w:r>
        <w:rPr>
          <w:rFonts w:hint="eastAsia"/>
        </w:rPr>
        <w:t>，</w:t>
      </w:r>
      <w:r>
        <w:rPr>
          <w:rFonts w:hint="eastAsia" w:ascii="宋体" w:hAnsi="宋体" w:cs="仿宋"/>
          <w:sz w:val="24"/>
        </w:rPr>
        <w:t>湖州市公共资源交易信息网：http://ggzy.huzhou.gov.cn/hzfront/-“政府采购”-“分散采购”模块</w:t>
      </w:r>
    </w:p>
    <w:p>
      <w:pPr>
        <w:spacing w:line="360" w:lineRule="auto"/>
        <w:ind w:firstLine="480" w:firstLineChars="200"/>
        <w:rPr>
          <w:rFonts w:ascii="宋体" w:hAnsi="宋体" w:cs="仿宋"/>
          <w:kern w:val="0"/>
          <w:sz w:val="24"/>
        </w:rPr>
      </w:pPr>
      <w:r>
        <w:rPr>
          <w:rFonts w:hint="eastAsia" w:ascii="宋体" w:hAnsi="宋体" w:cs="仿宋"/>
          <w:sz w:val="24"/>
        </w:rPr>
        <w:t>8.投标事项：</w:t>
      </w:r>
    </w:p>
    <w:p>
      <w:pPr>
        <w:spacing w:line="360" w:lineRule="auto"/>
        <w:ind w:firstLine="480" w:firstLineChars="200"/>
        <w:rPr>
          <w:rFonts w:ascii="宋体" w:hAnsi="宋体" w:cs="仿宋"/>
          <w:kern w:val="0"/>
          <w:sz w:val="24"/>
        </w:rPr>
      </w:pPr>
      <w:r>
        <w:rPr>
          <w:rFonts w:hint="eastAsia" w:ascii="宋体" w:hAnsi="宋体" w:cs="仿宋"/>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pPr>
        <w:spacing w:line="360" w:lineRule="auto"/>
        <w:ind w:firstLine="480" w:firstLineChars="200"/>
        <w:rPr>
          <w:rFonts w:ascii="宋体" w:hAnsi="宋体" w:cs="仿宋"/>
          <w:sz w:val="24"/>
        </w:rPr>
      </w:pPr>
      <w:r>
        <w:rPr>
          <w:rFonts w:hint="eastAsia" w:ascii="宋体" w:hAnsi="宋体" w:cs="仿宋"/>
          <w:sz w:val="24"/>
        </w:rPr>
        <w:t>（2）参与政府采购项目的注册供应商，需登录浙江政府采购云平台（http://www.zcygov.cn）进行网上报名，尚未注册的供应商应当先在浙江政府采购云平台上申请注册。</w:t>
      </w:r>
    </w:p>
    <w:p>
      <w:pPr>
        <w:spacing w:line="360" w:lineRule="auto"/>
        <w:ind w:firstLine="480" w:firstLineChars="200"/>
        <w:jc w:val="left"/>
        <w:rPr>
          <w:rFonts w:ascii="宋体" w:hAnsi="宋体" w:cs="仿宋"/>
          <w:kern w:val="0"/>
          <w:sz w:val="24"/>
        </w:rPr>
      </w:pPr>
      <w:r>
        <w:rPr>
          <w:rFonts w:hint="eastAsia" w:ascii="宋体" w:hAnsi="宋体" w:cs="仿宋"/>
          <w:sz w:val="24"/>
        </w:rPr>
        <w:t>（3）政府采购项目电子交易操作指南：</w:t>
      </w:r>
      <w:r>
        <w:t>https://service.zcygov.cn/#/knowledges/CW1EtGwBFdiHxlNd6I3m/6IMVAG0BFdiHxlNdQ8Na</w:t>
      </w:r>
    </w:p>
    <w:p>
      <w:pPr>
        <w:spacing w:line="360" w:lineRule="auto"/>
        <w:ind w:firstLine="480" w:firstLineChars="200"/>
        <w:rPr>
          <w:rFonts w:ascii="宋体" w:hAnsi="宋体" w:cs="仿宋"/>
          <w:kern w:val="0"/>
          <w:sz w:val="24"/>
        </w:rPr>
      </w:pPr>
      <w:r>
        <w:rPr>
          <w:rFonts w:hint="eastAsia" w:ascii="宋体" w:hAnsi="宋体" w:cs="仿宋"/>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pPr>
        <w:spacing w:line="360" w:lineRule="auto"/>
        <w:ind w:firstLine="480" w:firstLineChars="200"/>
        <w:rPr>
          <w:rFonts w:ascii="宋体" w:hAnsi="宋体" w:cs="仿宋"/>
          <w:sz w:val="24"/>
        </w:rPr>
      </w:pPr>
      <w:r>
        <w:rPr>
          <w:rFonts w:hint="eastAsia" w:ascii="宋体" w:hAnsi="宋体" w:cs="仿宋"/>
          <w:sz w:val="24"/>
        </w:rPr>
        <w:t>（5）投标供应商应当在投标截止时间前，将生成的“电子加密投标文件”上传递交至“政府采购云平台”。投标截止时间以后上传递交的投标文件将被“政府采购云平台”拒收。</w:t>
      </w:r>
    </w:p>
    <w:p>
      <w:pPr>
        <w:spacing w:line="360" w:lineRule="auto"/>
        <w:ind w:firstLine="480" w:firstLineChars="200"/>
        <w:rPr>
          <w:rFonts w:ascii="宋体" w:hAnsi="宋体" w:cs="宋体"/>
          <w:kern w:val="0"/>
          <w:sz w:val="24"/>
        </w:rPr>
      </w:pPr>
      <w:r>
        <w:rPr>
          <w:rFonts w:hint="eastAsia" w:ascii="宋体" w:hAnsi="宋体" w:cs="宋体"/>
          <w:kern w:val="0"/>
          <w:sz w:val="24"/>
        </w:rPr>
        <w:t>（6）备</w:t>
      </w:r>
      <w:r>
        <w:rPr>
          <w:rFonts w:hint="eastAsia" w:ascii="宋体" w:hAnsi="宋体"/>
          <w:sz w:val="24"/>
        </w:rPr>
        <w:t>份</w:t>
      </w:r>
      <w:r>
        <w:rPr>
          <w:rFonts w:hint="eastAsia" w:ascii="宋体" w:hAnsi="宋体" w:cs="宋体"/>
          <w:kern w:val="0"/>
          <w:sz w:val="24"/>
        </w:rPr>
        <w:t>投标文件</w:t>
      </w:r>
      <w:r>
        <w:rPr>
          <w:rFonts w:hint="eastAsia" w:ascii="宋体" w:hAnsi="宋体"/>
          <w:sz w:val="24"/>
        </w:rPr>
        <w:t>：根据“浙江省政府采购项目电子交易管理暂行办法”第二十条规定，本次招标允许供应商递交备份</w:t>
      </w:r>
      <w:r>
        <w:rPr>
          <w:rFonts w:hint="eastAsia" w:ascii="宋体" w:hAnsi="宋体" w:cs="宋体"/>
          <w:kern w:val="0"/>
          <w:sz w:val="24"/>
        </w:rPr>
        <w:t>投标文件</w:t>
      </w:r>
      <w:r>
        <w:rPr>
          <w:rFonts w:hint="eastAsia" w:ascii="宋体" w:hAnsi="宋体"/>
          <w:sz w:val="24"/>
        </w:rPr>
        <w:t>，仅提交备份</w:t>
      </w:r>
      <w:r>
        <w:rPr>
          <w:rFonts w:hint="eastAsia" w:ascii="宋体" w:hAnsi="宋体" w:cs="宋体"/>
          <w:kern w:val="0"/>
          <w:sz w:val="24"/>
        </w:rPr>
        <w:t>投标文件</w:t>
      </w:r>
      <w:r>
        <w:rPr>
          <w:rFonts w:hint="eastAsia" w:ascii="宋体" w:hAnsi="宋体"/>
          <w:sz w:val="24"/>
        </w:rPr>
        <w:t>的，</w:t>
      </w:r>
      <w:r>
        <w:rPr>
          <w:rFonts w:hint="eastAsia" w:ascii="宋体" w:hAnsi="宋体" w:cs="宋体"/>
          <w:kern w:val="0"/>
          <w:sz w:val="24"/>
        </w:rPr>
        <w:t>投标</w:t>
      </w:r>
      <w:r>
        <w:rPr>
          <w:rFonts w:hint="eastAsia" w:ascii="宋体" w:hAnsi="宋体"/>
          <w:sz w:val="24"/>
        </w:rPr>
        <w:t>无效。本项目不强制要求供应商提交备份</w:t>
      </w:r>
      <w:r>
        <w:rPr>
          <w:rFonts w:hint="eastAsia" w:ascii="宋体" w:hAnsi="宋体" w:cs="宋体"/>
          <w:kern w:val="0"/>
          <w:sz w:val="24"/>
        </w:rPr>
        <w:t>投标文件</w:t>
      </w:r>
      <w:r>
        <w:rPr>
          <w:rFonts w:hint="eastAsia" w:ascii="宋体" w:hAnsi="宋体"/>
          <w:sz w:val="24"/>
        </w:rPr>
        <w:t>，但由于未提交备份</w:t>
      </w:r>
      <w:r>
        <w:rPr>
          <w:rFonts w:hint="eastAsia" w:ascii="宋体" w:hAnsi="宋体" w:cs="宋体"/>
          <w:kern w:val="0"/>
          <w:sz w:val="24"/>
        </w:rPr>
        <w:t>投标文件</w:t>
      </w:r>
      <w:r>
        <w:rPr>
          <w:rFonts w:hint="eastAsia" w:ascii="宋体" w:hAnsi="宋体"/>
          <w:sz w:val="24"/>
        </w:rPr>
        <w:t>而造成项目开评标活动无法进行下去的，</w:t>
      </w:r>
      <w:r>
        <w:rPr>
          <w:rFonts w:hint="eastAsia" w:ascii="宋体" w:hAnsi="宋体" w:cs="宋体"/>
          <w:kern w:val="0"/>
          <w:sz w:val="24"/>
        </w:rPr>
        <w:t>投标</w:t>
      </w:r>
      <w:r>
        <w:rPr>
          <w:rFonts w:hint="eastAsia" w:ascii="宋体" w:hAnsi="宋体"/>
          <w:sz w:val="24"/>
        </w:rPr>
        <w:t>无效的，相关风险由供应</w:t>
      </w:r>
      <w:r>
        <w:rPr>
          <w:rFonts w:hint="eastAsia" w:ascii="宋体" w:hAnsi="宋体" w:cs="宋体"/>
          <w:kern w:val="0"/>
          <w:sz w:val="24"/>
        </w:rPr>
        <w:t>商自行承担。</w:t>
      </w:r>
      <w:r>
        <w:rPr>
          <w:rFonts w:ascii="宋体" w:hAnsi="宋体" w:cs="宋体"/>
          <w:kern w:val="0"/>
          <w:sz w:val="24"/>
        </w:rPr>
        <w:t>备份</w:t>
      </w:r>
      <w:r>
        <w:rPr>
          <w:rFonts w:hint="eastAsia" w:ascii="宋体" w:hAnsi="宋体" w:cs="宋体"/>
          <w:kern w:val="0"/>
          <w:sz w:val="24"/>
        </w:rPr>
        <w:t>投标文件</w:t>
      </w:r>
      <w:r>
        <w:rPr>
          <w:rFonts w:ascii="宋体" w:hAnsi="宋体" w:cs="宋体"/>
          <w:kern w:val="0"/>
          <w:sz w:val="24"/>
        </w:rPr>
        <w:t>:</w:t>
      </w:r>
      <w:r>
        <w:rPr>
          <w:rFonts w:hint="eastAsia" w:ascii="宋体" w:hAnsi="宋体" w:cs="宋体"/>
          <w:kern w:val="0"/>
          <w:sz w:val="24"/>
        </w:rPr>
        <w:t>1份。</w:t>
      </w:r>
      <w:r>
        <w:rPr>
          <w:rFonts w:ascii="宋体" w:hAnsi="宋体" w:cs="宋体"/>
          <w:kern w:val="0"/>
          <w:sz w:val="24"/>
        </w:rPr>
        <w:t>以介质存储的数据电文形式的备份</w:t>
      </w:r>
      <w:r>
        <w:rPr>
          <w:rFonts w:hint="eastAsia" w:ascii="宋体" w:hAnsi="宋体" w:cs="宋体"/>
          <w:kern w:val="0"/>
          <w:sz w:val="24"/>
        </w:rPr>
        <w:t>投标文件</w:t>
      </w:r>
      <w:r>
        <w:rPr>
          <w:rFonts w:ascii="宋体" w:hAnsi="宋体" w:cs="宋体"/>
          <w:kern w:val="0"/>
          <w:sz w:val="24"/>
        </w:rPr>
        <w:t>(BFBS格式)，按政采云平台项目采购-电子交易操作指南中上传的电子</w:t>
      </w:r>
      <w:r>
        <w:rPr>
          <w:rFonts w:hint="eastAsia" w:ascii="宋体" w:hAnsi="宋体" w:cs="宋体"/>
          <w:kern w:val="0"/>
          <w:sz w:val="24"/>
        </w:rPr>
        <w:t>投标文件</w:t>
      </w:r>
      <w:r>
        <w:rPr>
          <w:rFonts w:ascii="宋体" w:hAnsi="宋体" w:cs="宋体"/>
          <w:kern w:val="0"/>
          <w:sz w:val="24"/>
        </w:rPr>
        <w:t>格式，以U盘形式存储提供)。U盘盘面上粘贴标签，标注单位名称，装入一个外包封袋中进行邮寄.邮寄时，总的外包封袋上可不注明单位名称，但应注明单位的联系人、联系电话及项目名称</w:t>
      </w:r>
      <w:r>
        <w:rPr>
          <w:rFonts w:hint="eastAsia" w:ascii="宋体" w:hAnsi="宋体" w:cs="宋体"/>
          <w:kern w:val="0"/>
          <w:sz w:val="24"/>
        </w:rPr>
        <w:t>。邮寄地址为：浙江华耀建设咨询有限公司（湖州市静江公寓1单元1101室），联系人：张治中，联系电话：0572-2198738</w:t>
      </w:r>
      <w:r>
        <w:fldChar w:fldCharType="begin"/>
      </w:r>
      <w:r>
        <w:instrText xml:space="preserve"> HYPERLINK "mailto:huayaohz@163.com。供应商应于2020年9月" </w:instrText>
      </w:r>
      <w:r>
        <w:fldChar w:fldCharType="separate"/>
      </w:r>
      <w:r>
        <w:rPr>
          <w:rFonts w:hint="eastAsia" w:ascii="宋体" w:hAnsi="宋体" w:cs="宋体"/>
          <w:kern w:val="0"/>
          <w:sz w:val="24"/>
        </w:rPr>
        <w:t>，</w:t>
      </w:r>
      <w:r>
        <w:rPr>
          <w:rFonts w:hint="eastAsia" w:ascii="宋体" w:hAnsi="宋体" w:cs="宋体"/>
          <w:kern w:val="0"/>
          <w:sz w:val="24"/>
        </w:rPr>
        <w:fldChar w:fldCharType="end"/>
      </w:r>
      <w:r>
        <w:rPr>
          <w:rFonts w:hint="eastAsia" w:ascii="宋体" w:hAnsi="宋体" w:cs="宋体"/>
          <w:kern w:val="0"/>
          <w:sz w:val="24"/>
        </w:rPr>
        <w:t>拒绝到付。以收件人实际签收时间为准，逾期送达的将拒绝接收。</w:t>
      </w:r>
    </w:p>
    <w:p>
      <w:pPr>
        <w:spacing w:line="360" w:lineRule="auto"/>
        <w:ind w:firstLine="480" w:firstLineChars="200"/>
        <w:rPr>
          <w:rFonts w:ascii="宋体" w:hAnsi="宋体"/>
          <w:sz w:val="24"/>
        </w:rPr>
      </w:pPr>
      <w:r>
        <w:rPr>
          <w:rFonts w:hint="eastAsia" w:ascii="宋体" w:hAnsi="宋体" w:cs="宋体"/>
          <w:kern w:val="0"/>
          <w:sz w:val="24"/>
        </w:rPr>
        <w:t>（7）本项目开评标会议通过政采云电子交易系统在线完成，</w:t>
      </w:r>
      <w:r>
        <w:rPr>
          <w:rFonts w:hint="eastAsia" w:ascii="宋体" w:hAnsi="宋体"/>
          <w:sz w:val="24"/>
        </w:rPr>
        <w:t>请潜在供应商代表自行准备联网的计算机设备、“政府采购云平台”CA数字证书。开评标会议开始后，应全程关注政采云电子交易系统的各类通知：在线询标等，及时澄清、响应，避免逾期无效等情况的发生。</w:t>
      </w:r>
    </w:p>
    <w:p>
      <w:pPr>
        <w:spacing w:line="360" w:lineRule="auto"/>
        <w:ind w:firstLine="482" w:firstLineChars="200"/>
        <w:rPr>
          <w:rFonts w:ascii="宋体" w:hAnsi="宋体" w:cs="宋体"/>
          <w:kern w:val="0"/>
          <w:sz w:val="24"/>
        </w:rPr>
      </w:pPr>
      <w:r>
        <w:rPr>
          <w:rFonts w:hint="eastAsia" w:ascii="宋体" w:hAnsi="宋体" w:cs="仿宋"/>
          <w:b/>
          <w:sz w:val="24"/>
        </w:rPr>
        <w:t>9.告知事项：</w:t>
      </w:r>
      <w:r>
        <w:rPr>
          <w:rFonts w:hint="eastAsia" w:ascii="宋体" w:hAnsi="宋体" w:cs="宋体"/>
          <w:kern w:val="0"/>
          <w:sz w:val="24"/>
        </w:rPr>
        <w:t>为贯彻落实新型冠状病毒感染的肺炎疫情防控工作要求，按照《财政部办公厅关于疫情防控采购便利化的通知》（财办库〔2020〕23 号）、《浙江省财政厅关于做好新型冠状病毒感染的肺炎疫情防控期间政府采购管理工作的通知》（浙财采监[2020]1 号）、《浙江省政府采购中心关于新型冠状病毒感染的肺炎疫情防控期间开评标管理暂行办法》，按照“不见面、少接触”的原则，疫情防控期采购过程实行邮寄投标文件模式，供应商通过邮寄快递方式送达响应文件，采购公告发布之日至开启响应文件的时间延长，给供应商留足响应文件邮寄时间，采购人或代理机构做好响应文件签收记录并及时告知供应商；采购组织机构接收响应文件至现场开启响应文件全过程应接受监控；采购单位派出工作人员进行现场监督的同时，采购组织机构积极创造条件让供应商远程参与监督；评审中需要供应商对投标、响应文件作出澄清、说明或者补正的，评审小组可要求供应商在合理期限内（不少于半小时）通过电子邮件、传真等书面形式作出。</w:t>
      </w:r>
    </w:p>
    <w:p>
      <w:pPr>
        <w:snapToGrid w:val="0"/>
        <w:spacing w:line="360" w:lineRule="auto"/>
        <w:ind w:firstLine="542" w:firstLineChars="225"/>
        <w:rPr>
          <w:rFonts w:ascii="宋体" w:hAnsi="宋体" w:cs="Arial"/>
          <w:b/>
          <w:sz w:val="24"/>
        </w:rPr>
      </w:pPr>
      <w:r>
        <w:rPr>
          <w:rFonts w:hint="eastAsia" w:ascii="宋体" w:hAnsi="宋体" w:cs="Arial"/>
          <w:b/>
          <w:sz w:val="24"/>
        </w:rPr>
        <w:t>七、业务咨询：</w:t>
      </w:r>
    </w:p>
    <w:p>
      <w:pPr>
        <w:snapToGrid w:val="0"/>
        <w:spacing w:line="360" w:lineRule="auto"/>
        <w:ind w:firstLine="470" w:firstLineChars="196"/>
        <w:rPr>
          <w:rFonts w:ascii="宋体" w:hAnsi="宋体" w:cs="Arial"/>
          <w:b/>
          <w:sz w:val="24"/>
        </w:rPr>
      </w:pPr>
      <w:r>
        <w:rPr>
          <w:rFonts w:hint="eastAsia" w:ascii="宋体" w:hAnsi="宋体"/>
          <w:sz w:val="24"/>
        </w:rPr>
        <w:t>1.采购代理机构名称：浙江华耀建设咨询有限公司</w:t>
      </w:r>
    </w:p>
    <w:p>
      <w:pPr>
        <w:snapToGrid w:val="0"/>
        <w:spacing w:line="360" w:lineRule="auto"/>
        <w:ind w:firstLine="480" w:firstLineChars="200"/>
        <w:rPr>
          <w:rFonts w:ascii="宋体" w:hAnsi="宋体"/>
          <w:sz w:val="24"/>
        </w:rPr>
      </w:pPr>
      <w:r>
        <w:rPr>
          <w:rFonts w:hint="eastAsia" w:ascii="宋体" w:hAnsi="宋体"/>
          <w:sz w:val="24"/>
        </w:rPr>
        <w:t>地址：</w:t>
      </w:r>
      <w:r>
        <w:rPr>
          <w:rFonts w:hint="eastAsia" w:ascii="宋体" w:hAnsi="宋体" w:cs="宋体"/>
          <w:kern w:val="0"/>
          <w:sz w:val="24"/>
        </w:rPr>
        <w:t>浙江省湖州市静江公寓1单元1101室</w:t>
      </w:r>
    </w:p>
    <w:p>
      <w:pPr>
        <w:snapToGrid w:val="0"/>
        <w:spacing w:line="360" w:lineRule="auto"/>
        <w:ind w:firstLine="470" w:firstLineChars="196"/>
        <w:rPr>
          <w:rFonts w:ascii="宋体" w:hAnsi="宋体"/>
          <w:sz w:val="24"/>
        </w:rPr>
      </w:pPr>
      <w:r>
        <w:rPr>
          <w:rFonts w:hint="eastAsia" w:ascii="宋体" w:hAnsi="宋体"/>
          <w:sz w:val="24"/>
        </w:rPr>
        <w:t>联系人：小张；联系电话：0572-2198738；传真：0572-2198739</w:t>
      </w:r>
    </w:p>
    <w:p>
      <w:pPr>
        <w:snapToGrid w:val="0"/>
        <w:spacing w:line="360" w:lineRule="auto"/>
        <w:ind w:firstLine="470" w:firstLineChars="196"/>
        <w:rPr>
          <w:rFonts w:ascii="宋体" w:hAnsi="宋体"/>
          <w:sz w:val="24"/>
        </w:rPr>
      </w:pPr>
      <w:r>
        <w:rPr>
          <w:rFonts w:hint="eastAsia" w:ascii="宋体" w:hAnsi="宋体"/>
          <w:sz w:val="24"/>
        </w:rPr>
        <w:t>供应商质疑函接收人：何女士   联系电话：0572-2371910</w:t>
      </w:r>
    </w:p>
    <w:p>
      <w:pPr>
        <w:snapToGrid w:val="0"/>
        <w:spacing w:line="360" w:lineRule="auto"/>
        <w:ind w:firstLine="470" w:firstLineChars="196"/>
        <w:rPr>
          <w:rFonts w:ascii="宋体" w:hAnsi="宋体"/>
          <w:sz w:val="24"/>
        </w:rPr>
      </w:pPr>
      <w:r>
        <w:rPr>
          <w:rFonts w:hint="eastAsia" w:ascii="宋体" w:hAnsi="宋体"/>
          <w:sz w:val="24"/>
        </w:rPr>
        <w:t>电子邮箱：</w:t>
      </w:r>
      <w:r>
        <w:fldChar w:fldCharType="begin"/>
      </w:r>
      <w:r>
        <w:instrText xml:space="preserve"> HYPERLINK "mailto:huayaohz@163.com。" </w:instrText>
      </w:r>
      <w:r>
        <w:fldChar w:fldCharType="separate"/>
      </w:r>
      <w:r>
        <w:rPr>
          <w:rFonts w:hint="eastAsia" w:ascii="宋体" w:hAnsi="宋体"/>
          <w:sz w:val="24"/>
        </w:rPr>
        <w:t>huayaohz@163.com</w:t>
      </w:r>
      <w:r>
        <w:rPr>
          <w:rFonts w:hint="eastAsia" w:ascii="宋体" w:hAnsi="宋体"/>
          <w:sz w:val="24"/>
        </w:rPr>
        <w:fldChar w:fldCharType="end"/>
      </w:r>
    </w:p>
    <w:p>
      <w:pPr>
        <w:snapToGrid w:val="0"/>
        <w:spacing w:line="360" w:lineRule="auto"/>
        <w:ind w:firstLine="420" w:firstLineChars="200"/>
      </w:pPr>
    </w:p>
    <w:p>
      <w:pPr>
        <w:snapToGrid w:val="0"/>
        <w:spacing w:line="360" w:lineRule="auto"/>
        <w:ind w:firstLine="470" w:firstLineChars="196"/>
        <w:rPr>
          <w:rFonts w:ascii="宋体" w:hAnsi="宋体"/>
          <w:sz w:val="24"/>
        </w:rPr>
      </w:pPr>
      <w:r>
        <w:rPr>
          <w:rFonts w:hint="eastAsia" w:ascii="宋体" w:hAnsi="宋体" w:cs="Arial"/>
          <w:sz w:val="24"/>
        </w:rPr>
        <w:t>2.采购人名称：</w:t>
      </w:r>
      <w:r>
        <w:rPr>
          <w:rFonts w:hint="eastAsia" w:ascii="宋体" w:hAnsi="宋体"/>
          <w:sz w:val="24"/>
        </w:rPr>
        <w:t>湖州师范学院</w:t>
      </w:r>
    </w:p>
    <w:p>
      <w:pPr>
        <w:snapToGrid w:val="0"/>
        <w:spacing w:line="360" w:lineRule="auto"/>
        <w:ind w:firstLine="470" w:firstLineChars="196"/>
        <w:rPr>
          <w:rFonts w:ascii="宋体" w:hAnsi="宋体"/>
          <w:sz w:val="24"/>
        </w:rPr>
      </w:pPr>
      <w:r>
        <w:rPr>
          <w:rFonts w:hint="eastAsia" w:ascii="宋体" w:hAnsi="宋体"/>
          <w:sz w:val="24"/>
        </w:rPr>
        <w:t>地址：湖州市二环东路759号</w:t>
      </w:r>
    </w:p>
    <w:p>
      <w:pPr>
        <w:snapToGrid w:val="0"/>
        <w:spacing w:line="360" w:lineRule="auto"/>
        <w:ind w:firstLine="480" w:firstLineChars="200"/>
        <w:rPr>
          <w:rFonts w:ascii="宋体" w:hAnsi="宋体" w:cs="Arial"/>
          <w:sz w:val="24"/>
        </w:rPr>
      </w:pPr>
      <w:r>
        <w:rPr>
          <w:rFonts w:hint="eastAsia" w:ascii="宋体" w:hAnsi="宋体" w:cs="Arial"/>
          <w:sz w:val="24"/>
        </w:rPr>
        <w:t>联系人：张老师                 电话：</w:t>
      </w:r>
      <w:r>
        <w:rPr>
          <w:rFonts w:ascii="宋体" w:hAnsi="宋体" w:cs="Arial"/>
          <w:sz w:val="24"/>
        </w:rPr>
        <w:t>0572-</w:t>
      </w:r>
      <w:r>
        <w:rPr>
          <w:rFonts w:hint="eastAsia" w:ascii="宋体" w:hAnsi="宋体" w:cs="Arial"/>
          <w:sz w:val="24"/>
        </w:rPr>
        <w:t>2322188</w:t>
      </w:r>
    </w:p>
    <w:p>
      <w:pPr>
        <w:snapToGrid w:val="0"/>
        <w:spacing w:line="360" w:lineRule="auto"/>
        <w:ind w:firstLine="480" w:firstLineChars="200"/>
        <w:rPr>
          <w:rFonts w:ascii="宋体" w:hAnsi="宋体" w:cs="Arial"/>
          <w:sz w:val="24"/>
        </w:rPr>
      </w:pPr>
      <w:r>
        <w:rPr>
          <w:rFonts w:hint="eastAsia" w:ascii="宋体" w:hAnsi="宋体" w:cs="Arial"/>
          <w:sz w:val="24"/>
        </w:rPr>
        <w:t>采购人质疑联系人：王老师  采购人质疑联系电话：</w:t>
      </w:r>
      <w:r>
        <w:rPr>
          <w:rFonts w:ascii="宋体" w:hAnsi="宋体" w:cs="Arial"/>
          <w:sz w:val="24"/>
        </w:rPr>
        <w:t>0572-</w:t>
      </w:r>
      <w:r>
        <w:rPr>
          <w:rFonts w:hint="eastAsia" w:ascii="宋体" w:hAnsi="宋体" w:cs="Arial"/>
          <w:sz w:val="24"/>
        </w:rPr>
        <w:t>2321119</w:t>
      </w:r>
    </w:p>
    <w:p>
      <w:pPr>
        <w:snapToGrid w:val="0"/>
        <w:spacing w:line="360" w:lineRule="exact"/>
        <w:ind w:firstLine="480" w:firstLineChars="200"/>
        <w:rPr>
          <w:rFonts w:ascii="宋体" w:hAnsi="宋体" w:cs="Arial"/>
          <w:sz w:val="24"/>
        </w:rPr>
      </w:pPr>
    </w:p>
    <w:p>
      <w:pPr>
        <w:snapToGrid w:val="0"/>
        <w:spacing w:line="360" w:lineRule="exact"/>
        <w:ind w:firstLine="480" w:firstLineChars="200"/>
        <w:rPr>
          <w:rFonts w:ascii="宋体" w:hAnsi="宋体" w:cs="Arial"/>
          <w:sz w:val="24"/>
        </w:rPr>
      </w:pPr>
    </w:p>
    <w:p>
      <w:pPr>
        <w:snapToGrid w:val="0"/>
        <w:spacing w:line="360" w:lineRule="auto"/>
        <w:ind w:firstLine="480" w:firstLineChars="200"/>
        <w:rPr>
          <w:rFonts w:ascii="宋体" w:hAnsi="宋体" w:cs="Arial"/>
          <w:sz w:val="24"/>
        </w:rPr>
      </w:pPr>
      <w:r>
        <w:rPr>
          <w:rFonts w:hint="eastAsia" w:ascii="宋体" w:hAnsi="宋体" w:cs="Arial"/>
          <w:sz w:val="24"/>
        </w:rPr>
        <w:t>3.同级政府采购监督管理部门名称：湖州市财政局政府采购监管处</w:t>
      </w:r>
    </w:p>
    <w:p>
      <w:pPr>
        <w:snapToGrid w:val="0"/>
        <w:spacing w:line="360" w:lineRule="auto"/>
        <w:ind w:firstLine="480" w:firstLineChars="200"/>
        <w:rPr>
          <w:rFonts w:ascii="宋体" w:hAnsi="宋体" w:cs="Arial"/>
          <w:sz w:val="24"/>
        </w:rPr>
      </w:pPr>
      <w:r>
        <w:rPr>
          <w:rFonts w:hint="eastAsia" w:ascii="宋体" w:hAnsi="宋体" w:cs="Arial"/>
          <w:sz w:val="24"/>
        </w:rPr>
        <w:t>地址：浙江省湖州市龙王山路518号</w:t>
      </w:r>
    </w:p>
    <w:p>
      <w:pPr>
        <w:snapToGrid w:val="0"/>
        <w:spacing w:line="360" w:lineRule="auto"/>
        <w:ind w:firstLine="480" w:firstLineChars="200"/>
        <w:rPr>
          <w:rFonts w:ascii="宋体" w:hAnsi="宋体" w:cs="Arial"/>
          <w:sz w:val="24"/>
        </w:rPr>
      </w:pPr>
      <w:r>
        <w:rPr>
          <w:rFonts w:hint="eastAsia" w:ascii="宋体" w:hAnsi="宋体" w:cs="Arial"/>
          <w:sz w:val="24"/>
        </w:rPr>
        <w:t>联系人：李女士；监督投诉电话：0572-2150086</w:t>
      </w:r>
    </w:p>
    <w:p>
      <w:pPr>
        <w:pStyle w:val="2"/>
      </w:pPr>
    </w:p>
    <w:p>
      <w:pPr>
        <w:snapToGrid w:val="0"/>
        <w:spacing w:line="360" w:lineRule="auto"/>
        <w:ind w:left="238" w:firstLine="6480" w:firstLineChars="2700"/>
        <w:rPr>
          <w:rFonts w:ascii="宋体" w:hAnsi="宋体"/>
          <w:sz w:val="24"/>
        </w:rPr>
      </w:pPr>
      <w:r>
        <w:rPr>
          <w:rFonts w:hint="eastAsia" w:ascii="宋体" w:hAnsi="宋体" w:cs="Arial"/>
          <w:sz w:val="24"/>
        </w:rPr>
        <w:t>湖州师范学院</w:t>
      </w:r>
    </w:p>
    <w:p>
      <w:pPr>
        <w:snapToGrid w:val="0"/>
        <w:spacing w:line="360" w:lineRule="auto"/>
        <w:ind w:left="238"/>
        <w:jc w:val="center"/>
        <w:rPr>
          <w:rFonts w:ascii="宋体" w:hAnsi="宋体"/>
          <w:sz w:val="24"/>
        </w:rPr>
      </w:pPr>
      <w:r>
        <w:rPr>
          <w:rFonts w:hint="eastAsia" w:ascii="宋体" w:hAnsi="宋体"/>
          <w:sz w:val="24"/>
        </w:rPr>
        <w:t xml:space="preserve">                                                 浙江华耀建设咨询有限公司</w:t>
      </w:r>
    </w:p>
    <w:p>
      <w:pPr>
        <w:snapToGrid w:val="0"/>
        <w:spacing w:line="360" w:lineRule="auto"/>
        <w:ind w:left="238"/>
        <w:jc w:val="center"/>
        <w:rPr>
          <w:rFonts w:ascii="宋体" w:hAnsi="宋体"/>
          <w:sz w:val="24"/>
        </w:rPr>
      </w:pPr>
      <w:r>
        <w:rPr>
          <w:rFonts w:hint="eastAsia" w:ascii="宋体" w:hAnsi="宋体"/>
          <w:sz w:val="24"/>
        </w:rPr>
        <w:t xml:space="preserve">                                            2022年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5</w:t>
      </w:r>
      <w:r>
        <w:rPr>
          <w:rFonts w:hint="eastAsia" w:ascii="宋体" w:hAnsi="宋体"/>
          <w:sz w:val="24"/>
        </w:rPr>
        <w:t>日</w:t>
      </w:r>
    </w:p>
    <w:p>
      <w:pPr>
        <w:pStyle w:val="14"/>
      </w:pPr>
    </w:p>
    <w:p>
      <w:pPr>
        <w:jc w:val="left"/>
        <w:rPr>
          <w:rFonts w:ascii="宋体" w:hAnsi="宋体" w:cs="仿宋"/>
          <w:b/>
          <w:sz w:val="24"/>
        </w:rPr>
      </w:pPr>
      <w:r>
        <w:rPr>
          <w:rFonts w:hint="eastAsia" w:ascii="宋体" w:hAnsi="宋体" w:cs="仿宋"/>
          <w:b/>
          <w:sz w:val="24"/>
        </w:rPr>
        <w:t>若对项目采购电子交易系统操作有疑问，可登录政采云（https://www.zcygov.cn/），点击右侧咨询小采，获取采小蜜智能服务管家帮助，或拨打政采云服务热线400-881-7190获取热线服务帮助。</w:t>
      </w:r>
    </w:p>
    <w:p>
      <w:pPr>
        <w:rPr>
          <w:rFonts w:ascii="宋体" w:hAnsi="宋体" w:cs="仿宋"/>
          <w:b/>
          <w:sz w:val="24"/>
        </w:rPr>
      </w:pPr>
      <w:r>
        <w:rPr>
          <w:rFonts w:hint="eastAsia" w:ascii="宋体" w:hAnsi="宋体" w:cs="仿宋"/>
          <w:b/>
          <w:sz w:val="24"/>
        </w:rPr>
        <w:t>CA问题联系电话（人工）：汇信CA 400-888-4636；天谷CA 400-087-8198。</w:t>
      </w:r>
    </w:p>
    <w:p>
      <w:pPr>
        <w:pStyle w:val="14"/>
      </w:pPr>
    </w:p>
    <w:p/>
    <w:p>
      <w:pPr>
        <w:pStyle w:val="2"/>
      </w:pPr>
    </w:p>
    <w:p/>
    <w:p>
      <w:pPr>
        <w:pStyle w:val="2"/>
      </w:pPr>
    </w:p>
    <w:p/>
    <w:p>
      <w:pPr>
        <w:pStyle w:val="2"/>
      </w:pPr>
    </w:p>
    <w:p/>
    <w:p>
      <w:pPr>
        <w:pStyle w:val="2"/>
      </w:pPr>
    </w:p>
    <w:p/>
    <w:p>
      <w:pPr>
        <w:pStyle w:val="2"/>
      </w:pPr>
    </w:p>
    <w:p/>
    <w:p>
      <w:pPr>
        <w:pStyle w:val="2"/>
      </w:pPr>
    </w:p>
    <w:p/>
    <w:p/>
    <w:p>
      <w:pPr>
        <w:snapToGrid w:val="0"/>
        <w:spacing w:line="360" w:lineRule="auto"/>
        <w:ind w:left="238"/>
        <w:jc w:val="center"/>
        <w:rPr>
          <w:rFonts w:hint="eastAsia" w:ascii="黑体" w:hAnsi="宋体" w:eastAsia="黑体"/>
          <w:sz w:val="30"/>
          <w:szCs w:val="30"/>
        </w:rPr>
      </w:pPr>
    </w:p>
    <w:p>
      <w:pPr>
        <w:snapToGrid w:val="0"/>
        <w:spacing w:line="360" w:lineRule="auto"/>
        <w:ind w:left="238"/>
        <w:jc w:val="center"/>
        <w:rPr>
          <w:rFonts w:ascii="黑体" w:hAnsi="宋体" w:eastAsia="黑体"/>
          <w:sz w:val="30"/>
          <w:szCs w:val="30"/>
        </w:rPr>
      </w:pPr>
      <w:r>
        <w:rPr>
          <w:rFonts w:hint="eastAsia" w:ascii="黑体" w:hAnsi="宋体" w:eastAsia="黑体"/>
          <w:sz w:val="30"/>
          <w:szCs w:val="30"/>
        </w:rPr>
        <w:t>第二章  招标需求</w:t>
      </w:r>
    </w:p>
    <w:p>
      <w:pPr>
        <w:widowControl/>
        <w:spacing w:line="360" w:lineRule="auto"/>
        <w:ind w:left="2588" w:leftChars="200" w:hanging="2168" w:hangingChars="900"/>
        <w:jc w:val="left"/>
        <w:rPr>
          <w:rFonts w:ascii="宋体" w:hAnsi="宋体"/>
          <w:sz w:val="24"/>
        </w:rPr>
      </w:pPr>
      <w:r>
        <w:rPr>
          <w:rFonts w:hint="eastAsia" w:ascii="宋体" w:hAnsi="宋体"/>
          <w:b/>
          <w:sz w:val="24"/>
        </w:rPr>
        <w:t>一、采购项目名称：湖州师范学院工学院中国智能制造挑战赛实验室设备采购项目</w:t>
      </w:r>
    </w:p>
    <w:p>
      <w:pPr>
        <w:widowControl/>
        <w:spacing w:line="360" w:lineRule="auto"/>
        <w:ind w:firstLine="482" w:firstLineChars="200"/>
        <w:jc w:val="left"/>
        <w:rPr>
          <w:rFonts w:ascii="宋体" w:hAnsi="宋体"/>
          <w:b/>
          <w:sz w:val="24"/>
        </w:rPr>
      </w:pPr>
      <w:r>
        <w:rPr>
          <w:rFonts w:hint="eastAsia" w:ascii="宋体" w:hAnsi="宋体"/>
          <w:b/>
          <w:sz w:val="24"/>
        </w:rPr>
        <w:t>二、采购项目编号：HYHZ2022-135</w:t>
      </w:r>
    </w:p>
    <w:p>
      <w:pPr>
        <w:widowControl/>
        <w:spacing w:line="360" w:lineRule="auto"/>
        <w:ind w:firstLine="482" w:firstLineChars="200"/>
        <w:jc w:val="left"/>
        <w:rPr>
          <w:rFonts w:ascii="宋体" w:hAnsi="宋体" w:cs="宋体"/>
          <w:b/>
          <w:kern w:val="0"/>
          <w:sz w:val="24"/>
        </w:rPr>
      </w:pPr>
      <w:r>
        <w:rPr>
          <w:rFonts w:hint="eastAsia" w:ascii="宋体" w:hAnsi="宋体"/>
          <w:b/>
          <w:sz w:val="24"/>
        </w:rPr>
        <w:t>三、采购项目预算：</w:t>
      </w:r>
      <w:r>
        <w:rPr>
          <w:rFonts w:hint="eastAsia" w:ascii="宋体" w:hAnsi="宋体" w:cs="宋体"/>
          <w:b/>
          <w:kern w:val="0"/>
          <w:sz w:val="24"/>
        </w:rPr>
        <w:t>人民币贰佰万元整（￥2000000.00）</w:t>
      </w:r>
    </w:p>
    <w:p>
      <w:pPr>
        <w:widowControl/>
        <w:spacing w:line="360" w:lineRule="auto"/>
        <w:ind w:firstLine="482" w:firstLineChars="200"/>
        <w:jc w:val="left"/>
        <w:rPr>
          <w:rFonts w:ascii="宋体" w:hAnsi="宋体"/>
          <w:b/>
          <w:sz w:val="24"/>
        </w:rPr>
      </w:pPr>
      <w:r>
        <w:rPr>
          <w:rFonts w:hint="eastAsia" w:ascii="宋体" w:hAnsi="宋体"/>
          <w:b/>
          <w:sz w:val="24"/>
        </w:rPr>
        <w:t>四、采购项目实施地点：湖州师范学院</w:t>
      </w:r>
    </w:p>
    <w:p>
      <w:pPr>
        <w:widowControl/>
        <w:spacing w:line="360" w:lineRule="auto"/>
        <w:ind w:firstLine="482" w:firstLineChars="200"/>
        <w:jc w:val="left"/>
        <w:rPr>
          <w:rFonts w:asciiTheme="majorEastAsia" w:hAnsiTheme="majorEastAsia" w:eastAsiaTheme="majorEastAsia"/>
          <w:b/>
          <w:bCs/>
          <w:sz w:val="24"/>
        </w:rPr>
      </w:pPr>
      <w:r>
        <w:rPr>
          <w:rFonts w:hint="eastAsia" w:ascii="宋体" w:hAnsi="宋体"/>
          <w:b/>
          <w:bCs/>
          <w:sz w:val="24"/>
        </w:rPr>
        <w:t>五、采</w:t>
      </w:r>
      <w:r>
        <w:rPr>
          <w:rFonts w:hint="eastAsia" w:asciiTheme="majorEastAsia" w:hAnsiTheme="majorEastAsia" w:eastAsiaTheme="majorEastAsia"/>
          <w:b/>
          <w:bCs/>
          <w:sz w:val="24"/>
        </w:rPr>
        <w:t>购项目采购清单和</w:t>
      </w:r>
      <w:r>
        <w:rPr>
          <w:rFonts w:asciiTheme="majorEastAsia" w:hAnsiTheme="majorEastAsia" w:eastAsiaTheme="majorEastAsia"/>
          <w:b/>
          <w:bCs/>
          <w:sz w:val="24"/>
        </w:rPr>
        <w:t>规格型号</w:t>
      </w:r>
      <w:r>
        <w:rPr>
          <w:rFonts w:hint="eastAsia" w:asciiTheme="majorEastAsia" w:hAnsiTheme="majorEastAsia" w:eastAsiaTheme="majorEastAsia"/>
          <w:b/>
          <w:bCs/>
          <w:sz w:val="24"/>
        </w:rPr>
        <w:t>、</w:t>
      </w:r>
      <w:r>
        <w:rPr>
          <w:rFonts w:asciiTheme="majorEastAsia" w:hAnsiTheme="majorEastAsia" w:eastAsiaTheme="majorEastAsia"/>
          <w:b/>
          <w:bCs/>
          <w:sz w:val="24"/>
        </w:rPr>
        <w:t>技术参数、</w:t>
      </w:r>
      <w:r>
        <w:rPr>
          <w:rFonts w:hint="eastAsia" w:asciiTheme="majorEastAsia" w:hAnsiTheme="majorEastAsia" w:eastAsiaTheme="majorEastAsia"/>
          <w:b/>
          <w:bCs/>
          <w:sz w:val="24"/>
        </w:rPr>
        <w:t>附件</w:t>
      </w:r>
      <w:r>
        <w:rPr>
          <w:rFonts w:asciiTheme="majorEastAsia" w:hAnsiTheme="majorEastAsia" w:eastAsiaTheme="majorEastAsia"/>
          <w:b/>
          <w:bCs/>
          <w:sz w:val="24"/>
        </w:rPr>
        <w:t>清单</w:t>
      </w:r>
      <w:r>
        <w:rPr>
          <w:rFonts w:hint="eastAsia" w:asciiTheme="majorEastAsia" w:hAnsiTheme="majorEastAsia" w:eastAsiaTheme="majorEastAsia"/>
          <w:b/>
          <w:bCs/>
          <w:sz w:val="24"/>
        </w:rPr>
        <w:t>等：</w:t>
      </w:r>
    </w:p>
    <w:tbl>
      <w:tblPr>
        <w:tblStyle w:val="35"/>
        <w:tblW w:w="9371" w:type="dxa"/>
        <w:tblInd w:w="91" w:type="dxa"/>
        <w:tblLayout w:type="autofit"/>
        <w:tblCellMar>
          <w:top w:w="0" w:type="dxa"/>
          <w:left w:w="108" w:type="dxa"/>
          <w:bottom w:w="0" w:type="dxa"/>
          <w:right w:w="108" w:type="dxa"/>
        </w:tblCellMar>
      </w:tblPr>
      <w:tblGrid>
        <w:gridCol w:w="502"/>
        <w:gridCol w:w="791"/>
        <w:gridCol w:w="709"/>
        <w:gridCol w:w="7369"/>
      </w:tblGrid>
      <w:tr>
        <w:tblPrEx>
          <w:tblCellMar>
            <w:top w:w="0" w:type="dxa"/>
            <w:left w:w="108" w:type="dxa"/>
            <w:bottom w:w="0" w:type="dxa"/>
            <w:right w:w="108" w:type="dxa"/>
          </w:tblCellMar>
        </w:tblPrEx>
        <w:trPr>
          <w:trHeight w:val="810" w:hRule="atLeast"/>
        </w:trPr>
        <w:tc>
          <w:tcPr>
            <w:tcW w:w="5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序号</w:t>
            </w:r>
          </w:p>
        </w:tc>
        <w:tc>
          <w:tcPr>
            <w:tcW w:w="7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设备名称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台套数</w:t>
            </w:r>
          </w:p>
        </w:tc>
        <w:tc>
          <w:tcPr>
            <w:tcW w:w="73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详细及参数及配置</w:t>
            </w:r>
          </w:p>
        </w:tc>
      </w:tr>
      <w:tr>
        <w:tblPrEx>
          <w:tblCellMar>
            <w:top w:w="0" w:type="dxa"/>
            <w:left w:w="108" w:type="dxa"/>
            <w:bottom w:w="0" w:type="dxa"/>
            <w:right w:w="108" w:type="dxa"/>
          </w:tblCellMar>
        </w:tblPrEx>
        <w:tc>
          <w:tcPr>
            <w:tcW w:w="5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虚拟仿真电梯实训系统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w:t>
            </w:r>
          </w:p>
        </w:tc>
        <w:tc>
          <w:tcPr>
            <w:tcW w:w="7369"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一、电梯仿真实训平台</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756"/>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84" w:type="dxa"/>
                  <w:vMerge w:val="restart"/>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PLC套件</w:t>
                  </w:r>
                </w:p>
              </w:tc>
              <w:tc>
                <w:tcPr>
                  <w:tcW w:w="689" w:type="dxa"/>
                  <w:vMerge w:val="restart"/>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1套</w:t>
                  </w:r>
                </w:p>
              </w:tc>
              <w:tc>
                <w:tcPr>
                  <w:tcW w:w="4563" w:type="dxa"/>
                </w:tcPr>
                <w:p>
                  <w:pPr>
                    <w:pStyle w:val="78"/>
                    <w:widowControl/>
                    <w:numPr>
                      <w:ilvl w:val="0"/>
                      <w:numId w:val="2"/>
                    </w:numPr>
                    <w:ind w:firstLineChars="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CPU紧凑型CPU DC/DC/DC</w:t>
                  </w:r>
                </w:p>
                <w:p>
                  <w:pPr>
                    <w:ind w:firstLine="480" w:firstLineChars="200"/>
                    <w:rPr>
                      <w:rFonts w:cs="宋体" w:asciiTheme="majorEastAsia" w:hAnsiTheme="majorEastAsia" w:eastAsiaTheme="majorEastAsia"/>
                      <w:kern w:val="0"/>
                      <w:sz w:val="24"/>
                    </w:rPr>
                  </w:pPr>
                  <w:r>
                    <w:rPr>
                      <w:rFonts w:hint="eastAsia" w:asciiTheme="majorEastAsia" w:hAnsiTheme="majorEastAsia" w:eastAsiaTheme="majorEastAsia"/>
                      <w:sz w:val="24"/>
                    </w:rPr>
                    <w:t>集成输入/输出：14 DI 24V直流输入，10 晶体管输出24 V 直流，2模拟量输入 0 - 10V DC 或  0 - 20MA，供电：直流 DC 20.4 - 28.8 V，可编程数据存储区：50 KB；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84" w:type="dxa"/>
                  <w:vMerge w:val="continue"/>
                  <w:vAlign w:val="center"/>
                </w:tcPr>
                <w:p>
                  <w:pPr>
                    <w:widowControl/>
                    <w:jc w:val="center"/>
                    <w:rPr>
                      <w:rFonts w:cs="宋体" w:asciiTheme="majorEastAsia" w:hAnsiTheme="majorEastAsia" w:eastAsiaTheme="majorEastAsia"/>
                      <w:kern w:val="0"/>
                      <w:sz w:val="24"/>
                    </w:rPr>
                  </w:pPr>
                </w:p>
              </w:tc>
              <w:tc>
                <w:tcPr>
                  <w:tcW w:w="689" w:type="dxa"/>
                  <w:vMerge w:val="continue"/>
                  <w:vAlign w:val="center"/>
                </w:tcPr>
                <w:p>
                  <w:pPr>
                    <w:widowControl/>
                    <w:jc w:val="center"/>
                    <w:rPr>
                      <w:rFonts w:cs="宋体" w:asciiTheme="majorEastAsia" w:hAnsiTheme="majorEastAsia" w:eastAsiaTheme="majorEastAsia"/>
                      <w:kern w:val="0"/>
                      <w:sz w:val="24"/>
                    </w:rPr>
                  </w:pPr>
                </w:p>
              </w:tc>
              <w:tc>
                <w:tcPr>
                  <w:tcW w:w="4563" w:type="dxa"/>
                </w:tcPr>
                <w:p>
                  <w:pPr>
                    <w:pStyle w:val="78"/>
                    <w:widowControl/>
                    <w:numPr>
                      <w:ilvl w:val="0"/>
                      <w:numId w:val="2"/>
                    </w:numPr>
                    <w:ind w:firstLineChars="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模拟输出模块</w:t>
                  </w:r>
                </w:p>
                <w:p>
                  <w:pPr>
                    <w:ind w:firstLine="480" w:firstLineChars="200"/>
                    <w:rPr>
                      <w:rFonts w:cs="宋体" w:asciiTheme="majorEastAsia" w:hAnsiTheme="majorEastAsia" w:eastAsiaTheme="majorEastAsia"/>
                      <w:kern w:val="0"/>
                      <w:sz w:val="24"/>
                    </w:rPr>
                  </w:pPr>
                  <w:r>
                    <w:rPr>
                      <w:rFonts w:hint="eastAsia" w:asciiTheme="majorEastAsia" w:hAnsiTheme="majorEastAsia" w:eastAsiaTheme="majorEastAsia"/>
                      <w:sz w:val="24"/>
                    </w:rPr>
                    <w:t>1路模拟量输出12BIT +/-10VDC/0-20mA；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84" w:type="dxa"/>
                  <w:vMerge w:val="continue"/>
                  <w:vAlign w:val="center"/>
                </w:tcPr>
                <w:p>
                  <w:pPr>
                    <w:widowControl/>
                    <w:jc w:val="center"/>
                    <w:rPr>
                      <w:rFonts w:cs="宋体" w:asciiTheme="majorEastAsia" w:hAnsiTheme="majorEastAsia" w:eastAsiaTheme="majorEastAsia"/>
                      <w:kern w:val="0"/>
                      <w:sz w:val="24"/>
                    </w:rPr>
                  </w:pPr>
                </w:p>
              </w:tc>
              <w:tc>
                <w:tcPr>
                  <w:tcW w:w="689" w:type="dxa"/>
                  <w:vMerge w:val="continue"/>
                  <w:vAlign w:val="center"/>
                </w:tcPr>
                <w:p>
                  <w:pPr>
                    <w:widowControl/>
                    <w:jc w:val="center"/>
                    <w:rPr>
                      <w:rFonts w:cs="宋体" w:asciiTheme="majorEastAsia" w:hAnsiTheme="majorEastAsia" w:eastAsiaTheme="majorEastAsia"/>
                      <w:kern w:val="0"/>
                      <w:sz w:val="24"/>
                    </w:rPr>
                  </w:pPr>
                </w:p>
              </w:tc>
              <w:tc>
                <w:tcPr>
                  <w:tcW w:w="4563" w:type="dxa"/>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C.模拟器模块8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84" w:type="dxa"/>
                  <w:vMerge w:val="continue"/>
                  <w:vAlign w:val="center"/>
                </w:tcPr>
                <w:p>
                  <w:pPr>
                    <w:widowControl/>
                    <w:jc w:val="center"/>
                    <w:rPr>
                      <w:rFonts w:cs="宋体" w:asciiTheme="majorEastAsia" w:hAnsiTheme="majorEastAsia" w:eastAsiaTheme="majorEastAsia"/>
                      <w:kern w:val="0"/>
                      <w:sz w:val="24"/>
                    </w:rPr>
                  </w:pPr>
                </w:p>
              </w:tc>
              <w:tc>
                <w:tcPr>
                  <w:tcW w:w="689" w:type="dxa"/>
                  <w:vMerge w:val="continue"/>
                  <w:vAlign w:val="center"/>
                </w:tcPr>
                <w:p>
                  <w:pPr>
                    <w:widowControl/>
                    <w:jc w:val="center"/>
                    <w:rPr>
                      <w:rFonts w:cs="宋体" w:asciiTheme="majorEastAsia" w:hAnsiTheme="majorEastAsia" w:eastAsiaTheme="majorEastAsia"/>
                      <w:kern w:val="0"/>
                      <w:sz w:val="24"/>
                    </w:rPr>
                  </w:pPr>
                </w:p>
              </w:tc>
              <w:tc>
                <w:tcPr>
                  <w:tcW w:w="4563" w:type="dxa"/>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D.以太网电缆；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84" w:type="dxa"/>
                  <w:vMerge w:val="continue"/>
                  <w:vAlign w:val="center"/>
                </w:tcPr>
                <w:p>
                  <w:pPr>
                    <w:widowControl/>
                    <w:jc w:val="center"/>
                    <w:rPr>
                      <w:rFonts w:cs="宋体" w:asciiTheme="majorEastAsia" w:hAnsiTheme="majorEastAsia" w:eastAsiaTheme="majorEastAsia"/>
                      <w:kern w:val="0"/>
                      <w:sz w:val="24"/>
                    </w:rPr>
                  </w:pPr>
                </w:p>
              </w:tc>
              <w:tc>
                <w:tcPr>
                  <w:tcW w:w="689" w:type="dxa"/>
                  <w:vMerge w:val="continue"/>
                  <w:vAlign w:val="center"/>
                </w:tcPr>
                <w:p>
                  <w:pPr>
                    <w:widowControl/>
                    <w:jc w:val="center"/>
                    <w:rPr>
                      <w:rFonts w:cs="宋体" w:asciiTheme="majorEastAsia" w:hAnsiTheme="majorEastAsia" w:eastAsiaTheme="majorEastAsia"/>
                      <w:kern w:val="0"/>
                      <w:sz w:val="24"/>
                    </w:rPr>
                  </w:pPr>
                </w:p>
              </w:tc>
              <w:tc>
                <w:tcPr>
                  <w:tcW w:w="4563" w:type="dxa"/>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E.正版工程软件（单用户许可证）；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Profibus主站</w:t>
                  </w:r>
                </w:p>
              </w:tc>
              <w:tc>
                <w:tcPr>
                  <w:tcW w:w="689"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1套</w:t>
                  </w:r>
                </w:p>
              </w:tc>
              <w:tc>
                <w:tcPr>
                  <w:tcW w:w="4563" w:type="dxa"/>
                </w:tcPr>
                <w:p>
                  <w:pPr>
                    <w:widowControl/>
                    <w:jc w:val="left"/>
                    <w:rPr>
                      <w:rFonts w:cs="宋体" w:asciiTheme="majorEastAsia" w:hAnsiTheme="majorEastAsia" w:eastAsiaTheme="majorEastAsia"/>
                      <w:b/>
                      <w:kern w:val="0"/>
                      <w:sz w:val="24"/>
                    </w:rPr>
                  </w:pPr>
                  <w:r>
                    <w:rPr>
                      <w:rFonts w:hint="eastAsia" w:cs="宋体" w:asciiTheme="majorEastAsia" w:hAnsiTheme="majorEastAsia" w:eastAsiaTheme="majorEastAsia"/>
                      <w:kern w:val="0"/>
                      <w:sz w:val="24"/>
                    </w:rPr>
                    <w:t>用于PLC配套，ProfiBus CM通信服务总线协议，可与DP-V0/V1从站进行通讯。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Profibus从站模块</w:t>
                  </w:r>
                </w:p>
              </w:tc>
              <w:tc>
                <w:tcPr>
                  <w:tcW w:w="689"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1套</w:t>
                  </w:r>
                </w:p>
              </w:tc>
              <w:tc>
                <w:tcPr>
                  <w:tcW w:w="4563" w:type="dxa"/>
                </w:tcPr>
                <w:p>
                  <w:pPr>
                    <w:widowControl/>
                    <w:jc w:val="left"/>
                    <w:rPr>
                      <w:rFonts w:cs="宋体" w:asciiTheme="majorEastAsia" w:hAnsiTheme="majorEastAsia" w:eastAsiaTheme="majorEastAsia"/>
                      <w:b/>
                      <w:kern w:val="0"/>
                      <w:sz w:val="24"/>
                    </w:rPr>
                  </w:pPr>
                  <w:r>
                    <w:rPr>
                      <w:rFonts w:hint="eastAsia" w:cs="宋体" w:asciiTheme="majorEastAsia" w:hAnsiTheme="majorEastAsia" w:eastAsiaTheme="majorEastAsia"/>
                      <w:kern w:val="0"/>
                      <w:sz w:val="24"/>
                    </w:rPr>
                    <w:t>通讯模块，将RS485信号转换成Profibus DP信号输出，使控制对象可通过Profibus通讯方式与PLC交互。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单相24V电源</w:t>
                  </w:r>
                </w:p>
              </w:tc>
              <w:tc>
                <w:tcPr>
                  <w:tcW w:w="689"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1套</w:t>
                  </w:r>
                </w:p>
              </w:tc>
              <w:tc>
                <w:tcPr>
                  <w:tcW w:w="4563" w:type="dxa"/>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电源模块PM型，输入：120/230V AC，输出：24V DC/ 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总线连接器</w:t>
                  </w:r>
                </w:p>
              </w:tc>
              <w:tc>
                <w:tcPr>
                  <w:tcW w:w="689"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2个</w:t>
                  </w:r>
                </w:p>
              </w:tc>
              <w:tc>
                <w:tcPr>
                  <w:tcW w:w="4563" w:type="dxa"/>
                </w:tcPr>
                <w:p>
                  <w:pPr>
                    <w:widowControl/>
                    <w:jc w:val="left"/>
                    <w:rPr>
                      <w:rFonts w:cs="宋体" w:asciiTheme="majorEastAsia" w:hAnsiTheme="majorEastAsia" w:eastAsiaTheme="majorEastAsia"/>
                      <w:b/>
                      <w:kern w:val="0"/>
                      <w:sz w:val="24"/>
                    </w:rPr>
                  </w:pPr>
                  <w:r>
                    <w:rPr>
                      <w:rFonts w:hint="eastAsia" w:cs="宋体" w:asciiTheme="majorEastAsia" w:hAnsiTheme="majorEastAsia" w:eastAsiaTheme="majorEastAsia"/>
                      <w:kern w:val="0"/>
                      <w:sz w:val="24"/>
                    </w:rPr>
                    <w:t>S7带90*电缆出口的Profibus FastConnect RS485，带绝缘刺破接口，最大数据传输速率12Mbit/s。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ProfiBus电缆</w:t>
                  </w:r>
                </w:p>
              </w:tc>
              <w:tc>
                <w:tcPr>
                  <w:tcW w:w="689"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1套</w:t>
                  </w:r>
                </w:p>
              </w:tc>
              <w:tc>
                <w:tcPr>
                  <w:tcW w:w="4563" w:type="dxa"/>
                </w:tcPr>
                <w:p>
                  <w:pPr>
                    <w:widowControl/>
                    <w:jc w:val="left"/>
                    <w:rPr>
                      <w:rFonts w:cs="宋体" w:asciiTheme="majorEastAsia" w:hAnsiTheme="majorEastAsia" w:eastAsiaTheme="majorEastAsia"/>
                      <w:b/>
                      <w:kern w:val="0"/>
                      <w:sz w:val="24"/>
                    </w:rPr>
                  </w:pPr>
                  <w:r>
                    <w:rPr>
                      <w:rFonts w:hint="eastAsia" w:cs="宋体" w:asciiTheme="majorEastAsia" w:hAnsiTheme="majorEastAsia" w:eastAsiaTheme="majorEastAsia"/>
                      <w:kern w:val="0"/>
                      <w:sz w:val="24"/>
                    </w:rPr>
                    <w:t>FastConnect标准电缆，快速安装，2芯，屏蔽，1米。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工业以太网交换机</w:t>
                  </w:r>
                </w:p>
              </w:tc>
              <w:tc>
                <w:tcPr>
                  <w:tcW w:w="689" w:type="dxa"/>
                  <w:vAlign w:val="center"/>
                </w:tcPr>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1台</w:t>
                  </w:r>
                </w:p>
              </w:tc>
              <w:tc>
                <w:tcPr>
                  <w:tcW w:w="4563" w:type="dxa"/>
                </w:tcPr>
                <w:p>
                  <w:pPr>
                    <w:widowControl/>
                    <w:jc w:val="left"/>
                    <w:rPr>
                      <w:rFonts w:asciiTheme="majorEastAsia" w:hAnsiTheme="majorEastAsia" w:eastAsiaTheme="majorEastAsia"/>
                      <w:sz w:val="24"/>
                    </w:rPr>
                  </w:pPr>
                  <w:r>
                    <w:rPr>
                      <w:rFonts w:hint="eastAsia" w:cs="宋体" w:asciiTheme="majorEastAsia" w:hAnsiTheme="majorEastAsia" w:eastAsiaTheme="majorEastAsia"/>
                      <w:kern w:val="0"/>
                      <w:sz w:val="24"/>
                    </w:rPr>
                    <w:t>带有5 个RJ45-SOCKETS 的10/100MBIT/S 双端口；用于组态小型星型和线型拓扑结构；LED诊断, IP20, 24 V DC 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嵌入式工控机</w:t>
                  </w:r>
                </w:p>
              </w:tc>
              <w:tc>
                <w:tcPr>
                  <w:tcW w:w="689"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1台</w:t>
                  </w:r>
                </w:p>
              </w:tc>
              <w:tc>
                <w:tcPr>
                  <w:tcW w:w="4563" w:type="dxa"/>
                  <w:vAlign w:val="center"/>
                </w:tcPr>
                <w:p>
                  <w:pPr>
                    <w:widowControl/>
                    <w:jc w:val="left"/>
                    <w:rPr>
                      <w:rFonts w:cs="宋体" w:asciiTheme="majorEastAsia" w:hAnsiTheme="majorEastAsia" w:eastAsiaTheme="majorEastAsia"/>
                      <w:b/>
                      <w:kern w:val="0"/>
                      <w:sz w:val="24"/>
                    </w:rPr>
                  </w:pPr>
                  <w:r>
                    <w:rPr>
                      <w:rFonts w:hint="eastAsia" w:cs="宋体" w:asciiTheme="majorEastAsia" w:hAnsiTheme="majorEastAsia" w:eastAsiaTheme="majorEastAsia"/>
                      <w:kern w:val="0"/>
                      <w:sz w:val="24"/>
                    </w:rPr>
                    <w:t>无风扇嵌入式工控机。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I/O外设</w:t>
                  </w:r>
                </w:p>
              </w:tc>
              <w:tc>
                <w:tcPr>
                  <w:tcW w:w="689"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1套</w:t>
                  </w:r>
                </w:p>
              </w:tc>
              <w:tc>
                <w:tcPr>
                  <w:tcW w:w="4563" w:type="dxa"/>
                  <w:vAlign w:val="center"/>
                </w:tcPr>
                <w:p>
                  <w:pPr>
                    <w:widowControl/>
                    <w:jc w:val="left"/>
                    <w:rPr>
                      <w:rFonts w:cs="宋体" w:asciiTheme="majorEastAsia" w:hAnsiTheme="majorEastAsia" w:eastAsiaTheme="majorEastAsia"/>
                      <w:b/>
                      <w:kern w:val="0"/>
                      <w:sz w:val="24"/>
                    </w:rPr>
                  </w:pPr>
                  <w:r>
                    <w:rPr>
                      <w:rFonts w:hint="eastAsia" w:cs="宋体" w:asciiTheme="majorEastAsia" w:hAnsiTheme="majorEastAsia" w:eastAsiaTheme="majorEastAsia"/>
                      <w:kern w:val="0"/>
                      <w:sz w:val="24"/>
                    </w:rPr>
                    <w:t>液晶显示器，鼠标，键盘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通讯转换模块</w:t>
                  </w:r>
                </w:p>
              </w:tc>
              <w:tc>
                <w:tcPr>
                  <w:tcW w:w="689"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1个</w:t>
                  </w:r>
                </w:p>
              </w:tc>
              <w:tc>
                <w:tcPr>
                  <w:tcW w:w="4563" w:type="dxa"/>
                  <w:vAlign w:val="center"/>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支持RS485现场总线通讯。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安装展示架</w:t>
                  </w:r>
                </w:p>
              </w:tc>
              <w:tc>
                <w:tcPr>
                  <w:tcW w:w="689"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1套</w:t>
                  </w:r>
                </w:p>
              </w:tc>
              <w:tc>
                <w:tcPr>
                  <w:tcW w:w="4563"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H600*W600*D300，含成套集成电气元器件。</w:t>
                  </w:r>
                </w:p>
              </w:tc>
            </w:tr>
          </w:tbl>
          <w:p>
            <w:pPr>
              <w:widowControl/>
              <w:jc w:val="left"/>
              <w:rPr>
                <w:rFonts w:cs="宋体" w:asciiTheme="majorEastAsia" w:hAnsiTheme="majorEastAsia" w:eastAsiaTheme="majorEastAsia"/>
                <w:b/>
                <w:kern w:val="0"/>
                <w:sz w:val="24"/>
              </w:rPr>
            </w:pPr>
          </w:p>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二、电梯仿真实训系统V1.0</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98"/>
              <w:gridCol w:w="5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314" w:type="dxa"/>
                  <w:vMerge w:val="restart"/>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电梯虚拟仿真软件</w:t>
                  </w:r>
                </w:p>
              </w:tc>
              <w:tc>
                <w:tcPr>
                  <w:tcW w:w="598" w:type="dxa"/>
                  <w:vMerge w:val="restart"/>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1套</w:t>
                  </w:r>
                </w:p>
              </w:tc>
              <w:tc>
                <w:tcPr>
                  <w:tcW w:w="5524" w:type="dxa"/>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1.基于虚拟现实技术的三维可视化环境</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应用虚拟现实技术，能够对电梯轿厢在楼层间运行过程中的多种工作条件和故障模式进行实时仿真，该系统满足的情景再现与工程再现使得人机具有良好的交互方式，逼真的表现形式使得学习人员可以根据电梯运作情况和位置优先度进行操控从而达到教学/培训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14" w:type="dxa"/>
                  <w:vMerge w:val="continue"/>
                  <w:vAlign w:val="center"/>
                </w:tcPr>
                <w:p>
                  <w:pPr>
                    <w:widowControl/>
                    <w:jc w:val="center"/>
                    <w:rPr>
                      <w:rFonts w:cs="宋体" w:asciiTheme="majorEastAsia" w:hAnsiTheme="majorEastAsia" w:eastAsiaTheme="majorEastAsia"/>
                      <w:kern w:val="0"/>
                      <w:sz w:val="24"/>
                    </w:rPr>
                  </w:pPr>
                </w:p>
              </w:tc>
              <w:tc>
                <w:tcPr>
                  <w:tcW w:w="598" w:type="dxa"/>
                  <w:vMerge w:val="continue"/>
                  <w:vAlign w:val="center"/>
                </w:tcPr>
                <w:p>
                  <w:pPr>
                    <w:widowControl/>
                    <w:jc w:val="center"/>
                    <w:rPr>
                      <w:rFonts w:cs="宋体" w:asciiTheme="majorEastAsia" w:hAnsiTheme="majorEastAsia" w:eastAsiaTheme="majorEastAsia"/>
                      <w:kern w:val="0"/>
                      <w:sz w:val="24"/>
                    </w:rPr>
                  </w:pPr>
                </w:p>
              </w:tc>
              <w:tc>
                <w:tcPr>
                  <w:tcW w:w="5524" w:type="dxa"/>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2.高精度的多电梯逻辑控制数学模型</w:t>
                  </w:r>
                </w:p>
                <w:p>
                  <w:pPr>
                    <w:ind w:firstLine="480" w:firstLineChars="200"/>
                    <w:rPr>
                      <w:rFonts w:cs="宋体" w:asciiTheme="majorEastAsia" w:hAnsiTheme="majorEastAsia" w:eastAsiaTheme="majorEastAsia"/>
                      <w:kern w:val="0"/>
                      <w:sz w:val="24"/>
                    </w:rPr>
                  </w:pPr>
                  <w:r>
                    <w:rPr>
                      <w:rFonts w:hint="eastAsia" w:asciiTheme="majorEastAsia" w:hAnsiTheme="majorEastAsia" w:eastAsiaTheme="majorEastAsia"/>
                      <w:sz w:val="24"/>
                    </w:rPr>
                    <w:t>能够任意配置呼叫乘客，以及配置可以考察控制效果的评分规则。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 w:type="dxa"/>
                  <w:vMerge w:val="continue"/>
                  <w:vAlign w:val="center"/>
                </w:tcPr>
                <w:p>
                  <w:pPr>
                    <w:widowControl/>
                    <w:jc w:val="center"/>
                    <w:rPr>
                      <w:rFonts w:cs="宋体" w:asciiTheme="majorEastAsia" w:hAnsiTheme="majorEastAsia" w:eastAsiaTheme="majorEastAsia"/>
                      <w:kern w:val="0"/>
                      <w:sz w:val="24"/>
                    </w:rPr>
                  </w:pPr>
                </w:p>
              </w:tc>
              <w:tc>
                <w:tcPr>
                  <w:tcW w:w="598" w:type="dxa"/>
                  <w:vMerge w:val="continue"/>
                  <w:vAlign w:val="center"/>
                </w:tcPr>
                <w:p>
                  <w:pPr>
                    <w:widowControl/>
                    <w:jc w:val="center"/>
                    <w:rPr>
                      <w:rFonts w:cs="宋体" w:asciiTheme="majorEastAsia" w:hAnsiTheme="majorEastAsia" w:eastAsiaTheme="majorEastAsia"/>
                      <w:kern w:val="0"/>
                      <w:sz w:val="24"/>
                    </w:rPr>
                  </w:pPr>
                </w:p>
              </w:tc>
              <w:tc>
                <w:tcPr>
                  <w:tcW w:w="5524" w:type="dxa"/>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3.完整的多电梯运行工况模拟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14" w:type="dxa"/>
                  <w:vMerge w:val="continue"/>
                  <w:vAlign w:val="center"/>
                </w:tcPr>
                <w:p>
                  <w:pPr>
                    <w:widowControl/>
                    <w:jc w:val="center"/>
                    <w:rPr>
                      <w:rFonts w:cs="宋体" w:asciiTheme="majorEastAsia" w:hAnsiTheme="majorEastAsia" w:eastAsiaTheme="majorEastAsia"/>
                      <w:kern w:val="0"/>
                      <w:sz w:val="24"/>
                    </w:rPr>
                  </w:pPr>
                </w:p>
              </w:tc>
              <w:tc>
                <w:tcPr>
                  <w:tcW w:w="598" w:type="dxa"/>
                  <w:vMerge w:val="continue"/>
                  <w:vAlign w:val="center"/>
                </w:tcPr>
                <w:p>
                  <w:pPr>
                    <w:widowControl/>
                    <w:jc w:val="center"/>
                    <w:rPr>
                      <w:rFonts w:cs="宋体" w:asciiTheme="majorEastAsia" w:hAnsiTheme="majorEastAsia" w:eastAsiaTheme="majorEastAsia"/>
                      <w:kern w:val="0"/>
                      <w:sz w:val="24"/>
                    </w:rPr>
                  </w:pPr>
                </w:p>
              </w:tc>
              <w:tc>
                <w:tcPr>
                  <w:tcW w:w="5524" w:type="dxa"/>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4.完善的实验教学环境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14" w:type="dxa"/>
                  <w:vMerge w:val="continue"/>
                  <w:vAlign w:val="center"/>
                </w:tcPr>
                <w:p>
                  <w:pPr>
                    <w:widowControl/>
                    <w:jc w:val="center"/>
                    <w:rPr>
                      <w:rFonts w:cs="宋体" w:asciiTheme="majorEastAsia" w:hAnsiTheme="majorEastAsia" w:eastAsiaTheme="majorEastAsia"/>
                      <w:kern w:val="0"/>
                      <w:sz w:val="24"/>
                    </w:rPr>
                  </w:pPr>
                </w:p>
              </w:tc>
              <w:tc>
                <w:tcPr>
                  <w:tcW w:w="598" w:type="dxa"/>
                  <w:vMerge w:val="continue"/>
                  <w:vAlign w:val="center"/>
                </w:tcPr>
                <w:p>
                  <w:pPr>
                    <w:widowControl/>
                    <w:jc w:val="center"/>
                    <w:rPr>
                      <w:rFonts w:cs="宋体" w:asciiTheme="majorEastAsia" w:hAnsiTheme="majorEastAsia" w:eastAsiaTheme="majorEastAsia"/>
                      <w:kern w:val="0"/>
                      <w:sz w:val="24"/>
                    </w:rPr>
                  </w:pPr>
                </w:p>
              </w:tc>
              <w:tc>
                <w:tcPr>
                  <w:tcW w:w="5524" w:type="dxa"/>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5.与控制器构成硬件在回路仿真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14" w:type="dxa"/>
                  <w:vMerge w:val="continue"/>
                  <w:vAlign w:val="center"/>
                </w:tcPr>
                <w:p>
                  <w:pPr>
                    <w:widowControl/>
                    <w:jc w:val="center"/>
                    <w:rPr>
                      <w:rFonts w:cs="宋体" w:asciiTheme="majorEastAsia" w:hAnsiTheme="majorEastAsia" w:eastAsiaTheme="majorEastAsia"/>
                      <w:kern w:val="0"/>
                      <w:sz w:val="24"/>
                    </w:rPr>
                  </w:pPr>
                </w:p>
              </w:tc>
              <w:tc>
                <w:tcPr>
                  <w:tcW w:w="598" w:type="dxa"/>
                  <w:vMerge w:val="continue"/>
                  <w:vAlign w:val="center"/>
                </w:tcPr>
                <w:p>
                  <w:pPr>
                    <w:widowControl/>
                    <w:jc w:val="center"/>
                    <w:rPr>
                      <w:rFonts w:cs="宋体" w:asciiTheme="majorEastAsia" w:hAnsiTheme="majorEastAsia" w:eastAsiaTheme="majorEastAsia"/>
                      <w:kern w:val="0"/>
                      <w:sz w:val="24"/>
                    </w:rPr>
                  </w:pPr>
                </w:p>
              </w:tc>
              <w:tc>
                <w:tcPr>
                  <w:tcW w:w="5524" w:type="dxa"/>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6.支持Profibus-DP、工业以太网以及OPC通信方式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314" w:type="dxa"/>
                  <w:vMerge w:val="continue"/>
                  <w:vAlign w:val="center"/>
                </w:tcPr>
                <w:p>
                  <w:pPr>
                    <w:widowControl/>
                    <w:jc w:val="center"/>
                    <w:rPr>
                      <w:rFonts w:cs="宋体" w:asciiTheme="majorEastAsia" w:hAnsiTheme="majorEastAsia" w:eastAsiaTheme="majorEastAsia"/>
                      <w:kern w:val="0"/>
                      <w:sz w:val="24"/>
                    </w:rPr>
                  </w:pPr>
                </w:p>
              </w:tc>
              <w:tc>
                <w:tcPr>
                  <w:tcW w:w="598" w:type="dxa"/>
                  <w:vMerge w:val="continue"/>
                  <w:vAlign w:val="center"/>
                </w:tcPr>
                <w:p>
                  <w:pPr>
                    <w:widowControl/>
                    <w:jc w:val="center"/>
                    <w:rPr>
                      <w:rFonts w:cs="宋体" w:asciiTheme="majorEastAsia" w:hAnsiTheme="majorEastAsia" w:eastAsiaTheme="majorEastAsia"/>
                      <w:kern w:val="0"/>
                      <w:sz w:val="24"/>
                    </w:rPr>
                  </w:pPr>
                </w:p>
              </w:tc>
              <w:tc>
                <w:tcPr>
                  <w:tcW w:w="5524" w:type="dxa"/>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7.包含单部四层、单部六层、两部六层、三部六层、三部十层、六部十层电梯模型。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314" w:type="dxa"/>
                  <w:vMerge w:val="continue"/>
                  <w:vAlign w:val="center"/>
                </w:tcPr>
                <w:p>
                  <w:pPr>
                    <w:widowControl/>
                    <w:jc w:val="center"/>
                    <w:rPr>
                      <w:rFonts w:cs="宋体" w:asciiTheme="majorEastAsia" w:hAnsiTheme="majorEastAsia" w:eastAsiaTheme="majorEastAsia"/>
                      <w:kern w:val="0"/>
                      <w:sz w:val="24"/>
                    </w:rPr>
                  </w:pPr>
                </w:p>
              </w:tc>
              <w:tc>
                <w:tcPr>
                  <w:tcW w:w="598" w:type="dxa"/>
                  <w:vMerge w:val="continue"/>
                  <w:vAlign w:val="center"/>
                </w:tcPr>
                <w:p>
                  <w:pPr>
                    <w:widowControl/>
                    <w:jc w:val="center"/>
                    <w:rPr>
                      <w:rFonts w:cs="宋体" w:asciiTheme="majorEastAsia" w:hAnsiTheme="majorEastAsia" w:eastAsiaTheme="majorEastAsia"/>
                      <w:kern w:val="0"/>
                      <w:sz w:val="24"/>
                    </w:rPr>
                  </w:pPr>
                </w:p>
              </w:tc>
              <w:tc>
                <w:tcPr>
                  <w:tcW w:w="5524" w:type="dxa"/>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8.可开设的实验清单：</w:t>
                  </w:r>
                </w:p>
                <w:p>
                  <w:pPr>
                    <w:ind w:firstLine="480" w:firstLineChars="200"/>
                    <w:rPr>
                      <w:rFonts w:cs="宋体" w:asciiTheme="majorEastAsia" w:hAnsiTheme="majorEastAsia" w:eastAsiaTheme="majorEastAsia"/>
                      <w:kern w:val="0"/>
                      <w:sz w:val="24"/>
                    </w:rPr>
                  </w:pPr>
                  <w:r>
                    <w:rPr>
                      <w:rFonts w:hint="eastAsia" w:asciiTheme="majorEastAsia" w:hAnsiTheme="majorEastAsia" w:eastAsiaTheme="majorEastAsia"/>
                      <w:sz w:val="24"/>
                    </w:rPr>
                    <w:t>控制器连接与组态，电梯启停控制，电梯楼层信号控制，电梯外呼内选信号控制，电梯开关门控制，电梯开关门故障保护。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314" w:type="dxa"/>
                  <w:vMerge w:val="continue"/>
                  <w:vAlign w:val="center"/>
                </w:tcPr>
                <w:p>
                  <w:pPr>
                    <w:widowControl/>
                    <w:jc w:val="center"/>
                    <w:rPr>
                      <w:rFonts w:cs="宋体" w:asciiTheme="majorEastAsia" w:hAnsiTheme="majorEastAsia" w:eastAsiaTheme="majorEastAsia"/>
                      <w:kern w:val="0"/>
                      <w:sz w:val="24"/>
                    </w:rPr>
                  </w:pPr>
                </w:p>
              </w:tc>
              <w:tc>
                <w:tcPr>
                  <w:tcW w:w="598" w:type="dxa"/>
                  <w:vMerge w:val="continue"/>
                  <w:vAlign w:val="center"/>
                </w:tcPr>
                <w:p>
                  <w:pPr>
                    <w:widowControl/>
                    <w:jc w:val="center"/>
                    <w:rPr>
                      <w:rFonts w:cs="宋体" w:asciiTheme="majorEastAsia" w:hAnsiTheme="majorEastAsia" w:eastAsiaTheme="majorEastAsia"/>
                      <w:kern w:val="0"/>
                      <w:sz w:val="24"/>
                    </w:rPr>
                  </w:pPr>
                </w:p>
              </w:tc>
              <w:tc>
                <w:tcPr>
                  <w:tcW w:w="5524" w:type="dxa"/>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9.1个虚拟仿真软件的的硬件加密狗</w:t>
                  </w:r>
                </w:p>
              </w:tc>
            </w:tr>
          </w:tbl>
          <w:p>
            <w:pPr>
              <w:widowControl/>
              <w:jc w:val="left"/>
              <w:rPr>
                <w:rFonts w:cs="宋体" w:asciiTheme="majorEastAsia" w:hAnsiTheme="majorEastAsia" w:eastAsiaTheme="majorEastAsia"/>
                <w:kern w:val="0"/>
                <w:sz w:val="24"/>
              </w:rPr>
            </w:pPr>
          </w:p>
          <w:p>
            <w:pPr>
              <w:widowControl/>
              <w:jc w:val="left"/>
              <w:rPr>
                <w:rFonts w:cs="宋体" w:asciiTheme="majorEastAsia" w:hAnsiTheme="majorEastAsia" w:eastAsiaTheme="majorEastAsia"/>
                <w:kern w:val="0"/>
                <w:sz w:val="24"/>
              </w:rPr>
            </w:pPr>
            <w:r>
              <w:rPr>
                <w:rFonts w:hint="eastAsia" w:asciiTheme="majorEastAsia" w:hAnsiTheme="majorEastAsia" w:eastAsiaTheme="majorEastAsia"/>
                <w:bCs/>
                <w:sz w:val="24"/>
              </w:rPr>
              <w:t>★</w:t>
            </w:r>
            <w:r>
              <w:rPr>
                <w:rFonts w:hint="eastAsia" w:cs="宋体" w:asciiTheme="majorEastAsia" w:hAnsiTheme="majorEastAsia" w:eastAsiaTheme="majorEastAsia"/>
                <w:kern w:val="0"/>
                <w:sz w:val="24"/>
              </w:rPr>
              <w:t>三、其它</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708"/>
              <w:gridCol w:w="4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Align w:val="center"/>
                </w:tcPr>
                <w:p>
                  <w:pPr>
                    <w:widowControl/>
                    <w:jc w:val="center"/>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产品使用说明书</w:t>
                  </w:r>
                </w:p>
              </w:tc>
              <w:tc>
                <w:tcPr>
                  <w:tcW w:w="720" w:type="dxa"/>
                  <w:vAlign w:val="center"/>
                </w:tcPr>
                <w:p>
                  <w:pPr>
                    <w:widowControl/>
                    <w:jc w:val="center"/>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1份</w:t>
                  </w:r>
                </w:p>
              </w:tc>
              <w:tc>
                <w:tcPr>
                  <w:tcW w:w="5154" w:type="dxa"/>
                  <w:vMerge w:val="restart"/>
                  <w:vAlign w:val="center"/>
                </w:tcPr>
                <w:p>
                  <w:pPr>
                    <w:widowControl/>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投标文件须提供产品使用说明书和实验指导书对应的样章截图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Align w:val="center"/>
                </w:tcPr>
                <w:p>
                  <w:pPr>
                    <w:widowControl/>
                    <w:jc w:val="center"/>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实验指导书</w:t>
                  </w:r>
                </w:p>
              </w:tc>
              <w:tc>
                <w:tcPr>
                  <w:tcW w:w="720" w:type="dxa"/>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1份</w:t>
                  </w:r>
                </w:p>
              </w:tc>
              <w:tc>
                <w:tcPr>
                  <w:tcW w:w="5154" w:type="dxa"/>
                  <w:vMerge w:val="continue"/>
                </w:tcPr>
                <w:p>
                  <w:pPr>
                    <w:widowControl/>
                    <w:jc w:val="left"/>
                    <w:rPr>
                      <w:rFonts w:cs="宋体"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7" w:type="dxa"/>
                  <w:gridSpan w:val="3"/>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可用于支持参加西门子杯中国智能制造挑战赛离散行业自动化（逻辑控制）方向比赛</w:t>
                  </w:r>
                </w:p>
              </w:tc>
            </w:tr>
          </w:tbl>
          <w:p>
            <w:pPr>
              <w:pStyle w:val="2"/>
              <w:jc w:val="both"/>
              <w:rPr>
                <w:rFonts w:asciiTheme="majorEastAsia" w:hAnsiTheme="majorEastAsia" w:eastAsiaTheme="majorEastAsia"/>
                <w:sz w:val="24"/>
                <w:szCs w:val="24"/>
              </w:rPr>
            </w:pPr>
          </w:p>
        </w:tc>
      </w:tr>
      <w:tr>
        <w:tblPrEx>
          <w:tblCellMar>
            <w:top w:w="0" w:type="dxa"/>
            <w:left w:w="108" w:type="dxa"/>
            <w:bottom w:w="0" w:type="dxa"/>
            <w:right w:w="108" w:type="dxa"/>
          </w:tblCellMar>
        </w:tblPrEx>
        <w:tc>
          <w:tcPr>
            <w:tcW w:w="5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离散行业智能制造综合实训系统“教学”版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w:t>
            </w:r>
          </w:p>
        </w:tc>
        <w:tc>
          <w:tcPr>
            <w:tcW w:w="7369" w:type="dxa"/>
            <w:tcBorders>
              <w:top w:val="nil"/>
              <w:left w:val="nil"/>
              <w:bottom w:val="single" w:color="auto" w:sz="4" w:space="0"/>
              <w:right w:val="single" w:color="auto" w:sz="4" w:space="0"/>
            </w:tcBorders>
            <w:shd w:val="clear" w:color="auto" w:fill="auto"/>
            <w:vAlign w:val="center"/>
          </w:tcPr>
          <w:p>
            <w:pPr>
              <w:numPr>
                <w:ilvl w:val="0"/>
                <w:numId w:val="3"/>
              </w:numPr>
              <w:rPr>
                <w:rFonts w:asciiTheme="majorEastAsia" w:hAnsiTheme="majorEastAsia" w:eastAsiaTheme="majorEastAsia"/>
                <w:sz w:val="24"/>
              </w:rPr>
            </w:pPr>
            <w:r>
              <w:rPr>
                <w:rFonts w:hint="eastAsia" w:asciiTheme="majorEastAsia" w:hAnsiTheme="majorEastAsia" w:eastAsiaTheme="majorEastAsia"/>
                <w:sz w:val="24"/>
              </w:rPr>
              <w:t>智能工厂自动化工程综合实训平台标准版</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902"/>
              <w:gridCol w:w="5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4" w:type="pct"/>
                  <w:vMerge w:val="restar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color w:val="000000"/>
                      <w:kern w:val="0"/>
                      <w:sz w:val="24"/>
                    </w:rPr>
                    <w:t>可编程控制器</w:t>
                  </w:r>
                </w:p>
              </w:tc>
              <w:tc>
                <w:tcPr>
                  <w:tcW w:w="631" w:type="pct"/>
                  <w:vMerge w:val="restar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6套</w:t>
                  </w:r>
                </w:p>
              </w:tc>
              <w:tc>
                <w:tcPr>
                  <w:tcW w:w="3634" w:type="pct"/>
                </w:tcPr>
                <w:p>
                  <w:pPr>
                    <w:numPr>
                      <w:ilvl w:val="0"/>
                      <w:numId w:val="4"/>
                    </w:numP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控制器CPU</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2个PROFINET接口，集成输入/输出：14 路数字量输入 24V直流输入，10路数字量输出 晶体管输出24 V直流，2路模拟量输入0 - 10V DC，2路模拟量输出 0 – 20mA；供电：直流 DC 24 V；程序存储器/数据存储器：125 KB。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4" w:type="pct"/>
                  <w:vMerge w:val="continue"/>
                  <w:vAlign w:val="center"/>
                </w:tcPr>
                <w:p>
                  <w:pPr>
                    <w:jc w:val="center"/>
                    <w:rPr>
                      <w:rFonts w:cs="宋体" w:asciiTheme="majorEastAsia" w:hAnsiTheme="majorEastAsia" w:eastAsiaTheme="majorEastAsia"/>
                      <w:color w:val="000000"/>
                      <w:kern w:val="0"/>
                      <w:sz w:val="24"/>
                    </w:rPr>
                  </w:pPr>
                </w:p>
              </w:tc>
              <w:tc>
                <w:tcPr>
                  <w:tcW w:w="631" w:type="pct"/>
                  <w:vMerge w:val="continue"/>
                  <w:vAlign w:val="center"/>
                </w:tcPr>
                <w:p>
                  <w:pPr>
                    <w:jc w:val="center"/>
                    <w:rPr>
                      <w:rFonts w:cs="宋体" w:asciiTheme="majorEastAsia" w:hAnsiTheme="majorEastAsia" w:eastAsiaTheme="majorEastAsia"/>
                      <w:sz w:val="24"/>
                    </w:rPr>
                  </w:pPr>
                </w:p>
              </w:tc>
              <w:tc>
                <w:tcPr>
                  <w:tcW w:w="3634" w:type="pct"/>
                </w:tcPr>
                <w:p>
                  <w:pPr>
                    <w:numPr>
                      <w:ilvl w:val="0"/>
                      <w:numId w:val="4"/>
                    </w:numP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以太网电缆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pct"/>
                  <w:vMerge w:val="continue"/>
                  <w:vAlign w:val="center"/>
                </w:tcPr>
                <w:p>
                  <w:pPr>
                    <w:jc w:val="center"/>
                    <w:rPr>
                      <w:rFonts w:cs="宋体" w:asciiTheme="majorEastAsia" w:hAnsiTheme="majorEastAsia" w:eastAsiaTheme="majorEastAsia"/>
                      <w:color w:val="000000"/>
                      <w:kern w:val="0"/>
                      <w:sz w:val="24"/>
                    </w:rPr>
                  </w:pPr>
                </w:p>
              </w:tc>
              <w:tc>
                <w:tcPr>
                  <w:tcW w:w="631" w:type="pct"/>
                  <w:vMerge w:val="continue"/>
                  <w:vAlign w:val="center"/>
                </w:tcPr>
                <w:p>
                  <w:pPr>
                    <w:jc w:val="center"/>
                    <w:rPr>
                      <w:rFonts w:cs="宋体" w:asciiTheme="majorEastAsia" w:hAnsiTheme="majorEastAsia" w:eastAsiaTheme="majorEastAsia"/>
                      <w:sz w:val="24"/>
                    </w:rPr>
                  </w:pPr>
                </w:p>
              </w:tc>
              <w:tc>
                <w:tcPr>
                  <w:tcW w:w="3634" w:type="pct"/>
                </w:tcPr>
                <w:p>
                  <w:pPr>
                    <w:numPr>
                      <w:ilvl w:val="0"/>
                      <w:numId w:val="4"/>
                    </w:numPr>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工程组态软件（含授权）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vAlign w:val="cente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I/O模块</w:t>
                  </w:r>
                </w:p>
              </w:tc>
              <w:tc>
                <w:tcPr>
                  <w:tcW w:w="631" w:type="pc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4套</w:t>
                  </w:r>
                </w:p>
              </w:tc>
              <w:tc>
                <w:tcPr>
                  <w:tcW w:w="3634" w:type="pct"/>
                </w:tcPr>
                <w:p>
                  <w:pPr>
                    <w:rPr>
                      <w:rFonts w:cs="宋体" w:asciiTheme="majorEastAsia" w:hAnsiTheme="majorEastAsia" w:eastAsiaTheme="majorEastAsia"/>
                      <w:sz w:val="24"/>
                    </w:rPr>
                  </w:pPr>
                  <w:r>
                    <w:rPr>
                      <w:rFonts w:hint="eastAsia" w:cs="宋体" w:asciiTheme="majorEastAsia" w:hAnsiTheme="majorEastAsia" w:eastAsiaTheme="majorEastAsia"/>
                      <w:color w:val="000000"/>
                      <w:kern w:val="0"/>
                      <w:sz w:val="24"/>
                    </w:rPr>
                    <w:t>用于控制器，4x24V DC数字量输入信号板。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4" w:type="pc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HMI人机界面</w:t>
                  </w:r>
                </w:p>
              </w:tc>
              <w:tc>
                <w:tcPr>
                  <w:tcW w:w="631" w:type="pc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1套</w:t>
                  </w:r>
                </w:p>
              </w:tc>
              <w:tc>
                <w:tcPr>
                  <w:tcW w:w="3634" w:type="pct"/>
                  <w:vAlign w:val="center"/>
                </w:tcPr>
                <w:p>
                  <w:pP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基本面版、按键和触摸操作、 7“ TFT 显示屏、 65536 色、 PROFINET 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34" w:type="pc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非网管型工业交换机</w:t>
                  </w:r>
                </w:p>
              </w:tc>
              <w:tc>
                <w:tcPr>
                  <w:tcW w:w="631" w:type="pc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1套</w:t>
                  </w:r>
                </w:p>
              </w:tc>
              <w:tc>
                <w:tcPr>
                  <w:tcW w:w="3634" w:type="pct"/>
                </w:tcPr>
                <w:p>
                  <w:pP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用于架设小型星状和线状结构；LED 诊断， IP20.24V AC/DC 电源，带 5个 10/100 Mbit/s 双绞线 端口及 RJ45 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34" w:type="pc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工业智能网关</w:t>
                  </w:r>
                </w:p>
              </w:tc>
              <w:tc>
                <w:tcPr>
                  <w:tcW w:w="631" w:type="pc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1套</w:t>
                  </w:r>
                </w:p>
              </w:tc>
              <w:tc>
                <w:tcPr>
                  <w:tcW w:w="3634" w:type="pct"/>
                </w:tcPr>
                <w:p>
                  <w:pP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IOT模块</w:t>
                  </w:r>
                </w:p>
                <w:p>
                  <w:pPr>
                    <w:ind w:firstLine="480" w:firstLineChars="200"/>
                    <w:rPr>
                      <w:rFonts w:cs="宋体" w:asciiTheme="majorEastAsia" w:hAnsiTheme="majorEastAsia" w:eastAsiaTheme="majorEastAsia"/>
                      <w:sz w:val="24"/>
                    </w:rPr>
                  </w:pPr>
                  <w:r>
                    <w:rPr>
                      <w:rFonts w:hint="eastAsia" w:asciiTheme="majorEastAsia" w:hAnsiTheme="majorEastAsia" w:eastAsiaTheme="majorEastAsia"/>
                      <w:sz w:val="24"/>
                    </w:rPr>
                    <w:t>Intel Quark x1020 (+Secure Boot), 1 GB RAM, 2x 10/100 Mbps Ethernet RJ45以太网接口; 1x USB2.0, 1x USB client;SD CARD slot; 24 V DC PS, 2 x RS232/485 接口,battery-buffered real time clock；含配套实训指导书。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734" w:type="pct"/>
                  <w:vMerge w:val="restar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color w:val="000000"/>
                      <w:kern w:val="0"/>
                      <w:sz w:val="24"/>
                    </w:rPr>
                    <w:t>主体设备机械及电气结构</w:t>
                  </w:r>
                </w:p>
              </w:tc>
              <w:tc>
                <w:tcPr>
                  <w:tcW w:w="631" w:type="pct"/>
                  <w:vMerge w:val="restar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1套</w:t>
                  </w:r>
                </w:p>
              </w:tc>
              <w:tc>
                <w:tcPr>
                  <w:tcW w:w="3634" w:type="pct"/>
                </w:tcPr>
                <w:p>
                  <w:pPr>
                    <w:numPr>
                      <w:ilvl w:val="0"/>
                      <w:numId w:val="5"/>
                    </w:numPr>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1台 主件供料站</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基本功能：成品组件中的主件（开关基座）从供料传送带上料，由线性模组和气缸组合机构机构抓取并移送到下一工站。</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机构组成：供料传送带、线性模组、气缸组合等部分组成。</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1个供料传送带：1个直流减速电机、一组传送带及带轮；1套线性模组：1个同步带模组、1个直流电机；1套气缸组合：1个双轴气缸、1个手指气缸。</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传感器种类包括：光电传感器、电感接近传感器、微动开关、磁性传感器等。</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便捷式工业端子排；可在台面上方便的进行线路拆装。</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1套铝合金安装支架；1套电气安装板。</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电机调速器：调速范围：0~120 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734" w:type="pct"/>
                  <w:vMerge w:val="continue"/>
                  <w:vAlign w:val="center"/>
                </w:tcPr>
                <w:p>
                  <w:pPr>
                    <w:jc w:val="center"/>
                    <w:rPr>
                      <w:rFonts w:cs="宋体" w:asciiTheme="majorEastAsia" w:hAnsiTheme="majorEastAsia" w:eastAsiaTheme="majorEastAsia"/>
                      <w:color w:val="000000"/>
                      <w:kern w:val="0"/>
                      <w:sz w:val="24"/>
                    </w:rPr>
                  </w:pPr>
                </w:p>
              </w:tc>
              <w:tc>
                <w:tcPr>
                  <w:tcW w:w="631" w:type="pct"/>
                  <w:vMerge w:val="continue"/>
                  <w:vAlign w:val="center"/>
                </w:tcPr>
                <w:p>
                  <w:pPr>
                    <w:jc w:val="center"/>
                    <w:rPr>
                      <w:rFonts w:cs="宋体" w:asciiTheme="majorEastAsia" w:hAnsiTheme="majorEastAsia" w:eastAsiaTheme="majorEastAsia"/>
                      <w:sz w:val="24"/>
                    </w:rPr>
                  </w:pPr>
                </w:p>
              </w:tc>
              <w:tc>
                <w:tcPr>
                  <w:tcW w:w="3634" w:type="pct"/>
                </w:tcPr>
                <w:p>
                  <w:pPr>
                    <w:numPr>
                      <w:ilvl w:val="0"/>
                      <w:numId w:val="5"/>
                    </w:numPr>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1台 次品分拣站</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基本功能：主件由激光测距组件检测高度，检测合格，主件被送到下一工站；检测不合格，主件被推出到废品盒。</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机构组成：激光测距组件、线性模组、载料平台、气缸组合等部分组成。</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1个激光测距组件；1套线性模组：1个同步带模组、1个直流电机；1个载料平台，包含1个笔形气缸；1套气缸组合：1个双轴气缸、1个笔形气缸。</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传感器种类包括：激光测距传感器、光电传感器、电感接近传感器、微动开关、磁性传感器等。</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便捷式工业端子排；可在台面上方便的进行线路拆装。</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1套铝合金安装支架；1套电气安装板。</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电机调速器：调速范围：0~120 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trPr>
              <w:tc>
                <w:tcPr>
                  <w:tcW w:w="734" w:type="pct"/>
                  <w:vMerge w:val="continue"/>
                  <w:vAlign w:val="center"/>
                </w:tcPr>
                <w:p>
                  <w:pPr>
                    <w:jc w:val="center"/>
                    <w:rPr>
                      <w:rFonts w:cs="宋体" w:asciiTheme="majorEastAsia" w:hAnsiTheme="majorEastAsia" w:eastAsiaTheme="majorEastAsia"/>
                      <w:color w:val="000000"/>
                      <w:kern w:val="0"/>
                      <w:sz w:val="24"/>
                    </w:rPr>
                  </w:pPr>
                </w:p>
              </w:tc>
              <w:tc>
                <w:tcPr>
                  <w:tcW w:w="631" w:type="pct"/>
                  <w:vMerge w:val="continue"/>
                  <w:vAlign w:val="center"/>
                </w:tcPr>
                <w:p>
                  <w:pPr>
                    <w:jc w:val="center"/>
                    <w:rPr>
                      <w:rFonts w:cs="宋体" w:asciiTheme="majorEastAsia" w:hAnsiTheme="majorEastAsia" w:eastAsiaTheme="majorEastAsia"/>
                      <w:sz w:val="24"/>
                    </w:rPr>
                  </w:pPr>
                </w:p>
              </w:tc>
              <w:tc>
                <w:tcPr>
                  <w:tcW w:w="3634" w:type="pct"/>
                </w:tcPr>
                <w:p>
                  <w:pPr>
                    <w:numPr>
                      <w:ilvl w:val="0"/>
                      <w:numId w:val="5"/>
                    </w:numPr>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1台 旋转工作站</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基本功能：主件由转盘组件移送到方向检测位置，检测完成后被移送到方向调整位置，根据检测结果进行方向调整，最后被移送到出料位置，并送到下一工站。</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机构组成：转盘组件、方向检测组件、方向调整气缸组合、推料组件等部分组成。</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1个转盘组件：1个步进电机、1个涡轮蜗杆减速器、1个转盘；1个方向检测组件；1套方向调整气缸组合：1个双轴气缸、1个旋转气缸、1个气爪；1套推料组件，包含1个笔形气缸。</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传感器种类包括：槽形光电传感器、光电传感器、对射光纤传感器、磁性传感器等。</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便捷式工业端子排；可在台面上方便的进行线路拆装。</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1套铝合金安装支架；1套电气安装板。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pct"/>
                  <w:vMerge w:val="continue"/>
                  <w:vAlign w:val="center"/>
                </w:tcPr>
                <w:p>
                  <w:pPr>
                    <w:jc w:val="center"/>
                    <w:rPr>
                      <w:rFonts w:cs="宋体" w:asciiTheme="majorEastAsia" w:hAnsiTheme="majorEastAsia" w:eastAsiaTheme="majorEastAsia"/>
                      <w:color w:val="000000"/>
                      <w:kern w:val="0"/>
                      <w:sz w:val="24"/>
                    </w:rPr>
                  </w:pPr>
                </w:p>
              </w:tc>
              <w:tc>
                <w:tcPr>
                  <w:tcW w:w="631" w:type="pct"/>
                  <w:vMerge w:val="continue"/>
                  <w:vAlign w:val="center"/>
                </w:tcPr>
                <w:p>
                  <w:pPr>
                    <w:jc w:val="center"/>
                    <w:rPr>
                      <w:rFonts w:cs="宋体" w:asciiTheme="majorEastAsia" w:hAnsiTheme="majorEastAsia" w:eastAsiaTheme="majorEastAsia"/>
                      <w:sz w:val="24"/>
                    </w:rPr>
                  </w:pPr>
                </w:p>
              </w:tc>
              <w:tc>
                <w:tcPr>
                  <w:tcW w:w="3634" w:type="pct"/>
                </w:tcPr>
                <w:p>
                  <w:pPr>
                    <w:numPr>
                      <w:ilvl w:val="0"/>
                      <w:numId w:val="5"/>
                    </w:numPr>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1台 方向调整站</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基本功能：主件由皮带输送组件移送到正反检测位置，检测完成后被移送到正反调整位置，根据检测结果进行正反调整，最后被移送到出料位置，并送到下一工站。</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机构组成：皮带输送组件、金属检测组件、方向调整气缸组合等部分组成。</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1套皮带输送组件：1个同步带输送机构、1个张紧机构、1个直流电机；1个金属检测组件；1套方向调整气缸组合：1个双轴气缸、1个旋转气缸、1个手指气缸。</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传感器种类包括：金属检测传感器、光电传感器、磁性传感器等。</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便捷式工业端子排；可在台面上方便的进行线路拆装；</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1套铝合金安装支架；1套电气安装板。</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电机调速器：调速范围：0~130r/min。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trPr>
              <w:tc>
                <w:tcPr>
                  <w:tcW w:w="734" w:type="pct"/>
                  <w:vMerge w:val="continue"/>
                  <w:vAlign w:val="center"/>
                </w:tcPr>
                <w:p>
                  <w:pPr>
                    <w:jc w:val="center"/>
                    <w:rPr>
                      <w:rFonts w:cs="宋体" w:asciiTheme="majorEastAsia" w:hAnsiTheme="majorEastAsia" w:eastAsiaTheme="majorEastAsia"/>
                      <w:color w:val="000000"/>
                      <w:kern w:val="0"/>
                      <w:sz w:val="24"/>
                    </w:rPr>
                  </w:pPr>
                </w:p>
              </w:tc>
              <w:tc>
                <w:tcPr>
                  <w:tcW w:w="631" w:type="pct"/>
                  <w:vMerge w:val="continue"/>
                  <w:vAlign w:val="center"/>
                </w:tcPr>
                <w:p>
                  <w:pPr>
                    <w:jc w:val="center"/>
                    <w:rPr>
                      <w:rFonts w:cs="宋体" w:asciiTheme="majorEastAsia" w:hAnsiTheme="majorEastAsia" w:eastAsiaTheme="majorEastAsia"/>
                      <w:sz w:val="24"/>
                    </w:rPr>
                  </w:pPr>
                </w:p>
              </w:tc>
              <w:tc>
                <w:tcPr>
                  <w:tcW w:w="3634" w:type="pct"/>
                </w:tcPr>
                <w:p>
                  <w:pPr>
                    <w:numPr>
                      <w:ilvl w:val="0"/>
                      <w:numId w:val="5"/>
                    </w:numPr>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1台 产品组装站</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基本功能：组装平台上的气缸将主件定位夹紧，辅料仓1上的气缸将辅料1（按压头）压入主件中；然后无杆气缸将主件移送到辅料2（顶丝）安装位置；辅料仓2上的气缸将辅料2（顶丝）推出到适当位置，拧螺丝组件将辅料2（顶丝）旋入主件中，产品组装完成。</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机构组成：辅料料仓、无杆气缸、组装平台、拧螺丝组件等部分组成。</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2个辅料料仓，每个辅料料仓：1个弹夹式辅料料仓、1个笔形气缸；1个无杆气缸；1个组装平台：1个定位平台，包含1个笔形气缸；1套拧螺丝组件：1个薄型气缸、1个步进电机，1个拧紧机构。</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传感器种类包括：光电传感器、磁性传感器等。</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便捷式工业端子排；可在台面上方便的进行线路拆装；</w:t>
                  </w:r>
                </w:p>
                <w:p>
                  <w:pPr>
                    <w:ind w:firstLine="480" w:firstLineChars="200"/>
                    <w:rPr>
                      <w:rFonts w:cs="宋体" w:asciiTheme="majorEastAsia" w:hAnsiTheme="majorEastAsia" w:eastAsiaTheme="majorEastAsia"/>
                      <w:color w:val="000000"/>
                      <w:kern w:val="0"/>
                      <w:sz w:val="24"/>
                    </w:rPr>
                  </w:pPr>
                  <w:r>
                    <w:rPr>
                      <w:rFonts w:hint="eastAsia" w:asciiTheme="majorEastAsia" w:hAnsiTheme="majorEastAsia" w:eastAsiaTheme="majorEastAsia"/>
                      <w:sz w:val="24"/>
                    </w:rPr>
                    <w:t>1套铝合金安装支架；1套电气安装板。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trPr>
              <w:tc>
                <w:tcPr>
                  <w:tcW w:w="734" w:type="pct"/>
                  <w:vMerge w:val="continue"/>
                  <w:vAlign w:val="center"/>
                </w:tcPr>
                <w:p>
                  <w:pPr>
                    <w:jc w:val="center"/>
                    <w:rPr>
                      <w:rFonts w:cs="宋体" w:asciiTheme="majorEastAsia" w:hAnsiTheme="majorEastAsia" w:eastAsiaTheme="majorEastAsia"/>
                      <w:color w:val="000000"/>
                      <w:kern w:val="0"/>
                      <w:sz w:val="24"/>
                    </w:rPr>
                  </w:pPr>
                </w:p>
              </w:tc>
              <w:tc>
                <w:tcPr>
                  <w:tcW w:w="631" w:type="pct"/>
                  <w:vMerge w:val="continue"/>
                  <w:vAlign w:val="center"/>
                </w:tcPr>
                <w:p>
                  <w:pPr>
                    <w:jc w:val="center"/>
                    <w:rPr>
                      <w:rFonts w:cs="宋体" w:asciiTheme="majorEastAsia" w:hAnsiTheme="majorEastAsia" w:eastAsiaTheme="majorEastAsia"/>
                      <w:sz w:val="24"/>
                    </w:rPr>
                  </w:pPr>
                </w:p>
              </w:tc>
              <w:tc>
                <w:tcPr>
                  <w:tcW w:w="3634" w:type="pct"/>
                </w:tcPr>
                <w:p>
                  <w:pPr>
                    <w:numPr>
                      <w:ilvl w:val="0"/>
                      <w:numId w:val="5"/>
                    </w:numPr>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1台 产品分拣站</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基本功能：竖井提升组件从组装站上取出成品，线性模组将成品移送至颜色检测位置进行检测，根据颜色检测结果，将成品放入相应的分拣滑道中。</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机构组成：线性模组、竖井提升组件、分拣滑道、颜色检测组件等部分组成。</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1套线性模组：1个丝杠模组，1个直流减速电机；1套竖井提升组件：1套曲柄滑块传动机构、1个张紧机构、1个气爪；1个分拣滑道；1个颜色检测组件。</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传感器种类包括：颜色检测传感器、光电传感器、微动开关、电感式接近传感器、磁性传感器等。</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便捷式工业端子排；可在台面上方便的进行线路拆装。</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1套铝合金安装支架；1套电气安装板。</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电机调速器：调速范围：0~600 r/min。</w:t>
                  </w:r>
                </w:p>
              </w:tc>
            </w:tr>
          </w:tbl>
          <w:p>
            <w:pPr>
              <w:rPr>
                <w:rFonts w:asciiTheme="majorEastAsia" w:hAnsiTheme="majorEastAsia" w:eastAsiaTheme="majorEastAsia"/>
                <w:sz w:val="24"/>
              </w:rPr>
            </w:pPr>
          </w:p>
          <w:p>
            <w:pPr>
              <w:numPr>
                <w:ilvl w:val="0"/>
                <w:numId w:val="3"/>
              </w:numPr>
              <w:rPr>
                <w:rFonts w:asciiTheme="majorEastAsia" w:hAnsiTheme="majorEastAsia" w:eastAsiaTheme="majorEastAsia"/>
                <w:sz w:val="24"/>
              </w:rPr>
            </w:pPr>
            <w:r>
              <w:rPr>
                <w:rFonts w:hint="eastAsia" w:asciiTheme="majorEastAsia" w:hAnsiTheme="majorEastAsia" w:eastAsiaTheme="majorEastAsia"/>
                <w:sz w:val="24"/>
              </w:rPr>
              <w:t>智能制造数字化产线仿真系统V1.0</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530"/>
              <w:gridCol w:w="5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449" w:type="pct"/>
                  <w:vMerge w:val="restart"/>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智能制造</w:t>
                  </w:r>
                </w:p>
                <w:p>
                  <w:pPr>
                    <w:jc w:val="center"/>
                    <w:rPr>
                      <w:rFonts w:asciiTheme="majorEastAsia" w:hAnsiTheme="majorEastAsia" w:eastAsiaTheme="majorEastAsia"/>
                      <w:sz w:val="24"/>
                    </w:rPr>
                  </w:pPr>
                  <w:r>
                    <w:rPr>
                      <w:rFonts w:hint="eastAsia" w:asciiTheme="majorEastAsia" w:hAnsiTheme="majorEastAsia" w:eastAsiaTheme="majorEastAsia"/>
                      <w:sz w:val="24"/>
                    </w:rPr>
                    <w:t>数字化产线</w:t>
                  </w:r>
                </w:p>
                <w:p>
                  <w:pPr>
                    <w:jc w:val="center"/>
                    <w:rPr>
                      <w:rFonts w:asciiTheme="majorEastAsia" w:hAnsiTheme="majorEastAsia" w:eastAsiaTheme="majorEastAsia"/>
                      <w:sz w:val="24"/>
                    </w:rPr>
                  </w:pPr>
                  <w:r>
                    <w:rPr>
                      <w:rFonts w:hint="eastAsia" w:asciiTheme="majorEastAsia" w:hAnsiTheme="majorEastAsia" w:eastAsiaTheme="majorEastAsia"/>
                      <w:sz w:val="24"/>
                    </w:rPr>
                    <w:t>仿真系统</w:t>
                  </w:r>
                </w:p>
              </w:tc>
              <w:tc>
                <w:tcPr>
                  <w:tcW w:w="371" w:type="pct"/>
                  <w:vMerge w:val="restart"/>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1套</w:t>
                  </w:r>
                </w:p>
              </w:tc>
              <w:tc>
                <w:tcPr>
                  <w:tcW w:w="4180" w:type="pct"/>
                </w:tcPr>
                <w:p>
                  <w:pPr>
                    <w:rPr>
                      <w:rFonts w:asciiTheme="majorEastAsia" w:hAnsiTheme="majorEastAsia" w:eastAsiaTheme="majorEastAsia"/>
                      <w:sz w:val="24"/>
                    </w:rPr>
                  </w:pPr>
                  <w:r>
                    <w:rPr>
                      <w:rFonts w:hint="eastAsia" w:asciiTheme="majorEastAsia" w:hAnsiTheme="majorEastAsia" w:eastAsiaTheme="majorEastAsia"/>
                      <w:sz w:val="24"/>
                    </w:rPr>
                    <w:t>智能制造数字化产线仿真系统软件：</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1、能够模拟智能产线的各个工作站，实现工作站的三维虚拟仿真。仿真模型中涵盖的位置传感器、气缸、传送装置等元器件的物理特性与实物一致。</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2、支持与PLC通过以太网通信方式进行数据交换，即可实现被PLC实时控制；</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3、支持PLC信息以及数据类型等属性的灵活组态配置；</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4、支持多视角对模拟工作站进行观察，至少包含远景与近距离视角；</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5、支持系统配置文件的保存与读取；</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6、支持通信数据监视功能；</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7、支持单独工作站与PLC的通讯连接，实现工作站单站虚拟调试应用。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Merge w:val="continue"/>
                </w:tcPr>
                <w:p>
                  <w:pPr>
                    <w:rPr>
                      <w:rFonts w:asciiTheme="majorEastAsia" w:hAnsiTheme="majorEastAsia" w:eastAsiaTheme="majorEastAsia"/>
                      <w:sz w:val="24"/>
                    </w:rPr>
                  </w:pPr>
                </w:p>
              </w:tc>
              <w:tc>
                <w:tcPr>
                  <w:tcW w:w="371" w:type="pct"/>
                  <w:vMerge w:val="continue"/>
                </w:tcPr>
                <w:p>
                  <w:pPr>
                    <w:rPr>
                      <w:rFonts w:asciiTheme="majorEastAsia" w:hAnsiTheme="majorEastAsia" w:eastAsiaTheme="majorEastAsia"/>
                      <w:sz w:val="24"/>
                    </w:rPr>
                  </w:pPr>
                </w:p>
              </w:tc>
              <w:tc>
                <w:tcPr>
                  <w:tcW w:w="4180" w:type="pct"/>
                </w:tcPr>
                <w:p>
                  <w:pPr>
                    <w:rPr>
                      <w:rFonts w:asciiTheme="majorEastAsia" w:hAnsiTheme="majorEastAsia" w:eastAsiaTheme="majorEastAsia"/>
                      <w:sz w:val="24"/>
                    </w:rPr>
                  </w:pPr>
                  <w:r>
                    <w:rPr>
                      <w:rFonts w:hint="eastAsia" w:asciiTheme="majorEastAsia" w:hAnsiTheme="majorEastAsia" w:eastAsiaTheme="majorEastAsia"/>
                      <w:sz w:val="24"/>
                    </w:rPr>
                    <w:t>智能制造数字化产线仿真系统授权。</w:t>
                  </w:r>
                </w:p>
              </w:tc>
            </w:tr>
          </w:tbl>
          <w:p>
            <w:pPr>
              <w:widowControl/>
              <w:jc w:val="left"/>
              <w:rPr>
                <w:rFonts w:cs="宋体" w:asciiTheme="majorEastAsia" w:hAnsiTheme="majorEastAsia" w:eastAsiaTheme="majorEastAsia"/>
                <w:kern w:val="0"/>
                <w:sz w:val="24"/>
              </w:rPr>
            </w:pPr>
            <w:r>
              <w:rPr>
                <w:rFonts w:hint="eastAsia" w:asciiTheme="majorEastAsia" w:hAnsiTheme="majorEastAsia" w:eastAsiaTheme="majorEastAsia"/>
                <w:bCs/>
                <w:sz w:val="24"/>
              </w:rPr>
              <w:t>★</w:t>
            </w:r>
            <w:r>
              <w:rPr>
                <w:rFonts w:hint="eastAsia" w:cs="宋体" w:asciiTheme="majorEastAsia" w:hAnsiTheme="majorEastAsia" w:eastAsiaTheme="majorEastAsia"/>
                <w:kern w:val="0"/>
                <w:sz w:val="24"/>
              </w:rPr>
              <w:t>三、其它</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694"/>
              <w:gridCol w:w="4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pPr>
                    <w:widowControl/>
                    <w:jc w:val="center"/>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产品使用说明书</w:t>
                  </w:r>
                </w:p>
              </w:tc>
              <w:tc>
                <w:tcPr>
                  <w:tcW w:w="697" w:type="dxa"/>
                  <w:vAlign w:val="center"/>
                </w:tcPr>
                <w:p>
                  <w:pPr>
                    <w:widowControl/>
                    <w:jc w:val="center"/>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1份</w:t>
                  </w:r>
                </w:p>
              </w:tc>
              <w:tc>
                <w:tcPr>
                  <w:tcW w:w="5012" w:type="dxa"/>
                  <w:vMerge w:val="restart"/>
                  <w:vAlign w:val="center"/>
                </w:tcPr>
                <w:p>
                  <w:pPr>
                    <w:widowControl/>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投标文件须提供产品使用说明书和实验指导书对应的样章截图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pPr>
                    <w:widowControl/>
                    <w:jc w:val="center"/>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实验指导书</w:t>
                  </w:r>
                </w:p>
              </w:tc>
              <w:tc>
                <w:tcPr>
                  <w:tcW w:w="697" w:type="dxa"/>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1份</w:t>
                  </w:r>
                </w:p>
              </w:tc>
              <w:tc>
                <w:tcPr>
                  <w:tcW w:w="5012" w:type="dxa"/>
                  <w:vMerge w:val="continue"/>
                </w:tcPr>
                <w:p>
                  <w:pPr>
                    <w:widowControl/>
                    <w:jc w:val="left"/>
                    <w:rPr>
                      <w:rFonts w:cs="宋体"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1" w:type="dxa"/>
                  <w:gridSpan w:val="3"/>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可用于支持参加西门子杯中国智能制造挑战赛离散行业自动化（逻辑控制）方向比赛</w:t>
                  </w:r>
                </w:p>
              </w:tc>
            </w:tr>
          </w:tbl>
          <w:p>
            <w:pPr>
              <w:widowControl/>
              <w:jc w:val="left"/>
              <w:rPr>
                <w:rFonts w:cs="宋体" w:asciiTheme="majorEastAsia" w:hAnsiTheme="majorEastAsia" w:eastAsiaTheme="majorEastAsia"/>
                <w:kern w:val="0"/>
                <w:sz w:val="24"/>
              </w:rPr>
            </w:pPr>
          </w:p>
        </w:tc>
      </w:tr>
      <w:tr>
        <w:tblPrEx>
          <w:tblCellMar>
            <w:top w:w="0" w:type="dxa"/>
            <w:left w:w="108" w:type="dxa"/>
            <w:bottom w:w="0" w:type="dxa"/>
            <w:right w:w="108" w:type="dxa"/>
          </w:tblCellMar>
        </w:tblPrEx>
        <w:tc>
          <w:tcPr>
            <w:tcW w:w="502" w:type="dxa"/>
            <w:tcBorders>
              <w:top w:val="nil"/>
              <w:left w:val="single" w:color="auto" w:sz="4" w:space="0"/>
              <w:bottom w:val="single" w:color="auto" w:sz="4" w:space="0"/>
              <w:right w:val="single" w:color="auto" w:sz="4" w:space="0"/>
            </w:tcBorders>
            <w:shd w:val="clear" w:color="auto" w:fill="auto"/>
            <w:noWrap/>
            <w:vAlign w:val="center"/>
          </w:tcPr>
          <w:p>
            <w:pPr>
              <w:rPr>
                <w:rFonts w:asciiTheme="majorEastAsia" w:hAnsiTheme="majorEastAsia" w:eastAsiaTheme="majorEastAsia"/>
                <w:sz w:val="24"/>
              </w:rPr>
            </w:pPr>
            <w:r>
              <w:rPr>
                <w:rFonts w:hint="eastAsia" w:asciiTheme="majorEastAsia" w:hAnsiTheme="majorEastAsia" w:eastAsiaTheme="majorEastAsia"/>
                <w:sz w:val="24"/>
              </w:rPr>
              <w:t>3</w:t>
            </w:r>
          </w:p>
        </w:tc>
        <w:tc>
          <w:tcPr>
            <w:tcW w:w="791" w:type="dxa"/>
            <w:tcBorders>
              <w:top w:val="nil"/>
              <w:left w:val="nil"/>
              <w:bottom w:val="single" w:color="auto" w:sz="4" w:space="0"/>
              <w:right w:val="single" w:color="auto" w:sz="4" w:space="0"/>
            </w:tcBorders>
            <w:shd w:val="clear" w:color="auto" w:fill="auto"/>
            <w:vAlign w:val="center"/>
          </w:tcPr>
          <w:p>
            <w:pPr>
              <w:rPr>
                <w:rFonts w:cs="宋体" w:asciiTheme="majorEastAsia" w:hAnsiTheme="majorEastAsia" w:eastAsiaTheme="majorEastAsia"/>
                <w:sz w:val="24"/>
              </w:rPr>
            </w:pPr>
            <w:r>
              <w:rPr>
                <w:rFonts w:hint="eastAsia" w:cs="宋体" w:asciiTheme="majorEastAsia" w:hAnsiTheme="majorEastAsia" w:eastAsiaTheme="majorEastAsia"/>
                <w:sz w:val="24"/>
              </w:rPr>
              <w:t>高级运动控制实训系统</w:t>
            </w:r>
          </w:p>
        </w:tc>
        <w:tc>
          <w:tcPr>
            <w:tcW w:w="709" w:type="dxa"/>
            <w:tcBorders>
              <w:top w:val="nil"/>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 w:val="24"/>
              </w:rPr>
            </w:pPr>
            <w:r>
              <w:rPr>
                <w:rFonts w:hint="eastAsia" w:cs="宋体" w:asciiTheme="majorEastAsia" w:hAnsiTheme="majorEastAsia" w:eastAsiaTheme="majorEastAsia"/>
                <w:sz w:val="24"/>
              </w:rPr>
              <w:t>1</w:t>
            </w:r>
          </w:p>
        </w:tc>
        <w:tc>
          <w:tcPr>
            <w:tcW w:w="7369" w:type="dxa"/>
            <w:tcBorders>
              <w:top w:val="nil"/>
              <w:left w:val="nil"/>
              <w:bottom w:val="single" w:color="auto" w:sz="4" w:space="0"/>
              <w:right w:val="single" w:color="auto" w:sz="4" w:space="0"/>
            </w:tcBorders>
            <w:shd w:val="clear" w:color="auto" w:fill="auto"/>
            <w:vAlign w:val="center"/>
          </w:tcPr>
          <w:p>
            <w:pPr>
              <w:rPr>
                <w:rFonts w:cs="宋体" w:asciiTheme="majorEastAsia" w:hAnsiTheme="majorEastAsia" w:eastAsiaTheme="majorEastAsia"/>
                <w:sz w:val="24"/>
              </w:rPr>
            </w:pPr>
            <w:r>
              <w:rPr>
                <w:rFonts w:hint="eastAsia" w:cs="宋体" w:asciiTheme="majorEastAsia" w:hAnsiTheme="majorEastAsia" w:eastAsiaTheme="majorEastAsia"/>
                <w:sz w:val="24"/>
              </w:rPr>
              <w:t>一、运动控制综合实训平台标准版</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457"/>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397" w:type="pct"/>
                  <w:vMerge w:val="restart"/>
                  <w:vAlign w:val="center"/>
                </w:tcPr>
                <w:p>
                  <w:pPr>
                    <w:jc w:val="center"/>
                    <w:rPr>
                      <w:rFonts w:cs="宋体" w:asciiTheme="majorEastAsia" w:hAnsiTheme="majorEastAsia" w:eastAsiaTheme="majorEastAsia"/>
                      <w:sz w:val="24"/>
                    </w:rPr>
                  </w:pPr>
                  <w:r>
                    <w:rPr>
                      <w:rFonts w:hint="eastAsia" w:asciiTheme="majorEastAsia" w:hAnsiTheme="majorEastAsia" w:eastAsiaTheme="majorEastAsia"/>
                      <w:color w:val="000000"/>
                      <w:kern w:val="0"/>
                      <w:sz w:val="24"/>
                    </w:rPr>
                    <w:t>控制系统</w:t>
                  </w:r>
                </w:p>
              </w:tc>
              <w:tc>
                <w:tcPr>
                  <w:tcW w:w="288" w:type="pct"/>
                  <w:vMerge w:val="restar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1套</w:t>
                  </w:r>
                </w:p>
              </w:tc>
              <w:tc>
                <w:tcPr>
                  <w:tcW w:w="4315" w:type="pct"/>
                </w:tcPr>
                <w:p>
                  <w:pP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1）可编程控制器套件</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A.1个电源模块，24 V/8 A 稳定电源输入: 120/230 V AC 输出: 24 V/8 A DC</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B.1个控制器CPU，工作存储器中1 MB用于存储程序, 5 MB用于存储数据, 接口1：支持 PROFINET IRT 2端口交换机，接口2：以太网接口，接口3：ROFIBUS, 10 NS位性能, 必须配备SIMATIC存储卡</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C.1个数字量输入模块，DI32 X DC24V，32 通道，每16通道为一组</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D.1个数字量输出模块，DQ 32 X 24VDC/0.5A；32通道</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E.1个模拟量输入模块，AI 8 X U/I/RTD/TC，16 位分辨率，精度 0.3 %；8 通道</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F.1个模拟量输出模块，AQ 4 X U/I ST；16 位分辨率，精度 0.3 %；4 通道，每 4 通道为一组</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G.1个安装导轨</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H.1个PLC控制器专用存储卡，3.3 V 闪存，24 MB</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I.1根工业以太网，TP XP接线 RJ45/RJ45，CAT 6，交叉TP电缆4X2，预装备有2个 RJ45连接器，长6 m</w:t>
                  </w:r>
                </w:p>
                <w:p>
                  <w:pPr>
                    <w:ind w:firstLine="480" w:firstLineChars="200"/>
                    <w:rPr>
                      <w:rFonts w:asciiTheme="majorEastAsia" w:hAnsiTheme="majorEastAsia" w:eastAsiaTheme="majorEastAsia"/>
                      <w:color w:val="000000"/>
                      <w:kern w:val="0"/>
                      <w:sz w:val="24"/>
                    </w:rPr>
                  </w:pPr>
                  <w:r>
                    <w:rPr>
                      <w:rFonts w:hint="eastAsia" w:asciiTheme="majorEastAsia" w:hAnsiTheme="majorEastAsia" w:eastAsiaTheme="majorEastAsia"/>
                      <w:sz w:val="24"/>
                    </w:rPr>
                    <w:t>J.1个工程组态软件，专业版，适用于1套许可证的软件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397" w:type="pct"/>
                  <w:vMerge w:val="continue"/>
                  <w:vAlign w:val="center"/>
                </w:tcPr>
                <w:p>
                  <w:pPr>
                    <w:jc w:val="center"/>
                    <w:rPr>
                      <w:rFonts w:asciiTheme="majorEastAsia" w:hAnsiTheme="majorEastAsia" w:eastAsiaTheme="majorEastAsia"/>
                      <w:color w:val="000000"/>
                      <w:kern w:val="0"/>
                      <w:sz w:val="24"/>
                    </w:rPr>
                  </w:pPr>
                </w:p>
              </w:tc>
              <w:tc>
                <w:tcPr>
                  <w:tcW w:w="288" w:type="pct"/>
                  <w:vMerge w:val="continue"/>
                  <w:vAlign w:val="center"/>
                </w:tcPr>
                <w:p>
                  <w:pPr>
                    <w:jc w:val="center"/>
                    <w:rPr>
                      <w:rFonts w:cs="宋体" w:asciiTheme="majorEastAsia" w:hAnsiTheme="majorEastAsia" w:eastAsiaTheme="majorEastAsia"/>
                      <w:sz w:val="24"/>
                    </w:rPr>
                  </w:pPr>
                </w:p>
              </w:tc>
              <w:tc>
                <w:tcPr>
                  <w:tcW w:w="4315" w:type="pct"/>
                </w:tcPr>
                <w:p>
                  <w:pP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2）工艺模块套件</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A.1个工艺模块，TM PosInput 2，SSI编码器信号或RS422/TTL编码器信号。5 V和24 V编码器电源输出，防短路，位置值范围：31位，计数范围：32位</w:t>
                  </w:r>
                </w:p>
                <w:p>
                  <w:pPr>
                    <w:ind w:firstLine="480" w:firstLineChars="200"/>
                    <w:rPr>
                      <w:rFonts w:asciiTheme="majorEastAsia" w:hAnsiTheme="majorEastAsia" w:eastAsiaTheme="majorEastAsia"/>
                      <w:color w:val="000000"/>
                      <w:kern w:val="0"/>
                      <w:sz w:val="24"/>
                    </w:rPr>
                  </w:pPr>
                  <w:r>
                    <w:rPr>
                      <w:rFonts w:hint="eastAsia" w:asciiTheme="majorEastAsia" w:hAnsiTheme="majorEastAsia" w:eastAsiaTheme="majorEastAsia"/>
                      <w:sz w:val="24"/>
                    </w:rPr>
                    <w:t>B.1个工艺模块，TM PTO 4，RS422/TTL (5 V)或24 V输出，对于RS422最大1MHz，对于24 V/TTL（5 V）最大200kHz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397" w:type="pct"/>
                  <w:vMerge w:val="continue"/>
                  <w:vAlign w:val="center"/>
                </w:tcPr>
                <w:p>
                  <w:pPr>
                    <w:jc w:val="center"/>
                    <w:rPr>
                      <w:rFonts w:asciiTheme="majorEastAsia" w:hAnsiTheme="majorEastAsia" w:eastAsiaTheme="majorEastAsia"/>
                      <w:color w:val="000000"/>
                      <w:kern w:val="0"/>
                      <w:sz w:val="24"/>
                    </w:rPr>
                  </w:pPr>
                </w:p>
              </w:tc>
              <w:tc>
                <w:tcPr>
                  <w:tcW w:w="288" w:type="pct"/>
                  <w:vMerge w:val="continue"/>
                  <w:vAlign w:val="center"/>
                </w:tcPr>
                <w:p>
                  <w:pPr>
                    <w:jc w:val="center"/>
                    <w:rPr>
                      <w:rFonts w:cs="宋体" w:asciiTheme="majorEastAsia" w:hAnsiTheme="majorEastAsia" w:eastAsiaTheme="majorEastAsia"/>
                      <w:sz w:val="24"/>
                    </w:rPr>
                  </w:pPr>
                </w:p>
              </w:tc>
              <w:tc>
                <w:tcPr>
                  <w:tcW w:w="4315" w:type="pct"/>
                </w:tcPr>
                <w:p>
                  <w:pP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3）张力信号放大器</w:t>
                  </w:r>
                </w:p>
                <w:p>
                  <w:pPr>
                    <w:ind w:firstLine="480" w:firstLineChars="200"/>
                    <w:rPr>
                      <w:rFonts w:asciiTheme="majorEastAsia" w:hAnsiTheme="majorEastAsia" w:eastAsiaTheme="majorEastAsia"/>
                      <w:color w:val="000000"/>
                      <w:kern w:val="0"/>
                      <w:sz w:val="24"/>
                    </w:rPr>
                  </w:pPr>
                  <w:r>
                    <w:rPr>
                      <w:rFonts w:hint="eastAsia" w:asciiTheme="majorEastAsia" w:hAnsiTheme="majorEastAsia" w:eastAsiaTheme="majorEastAsia"/>
                      <w:sz w:val="24"/>
                    </w:rPr>
                    <w:t>工作电源：DC10-33V，精度：1/65000，传感器形式：电阻应变式张力传感器输入灵敏度：0-30mA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97" w:type="pct"/>
                  <w:vAlign w:val="center"/>
                </w:tcPr>
                <w:p>
                  <w:pPr>
                    <w:jc w:val="center"/>
                    <w:rPr>
                      <w:rFonts w:cs="宋体" w:asciiTheme="majorEastAsia" w:hAnsiTheme="majorEastAsia" w:eastAsiaTheme="majorEastAsia"/>
                      <w:sz w:val="24"/>
                    </w:rPr>
                  </w:pPr>
                  <w:r>
                    <w:rPr>
                      <w:rFonts w:hint="eastAsia" w:asciiTheme="majorEastAsia" w:hAnsiTheme="majorEastAsia" w:eastAsiaTheme="majorEastAsia"/>
                      <w:color w:val="000000"/>
                      <w:kern w:val="0"/>
                      <w:sz w:val="24"/>
                    </w:rPr>
                    <w:t>人机交互系统</w:t>
                  </w:r>
                </w:p>
              </w:tc>
              <w:tc>
                <w:tcPr>
                  <w:tcW w:w="288" w:type="pc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1套</w:t>
                  </w:r>
                </w:p>
              </w:tc>
              <w:tc>
                <w:tcPr>
                  <w:tcW w:w="4315" w:type="pct"/>
                </w:tcPr>
                <w:p>
                  <w:pPr>
                    <w:ind w:firstLine="480" w:firstLineChars="200"/>
                    <w:rPr>
                      <w:rFonts w:asciiTheme="majorEastAsia" w:hAnsiTheme="majorEastAsia" w:eastAsiaTheme="majorEastAsia"/>
                      <w:color w:val="000000"/>
                      <w:sz w:val="24"/>
                    </w:rPr>
                  </w:pPr>
                  <w:r>
                    <w:rPr>
                      <w:rFonts w:hint="eastAsia" w:asciiTheme="majorEastAsia" w:hAnsiTheme="majorEastAsia" w:eastAsiaTheme="majorEastAsia"/>
                      <w:sz w:val="24"/>
                    </w:rPr>
                    <w:t>1个触摸屏、按键和触摸操作、7“TFT显示屏、65536 色、PROFINET接口，20位带灯可自锁拨码开关，5位输出指示灯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397" w:type="pct"/>
                  <w:vMerge w:val="restar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驱动系统</w:t>
                  </w:r>
                </w:p>
              </w:tc>
              <w:tc>
                <w:tcPr>
                  <w:tcW w:w="288" w:type="pct"/>
                  <w:vMerge w:val="restar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1套</w:t>
                  </w:r>
                </w:p>
              </w:tc>
              <w:tc>
                <w:tcPr>
                  <w:tcW w:w="4315" w:type="pct"/>
                </w:tcPr>
                <w:p>
                  <w:pPr>
                    <w:pStyle w:val="32"/>
                    <w:numPr>
                      <w:ilvl w:val="0"/>
                      <w:numId w:val="6"/>
                    </w:numPr>
                    <w:spacing w:line="276" w:lineRule="auto"/>
                    <w:jc w:val="both"/>
                    <w:rPr>
                      <w:rFonts w:asciiTheme="majorEastAsia" w:hAnsiTheme="majorEastAsia" w:eastAsiaTheme="majorEastAsia"/>
                    </w:rPr>
                  </w:pPr>
                  <w:r>
                    <w:rPr>
                      <w:rFonts w:hint="eastAsia" w:asciiTheme="majorEastAsia" w:hAnsiTheme="majorEastAsia" w:eastAsiaTheme="majorEastAsia"/>
                    </w:rPr>
                    <w:t>伺服驱动器</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A.1个伺服控制单元，包含4个DRIVE-CLiQ插口，1个PROFINET接口，12路可设定的悬空数字量输入，8路可设定的双向非悬空数字量输入/输出，一个以太网接口，适用于调试和诊断</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B.1个Compact Flash卡</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C.1个整流单元（SLM），进线电压380-480V3相AC±10%，进线电源频率47-63Hz</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D.</w:t>
                  </w:r>
                  <w:r>
                    <w:rPr>
                      <w:rFonts w:asciiTheme="majorEastAsia" w:hAnsiTheme="majorEastAsia" w:eastAsiaTheme="majorEastAsia"/>
                      <w:sz w:val="24"/>
                    </w:rPr>
                    <w:t>3</w:t>
                  </w:r>
                  <w:r>
                    <w:rPr>
                      <w:rFonts w:hint="eastAsia" w:asciiTheme="majorEastAsia" w:hAnsiTheme="majorEastAsia" w:eastAsiaTheme="majorEastAsia"/>
                      <w:sz w:val="24"/>
                    </w:rPr>
                    <w:t>个MOTION CONNECT 500动力电缆，4X1.5mm</w:t>
                  </w:r>
                  <w:r>
                    <w:rPr>
                      <w:rFonts w:hint="eastAsia" w:asciiTheme="majorEastAsia" w:hAnsiTheme="majorEastAsia" w:eastAsiaTheme="majorEastAsia"/>
                      <w:sz w:val="24"/>
                      <w:vertAlign w:val="superscript"/>
                    </w:rPr>
                    <w:t>2</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E.</w:t>
                  </w:r>
                  <w:r>
                    <w:rPr>
                      <w:rFonts w:asciiTheme="majorEastAsia" w:hAnsiTheme="majorEastAsia" w:eastAsiaTheme="majorEastAsia"/>
                      <w:sz w:val="24"/>
                    </w:rPr>
                    <w:t>3</w:t>
                  </w:r>
                  <w:r>
                    <w:rPr>
                      <w:rFonts w:hint="eastAsia" w:asciiTheme="majorEastAsia" w:hAnsiTheme="majorEastAsia" w:eastAsiaTheme="majorEastAsia"/>
                      <w:sz w:val="24"/>
                    </w:rPr>
                    <w:t>个MOTION CONNECT DRIVE-CLiQ 电缆</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F.1个双轴电机模块，2*3A，510-720V DC</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E.1个单轴电机模块，3A，510-720V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97" w:type="pct"/>
                  <w:vMerge w:val="continue"/>
                  <w:vAlign w:val="center"/>
                </w:tcPr>
                <w:p>
                  <w:pPr>
                    <w:jc w:val="center"/>
                    <w:rPr>
                      <w:rFonts w:cs="宋体" w:asciiTheme="majorEastAsia" w:hAnsiTheme="majorEastAsia" w:eastAsiaTheme="majorEastAsia"/>
                      <w:sz w:val="24"/>
                    </w:rPr>
                  </w:pPr>
                </w:p>
              </w:tc>
              <w:tc>
                <w:tcPr>
                  <w:tcW w:w="288" w:type="pct"/>
                  <w:vMerge w:val="continue"/>
                  <w:vAlign w:val="center"/>
                </w:tcPr>
                <w:p>
                  <w:pPr>
                    <w:jc w:val="center"/>
                    <w:rPr>
                      <w:rFonts w:cs="宋体" w:asciiTheme="majorEastAsia" w:hAnsiTheme="majorEastAsia" w:eastAsiaTheme="majorEastAsia"/>
                      <w:sz w:val="24"/>
                    </w:rPr>
                  </w:pPr>
                </w:p>
              </w:tc>
              <w:tc>
                <w:tcPr>
                  <w:tcW w:w="4315" w:type="pct"/>
                </w:tcPr>
                <w:p>
                  <w:pPr>
                    <w:pStyle w:val="32"/>
                    <w:numPr>
                      <w:ilvl w:val="0"/>
                      <w:numId w:val="6"/>
                    </w:numPr>
                    <w:spacing w:line="276" w:lineRule="auto"/>
                    <w:jc w:val="both"/>
                    <w:rPr>
                      <w:rFonts w:asciiTheme="majorEastAsia" w:hAnsiTheme="majorEastAsia" w:eastAsiaTheme="majorEastAsia"/>
                    </w:rPr>
                  </w:pPr>
                  <w:r>
                    <w:rPr>
                      <w:rFonts w:hint="eastAsia" w:asciiTheme="majorEastAsia" w:hAnsiTheme="majorEastAsia" w:eastAsiaTheme="majorEastAsia"/>
                    </w:rPr>
                    <w:t>步进驱动器</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两相混合步进电机驱动器，输入电压直流2</w:t>
                  </w:r>
                  <w:r>
                    <w:rPr>
                      <w:rFonts w:asciiTheme="majorEastAsia" w:hAnsiTheme="majorEastAsia" w:eastAsiaTheme="majorEastAsia"/>
                      <w:sz w:val="24"/>
                    </w:rPr>
                    <w:t>4-50</w:t>
                  </w:r>
                  <w:r>
                    <w:rPr>
                      <w:rFonts w:hint="eastAsia" w:asciiTheme="majorEastAsia" w:hAnsiTheme="majorEastAsia" w:eastAsiaTheme="majorEastAsia"/>
                      <w:sz w:val="24"/>
                    </w:rPr>
                    <w:t>V，输入电流小于4A，输出电流1A-</w:t>
                  </w:r>
                  <w:r>
                    <w:rPr>
                      <w:rFonts w:asciiTheme="majorEastAsia" w:hAnsiTheme="majorEastAsia" w:eastAsiaTheme="majorEastAsia"/>
                      <w:sz w:val="24"/>
                    </w:rPr>
                    <w:t>4.2</w:t>
                  </w:r>
                  <w:r>
                    <w:rPr>
                      <w:rFonts w:hint="eastAsia" w:asciiTheme="majorEastAsia" w:hAnsiTheme="majorEastAsia" w:eastAsiaTheme="majorEastAsia"/>
                      <w:sz w:val="24"/>
                    </w:rPr>
                    <w:t>A，功耗8</w:t>
                  </w:r>
                  <w:r>
                    <w:rPr>
                      <w:rFonts w:asciiTheme="majorEastAsia" w:hAnsiTheme="majorEastAsia" w:eastAsiaTheme="majorEastAsia"/>
                      <w:sz w:val="24"/>
                    </w:rPr>
                    <w:t>0</w:t>
                  </w:r>
                  <w:r>
                    <w:rPr>
                      <w:rFonts w:hint="eastAsia" w:asciiTheme="majorEastAsia" w:hAnsiTheme="majorEastAsia" w:eastAsiaTheme="majorEastAsia"/>
                      <w:sz w:val="24"/>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97" w:type="pct"/>
                  <w:vMerge w:val="continue"/>
                  <w:vAlign w:val="center"/>
                </w:tcPr>
                <w:p>
                  <w:pPr>
                    <w:jc w:val="center"/>
                    <w:rPr>
                      <w:rFonts w:cs="宋体" w:asciiTheme="majorEastAsia" w:hAnsiTheme="majorEastAsia" w:eastAsiaTheme="majorEastAsia"/>
                      <w:sz w:val="24"/>
                    </w:rPr>
                  </w:pPr>
                </w:p>
              </w:tc>
              <w:tc>
                <w:tcPr>
                  <w:tcW w:w="288" w:type="pct"/>
                  <w:vMerge w:val="continue"/>
                  <w:vAlign w:val="center"/>
                </w:tcPr>
                <w:p>
                  <w:pPr>
                    <w:jc w:val="center"/>
                    <w:rPr>
                      <w:rFonts w:cs="宋体" w:asciiTheme="majorEastAsia" w:hAnsiTheme="majorEastAsia" w:eastAsiaTheme="majorEastAsia"/>
                      <w:sz w:val="24"/>
                    </w:rPr>
                  </w:pPr>
                </w:p>
              </w:tc>
              <w:tc>
                <w:tcPr>
                  <w:tcW w:w="4315" w:type="pct"/>
                </w:tcPr>
                <w:p>
                  <w:pPr>
                    <w:pStyle w:val="32"/>
                    <w:numPr>
                      <w:ilvl w:val="0"/>
                      <w:numId w:val="6"/>
                    </w:numPr>
                    <w:spacing w:line="276" w:lineRule="auto"/>
                    <w:jc w:val="both"/>
                    <w:rPr>
                      <w:rFonts w:asciiTheme="majorEastAsia" w:hAnsiTheme="majorEastAsia" w:eastAsiaTheme="majorEastAsia"/>
                    </w:rPr>
                  </w:pPr>
                  <w:r>
                    <w:rPr>
                      <w:rFonts w:hint="eastAsia" w:asciiTheme="majorEastAsia" w:hAnsiTheme="majorEastAsia" w:eastAsiaTheme="majorEastAsia"/>
                    </w:rPr>
                    <w:t>电气控制柜</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H750*W750*D355，含成套电气元器件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97" w:type="pct"/>
                  <w:vMerge w:val="restar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电机部分</w:t>
                  </w:r>
                </w:p>
              </w:tc>
              <w:tc>
                <w:tcPr>
                  <w:tcW w:w="288" w:type="pct"/>
                  <w:vMerge w:val="restar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1套</w:t>
                  </w:r>
                </w:p>
              </w:tc>
              <w:tc>
                <w:tcPr>
                  <w:tcW w:w="4315" w:type="pct"/>
                </w:tcPr>
                <w:p>
                  <w:pPr>
                    <w:pStyle w:val="32"/>
                    <w:numPr>
                      <w:ilvl w:val="0"/>
                      <w:numId w:val="7"/>
                    </w:numPr>
                    <w:spacing w:line="276" w:lineRule="auto"/>
                    <w:jc w:val="both"/>
                    <w:rPr>
                      <w:rFonts w:asciiTheme="majorEastAsia" w:hAnsiTheme="majorEastAsia" w:eastAsiaTheme="majorEastAsia"/>
                    </w:rPr>
                  </w:pPr>
                  <w:r>
                    <w:rPr>
                      <w:rFonts w:hint="eastAsia" w:asciiTheme="majorEastAsia" w:hAnsiTheme="majorEastAsia" w:eastAsiaTheme="majorEastAsia"/>
                    </w:rPr>
                    <w:t>3套伺服电机</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额定扭矩0.6 NM、额定转速6000 RPM、额定电流1.4A，冷却方式：自然冷却，防护等级：IP64，包含减速箱（减速比50:1）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97" w:type="pct"/>
                  <w:vMerge w:val="continue"/>
                  <w:vAlign w:val="center"/>
                </w:tcPr>
                <w:p>
                  <w:pPr>
                    <w:jc w:val="center"/>
                    <w:rPr>
                      <w:rFonts w:cs="宋体" w:asciiTheme="majorEastAsia" w:hAnsiTheme="majorEastAsia" w:eastAsiaTheme="majorEastAsia"/>
                      <w:sz w:val="24"/>
                    </w:rPr>
                  </w:pPr>
                </w:p>
              </w:tc>
              <w:tc>
                <w:tcPr>
                  <w:tcW w:w="288" w:type="pct"/>
                  <w:vMerge w:val="continue"/>
                  <w:vAlign w:val="center"/>
                </w:tcPr>
                <w:p>
                  <w:pPr>
                    <w:jc w:val="center"/>
                    <w:rPr>
                      <w:rFonts w:cs="宋体" w:asciiTheme="majorEastAsia" w:hAnsiTheme="majorEastAsia" w:eastAsiaTheme="majorEastAsia"/>
                      <w:sz w:val="24"/>
                    </w:rPr>
                  </w:pPr>
                </w:p>
              </w:tc>
              <w:tc>
                <w:tcPr>
                  <w:tcW w:w="4315" w:type="pct"/>
                </w:tcPr>
                <w:p>
                  <w:pPr>
                    <w:pStyle w:val="32"/>
                    <w:numPr>
                      <w:ilvl w:val="0"/>
                      <w:numId w:val="7"/>
                    </w:numPr>
                    <w:spacing w:line="276" w:lineRule="auto"/>
                    <w:jc w:val="both"/>
                    <w:rPr>
                      <w:rFonts w:asciiTheme="majorEastAsia" w:hAnsiTheme="majorEastAsia" w:eastAsiaTheme="majorEastAsia"/>
                    </w:rPr>
                  </w:pPr>
                  <w:r>
                    <w:rPr>
                      <w:rFonts w:hint="eastAsia" w:asciiTheme="majorEastAsia" w:hAnsiTheme="majorEastAsia" w:eastAsiaTheme="majorEastAsia"/>
                    </w:rPr>
                    <w:t>1个步进电机</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两相混合式步进电机，机身长4</w:t>
                  </w:r>
                  <w:r>
                    <w:rPr>
                      <w:rFonts w:asciiTheme="majorEastAsia" w:hAnsiTheme="majorEastAsia" w:eastAsiaTheme="majorEastAsia"/>
                      <w:sz w:val="24"/>
                    </w:rPr>
                    <w:t>8</w:t>
                  </w:r>
                  <w:r>
                    <w:rPr>
                      <w:rFonts w:hint="eastAsia" w:asciiTheme="majorEastAsia" w:hAnsiTheme="majorEastAsia" w:eastAsiaTheme="majorEastAsia"/>
                      <w:sz w:val="24"/>
                    </w:rPr>
                    <w:t>mm相电流1</w:t>
                  </w:r>
                  <w:r>
                    <w:rPr>
                      <w:rFonts w:asciiTheme="majorEastAsia" w:hAnsiTheme="majorEastAsia" w:eastAsiaTheme="majorEastAsia"/>
                      <w:sz w:val="24"/>
                    </w:rPr>
                    <w:t>.7</w:t>
                  </w:r>
                  <w:r>
                    <w:rPr>
                      <w:rFonts w:hint="eastAsia" w:asciiTheme="majorEastAsia" w:hAnsiTheme="majorEastAsia" w:eastAsiaTheme="majorEastAsia"/>
                      <w:sz w:val="24"/>
                    </w:rPr>
                    <w:t>A相电阻1</w:t>
                  </w:r>
                  <w:r>
                    <w:rPr>
                      <w:rFonts w:asciiTheme="majorEastAsia" w:hAnsiTheme="majorEastAsia" w:eastAsiaTheme="majorEastAsia"/>
                      <w:sz w:val="24"/>
                    </w:rPr>
                    <w:t>.7</w:t>
                  </w:r>
                  <w:r>
                    <w:rPr>
                      <w:rFonts w:hint="eastAsia" w:asciiTheme="majorEastAsia" w:hAnsiTheme="majorEastAsia" w:eastAsiaTheme="majorEastAsia"/>
                      <w:sz w:val="24"/>
                    </w:rPr>
                    <w:t>Ω，静转矩5</w:t>
                  </w:r>
                  <w:r>
                    <w:rPr>
                      <w:rFonts w:asciiTheme="majorEastAsia" w:hAnsiTheme="majorEastAsia" w:eastAsiaTheme="majorEastAsia"/>
                      <w:sz w:val="24"/>
                    </w:rPr>
                    <w:t>.2</w:t>
                  </w:r>
                  <w:r>
                    <w:rPr>
                      <w:rFonts w:hint="eastAsia" w:asciiTheme="majorEastAsia" w:hAnsiTheme="majorEastAsia" w:eastAsiaTheme="majorEastAsia"/>
                      <w:sz w:val="24"/>
                    </w:rPr>
                    <w:t>Kg</w:t>
                  </w:r>
                  <w:r>
                    <w:rPr>
                      <w:rFonts w:asciiTheme="majorEastAsia" w:hAnsiTheme="majorEastAsia" w:eastAsiaTheme="majorEastAsia"/>
                      <w:sz w:val="24"/>
                    </w:rPr>
                    <w:t>/</w:t>
                  </w:r>
                  <w:r>
                    <w:rPr>
                      <w:rFonts w:hint="eastAsia" w:asciiTheme="majorEastAsia" w:hAnsiTheme="majorEastAsia" w:eastAsiaTheme="majorEastAsia"/>
                      <w:sz w:val="24"/>
                    </w:rPr>
                    <w:t>cm转动惯量6</w:t>
                  </w:r>
                  <w:r>
                    <w:rPr>
                      <w:rFonts w:asciiTheme="majorEastAsia" w:hAnsiTheme="majorEastAsia" w:eastAsiaTheme="majorEastAsia"/>
                      <w:sz w:val="24"/>
                    </w:rPr>
                    <w:t>8</w:t>
                  </w:r>
                  <w:r>
                    <w:rPr>
                      <w:rFonts w:hint="eastAsia" w:asciiTheme="majorEastAsia" w:hAnsiTheme="majorEastAsia" w:eastAsiaTheme="majorEastAsia"/>
                      <w:sz w:val="24"/>
                    </w:rPr>
                    <w:t>g</w:t>
                  </w:r>
                  <w:r>
                    <w:rPr>
                      <w:rFonts w:asciiTheme="majorEastAsia" w:hAnsiTheme="majorEastAsia" w:eastAsiaTheme="majorEastAsia"/>
                      <w:sz w:val="24"/>
                    </w:rPr>
                    <w:t>/</w:t>
                  </w:r>
                  <w:r>
                    <w:rPr>
                      <w:rFonts w:hint="eastAsia" w:asciiTheme="majorEastAsia" w:hAnsiTheme="majorEastAsia" w:eastAsiaTheme="majorEastAsia"/>
                      <w:sz w:val="24"/>
                    </w:rPr>
                    <w:t>cm²，引线数4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97" w:type="pct"/>
                  <w:vMerge w:val="restart"/>
                  <w:vAlign w:val="center"/>
                </w:tcPr>
                <w:p>
                  <w:pPr>
                    <w:jc w:val="center"/>
                    <w:rPr>
                      <w:rFonts w:cs="宋体" w:asciiTheme="majorEastAsia" w:hAnsiTheme="majorEastAsia" w:eastAsiaTheme="majorEastAsia"/>
                      <w:sz w:val="24"/>
                    </w:rPr>
                  </w:pPr>
                  <w:r>
                    <w:rPr>
                      <w:rFonts w:hint="eastAsia" w:asciiTheme="majorEastAsia" w:hAnsiTheme="majorEastAsia" w:eastAsiaTheme="majorEastAsia"/>
                      <w:color w:val="000000"/>
                      <w:kern w:val="0"/>
                      <w:sz w:val="24"/>
                    </w:rPr>
                    <w:t>工艺对象主体设备</w:t>
                  </w:r>
                </w:p>
              </w:tc>
              <w:tc>
                <w:tcPr>
                  <w:tcW w:w="288" w:type="pct"/>
                  <w:vMerge w:val="restar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1套</w:t>
                  </w:r>
                </w:p>
              </w:tc>
              <w:tc>
                <w:tcPr>
                  <w:tcW w:w="4315" w:type="pct"/>
                </w:tcPr>
                <w:p>
                  <w:pP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1.主机架和安全防护模块</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铝合金支架、安装板和可调地脚。主机架安装有安全防护性质的安全光栅。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397" w:type="pct"/>
                  <w:vMerge w:val="continue"/>
                  <w:vAlign w:val="center"/>
                </w:tcPr>
                <w:p>
                  <w:pPr>
                    <w:jc w:val="center"/>
                    <w:rPr>
                      <w:rFonts w:asciiTheme="majorEastAsia" w:hAnsiTheme="majorEastAsia" w:eastAsiaTheme="majorEastAsia"/>
                      <w:color w:val="000000"/>
                      <w:kern w:val="0"/>
                      <w:sz w:val="24"/>
                    </w:rPr>
                  </w:pPr>
                </w:p>
              </w:tc>
              <w:tc>
                <w:tcPr>
                  <w:tcW w:w="288" w:type="pct"/>
                  <w:vMerge w:val="continue"/>
                  <w:vAlign w:val="center"/>
                </w:tcPr>
                <w:p>
                  <w:pPr>
                    <w:jc w:val="center"/>
                    <w:rPr>
                      <w:rFonts w:cs="宋体" w:asciiTheme="majorEastAsia" w:hAnsiTheme="majorEastAsia" w:eastAsiaTheme="majorEastAsia"/>
                      <w:sz w:val="24"/>
                    </w:rPr>
                  </w:pPr>
                </w:p>
              </w:tc>
              <w:tc>
                <w:tcPr>
                  <w:tcW w:w="4315" w:type="pct"/>
                </w:tcPr>
                <w:p>
                  <w:pP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2.被控对象组</w:t>
                  </w:r>
                </w:p>
                <w:p>
                  <w:pP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    被控对象组主要由圆盘同步、直线同步、物料卷绕及飞剪等被控对象组成。</w:t>
                  </w:r>
                </w:p>
                <w:p>
                  <w:pP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2.1、圆盘同步</w:t>
                  </w:r>
                </w:p>
                <w:p>
                  <w:pP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  圆盘同步对象是一个基础旋转运动对象，主要用来实现伺服电机对旋转运动对象的控制。此对象可用来演示旋转运动对象的速度控制、位置控制以及双轴同步控制。该对象的主要硬件包括带刻度指示的同心圆盘，可直观反映旋转同步的控制效果。</w:t>
                  </w:r>
                </w:p>
                <w:p>
                  <w:pP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2.2、直线同步</w:t>
                  </w:r>
                </w:p>
                <w:p>
                  <w:pP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  直线同步对象是一个基础直线运动对象，主要用来实现伺服电机对直线运动对象的控制。此对象可用来演示直线运动对象的速度控制、位置控制以及双轴同步控制。该对象的主要硬件包括以下部分：</w:t>
                  </w:r>
                </w:p>
                <w:p>
                  <w:pP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1)同步皮带：采用带位置标识同步带，可直观反映直线同步的控制效果。</w:t>
                  </w:r>
                </w:p>
                <w:p>
                  <w:pP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2)电气组件：2个电感式接近开关。</w:t>
                  </w:r>
                </w:p>
                <w:p>
                  <w:pP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2.3、物料卷绕及飞剪</w:t>
                  </w:r>
                </w:p>
                <w:p>
                  <w:pP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  物料卷绕及飞剪对象来源于在冶金、包装、印刷等行业中常见的飞剪及卷绕环节。通过对飞剪及物料卷绕被控的调试，可掌握电机的同步控制、物料张力的采集和处理、物料的运行速度采集、飞剪电机对剪切物料的跟踪和同步控制等内容。该对象的主要硬件包括以下部分：</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1)收卷装置：采用伺服电机带动收卷辊，根据设定的收卷线速度，调节收卷转速</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2)放卷装置：采用伺服电机带动放卷辊，根据设定的收卷线速度，调节放卷转速。</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3)张力采集装置：利用张力传感器测量物料张力，并反馈给控制器用以监视系统张力。</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4)物料运行速度采集装置：利用旋转编码器采集物料实际运行速度并将其反馈给控制器。</w:t>
                  </w:r>
                </w:p>
                <w:p>
                  <w:pPr>
                    <w:ind w:firstLine="480" w:firstLineChars="200"/>
                    <w:rPr>
                      <w:rFonts w:asciiTheme="majorEastAsia" w:hAnsiTheme="majorEastAsia" w:eastAsiaTheme="majorEastAsia"/>
                      <w:color w:val="000000"/>
                      <w:kern w:val="0"/>
                      <w:sz w:val="24"/>
                    </w:rPr>
                  </w:pPr>
                  <w:r>
                    <w:rPr>
                      <w:rFonts w:hint="eastAsia" w:asciiTheme="majorEastAsia" w:hAnsiTheme="majorEastAsia" w:eastAsiaTheme="majorEastAsia"/>
                      <w:sz w:val="24"/>
                    </w:rPr>
                    <w:t>电气组件：1个旋转编码器，1个张力传感器。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7" w:type="pct"/>
                  <w:vMerge w:val="restart"/>
                  <w:vAlign w:val="center"/>
                </w:tcPr>
                <w:p>
                  <w:pPr>
                    <w:jc w:val="center"/>
                    <w:rPr>
                      <w:rFonts w:cs="宋体" w:asciiTheme="majorEastAsia" w:hAnsiTheme="majorEastAsia" w:eastAsiaTheme="majorEastAsia"/>
                      <w:sz w:val="24"/>
                    </w:rPr>
                  </w:pPr>
                  <w:r>
                    <w:rPr>
                      <w:rFonts w:hint="eastAsia" w:asciiTheme="majorEastAsia" w:hAnsiTheme="majorEastAsia" w:eastAsiaTheme="majorEastAsia"/>
                      <w:color w:val="000000"/>
                      <w:kern w:val="0"/>
                      <w:sz w:val="24"/>
                    </w:rPr>
                    <w:t>主框架</w:t>
                  </w:r>
                </w:p>
              </w:tc>
              <w:tc>
                <w:tcPr>
                  <w:tcW w:w="288" w:type="pct"/>
                  <w:vMerge w:val="restar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1套</w:t>
                  </w:r>
                </w:p>
              </w:tc>
              <w:tc>
                <w:tcPr>
                  <w:tcW w:w="4315" w:type="pct"/>
                </w:tcPr>
                <w:p>
                  <w:pP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1）背板安装框架</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重型铝型材框架：H750*W1190*D750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7" w:type="pct"/>
                  <w:vMerge w:val="continue"/>
                  <w:vAlign w:val="center"/>
                </w:tcPr>
                <w:p>
                  <w:pPr>
                    <w:jc w:val="center"/>
                    <w:rPr>
                      <w:rFonts w:asciiTheme="majorEastAsia" w:hAnsiTheme="majorEastAsia" w:eastAsiaTheme="majorEastAsia"/>
                      <w:color w:val="000000"/>
                      <w:kern w:val="0"/>
                      <w:sz w:val="24"/>
                    </w:rPr>
                  </w:pPr>
                </w:p>
              </w:tc>
              <w:tc>
                <w:tcPr>
                  <w:tcW w:w="288" w:type="pct"/>
                  <w:vMerge w:val="continue"/>
                  <w:vAlign w:val="center"/>
                </w:tcPr>
                <w:p>
                  <w:pPr>
                    <w:jc w:val="center"/>
                    <w:rPr>
                      <w:rFonts w:cs="宋体" w:asciiTheme="majorEastAsia" w:hAnsiTheme="majorEastAsia" w:eastAsiaTheme="majorEastAsia"/>
                      <w:sz w:val="24"/>
                    </w:rPr>
                  </w:pPr>
                </w:p>
              </w:tc>
              <w:tc>
                <w:tcPr>
                  <w:tcW w:w="4315" w:type="pct"/>
                </w:tcPr>
                <w:p>
                  <w:pP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2）对象安装背板</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包含：铝合金安装背板、背板升降装置、背板固定装置等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7" w:type="pct"/>
                  <w:vMerge w:val="continue"/>
                  <w:vAlign w:val="center"/>
                </w:tcPr>
                <w:p>
                  <w:pPr>
                    <w:jc w:val="center"/>
                    <w:rPr>
                      <w:rFonts w:asciiTheme="majorEastAsia" w:hAnsiTheme="majorEastAsia" w:eastAsiaTheme="majorEastAsia"/>
                      <w:color w:val="000000"/>
                      <w:kern w:val="0"/>
                      <w:sz w:val="24"/>
                    </w:rPr>
                  </w:pPr>
                </w:p>
              </w:tc>
              <w:tc>
                <w:tcPr>
                  <w:tcW w:w="288" w:type="pct"/>
                  <w:vMerge w:val="continue"/>
                  <w:vAlign w:val="center"/>
                </w:tcPr>
                <w:p>
                  <w:pPr>
                    <w:jc w:val="center"/>
                    <w:rPr>
                      <w:rFonts w:cs="宋体" w:asciiTheme="majorEastAsia" w:hAnsiTheme="majorEastAsia" w:eastAsiaTheme="majorEastAsia"/>
                      <w:sz w:val="24"/>
                    </w:rPr>
                  </w:pPr>
                </w:p>
              </w:tc>
              <w:tc>
                <w:tcPr>
                  <w:tcW w:w="4315" w:type="pct"/>
                </w:tcPr>
                <w:p>
                  <w:pPr>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3）电气参数</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输入电压：AC 220V±10%  50Hz (单相三线）</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3AC 380V±10%  50Hz (三相一地四线）</w:t>
                  </w:r>
                </w:p>
                <w:p>
                  <w:pPr>
                    <w:ind w:firstLine="480" w:firstLineChars="200"/>
                    <w:rPr>
                      <w:rFonts w:asciiTheme="majorEastAsia" w:hAnsiTheme="majorEastAsia" w:eastAsiaTheme="majorEastAsia"/>
                      <w:color w:val="000000"/>
                      <w:kern w:val="0"/>
                      <w:sz w:val="24"/>
                    </w:rPr>
                  </w:pPr>
                  <w:r>
                    <w:rPr>
                      <w:rFonts w:hint="eastAsia" w:asciiTheme="majorEastAsia" w:hAnsiTheme="majorEastAsia" w:eastAsiaTheme="majorEastAsia"/>
                      <w:sz w:val="24"/>
                    </w:rPr>
                    <w:t>总功率：5KW</w:t>
                  </w:r>
                </w:p>
              </w:tc>
            </w:tr>
          </w:tbl>
          <w:p>
            <w:pPr>
              <w:rPr>
                <w:rFonts w:cs="宋体" w:asciiTheme="majorEastAsia" w:hAnsiTheme="majorEastAsia" w:eastAsiaTheme="majorEastAsia"/>
                <w:sz w:val="24"/>
              </w:rPr>
            </w:pPr>
          </w:p>
          <w:p>
            <w:pPr>
              <w:rPr>
                <w:rFonts w:cs="宋体" w:asciiTheme="majorEastAsia" w:hAnsiTheme="majorEastAsia" w:eastAsiaTheme="majorEastAsia"/>
                <w:sz w:val="24"/>
              </w:rPr>
            </w:pPr>
            <w:r>
              <w:rPr>
                <w:rFonts w:hint="eastAsia" w:cs="宋体" w:asciiTheme="majorEastAsia" w:hAnsiTheme="majorEastAsia" w:eastAsiaTheme="majorEastAsia"/>
                <w:sz w:val="24"/>
              </w:rPr>
              <w:t>二、工程实训设备辅助系统V1.0</w:t>
            </w:r>
          </w:p>
          <w:tbl>
            <w:tblPr>
              <w:tblStyle w:val="3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691"/>
              <w:gridCol w:w="691"/>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334" w:type="pct"/>
                  <w:vMerge w:val="restar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color w:val="000000"/>
                      <w:kern w:val="0"/>
                      <w:sz w:val="24"/>
                    </w:rPr>
                    <w:t>辅助系统软件</w:t>
                  </w:r>
                </w:p>
              </w:tc>
              <w:tc>
                <w:tcPr>
                  <w:tcW w:w="484" w:type="pc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软件功能</w:t>
                  </w:r>
                </w:p>
              </w:tc>
              <w:tc>
                <w:tcPr>
                  <w:tcW w:w="484" w:type="pc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1套</w:t>
                  </w:r>
                </w:p>
              </w:tc>
              <w:tc>
                <w:tcPr>
                  <w:tcW w:w="3697" w:type="pct"/>
                </w:tcPr>
                <w:p>
                  <w:pPr>
                    <w:ind w:firstLine="480" w:firstLineChars="200"/>
                    <w:rPr>
                      <w:rFonts w:cs="宋体" w:asciiTheme="majorEastAsia" w:hAnsiTheme="majorEastAsia" w:eastAsiaTheme="majorEastAsia"/>
                      <w:sz w:val="24"/>
                    </w:rPr>
                  </w:pPr>
                  <w:bookmarkStart w:id="0" w:name="_Hlk89950278"/>
                  <w:r>
                    <w:rPr>
                      <w:rFonts w:hint="eastAsia" w:asciiTheme="majorEastAsia" w:hAnsiTheme="majorEastAsia" w:eastAsiaTheme="majorEastAsia"/>
                      <w:sz w:val="24"/>
                    </w:rPr>
                    <w:t>基于Unity引擎开发的工程实训设备辅助系统，包含产品技术、教学应用、学习资源、操作示范等功能模块。内嵌详细的学习课件、技术文档、图文素材、工程案例、实验指导以及操做视频等辅助教师授课，学生自学的学习资源。软件操作界面友好，易于使用，可在PC及安卓系统运行。</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334" w:type="pct"/>
                  <w:vMerge w:val="continue"/>
                </w:tcPr>
                <w:p>
                  <w:pPr>
                    <w:rPr>
                      <w:rFonts w:cs="宋体" w:asciiTheme="majorEastAsia" w:hAnsiTheme="majorEastAsia" w:eastAsiaTheme="majorEastAsia"/>
                      <w:sz w:val="24"/>
                    </w:rPr>
                  </w:pPr>
                </w:p>
              </w:tc>
              <w:tc>
                <w:tcPr>
                  <w:tcW w:w="484" w:type="pc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支持教学实验</w:t>
                  </w:r>
                </w:p>
              </w:tc>
              <w:tc>
                <w:tcPr>
                  <w:tcW w:w="484" w:type="pc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1套</w:t>
                  </w:r>
                </w:p>
              </w:tc>
              <w:tc>
                <w:tcPr>
                  <w:tcW w:w="3697" w:type="pct"/>
                </w:tcPr>
                <w:p>
                  <w:pPr>
                    <w:spacing w:line="276" w:lineRule="auto"/>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支持教学实验至少包括：</w:t>
                  </w:r>
                </w:p>
                <w:p>
                  <w:pPr>
                    <w:pStyle w:val="78"/>
                    <w:numPr>
                      <w:ilvl w:val="0"/>
                      <w:numId w:val="8"/>
                    </w:numPr>
                    <w:spacing w:line="360" w:lineRule="auto"/>
                    <w:ind w:firstLineChars="0"/>
                    <w:jc w:val="left"/>
                    <w:rPr>
                      <w:rFonts w:cs="宋体" w:asciiTheme="majorEastAsia" w:hAnsiTheme="majorEastAsia" w:eastAsiaTheme="majorEastAsia"/>
                      <w:sz w:val="24"/>
                      <w:szCs w:val="24"/>
                    </w:rPr>
                  </w:pPr>
                  <w:bookmarkStart w:id="1" w:name="_Hlk89967071"/>
                  <w:r>
                    <w:rPr>
                      <w:rFonts w:hint="eastAsia" w:cs="宋体" w:asciiTheme="majorEastAsia" w:hAnsiTheme="majorEastAsia" w:eastAsiaTheme="majorEastAsia"/>
                      <w:sz w:val="24"/>
                      <w:szCs w:val="24"/>
                    </w:rPr>
                    <w:t>认识运动控制系统构成</w:t>
                  </w:r>
                </w:p>
                <w:p>
                  <w:pPr>
                    <w:pStyle w:val="78"/>
                    <w:numPr>
                      <w:ilvl w:val="0"/>
                      <w:numId w:val="8"/>
                    </w:numPr>
                    <w:spacing w:line="360" w:lineRule="auto"/>
                    <w:ind w:firstLineChars="0"/>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电机运动测试</w:t>
                  </w:r>
                </w:p>
                <w:p>
                  <w:pPr>
                    <w:pStyle w:val="78"/>
                    <w:numPr>
                      <w:ilvl w:val="0"/>
                      <w:numId w:val="8"/>
                    </w:numPr>
                    <w:spacing w:line="360" w:lineRule="auto"/>
                    <w:ind w:firstLineChars="0"/>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外部开关控制电机启停</w:t>
                  </w:r>
                </w:p>
                <w:p>
                  <w:pPr>
                    <w:pStyle w:val="78"/>
                    <w:numPr>
                      <w:ilvl w:val="0"/>
                      <w:numId w:val="8"/>
                    </w:numPr>
                    <w:spacing w:line="360" w:lineRule="auto"/>
                    <w:ind w:firstLineChars="0"/>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点动功能控制速度/位置</w:t>
                  </w:r>
                </w:p>
                <w:p>
                  <w:pPr>
                    <w:pStyle w:val="78"/>
                    <w:numPr>
                      <w:ilvl w:val="0"/>
                      <w:numId w:val="8"/>
                    </w:numPr>
                    <w:spacing w:line="360" w:lineRule="auto"/>
                    <w:ind w:firstLineChars="0"/>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理解系统回零及定义轴的参考点</w:t>
                  </w:r>
                </w:p>
                <w:p>
                  <w:pPr>
                    <w:pStyle w:val="78"/>
                    <w:numPr>
                      <w:ilvl w:val="0"/>
                      <w:numId w:val="8"/>
                    </w:numPr>
                    <w:spacing w:line="360" w:lineRule="auto"/>
                    <w:ind w:firstLineChars="0"/>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通过程序步功能实现电机的简单逻辑控制</w:t>
                  </w:r>
                </w:p>
                <w:p>
                  <w:pPr>
                    <w:pStyle w:val="78"/>
                    <w:numPr>
                      <w:ilvl w:val="0"/>
                      <w:numId w:val="8"/>
                    </w:numPr>
                    <w:spacing w:line="360" w:lineRule="auto"/>
                    <w:ind w:firstLineChars="0"/>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MDI控制单部电机</w:t>
                  </w:r>
                </w:p>
                <w:p>
                  <w:pPr>
                    <w:pStyle w:val="78"/>
                    <w:numPr>
                      <w:ilvl w:val="0"/>
                      <w:numId w:val="8"/>
                    </w:numPr>
                    <w:spacing w:line="360" w:lineRule="auto"/>
                    <w:ind w:firstLineChars="0"/>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测量张力--张力放大器应用</w:t>
                  </w:r>
                </w:p>
                <w:p>
                  <w:pPr>
                    <w:pStyle w:val="78"/>
                    <w:numPr>
                      <w:ilvl w:val="0"/>
                      <w:numId w:val="8"/>
                    </w:numPr>
                    <w:spacing w:line="360" w:lineRule="auto"/>
                    <w:ind w:firstLineChars="0"/>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测量线速度--编码器应用</w:t>
                  </w:r>
                </w:p>
                <w:p>
                  <w:pPr>
                    <w:pStyle w:val="78"/>
                    <w:numPr>
                      <w:ilvl w:val="0"/>
                      <w:numId w:val="8"/>
                    </w:numPr>
                    <w:spacing w:line="360" w:lineRule="auto"/>
                    <w:ind w:firstLineChars="0"/>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使用PLC控制伺服电机（工艺对象功能应用）</w:t>
                  </w:r>
                </w:p>
                <w:p>
                  <w:pPr>
                    <w:pStyle w:val="78"/>
                    <w:numPr>
                      <w:ilvl w:val="0"/>
                      <w:numId w:val="8"/>
                    </w:numPr>
                    <w:spacing w:line="360" w:lineRule="auto"/>
                    <w:ind w:firstLineChars="0"/>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S120与触摸屏的通讯与控制应用</w:t>
                  </w:r>
                  <w:bookmarkEnd w:id="1"/>
                </w:p>
              </w:tc>
            </w:tr>
          </w:tbl>
          <w:p>
            <w:pPr>
              <w:rPr>
                <w:rFonts w:cs="宋体" w:asciiTheme="majorEastAsia" w:hAnsiTheme="majorEastAsia" w:eastAsiaTheme="majorEastAsia"/>
                <w:sz w:val="24"/>
              </w:rPr>
            </w:pPr>
          </w:p>
          <w:p>
            <w:pPr>
              <w:rPr>
                <w:rFonts w:cs="宋体" w:asciiTheme="majorEastAsia" w:hAnsiTheme="majorEastAsia" w:eastAsiaTheme="majorEastAsia"/>
                <w:sz w:val="24"/>
              </w:rPr>
            </w:pPr>
            <w:r>
              <w:rPr>
                <w:rFonts w:hint="eastAsia" w:cs="宋体" w:asciiTheme="majorEastAsia" w:hAnsiTheme="majorEastAsia" w:eastAsiaTheme="majorEastAsia"/>
                <w:sz w:val="24"/>
              </w:rPr>
              <w:t>★三、其它</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709"/>
              <w:gridCol w:w="3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widowControl/>
                    <w:jc w:val="center"/>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产品使用说明书</w:t>
                  </w:r>
                </w:p>
              </w:tc>
              <w:tc>
                <w:tcPr>
                  <w:tcW w:w="709" w:type="dxa"/>
                  <w:vAlign w:val="center"/>
                </w:tcPr>
                <w:p>
                  <w:pPr>
                    <w:widowControl/>
                    <w:jc w:val="center"/>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1份</w:t>
                  </w:r>
                </w:p>
              </w:tc>
              <w:tc>
                <w:tcPr>
                  <w:tcW w:w="3707" w:type="dxa"/>
                  <w:vMerge w:val="restart"/>
                  <w:vAlign w:val="center"/>
                </w:tcPr>
                <w:p>
                  <w:pPr>
                    <w:widowControl/>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投标文件须提供产品使用说明书和实验指导书对应的样章截图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vAlign w:val="center"/>
                </w:tcPr>
                <w:p>
                  <w:pPr>
                    <w:widowControl/>
                    <w:jc w:val="center"/>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实验指导书</w:t>
                  </w:r>
                </w:p>
              </w:tc>
              <w:tc>
                <w:tcPr>
                  <w:tcW w:w="709" w:type="dxa"/>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1份</w:t>
                  </w:r>
                </w:p>
              </w:tc>
              <w:tc>
                <w:tcPr>
                  <w:tcW w:w="3707" w:type="dxa"/>
                  <w:vMerge w:val="continue"/>
                </w:tcPr>
                <w:p>
                  <w:pPr>
                    <w:widowControl/>
                    <w:jc w:val="left"/>
                    <w:rPr>
                      <w:rFonts w:cs="宋体"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1" w:type="dxa"/>
                  <w:gridSpan w:val="3"/>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可用于支持参加西门子杯中国智能制造挑战赛离散行业自动化（逻辑控制）方向比赛</w:t>
                  </w:r>
                </w:p>
              </w:tc>
            </w:tr>
          </w:tbl>
          <w:p>
            <w:pPr>
              <w:rPr>
                <w:rFonts w:cs="宋体" w:asciiTheme="majorEastAsia" w:hAnsiTheme="majorEastAsia" w:eastAsiaTheme="majorEastAsia"/>
                <w:sz w:val="24"/>
              </w:rPr>
            </w:pPr>
          </w:p>
        </w:tc>
      </w:tr>
      <w:tr>
        <w:tblPrEx>
          <w:tblCellMar>
            <w:top w:w="0" w:type="dxa"/>
            <w:left w:w="108" w:type="dxa"/>
            <w:bottom w:w="0" w:type="dxa"/>
            <w:right w:w="108" w:type="dxa"/>
          </w:tblCellMar>
        </w:tblPrEx>
        <w:trPr>
          <w:trHeight w:val="90" w:hRule="atLeast"/>
        </w:trPr>
        <w:tc>
          <w:tcPr>
            <w:tcW w:w="502" w:type="dxa"/>
            <w:tcBorders>
              <w:top w:val="nil"/>
              <w:left w:val="single" w:color="auto" w:sz="4" w:space="0"/>
              <w:bottom w:val="nil"/>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w:t>
            </w:r>
          </w:p>
        </w:tc>
        <w:tc>
          <w:tcPr>
            <w:tcW w:w="791" w:type="dxa"/>
            <w:tcBorders>
              <w:top w:val="nil"/>
              <w:left w:val="nil"/>
              <w:bottom w:val="single" w:color="auto" w:sz="4" w:space="0"/>
              <w:right w:val="single" w:color="auto" w:sz="4" w:space="0"/>
            </w:tcBorders>
            <w:shd w:val="clear" w:color="auto" w:fill="auto"/>
            <w:vAlign w:val="center"/>
          </w:tcPr>
          <w:p>
            <w:pPr>
              <w:rPr>
                <w:rFonts w:cs="宋体" w:asciiTheme="majorEastAsia" w:hAnsiTheme="majorEastAsia" w:eastAsiaTheme="majorEastAsia"/>
                <w:sz w:val="24"/>
              </w:rPr>
            </w:pPr>
            <w:r>
              <w:rPr>
                <w:rFonts w:hint="eastAsia" w:cs="宋体" w:asciiTheme="majorEastAsia" w:hAnsiTheme="majorEastAsia" w:eastAsiaTheme="majorEastAsia"/>
                <w:sz w:val="24"/>
              </w:rPr>
              <w:t>数控数字化孪生软件开发平台套装（教师包）</w:t>
            </w:r>
          </w:p>
        </w:tc>
        <w:tc>
          <w:tcPr>
            <w:tcW w:w="709" w:type="dxa"/>
            <w:tcBorders>
              <w:top w:val="nil"/>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 w:val="24"/>
              </w:rPr>
            </w:pPr>
            <w:r>
              <w:rPr>
                <w:rFonts w:hint="eastAsia" w:cs="宋体" w:asciiTheme="majorEastAsia" w:hAnsiTheme="majorEastAsia" w:eastAsiaTheme="majorEastAsia"/>
                <w:sz w:val="24"/>
              </w:rPr>
              <w:t>1</w:t>
            </w:r>
          </w:p>
        </w:tc>
        <w:tc>
          <w:tcPr>
            <w:tcW w:w="7369" w:type="dxa"/>
            <w:tcBorders>
              <w:top w:val="nil"/>
              <w:left w:val="nil"/>
              <w:bottom w:val="single" w:color="auto" w:sz="4" w:space="0"/>
              <w:right w:val="single" w:color="auto" w:sz="4" w:space="0"/>
            </w:tcBorders>
            <w:shd w:val="clear" w:color="auto" w:fill="auto"/>
            <w:vAlign w:val="center"/>
          </w:tcPr>
          <w:p>
            <w:pPr>
              <w:rPr>
                <w:rFonts w:asciiTheme="majorEastAsia" w:hAnsiTheme="majorEastAsia" w:eastAsiaTheme="majorEastAsia"/>
                <w:sz w:val="24"/>
              </w:rPr>
            </w:pPr>
            <w:r>
              <w:rPr>
                <w:rFonts w:hint="eastAsia" w:asciiTheme="majorEastAsia" w:hAnsiTheme="majorEastAsia" w:eastAsiaTheme="majorEastAsia"/>
                <w:sz w:val="24"/>
              </w:rPr>
              <w:t>一、数控数字化孪生软件开发平台套装（教师包）软件</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6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数控数字化孪生电气仿真模块</w:t>
                  </w:r>
                </w:p>
              </w:tc>
              <w:tc>
                <w:tcPr>
                  <w:tcW w:w="4484" w:type="pct"/>
                </w:tcPr>
                <w:p>
                  <w:pPr>
                    <w:jc w:val="left"/>
                    <w:rPr>
                      <w:rFonts w:cs="宋体" w:asciiTheme="majorEastAsia" w:hAnsiTheme="majorEastAsia" w:eastAsiaTheme="majorEastAsia"/>
                      <w:sz w:val="24"/>
                    </w:rPr>
                  </w:pPr>
                  <w:r>
                    <w:rPr>
                      <w:rFonts w:hint="eastAsia" w:cs="宋体" w:asciiTheme="majorEastAsia" w:hAnsiTheme="majorEastAsia" w:eastAsiaTheme="majorEastAsia"/>
                      <w:sz w:val="24"/>
                    </w:rPr>
                    <w:t>可以在不依赖于硬件系统的前提下，使用虚拟机床模型，实现数控系统与逻辑控制器功能的虚拟调试教学与培训；</w:t>
                  </w:r>
                </w:p>
                <w:p>
                  <w:pPr>
                    <w:jc w:val="left"/>
                    <w:rPr>
                      <w:rFonts w:cs="宋体" w:asciiTheme="majorEastAsia" w:hAnsiTheme="majorEastAsia" w:eastAsiaTheme="majorEastAsia"/>
                      <w:sz w:val="24"/>
                    </w:rPr>
                  </w:pPr>
                  <w:r>
                    <w:rPr>
                      <w:rFonts w:hint="eastAsia" w:cs="宋体" w:asciiTheme="majorEastAsia" w:hAnsiTheme="majorEastAsia" w:eastAsiaTheme="majorEastAsia"/>
                      <w:sz w:val="24"/>
                    </w:rPr>
                    <w:t>软件配套机床模型包括：数控加工中心、车削加工中心、五轴加工中心；</w:t>
                  </w:r>
                </w:p>
                <w:p>
                  <w:pPr>
                    <w:jc w:val="left"/>
                    <w:rPr>
                      <w:rFonts w:cs="宋体" w:asciiTheme="majorEastAsia" w:hAnsiTheme="majorEastAsia" w:eastAsiaTheme="majorEastAsia"/>
                      <w:sz w:val="24"/>
                    </w:rPr>
                  </w:pPr>
                  <w:r>
                    <w:rPr>
                      <w:rFonts w:hint="eastAsia" w:cs="宋体" w:asciiTheme="majorEastAsia" w:hAnsiTheme="majorEastAsia" w:eastAsiaTheme="majorEastAsia"/>
                      <w:sz w:val="24"/>
                    </w:rPr>
                    <w:t>软件支持自主开发的外部机床模型导入，通过设定可与西门子TIA结合，可以进行PLC的电气调试，包括硬件组态、急停功能、轴属性定义、报警信息、刀具更换等机床参数调试与编程，支持HMI画面开发；</w:t>
                  </w:r>
                </w:p>
                <w:p>
                  <w:pPr>
                    <w:jc w:val="left"/>
                    <w:rPr>
                      <w:rFonts w:cs="宋体" w:asciiTheme="majorEastAsia" w:hAnsiTheme="majorEastAsia" w:eastAsiaTheme="majorEastAsia"/>
                      <w:sz w:val="24"/>
                    </w:rPr>
                  </w:pPr>
                  <w:r>
                    <w:rPr>
                      <w:rFonts w:hint="eastAsia" w:cs="宋体" w:asciiTheme="majorEastAsia" w:hAnsiTheme="majorEastAsia" w:eastAsiaTheme="majorEastAsia"/>
                      <w:sz w:val="24"/>
                    </w:rPr>
                    <w:t>具备数控机床常见报警，例如液压报警、机床故障、刀具过载等；</w:t>
                  </w:r>
                </w:p>
                <w:p>
                  <w:pPr>
                    <w:jc w:val="left"/>
                    <w:rPr>
                      <w:rFonts w:cs="宋体" w:asciiTheme="majorEastAsia" w:hAnsiTheme="majorEastAsia" w:eastAsiaTheme="majorEastAsia"/>
                      <w:sz w:val="24"/>
                    </w:rPr>
                  </w:pPr>
                  <w:r>
                    <w:rPr>
                      <w:rFonts w:hint="eastAsia" w:cs="宋体" w:asciiTheme="majorEastAsia" w:hAnsiTheme="majorEastAsia" w:eastAsiaTheme="majorEastAsia"/>
                      <w:sz w:val="24"/>
                    </w:rPr>
                    <w:t>可对虚拟机床进行系统参数设置，例如轴名称、轴属性、刀具建立、主轴转速等设置；</w:t>
                  </w:r>
                </w:p>
                <w:p>
                  <w:pPr>
                    <w:jc w:val="left"/>
                    <w:rPr>
                      <w:rFonts w:cs="宋体" w:asciiTheme="majorEastAsia" w:hAnsiTheme="majorEastAsia" w:eastAsiaTheme="majorEastAsia"/>
                      <w:sz w:val="24"/>
                    </w:rPr>
                  </w:pPr>
                  <w:r>
                    <w:rPr>
                      <w:rFonts w:hint="eastAsia" w:cs="宋体" w:asciiTheme="majorEastAsia" w:hAnsiTheme="majorEastAsia" w:eastAsiaTheme="majorEastAsia"/>
                      <w:sz w:val="24"/>
                    </w:rPr>
                    <w:t>调试成功的机床数据、PLC、HMI画面开发数据等可以导入实际物理机床或样机中。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数控数字化孪生多轴仿真模块</w:t>
                  </w:r>
                </w:p>
              </w:tc>
              <w:tc>
                <w:tcPr>
                  <w:tcW w:w="4484" w:type="pct"/>
                </w:tcPr>
                <w:p>
                  <w:pPr>
                    <w:jc w:val="left"/>
                    <w:rPr>
                      <w:rFonts w:cs="宋体" w:asciiTheme="majorEastAsia" w:hAnsiTheme="majorEastAsia" w:eastAsiaTheme="majorEastAsia"/>
                      <w:sz w:val="24"/>
                    </w:rPr>
                  </w:pPr>
                  <w:r>
                    <w:rPr>
                      <w:rFonts w:hint="eastAsia" w:cs="宋体" w:asciiTheme="majorEastAsia" w:hAnsiTheme="majorEastAsia" w:eastAsiaTheme="majorEastAsia"/>
                      <w:sz w:val="24"/>
                    </w:rPr>
                    <w:t>电气仿真模块下开发的PLC、HMI画面数据也能导入本模块运行；</w:t>
                  </w:r>
                </w:p>
                <w:p>
                  <w:pPr>
                    <w:jc w:val="left"/>
                    <w:rPr>
                      <w:rFonts w:cs="宋体" w:asciiTheme="majorEastAsia" w:hAnsiTheme="majorEastAsia" w:eastAsiaTheme="majorEastAsia"/>
                      <w:sz w:val="24"/>
                    </w:rPr>
                  </w:pPr>
                  <w:r>
                    <w:rPr>
                      <w:rFonts w:hint="eastAsia" w:cs="宋体" w:asciiTheme="majorEastAsia" w:hAnsiTheme="majorEastAsia" w:eastAsiaTheme="majorEastAsia"/>
                      <w:sz w:val="24"/>
                    </w:rPr>
                    <w:t>可以调用3D机床模型设置并机床运动、坐标轴转换功能；</w:t>
                  </w:r>
                </w:p>
                <w:p>
                  <w:pPr>
                    <w:jc w:val="left"/>
                    <w:rPr>
                      <w:rFonts w:cs="宋体" w:asciiTheme="majorEastAsia" w:hAnsiTheme="majorEastAsia" w:eastAsiaTheme="majorEastAsia"/>
                      <w:sz w:val="24"/>
                    </w:rPr>
                  </w:pPr>
                  <w:r>
                    <w:rPr>
                      <w:rFonts w:hint="eastAsia" w:cs="宋体" w:asciiTheme="majorEastAsia" w:hAnsiTheme="majorEastAsia" w:eastAsiaTheme="majorEastAsia"/>
                      <w:sz w:val="24"/>
                    </w:rPr>
                    <w:t>内置虎钳、三爪卡盘、等常用夹具，并可导入外部设计的夹具模型；</w:t>
                  </w:r>
                </w:p>
                <w:p>
                  <w:pPr>
                    <w:jc w:val="left"/>
                    <w:rPr>
                      <w:rFonts w:cs="宋体" w:asciiTheme="majorEastAsia" w:hAnsiTheme="majorEastAsia" w:eastAsiaTheme="majorEastAsia"/>
                      <w:sz w:val="24"/>
                    </w:rPr>
                  </w:pPr>
                  <w:r>
                    <w:rPr>
                      <w:rFonts w:hint="eastAsia" w:cs="宋体" w:asciiTheme="majorEastAsia" w:hAnsiTheme="majorEastAsia" w:eastAsiaTheme="majorEastAsia"/>
                      <w:sz w:val="24"/>
                    </w:rPr>
                    <w:t>支持防碰撞功能、刀具更换与工件加工，3D测头测量循环等。</w:t>
                  </w:r>
                </w:p>
                <w:p>
                  <w:pPr>
                    <w:jc w:val="left"/>
                    <w:rPr>
                      <w:rFonts w:cs="宋体" w:asciiTheme="majorEastAsia" w:hAnsiTheme="majorEastAsia" w:eastAsiaTheme="majorEastAsia"/>
                      <w:sz w:val="24"/>
                    </w:rPr>
                  </w:pPr>
                  <w:r>
                    <w:rPr>
                      <w:rFonts w:hint="eastAsia" w:cs="宋体" w:asciiTheme="majorEastAsia" w:hAnsiTheme="majorEastAsia" w:eastAsiaTheme="majorEastAsia"/>
                      <w:sz w:val="24"/>
                    </w:rPr>
                    <w:t>支持在线编写编写G代码或人机对话数控程序；</w:t>
                  </w:r>
                </w:p>
                <w:p>
                  <w:pPr>
                    <w:jc w:val="left"/>
                    <w:rPr>
                      <w:rFonts w:cs="宋体" w:asciiTheme="majorEastAsia" w:hAnsiTheme="majorEastAsia" w:eastAsiaTheme="majorEastAsia"/>
                      <w:sz w:val="24"/>
                    </w:rPr>
                  </w:pPr>
                  <w:r>
                    <w:rPr>
                      <w:rFonts w:hint="eastAsia" w:cs="宋体" w:asciiTheme="majorEastAsia" w:hAnsiTheme="majorEastAsia" w:eastAsiaTheme="majorEastAsia"/>
                      <w:sz w:val="24"/>
                    </w:rPr>
                    <w:t>支持导入外部编写的CAM数控程序（包括车削、铣削、五轴等）</w:t>
                  </w:r>
                </w:p>
                <w:p>
                  <w:pPr>
                    <w:jc w:val="left"/>
                    <w:rPr>
                      <w:rFonts w:cs="宋体" w:asciiTheme="majorEastAsia" w:hAnsiTheme="majorEastAsia" w:eastAsiaTheme="majorEastAsia"/>
                      <w:sz w:val="24"/>
                    </w:rPr>
                  </w:pPr>
                  <w:r>
                    <w:rPr>
                      <w:rFonts w:hint="eastAsia" w:cs="宋体" w:asciiTheme="majorEastAsia" w:hAnsiTheme="majorEastAsia" w:eastAsiaTheme="majorEastAsia"/>
                      <w:sz w:val="24"/>
                    </w:rPr>
                    <w:t>支持程序仿真模拟及剩余材料去除的仿真模拟，仿真结果可以导出到实际物理机床或样机中；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★数控数字化孪生过程仿真功能</w:t>
                  </w:r>
                </w:p>
              </w:tc>
              <w:tc>
                <w:tcPr>
                  <w:tcW w:w="4484" w:type="pct"/>
                </w:tcPr>
                <w:p>
                  <w:pPr>
                    <w:jc w:val="left"/>
                    <w:rPr>
                      <w:rFonts w:cs="宋体" w:asciiTheme="majorEastAsia" w:hAnsiTheme="majorEastAsia" w:eastAsiaTheme="majorEastAsia"/>
                      <w:sz w:val="24"/>
                    </w:rPr>
                  </w:pPr>
                  <w:r>
                    <w:rPr>
                      <w:rFonts w:hint="eastAsia" w:cs="宋体" w:asciiTheme="majorEastAsia" w:hAnsiTheme="majorEastAsia" w:eastAsiaTheme="majorEastAsia"/>
                      <w:sz w:val="24"/>
                    </w:rPr>
                    <w:t>可与外部过程仿真软件如SIMIT及机电一体化概念设计软件相结合进行联合调试；</w:t>
                  </w:r>
                </w:p>
                <w:p>
                  <w:pPr>
                    <w:jc w:val="left"/>
                    <w:rPr>
                      <w:rFonts w:cs="宋体" w:asciiTheme="majorEastAsia" w:hAnsiTheme="majorEastAsia" w:eastAsiaTheme="majorEastAsia"/>
                      <w:sz w:val="24"/>
                    </w:rPr>
                  </w:pPr>
                  <w:r>
                    <w:rPr>
                      <w:rFonts w:hint="eastAsia" w:cs="宋体" w:asciiTheme="majorEastAsia" w:hAnsiTheme="majorEastAsia" w:eastAsiaTheme="majorEastAsia"/>
                      <w:sz w:val="24"/>
                    </w:rPr>
                    <w:t>可实现复杂的机床机械结构及运动关系、外部传感器信号、液压、气动等仿真调试，呈现完整的过程动作；</w:t>
                  </w:r>
                </w:p>
                <w:p>
                  <w:pPr>
                    <w:jc w:val="left"/>
                    <w:rPr>
                      <w:rFonts w:cs="宋体" w:asciiTheme="majorEastAsia" w:hAnsiTheme="majorEastAsia" w:eastAsiaTheme="majorEastAsia"/>
                      <w:sz w:val="24"/>
                    </w:rPr>
                  </w:pPr>
                  <w:r>
                    <w:rPr>
                      <w:rFonts w:hint="eastAsia" w:cs="宋体" w:asciiTheme="majorEastAsia" w:hAnsiTheme="majorEastAsia" w:eastAsiaTheme="majorEastAsia"/>
                      <w:sz w:val="24"/>
                    </w:rPr>
                    <w:t>调试成功后，仿真结果可以导出到实际物理机床或样机中，直接实现机床的复杂刀库换刀、伺服轴控制、机床外围设备（如机器人控制）等的实际功能运行；运动链功能测试，相同的3D机床模型，用于防碰撞功能</w:t>
                  </w:r>
                </w:p>
              </w:tc>
            </w:tr>
          </w:tbl>
          <w:p>
            <w:pPr>
              <w:rPr>
                <w:rFonts w:asciiTheme="majorEastAsia" w:hAnsiTheme="majorEastAsia" w:eastAsiaTheme="majorEastAsia"/>
                <w:sz w:val="24"/>
              </w:rPr>
            </w:pPr>
          </w:p>
          <w:p>
            <w:pPr>
              <w:rPr>
                <w:rFonts w:asciiTheme="majorEastAsia" w:hAnsiTheme="majorEastAsia" w:eastAsiaTheme="majorEastAsia"/>
                <w:sz w:val="24"/>
              </w:rPr>
            </w:pPr>
            <w:r>
              <w:rPr>
                <w:rFonts w:hint="eastAsia" w:asciiTheme="majorEastAsia" w:hAnsiTheme="majorEastAsia" w:eastAsiaTheme="majorEastAsia"/>
                <w:sz w:val="24"/>
              </w:rPr>
              <w:t>二、支持教学实验</w:t>
            </w:r>
          </w:p>
          <w:p>
            <w:pPr>
              <w:rPr>
                <w:rFonts w:asciiTheme="majorEastAsia" w:hAnsiTheme="majorEastAsia" w:eastAsiaTheme="majorEastAsia"/>
                <w:sz w:val="24"/>
              </w:rPr>
            </w:pPr>
            <w:r>
              <w:rPr>
                <w:rFonts w:hint="eastAsia" w:asciiTheme="majorEastAsia" w:hAnsiTheme="majorEastAsia" w:eastAsiaTheme="majorEastAsia"/>
                <w:sz w:val="24"/>
              </w:rPr>
              <w:t>1、数控数字化孪生软件开发平台的基本操作</w:t>
            </w:r>
          </w:p>
          <w:p>
            <w:pPr>
              <w:rPr>
                <w:rFonts w:asciiTheme="majorEastAsia" w:hAnsiTheme="majorEastAsia" w:eastAsiaTheme="majorEastAsia"/>
                <w:sz w:val="24"/>
              </w:rPr>
            </w:pPr>
            <w:r>
              <w:rPr>
                <w:rFonts w:hint="eastAsia" w:asciiTheme="majorEastAsia" w:hAnsiTheme="majorEastAsia" w:eastAsiaTheme="majorEastAsia"/>
                <w:sz w:val="24"/>
              </w:rPr>
              <w:t>2、典型机械数字孪生综合实践的任务分析与技术认知</w:t>
            </w:r>
          </w:p>
          <w:p>
            <w:pPr>
              <w:rPr>
                <w:rFonts w:asciiTheme="majorEastAsia" w:hAnsiTheme="majorEastAsia" w:eastAsiaTheme="majorEastAsia"/>
                <w:sz w:val="24"/>
              </w:rPr>
            </w:pPr>
            <w:r>
              <w:rPr>
                <w:rFonts w:hint="eastAsia" w:asciiTheme="majorEastAsia" w:hAnsiTheme="majorEastAsia" w:eastAsiaTheme="majorEastAsia"/>
                <w:sz w:val="24"/>
              </w:rPr>
              <w:t>3、典型机械模型的主要部件结构设计</w:t>
            </w:r>
          </w:p>
          <w:p>
            <w:pPr>
              <w:rPr>
                <w:rFonts w:asciiTheme="majorEastAsia" w:hAnsiTheme="majorEastAsia" w:eastAsiaTheme="majorEastAsia"/>
                <w:sz w:val="24"/>
              </w:rPr>
            </w:pPr>
            <w:r>
              <w:rPr>
                <w:rFonts w:hint="eastAsia" w:asciiTheme="majorEastAsia" w:hAnsiTheme="majorEastAsia" w:eastAsiaTheme="majorEastAsia"/>
                <w:sz w:val="24"/>
              </w:rPr>
              <w:t>4、典型机械模型的主要部件逻辑控制调试</w:t>
            </w:r>
          </w:p>
          <w:p>
            <w:pPr>
              <w:rPr>
                <w:rFonts w:asciiTheme="majorEastAsia" w:hAnsiTheme="majorEastAsia" w:eastAsiaTheme="majorEastAsia"/>
                <w:sz w:val="24"/>
              </w:rPr>
            </w:pPr>
            <w:r>
              <w:rPr>
                <w:rFonts w:hint="eastAsia" w:asciiTheme="majorEastAsia" w:hAnsiTheme="majorEastAsia" w:eastAsiaTheme="majorEastAsia"/>
                <w:sz w:val="24"/>
              </w:rPr>
              <w:t>5、典型机械模型的机电关系建模与设置</w:t>
            </w:r>
          </w:p>
          <w:p>
            <w:pPr>
              <w:rPr>
                <w:rFonts w:asciiTheme="majorEastAsia" w:hAnsiTheme="majorEastAsia" w:eastAsiaTheme="majorEastAsia"/>
                <w:sz w:val="24"/>
              </w:rPr>
            </w:pPr>
            <w:r>
              <w:rPr>
                <w:rFonts w:hint="eastAsia" w:asciiTheme="majorEastAsia" w:hAnsiTheme="majorEastAsia" w:eastAsiaTheme="majorEastAsia"/>
                <w:sz w:val="24"/>
              </w:rPr>
              <w:t>6、典型机械模型的虚拟调试集成与功能验证</w:t>
            </w:r>
          </w:p>
          <w:p>
            <w:pPr>
              <w:rPr>
                <w:rFonts w:asciiTheme="majorEastAsia" w:hAnsiTheme="majorEastAsia" w:eastAsiaTheme="majorEastAsia"/>
                <w:sz w:val="24"/>
              </w:rPr>
            </w:pPr>
            <w:r>
              <w:rPr>
                <w:rFonts w:hint="eastAsia" w:asciiTheme="majorEastAsia" w:hAnsiTheme="majorEastAsia" w:eastAsiaTheme="majorEastAsia"/>
                <w:sz w:val="24"/>
              </w:rPr>
              <w:t>7、机械加工典型工业零件的加工试制准备</w:t>
            </w:r>
          </w:p>
          <w:p>
            <w:pPr>
              <w:rPr>
                <w:rFonts w:asciiTheme="majorEastAsia" w:hAnsiTheme="majorEastAsia" w:eastAsiaTheme="majorEastAsia"/>
                <w:sz w:val="24"/>
              </w:rPr>
            </w:pPr>
            <w:r>
              <w:rPr>
                <w:rFonts w:hint="eastAsia" w:asciiTheme="majorEastAsia" w:hAnsiTheme="majorEastAsia" w:eastAsiaTheme="majorEastAsia"/>
                <w:sz w:val="24"/>
              </w:rPr>
              <w:t>8、典型机械模型的工业零件加工验证</w:t>
            </w:r>
          </w:p>
          <w:p>
            <w:pPr>
              <w:rPr>
                <w:rFonts w:asciiTheme="majorEastAsia" w:hAnsiTheme="majorEastAsia" w:eastAsiaTheme="majorEastAsia"/>
                <w:sz w:val="24"/>
              </w:rPr>
            </w:pPr>
          </w:p>
          <w:p>
            <w:pPr>
              <w:rPr>
                <w:rFonts w:asciiTheme="majorEastAsia" w:hAnsiTheme="majorEastAsia" w:eastAsiaTheme="majorEastAsia"/>
                <w:sz w:val="24"/>
              </w:rPr>
            </w:pPr>
            <w:r>
              <w:rPr>
                <w:rFonts w:hint="eastAsia" w:asciiTheme="majorEastAsia" w:hAnsiTheme="majorEastAsia" w:eastAsiaTheme="majorEastAsia"/>
                <w:sz w:val="24"/>
              </w:rPr>
              <w:t>三、硬件平台</w:t>
            </w:r>
          </w:p>
          <w:p>
            <w:pPr>
              <w:widowControl/>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≥i7 12700，16G内存，500G NVMe固态硬盘，27寸显示器。</w:t>
            </w:r>
          </w:p>
          <w:p>
            <w:pPr>
              <w:rPr>
                <w:rFonts w:asciiTheme="majorEastAsia" w:hAnsiTheme="majorEastAsia" w:eastAsiaTheme="majorEastAsia"/>
                <w:b/>
                <w:bCs/>
                <w:sz w:val="24"/>
              </w:rPr>
            </w:pPr>
          </w:p>
          <w:p>
            <w:pPr>
              <w:widowControl/>
              <w:jc w:val="left"/>
              <w:rPr>
                <w:rFonts w:asciiTheme="majorEastAsia" w:hAnsiTheme="majorEastAsia" w:eastAsiaTheme="majorEastAsia"/>
                <w:sz w:val="24"/>
              </w:rPr>
            </w:pPr>
            <w:r>
              <w:rPr>
                <w:rFonts w:hint="eastAsia" w:asciiTheme="majorEastAsia" w:hAnsiTheme="majorEastAsia" w:eastAsiaTheme="majorEastAsia"/>
                <w:sz w:val="24"/>
              </w:rPr>
              <w:t>★四、其它</w:t>
            </w:r>
          </w:p>
          <w:p>
            <w:pPr>
              <w:widowControl/>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可用于支持参加西门子杯中国智能制造挑战赛数控数字化双胞胎方向比赛。</w:t>
            </w:r>
          </w:p>
        </w:tc>
      </w:tr>
      <w:tr>
        <w:tblPrEx>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w:t>
            </w:r>
          </w:p>
        </w:tc>
        <w:tc>
          <w:tcPr>
            <w:tcW w:w="79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数控数字化孪生软件开发平台套装（学生包）</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w:t>
            </w:r>
          </w:p>
        </w:tc>
        <w:tc>
          <w:tcPr>
            <w:tcW w:w="7369" w:type="dxa"/>
            <w:tcBorders>
              <w:top w:val="nil"/>
              <w:left w:val="nil"/>
              <w:bottom w:val="single" w:color="auto" w:sz="4" w:space="0"/>
              <w:right w:val="single" w:color="auto" w:sz="4" w:space="0"/>
            </w:tcBorders>
            <w:shd w:val="clear" w:color="auto" w:fill="auto"/>
            <w:vAlign w:val="center"/>
          </w:tcPr>
          <w:p>
            <w:pPr>
              <w:rPr>
                <w:rFonts w:asciiTheme="majorEastAsia" w:hAnsiTheme="majorEastAsia" w:eastAsiaTheme="majorEastAsia"/>
                <w:sz w:val="24"/>
              </w:rPr>
            </w:pPr>
            <w:r>
              <w:rPr>
                <w:rFonts w:hint="eastAsia" w:asciiTheme="majorEastAsia" w:hAnsiTheme="majorEastAsia" w:eastAsiaTheme="majorEastAsia"/>
                <w:sz w:val="24"/>
              </w:rPr>
              <w:t>一、数控数字化孪生软件开发平台套装（学生包）软件</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6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jc w:val="center"/>
                    <w:rPr>
                      <w:rFonts w:asciiTheme="majorEastAsia" w:hAnsiTheme="majorEastAsia" w:eastAsiaTheme="majorEastAsia"/>
                      <w:sz w:val="24"/>
                    </w:rPr>
                  </w:pPr>
                  <w:r>
                    <w:rPr>
                      <w:rFonts w:hint="eastAsia" w:cs="宋体" w:asciiTheme="majorEastAsia" w:hAnsiTheme="majorEastAsia" w:eastAsiaTheme="majorEastAsia"/>
                      <w:sz w:val="24"/>
                    </w:rPr>
                    <w:t>孪生电气仿真模块</w:t>
                  </w:r>
                </w:p>
              </w:tc>
              <w:tc>
                <w:tcPr>
                  <w:tcW w:w="4484" w:type="pct"/>
                </w:tcPr>
                <w:p>
                  <w:pPr>
                    <w:rPr>
                      <w:rFonts w:cs="宋体" w:asciiTheme="majorEastAsia" w:hAnsiTheme="majorEastAsia" w:eastAsiaTheme="majorEastAsia"/>
                      <w:sz w:val="24"/>
                    </w:rPr>
                  </w:pPr>
                  <w:r>
                    <w:rPr>
                      <w:rFonts w:hint="eastAsia" w:cs="宋体" w:asciiTheme="majorEastAsia" w:hAnsiTheme="majorEastAsia" w:eastAsiaTheme="majorEastAsia"/>
                      <w:sz w:val="24"/>
                    </w:rPr>
                    <w:t>可以在不依赖于硬件系统的前提下，使用虚拟机床模型，实现数控系统与逻辑控制器功能的虚拟调试教学与培训；</w:t>
                  </w:r>
                </w:p>
                <w:p>
                  <w:pPr>
                    <w:rPr>
                      <w:rFonts w:cs="宋体" w:asciiTheme="majorEastAsia" w:hAnsiTheme="majorEastAsia" w:eastAsiaTheme="majorEastAsia"/>
                      <w:sz w:val="24"/>
                    </w:rPr>
                  </w:pPr>
                  <w:r>
                    <w:rPr>
                      <w:rFonts w:hint="eastAsia" w:cs="宋体" w:asciiTheme="majorEastAsia" w:hAnsiTheme="majorEastAsia" w:eastAsiaTheme="majorEastAsia"/>
                      <w:sz w:val="24"/>
                    </w:rPr>
                    <w:t>软件配套机床模型包括：数控加工中心、车削加工中心、五轴加工中心；</w:t>
                  </w:r>
                </w:p>
                <w:p>
                  <w:pPr>
                    <w:rPr>
                      <w:rFonts w:cs="宋体" w:asciiTheme="majorEastAsia" w:hAnsiTheme="majorEastAsia" w:eastAsiaTheme="majorEastAsia"/>
                      <w:sz w:val="24"/>
                    </w:rPr>
                  </w:pPr>
                  <w:r>
                    <w:rPr>
                      <w:rFonts w:hint="eastAsia" w:cs="宋体" w:asciiTheme="majorEastAsia" w:hAnsiTheme="majorEastAsia" w:eastAsiaTheme="majorEastAsia"/>
                      <w:sz w:val="24"/>
                    </w:rPr>
                    <w:t>软件支持自主开发的外部机床模型导入，通过设定可与西门子TIA结合，可以进行PLC的电气调试，包括硬件组态、急停功能、轴属性定义、报警信息、刀具更换等机床参数调试与编程，支持HMI画面开发；</w:t>
                  </w:r>
                </w:p>
                <w:p>
                  <w:pPr>
                    <w:rPr>
                      <w:rFonts w:cs="宋体" w:asciiTheme="majorEastAsia" w:hAnsiTheme="majorEastAsia" w:eastAsiaTheme="majorEastAsia"/>
                      <w:sz w:val="24"/>
                    </w:rPr>
                  </w:pPr>
                  <w:r>
                    <w:rPr>
                      <w:rFonts w:hint="eastAsia" w:cs="宋体" w:asciiTheme="majorEastAsia" w:hAnsiTheme="majorEastAsia" w:eastAsiaTheme="majorEastAsia"/>
                      <w:sz w:val="24"/>
                    </w:rPr>
                    <w:t>具备数控机床常见报警，例如液压报警、机床故障、刀具过载等；</w:t>
                  </w:r>
                </w:p>
                <w:p>
                  <w:pPr>
                    <w:rPr>
                      <w:rFonts w:cs="宋体" w:asciiTheme="majorEastAsia" w:hAnsiTheme="majorEastAsia" w:eastAsiaTheme="majorEastAsia"/>
                      <w:sz w:val="24"/>
                    </w:rPr>
                  </w:pPr>
                  <w:r>
                    <w:rPr>
                      <w:rFonts w:hint="eastAsia" w:cs="宋体" w:asciiTheme="majorEastAsia" w:hAnsiTheme="majorEastAsia" w:eastAsiaTheme="majorEastAsia"/>
                      <w:sz w:val="24"/>
                    </w:rPr>
                    <w:t>可对虚拟机床进行系统参数设置，例如轴名称、轴属性、刀具建立、主轴转速等设置；</w:t>
                  </w:r>
                </w:p>
                <w:p>
                  <w:pPr>
                    <w:rPr>
                      <w:rFonts w:asciiTheme="majorEastAsia" w:hAnsiTheme="majorEastAsia" w:eastAsiaTheme="majorEastAsia"/>
                      <w:sz w:val="24"/>
                    </w:rPr>
                  </w:pPr>
                  <w:r>
                    <w:rPr>
                      <w:rFonts w:hint="eastAsia" w:cs="宋体" w:asciiTheme="majorEastAsia" w:hAnsiTheme="majorEastAsia" w:eastAsiaTheme="majorEastAsia"/>
                      <w:sz w:val="24"/>
                    </w:rPr>
                    <w:t>调试成功的机床数据、PLC、HMI画面开发数据等可以导入实际物理机床或样机中。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jc w:val="center"/>
                    <w:rPr>
                      <w:rFonts w:asciiTheme="majorEastAsia" w:hAnsiTheme="majorEastAsia" w:eastAsiaTheme="majorEastAsia"/>
                      <w:sz w:val="24"/>
                    </w:rPr>
                  </w:pPr>
                  <w:r>
                    <w:rPr>
                      <w:rFonts w:hint="eastAsia" w:cs="宋体" w:asciiTheme="majorEastAsia" w:hAnsiTheme="majorEastAsia" w:eastAsiaTheme="majorEastAsia"/>
                      <w:sz w:val="24"/>
                    </w:rPr>
                    <w:t>★孪生多轴仿真模块</w:t>
                  </w:r>
                </w:p>
              </w:tc>
              <w:tc>
                <w:tcPr>
                  <w:tcW w:w="4484" w:type="pct"/>
                </w:tcPr>
                <w:p>
                  <w:pPr>
                    <w:rPr>
                      <w:rFonts w:cs="宋体" w:asciiTheme="majorEastAsia" w:hAnsiTheme="majorEastAsia" w:eastAsiaTheme="majorEastAsia"/>
                      <w:sz w:val="24"/>
                    </w:rPr>
                  </w:pPr>
                  <w:r>
                    <w:rPr>
                      <w:rFonts w:hint="eastAsia" w:cs="宋体" w:asciiTheme="majorEastAsia" w:hAnsiTheme="majorEastAsia" w:eastAsiaTheme="majorEastAsia"/>
                      <w:sz w:val="24"/>
                    </w:rPr>
                    <w:t>电气仿真模块下开发的PLC、HMI画面数据也能导入本模块运行；</w:t>
                  </w:r>
                </w:p>
                <w:p>
                  <w:pPr>
                    <w:rPr>
                      <w:rFonts w:cs="宋体" w:asciiTheme="majorEastAsia" w:hAnsiTheme="majorEastAsia" w:eastAsiaTheme="majorEastAsia"/>
                      <w:sz w:val="24"/>
                    </w:rPr>
                  </w:pPr>
                  <w:r>
                    <w:rPr>
                      <w:rFonts w:hint="eastAsia" w:cs="宋体" w:asciiTheme="majorEastAsia" w:hAnsiTheme="majorEastAsia" w:eastAsiaTheme="majorEastAsia"/>
                      <w:sz w:val="24"/>
                    </w:rPr>
                    <w:t>可以调用3D机床模型设置并机床运动、坐标轴转换功能；</w:t>
                  </w:r>
                </w:p>
                <w:p>
                  <w:pPr>
                    <w:rPr>
                      <w:rFonts w:cs="宋体" w:asciiTheme="majorEastAsia" w:hAnsiTheme="majorEastAsia" w:eastAsiaTheme="majorEastAsia"/>
                      <w:sz w:val="24"/>
                    </w:rPr>
                  </w:pPr>
                  <w:r>
                    <w:rPr>
                      <w:rFonts w:hint="eastAsia" w:cs="宋体" w:asciiTheme="majorEastAsia" w:hAnsiTheme="majorEastAsia" w:eastAsiaTheme="majorEastAsia"/>
                      <w:sz w:val="24"/>
                    </w:rPr>
                    <w:t>内置虎钳、三爪卡盘、等常用夹具，并可导入外部设计的夹具模型；</w:t>
                  </w:r>
                </w:p>
                <w:p>
                  <w:pPr>
                    <w:rPr>
                      <w:rFonts w:cs="宋体" w:asciiTheme="majorEastAsia" w:hAnsiTheme="majorEastAsia" w:eastAsiaTheme="majorEastAsia"/>
                      <w:sz w:val="24"/>
                    </w:rPr>
                  </w:pPr>
                  <w:r>
                    <w:rPr>
                      <w:rFonts w:hint="eastAsia" w:cs="宋体" w:asciiTheme="majorEastAsia" w:hAnsiTheme="majorEastAsia" w:eastAsiaTheme="majorEastAsia"/>
                      <w:sz w:val="24"/>
                    </w:rPr>
                    <w:t>支持防碰撞功能、刀具更换与工件加工，3D测头测量循环等。</w:t>
                  </w:r>
                </w:p>
                <w:p>
                  <w:pPr>
                    <w:rPr>
                      <w:rFonts w:cs="宋体" w:asciiTheme="majorEastAsia" w:hAnsiTheme="majorEastAsia" w:eastAsiaTheme="majorEastAsia"/>
                      <w:sz w:val="24"/>
                    </w:rPr>
                  </w:pPr>
                  <w:r>
                    <w:rPr>
                      <w:rFonts w:hint="eastAsia" w:cs="宋体" w:asciiTheme="majorEastAsia" w:hAnsiTheme="majorEastAsia" w:eastAsiaTheme="majorEastAsia"/>
                      <w:sz w:val="24"/>
                    </w:rPr>
                    <w:t>支持在线编写编写G代码或人机对话数控程序；</w:t>
                  </w:r>
                </w:p>
                <w:p>
                  <w:pPr>
                    <w:rPr>
                      <w:rFonts w:cs="宋体" w:asciiTheme="majorEastAsia" w:hAnsiTheme="majorEastAsia" w:eastAsiaTheme="majorEastAsia"/>
                      <w:sz w:val="24"/>
                    </w:rPr>
                  </w:pPr>
                  <w:r>
                    <w:rPr>
                      <w:rFonts w:hint="eastAsia" w:cs="宋体" w:asciiTheme="majorEastAsia" w:hAnsiTheme="majorEastAsia" w:eastAsiaTheme="majorEastAsia"/>
                      <w:sz w:val="24"/>
                    </w:rPr>
                    <w:t>支持导入外部编写的CAM数控程序（包括车削、铣削、五轴等）</w:t>
                  </w:r>
                </w:p>
                <w:p>
                  <w:pPr>
                    <w:rPr>
                      <w:rFonts w:asciiTheme="majorEastAsia" w:hAnsiTheme="majorEastAsia" w:eastAsiaTheme="majorEastAsia"/>
                      <w:sz w:val="24"/>
                    </w:rPr>
                  </w:pPr>
                  <w:r>
                    <w:rPr>
                      <w:rFonts w:hint="eastAsia" w:cs="宋体" w:asciiTheme="majorEastAsia" w:hAnsiTheme="majorEastAsia" w:eastAsiaTheme="majorEastAsia"/>
                      <w:sz w:val="24"/>
                    </w:rPr>
                    <w:t>支持程序仿真模拟及剩余材料去除的仿真模拟，仿真结果可以导出到实际物理机床或样机中；</w:t>
                  </w:r>
                </w:p>
              </w:tc>
            </w:tr>
          </w:tbl>
          <w:p>
            <w:pPr>
              <w:rPr>
                <w:rFonts w:asciiTheme="majorEastAsia" w:hAnsiTheme="majorEastAsia" w:eastAsiaTheme="majorEastAsia"/>
                <w:sz w:val="24"/>
              </w:rPr>
            </w:pPr>
          </w:p>
          <w:p>
            <w:pPr>
              <w:rPr>
                <w:rFonts w:cs="宋体" w:asciiTheme="majorEastAsia" w:hAnsiTheme="majorEastAsia" w:eastAsiaTheme="majorEastAsia"/>
                <w:sz w:val="24"/>
              </w:rPr>
            </w:pPr>
            <w:r>
              <w:rPr>
                <w:rFonts w:hint="eastAsia" w:cs="宋体" w:asciiTheme="majorEastAsia" w:hAnsiTheme="majorEastAsia" w:eastAsiaTheme="majorEastAsia"/>
                <w:sz w:val="24"/>
              </w:rPr>
              <w:t>二、支持教学实验</w:t>
            </w:r>
          </w:p>
          <w:p>
            <w:pPr>
              <w:rPr>
                <w:rFonts w:cs="宋体" w:asciiTheme="majorEastAsia" w:hAnsiTheme="majorEastAsia" w:eastAsiaTheme="majorEastAsia"/>
                <w:sz w:val="24"/>
              </w:rPr>
            </w:pPr>
            <w:r>
              <w:rPr>
                <w:rFonts w:hint="eastAsia" w:cs="宋体" w:asciiTheme="majorEastAsia" w:hAnsiTheme="majorEastAsia" w:eastAsiaTheme="majorEastAsia"/>
                <w:sz w:val="24"/>
              </w:rPr>
              <w:t>1、数控数字化孪生软件开发平台的基本操作</w:t>
            </w:r>
          </w:p>
          <w:p>
            <w:pPr>
              <w:rPr>
                <w:rFonts w:cs="宋体" w:asciiTheme="majorEastAsia" w:hAnsiTheme="majorEastAsia" w:eastAsiaTheme="majorEastAsia"/>
                <w:sz w:val="24"/>
              </w:rPr>
            </w:pPr>
            <w:r>
              <w:rPr>
                <w:rFonts w:hint="eastAsia" w:cs="宋体" w:asciiTheme="majorEastAsia" w:hAnsiTheme="majorEastAsia" w:eastAsiaTheme="majorEastAsia"/>
                <w:sz w:val="24"/>
              </w:rPr>
              <w:t>2、典型机械数字孪生综合实践的任务分析与技术认知</w:t>
            </w:r>
          </w:p>
          <w:p>
            <w:pPr>
              <w:rPr>
                <w:rFonts w:cs="宋体" w:asciiTheme="majorEastAsia" w:hAnsiTheme="majorEastAsia" w:eastAsiaTheme="majorEastAsia"/>
                <w:sz w:val="24"/>
              </w:rPr>
            </w:pPr>
            <w:r>
              <w:rPr>
                <w:rFonts w:hint="eastAsia" w:cs="宋体" w:asciiTheme="majorEastAsia" w:hAnsiTheme="majorEastAsia" w:eastAsiaTheme="majorEastAsia"/>
                <w:sz w:val="24"/>
              </w:rPr>
              <w:t>3、典型机械模型的主要部件结构设计</w:t>
            </w:r>
          </w:p>
          <w:p>
            <w:pPr>
              <w:rPr>
                <w:rFonts w:cs="宋体" w:asciiTheme="majorEastAsia" w:hAnsiTheme="majorEastAsia" w:eastAsiaTheme="majorEastAsia"/>
                <w:sz w:val="24"/>
              </w:rPr>
            </w:pPr>
            <w:r>
              <w:rPr>
                <w:rFonts w:hint="eastAsia" w:cs="宋体" w:asciiTheme="majorEastAsia" w:hAnsiTheme="majorEastAsia" w:eastAsiaTheme="majorEastAsia"/>
                <w:sz w:val="24"/>
              </w:rPr>
              <w:t>4、典型机械模型的主要部件逻辑控制调试</w:t>
            </w:r>
          </w:p>
          <w:p>
            <w:pPr>
              <w:rPr>
                <w:rFonts w:cs="宋体" w:asciiTheme="majorEastAsia" w:hAnsiTheme="majorEastAsia" w:eastAsiaTheme="majorEastAsia"/>
                <w:sz w:val="24"/>
              </w:rPr>
            </w:pPr>
            <w:r>
              <w:rPr>
                <w:rFonts w:hint="eastAsia" w:cs="宋体" w:asciiTheme="majorEastAsia" w:hAnsiTheme="majorEastAsia" w:eastAsiaTheme="majorEastAsia"/>
                <w:sz w:val="24"/>
              </w:rPr>
              <w:t>5、典型机械模型的机电关系建模与设置</w:t>
            </w:r>
          </w:p>
          <w:p>
            <w:pPr>
              <w:rPr>
                <w:rFonts w:cs="宋体" w:asciiTheme="majorEastAsia" w:hAnsiTheme="majorEastAsia" w:eastAsiaTheme="majorEastAsia"/>
                <w:sz w:val="24"/>
              </w:rPr>
            </w:pPr>
            <w:r>
              <w:rPr>
                <w:rFonts w:hint="eastAsia" w:cs="宋体" w:asciiTheme="majorEastAsia" w:hAnsiTheme="majorEastAsia" w:eastAsiaTheme="majorEastAsia"/>
                <w:sz w:val="24"/>
              </w:rPr>
              <w:t>6、典型机械模型的虚拟调试集成与功能验证</w:t>
            </w:r>
          </w:p>
          <w:p>
            <w:pPr>
              <w:rPr>
                <w:rFonts w:asciiTheme="majorEastAsia" w:hAnsiTheme="majorEastAsia" w:eastAsiaTheme="majorEastAsia"/>
                <w:sz w:val="24"/>
              </w:rPr>
            </w:pPr>
            <w:r>
              <w:rPr>
                <w:rFonts w:hint="eastAsia" w:asciiTheme="majorEastAsia" w:hAnsiTheme="majorEastAsia" w:eastAsiaTheme="majorEastAsia"/>
                <w:sz w:val="24"/>
              </w:rPr>
              <w:t>7、机械加工典型工业零件的加工试制准备</w:t>
            </w:r>
          </w:p>
          <w:p>
            <w:pPr>
              <w:rPr>
                <w:rFonts w:asciiTheme="majorEastAsia" w:hAnsiTheme="majorEastAsia" w:eastAsiaTheme="majorEastAsia"/>
                <w:sz w:val="24"/>
              </w:rPr>
            </w:pPr>
            <w:r>
              <w:rPr>
                <w:rFonts w:hint="eastAsia" w:asciiTheme="majorEastAsia" w:hAnsiTheme="majorEastAsia" w:eastAsiaTheme="majorEastAsia"/>
                <w:sz w:val="24"/>
              </w:rPr>
              <w:t>8、典型机械模型的工业零件加工验证</w:t>
            </w:r>
          </w:p>
          <w:p>
            <w:pPr>
              <w:rPr>
                <w:rFonts w:cs="宋体" w:asciiTheme="majorEastAsia" w:hAnsiTheme="majorEastAsia" w:eastAsiaTheme="majorEastAsia"/>
                <w:sz w:val="24"/>
              </w:rPr>
            </w:pPr>
            <w:r>
              <w:rPr>
                <w:rFonts w:hint="eastAsia" w:asciiTheme="majorEastAsia" w:hAnsiTheme="majorEastAsia" w:eastAsiaTheme="majorEastAsia"/>
                <w:sz w:val="24"/>
              </w:rPr>
              <w:t>三、硬件平台</w:t>
            </w:r>
          </w:p>
          <w:p>
            <w:pPr>
              <w:widowControl/>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i3 12100</w:t>
            </w:r>
            <w:r>
              <w:rPr>
                <w:rFonts w:hint="eastAsia" w:asciiTheme="majorEastAsia" w:hAnsiTheme="majorEastAsia" w:eastAsiaTheme="majorEastAsia"/>
                <w:sz w:val="24"/>
              </w:rPr>
              <w:t>，16G内存，500G 固态硬盘，23.8寸显示器。</w:t>
            </w:r>
          </w:p>
          <w:p>
            <w:pPr>
              <w:rPr>
                <w:rFonts w:asciiTheme="majorEastAsia" w:hAnsiTheme="majorEastAsia" w:eastAsiaTheme="majorEastAsia"/>
                <w:sz w:val="24"/>
              </w:rPr>
            </w:pPr>
          </w:p>
          <w:p>
            <w:pPr>
              <w:rPr>
                <w:rFonts w:asciiTheme="majorEastAsia" w:hAnsiTheme="majorEastAsia" w:eastAsiaTheme="majorEastAsia"/>
                <w:sz w:val="24"/>
              </w:rPr>
            </w:pPr>
            <w:r>
              <w:rPr>
                <w:rFonts w:hint="eastAsia" w:cs="宋体" w:asciiTheme="majorEastAsia" w:hAnsiTheme="majorEastAsia" w:eastAsiaTheme="majorEastAsia"/>
                <w:kern w:val="0"/>
                <w:sz w:val="24"/>
              </w:rPr>
              <w:t>★</w:t>
            </w:r>
            <w:r>
              <w:rPr>
                <w:rFonts w:hint="eastAsia" w:asciiTheme="majorEastAsia" w:hAnsiTheme="majorEastAsia" w:eastAsiaTheme="majorEastAsia"/>
                <w:sz w:val="24"/>
              </w:rPr>
              <w:t>四、可用于支持参加西门子杯中国智能制造挑战赛数控数字化双胞胎方向比赛。</w:t>
            </w:r>
          </w:p>
        </w:tc>
      </w:tr>
      <w:tr>
        <w:tblPrEx>
          <w:tblCellMar>
            <w:top w:w="0" w:type="dxa"/>
            <w:left w:w="108" w:type="dxa"/>
            <w:bottom w:w="0" w:type="dxa"/>
            <w:right w:w="108" w:type="dxa"/>
          </w:tblCellMar>
        </w:tblPrEx>
        <w:tc>
          <w:tcPr>
            <w:tcW w:w="5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xml:space="preserve">数控数字化双胞胎虚拟调试硬件平台数控系统 one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7369" w:type="dxa"/>
            <w:tcBorders>
              <w:top w:val="nil"/>
              <w:left w:val="nil"/>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kern w:val="0"/>
                <w:sz w:val="24"/>
              </w:rPr>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456"/>
              <w:gridCol w:w="5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pPr>
                    <w:widowControl/>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机架电气外壳</w:t>
                  </w:r>
                </w:p>
              </w:tc>
              <w:tc>
                <w:tcPr>
                  <w:tcW w:w="276" w:type="pct"/>
                  <w:vAlign w:val="center"/>
                </w:tcPr>
                <w:p>
                  <w:pPr>
                    <w:widowControl/>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1套</w:t>
                  </w:r>
                </w:p>
              </w:tc>
              <w:tc>
                <w:tcPr>
                  <w:tcW w:w="4195" w:type="pct"/>
                  <w:vAlign w:val="center"/>
                </w:tcPr>
                <w:p>
                  <w:pPr>
                    <w:widowControl/>
                    <w:ind w:firstLine="480" w:firstLineChars="200"/>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工业办公环境，供电电源电压：AC 220V, 供电频率：50HZ 机架净重：30-45kg；防护等级：IP20，存储环境温度：0℃-60℃，运行环境温度：5℃-40℃。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pPr>
                    <w:widowControl/>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r>
                    <w:rPr>
                      <w:rFonts w:hint="eastAsia" w:cs="宋体" w:asciiTheme="majorEastAsia" w:hAnsiTheme="majorEastAsia" w:eastAsiaTheme="majorEastAsia"/>
                      <w:color w:val="000000"/>
                      <w:kern w:val="0"/>
                      <w:sz w:val="24"/>
                    </w:rPr>
                    <w:t>硬件平台包括数控系统控制单元</w:t>
                  </w:r>
                </w:p>
              </w:tc>
              <w:tc>
                <w:tcPr>
                  <w:tcW w:w="276" w:type="pct"/>
                  <w:vAlign w:val="center"/>
                </w:tcPr>
                <w:p>
                  <w:pPr>
                    <w:widowControl/>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1套</w:t>
                  </w:r>
                </w:p>
              </w:tc>
              <w:tc>
                <w:tcPr>
                  <w:tcW w:w="4195" w:type="pct"/>
                  <w:vAlign w:val="center"/>
                </w:tcPr>
                <w:p>
                  <w:pPr>
                    <w:widowControl/>
                    <w:ind w:firstLine="480" w:firstLineChars="200"/>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控制系统需具有车削/铣削/钻削等CNC编辑功能，需具备图形化编程；系统材质采用压铸铝镁合金；无需电池进行数据存储；可设置5轴加工包，具有5轴插补能力，含有shopturn/shopmill功能，具有轮廓腔型加工和切削加工中的余料检测和余料加工，具有精优曲面，样条插补（A,B,C样条），TRANSMIT/柱面转换，具有钻削/铣削/车削的测量循环，3D刀具半径补偿等具有刀具管理功能，可通过刀具使用时间，使用次数等监控刀具寿命，可自动更换备用刀具，具有姊妹刀，大小刀等功能，供电电源：DC 24V， 防护等级：IP20，运行环境温度：0℃-55℃；一路TCP/IP工业网络接口，支持OPC UA协议，满足数字量输入输出和模拟量输入输出，内存：2GB DRAM；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pPr>
                    <w:widowControl/>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数控系统控制单元</w:t>
                  </w:r>
                </w:p>
              </w:tc>
              <w:tc>
                <w:tcPr>
                  <w:tcW w:w="276" w:type="pct"/>
                  <w:vAlign w:val="center"/>
                </w:tcPr>
                <w:p>
                  <w:pPr>
                    <w:widowControl/>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1套</w:t>
                  </w:r>
                </w:p>
              </w:tc>
              <w:tc>
                <w:tcPr>
                  <w:tcW w:w="4195" w:type="pct"/>
                  <w:vAlign w:val="center"/>
                </w:tcPr>
                <w:p>
                  <w:pPr>
                    <w:widowControl/>
                    <w:ind w:firstLine="480" w:firstLineChars="200"/>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可扩展控制最多93根轴，并可控制最多30个加工通道，集成SIMATIC S7-300PLC，需具有80位浮点精度，具备驱动主/从控制功能，具有轮廓手轮功能，具有3轴和5轴空间维度补偿。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pPr>
                    <w:widowControl/>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控制系统功能及支持编程环境</w:t>
                  </w:r>
                </w:p>
              </w:tc>
              <w:tc>
                <w:tcPr>
                  <w:tcW w:w="276" w:type="pct"/>
                  <w:vAlign w:val="center"/>
                </w:tcPr>
                <w:p>
                  <w:pPr>
                    <w:widowControl/>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1套</w:t>
                  </w:r>
                </w:p>
              </w:tc>
              <w:tc>
                <w:tcPr>
                  <w:tcW w:w="4195" w:type="pct"/>
                  <w:vAlign w:val="center"/>
                </w:tcPr>
                <w:p>
                  <w:pPr>
                    <w:widowControl/>
                    <w:ind w:left="1" w:firstLine="360" w:firstLineChars="150"/>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支持program guide加工编程，同时支持DXF-reader直接图纸类编程，数控系统单元可自带硬盘，硬盘大小不小于80G，控制系统需具有精优曲面与臻优曲面功能，并且具有五轴标定功能，具有端面和圆柱面转换功能，并具有机床能量分析，操作员可直观看到能量的消耗，具有固定点停止功能和各种螺纹切削功能，直接笛卡尔点对点坐标移动以及级联变换和通用变换，控制系统需支持限位监控，2D/3D保护区域，主轴速度限制，安全检测持续监控（过温，过电流，过电源监控），具有诊断和维护功能，保护PLC状态以及远程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pPr>
                    <w:widowControl/>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操作员面板</w:t>
                  </w:r>
                </w:p>
              </w:tc>
              <w:tc>
                <w:tcPr>
                  <w:tcW w:w="276" w:type="pct"/>
                  <w:vAlign w:val="center"/>
                </w:tcPr>
                <w:p>
                  <w:pPr>
                    <w:widowControl/>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1套</w:t>
                  </w:r>
                </w:p>
              </w:tc>
              <w:tc>
                <w:tcPr>
                  <w:tcW w:w="4195" w:type="pct"/>
                  <w:vAlign w:val="center"/>
                </w:tcPr>
                <w:p>
                  <w:pPr>
                    <w:widowControl/>
                    <w:ind w:firstLine="480" w:firstLineChars="200"/>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TFT 彩色显示屏，可实现操作人员对CNC数控系统的操作与编辑， 供电电源：DC 5V ，集成鼠标与键盘功能，运行环境温度：0℃-45；尺寸(宽 x 高 x 厚度)不大于：483 mm x 355 mm x 53 mm,1个USB接口，1个TCP/IP接口，支持profinet协议与网络协议。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pPr>
                    <w:widowControl/>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机床控制面板</w:t>
                  </w:r>
                </w:p>
              </w:tc>
              <w:tc>
                <w:tcPr>
                  <w:tcW w:w="276" w:type="pct"/>
                  <w:vAlign w:val="center"/>
                </w:tcPr>
                <w:p>
                  <w:pPr>
                    <w:widowControl/>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1套</w:t>
                  </w:r>
                </w:p>
              </w:tc>
              <w:tc>
                <w:tcPr>
                  <w:tcW w:w="4195" w:type="pct"/>
                  <w:vAlign w:val="center"/>
                </w:tcPr>
                <w:p>
                  <w:pPr>
                    <w:widowControl/>
                    <w:ind w:firstLine="480" w:firstLineChars="200"/>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具备急停开关，进给倍率开关，启动，暂停等，可实现手动/自动等运动方式组的切换，并有按键可控制外部IO设备，供电电源：DC 24V， 防护等级：IP54，运行环境温度：0℃-45℃；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pPr>
                    <w:widowControl/>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客户端单元</w:t>
                  </w:r>
                </w:p>
              </w:tc>
              <w:tc>
                <w:tcPr>
                  <w:tcW w:w="276" w:type="pct"/>
                  <w:vAlign w:val="center"/>
                </w:tcPr>
                <w:p>
                  <w:pPr>
                    <w:widowControl/>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1套</w:t>
                  </w:r>
                </w:p>
              </w:tc>
              <w:tc>
                <w:tcPr>
                  <w:tcW w:w="4195" w:type="pct"/>
                  <w:vAlign w:val="center"/>
                </w:tcPr>
                <w:p>
                  <w:pPr>
                    <w:widowControl/>
                    <w:ind w:firstLine="480" w:firstLineChars="200"/>
                    <w:jc w:val="left"/>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供电电源：DC 24V， 防护等级：IP20，运行环境温度：0℃-45℃, 3 × USB2.0端口；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29" w:type="pct"/>
                  <w:vAlign w:val="center"/>
                </w:tcPr>
                <w:p>
                  <w:pPr>
                    <w:widowControl/>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硬件配置快捷拔插接口</w:t>
                  </w:r>
                </w:p>
              </w:tc>
              <w:tc>
                <w:tcPr>
                  <w:tcW w:w="276" w:type="pct"/>
                  <w:vAlign w:val="center"/>
                </w:tcPr>
                <w:p>
                  <w:pPr>
                    <w:widowControl/>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1套</w:t>
                  </w:r>
                </w:p>
              </w:tc>
              <w:tc>
                <w:tcPr>
                  <w:tcW w:w="4195" w:type="pct"/>
                  <w:vAlign w:val="center"/>
                </w:tcPr>
                <w:p>
                  <w:pPr>
                    <w:widowControl/>
                    <w:ind w:firstLine="480" w:firstLineChars="200"/>
                    <w:jc w:val="left"/>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控制箱外侧需提供网线快速拔插接口，220V电源快速拔插接口，无需打开控制箱就可以进行快速网线插补和电源线插补。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9" w:type="pct"/>
                  <w:vAlign w:val="center"/>
                </w:tcPr>
                <w:p>
                  <w:pPr>
                    <w:widowControl/>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安装通讯线缆</w:t>
                  </w:r>
                </w:p>
              </w:tc>
              <w:tc>
                <w:tcPr>
                  <w:tcW w:w="276" w:type="pct"/>
                  <w:vAlign w:val="center"/>
                </w:tcPr>
                <w:p>
                  <w:pPr>
                    <w:widowControl/>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1套</w:t>
                  </w:r>
                </w:p>
              </w:tc>
              <w:tc>
                <w:tcPr>
                  <w:tcW w:w="4195" w:type="pct"/>
                  <w:vAlign w:val="center"/>
                </w:tcPr>
                <w:p>
                  <w:pPr>
                    <w:widowControl/>
                    <w:ind w:firstLine="480" w:firstLineChars="200"/>
                    <w:jc w:val="left"/>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硬件调试连接线缆，工业连接网线，220V工业电源线等，配备把手类结构，配备包装箱，便于搬运。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pPr>
                    <w:widowControl/>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包装箱</w:t>
                  </w:r>
                </w:p>
              </w:tc>
              <w:tc>
                <w:tcPr>
                  <w:tcW w:w="276" w:type="pct"/>
                  <w:vAlign w:val="center"/>
                </w:tcPr>
                <w:p>
                  <w:pPr>
                    <w:widowControl/>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1套</w:t>
                  </w:r>
                </w:p>
              </w:tc>
              <w:tc>
                <w:tcPr>
                  <w:tcW w:w="4195" w:type="pct"/>
                  <w:vAlign w:val="center"/>
                </w:tcPr>
                <w:p>
                  <w:pPr>
                    <w:widowControl/>
                    <w:ind w:firstLine="480" w:firstLineChars="200"/>
                    <w:jc w:val="left"/>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手拉式包装箱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pPr>
                    <w:widowControl/>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控制系统卡</w:t>
                  </w:r>
                </w:p>
              </w:tc>
              <w:tc>
                <w:tcPr>
                  <w:tcW w:w="276" w:type="pct"/>
                  <w:vAlign w:val="center"/>
                </w:tcPr>
                <w:p>
                  <w:pPr>
                    <w:widowControl/>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1套</w:t>
                  </w:r>
                </w:p>
              </w:tc>
              <w:tc>
                <w:tcPr>
                  <w:tcW w:w="4195" w:type="pct"/>
                  <w:vAlign w:val="center"/>
                </w:tcPr>
                <w:p>
                  <w:pPr>
                    <w:widowControl/>
                    <w:ind w:firstLine="480" w:firstLineChars="200"/>
                    <w:jc w:val="left"/>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个通道，具备五个运动轴联动功能，并且控制器插补需达到工业级生产要求，控制器可安装于真实机床用于真实加工生产并且产品可达到精度要求，具备简体中文/英文/日语/德语等切换功能；具备急停开关，自动/手动等方式按键，具有进给倍率或主轴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pPr>
                    <w:widowControl/>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工业级操作键盘</w:t>
                  </w:r>
                </w:p>
              </w:tc>
              <w:tc>
                <w:tcPr>
                  <w:tcW w:w="276" w:type="pct"/>
                  <w:vAlign w:val="center"/>
                </w:tcPr>
                <w:p>
                  <w:pPr>
                    <w:widowControl/>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1个</w:t>
                  </w:r>
                </w:p>
              </w:tc>
              <w:tc>
                <w:tcPr>
                  <w:tcW w:w="4195" w:type="pct"/>
                  <w:vAlign w:val="center"/>
                </w:tcPr>
                <w:p>
                  <w:pPr>
                    <w:widowControl/>
                    <w:ind w:firstLine="480" w:firstLineChars="200"/>
                    <w:jc w:val="left"/>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薄膜型CNC全键盘便于用户轻松输入程序和文本，使用专用卡扣从后侧安装，卡扣包含在供货范围内。</w:t>
                  </w:r>
                </w:p>
                <w:p>
                  <w:pPr>
                    <w:widowControl/>
                    <w:ind w:firstLine="480" w:firstLineChars="200"/>
                    <w:jc w:val="left"/>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键盘采用标准/美式QWERTY布局，配有78个按键的薄膜键盘，包括字母键区带特殊字符，数字键区带特殊字符，光标键区，带热键的数控功能键，可快速选择操作区域。键盘配有USB1.1接口。</w:t>
                  </w:r>
                </w:p>
                <w:p>
                  <w:pPr>
                    <w:widowControl/>
                    <w:ind w:firstLine="480" w:firstLineChars="200"/>
                    <w:jc w:val="left"/>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该键盘可用于数控数字化双胞胎虚拟调试硬件平台；</w:t>
                  </w:r>
                </w:p>
                <w:p>
                  <w:pPr>
                    <w:widowControl/>
                    <w:ind w:firstLine="480" w:firstLineChars="200"/>
                    <w:jc w:val="left"/>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键盘所用电压：直流5.25V</w:t>
                  </w:r>
                </w:p>
                <w:p>
                  <w:pPr>
                    <w:widowControl/>
                    <w:ind w:firstLine="480" w:firstLineChars="200"/>
                    <w:jc w:val="left"/>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功耗最大值：0.4W</w:t>
                  </w:r>
                </w:p>
                <w:p>
                  <w:pPr>
                    <w:widowControl/>
                    <w:ind w:firstLine="480" w:firstLineChars="200"/>
                    <w:jc w:val="left"/>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防护等级：正面IP65，背面IP00</w:t>
                  </w:r>
                </w:p>
                <w:p>
                  <w:pPr>
                    <w:widowControl/>
                    <w:ind w:firstLine="480" w:firstLineChars="200"/>
                    <w:jc w:val="left"/>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环境类别符合IEC 60721-3-3 无凝露结冰，低气温0℃环境温度</w:t>
                  </w:r>
                </w:p>
                <w:p>
                  <w:pPr>
                    <w:widowControl/>
                    <w:ind w:firstLine="480" w:firstLineChars="200"/>
                    <w:jc w:val="left"/>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存储：-25…+55℃</w:t>
                  </w:r>
                </w:p>
                <w:p>
                  <w:pPr>
                    <w:widowControl/>
                    <w:ind w:firstLine="480" w:firstLineChars="200"/>
                    <w:jc w:val="left"/>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运输：-40…+70℃</w:t>
                  </w:r>
                </w:p>
                <w:p>
                  <w:pPr>
                    <w:widowControl/>
                    <w:ind w:firstLine="480" w:firstLineChars="200"/>
                    <w:jc w:val="left"/>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运行：正面0…45℃，背面0…55℃</w:t>
                  </w:r>
                </w:p>
                <w:p>
                  <w:pPr>
                    <w:widowControl/>
                    <w:ind w:firstLine="480" w:firstLineChars="200"/>
                    <w:jc w:val="left"/>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尺寸：宽*高*深(483*133*31)mm</w:t>
                  </w:r>
                </w:p>
                <w:p>
                  <w:pPr>
                    <w:widowControl/>
                    <w:ind w:firstLine="480" w:firstLineChars="200"/>
                    <w:jc w:val="left"/>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安装平面：开口宽度451mm,开口高度115.1mm</w:t>
                  </w:r>
                </w:p>
                <w:p>
                  <w:pPr>
                    <w:widowControl/>
                    <w:ind w:firstLine="480" w:firstLineChars="200"/>
                    <w:jc w:val="left"/>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净重：1.3kg</w:t>
                  </w:r>
                </w:p>
                <w:p>
                  <w:pPr>
                    <w:widowControl/>
                    <w:ind w:firstLine="480" w:firstLineChars="200"/>
                    <w:jc w:val="left"/>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有CE认证。</w:t>
                  </w:r>
                </w:p>
              </w:tc>
            </w:tr>
          </w:tbl>
          <w:p>
            <w:pPr>
              <w:widowControl/>
              <w:jc w:val="left"/>
              <w:rPr>
                <w:rFonts w:cs="宋体" w:asciiTheme="majorEastAsia" w:hAnsiTheme="majorEastAsia" w:eastAsiaTheme="majorEastAsia"/>
                <w:kern w:val="0"/>
                <w:sz w:val="24"/>
              </w:rPr>
            </w:pPr>
          </w:p>
        </w:tc>
      </w:tr>
      <w:tr>
        <w:tblPrEx>
          <w:tblCellMar>
            <w:top w:w="0" w:type="dxa"/>
            <w:left w:w="108" w:type="dxa"/>
            <w:bottom w:w="0" w:type="dxa"/>
            <w:right w:w="108" w:type="dxa"/>
          </w:tblCellMar>
        </w:tblPrEx>
        <w:tc>
          <w:tcPr>
            <w:tcW w:w="5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7</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数控数字化双胞胎虚拟调试信号转换系统硬件包</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7369" w:type="dxa"/>
            <w:tcBorders>
              <w:top w:val="nil"/>
              <w:left w:val="nil"/>
              <w:bottom w:val="single" w:color="auto" w:sz="4" w:space="0"/>
              <w:right w:val="single" w:color="auto" w:sz="4" w:space="0"/>
            </w:tcBorders>
            <w:shd w:val="clear" w:color="auto" w:fill="auto"/>
            <w:vAlign w:val="center"/>
          </w:tcPr>
          <w:p>
            <w:pPr>
              <w:widowControl/>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数控数字化双胞胎虚拟调试信号转换系统硬件包-数控数字化双胞胎-虚拟调试信号转换硬件</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56"/>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379" w:type="pct"/>
                  <w:vAlign w:val="center"/>
                </w:tcPr>
                <w:p>
                  <w:pPr>
                    <w:widowControl/>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电气外壳</w:t>
                  </w:r>
                </w:p>
              </w:tc>
              <w:tc>
                <w:tcPr>
                  <w:tcW w:w="173" w:type="pct"/>
                  <w:vAlign w:val="center"/>
                </w:tcPr>
                <w:p>
                  <w:pPr>
                    <w:widowControl/>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1套</w:t>
                  </w:r>
                </w:p>
              </w:tc>
              <w:tc>
                <w:tcPr>
                  <w:tcW w:w="4447" w:type="pct"/>
                  <w:vAlign w:val="center"/>
                </w:tcPr>
                <w:p>
                  <w:pPr>
                    <w:widowControl/>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适用于工业办公环境，供电电源电压：DC 24V，1个USB 端口，1位输入与1位输出，具有状态LED灯显示，具有现场总线功能，尺寸(宽 x 高 x 厚度) 不大于40 mm x 125 mm x 125 mm，重量 1100g，防护等级 IP20，存储/运输温度 -40-70 °C，垂直安装温度 -40-70 °C，水平安装温度 -40-50°C；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widowControl/>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控制单元</w:t>
                  </w:r>
                </w:p>
              </w:tc>
              <w:tc>
                <w:tcPr>
                  <w:tcW w:w="173" w:type="pct"/>
                  <w:vAlign w:val="center"/>
                </w:tcPr>
                <w:p>
                  <w:pPr>
                    <w:widowControl/>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1个</w:t>
                  </w:r>
                </w:p>
              </w:tc>
              <w:tc>
                <w:tcPr>
                  <w:tcW w:w="4447" w:type="pct"/>
                  <w:vAlign w:val="center"/>
                </w:tcPr>
                <w:p>
                  <w:pPr>
                    <w:widowControl/>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小型控制单元，CPU具有3个RJ45接口，1个USB接口，可支持最大500mA的电流，可最多仿真256路PN/IO接口，通讯速率100Mbit/1GB,集成输入/输出，2 DI 24V直流输入，2DO,输出最大支持100Ma,具有一个LED显示灯，设备故障为红灯，设备运行为绿灯，具有一个复位按钮，用于重启硬件，支持内部SD卡存储，最大卡容量为32G,支持ProfiNet协议，可扩展通讯模块。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widowControl/>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快捷拔插接口</w:t>
                  </w:r>
                </w:p>
              </w:tc>
              <w:tc>
                <w:tcPr>
                  <w:tcW w:w="173" w:type="pct"/>
                  <w:vAlign w:val="center"/>
                </w:tcPr>
                <w:p>
                  <w:pPr>
                    <w:widowControl/>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1套</w:t>
                  </w:r>
                </w:p>
              </w:tc>
              <w:tc>
                <w:tcPr>
                  <w:tcW w:w="4447" w:type="pct"/>
                  <w:vAlign w:val="center"/>
                </w:tcPr>
                <w:p>
                  <w:pPr>
                    <w:widowControl/>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控制箱外侧需提供网线快速拔插接口，24V电源快速拔插接口，无需打开控制箱就可以进行快速网线插补和电源线插补。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widowControl/>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安装通讯线缆</w:t>
                  </w:r>
                </w:p>
              </w:tc>
              <w:tc>
                <w:tcPr>
                  <w:tcW w:w="173" w:type="pct"/>
                  <w:vAlign w:val="center"/>
                </w:tcPr>
                <w:p>
                  <w:pPr>
                    <w:widowControl/>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1套</w:t>
                  </w:r>
                </w:p>
              </w:tc>
              <w:tc>
                <w:tcPr>
                  <w:tcW w:w="4447" w:type="pct"/>
                  <w:vAlign w:val="center"/>
                </w:tcPr>
                <w:p>
                  <w:pPr>
                    <w:widowControl/>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调试连接线缆，工业以太网连接网线（长度6米），24V工业电源线等，可通过导轨安装于硬件平台机架内，同硬件平台一起放入硬件平台的包装箱内。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widowControl/>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sz w:val="24"/>
                    </w:rPr>
                    <w:t>★</w:t>
                  </w:r>
                  <w:r>
                    <w:rPr>
                      <w:rFonts w:hint="eastAsia" w:cs="宋体" w:asciiTheme="majorEastAsia" w:hAnsiTheme="majorEastAsia" w:eastAsiaTheme="majorEastAsia"/>
                      <w:color w:val="000000"/>
                      <w:kern w:val="0"/>
                      <w:sz w:val="24"/>
                    </w:rPr>
                    <w:t>配套数据接口软件</w:t>
                  </w:r>
                </w:p>
              </w:tc>
              <w:tc>
                <w:tcPr>
                  <w:tcW w:w="173" w:type="pct"/>
                  <w:vAlign w:val="center"/>
                </w:tcPr>
                <w:p>
                  <w:pPr>
                    <w:widowControl/>
                    <w:jc w:val="left"/>
                    <w:textAlignment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1套</w:t>
                  </w:r>
                </w:p>
              </w:tc>
              <w:tc>
                <w:tcPr>
                  <w:tcW w:w="4447" w:type="pct"/>
                  <w:vAlign w:val="center"/>
                </w:tcPr>
                <w:p>
                  <w:pPr>
                    <w:widowControl/>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可以实现纯虚拟数控内核与PC机械模型的通讯，虚拟数控内核可控制PC中机械模型的轴运行，如X/Y/Z的运动等，同时也可以实现PC机械模型与虚拟调试真实硬件的数据通讯，能够通过数控硬件控制PC机械模型，实现轴的虚拟运行，在虚拟环境下实现进给轴与主轴的移动和旋转；虚拟调试信号转换平台的数据接口软件需仿真至少一路PN接口或TCP/IP接口，PC通过网口连接到信号转换硬件平台后，配备与硬件设备相匹配的驱动程序；具备将虚拟环境下机械模型信号转换为可以与硬件通讯的I/O信号等，实现对机械模型的虚拟运动测试，可完成轴运动，换刀，装夹等设备的仿真测试，实现换刀宏程序的仿真测试，换刀点仿真测试（如Z轴位置，主轴角度等）。数控数字化双胞胎-虚拟调试信号转换平台数据接口软件与信号转换软件包以及信号转换硬件需通过加密狗共同使用，组成数控数字化双胞胎-虚拟调试信号转换平台。</w:t>
                  </w:r>
                </w:p>
              </w:tc>
            </w:tr>
          </w:tbl>
          <w:p>
            <w:pPr>
              <w:widowControl/>
              <w:jc w:val="left"/>
              <w:rPr>
                <w:rFonts w:cs="宋体" w:asciiTheme="majorEastAsia" w:hAnsiTheme="majorEastAsia" w:eastAsiaTheme="majorEastAsia"/>
                <w:kern w:val="0"/>
                <w:sz w:val="24"/>
              </w:rPr>
            </w:pPr>
          </w:p>
        </w:tc>
      </w:tr>
    </w:tbl>
    <w:p>
      <w:pPr>
        <w:rPr>
          <w:sz w:val="24"/>
        </w:rPr>
      </w:pPr>
    </w:p>
    <w:p>
      <w:pPr>
        <w:pStyle w:val="20"/>
        <w:spacing w:beforeLines="0" w:afterLines="0" w:line="360" w:lineRule="auto"/>
        <w:outlineLvl w:val="0"/>
        <w:rPr>
          <w:rFonts w:hAnsi="宋体"/>
          <w:b/>
        </w:rPr>
      </w:pPr>
      <w:r>
        <w:rPr>
          <w:rFonts w:hint="eastAsia" w:hAnsi="宋体"/>
          <w:b/>
        </w:rPr>
        <w:t>六、</w:t>
      </w:r>
      <w:r>
        <w:rPr>
          <w:rFonts w:hAnsi="宋体"/>
          <w:b/>
        </w:rPr>
        <w:t>商务要求</w:t>
      </w:r>
    </w:p>
    <w:tbl>
      <w:tblPr>
        <w:tblStyle w:val="35"/>
        <w:tblW w:w="10207"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9"/>
        <w:gridCol w:w="7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226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r>
              <w:rPr>
                <w:rFonts w:hint="eastAsia" w:ascii="宋体" w:hAnsi="宋体"/>
                <w:sz w:val="24"/>
              </w:rPr>
              <w:t>质保期</w:t>
            </w:r>
          </w:p>
        </w:tc>
        <w:tc>
          <w:tcPr>
            <w:tcW w:w="793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r>
              <w:rPr>
                <w:rFonts w:hint="eastAsia" w:ascii="宋体" w:hAnsi="宋体"/>
                <w:sz w:val="24"/>
              </w:rPr>
              <w:t>▲</w:t>
            </w:r>
            <w:r>
              <w:rPr>
                <w:rFonts w:ascii="宋体" w:hAnsi="宋体"/>
                <w:sz w:val="24"/>
              </w:rPr>
              <w:t>验收合格</w:t>
            </w:r>
            <w:r>
              <w:rPr>
                <w:rFonts w:hint="eastAsia" w:ascii="宋体" w:hAnsi="宋体"/>
                <w:sz w:val="24"/>
              </w:rPr>
              <w:t>后，质保期为1年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26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r>
              <w:rPr>
                <w:rFonts w:hint="eastAsia" w:ascii="宋体" w:hAnsi="宋体"/>
                <w:sz w:val="24"/>
              </w:rPr>
              <w:t>售后技术服务要求</w:t>
            </w:r>
          </w:p>
        </w:tc>
        <w:tc>
          <w:tcPr>
            <w:tcW w:w="7938" w:type="dxa"/>
            <w:tcBorders>
              <w:top w:val="single" w:color="auto" w:sz="4" w:space="0"/>
              <w:left w:val="single" w:color="auto" w:sz="4" w:space="0"/>
              <w:bottom w:val="single" w:color="auto" w:sz="4" w:space="0"/>
              <w:right w:val="single" w:color="auto" w:sz="4" w:space="0"/>
            </w:tcBorders>
          </w:tcPr>
          <w:p>
            <w:pPr>
              <w:tabs>
                <w:tab w:val="left" w:pos="3870"/>
                <w:tab w:val="left" w:pos="4085"/>
              </w:tabs>
              <w:snapToGrid w:val="0"/>
              <w:spacing w:line="440" w:lineRule="exact"/>
              <w:jc w:val="left"/>
              <w:rPr>
                <w:rFonts w:ascii="宋体" w:hAnsi="宋体"/>
                <w:sz w:val="24"/>
              </w:rPr>
            </w:pPr>
            <w:r>
              <w:rPr>
                <w:rFonts w:hint="eastAsia" w:ascii="宋体" w:hAnsi="宋体"/>
                <w:sz w:val="24"/>
              </w:rPr>
              <w:t>▲供应商在接到采购人通知后，2个工作日内派人赴现场处理设备质量问题。4个工作日内不能修复的，则无偿提供备机或备用零件供采购人使用。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26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r>
              <w:rPr>
                <w:rFonts w:hint="eastAsia" w:ascii="宋体" w:hAnsi="宋体"/>
                <w:sz w:val="24"/>
              </w:rPr>
              <w:t>交货时间及地点</w:t>
            </w:r>
          </w:p>
        </w:tc>
        <w:tc>
          <w:tcPr>
            <w:tcW w:w="793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 xml:space="preserve">▲合同签订后30天内交货并完成安装；地点：采购人指定地点。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22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履约保证金</w:t>
            </w:r>
          </w:p>
        </w:tc>
        <w:tc>
          <w:tcPr>
            <w:tcW w:w="79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本项目的履约保证金为合同价的1%；履约保证金形式为：现金或银行、保险公司出具的保函；中标人应根据采购人要求汇入采购人指定账号或提供保函。项目终验合格后，退还履约保证金。采购人单位名称：湖州师范学院；开户行：建行吴兴支行；账号：33001649335050002860。统一社会信用代码：123305004711725032。地址、电话：湖州市二环东路759号，0572-2321567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69"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sz w:val="24"/>
              </w:rPr>
            </w:pPr>
            <w:r>
              <w:rPr>
                <w:rFonts w:hint="eastAsia" w:ascii="宋体" w:hAnsi="宋体"/>
                <w:sz w:val="24"/>
              </w:rPr>
              <w:t>付款条件</w:t>
            </w:r>
          </w:p>
        </w:tc>
        <w:tc>
          <w:tcPr>
            <w:tcW w:w="793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sz w:val="24"/>
              </w:rPr>
            </w:pPr>
            <w:r>
              <w:rPr>
                <w:rFonts w:ascii="宋体" w:hAnsi="宋体"/>
                <w:sz w:val="24"/>
              </w:rPr>
              <w:t>▲根据《保障中小企业款项支付条例》、省财政厅《关于坚决打赢疫情防控阻击战进一步做好政府采购资金支持企业发展工作的通知》（浙财采监【2020】3号）</w:t>
            </w:r>
            <w:r>
              <w:rPr>
                <w:rFonts w:hint="eastAsia" w:ascii="宋体" w:hAnsi="宋体"/>
                <w:sz w:val="24"/>
              </w:rPr>
              <w:t>和（浙财采监〔2022]3号）</w:t>
            </w:r>
            <w:r>
              <w:rPr>
                <w:rFonts w:ascii="宋体" w:hAnsi="宋体"/>
                <w:sz w:val="24"/>
              </w:rPr>
              <w:t>要求,制定如以下付款方式</w:t>
            </w:r>
            <w:r>
              <w:rPr>
                <w:rFonts w:hint="eastAsia" w:ascii="宋体" w:hAnsi="宋体"/>
                <w:sz w:val="24"/>
              </w:rPr>
              <w:t>：</w:t>
            </w:r>
          </w:p>
          <w:p>
            <w:pPr>
              <w:pStyle w:val="103"/>
              <w:ind w:firstLine="482"/>
              <w:rPr>
                <w:rFonts w:ascii="宋体" w:hAnsi="宋体" w:cs="宋体"/>
                <w:b/>
                <w:kern w:val="0"/>
                <w:sz w:val="24"/>
              </w:rPr>
            </w:pPr>
            <w:r>
              <w:rPr>
                <w:rFonts w:hint="eastAsia" w:ascii="宋体" w:hAnsi="宋体" w:cs="宋体"/>
                <w:b/>
                <w:kern w:val="0"/>
                <w:sz w:val="24"/>
              </w:rPr>
              <w:t>付款方式一：根据（浙财采监〔2022〕3号）文件要求，适用符合《政府采购促进中小企业发展管理办法》认定的中小企业合同。所投产品均为中小企业生产并正确提供中小企业声明函可认定为中小企业合同。</w:t>
            </w:r>
          </w:p>
          <w:p>
            <w:pPr>
              <w:pStyle w:val="103"/>
              <w:rPr>
                <w:rFonts w:ascii="宋体" w:hAnsi="宋体" w:cs="宋体"/>
                <w:kern w:val="0"/>
                <w:sz w:val="24"/>
              </w:rPr>
            </w:pPr>
            <w:r>
              <w:rPr>
                <w:rFonts w:hint="eastAsia" w:ascii="宋体" w:hAnsi="宋体" w:cs="宋体"/>
                <w:kern w:val="0"/>
                <w:sz w:val="24"/>
              </w:rPr>
              <w:t>（1）自采购合同生效及具备实施条件后7个工作日内支付预付款，也即合同金额的40%,采购人在向供应商支付预付款之前，供应商向采购人提供与预付款金额相对应的担保措施，担保措施可以是银行、保险公司等金融机构出具的预付款保函或其他担保措施；</w:t>
            </w:r>
          </w:p>
          <w:p>
            <w:pPr>
              <w:pStyle w:val="103"/>
              <w:rPr>
                <w:rFonts w:ascii="宋体" w:hAnsi="宋体" w:cs="宋体"/>
                <w:kern w:val="0"/>
                <w:sz w:val="24"/>
              </w:rPr>
            </w:pPr>
            <w:r>
              <w:rPr>
                <w:rFonts w:hint="eastAsia" w:ascii="宋体" w:hAnsi="宋体" w:cs="宋体"/>
                <w:kern w:val="0"/>
                <w:sz w:val="24"/>
              </w:rPr>
              <w:t>（2）供应商在完成本项目并经采购人验收合格后，供应商依法依规开具相应金额发票，采购人应自收到供应商开具的发票后14个工作日内支付合同金额剩余款项60%。</w:t>
            </w:r>
          </w:p>
          <w:p>
            <w:pPr>
              <w:pStyle w:val="103"/>
              <w:rPr>
                <w:rFonts w:ascii="宋体" w:hAnsi="宋体" w:cs="宋体"/>
                <w:kern w:val="0"/>
                <w:sz w:val="24"/>
              </w:rPr>
            </w:pPr>
            <w:r>
              <w:rPr>
                <w:rFonts w:hint="eastAsia" w:ascii="宋体" w:hAnsi="宋体" w:cs="宋体"/>
                <w:kern w:val="0"/>
                <w:sz w:val="24"/>
              </w:rPr>
              <w:t>注：签订合同时供应商明确表示无需预付款（</w:t>
            </w:r>
            <w:r>
              <w:rPr>
                <w:rFonts w:ascii="宋体" w:hAnsi="宋体" w:cs="宋体"/>
                <w:kern w:val="0"/>
                <w:sz w:val="24"/>
              </w:rPr>
              <w:t>由供应商签订合同代表手抄并签字，手写文字上加盖供应商公章）</w:t>
            </w:r>
            <w:r>
              <w:rPr>
                <w:rFonts w:hint="eastAsia" w:ascii="宋体" w:hAnsi="宋体" w:cs="宋体"/>
                <w:kern w:val="0"/>
                <w:sz w:val="24"/>
              </w:rPr>
              <w:t>或者要求降低预付款比例的，采购人可在合同中另行约定。</w:t>
            </w:r>
          </w:p>
          <w:p>
            <w:pPr>
              <w:pStyle w:val="103"/>
              <w:ind w:firstLine="482"/>
              <w:rPr>
                <w:rFonts w:ascii="宋体" w:hAnsi="宋体" w:cs="宋体"/>
                <w:b/>
                <w:kern w:val="0"/>
                <w:sz w:val="24"/>
              </w:rPr>
            </w:pPr>
            <w:r>
              <w:rPr>
                <w:rFonts w:hint="eastAsia" w:ascii="宋体" w:hAnsi="宋体" w:cs="宋体"/>
                <w:b/>
                <w:kern w:val="0"/>
                <w:sz w:val="24"/>
              </w:rPr>
              <w:t>付款方式二：适用《政府采购促进中小企业发展管理办法》认定的大型企业合同。</w:t>
            </w:r>
          </w:p>
          <w:p>
            <w:pPr>
              <w:pStyle w:val="103"/>
              <w:rPr>
                <w:rFonts w:ascii="宋体" w:hAnsi="宋体" w:cs="宋体"/>
                <w:kern w:val="0"/>
                <w:sz w:val="24"/>
              </w:rPr>
            </w:pPr>
            <w:r>
              <w:rPr>
                <w:rFonts w:hint="eastAsia" w:ascii="宋体" w:hAnsi="宋体" w:cs="宋体"/>
                <w:kern w:val="0"/>
                <w:sz w:val="24"/>
              </w:rPr>
              <w:t>中标人完成本项目并经采购人验收合格后，中标人依法依规开具全额发票，采购人按合同金额原则上于</w:t>
            </w:r>
            <w:r>
              <w:rPr>
                <w:rFonts w:ascii="宋体" w:hAnsi="宋体" w:cs="宋体"/>
                <w:kern w:val="0"/>
                <w:sz w:val="24"/>
              </w:rPr>
              <w:t>14</w:t>
            </w:r>
            <w:r>
              <w:rPr>
                <w:rFonts w:hint="eastAsia" w:ascii="宋体" w:hAnsi="宋体" w:cs="宋体"/>
                <w:kern w:val="0"/>
                <w:sz w:val="24"/>
              </w:rPr>
              <w:t>个工作日内（如遇特殊情况顺延）一次性全额支付款项。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6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r>
              <w:rPr>
                <w:rFonts w:hint="eastAsia" w:ascii="宋体" w:hAnsi="宋体"/>
                <w:sz w:val="24"/>
              </w:rPr>
              <w:t>备品备件及耗材等要求</w:t>
            </w:r>
          </w:p>
        </w:tc>
        <w:tc>
          <w:tcPr>
            <w:tcW w:w="793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r>
              <w:rPr>
                <w:rFonts w:hint="eastAsia" w:ascii="宋体" w:hAnsi="宋体"/>
                <w:sz w:val="24"/>
              </w:rPr>
              <w:t>▲仪器安装调试期间所用的所有耗材、试剂均需免费提供；易磨损备品备件在质保期间需免费更换。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6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r>
              <w:rPr>
                <w:rFonts w:hint="eastAsia" w:ascii="宋体" w:hAnsi="宋体"/>
                <w:sz w:val="24"/>
              </w:rPr>
              <w:t>培训要求</w:t>
            </w:r>
          </w:p>
        </w:tc>
        <w:tc>
          <w:tcPr>
            <w:tcW w:w="793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r>
              <w:rPr>
                <w:rFonts w:hint="eastAsia" w:ascii="宋体" w:hAnsi="宋体"/>
                <w:sz w:val="24"/>
              </w:rPr>
              <w:t>中标人应提供针对采购人的培训服务，并提供所有设备的中文使用说明书。培训内容：仪器原理、构造、操作维护和简单维修，以保证采购方的技术人员熟练掌握仪器软硬件的操作。</w:t>
            </w:r>
          </w:p>
        </w:tc>
      </w:tr>
    </w:tbl>
    <w:p>
      <w:pPr>
        <w:pStyle w:val="14"/>
        <w:spacing w:after="0" w:line="360" w:lineRule="auto"/>
        <w:rPr>
          <w:rFonts w:ascii="宋体" w:hAnsi="宋体" w:cs="宋体"/>
          <w:b/>
          <w:kern w:val="0"/>
          <w:sz w:val="24"/>
          <w:szCs w:val="22"/>
        </w:rPr>
      </w:pPr>
      <w:r>
        <w:rPr>
          <w:rFonts w:hint="eastAsia" w:ascii="宋体" w:hAnsi="宋体" w:cs="宋体"/>
          <w:b/>
          <w:kern w:val="0"/>
          <w:sz w:val="24"/>
          <w:szCs w:val="22"/>
        </w:rPr>
        <w:t>注：1</w:t>
      </w:r>
      <w:r>
        <w:rPr>
          <w:rFonts w:ascii="宋体" w:hAnsi="宋体" w:cs="宋体"/>
          <w:b/>
          <w:kern w:val="0"/>
          <w:sz w:val="24"/>
          <w:szCs w:val="22"/>
        </w:rPr>
        <w:t>.</w:t>
      </w:r>
      <w:r>
        <w:rPr>
          <w:rFonts w:hint="eastAsia" w:ascii="宋体" w:hAnsi="宋体" w:cs="宋体"/>
          <w:b/>
          <w:kern w:val="0"/>
          <w:sz w:val="24"/>
          <w:szCs w:val="22"/>
        </w:rPr>
        <w:t>本项目</w:t>
      </w:r>
      <w:r>
        <w:rPr>
          <w:rFonts w:ascii="宋体" w:hAnsi="宋体" w:cs="宋体"/>
          <w:b/>
          <w:kern w:val="0"/>
          <w:sz w:val="24"/>
          <w:szCs w:val="22"/>
        </w:rPr>
        <w:t>采购标的对应的中小企业划分标准所属行业</w:t>
      </w:r>
      <w:r>
        <w:rPr>
          <w:rFonts w:hint="eastAsia" w:ascii="宋体" w:hAnsi="宋体" w:cs="宋体"/>
          <w:b/>
          <w:kern w:val="0"/>
          <w:sz w:val="24"/>
          <w:szCs w:val="22"/>
        </w:rPr>
        <w:t>为工业。</w:t>
      </w:r>
    </w:p>
    <w:p>
      <w:pPr>
        <w:spacing w:line="360" w:lineRule="auto"/>
        <w:ind w:firstLine="472" w:firstLineChars="196"/>
        <w:rPr>
          <w:rFonts w:ascii="宋体" w:hAnsi="宋体" w:cs="宋体"/>
          <w:b/>
          <w:kern w:val="0"/>
          <w:sz w:val="24"/>
        </w:rPr>
      </w:pPr>
      <w:r>
        <w:rPr>
          <w:rFonts w:hint="eastAsia" w:ascii="宋体" w:hAnsi="宋体" w:cs="宋体"/>
          <w:b/>
          <w:kern w:val="0"/>
          <w:sz w:val="24"/>
        </w:rPr>
        <w:t>2.</w:t>
      </w:r>
      <w:r>
        <w:rPr>
          <w:rFonts w:ascii="宋体" w:hAnsi="宋体" w:cs="宋体"/>
          <w:b/>
          <w:kern w:val="0"/>
          <w:sz w:val="24"/>
        </w:rPr>
        <w:t>依据《</w:t>
      </w:r>
      <w:r>
        <w:rPr>
          <w:rFonts w:hint="eastAsia" w:ascii="宋体" w:hAnsi="宋体" w:cs="宋体"/>
          <w:b/>
          <w:kern w:val="0"/>
          <w:sz w:val="24"/>
        </w:rPr>
        <w:t>政府采购促进中小企业发展管理办法</w:t>
      </w:r>
      <w:r>
        <w:rPr>
          <w:rFonts w:ascii="宋体" w:hAnsi="宋体" w:cs="宋体"/>
          <w:b/>
          <w:kern w:val="0"/>
          <w:sz w:val="24"/>
        </w:rPr>
        <w:t>》</w:t>
      </w:r>
      <w:r>
        <w:rPr>
          <w:rFonts w:hint="eastAsia" w:ascii="宋体" w:hAnsi="宋体" w:cs="宋体"/>
          <w:b/>
          <w:kern w:val="0"/>
          <w:sz w:val="24"/>
        </w:rPr>
        <w:t>（财库【2020】46号）</w:t>
      </w:r>
      <w:r>
        <w:rPr>
          <w:rFonts w:ascii="宋体" w:hAnsi="宋体" w:cs="宋体"/>
          <w:b/>
          <w:kern w:val="0"/>
          <w:sz w:val="24"/>
        </w:rPr>
        <w:t xml:space="preserve">规定享受扶持政策获得政府采购合同的，小微企业不得将合同分包给大中型企业，中型企业不得将合同分包给大型企业。 </w:t>
      </w:r>
    </w:p>
    <w:p>
      <w:pPr>
        <w:pStyle w:val="44"/>
      </w:pPr>
    </w:p>
    <w:p>
      <w:pPr>
        <w:widowControl/>
        <w:spacing w:line="360" w:lineRule="auto"/>
        <w:ind w:firstLine="482" w:firstLineChars="200"/>
        <w:jc w:val="left"/>
        <w:rPr>
          <w:rFonts w:ascii="宋体" w:hAnsi="宋体" w:cs="宋体"/>
          <w:kern w:val="0"/>
          <w:sz w:val="24"/>
        </w:rPr>
      </w:pPr>
      <w:r>
        <w:rPr>
          <w:rFonts w:hint="eastAsia" w:ascii="宋体" w:hAnsi="宋体"/>
          <w:b/>
          <w:sz w:val="24"/>
        </w:rPr>
        <w:t>七、特别说明：</w:t>
      </w:r>
      <w:r>
        <w:rPr>
          <w:rFonts w:hint="eastAsia" w:ascii="宋体" w:hAnsi="宋体" w:cs="宋体"/>
          <w:kern w:val="0"/>
          <w:sz w:val="24"/>
        </w:rPr>
        <w:t>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p>
      <w:pPr>
        <w:pStyle w:val="2"/>
      </w:pPr>
    </w:p>
    <w:p/>
    <w:p>
      <w:pPr>
        <w:pStyle w:val="2"/>
      </w:pPr>
    </w:p>
    <w:p/>
    <w:p>
      <w:pPr>
        <w:pStyle w:val="2"/>
      </w:pPr>
    </w:p>
    <w:p/>
    <w:p>
      <w:pPr>
        <w:pStyle w:val="2"/>
      </w:pPr>
    </w:p>
    <w:p/>
    <w:p>
      <w:r>
        <w:br w:type="page"/>
      </w:r>
    </w:p>
    <w:p>
      <w:pPr>
        <w:snapToGrid w:val="0"/>
        <w:spacing w:line="360" w:lineRule="auto"/>
        <w:jc w:val="center"/>
        <w:rPr>
          <w:rFonts w:ascii="黑体" w:hAnsi="宋体" w:eastAsia="黑体"/>
          <w:sz w:val="30"/>
          <w:szCs w:val="30"/>
        </w:rPr>
      </w:pPr>
      <w:r>
        <w:rPr>
          <w:rFonts w:hint="eastAsia" w:ascii="黑体" w:hAnsi="宋体" w:eastAsia="黑体"/>
          <w:sz w:val="30"/>
          <w:szCs w:val="30"/>
        </w:rPr>
        <w:t>第三章  投标人须知</w:t>
      </w:r>
    </w:p>
    <w:p>
      <w:pPr>
        <w:snapToGrid w:val="0"/>
        <w:spacing w:line="360" w:lineRule="auto"/>
        <w:ind w:left="238"/>
        <w:jc w:val="center"/>
        <w:outlineLvl w:val="1"/>
        <w:rPr>
          <w:rFonts w:ascii="宋体" w:hAnsi="宋体"/>
          <w:b/>
          <w:sz w:val="30"/>
          <w:szCs w:val="30"/>
        </w:rPr>
      </w:pPr>
      <w:r>
        <w:rPr>
          <w:rFonts w:hint="eastAsia" w:ascii="宋体" w:hAnsi="宋体"/>
          <w:b/>
          <w:sz w:val="30"/>
          <w:szCs w:val="30"/>
        </w:rPr>
        <w:t>前附表</w:t>
      </w:r>
    </w:p>
    <w:tbl>
      <w:tblPr>
        <w:tblStyle w:val="35"/>
        <w:tblW w:w="995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序号</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项目名称：湖州师范学院工学院中国智能制造挑战赛实验室设备采购项目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2</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采购数量及单位：详见招标文件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3</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.不论投标结果如何，投标人均应自行承担所有与投标有关的全部费用。3.本项目招标代理服务费：中标金额*1.1%*69.5%*</w:t>
            </w:r>
            <w:r>
              <w:rPr>
                <w:rFonts w:ascii="宋体" w:hAnsi="宋体"/>
                <w:sz w:val="24"/>
              </w:rPr>
              <w:t>49</w:t>
            </w:r>
            <w:r>
              <w:rPr>
                <w:rFonts w:hint="eastAsia" w:ascii="宋体" w:hAnsi="宋体"/>
                <w:sz w:val="24"/>
              </w:rPr>
              <w:t>%，最低收费4000元，由中标人全额支付。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4</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投标保证金：不缴纳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5</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现场踏勘：不组织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6</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答疑与澄清：投标人如认为招标文件表述不清晰、存在歧视性、排他性或者其他违法内容的，应当于2022年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18</w:t>
            </w:r>
            <w:r>
              <w:rPr>
                <w:rFonts w:hint="eastAsia" w:ascii="宋体" w:hAnsi="宋体"/>
                <w:sz w:val="24"/>
              </w:rPr>
              <w:t>日17:00前，以书面形式要求招标采购单位作出书面解释、澄清或者向招标采购单位提出书面质疑；招标采购单位将于2022年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19</w:t>
            </w:r>
            <w:r>
              <w:rPr>
                <w:rFonts w:hint="eastAsia" w:ascii="宋体" w:hAnsi="宋体"/>
                <w:sz w:val="24"/>
              </w:rPr>
              <w:t>日前组织答疑；答疑内容是招标文件的组成部份，将在网上发布补充（答疑、澄清）文件，潜在投标人应自行关注网站公告，招标人不再一一通知。投标人因自身贻误行为导致投标失败的，责任自负。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7</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投标文件组成：1、电子投标文件（包括“电子加密投标文件”和“备份投标文件”，在投标文件编制完成后同时生成）</w:t>
            </w:r>
          </w:p>
          <w:p>
            <w:pPr>
              <w:widowControl/>
              <w:jc w:val="left"/>
              <w:rPr>
                <w:rFonts w:ascii="宋体" w:hAnsi="宋体"/>
                <w:sz w:val="24"/>
              </w:rPr>
            </w:pPr>
            <w:r>
              <w:rPr>
                <w:rFonts w:hint="eastAsia" w:ascii="宋体" w:hAnsi="宋体"/>
                <w:sz w:val="24"/>
              </w:rPr>
              <w:t>（1）“电子加密投标文件”是指通过“政采云电子交易客户端”完成投标文件编制后生成并加密的数据电文形式的投标文件。</w:t>
            </w:r>
          </w:p>
          <w:p>
            <w:pPr>
              <w:widowControl/>
              <w:jc w:val="left"/>
              <w:rPr>
                <w:rFonts w:ascii="宋体" w:hAnsi="宋体"/>
                <w:sz w:val="24"/>
              </w:rPr>
            </w:pPr>
            <w:r>
              <w:rPr>
                <w:rFonts w:hint="eastAsia" w:ascii="宋体" w:hAnsi="宋体"/>
                <w:sz w:val="24"/>
              </w:rPr>
              <w:t>（2）“备份投标文件”是指与“电子加密投标文件”同时生成的数据电文形式的电子文件（备份标书），其他方式编制的备份投标文件视为无效备份投标文件。仅在出现解密异常情况下使用。</w:t>
            </w:r>
          </w:p>
          <w:p>
            <w:pPr>
              <w:widowControl/>
              <w:autoSpaceDE w:val="0"/>
              <w:autoSpaceDN w:val="0"/>
              <w:jc w:val="left"/>
              <w:textAlignment w:val="bottom"/>
              <w:rPr>
                <w:rFonts w:ascii="宋体" w:hAnsi="宋体"/>
                <w:sz w:val="24"/>
              </w:rPr>
            </w:pPr>
            <w:r>
              <w:rPr>
                <w:rFonts w:hint="eastAsia" w:ascii="宋体" w:hAnsi="宋体"/>
                <w:sz w:val="24"/>
              </w:rPr>
              <w:t>2、中标后，中标单位需在领取中标通知书时，向招标代理机构提交与投标时电子投标文件一致的纸质版本一式三份（按照招标文件要求签字盖章）。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8</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投标文件份数：1、“电子加密投标文件”：在线上传递交、一份。2、 “备份投标文件”：一份。</w:t>
            </w:r>
            <w:r>
              <w:rPr>
                <w:rFonts w:ascii="宋体" w:hAnsi="宋体"/>
                <w:sz w:val="24"/>
              </w:rPr>
              <w:t>以介质存储的数据电文形式的备份</w:t>
            </w:r>
            <w:r>
              <w:rPr>
                <w:rFonts w:hint="eastAsia" w:ascii="宋体" w:hAnsi="宋体"/>
                <w:sz w:val="24"/>
              </w:rPr>
              <w:t>投标</w:t>
            </w:r>
            <w:r>
              <w:rPr>
                <w:rFonts w:ascii="宋体" w:hAnsi="宋体"/>
                <w:sz w:val="24"/>
              </w:rPr>
              <w:t>文件(BFBS格式)，按政采云平台项目采购-电子交易操作指南中上传的电子</w:t>
            </w:r>
            <w:r>
              <w:rPr>
                <w:rFonts w:hint="eastAsia" w:ascii="宋体" w:hAnsi="宋体"/>
                <w:sz w:val="24"/>
              </w:rPr>
              <w:t>投标</w:t>
            </w:r>
            <w:r>
              <w:rPr>
                <w:rFonts w:ascii="宋体" w:hAnsi="宋体"/>
                <w:sz w:val="24"/>
              </w:rPr>
              <w:t>文件格式，以U盘形式存储提供)。U盘盘面上粘贴标签，标注单位名称，装入一个外包封袋中进行邮寄.邮寄时，总的外包封袋上可不注明单位名称，但应注明单位的联系人、联系电话及项目名称</w:t>
            </w:r>
            <w:r>
              <w:rPr>
                <w:rFonts w:hint="eastAsia" w:ascii="宋体" w:hAnsi="宋体"/>
                <w:sz w:val="24"/>
              </w:rPr>
              <w:t>。邮寄地址为：浙江华耀建设咨询有限公司（湖州市静江公寓1单元1101室），联系人：张治中，联系电话：0572-2198738</w:t>
            </w:r>
            <w:r>
              <w:fldChar w:fldCharType="begin"/>
            </w:r>
            <w:r>
              <w:instrText xml:space="preserve"> HYPERLINK "mailto:huayaohz@163.com。供应商应于2020年9月" </w:instrText>
            </w:r>
            <w:r>
              <w:fldChar w:fldCharType="separate"/>
            </w:r>
            <w:r>
              <w:rPr>
                <w:rFonts w:hint="eastAsia" w:ascii="宋体" w:hAnsi="宋体"/>
                <w:sz w:val="24"/>
              </w:rPr>
              <w:t xml:space="preserve">。供应商应于2022年 </w:t>
            </w:r>
            <w:r>
              <w:rPr>
                <w:rFonts w:hint="eastAsia" w:ascii="宋体" w:hAnsi="宋体" w:cs="仿宋"/>
                <w:sz w:val="24"/>
                <w:lang w:val="en-US" w:eastAsia="zh-CN"/>
              </w:rPr>
              <w:t>8</w:t>
            </w:r>
            <w:r>
              <w:rPr>
                <w:rFonts w:hint="eastAsia" w:ascii="宋体" w:hAnsi="宋体" w:cs="仿宋"/>
                <w:sz w:val="24"/>
              </w:rPr>
              <w:t>月</w:t>
            </w:r>
            <w:r>
              <w:rPr>
                <w:rFonts w:hint="eastAsia" w:ascii="宋体" w:hAnsi="宋体" w:cs="仿宋"/>
                <w:sz w:val="24"/>
                <w:lang w:val="en-US" w:eastAsia="zh-CN"/>
              </w:rPr>
              <w:t>26</w:t>
            </w:r>
            <w:r>
              <w:rPr>
                <w:rFonts w:hint="eastAsia" w:ascii="宋体" w:hAnsi="宋体" w:cs="仿宋"/>
                <w:sz w:val="24"/>
              </w:rPr>
              <w:t>日</w:t>
            </w:r>
            <w:r>
              <w:rPr>
                <w:rFonts w:hint="eastAsia" w:ascii="宋体" w:hAnsi="宋体"/>
                <w:sz w:val="24"/>
              </w:rPr>
              <w:fldChar w:fldCharType="end"/>
            </w:r>
            <w:r>
              <w:rPr>
                <w:rFonts w:hint="eastAsia" w:ascii="宋体" w:hAnsi="宋体"/>
                <w:sz w:val="24"/>
              </w:rPr>
              <w:t>11:30时前准时送达，拒绝到付。以收件人实际签收时间为准，逾期送达的将拒绝接收。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9</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电子加密投标文件的解密和异常情况处理：</w:t>
            </w:r>
          </w:p>
          <w:p>
            <w:pPr>
              <w:widowControl/>
              <w:jc w:val="left"/>
              <w:rPr>
                <w:rFonts w:ascii="宋体" w:hAnsi="宋体"/>
                <w:sz w:val="24"/>
              </w:rPr>
            </w:pPr>
            <w:r>
              <w:rPr>
                <w:rFonts w:hint="eastAsia" w:ascii="宋体" w:hAnsi="宋体"/>
                <w:sz w:val="24"/>
              </w:rPr>
              <w:t>（1）开标后，采购组织机构将向各投标供应商发出“电子加密投标文件”的解密通知，各投标供应商代表应当在接到解密通知后30分钟内自行完成“电子加密投标文件”的在线解密。</w:t>
            </w:r>
          </w:p>
          <w:p>
            <w:pPr>
              <w:widowControl/>
              <w:jc w:val="left"/>
              <w:rPr>
                <w:rFonts w:ascii="宋体" w:hAnsi="宋体"/>
                <w:sz w:val="24"/>
              </w:rPr>
            </w:pPr>
            <w:r>
              <w:rPr>
                <w:rFonts w:hint="eastAsia" w:ascii="宋体" w:hAnsi="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widowControl/>
              <w:jc w:val="left"/>
              <w:rPr>
                <w:rFonts w:ascii="宋体" w:hAnsi="宋体"/>
                <w:sz w:val="24"/>
              </w:rPr>
            </w:pPr>
            <w:r>
              <w:rPr>
                <w:rFonts w:hint="eastAsia" w:ascii="宋体" w:hAnsi="宋体"/>
                <w:sz w:val="24"/>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10</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开标时间及地点：</w:t>
            </w:r>
            <w:r>
              <w:rPr>
                <w:rFonts w:hint="eastAsia" w:ascii="宋体" w:hAnsi="宋体" w:cs="仿宋"/>
                <w:sz w:val="24"/>
              </w:rPr>
              <w:t>2022年</w:t>
            </w:r>
            <w:r>
              <w:rPr>
                <w:rFonts w:hint="eastAsia" w:ascii="宋体" w:hAnsi="宋体" w:cs="仿宋"/>
                <w:sz w:val="24"/>
                <w:lang w:val="en-US" w:eastAsia="zh-CN"/>
              </w:rPr>
              <w:t>8</w:t>
            </w:r>
            <w:r>
              <w:rPr>
                <w:rFonts w:hint="eastAsia" w:ascii="宋体" w:hAnsi="宋体" w:cs="仿宋"/>
                <w:sz w:val="24"/>
              </w:rPr>
              <w:t>月</w:t>
            </w:r>
            <w:r>
              <w:rPr>
                <w:rFonts w:hint="eastAsia" w:ascii="宋体" w:hAnsi="宋体" w:cs="仿宋"/>
                <w:sz w:val="24"/>
                <w:lang w:val="en-US" w:eastAsia="zh-CN"/>
              </w:rPr>
              <w:t>26</w:t>
            </w:r>
            <w:r>
              <w:rPr>
                <w:rFonts w:hint="eastAsia" w:ascii="宋体" w:hAnsi="宋体" w:cs="仿宋"/>
                <w:sz w:val="24"/>
              </w:rPr>
              <w:t>日</w:t>
            </w:r>
            <w:bookmarkStart w:id="4" w:name="_GoBack"/>
            <w:bookmarkEnd w:id="4"/>
            <w:r>
              <w:rPr>
                <w:rFonts w:hint="eastAsia" w:ascii="宋体" w:hAnsi="宋体" w:cs="仿宋"/>
                <w:sz w:val="24"/>
              </w:rPr>
              <w:t>14</w:t>
            </w:r>
            <w:r>
              <w:rPr>
                <w:rFonts w:hint="eastAsia" w:ascii="宋体" w:hAnsi="宋体"/>
                <w:sz w:val="24"/>
              </w:rPr>
              <w:t>：30时（北京时间）</w:t>
            </w:r>
          </w:p>
          <w:p>
            <w:pPr>
              <w:widowControl/>
              <w:jc w:val="left"/>
              <w:rPr>
                <w:rFonts w:ascii="宋体" w:hAnsi="宋体"/>
                <w:sz w:val="24"/>
              </w:rPr>
            </w:pPr>
            <w:r>
              <w:rPr>
                <w:rFonts w:hint="eastAsia" w:ascii="宋体" w:hAnsi="宋体"/>
                <w:sz w:val="24"/>
              </w:rPr>
              <w:t>浙江省湖州市公共资源交易中心二楼开标室（湖州市仁皇山片区金盖山路</w:t>
            </w:r>
            <w:r>
              <w:rPr>
                <w:rFonts w:ascii="宋体" w:hAnsi="宋体"/>
                <w:sz w:val="24"/>
              </w:rPr>
              <w:t>66</w:t>
            </w:r>
            <w:r>
              <w:rPr>
                <w:rFonts w:hint="eastAsia" w:ascii="宋体" w:hAnsi="宋体"/>
                <w:sz w:val="24"/>
              </w:rPr>
              <w:t>号</w:t>
            </w:r>
            <w:r>
              <w:rPr>
                <w:rFonts w:ascii="宋体" w:hAnsi="宋体"/>
                <w:sz w:val="24"/>
              </w:rPr>
              <w:t>2</w:t>
            </w:r>
            <w:r>
              <w:rPr>
                <w:rFonts w:hint="eastAsia" w:ascii="宋体" w:hAnsi="宋体"/>
                <w:sz w:val="24"/>
              </w:rPr>
              <w:t>号楼，具体详见二楼大厅公告栏），供应商应在投标截止时间前登入“政府采购云平台（www.zcygov.cn）”在线参与开标，并完成CA锁在线解密投标文件等相关工作。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10</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评标办法及评分标准：详见招标文件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11</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中标公告：中标供应商确定后，中标公告于浙江省政府采购网：</w:t>
            </w:r>
            <w:r>
              <w:rPr>
                <w:rFonts w:ascii="宋体" w:hAnsi="宋体"/>
                <w:sz w:val="24"/>
              </w:rPr>
              <w:t>(</w:t>
            </w:r>
            <w:r>
              <w:fldChar w:fldCharType="begin"/>
            </w:r>
            <w:r>
              <w:instrText xml:space="preserve"> HYPERLINK "http://www.zjzfcg.gov.cn/" </w:instrText>
            </w:r>
            <w:r>
              <w:fldChar w:fldCharType="separate"/>
            </w:r>
            <w:r>
              <w:rPr>
                <w:rFonts w:ascii="宋体" w:hAnsi="宋体"/>
                <w:sz w:val="24"/>
              </w:rPr>
              <w:t>http://www.zjzfcg.gov.cn</w:t>
            </w:r>
            <w:r>
              <w:rPr>
                <w:rFonts w:ascii="宋体" w:hAnsi="宋体"/>
                <w:sz w:val="24"/>
              </w:rPr>
              <w:fldChar w:fldCharType="end"/>
            </w:r>
            <w:r>
              <w:rPr>
                <w:rFonts w:ascii="宋体" w:hAnsi="宋体"/>
                <w:sz w:val="24"/>
              </w:rPr>
              <w:t>)</w:t>
            </w:r>
            <w:r>
              <w:rPr>
                <w:rFonts w:hint="eastAsia" w:ascii="宋体" w:hAnsi="宋体"/>
                <w:sz w:val="24"/>
              </w:rPr>
              <w:t>、</w:t>
            </w:r>
            <w:r>
              <w:rPr>
                <w:rFonts w:ascii="宋体" w:hAnsi="宋体"/>
                <w:sz w:val="24"/>
              </w:rPr>
              <w:t>湖州市公共资源交易信息网http://ggzy.huzhou.gov.cn</w:t>
            </w:r>
            <w:r>
              <w:rPr>
                <w:rFonts w:hint="eastAsia" w:ascii="宋体" w:hAnsi="宋体"/>
                <w:sz w:val="24"/>
              </w:rPr>
              <w:t>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12</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13</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本项目的履约保证金为合同价的1%；履约保证金形式为：现金或银行、保险公司出具的保函；中标人应根据采购人要求汇入采购人指定账号或提供保函。项目终验合格后，退还履约保证金。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14</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15</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16</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投标文件有效期：120天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17</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Arial"/>
                <w:sz w:val="24"/>
              </w:rPr>
            </w:pPr>
            <w:r>
              <w:rPr>
                <w:rFonts w:hint="eastAsia" w:ascii="宋体" w:hAnsi="宋体"/>
                <w:sz w:val="24"/>
              </w:rPr>
              <w:t>招标单位：湖州师范学院</w:t>
            </w:r>
            <w:r>
              <w:rPr>
                <w:rFonts w:hint="eastAsia" w:ascii="宋体" w:hAnsi="宋体" w:cs="Arial"/>
                <w:sz w:val="24"/>
              </w:rPr>
              <w:t>联系人：张老师        电话：</w:t>
            </w:r>
            <w:r>
              <w:rPr>
                <w:rFonts w:ascii="宋体" w:hAnsi="宋体" w:cs="Arial"/>
                <w:sz w:val="24"/>
              </w:rPr>
              <w:t>0572-</w:t>
            </w:r>
            <w:r>
              <w:rPr>
                <w:rFonts w:hint="eastAsia" w:ascii="宋体" w:hAnsi="宋体" w:cs="Arial"/>
                <w:sz w:val="24"/>
              </w:rPr>
              <w:t>2322188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18</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解释：本招标文件的解释权属于招标采购单位</w:t>
            </w:r>
          </w:p>
        </w:tc>
      </w:tr>
    </w:tbl>
    <w:p>
      <w:pPr>
        <w:pStyle w:val="20"/>
        <w:snapToGrid w:val="0"/>
        <w:spacing w:beforeLines="0" w:afterLines="0" w:line="360" w:lineRule="auto"/>
        <w:ind w:firstLine="562" w:firstLineChars="200"/>
        <w:rPr>
          <w:rFonts w:hAnsi="宋体"/>
          <w:b/>
          <w:sz w:val="28"/>
          <w:szCs w:val="28"/>
        </w:rPr>
      </w:pPr>
      <w:r>
        <w:rPr>
          <w:rFonts w:hint="eastAsia" w:hAnsi="宋体"/>
          <w:b/>
          <w:sz w:val="28"/>
          <w:szCs w:val="28"/>
        </w:rPr>
        <w:t>一   总  则</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 xml:space="preserve"> 适用范围</w:t>
      </w:r>
    </w:p>
    <w:p>
      <w:pPr>
        <w:snapToGrid w:val="0"/>
        <w:spacing w:line="360" w:lineRule="auto"/>
        <w:ind w:firstLine="480" w:firstLineChars="200"/>
        <w:jc w:val="left"/>
        <w:rPr>
          <w:rFonts w:ascii="宋体" w:hAnsi="宋体"/>
          <w:sz w:val="24"/>
        </w:rPr>
      </w:pPr>
      <w:r>
        <w:rPr>
          <w:rFonts w:hint="eastAsia" w:ascii="宋体" w:hAnsi="宋体"/>
          <w:sz w:val="24"/>
        </w:rPr>
        <w:t>本招标文件适用于湖州师范学院工学院中国智能制造挑战赛实验室设备采购项目的招标、评标、定标、验收、合同履约、付款等（法律、法规另有规定的，从其规定）。</w:t>
      </w:r>
    </w:p>
    <w:p>
      <w:pPr>
        <w:snapToGrid w:val="0"/>
        <w:spacing w:line="360" w:lineRule="auto"/>
        <w:ind w:firstLine="354" w:firstLineChars="147"/>
        <w:jc w:val="left"/>
        <w:outlineLvl w:val="1"/>
        <w:rPr>
          <w:rFonts w:ascii="宋体" w:hAnsi="宋体"/>
          <w:b/>
          <w:sz w:val="24"/>
          <w:szCs w:val="20"/>
        </w:rPr>
      </w:pPr>
      <w:r>
        <w:rPr>
          <w:rFonts w:hint="eastAsia" w:ascii="宋体" w:hAnsi="宋体"/>
          <w:b/>
          <w:sz w:val="24"/>
        </w:rPr>
        <w:t>（二）定义</w:t>
      </w:r>
    </w:p>
    <w:p>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招标采购单位系指组织本次招标的代理机构和采购单位</w:t>
      </w:r>
      <w:r>
        <w:rPr>
          <w:rFonts w:hint="eastAsia" w:ascii="宋体" w:hAnsi="宋体"/>
          <w:sz w:val="24"/>
        </w:rPr>
        <w:t>（湖州师范学院）</w:t>
      </w:r>
      <w:r>
        <w:rPr>
          <w:rFonts w:ascii="宋体" w:hAnsi="宋体"/>
          <w:sz w:val="24"/>
        </w:rPr>
        <w:t>。</w:t>
      </w:r>
    </w:p>
    <w:p>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投标人”系指向招标方提交投标文件的单位或个人。</w:t>
      </w:r>
    </w:p>
    <w:p>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pPr>
        <w:snapToGrid w:val="0"/>
        <w:spacing w:line="360" w:lineRule="auto"/>
        <w:ind w:firstLine="480" w:firstLineChars="200"/>
        <w:jc w:val="left"/>
        <w:rPr>
          <w:rFonts w:ascii="宋体" w:hAnsi="宋体"/>
          <w:sz w:val="24"/>
          <w:szCs w:val="20"/>
        </w:rPr>
      </w:pPr>
      <w:r>
        <w:rPr>
          <w:rFonts w:ascii="宋体" w:hAnsi="宋体"/>
          <w:sz w:val="24"/>
        </w:rPr>
        <w:t>6</w:t>
      </w:r>
      <w:r>
        <w:rPr>
          <w:rFonts w:hint="eastAsia" w:ascii="宋体" w:hAnsi="宋体"/>
          <w:sz w:val="24"/>
        </w:rPr>
        <w:t>.</w:t>
      </w:r>
      <w:r>
        <w:rPr>
          <w:rFonts w:ascii="宋体" w:hAnsi="宋体"/>
          <w:sz w:val="24"/>
        </w:rPr>
        <w:t>“书面形式”包括信函、传真、电报等。</w:t>
      </w:r>
    </w:p>
    <w:p>
      <w:pPr>
        <w:snapToGrid w:val="0"/>
        <w:spacing w:line="360" w:lineRule="auto"/>
        <w:ind w:firstLine="480" w:firstLineChars="200"/>
        <w:jc w:val="left"/>
        <w:rPr>
          <w:rFonts w:ascii="宋体" w:hAnsi="宋体"/>
          <w:sz w:val="24"/>
          <w:szCs w:val="20"/>
        </w:rPr>
      </w:pPr>
      <w:r>
        <w:rPr>
          <w:rFonts w:ascii="宋体" w:hAnsi="宋体"/>
          <w:sz w:val="24"/>
        </w:rPr>
        <w:t>7</w:t>
      </w:r>
      <w:r>
        <w:rPr>
          <w:rFonts w:hint="eastAsia" w:ascii="宋体" w:hAnsi="宋体"/>
          <w:sz w:val="24"/>
        </w:rPr>
        <w:t>.</w:t>
      </w:r>
      <w:r>
        <w:rPr>
          <w:rFonts w:ascii="宋体" w:hAnsi="宋体"/>
          <w:sz w:val="24"/>
        </w:rPr>
        <w:t>“▲”系指实质性要求条款。</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（三）招标方式</w:t>
      </w:r>
    </w:p>
    <w:p>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（四）投标委托</w:t>
      </w:r>
    </w:p>
    <w:p>
      <w:pPr>
        <w:pStyle w:val="16"/>
        <w:snapToGrid w:val="0"/>
        <w:spacing w:line="360" w:lineRule="auto"/>
        <w:ind w:firstLine="580" w:firstLineChars="250"/>
        <w:jc w:val="left"/>
        <w:rPr>
          <w:rFonts w:hAnsi="宋体"/>
          <w:sz w:val="24"/>
          <w:szCs w:val="24"/>
        </w:rPr>
      </w:pPr>
      <w:r>
        <w:rPr>
          <w:rFonts w:hAnsi="宋体"/>
          <w:sz w:val="24"/>
          <w:szCs w:val="24"/>
        </w:rPr>
        <w:t>投标人代表须携带</w:t>
      </w:r>
      <w:r>
        <w:rPr>
          <w:rFonts w:hint="eastAsia" w:hAnsi="宋体"/>
          <w:sz w:val="24"/>
          <w:szCs w:val="24"/>
        </w:rPr>
        <w:t>有效</w:t>
      </w:r>
      <w:r>
        <w:rPr>
          <w:rFonts w:hAnsi="宋体"/>
          <w:sz w:val="24"/>
          <w:szCs w:val="24"/>
        </w:rPr>
        <w:t>身份证</w:t>
      </w:r>
      <w:r>
        <w:rPr>
          <w:rFonts w:hint="eastAsia" w:hAnsi="宋体"/>
          <w:sz w:val="24"/>
          <w:szCs w:val="24"/>
        </w:rPr>
        <w:t>件</w:t>
      </w:r>
      <w:r>
        <w:rPr>
          <w:rFonts w:hAnsi="宋体"/>
          <w:sz w:val="24"/>
          <w:szCs w:val="24"/>
        </w:rPr>
        <w:t>。如投标人代表不是法定代表人，须有法定代表人出具的授权委托书</w:t>
      </w:r>
      <w:r>
        <w:rPr>
          <w:rFonts w:hint="eastAsia" w:hAnsi="宋体"/>
          <w:sz w:val="24"/>
          <w:szCs w:val="24"/>
        </w:rPr>
        <w:t>及近1个月的社保证明复印件加盖公章</w:t>
      </w:r>
      <w:r>
        <w:rPr>
          <w:rFonts w:hAnsi="宋体"/>
          <w:sz w:val="24"/>
          <w:szCs w:val="24"/>
        </w:rPr>
        <w:t>（格式见第四部分）。</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（五）投标费用</w:t>
      </w:r>
    </w:p>
    <w:p>
      <w:pPr>
        <w:snapToGrid w:val="0"/>
        <w:spacing w:line="360" w:lineRule="auto"/>
        <w:ind w:firstLine="600" w:firstLineChars="250"/>
        <w:jc w:val="left"/>
        <w:rPr>
          <w:rFonts w:ascii="宋体" w:hAnsi="宋体"/>
          <w:sz w:val="24"/>
        </w:rPr>
      </w:pPr>
      <w:r>
        <w:rPr>
          <w:rFonts w:hint="eastAsia" w:ascii="宋体" w:hAnsi="宋体"/>
          <w:sz w:val="24"/>
        </w:rPr>
        <w:t>1.不论投标结果如何，投标人均应自行承担所有与投标有关的全部费用（招标文件有相反规定除外）。</w:t>
      </w:r>
    </w:p>
    <w:p>
      <w:pPr>
        <w:snapToGrid w:val="0"/>
        <w:spacing w:line="360" w:lineRule="auto"/>
        <w:ind w:firstLine="600" w:firstLineChars="250"/>
        <w:jc w:val="left"/>
        <w:rPr>
          <w:rFonts w:ascii="宋体" w:hAnsi="宋体"/>
          <w:sz w:val="24"/>
        </w:rPr>
      </w:pPr>
      <w:r>
        <w:rPr>
          <w:rFonts w:hint="eastAsia" w:ascii="宋体" w:hAnsi="宋体"/>
          <w:sz w:val="24"/>
        </w:rPr>
        <w:t>2.本项目招标代理服务费：中标金额*1.1%*69.5%*</w:t>
      </w:r>
      <w:r>
        <w:rPr>
          <w:rFonts w:ascii="宋体" w:hAnsi="宋体"/>
          <w:sz w:val="24"/>
        </w:rPr>
        <w:t>49</w:t>
      </w:r>
      <w:r>
        <w:rPr>
          <w:rFonts w:hint="eastAsia" w:ascii="宋体" w:hAnsi="宋体"/>
          <w:sz w:val="24"/>
        </w:rPr>
        <w:t>%，最低收费4000元，由中标人全额支付。在</w:t>
      </w:r>
      <w:r>
        <w:rPr>
          <w:rFonts w:hint="eastAsia" w:ascii="宋体" w:hAnsi="宋体"/>
          <w:bCs/>
          <w:sz w:val="24"/>
        </w:rPr>
        <w:t>中标通知书发出后</w:t>
      </w:r>
      <w:r>
        <w:rPr>
          <w:rFonts w:hint="eastAsia" w:ascii="宋体" w:hAnsi="宋体"/>
          <w:sz w:val="24"/>
        </w:rPr>
        <w:t>当日内一次性结清。</w:t>
      </w:r>
    </w:p>
    <w:p>
      <w:pPr>
        <w:snapToGrid w:val="0"/>
        <w:spacing w:line="360" w:lineRule="auto"/>
        <w:ind w:firstLine="482" w:firstLineChars="200"/>
        <w:jc w:val="left"/>
        <w:rPr>
          <w:rFonts w:ascii="宋体" w:hAnsi="宋体"/>
          <w:b/>
          <w:sz w:val="24"/>
          <w:szCs w:val="20"/>
        </w:rPr>
      </w:pPr>
      <w:r>
        <w:rPr>
          <w:rFonts w:hint="eastAsia" w:ascii="宋体" w:hAnsi="宋体"/>
          <w:b/>
          <w:sz w:val="24"/>
        </w:rPr>
        <w:t>（六）联合体投标</w:t>
      </w:r>
    </w:p>
    <w:p>
      <w:pPr>
        <w:snapToGrid w:val="0"/>
        <w:spacing w:line="360" w:lineRule="auto"/>
        <w:ind w:firstLine="720" w:firstLineChars="300"/>
        <w:jc w:val="left"/>
        <w:rPr>
          <w:rFonts w:ascii="宋体" w:hAnsi="宋体" w:cs="Arial"/>
          <w:sz w:val="24"/>
        </w:rPr>
      </w:pPr>
      <w:r>
        <w:rPr>
          <w:rFonts w:hint="eastAsia" w:ascii="宋体" w:hAnsi="宋体" w:cs="Arial"/>
          <w:sz w:val="24"/>
        </w:rPr>
        <w:t>1.本项目接受联合体投标。</w:t>
      </w:r>
    </w:p>
    <w:p>
      <w:pPr>
        <w:snapToGrid w:val="0"/>
        <w:spacing w:line="360" w:lineRule="auto"/>
        <w:ind w:firstLine="720" w:firstLineChars="300"/>
        <w:jc w:val="left"/>
        <w:rPr>
          <w:rFonts w:ascii="宋体" w:hAnsi="宋体"/>
          <w:sz w:val="24"/>
        </w:rPr>
      </w:pPr>
      <w:r>
        <w:rPr>
          <w:rFonts w:hint="eastAsia" w:ascii="宋体" w:hAnsi="宋体"/>
          <w:sz w:val="24"/>
        </w:rPr>
        <w:t>2.由两个以上的投标人组成一个联合体以一个投标人身份共同投标时，应符合下列要求：</w:t>
      </w:r>
    </w:p>
    <w:p>
      <w:pPr>
        <w:snapToGrid w:val="0"/>
        <w:spacing w:line="360" w:lineRule="auto"/>
        <w:ind w:firstLine="470" w:firstLineChars="196"/>
        <w:rPr>
          <w:rFonts w:ascii="宋体" w:hAnsi="宋体"/>
          <w:sz w:val="24"/>
        </w:rPr>
      </w:pPr>
      <w:r>
        <w:rPr>
          <w:rFonts w:hint="eastAsia" w:ascii="宋体" w:hAnsi="宋体"/>
          <w:sz w:val="24"/>
        </w:rPr>
        <w:t>1）投标人的投标文件及中标后签署的合同对联合体各方均具有法律约束力；</w:t>
      </w:r>
    </w:p>
    <w:p>
      <w:pPr>
        <w:snapToGrid w:val="0"/>
        <w:spacing w:line="360" w:lineRule="auto"/>
        <w:ind w:firstLine="470" w:firstLineChars="196"/>
        <w:rPr>
          <w:rFonts w:ascii="宋体" w:hAnsi="宋体"/>
          <w:sz w:val="24"/>
        </w:rPr>
      </w:pPr>
      <w:r>
        <w:rPr>
          <w:rFonts w:hint="eastAsia" w:ascii="宋体" w:hAnsi="宋体"/>
          <w:sz w:val="24"/>
        </w:rPr>
        <w:t>2）联合体各方应签订共同投标协议，明确约定各方拟承担的工作和责任，并将该共同投标协议随投标文件一并提交采购人；</w:t>
      </w:r>
    </w:p>
    <w:p>
      <w:pPr>
        <w:snapToGrid w:val="0"/>
        <w:spacing w:line="360" w:lineRule="auto"/>
        <w:ind w:firstLine="470" w:firstLineChars="196"/>
        <w:rPr>
          <w:rFonts w:ascii="宋体" w:hAnsi="宋体"/>
          <w:sz w:val="24"/>
        </w:rPr>
      </w:pPr>
      <w:r>
        <w:rPr>
          <w:rFonts w:hint="eastAsia" w:ascii="宋体" w:hAnsi="宋体"/>
          <w:sz w:val="24"/>
        </w:rPr>
        <w:t>3）联合体中标后，联合体各方应当共同与采购人签订合同，为履行合同向采购人承担连带责任；</w:t>
      </w:r>
    </w:p>
    <w:p>
      <w:pPr>
        <w:snapToGrid w:val="0"/>
        <w:spacing w:line="360" w:lineRule="auto"/>
        <w:ind w:firstLine="470" w:firstLineChars="196"/>
        <w:rPr>
          <w:rFonts w:ascii="宋体" w:hAnsi="宋体"/>
          <w:sz w:val="24"/>
        </w:rPr>
      </w:pPr>
      <w:r>
        <w:rPr>
          <w:rFonts w:hint="eastAsia" w:ascii="宋体" w:hAnsi="宋体"/>
          <w:sz w:val="24"/>
        </w:rPr>
        <w:t>4）联合体的各方应共同推荐一名联合体主办人，由联合体各方各提交一份授权书，证明其主办人资格，该授权书作为投标文件的组成部分一并提交采购人；</w:t>
      </w:r>
    </w:p>
    <w:p>
      <w:pPr>
        <w:snapToGrid w:val="0"/>
        <w:spacing w:line="360" w:lineRule="auto"/>
        <w:ind w:firstLine="470" w:firstLineChars="196"/>
        <w:rPr>
          <w:rFonts w:ascii="宋体" w:hAnsi="宋体"/>
          <w:sz w:val="24"/>
        </w:rPr>
      </w:pPr>
      <w:r>
        <w:rPr>
          <w:rFonts w:hint="eastAsia" w:ascii="宋体" w:hAnsi="宋体"/>
          <w:sz w:val="24"/>
        </w:rPr>
        <w:t>5）除非另有规定或说明，本须知中“投标人”一词亦指联合体各方。</w:t>
      </w:r>
    </w:p>
    <w:p>
      <w:pPr>
        <w:snapToGrid w:val="0"/>
        <w:spacing w:line="360" w:lineRule="auto"/>
        <w:ind w:firstLine="472" w:firstLineChars="196"/>
        <w:rPr>
          <w:rFonts w:ascii="宋体" w:hAnsi="宋体" w:cs="宋体"/>
          <w:b/>
          <w:kern w:val="0"/>
          <w:sz w:val="24"/>
          <w:szCs w:val="20"/>
        </w:rPr>
      </w:pPr>
      <w:r>
        <w:rPr>
          <w:rFonts w:hint="eastAsia" w:ascii="宋体" w:hAnsi="宋体"/>
          <w:b/>
          <w:sz w:val="24"/>
        </w:rPr>
        <w:t>（七）</w:t>
      </w:r>
      <w:r>
        <w:rPr>
          <w:rFonts w:hint="eastAsia" w:ascii="宋体" w:hAnsi="宋体" w:cs="宋体"/>
          <w:b/>
          <w:kern w:val="0"/>
          <w:sz w:val="24"/>
        </w:rPr>
        <w:t>转包与分包</w:t>
      </w:r>
    </w:p>
    <w:p>
      <w:pPr>
        <w:snapToGrid w:val="0"/>
        <w:spacing w:line="360" w:lineRule="auto"/>
        <w:ind w:firstLine="480" w:firstLineChars="200"/>
        <w:rPr>
          <w:rFonts w:ascii="宋体" w:hAnsi="宋体" w:cs="宋体"/>
          <w:kern w:val="0"/>
          <w:sz w:val="24"/>
          <w:szCs w:val="20"/>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pPr>
        <w:snapToGrid w:val="0"/>
        <w:spacing w:line="360" w:lineRule="auto"/>
        <w:ind w:firstLine="480" w:firstLineChars="200"/>
        <w:rPr>
          <w:rFonts w:ascii="宋体" w:hAnsi="宋体"/>
          <w:sz w:val="24"/>
          <w:szCs w:val="20"/>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本项目可以分包</w:t>
      </w:r>
      <w:r>
        <w:rPr>
          <w:rFonts w:hint="eastAsia" w:ascii="宋体" w:hAnsi="宋体" w:cs="宋体"/>
          <w:kern w:val="0"/>
          <w:sz w:val="24"/>
        </w:rPr>
        <w:t>。</w:t>
      </w:r>
    </w:p>
    <w:p>
      <w:pPr>
        <w:snapToGrid w:val="0"/>
        <w:spacing w:line="360" w:lineRule="auto"/>
        <w:ind w:firstLine="472" w:firstLineChars="196"/>
        <w:jc w:val="left"/>
        <w:outlineLvl w:val="1"/>
        <w:rPr>
          <w:rFonts w:ascii="宋体" w:hAnsi="宋体"/>
          <w:b/>
          <w:sz w:val="24"/>
        </w:rPr>
      </w:pPr>
      <w:r>
        <w:rPr>
          <w:rFonts w:hint="eastAsia" w:ascii="宋体" w:hAnsi="宋体"/>
          <w:b/>
          <w:sz w:val="24"/>
        </w:rPr>
        <w:t>（八）特别说明：</w:t>
      </w:r>
    </w:p>
    <w:p>
      <w:pPr>
        <w:widowControl/>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pPr>
        <w:pStyle w:val="20"/>
        <w:snapToGrid w:val="0"/>
        <w:spacing w:beforeLines="0" w:afterLines="0" w:line="360" w:lineRule="auto"/>
        <w:ind w:left="2" w:leftChars="1" w:firstLine="480" w:firstLineChars="200"/>
        <w:rPr>
          <w:rFonts w:hAnsi="宋体"/>
        </w:rPr>
      </w:pPr>
      <w:r>
        <w:rPr>
          <w:rFonts w:hAnsi="宋体"/>
        </w:rPr>
        <w:t>▲</w:t>
      </w:r>
      <w:r>
        <w:rPr>
          <w:rFonts w:hint="eastAsia" w:hAnsi="宋体"/>
        </w:rPr>
        <w:t>2.</w:t>
      </w:r>
      <w:r>
        <w:rPr>
          <w:rFonts w:hAnsi="宋体"/>
        </w:rPr>
        <w:t>投标人投标所使用的资格、信誉、荣誉、业绩与企业认证必须为本法人所拥有。投标人投标所使用的采购项目实施人员必须为本法人员工（或必须为本法人或控股公司正式员工）。</w:t>
      </w:r>
    </w:p>
    <w:p>
      <w:pPr>
        <w:pStyle w:val="20"/>
        <w:snapToGrid w:val="0"/>
        <w:spacing w:beforeLines="0" w:afterLines="0" w:line="360" w:lineRule="auto"/>
        <w:ind w:left="2" w:leftChars="1" w:firstLine="480" w:firstLineChars="200"/>
        <w:rPr>
          <w:rFonts w:hAnsi="宋体"/>
        </w:rPr>
      </w:pPr>
      <w:r>
        <w:rPr>
          <w:rFonts w:hAnsi="宋体"/>
        </w:rPr>
        <w:t>▲</w:t>
      </w:r>
      <w:r>
        <w:rPr>
          <w:rFonts w:hint="eastAsia" w:hAnsi="宋体"/>
        </w:rPr>
        <w:t>3.</w:t>
      </w:r>
      <w:r>
        <w:rPr>
          <w:rFonts w:hAnsi="宋体"/>
        </w:rPr>
        <w:t>投标人应仔细阅读招标文件的所有内容，按照招标文件的要求提交投标文件，并对所提供的全部资料的真实性承担法律责任。</w:t>
      </w:r>
    </w:p>
    <w:p>
      <w:pPr>
        <w:pStyle w:val="20"/>
        <w:snapToGrid w:val="0"/>
        <w:spacing w:beforeLines="0" w:afterLines="0" w:line="360" w:lineRule="auto"/>
        <w:ind w:left="2" w:leftChars="1" w:firstLine="480" w:firstLineChars="200"/>
        <w:rPr>
          <w:rFonts w:hAnsi="宋体"/>
          <w:b/>
        </w:rPr>
      </w:pPr>
      <w:r>
        <w:rPr>
          <w:rFonts w:hAnsi="宋体"/>
        </w:rPr>
        <w:t>▲</w:t>
      </w:r>
      <w:r>
        <w:rPr>
          <w:rFonts w:hint="eastAsia" w:hAnsi="宋体"/>
        </w:rPr>
        <w:t>4.</w:t>
      </w:r>
      <w:r>
        <w:rPr>
          <w:rFonts w:hAnsi="宋体"/>
        </w:rPr>
        <w:t>投标人在投标活动中提供任何虚假材料,其投标无效，并报监管部门查处；中标后发现的,中标人须依照《中华人民共和国消费者权益保护法》第49条之规定双倍赔偿采购人</w:t>
      </w:r>
      <w:r>
        <w:rPr>
          <w:rFonts w:hint="eastAsia" w:hAnsi="宋体"/>
        </w:rPr>
        <w:t>，</w:t>
      </w:r>
      <w:r>
        <w:rPr>
          <w:rFonts w:hAnsi="宋体"/>
        </w:rPr>
        <w:t>且民事赔偿并不免除违法投标人的行政与刑事责任。</w:t>
      </w:r>
    </w:p>
    <w:p>
      <w:pPr>
        <w:pStyle w:val="20"/>
        <w:snapToGrid w:val="0"/>
        <w:spacing w:beforeLines="0" w:afterLines="0" w:line="360" w:lineRule="auto"/>
        <w:ind w:firstLine="472" w:firstLineChars="196"/>
        <w:outlineLvl w:val="1"/>
        <w:rPr>
          <w:rFonts w:hAnsi="宋体"/>
          <w:b/>
          <w:bCs/>
        </w:rPr>
      </w:pPr>
      <w:r>
        <w:rPr>
          <w:rFonts w:hAnsi="宋体"/>
          <w:b/>
          <w:bCs/>
        </w:rPr>
        <w:t>（九）质疑和投诉</w:t>
      </w:r>
    </w:p>
    <w:p>
      <w:pPr>
        <w:pStyle w:val="20"/>
        <w:snapToGrid w:val="0"/>
        <w:spacing w:beforeLines="0" w:afterLines="0" w:line="360" w:lineRule="auto"/>
        <w:ind w:left="2" w:leftChars="1" w:firstLine="480" w:firstLineChars="200"/>
        <w:rPr>
          <w:rFonts w:hAnsi="宋体"/>
        </w:rPr>
      </w:pPr>
      <w:r>
        <w:rPr>
          <w:rFonts w:hint="eastAsia" w:hAnsi="宋体"/>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rPr>
        <w:t>以书面形式向采购人、采购代理机构提出质疑</w:t>
      </w:r>
      <w:r>
        <w:rPr>
          <w:rFonts w:hint="eastAsia" w:hAnsi="宋体"/>
        </w:rPr>
        <w:t>，并电话联系代理公司，由代理公司书面回复“已知悉”，否则代理公司有权不予认可该质疑</w:t>
      </w:r>
      <w:r>
        <w:rPr>
          <w:rFonts w:hAnsi="宋体"/>
        </w:rPr>
        <w:t>。</w:t>
      </w:r>
    </w:p>
    <w:p>
      <w:pPr>
        <w:pStyle w:val="20"/>
        <w:snapToGrid w:val="0"/>
        <w:spacing w:beforeLines="0" w:afterLines="0" w:line="360" w:lineRule="auto"/>
        <w:ind w:left="2" w:leftChars="1" w:firstLine="480" w:firstLineChars="200"/>
        <w:rPr>
          <w:rFonts w:hAnsi="宋体"/>
        </w:rPr>
      </w:pPr>
      <w:r>
        <w:rPr>
          <w:rFonts w:hint="eastAsia" w:hAnsi="宋体"/>
        </w:rPr>
        <w:t>供应商在法定质疑期内一次性提出针对同一采购程序环节的质疑。</w:t>
      </w:r>
    </w:p>
    <w:p>
      <w:pPr>
        <w:pStyle w:val="20"/>
        <w:snapToGrid w:val="0"/>
        <w:spacing w:beforeLines="0" w:afterLines="0" w:line="360" w:lineRule="auto"/>
        <w:ind w:left="2" w:leftChars="1" w:firstLine="480" w:firstLineChars="200"/>
        <w:rPr>
          <w:rFonts w:hAnsi="宋体"/>
        </w:rPr>
      </w:pPr>
      <w:r>
        <w:rPr>
          <w:rFonts w:hint="eastAsia" w:hAnsi="宋体"/>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pPr>
        <w:pStyle w:val="20"/>
        <w:snapToGrid w:val="0"/>
        <w:spacing w:beforeLines="0" w:afterLines="0" w:line="360" w:lineRule="auto"/>
        <w:ind w:left="2" w:leftChars="1" w:firstLine="480" w:firstLineChars="200"/>
        <w:rPr>
          <w:rFonts w:hAnsi="宋体"/>
        </w:rPr>
      </w:pPr>
      <w:r>
        <w:rPr>
          <w:rFonts w:hint="eastAsia" w:hAnsi="宋体"/>
        </w:rPr>
        <w:t>2.供应商提出质疑应当提交质疑函和必要的证明材料。质疑函应当包括下列内容：</w:t>
      </w:r>
    </w:p>
    <w:p>
      <w:pPr>
        <w:pStyle w:val="20"/>
        <w:snapToGrid w:val="0"/>
        <w:spacing w:beforeLines="0" w:afterLines="0" w:line="360" w:lineRule="auto"/>
        <w:ind w:left="2" w:leftChars="1" w:firstLine="480" w:firstLineChars="200"/>
        <w:rPr>
          <w:rFonts w:hAnsi="宋体"/>
        </w:rPr>
      </w:pPr>
      <w:r>
        <w:rPr>
          <w:rFonts w:hint="eastAsia" w:hAnsi="宋体"/>
        </w:rPr>
        <w:t>1）供应商的姓名或者名称、地址、邮编、联系人及联系电话；</w:t>
      </w:r>
    </w:p>
    <w:p>
      <w:pPr>
        <w:pStyle w:val="20"/>
        <w:snapToGrid w:val="0"/>
        <w:spacing w:beforeLines="0" w:afterLines="0" w:line="360" w:lineRule="auto"/>
        <w:ind w:left="2" w:leftChars="1" w:firstLine="480" w:firstLineChars="200"/>
        <w:rPr>
          <w:rFonts w:hAnsi="宋体"/>
        </w:rPr>
      </w:pPr>
      <w:r>
        <w:rPr>
          <w:rFonts w:hint="eastAsia" w:hAnsi="宋体"/>
        </w:rPr>
        <w:t>2）质疑项目的名称、编号；</w:t>
      </w:r>
    </w:p>
    <w:p>
      <w:pPr>
        <w:pStyle w:val="20"/>
        <w:snapToGrid w:val="0"/>
        <w:spacing w:beforeLines="0" w:afterLines="0" w:line="360" w:lineRule="auto"/>
        <w:ind w:left="2" w:leftChars="1" w:firstLine="480" w:firstLineChars="200"/>
        <w:rPr>
          <w:rFonts w:hAnsi="宋体"/>
        </w:rPr>
      </w:pPr>
      <w:r>
        <w:rPr>
          <w:rFonts w:hint="eastAsia" w:hAnsi="宋体"/>
        </w:rPr>
        <w:t>3）具体、明确的质疑事项和与质疑事项相关的请求；</w:t>
      </w:r>
    </w:p>
    <w:p>
      <w:pPr>
        <w:pStyle w:val="20"/>
        <w:snapToGrid w:val="0"/>
        <w:spacing w:beforeLines="0" w:afterLines="0" w:line="360" w:lineRule="auto"/>
        <w:ind w:left="2" w:leftChars="1" w:firstLine="480" w:firstLineChars="200"/>
        <w:rPr>
          <w:rFonts w:hAnsi="宋体"/>
        </w:rPr>
      </w:pPr>
      <w:r>
        <w:rPr>
          <w:rFonts w:hint="eastAsia" w:hAnsi="宋体"/>
        </w:rPr>
        <w:t>4）事实依据；</w:t>
      </w:r>
    </w:p>
    <w:p>
      <w:pPr>
        <w:pStyle w:val="20"/>
        <w:snapToGrid w:val="0"/>
        <w:spacing w:beforeLines="0" w:afterLines="0" w:line="360" w:lineRule="auto"/>
        <w:ind w:left="2" w:leftChars="1" w:firstLine="480" w:firstLineChars="200"/>
        <w:rPr>
          <w:rFonts w:hAnsi="宋体"/>
        </w:rPr>
      </w:pPr>
      <w:r>
        <w:rPr>
          <w:rFonts w:hint="eastAsia" w:hAnsi="宋体"/>
        </w:rPr>
        <w:t>5）必要的法律依据；</w:t>
      </w:r>
    </w:p>
    <w:p>
      <w:pPr>
        <w:pStyle w:val="20"/>
        <w:snapToGrid w:val="0"/>
        <w:spacing w:beforeLines="0" w:afterLines="0" w:line="360" w:lineRule="auto"/>
        <w:ind w:left="2" w:leftChars="1" w:firstLine="480" w:firstLineChars="200"/>
        <w:rPr>
          <w:rFonts w:hAnsi="宋体"/>
        </w:rPr>
      </w:pPr>
      <w:r>
        <w:rPr>
          <w:rFonts w:hint="eastAsia" w:hAnsi="宋体"/>
        </w:rPr>
        <w:t>6）提出质疑的日期。</w:t>
      </w:r>
    </w:p>
    <w:p>
      <w:pPr>
        <w:pStyle w:val="20"/>
        <w:snapToGrid w:val="0"/>
        <w:spacing w:beforeLines="0" w:afterLines="0" w:line="360" w:lineRule="auto"/>
        <w:ind w:left="2" w:leftChars="1" w:firstLine="480" w:firstLineChars="200"/>
        <w:rPr>
          <w:rFonts w:hAnsi="宋体"/>
        </w:rPr>
      </w:pPr>
      <w:r>
        <w:rPr>
          <w:rFonts w:hint="eastAsia" w:hAnsi="宋体"/>
        </w:rPr>
        <w:t>3.投诉人提起投诉应当符合下列条件：</w:t>
      </w:r>
    </w:p>
    <w:p>
      <w:pPr>
        <w:pStyle w:val="20"/>
        <w:snapToGrid w:val="0"/>
        <w:spacing w:beforeLines="0" w:afterLines="0" w:line="360" w:lineRule="auto"/>
        <w:ind w:left="2" w:leftChars="1" w:firstLine="480" w:firstLineChars="200"/>
        <w:rPr>
          <w:rFonts w:hAnsi="宋体"/>
        </w:rPr>
      </w:pPr>
      <w:r>
        <w:rPr>
          <w:rFonts w:hint="eastAsia" w:hAnsi="宋体"/>
        </w:rPr>
        <w:t>1）提起投诉前已依法进行质疑；</w:t>
      </w:r>
    </w:p>
    <w:p>
      <w:pPr>
        <w:pStyle w:val="20"/>
        <w:snapToGrid w:val="0"/>
        <w:spacing w:beforeLines="0" w:afterLines="0" w:line="360" w:lineRule="auto"/>
        <w:ind w:left="2" w:leftChars="1" w:firstLine="480" w:firstLineChars="200"/>
        <w:rPr>
          <w:rFonts w:hAnsi="宋体"/>
        </w:rPr>
      </w:pPr>
      <w:r>
        <w:rPr>
          <w:rFonts w:hint="eastAsia" w:hAnsi="宋体"/>
        </w:rPr>
        <w:t>2）投诉书内容符合本办法的规定；</w:t>
      </w:r>
    </w:p>
    <w:p>
      <w:pPr>
        <w:pStyle w:val="20"/>
        <w:snapToGrid w:val="0"/>
        <w:spacing w:beforeLines="0" w:afterLines="0" w:line="360" w:lineRule="auto"/>
        <w:ind w:left="2" w:leftChars="1" w:firstLine="480" w:firstLineChars="200"/>
        <w:rPr>
          <w:rFonts w:hAnsi="宋体"/>
        </w:rPr>
      </w:pPr>
      <w:r>
        <w:rPr>
          <w:rFonts w:hint="eastAsia" w:hAnsi="宋体"/>
        </w:rPr>
        <w:t>3）在投诉有效期限内提起投诉；</w:t>
      </w:r>
    </w:p>
    <w:p>
      <w:pPr>
        <w:pStyle w:val="20"/>
        <w:snapToGrid w:val="0"/>
        <w:spacing w:beforeLines="0" w:afterLines="0" w:line="360" w:lineRule="auto"/>
        <w:ind w:left="2" w:leftChars="1" w:firstLine="480" w:firstLineChars="200"/>
        <w:rPr>
          <w:rFonts w:hAnsi="宋体"/>
        </w:rPr>
      </w:pPr>
      <w:r>
        <w:rPr>
          <w:rFonts w:hint="eastAsia" w:hAnsi="宋体"/>
        </w:rPr>
        <w:t>4）同一投诉事项未经财政部门投诉处理；</w:t>
      </w:r>
    </w:p>
    <w:p>
      <w:pPr>
        <w:pStyle w:val="20"/>
        <w:snapToGrid w:val="0"/>
        <w:spacing w:beforeLines="0" w:afterLines="0" w:line="360" w:lineRule="auto"/>
        <w:ind w:left="2" w:leftChars="1" w:firstLine="480" w:firstLineChars="200"/>
        <w:rPr>
          <w:rFonts w:hAnsi="宋体"/>
        </w:rPr>
      </w:pPr>
      <w:r>
        <w:rPr>
          <w:rFonts w:hint="eastAsia" w:hAnsi="宋体"/>
        </w:rPr>
        <w:t>5）财政部规定的其他条件。</w:t>
      </w:r>
    </w:p>
    <w:p>
      <w:pPr>
        <w:pStyle w:val="20"/>
        <w:snapToGrid w:val="0"/>
        <w:spacing w:beforeLines="0" w:afterLines="0" w:line="360" w:lineRule="auto"/>
        <w:ind w:left="2" w:leftChars="1" w:firstLine="480" w:firstLineChars="200"/>
        <w:rPr>
          <w:rFonts w:hAnsi="宋体"/>
        </w:rPr>
      </w:pPr>
      <w:r>
        <w:rPr>
          <w:rFonts w:hint="eastAsia" w:hAnsi="宋体"/>
        </w:rPr>
        <w:t>4.投诉人投诉时,应当提交投诉书和必要的证明材料，并按照被投诉采购人、采购代理机构和与投诉事项有关的供应商数量提供投诉书的副本。投诉书应当包括下列内容：</w:t>
      </w:r>
    </w:p>
    <w:p>
      <w:pPr>
        <w:pStyle w:val="20"/>
        <w:snapToGrid w:val="0"/>
        <w:spacing w:beforeLines="0" w:afterLines="0" w:line="360" w:lineRule="auto"/>
        <w:ind w:left="2" w:leftChars="1" w:firstLine="480" w:firstLineChars="200"/>
        <w:rPr>
          <w:rFonts w:hAnsi="宋体"/>
        </w:rPr>
      </w:pPr>
      <w:r>
        <w:rPr>
          <w:rFonts w:hint="eastAsia" w:hAnsi="宋体"/>
        </w:rPr>
        <w:t>1）投诉人和被投诉人的姓名或者名称、通讯地址、邮编、联系人及联系电话；</w:t>
      </w:r>
    </w:p>
    <w:p>
      <w:pPr>
        <w:pStyle w:val="20"/>
        <w:snapToGrid w:val="0"/>
        <w:spacing w:beforeLines="0" w:afterLines="0" w:line="360" w:lineRule="auto"/>
        <w:ind w:left="2" w:leftChars="1" w:firstLine="480" w:firstLineChars="200"/>
        <w:rPr>
          <w:rFonts w:hAnsi="宋体"/>
        </w:rPr>
      </w:pPr>
      <w:r>
        <w:rPr>
          <w:rFonts w:hint="eastAsia" w:hAnsi="宋体"/>
        </w:rPr>
        <w:t>2）质疑和质疑答复情况说明及相关证明材料；</w:t>
      </w:r>
    </w:p>
    <w:p>
      <w:pPr>
        <w:pStyle w:val="20"/>
        <w:snapToGrid w:val="0"/>
        <w:spacing w:beforeLines="0" w:afterLines="0" w:line="360" w:lineRule="auto"/>
        <w:ind w:left="2" w:leftChars="1" w:firstLine="480" w:firstLineChars="200"/>
        <w:rPr>
          <w:rFonts w:hAnsi="宋体"/>
        </w:rPr>
      </w:pPr>
      <w:r>
        <w:rPr>
          <w:rFonts w:hint="eastAsia" w:hAnsi="宋体"/>
        </w:rPr>
        <w:t>3）具体、明确的投诉事项和与投诉事项相关的投诉请求；</w:t>
      </w:r>
    </w:p>
    <w:p>
      <w:pPr>
        <w:pStyle w:val="20"/>
        <w:snapToGrid w:val="0"/>
        <w:spacing w:beforeLines="0" w:afterLines="0" w:line="360" w:lineRule="auto"/>
        <w:ind w:left="2" w:leftChars="1" w:firstLine="480" w:firstLineChars="200"/>
        <w:rPr>
          <w:rFonts w:hAnsi="宋体"/>
        </w:rPr>
      </w:pPr>
      <w:r>
        <w:rPr>
          <w:rFonts w:hint="eastAsia" w:hAnsi="宋体"/>
        </w:rPr>
        <w:t>4）事实依据；</w:t>
      </w:r>
    </w:p>
    <w:p>
      <w:pPr>
        <w:pStyle w:val="20"/>
        <w:snapToGrid w:val="0"/>
        <w:spacing w:beforeLines="0" w:afterLines="0" w:line="360" w:lineRule="auto"/>
        <w:ind w:left="2" w:leftChars="1" w:firstLine="480" w:firstLineChars="200"/>
        <w:rPr>
          <w:rFonts w:hAnsi="宋体"/>
        </w:rPr>
      </w:pPr>
      <w:r>
        <w:rPr>
          <w:rFonts w:hint="eastAsia" w:hAnsi="宋体"/>
        </w:rPr>
        <w:t>5）法律依据；</w:t>
      </w:r>
    </w:p>
    <w:p>
      <w:pPr>
        <w:pStyle w:val="20"/>
        <w:snapToGrid w:val="0"/>
        <w:spacing w:beforeLines="0" w:afterLines="0" w:line="360" w:lineRule="auto"/>
        <w:ind w:left="2" w:leftChars="1" w:firstLine="480" w:firstLineChars="200"/>
        <w:rPr>
          <w:rFonts w:hAnsi="宋体"/>
        </w:rPr>
      </w:pPr>
      <w:r>
        <w:rPr>
          <w:rFonts w:hint="eastAsia" w:hAnsi="宋体"/>
        </w:rPr>
        <w:t>6）提起投诉的日期。</w:t>
      </w:r>
    </w:p>
    <w:p>
      <w:pPr>
        <w:pStyle w:val="20"/>
        <w:snapToGrid w:val="0"/>
        <w:spacing w:beforeLines="0" w:afterLines="0" w:line="360" w:lineRule="auto"/>
        <w:ind w:left="2" w:leftChars="1" w:firstLine="480" w:firstLineChars="200"/>
        <w:rPr>
          <w:rFonts w:hAnsi="宋体"/>
        </w:rPr>
      </w:pPr>
      <w:r>
        <w:rPr>
          <w:rFonts w:hAnsi="宋体"/>
        </w:rPr>
        <w:t>质疑供应商对采购人、采购代理机构的答复不满意，或者采购人、采购代理机构未在规定时间内作出答复的，可以在答复期满后15个工作日内向本办法第六条规定的财政部门提起投诉。</w:t>
      </w:r>
    </w:p>
    <w:p>
      <w:pPr>
        <w:pStyle w:val="20"/>
        <w:snapToGrid w:val="0"/>
        <w:spacing w:beforeLines="0" w:afterLines="0" w:line="360" w:lineRule="auto"/>
        <w:ind w:left="2" w:leftChars="1" w:firstLine="480" w:firstLineChars="200"/>
        <w:rPr>
          <w:rFonts w:hAnsi="宋体"/>
        </w:rPr>
      </w:pPr>
      <w:r>
        <w:rPr>
          <w:rFonts w:hint="eastAsia" w:hAnsi="宋体"/>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pPr>
        <w:pStyle w:val="20"/>
        <w:snapToGrid w:val="0"/>
        <w:spacing w:beforeLines="0" w:afterLines="0" w:line="360" w:lineRule="auto"/>
        <w:ind w:left="2" w:leftChars="1" w:firstLine="480" w:firstLineChars="200"/>
        <w:rPr>
          <w:rFonts w:hAnsi="宋体"/>
        </w:rPr>
      </w:pPr>
      <w:r>
        <w:rPr>
          <w:rFonts w:hint="eastAsia" w:hAnsi="宋体"/>
        </w:rPr>
        <w:t>5.质疑函须采用财政部发布的政府采购供应商质疑函范本（参考样式可从</w:t>
      </w:r>
      <w:r>
        <w:rPr>
          <w:rFonts w:hAnsi="宋体"/>
        </w:rPr>
        <w:t>浙江政府采购网下载专区下载</w:t>
      </w:r>
      <w:r>
        <w:rPr>
          <w:rFonts w:hint="eastAsia" w:hAnsi="宋体"/>
        </w:rPr>
        <w:t>），否则采购代理机构有权要求质疑供应商改正后重新提出。</w:t>
      </w:r>
    </w:p>
    <w:p>
      <w:pPr>
        <w:pStyle w:val="20"/>
        <w:snapToGrid w:val="0"/>
        <w:spacing w:beforeLines="0" w:afterLines="0" w:line="360" w:lineRule="auto"/>
        <w:ind w:firstLine="551" w:firstLineChars="196"/>
        <w:outlineLvl w:val="0"/>
        <w:rPr>
          <w:rFonts w:hAnsi="宋体"/>
          <w:b/>
          <w:sz w:val="28"/>
          <w:szCs w:val="28"/>
        </w:rPr>
      </w:pPr>
      <w:r>
        <w:rPr>
          <w:rFonts w:hAnsi="宋体"/>
          <w:b/>
          <w:sz w:val="28"/>
          <w:szCs w:val="28"/>
        </w:rPr>
        <w:t>二  招标文件</w:t>
      </w:r>
    </w:p>
    <w:p>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（一）招标文件的构成。本招标文件由以下部份组成：</w:t>
      </w:r>
    </w:p>
    <w:p>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招标需求</w:t>
      </w:r>
    </w:p>
    <w:p>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投标人须知</w:t>
      </w:r>
    </w:p>
    <w:p>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评标办法及标准</w:t>
      </w:r>
    </w:p>
    <w:p>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合同主要条款</w:t>
      </w:r>
    </w:p>
    <w:p>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pPr>
        <w:snapToGrid w:val="0"/>
        <w:spacing w:line="360" w:lineRule="auto"/>
        <w:ind w:firstLine="480" w:firstLineChars="200"/>
        <w:jc w:val="left"/>
        <w:rPr>
          <w:rFonts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pPr>
        <w:snapToGrid w:val="0"/>
        <w:spacing w:line="360" w:lineRule="auto"/>
        <w:ind w:firstLine="472" w:firstLineChars="196"/>
        <w:jc w:val="left"/>
        <w:rPr>
          <w:rFonts w:ascii="宋体" w:hAnsi="宋体"/>
          <w:b/>
          <w:sz w:val="24"/>
          <w:szCs w:val="20"/>
        </w:rPr>
      </w:pPr>
      <w:r>
        <w:rPr>
          <w:rFonts w:hint="eastAsia" w:ascii="宋体" w:hAnsi="宋体"/>
          <w:b/>
          <w:sz w:val="24"/>
        </w:rPr>
        <w:t>（二）投标人的风险</w:t>
      </w:r>
    </w:p>
    <w:p>
      <w:pPr>
        <w:pStyle w:val="29"/>
        <w:spacing w:line="360" w:lineRule="auto"/>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pPr>
        <w:pStyle w:val="8"/>
        <w:widowControl w:val="0"/>
        <w:tabs>
          <w:tab w:val="clear" w:pos="454"/>
        </w:tabs>
        <w:snapToGrid w:val="0"/>
        <w:spacing w:afterLines="0" w:line="360" w:lineRule="auto"/>
        <w:ind w:left="0" w:firstLine="472" w:firstLineChars="196"/>
        <w:rPr>
          <w:rFonts w:ascii="宋体" w:hAnsi="宋体"/>
          <w:b/>
          <w:szCs w:val="24"/>
        </w:rPr>
      </w:pPr>
      <w:r>
        <w:rPr>
          <w:rFonts w:hint="eastAsia" w:ascii="宋体" w:hAnsi="宋体"/>
          <w:b/>
          <w:szCs w:val="24"/>
        </w:rPr>
        <w:t>（三）招标文件的澄清与修改</w:t>
      </w:r>
    </w:p>
    <w:p>
      <w:pPr>
        <w:pStyle w:val="20"/>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bCs/>
        </w:rPr>
        <w:t>投标人应认真阅读本招标文件，发现其中有误或有不合理要求的，投标人必须在</w:t>
      </w:r>
      <w:r>
        <w:rPr>
          <w:rFonts w:hint="eastAsia" w:hAnsi="宋体"/>
          <w:u w:val="single"/>
        </w:rPr>
        <w:t>2022年</w:t>
      </w:r>
      <w:r>
        <w:rPr>
          <w:rFonts w:hint="eastAsia" w:hAnsi="宋体"/>
          <w:u w:val="single"/>
          <w:lang w:val="en-US" w:eastAsia="zh-CN"/>
        </w:rPr>
        <w:t>8</w:t>
      </w:r>
      <w:r>
        <w:rPr>
          <w:rFonts w:hint="eastAsia" w:hAnsi="宋体" w:cs="宋体"/>
          <w:bCs/>
        </w:rPr>
        <w:t>月</w:t>
      </w:r>
      <w:r>
        <w:rPr>
          <w:rFonts w:hint="eastAsia" w:hAnsi="宋体" w:cs="宋体"/>
          <w:bCs/>
          <w:lang w:val="en-US" w:eastAsia="zh-CN"/>
        </w:rPr>
        <w:t>18</w:t>
      </w:r>
      <w:r>
        <w:rPr>
          <w:rFonts w:hint="eastAsia" w:hAnsi="宋体" w:cs="宋体"/>
          <w:bCs/>
        </w:rPr>
        <w:t>日</w:t>
      </w:r>
      <w:r>
        <w:rPr>
          <w:rFonts w:hint="eastAsia" w:hAnsi="宋体"/>
          <w:bCs/>
        </w:rPr>
        <w:t>17：00</w:t>
      </w:r>
      <w:r>
        <w:rPr>
          <w:rFonts w:hAnsi="宋体"/>
          <w:bCs/>
        </w:rPr>
        <w:t>前以书面形式要求招标采购单位澄清</w:t>
      </w:r>
      <w:r>
        <w:rPr>
          <w:rFonts w:hAnsi="宋体"/>
        </w:rPr>
        <w:t>。采购代理机构对已发出的招标文件进行必要澄清、答复、修改或补充的，应当在招标文件要求提交投标文件截止时间五日前，在财政部门指定的政府采购信息发布媒体上发布更正公告，并以书面形式通知所有招标文件收受人。</w:t>
      </w:r>
    </w:p>
    <w:p>
      <w:pPr>
        <w:pStyle w:val="20"/>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采购代理机构必须以书面形式答复投标人要求澄清的问题，并将不包含问题来源的答复书面通知所有购买招标文件的投标人；除书面答复以外的其他澄清方式及澄清内容均无效。</w:t>
      </w:r>
    </w:p>
    <w:p>
      <w:pPr>
        <w:pStyle w:val="20"/>
        <w:snapToGrid w:val="0"/>
        <w:spacing w:beforeLines="0" w:afterLines="0" w:line="360" w:lineRule="auto"/>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pPr>
        <w:pStyle w:val="20"/>
        <w:snapToGrid w:val="0"/>
        <w:spacing w:beforeLines="0" w:afterLines="0" w:line="360" w:lineRule="auto"/>
        <w:ind w:firstLine="480" w:firstLineChars="200"/>
        <w:rPr>
          <w:rFonts w:hAnsi="宋体"/>
        </w:rPr>
      </w:pPr>
      <w:r>
        <w:rPr>
          <w:rFonts w:hint="eastAsia" w:hAnsi="宋体"/>
        </w:rPr>
        <w:t>4.</w:t>
      </w:r>
      <w:r>
        <w:rPr>
          <w:rFonts w:hAnsi="宋体"/>
        </w:rPr>
        <w:t>招标文件的澄清、答复、修改或补充都应该通过本代理机构以法定形式发布，采购人非通过本机构，不得擅自澄清、答复、修改或补充招标文件。</w:t>
      </w:r>
    </w:p>
    <w:p>
      <w:pPr>
        <w:pStyle w:val="20"/>
        <w:snapToGrid w:val="0"/>
        <w:spacing w:beforeLines="0" w:afterLines="0" w:line="360" w:lineRule="auto"/>
        <w:ind w:firstLine="551" w:firstLineChars="196"/>
        <w:outlineLvl w:val="1"/>
        <w:rPr>
          <w:rFonts w:hAnsi="宋体"/>
          <w:b/>
          <w:sz w:val="28"/>
          <w:szCs w:val="28"/>
        </w:rPr>
      </w:pPr>
      <w:r>
        <w:rPr>
          <w:rFonts w:hAnsi="宋体"/>
          <w:b/>
          <w:sz w:val="28"/>
          <w:szCs w:val="28"/>
        </w:rPr>
        <w:t>三、投标文件的编制</w:t>
      </w:r>
    </w:p>
    <w:p>
      <w:pPr>
        <w:snapToGrid w:val="0"/>
        <w:spacing w:line="360" w:lineRule="auto"/>
        <w:ind w:firstLine="472" w:firstLineChars="196"/>
        <w:jc w:val="left"/>
        <w:outlineLvl w:val="0"/>
        <w:rPr>
          <w:rFonts w:ascii="宋体" w:hAnsi="宋体"/>
          <w:b/>
          <w:sz w:val="24"/>
        </w:rPr>
      </w:pPr>
      <w:r>
        <w:rPr>
          <w:rFonts w:hint="eastAsia" w:ascii="宋体" w:hAnsi="宋体"/>
          <w:b/>
          <w:sz w:val="24"/>
        </w:rPr>
        <w:t>（一）投标文件的组成</w:t>
      </w:r>
    </w:p>
    <w:p>
      <w:pPr>
        <w:snapToGrid w:val="0"/>
        <w:spacing w:line="360" w:lineRule="auto"/>
        <w:ind w:firstLine="480" w:firstLineChars="200"/>
        <w:jc w:val="left"/>
        <w:outlineLvl w:val="0"/>
        <w:rPr>
          <w:rFonts w:ascii="宋体" w:hAnsi="宋体"/>
          <w:sz w:val="24"/>
        </w:rPr>
      </w:pPr>
      <w:r>
        <w:rPr>
          <w:rFonts w:hint="eastAsia" w:ascii="宋体" w:hAnsi="宋体"/>
          <w:sz w:val="24"/>
        </w:rPr>
        <w:t>投标文件由</w:t>
      </w:r>
      <w:r>
        <w:rPr>
          <w:rFonts w:hint="eastAsia" w:ascii="宋体" w:hAnsi="宋体" w:cs="宋体"/>
          <w:sz w:val="22"/>
          <w:szCs w:val="22"/>
        </w:rPr>
        <w:t>《</w:t>
      </w:r>
      <w:r>
        <w:rPr>
          <w:rFonts w:hint="eastAsia" w:ascii="宋体" w:hAnsi="宋体"/>
          <w:sz w:val="24"/>
        </w:rPr>
        <w:t>资格文件</w:t>
      </w:r>
      <w:r>
        <w:rPr>
          <w:rFonts w:hint="eastAsia" w:ascii="宋体" w:hAnsi="宋体" w:cs="宋体"/>
          <w:sz w:val="22"/>
          <w:szCs w:val="22"/>
        </w:rPr>
        <w:t>》</w:t>
      </w:r>
      <w:r>
        <w:rPr>
          <w:rFonts w:hint="eastAsia" w:ascii="宋体" w:hAnsi="宋体"/>
          <w:sz w:val="24"/>
        </w:rPr>
        <w:t>、</w:t>
      </w:r>
      <w:r>
        <w:rPr>
          <w:rFonts w:hint="eastAsia" w:ascii="宋体" w:hAnsi="宋体" w:cs="宋体"/>
          <w:sz w:val="22"/>
          <w:szCs w:val="22"/>
        </w:rPr>
        <w:t>《</w:t>
      </w:r>
      <w:r>
        <w:rPr>
          <w:rFonts w:hint="eastAsia" w:ascii="宋体" w:hAnsi="宋体"/>
          <w:sz w:val="24"/>
        </w:rPr>
        <w:t>技术/资信/商务文件</w:t>
      </w:r>
      <w:r>
        <w:rPr>
          <w:rFonts w:hint="eastAsia" w:ascii="宋体" w:hAnsi="宋体" w:cs="宋体"/>
          <w:sz w:val="22"/>
          <w:szCs w:val="22"/>
        </w:rPr>
        <w:t>》</w:t>
      </w:r>
      <w:r>
        <w:rPr>
          <w:rFonts w:hint="eastAsia" w:ascii="宋体" w:hAnsi="宋体"/>
          <w:sz w:val="24"/>
        </w:rPr>
        <w:t>、</w:t>
      </w:r>
      <w:r>
        <w:rPr>
          <w:rFonts w:hint="eastAsia" w:ascii="宋体" w:hAnsi="宋体" w:cs="宋体"/>
          <w:sz w:val="22"/>
          <w:szCs w:val="22"/>
        </w:rPr>
        <w:t>《</w:t>
      </w:r>
      <w:r>
        <w:rPr>
          <w:rFonts w:hint="eastAsia" w:ascii="宋体" w:hAnsi="宋体"/>
          <w:sz w:val="24"/>
        </w:rPr>
        <w:t>投标报价</w:t>
      </w:r>
      <w:r>
        <w:rPr>
          <w:rFonts w:hint="eastAsia" w:ascii="宋体" w:hAnsi="宋体" w:cs="宋体"/>
          <w:sz w:val="22"/>
          <w:szCs w:val="22"/>
        </w:rPr>
        <w:t>》</w:t>
      </w:r>
      <w:r>
        <w:rPr>
          <w:rFonts w:hint="eastAsia" w:ascii="宋体" w:hAnsi="宋体"/>
          <w:sz w:val="24"/>
        </w:rPr>
        <w:t>文件三部分组成。（电子投标文件中所盖公章均采用CA签章）。</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1.资格文件(</w:t>
      </w:r>
      <w:r>
        <w:rPr>
          <w:rFonts w:hint="eastAsia" w:ascii="宋体" w:hAnsi="宋体"/>
          <w:b/>
          <w:sz w:val="24"/>
        </w:rPr>
        <w:t>如</w:t>
      </w:r>
      <w:r>
        <w:rPr>
          <w:rFonts w:ascii="宋体" w:hAnsi="宋体"/>
          <w:b/>
          <w:sz w:val="24"/>
        </w:rPr>
        <w:t>组成联合体</w:t>
      </w:r>
      <w:r>
        <w:rPr>
          <w:rFonts w:hint="eastAsia" w:ascii="宋体" w:hAnsi="宋体"/>
          <w:b/>
          <w:sz w:val="24"/>
        </w:rPr>
        <w:t>投标</w:t>
      </w:r>
      <w:r>
        <w:rPr>
          <w:rFonts w:ascii="宋体" w:hAnsi="宋体"/>
          <w:b/>
          <w:sz w:val="24"/>
        </w:rPr>
        <w:t>的，</w:t>
      </w:r>
      <w:r>
        <w:rPr>
          <w:rFonts w:hint="eastAsia" w:ascii="宋体" w:hAnsi="宋体"/>
          <w:b/>
          <w:sz w:val="24"/>
        </w:rPr>
        <w:t>需提供</w:t>
      </w:r>
      <w:r>
        <w:rPr>
          <w:rFonts w:ascii="宋体" w:hAnsi="宋体"/>
          <w:b/>
          <w:sz w:val="24"/>
        </w:rPr>
        <w:t>联合体各方</w:t>
      </w:r>
      <w:r>
        <w:rPr>
          <w:rFonts w:hint="eastAsia" w:ascii="宋体" w:hAnsi="宋体"/>
          <w:b/>
          <w:sz w:val="24"/>
        </w:rPr>
        <w:t>资料)</w:t>
      </w:r>
    </w:p>
    <w:p>
      <w:pPr>
        <w:spacing w:line="360" w:lineRule="auto"/>
        <w:ind w:firstLine="470" w:firstLineChars="196"/>
        <w:jc w:val="left"/>
        <w:rPr>
          <w:rFonts w:ascii="宋体" w:hAnsi="宋体"/>
          <w:sz w:val="24"/>
        </w:rPr>
      </w:pPr>
      <w:r>
        <w:rPr>
          <w:rFonts w:hint="eastAsia" w:ascii="宋体" w:hAnsi="宋体"/>
          <w:sz w:val="24"/>
        </w:rPr>
        <w:t>（1）投标声明书</w:t>
      </w:r>
      <w:r>
        <w:rPr>
          <w:rFonts w:ascii="宋体" w:hAnsi="宋体"/>
          <w:sz w:val="24"/>
        </w:rPr>
        <w:t>(格式见附件)；</w:t>
      </w:r>
    </w:p>
    <w:p>
      <w:pPr>
        <w:spacing w:line="360" w:lineRule="auto"/>
        <w:ind w:firstLine="470" w:firstLineChars="196"/>
        <w:jc w:val="left"/>
        <w:rPr>
          <w:rFonts w:ascii="宋体" w:hAnsi="宋体"/>
          <w:sz w:val="24"/>
        </w:rPr>
      </w:pPr>
      <w:r>
        <w:rPr>
          <w:rFonts w:hint="eastAsia" w:ascii="宋体" w:hAnsi="宋体"/>
          <w:sz w:val="24"/>
        </w:rPr>
        <w:t>（2）投标人基本情况介绍；</w:t>
      </w:r>
    </w:p>
    <w:p>
      <w:pPr>
        <w:spacing w:line="360" w:lineRule="auto"/>
        <w:ind w:firstLine="470" w:firstLineChars="196"/>
        <w:jc w:val="left"/>
      </w:pPr>
      <w:r>
        <w:rPr>
          <w:rFonts w:hint="eastAsia" w:ascii="宋体" w:hAnsi="宋体"/>
          <w:sz w:val="24"/>
        </w:rPr>
        <w:t>（3）</w:t>
      </w:r>
      <w:r>
        <w:rPr>
          <w:rFonts w:ascii="宋体" w:hAnsi="宋体"/>
          <w:sz w:val="24"/>
        </w:rPr>
        <w:t>法定代表人授权委托书(格式见附件)及授权代理人社保证明复印件（社保机构出具的由本单位或分公司为其缴纳的</w:t>
      </w:r>
      <w:r>
        <w:rPr>
          <w:rFonts w:hint="eastAsia" w:ascii="宋体" w:hAnsi="宋体" w:cs="宋体"/>
          <w:kern w:val="0"/>
          <w:sz w:val="24"/>
        </w:rPr>
        <w:t>最近一个月</w:t>
      </w:r>
      <w:r>
        <w:rPr>
          <w:rFonts w:ascii="宋体" w:hAnsi="宋体"/>
          <w:sz w:val="24"/>
        </w:rPr>
        <w:t>的社保证明）</w:t>
      </w:r>
      <w:r>
        <w:rPr>
          <w:rFonts w:hint="eastAsia" w:ascii="宋体" w:hAnsi="宋体"/>
          <w:sz w:val="24"/>
        </w:rPr>
        <w:t>（如</w:t>
      </w:r>
      <w:r>
        <w:rPr>
          <w:rFonts w:ascii="Calibri" w:hAnsi="Calibri"/>
          <w:snapToGrid w:val="0"/>
          <w:sz w:val="24"/>
        </w:rPr>
        <w:t>组成联合体</w:t>
      </w:r>
      <w:r>
        <w:rPr>
          <w:rFonts w:hint="eastAsia"/>
          <w:snapToGrid w:val="0"/>
          <w:sz w:val="24"/>
        </w:rPr>
        <w:t>投标</w:t>
      </w:r>
      <w:r>
        <w:rPr>
          <w:rFonts w:ascii="Calibri" w:hAnsi="Calibri"/>
          <w:snapToGrid w:val="0"/>
          <w:sz w:val="24"/>
        </w:rPr>
        <w:t>的，</w:t>
      </w:r>
      <w:r>
        <w:rPr>
          <w:rFonts w:hint="eastAsia" w:ascii="宋体" w:hAnsi="宋体"/>
          <w:sz w:val="24"/>
        </w:rPr>
        <w:t>联合体各方各提交一份联合体主办人授权书）；</w:t>
      </w:r>
    </w:p>
    <w:p>
      <w:pPr>
        <w:snapToGrid w:val="0"/>
        <w:spacing w:line="360" w:lineRule="auto"/>
        <w:ind w:firstLine="480" w:firstLineChars="200"/>
        <w:jc w:val="left"/>
        <w:rPr>
          <w:rFonts w:ascii="宋体" w:hAnsi="宋体"/>
          <w:sz w:val="24"/>
        </w:rPr>
      </w:pPr>
      <w:r>
        <w:rPr>
          <w:rFonts w:hint="eastAsia" w:ascii="宋体" w:hAnsi="宋体"/>
          <w:sz w:val="24"/>
        </w:rPr>
        <w:t>（4）近三个月依法缴纳税收和社保费的证明【税费凭证，或者依法缴纳税费或依法免缴税费的证明】（</w:t>
      </w:r>
      <w:r>
        <w:rPr>
          <w:rFonts w:hint="eastAsia" w:ascii="宋体" w:hAnsi="宋体"/>
          <w:bCs/>
          <w:sz w:val="24"/>
        </w:rPr>
        <w:t>复印件各一份</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（5）有效的营业执照副本（复印件各一份）；</w:t>
      </w:r>
    </w:p>
    <w:p>
      <w:pPr>
        <w:widowControl/>
        <w:spacing w:line="360" w:lineRule="auto"/>
        <w:ind w:right="60" w:firstLine="480" w:firstLineChars="200"/>
        <w:rPr>
          <w:rFonts w:ascii="宋体" w:hAnsi="宋体" w:cs="宋体"/>
          <w:sz w:val="24"/>
        </w:rPr>
      </w:pPr>
      <w:r>
        <w:rPr>
          <w:rFonts w:hint="eastAsia" w:ascii="宋体" w:hAnsi="宋体" w:cs="宋体"/>
          <w:sz w:val="24"/>
        </w:rPr>
        <w:t>（6）近三个月企业的财务状况报告或银行资信证明（复印件一份）；</w:t>
      </w:r>
    </w:p>
    <w:p>
      <w:pPr>
        <w:spacing w:line="360" w:lineRule="auto"/>
        <w:ind w:firstLine="470" w:firstLineChars="196"/>
        <w:jc w:val="left"/>
        <w:rPr>
          <w:rFonts w:ascii="宋体" w:hAnsi="宋体"/>
          <w:sz w:val="24"/>
        </w:rPr>
      </w:pPr>
      <w:r>
        <w:rPr>
          <w:rFonts w:hint="eastAsia" w:ascii="宋体" w:hAnsi="宋体" w:cs="Arial"/>
          <w:kern w:val="0"/>
          <w:sz w:val="24"/>
        </w:rPr>
        <w:t>（7）</w:t>
      </w:r>
      <w:r>
        <w:rPr>
          <w:rFonts w:hint="eastAsia" w:ascii="宋体" w:hAnsi="宋体"/>
          <w:sz w:val="24"/>
        </w:rPr>
        <w:t>提供自招标公告发布之日起至投标截止日内任意时间的“信用中国”网站（www.creditchina.gov.cn）、中国政府采购网（www.ccgp.gov.cn）投标人信用查询网页截图（以开标当日采购人或由采购代理机构核实的查询结果为准）。</w:t>
      </w:r>
    </w:p>
    <w:p>
      <w:pPr>
        <w:spacing w:line="360" w:lineRule="auto"/>
        <w:ind w:firstLine="470" w:firstLineChars="196"/>
        <w:jc w:val="left"/>
        <w:rPr>
          <w:rFonts w:ascii="宋体" w:hAnsi="宋体"/>
          <w:sz w:val="24"/>
        </w:rPr>
      </w:pPr>
      <w:r>
        <w:rPr>
          <w:rFonts w:hint="eastAsia" w:ascii="宋体" w:hAnsi="宋体" w:cs="Arial"/>
          <w:kern w:val="0"/>
          <w:sz w:val="24"/>
        </w:rPr>
        <w:t>（8）</w:t>
      </w:r>
      <w:r>
        <w:rPr>
          <w:rFonts w:hint="eastAsia" w:ascii="宋体" w:hAnsi="宋体"/>
          <w:sz w:val="24"/>
        </w:rPr>
        <w:t>《中小企业声明函》（格式见附件），残疾人福利性单位需提供《残疾人福利性单位声明函》，监狱企业需提供省级以</w:t>
      </w:r>
      <w:r>
        <w:rPr>
          <w:rFonts w:hint="eastAsia" w:ascii="宋体" w:hAnsi="宋体" w:cs="宋体"/>
          <w:sz w:val="24"/>
        </w:rPr>
        <w:t>上监狱管理局、戒毒管理局（含新疆生产建设兵团）出具的属于监狱企业的证明文件</w:t>
      </w:r>
      <w:r>
        <w:rPr>
          <w:rFonts w:hint="eastAsia" w:ascii="宋体" w:hAnsi="宋体"/>
          <w:sz w:val="24"/>
        </w:rPr>
        <w:t>。</w:t>
      </w:r>
    </w:p>
    <w:p>
      <w:pPr>
        <w:spacing w:line="360" w:lineRule="auto"/>
        <w:ind w:firstLine="470" w:firstLineChars="196"/>
        <w:jc w:val="left"/>
        <w:rPr>
          <w:rFonts w:ascii="宋体" w:hAnsi="宋体"/>
          <w:sz w:val="24"/>
        </w:rPr>
      </w:pPr>
      <w:r>
        <w:rPr>
          <w:rFonts w:hint="eastAsia" w:ascii="宋体" w:hAnsi="宋体"/>
          <w:sz w:val="24"/>
        </w:rPr>
        <w:t>（9）联合体各方共同投标协议（如有，格式自拟）</w:t>
      </w:r>
    </w:p>
    <w:p>
      <w:pPr>
        <w:spacing w:line="360" w:lineRule="auto"/>
        <w:ind w:firstLine="472" w:firstLineChars="196"/>
        <w:jc w:val="left"/>
        <w:rPr>
          <w:rFonts w:ascii="宋体" w:hAnsi="宋体"/>
          <w:b/>
          <w:bCs/>
          <w:sz w:val="24"/>
        </w:rPr>
      </w:pPr>
      <w:r>
        <w:rPr>
          <w:rFonts w:hint="eastAsia" w:ascii="宋体" w:hAnsi="宋体"/>
          <w:b/>
          <w:sz w:val="24"/>
        </w:rPr>
        <w:t>2.</w:t>
      </w:r>
      <w:r>
        <w:rPr>
          <w:rFonts w:ascii="宋体" w:hAnsi="宋体"/>
          <w:b/>
          <w:bCs/>
          <w:sz w:val="24"/>
        </w:rPr>
        <w:t xml:space="preserve"> 技术文件</w:t>
      </w:r>
    </w:p>
    <w:p>
      <w:pPr>
        <w:snapToGri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确保供应货物质量的设施及措施；</w:t>
      </w:r>
    </w:p>
    <w:p>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2）</w:t>
      </w:r>
      <w:r>
        <w:rPr>
          <w:rFonts w:hint="eastAsia" w:ascii="宋体" w:hAnsi="宋体"/>
          <w:sz w:val="24"/>
        </w:rPr>
        <w:t>保证交货期的施工组织方案和措施</w:t>
      </w:r>
      <w:r>
        <w:rPr>
          <w:rFonts w:hint="eastAsia" w:ascii="宋体" w:hAnsi="宋体" w:cs="宋体"/>
          <w:kern w:val="0"/>
          <w:sz w:val="24"/>
        </w:rPr>
        <w:t>；</w:t>
      </w:r>
    </w:p>
    <w:p>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安装、调试、验收的方案和措施</w:t>
      </w:r>
      <w:r>
        <w:rPr>
          <w:rFonts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设备配置清单</w:t>
      </w:r>
      <w:r>
        <w:rPr>
          <w:rFonts w:ascii="宋体" w:hAnsi="宋体"/>
          <w:sz w:val="24"/>
        </w:rPr>
        <w:t>；</w:t>
      </w:r>
    </w:p>
    <w:p>
      <w:pPr>
        <w:snapToGrid w:val="0"/>
        <w:spacing w:line="360" w:lineRule="auto"/>
        <w:ind w:firstLine="480" w:firstLineChars="200"/>
        <w:jc w:val="left"/>
        <w:rPr>
          <w:rFonts w:ascii="宋体" w:hAnsi="宋体"/>
          <w:sz w:val="24"/>
          <w:szCs w:val="20"/>
        </w:rPr>
      </w:pPr>
      <w:r>
        <w:rPr>
          <w:rFonts w:hint="eastAsia" w:ascii="宋体" w:hAnsi="宋体"/>
          <w:sz w:val="24"/>
        </w:rPr>
        <w:t>（5</w:t>
      </w:r>
      <w:r>
        <w:rPr>
          <w:rFonts w:ascii="宋体" w:hAnsi="宋体"/>
          <w:sz w:val="24"/>
        </w:rPr>
        <w:t>）技术响应表；</w:t>
      </w:r>
    </w:p>
    <w:p>
      <w:pPr>
        <w:snapToGrid w:val="0"/>
        <w:spacing w:line="360" w:lineRule="auto"/>
        <w:ind w:firstLine="480" w:firstLineChars="200"/>
        <w:jc w:val="left"/>
        <w:rPr>
          <w:rFonts w:ascii="宋体" w:hAnsi="宋体"/>
          <w:sz w:val="24"/>
        </w:rPr>
      </w:pPr>
      <w:r>
        <w:rPr>
          <w:rFonts w:hint="eastAsia" w:ascii="宋体" w:hAnsi="宋体"/>
          <w:sz w:val="24"/>
        </w:rPr>
        <w:t>（6</w:t>
      </w:r>
      <w:r>
        <w:rPr>
          <w:rFonts w:ascii="宋体" w:hAnsi="宋体"/>
          <w:sz w:val="24"/>
        </w:rPr>
        <w:t>）项目实施人员一览表</w:t>
      </w:r>
      <w:r>
        <w:rPr>
          <w:rFonts w:hint="eastAsia"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（7）</w:t>
      </w:r>
      <w:r>
        <w:rPr>
          <w:rFonts w:ascii="宋体" w:hAnsi="宋体"/>
          <w:sz w:val="24"/>
        </w:rPr>
        <w:t>投标人对本项目的合理化建议和改进措施</w:t>
      </w:r>
      <w:r>
        <w:rPr>
          <w:rFonts w:hint="eastAsia"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（8）</w:t>
      </w:r>
      <w:r>
        <w:rPr>
          <w:rFonts w:ascii="宋体" w:hAnsi="宋体"/>
          <w:sz w:val="24"/>
        </w:rPr>
        <w:t>投标人需要说明的其他文件和说明（格式略）</w:t>
      </w:r>
      <w:r>
        <w:rPr>
          <w:rFonts w:hint="eastAsia" w:ascii="宋体" w:hAnsi="宋体"/>
          <w:sz w:val="24"/>
        </w:rPr>
        <w:t>；</w:t>
      </w:r>
    </w:p>
    <w:p>
      <w:pPr>
        <w:spacing w:line="360" w:lineRule="auto"/>
        <w:ind w:firstLine="472" w:firstLineChars="196"/>
        <w:jc w:val="left"/>
        <w:rPr>
          <w:rFonts w:ascii="宋体" w:hAnsi="宋体"/>
          <w:b/>
          <w:sz w:val="24"/>
        </w:rPr>
      </w:pPr>
      <w:r>
        <w:rPr>
          <w:rFonts w:ascii="宋体" w:hAnsi="宋体"/>
          <w:b/>
          <w:sz w:val="24"/>
        </w:rPr>
        <w:t>资信文件：</w:t>
      </w:r>
    </w:p>
    <w:p>
      <w:pPr>
        <w:snapToGrid w:val="0"/>
        <w:spacing w:line="360" w:lineRule="auto"/>
        <w:ind w:firstLine="480" w:firstLineChars="200"/>
        <w:jc w:val="left"/>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类似案例成功的业绩（投标人同类项目实施情况一览表、合同复印件）；</w:t>
      </w:r>
    </w:p>
    <w:p>
      <w:pPr>
        <w:snapToGrid w:val="0"/>
        <w:spacing w:line="360" w:lineRule="auto"/>
        <w:ind w:firstLine="480" w:firstLineChars="200"/>
        <w:jc w:val="left"/>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其他特殊资质证书</w:t>
      </w:r>
      <w:r>
        <w:rPr>
          <w:rFonts w:ascii="宋体" w:hAnsi="宋体"/>
          <w:sz w:val="24"/>
        </w:rPr>
        <w:t>（如</w:t>
      </w:r>
      <w:r>
        <w:rPr>
          <w:rFonts w:hint="eastAsia" w:ascii="宋体" w:hAnsi="宋体"/>
          <w:sz w:val="24"/>
        </w:rPr>
        <w:t>本地化服务能力等）；</w:t>
      </w:r>
    </w:p>
    <w:p>
      <w:pPr>
        <w:snapToGrid w:val="0"/>
        <w:spacing w:line="360" w:lineRule="auto"/>
        <w:ind w:firstLine="480" w:firstLineChars="200"/>
        <w:jc w:val="left"/>
        <w:rPr>
          <w:rFonts w:ascii="宋体" w:hAnsi="宋体"/>
          <w:sz w:val="24"/>
        </w:rPr>
      </w:pPr>
      <w:r>
        <w:rPr>
          <w:rFonts w:hint="eastAsia" w:ascii="宋体" w:hAnsi="宋体"/>
          <w:sz w:val="24"/>
        </w:rPr>
        <w:t>（14</w:t>
      </w:r>
      <w:r>
        <w:rPr>
          <w:rFonts w:ascii="宋体" w:hAnsi="宋体"/>
          <w:sz w:val="24"/>
        </w:rPr>
        <w:t>）权威认证证书</w:t>
      </w:r>
      <w:r>
        <w:rPr>
          <w:rFonts w:hint="eastAsia"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（14</w:t>
      </w:r>
      <w:r>
        <w:rPr>
          <w:rFonts w:ascii="宋体" w:hAnsi="宋体"/>
          <w:sz w:val="24"/>
        </w:rPr>
        <w:t>）</w:t>
      </w:r>
      <w:r>
        <w:rPr>
          <w:rFonts w:hint="eastAsia" w:ascii="宋体" w:hAnsi="宋体"/>
          <w:sz w:val="24"/>
        </w:rPr>
        <w:t>政策分相关证明材料；</w:t>
      </w:r>
    </w:p>
    <w:p>
      <w:pPr>
        <w:snapToGrid w:val="0"/>
        <w:spacing w:line="360" w:lineRule="auto"/>
        <w:ind w:firstLine="480" w:firstLineChars="200"/>
        <w:jc w:val="left"/>
        <w:rPr>
          <w:rFonts w:ascii="宋体" w:hAnsi="宋体"/>
          <w:sz w:val="24"/>
        </w:rPr>
      </w:pPr>
      <w:r>
        <w:rPr>
          <w:rFonts w:hint="eastAsia" w:ascii="宋体" w:hAnsi="宋体"/>
          <w:sz w:val="24"/>
        </w:rPr>
        <w:t>（15</w:t>
      </w:r>
      <w:r>
        <w:rPr>
          <w:rFonts w:ascii="宋体" w:hAnsi="宋体"/>
          <w:sz w:val="24"/>
        </w:rPr>
        <w:t>）</w:t>
      </w:r>
      <w:r>
        <w:rPr>
          <w:rFonts w:hint="eastAsia" w:ascii="宋体" w:hAnsi="宋体"/>
          <w:sz w:val="24"/>
        </w:rPr>
        <w:t>投标人认为可以证明其能力或业绩的其他材料；</w:t>
      </w:r>
    </w:p>
    <w:p>
      <w:pPr>
        <w:snapToGrid w:val="0"/>
        <w:spacing w:line="360" w:lineRule="auto"/>
        <w:ind w:firstLine="480" w:firstLineChars="200"/>
        <w:jc w:val="left"/>
        <w:rPr>
          <w:sz w:val="24"/>
        </w:rPr>
      </w:pPr>
      <w:r>
        <w:rPr>
          <w:rFonts w:hint="eastAsia" w:ascii="宋体" w:hAnsi="宋体"/>
          <w:sz w:val="24"/>
        </w:rPr>
        <w:t>（16）投标人情况介绍</w:t>
      </w:r>
      <w:r>
        <w:rPr>
          <w:rFonts w:hint="eastAsia"/>
          <w:sz w:val="24"/>
        </w:rPr>
        <w:t>；</w:t>
      </w:r>
    </w:p>
    <w:p>
      <w:pPr>
        <w:spacing w:line="360" w:lineRule="auto"/>
        <w:ind w:firstLine="472" w:firstLineChars="196"/>
        <w:jc w:val="left"/>
        <w:rPr>
          <w:rFonts w:ascii="宋体" w:hAnsi="宋体"/>
          <w:b/>
          <w:sz w:val="24"/>
        </w:rPr>
      </w:pPr>
      <w:r>
        <w:rPr>
          <w:rFonts w:ascii="宋体" w:hAnsi="宋体"/>
          <w:b/>
          <w:sz w:val="24"/>
        </w:rPr>
        <w:t>商务文件</w:t>
      </w:r>
    </w:p>
    <w:p>
      <w:pPr>
        <w:snapToGrid w:val="0"/>
        <w:spacing w:line="360" w:lineRule="auto"/>
        <w:ind w:firstLine="480" w:firstLineChars="200"/>
        <w:jc w:val="left"/>
        <w:rPr>
          <w:rFonts w:ascii="宋体" w:hAnsi="宋体"/>
          <w:sz w:val="24"/>
        </w:rPr>
      </w:pPr>
      <w:r>
        <w:rPr>
          <w:rFonts w:hint="eastAsia" w:ascii="宋体" w:hAnsi="宋体"/>
          <w:sz w:val="24"/>
        </w:rPr>
        <w:t>（17）商务响应表（格式见附件）；</w:t>
      </w:r>
    </w:p>
    <w:p>
      <w:pPr>
        <w:snapToGrid w:val="0"/>
        <w:spacing w:line="360" w:lineRule="auto"/>
        <w:ind w:firstLine="480" w:firstLineChars="200"/>
        <w:jc w:val="left"/>
        <w:rPr>
          <w:rFonts w:ascii="宋体" w:hAnsi="宋体"/>
          <w:sz w:val="24"/>
        </w:rPr>
      </w:pPr>
      <w:r>
        <w:rPr>
          <w:rFonts w:hint="eastAsia" w:ascii="宋体" w:hAnsi="宋体"/>
          <w:sz w:val="24"/>
        </w:rPr>
        <w:t>（18）</w:t>
      </w:r>
      <w:r>
        <w:rPr>
          <w:rFonts w:ascii="宋体" w:hAnsi="宋体"/>
          <w:sz w:val="24"/>
        </w:rPr>
        <w:t>售后服务的内容和措施；</w:t>
      </w:r>
    </w:p>
    <w:p>
      <w:pPr>
        <w:snapToGrid w:val="0"/>
        <w:spacing w:line="360" w:lineRule="auto"/>
        <w:ind w:firstLine="480" w:firstLineChars="200"/>
        <w:jc w:val="left"/>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响应时间</w:t>
      </w:r>
      <w:r>
        <w:rPr>
          <w:rFonts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（20</w:t>
      </w:r>
      <w:r>
        <w:rPr>
          <w:rFonts w:ascii="宋体" w:hAnsi="宋体"/>
          <w:sz w:val="24"/>
        </w:rPr>
        <w:t>）</w:t>
      </w:r>
      <w:r>
        <w:rPr>
          <w:rFonts w:hint="eastAsia" w:ascii="宋体" w:hAnsi="宋体"/>
          <w:sz w:val="24"/>
        </w:rPr>
        <w:t>信用承诺书；</w:t>
      </w:r>
    </w:p>
    <w:p>
      <w:pPr>
        <w:snapToGrid w:val="0"/>
        <w:spacing w:line="360" w:lineRule="auto"/>
        <w:ind w:firstLine="480" w:firstLineChars="200"/>
        <w:jc w:val="left"/>
        <w:rPr>
          <w:rFonts w:ascii="宋体" w:hAnsi="宋体"/>
          <w:sz w:val="24"/>
        </w:rPr>
      </w:pPr>
      <w:r>
        <w:rPr>
          <w:rFonts w:hint="eastAsia" w:ascii="宋体" w:hAnsi="宋体"/>
          <w:sz w:val="24"/>
        </w:rPr>
        <w:t>（21</w:t>
      </w:r>
      <w:r>
        <w:rPr>
          <w:rFonts w:ascii="宋体" w:hAnsi="宋体"/>
          <w:sz w:val="24"/>
        </w:rPr>
        <w:t>）</w:t>
      </w:r>
      <w:r>
        <w:rPr>
          <w:rFonts w:hint="eastAsia" w:ascii="宋体" w:hAnsi="宋体"/>
          <w:sz w:val="24"/>
        </w:rPr>
        <w:t>技术、商务、资信及其他分自评表。</w:t>
      </w:r>
    </w:p>
    <w:p>
      <w:pPr>
        <w:spacing w:line="360" w:lineRule="auto"/>
        <w:ind w:firstLine="472" w:firstLineChars="196"/>
        <w:jc w:val="left"/>
        <w:rPr>
          <w:rFonts w:ascii="宋体" w:hAnsi="宋体"/>
          <w:b/>
          <w:sz w:val="24"/>
        </w:rPr>
      </w:pPr>
      <w:r>
        <w:rPr>
          <w:rFonts w:hint="eastAsia" w:ascii="宋体" w:hAnsi="宋体"/>
          <w:b/>
          <w:sz w:val="24"/>
        </w:rPr>
        <w:t>3.</w:t>
      </w:r>
      <w:r>
        <w:rPr>
          <w:rFonts w:ascii="宋体" w:hAnsi="宋体"/>
          <w:b/>
          <w:sz w:val="24"/>
        </w:rPr>
        <w:t>报价文件：</w:t>
      </w:r>
    </w:p>
    <w:p>
      <w:pPr>
        <w:spacing w:line="360" w:lineRule="auto"/>
        <w:ind w:firstLine="470" w:firstLineChars="196"/>
        <w:jc w:val="left"/>
        <w:rPr>
          <w:rFonts w:ascii="宋体" w:hAnsi="宋体"/>
          <w:sz w:val="24"/>
        </w:rPr>
      </w:pPr>
      <w:r>
        <w:rPr>
          <w:rFonts w:hint="eastAsia" w:ascii="宋体" w:hAnsi="宋体"/>
          <w:sz w:val="24"/>
        </w:rPr>
        <w:t xml:space="preserve">（1）投标函（格式见附件）； </w:t>
      </w:r>
    </w:p>
    <w:p>
      <w:pPr>
        <w:spacing w:line="360" w:lineRule="auto"/>
        <w:ind w:firstLine="470" w:firstLineChars="196"/>
        <w:jc w:val="left"/>
        <w:rPr>
          <w:rFonts w:hint="eastAsia" w:ascii="宋体" w:hAnsi="宋体" w:eastAsia="宋体"/>
          <w:sz w:val="24"/>
          <w:lang w:eastAsia="zh-CN"/>
        </w:rPr>
      </w:pPr>
      <w:r>
        <w:rPr>
          <w:rFonts w:hint="eastAsia" w:ascii="宋体" w:hAnsi="宋体"/>
          <w:sz w:val="24"/>
        </w:rPr>
        <w:t>（2</w:t>
      </w:r>
      <w:r>
        <w:rPr>
          <w:rFonts w:ascii="宋体" w:hAnsi="宋体"/>
          <w:sz w:val="24"/>
        </w:rPr>
        <w:t>）</w:t>
      </w:r>
      <w:r>
        <w:rPr>
          <w:rFonts w:hint="eastAsia" w:ascii="宋体" w:hAnsi="宋体"/>
          <w:sz w:val="24"/>
          <w:lang w:val="en-US" w:eastAsia="zh-CN"/>
        </w:rPr>
        <w:t>投标</w:t>
      </w:r>
      <w:r>
        <w:rPr>
          <w:rFonts w:ascii="宋体" w:hAnsi="宋体"/>
          <w:sz w:val="24"/>
        </w:rPr>
        <w:t>报价明细表</w:t>
      </w:r>
      <w:r>
        <w:rPr>
          <w:rFonts w:hint="eastAsia" w:ascii="宋体" w:hAnsi="宋体"/>
          <w:sz w:val="24"/>
          <w:lang w:eastAsia="zh-CN"/>
        </w:rPr>
        <w:t>；</w:t>
      </w:r>
    </w:p>
    <w:p>
      <w:pPr>
        <w:spacing w:line="360" w:lineRule="auto"/>
        <w:ind w:firstLine="470" w:firstLineChars="196"/>
        <w:jc w:val="left"/>
        <w:rPr>
          <w:rFonts w:ascii="宋体" w:hAnsi="宋体"/>
          <w:sz w:val="24"/>
        </w:rPr>
      </w:pPr>
      <w:r>
        <w:rPr>
          <w:rFonts w:hint="eastAsia" w:ascii="宋体" w:hAnsi="宋体"/>
          <w:sz w:val="24"/>
        </w:rPr>
        <w:t>（</w:t>
      </w:r>
      <w:r>
        <w:rPr>
          <w:rFonts w:hint="eastAsia" w:ascii="宋体" w:hAnsi="宋体"/>
          <w:sz w:val="24"/>
          <w:lang w:val="en-US" w:eastAsia="zh-CN"/>
        </w:rPr>
        <w:t>3）</w:t>
      </w:r>
      <w:r>
        <w:rPr>
          <w:rFonts w:ascii="宋体" w:hAnsi="宋体"/>
          <w:sz w:val="24"/>
        </w:rPr>
        <w:t>投标人</w:t>
      </w:r>
      <w:r>
        <w:rPr>
          <w:rFonts w:hint="eastAsia" w:ascii="宋体" w:hAnsi="宋体"/>
          <w:sz w:val="24"/>
        </w:rPr>
        <w:t>针对报价</w:t>
      </w:r>
      <w:r>
        <w:rPr>
          <w:rFonts w:ascii="宋体" w:hAnsi="宋体"/>
          <w:sz w:val="24"/>
        </w:rPr>
        <w:t>需要说明的其他文件和说明（格式</w:t>
      </w:r>
      <w:r>
        <w:rPr>
          <w:rFonts w:hint="eastAsia" w:ascii="宋体" w:hAnsi="宋体"/>
          <w:sz w:val="24"/>
        </w:rPr>
        <w:t>自拟</w:t>
      </w:r>
      <w:r>
        <w:rPr>
          <w:rFonts w:ascii="宋体" w:hAnsi="宋体"/>
          <w:sz w:val="24"/>
        </w:rPr>
        <w:t>）</w:t>
      </w:r>
      <w:r>
        <w:rPr>
          <w:rFonts w:hint="eastAsia" w:ascii="宋体" w:hAnsi="宋体"/>
          <w:sz w:val="24"/>
        </w:rPr>
        <w:t>；</w:t>
      </w:r>
    </w:p>
    <w:p>
      <w:pPr>
        <w:spacing w:line="360" w:lineRule="auto"/>
        <w:ind w:firstLine="470" w:firstLineChars="196"/>
        <w:jc w:val="left"/>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）招标代理费承诺函；</w:t>
      </w:r>
    </w:p>
    <w:p>
      <w:pPr>
        <w:spacing w:line="360" w:lineRule="auto"/>
        <w:ind w:firstLine="470" w:firstLineChars="196"/>
        <w:jc w:val="left"/>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ascii="宋体" w:hAnsi="宋体"/>
          <w:sz w:val="24"/>
        </w:rPr>
        <w:t>开标一览表（格式见附件）</w:t>
      </w:r>
      <w:r>
        <w:rPr>
          <w:rFonts w:hint="eastAsia" w:ascii="宋体" w:hAnsi="宋体"/>
          <w:sz w:val="24"/>
        </w:rPr>
        <w:t>。</w:t>
      </w:r>
    </w:p>
    <w:p>
      <w:pPr>
        <w:pStyle w:val="31"/>
        <w:widowControl w:val="0"/>
        <w:spacing w:before="0" w:afterLines="0" w:line="360" w:lineRule="auto"/>
        <w:ind w:firstLine="482" w:firstLineChars="200"/>
        <w:rPr>
          <w:b/>
          <w:bCs/>
          <w:color w:val="auto"/>
        </w:rPr>
      </w:pPr>
      <w:r>
        <w:rPr>
          <w:b/>
          <w:color w:val="auto"/>
        </w:rPr>
        <w:t>▲</w:t>
      </w:r>
      <w:r>
        <w:rPr>
          <w:b/>
          <w:bCs/>
          <w:color w:val="auto"/>
        </w:rPr>
        <w:t>注：法定代表人授权委托书、投标声明书、投标函、开标一览表必须由法定代表人签名并加盖单位公章。</w:t>
      </w:r>
    </w:p>
    <w:p>
      <w:pPr>
        <w:snapToGrid w:val="0"/>
        <w:spacing w:line="360" w:lineRule="auto"/>
        <w:ind w:firstLine="472" w:firstLineChars="196"/>
        <w:jc w:val="left"/>
        <w:outlineLvl w:val="0"/>
        <w:rPr>
          <w:rFonts w:ascii="宋体" w:hAnsi="宋体"/>
          <w:b/>
          <w:sz w:val="24"/>
          <w:szCs w:val="20"/>
        </w:rPr>
      </w:pPr>
      <w:r>
        <w:rPr>
          <w:rFonts w:hint="eastAsia" w:ascii="宋体" w:hAnsi="宋体"/>
          <w:b/>
          <w:sz w:val="24"/>
        </w:rPr>
        <w:t>（二）投标文件的语言及计量</w:t>
      </w:r>
    </w:p>
    <w:p>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72" w:firstLineChars="196"/>
        <w:jc w:val="left"/>
        <w:outlineLvl w:val="0"/>
        <w:rPr>
          <w:rFonts w:ascii="宋体" w:hAnsi="宋体"/>
          <w:b/>
          <w:sz w:val="24"/>
          <w:szCs w:val="20"/>
        </w:rPr>
      </w:pPr>
      <w:r>
        <w:rPr>
          <w:rFonts w:hint="eastAsia" w:ascii="宋体" w:hAnsi="宋体"/>
          <w:b/>
          <w:sz w:val="24"/>
        </w:rPr>
        <w:t>（三）投标报价</w:t>
      </w:r>
    </w:p>
    <w:p>
      <w:pPr>
        <w:snapToGrid w:val="0"/>
        <w:spacing w:line="360" w:lineRule="auto"/>
        <w:ind w:firstLine="411" w:firstLineChars="196"/>
        <w:jc w:val="left"/>
        <w:outlineLvl w:val="0"/>
        <w:rPr>
          <w:rFonts w:ascii="宋体" w:hAnsi="宋体"/>
          <w:b/>
          <w:sz w:val="24"/>
        </w:rPr>
      </w:pPr>
      <w:r>
        <w:rPr>
          <w:rFonts w:hAnsi="宋体"/>
        </w:rPr>
        <w:t>▲</w:t>
      </w:r>
      <w:r>
        <w:rPr>
          <w:rFonts w:ascii="宋体" w:hAnsi="宋体"/>
          <w:sz w:val="24"/>
        </w:rPr>
        <w:t>1</w:t>
      </w:r>
      <w:r>
        <w:rPr>
          <w:rFonts w:hint="eastAsia" w:ascii="宋体" w:hAnsi="宋体"/>
          <w:sz w:val="24"/>
        </w:rPr>
        <w:t>.</w:t>
      </w:r>
      <w:r>
        <w:rPr>
          <w:rFonts w:ascii="宋体" w:hAnsi="宋体"/>
          <w:sz w:val="24"/>
        </w:rPr>
        <w:t>投标报价应按招标文件中相关附表格式填写。</w:t>
      </w:r>
      <w:r>
        <w:rPr>
          <w:rFonts w:hint="eastAsia" w:ascii="宋体" w:hAnsi="宋体"/>
          <w:sz w:val="24"/>
        </w:rPr>
        <w:t>投标人在填报投标项目报价明细表时必须按照采购需求货物清单内容逐项报价，不得随意更改序号、货物名称、单位、数量。否则作无效标处理。</w:t>
      </w:r>
    </w:p>
    <w:p>
      <w:pPr>
        <w:pStyle w:val="20"/>
        <w:snapToGrid w:val="0"/>
        <w:spacing w:beforeLines="0" w:afterLines="0" w:line="360" w:lineRule="auto"/>
        <w:ind w:firstLine="480" w:firstLineChars="200"/>
        <w:jc w:val="left"/>
        <w:rPr>
          <w:rFonts w:hAnsi="宋体"/>
        </w:rPr>
      </w:pPr>
      <w:r>
        <w:rPr>
          <w:rFonts w:hAnsi="宋体"/>
        </w:rPr>
        <w:t>▲2</w:t>
      </w:r>
      <w:r>
        <w:rPr>
          <w:rFonts w:hint="eastAsia" w:hAnsi="宋体"/>
        </w:rPr>
        <w:t>.</w:t>
      </w:r>
      <w:r>
        <w:rPr>
          <w:rFonts w:hAnsi="宋体"/>
        </w:rPr>
        <w:t>投标报价是履行合同的最终价格，应包括货款、标准附件、备品备件、专用工具、包装、运输、装卸、保险、税金、货到就位以及安装、调试、培训、保修等一切税金和费用。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投标文件只允许有一个报价，有选择的</w:t>
      </w:r>
      <w:r>
        <w:rPr>
          <w:rFonts w:hint="eastAsia" w:ascii="宋体" w:hAnsi="宋体"/>
          <w:sz w:val="24"/>
        </w:rPr>
        <w:t>或有条件的</w:t>
      </w:r>
      <w:r>
        <w:rPr>
          <w:rFonts w:ascii="宋体" w:hAnsi="宋体"/>
          <w:sz w:val="24"/>
        </w:rPr>
        <w:t>报价将不予接受。</w:t>
      </w:r>
    </w:p>
    <w:p>
      <w:pPr>
        <w:pStyle w:val="8"/>
        <w:widowControl w:val="0"/>
        <w:tabs>
          <w:tab w:val="clear" w:pos="454"/>
        </w:tabs>
        <w:snapToGrid w:val="0"/>
        <w:spacing w:afterLines="0" w:line="360" w:lineRule="auto"/>
        <w:ind w:left="0" w:firstLine="472" w:firstLineChars="196"/>
        <w:rPr>
          <w:rFonts w:ascii="宋体" w:hAnsi="宋体"/>
          <w:b/>
          <w:szCs w:val="24"/>
        </w:rPr>
      </w:pPr>
      <w:r>
        <w:rPr>
          <w:rFonts w:hint="eastAsia" w:ascii="宋体" w:hAnsi="宋体"/>
          <w:b/>
          <w:szCs w:val="24"/>
        </w:rPr>
        <w:t>（四）投标文件的有效期</w:t>
      </w:r>
    </w:p>
    <w:p>
      <w:pPr>
        <w:pStyle w:val="8"/>
        <w:widowControl w:val="0"/>
        <w:tabs>
          <w:tab w:val="clear" w:pos="454"/>
        </w:tabs>
        <w:snapToGrid w:val="0"/>
        <w:spacing w:afterLines="0" w:line="360" w:lineRule="auto"/>
        <w:ind w:left="0" w:firstLine="480" w:firstLineChars="200"/>
        <w:rPr>
          <w:rFonts w:ascii="宋体" w:hAnsi="宋体"/>
          <w:szCs w:val="24"/>
        </w:rPr>
      </w:pPr>
      <w:r>
        <w:rPr>
          <w:rFonts w:hint="eastAsia" w:ascii="宋体" w:hAnsi="宋体"/>
          <w:szCs w:val="24"/>
        </w:rPr>
        <w:t>▲</w:t>
      </w:r>
      <w:r>
        <w:rPr>
          <w:rFonts w:ascii="宋体" w:hAnsi="宋体"/>
          <w:szCs w:val="24"/>
        </w:rPr>
        <w:t>1</w:t>
      </w:r>
      <w:r>
        <w:rPr>
          <w:rFonts w:hint="eastAsia" w:ascii="宋体" w:hAnsi="宋体"/>
          <w:szCs w:val="24"/>
        </w:rPr>
        <w:t>.</w:t>
      </w:r>
      <w:r>
        <w:rPr>
          <w:rFonts w:ascii="宋体" w:hAnsi="宋体"/>
          <w:szCs w:val="24"/>
        </w:rPr>
        <w:t>自投标截止日起</w:t>
      </w:r>
      <w:r>
        <w:rPr>
          <w:rFonts w:hint="eastAsia" w:ascii="宋体" w:hAnsi="宋体"/>
          <w:szCs w:val="24"/>
          <w:u w:val="single"/>
        </w:rPr>
        <w:t>120</w:t>
      </w:r>
      <w:r>
        <w:rPr>
          <w:rFonts w:ascii="宋体" w:hAnsi="宋体"/>
          <w:szCs w:val="24"/>
        </w:rPr>
        <w:t>天投标</w:t>
      </w:r>
      <w:r>
        <w:rPr>
          <w:rFonts w:hint="eastAsia" w:ascii="宋体" w:hAnsi="宋体"/>
          <w:szCs w:val="24"/>
        </w:rPr>
        <w:t>文件</w:t>
      </w:r>
      <w:r>
        <w:rPr>
          <w:rFonts w:ascii="宋体" w:hAnsi="宋体"/>
          <w:szCs w:val="24"/>
        </w:rPr>
        <w:t>应保持有效。有效期</w:t>
      </w:r>
      <w:r>
        <w:rPr>
          <w:rFonts w:hint="eastAsia" w:ascii="宋体" w:hAnsi="宋体"/>
          <w:szCs w:val="24"/>
        </w:rPr>
        <w:t>不足</w:t>
      </w:r>
      <w:r>
        <w:rPr>
          <w:rFonts w:ascii="宋体" w:hAnsi="宋体"/>
          <w:szCs w:val="24"/>
        </w:rPr>
        <w:t>的投标</w:t>
      </w:r>
      <w:r>
        <w:rPr>
          <w:rFonts w:hint="eastAsia" w:ascii="宋体" w:hAnsi="宋体"/>
          <w:szCs w:val="24"/>
        </w:rPr>
        <w:t>文件</w:t>
      </w:r>
      <w:r>
        <w:rPr>
          <w:rFonts w:ascii="宋体" w:hAnsi="宋体"/>
          <w:szCs w:val="24"/>
        </w:rPr>
        <w:t>将被拒绝。</w:t>
      </w:r>
    </w:p>
    <w:p>
      <w:pPr>
        <w:pStyle w:val="8"/>
        <w:widowControl w:val="0"/>
        <w:tabs>
          <w:tab w:val="clear" w:pos="454"/>
        </w:tabs>
        <w:snapToGrid w:val="0"/>
        <w:spacing w:afterLines="0" w:line="360" w:lineRule="auto"/>
        <w:ind w:left="0"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在特殊情况下，招标人可与投标人协商延长投标书的有效期，这种要求和答复均以书面形式进行。</w:t>
      </w:r>
    </w:p>
    <w:p>
      <w:pPr>
        <w:snapToGrid w:val="0"/>
        <w:spacing w:line="360" w:lineRule="auto"/>
        <w:ind w:firstLine="480" w:firstLineChars="200"/>
        <w:jc w:val="left"/>
        <w:outlineLvl w:val="0"/>
        <w:rPr>
          <w:rFonts w:ascii="宋体" w:hAnsi="宋体"/>
          <w:b/>
          <w:sz w:val="24"/>
          <w:szCs w:val="20"/>
        </w:rPr>
      </w:pPr>
      <w:r>
        <w:rPr>
          <w:rFonts w:ascii="宋体" w:hAnsi="宋体"/>
          <w:sz w:val="24"/>
        </w:rPr>
        <w:t>3</w:t>
      </w:r>
      <w:r>
        <w:rPr>
          <w:rFonts w:hint="eastAsia" w:ascii="宋体" w:hAnsi="宋体"/>
          <w:sz w:val="24"/>
        </w:rPr>
        <w:t>.</w:t>
      </w:r>
      <w:r>
        <w:rPr>
          <w:rFonts w:ascii="宋体" w:hAnsi="宋体"/>
          <w:sz w:val="24"/>
        </w:rPr>
        <w:t>投标人可拒绝接受延期要求。同意延长有效期的投标人不能修改投标文件。</w:t>
      </w:r>
    </w:p>
    <w:p>
      <w:pPr>
        <w:snapToGrid w:val="0"/>
        <w:spacing w:line="360" w:lineRule="auto"/>
        <w:ind w:firstLine="480" w:firstLineChars="200"/>
        <w:jc w:val="left"/>
        <w:outlineLvl w:val="0"/>
        <w:rPr>
          <w:rFonts w:ascii="宋体" w:hAnsi="宋体"/>
          <w:b/>
          <w:sz w:val="24"/>
        </w:rPr>
      </w:pPr>
      <w:r>
        <w:rPr>
          <w:rFonts w:ascii="宋体" w:hAnsi="宋体"/>
          <w:sz w:val="24"/>
        </w:rPr>
        <w:t>4</w:t>
      </w:r>
      <w:r>
        <w:rPr>
          <w:rFonts w:hint="eastAsia" w:ascii="宋体" w:hAnsi="宋体"/>
          <w:sz w:val="24"/>
        </w:rPr>
        <w:t>.</w:t>
      </w:r>
      <w:r>
        <w:rPr>
          <w:rFonts w:ascii="宋体" w:hAnsi="宋体"/>
          <w:sz w:val="24"/>
        </w:rPr>
        <w:t>中标人的投标文件自开标之日起至合同履行完毕止均应保持有效。</w:t>
      </w:r>
    </w:p>
    <w:p>
      <w:pPr>
        <w:snapToGrid w:val="0"/>
        <w:spacing w:line="360" w:lineRule="auto"/>
        <w:ind w:firstLine="482" w:firstLineChars="200"/>
        <w:jc w:val="left"/>
        <w:outlineLvl w:val="0"/>
        <w:rPr>
          <w:rFonts w:ascii="宋体" w:hAnsi="宋体"/>
          <w:b/>
          <w:sz w:val="24"/>
        </w:rPr>
      </w:pPr>
      <w:r>
        <w:rPr>
          <w:rFonts w:hint="eastAsia" w:ascii="宋体" w:hAnsi="宋体"/>
          <w:b/>
          <w:sz w:val="24"/>
        </w:rPr>
        <w:t>（五）投标文件的签署和份数</w:t>
      </w:r>
    </w:p>
    <w:p>
      <w:pPr>
        <w:snapToGrid w:val="0"/>
        <w:spacing w:line="360" w:lineRule="auto"/>
        <w:ind w:firstLine="480" w:firstLineChars="200"/>
        <w:jc w:val="left"/>
        <w:outlineLvl w:val="0"/>
        <w:rPr>
          <w:rFonts w:ascii="宋体" w:hAnsi="宋体"/>
          <w:sz w:val="24"/>
        </w:rPr>
      </w:pPr>
      <w:r>
        <w:rPr>
          <w:rFonts w:hint="eastAsia" w:ascii="宋体" w:hAnsi="宋体"/>
          <w:sz w:val="24"/>
        </w:rPr>
        <w:t>本项目通过“政府采购云平台（www.zcygov.cn）”实行在线投标响应（电子投标）。供应商应通过“政采云电子交易客户端”，并按照本招标文件和“政府采购云平台”的要求编制并加密投标文件。</w:t>
      </w:r>
    </w:p>
    <w:p>
      <w:pPr>
        <w:snapToGrid w:val="0"/>
        <w:spacing w:line="360" w:lineRule="auto"/>
        <w:ind w:firstLine="480" w:firstLineChars="200"/>
        <w:jc w:val="left"/>
        <w:outlineLvl w:val="0"/>
        <w:rPr>
          <w:rFonts w:ascii="宋体" w:hAnsi="宋体"/>
          <w:sz w:val="24"/>
        </w:rPr>
      </w:pPr>
      <w:r>
        <w:rPr>
          <w:rFonts w:hint="eastAsia" w:ascii="宋体" w:hAnsi="宋体"/>
          <w:sz w:val="24"/>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pPr>
        <w:snapToGrid w:val="0"/>
        <w:spacing w:line="360" w:lineRule="auto"/>
        <w:ind w:firstLine="480" w:firstLineChars="200"/>
        <w:jc w:val="left"/>
        <w:outlineLvl w:val="0"/>
        <w:rPr>
          <w:rFonts w:ascii="宋体" w:hAnsi="宋体"/>
          <w:sz w:val="24"/>
        </w:rPr>
      </w:pPr>
      <w:r>
        <w:rPr>
          <w:rFonts w:hint="eastAsia" w:ascii="宋体" w:hAnsi="宋体"/>
          <w:sz w:val="24"/>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pPr>
        <w:snapToGrid w:val="0"/>
        <w:spacing w:line="360" w:lineRule="auto"/>
        <w:ind w:firstLine="480" w:firstLineChars="200"/>
        <w:jc w:val="left"/>
        <w:outlineLvl w:val="0"/>
        <w:rPr>
          <w:rFonts w:ascii="宋体" w:hAnsi="宋体"/>
          <w:sz w:val="24"/>
        </w:rPr>
      </w:pPr>
      <w:r>
        <w:rPr>
          <w:rFonts w:hint="eastAsia" w:ascii="宋体" w:hAnsi="宋体"/>
          <w:sz w:val="24"/>
        </w:rPr>
        <w:t>3.投标文件内容不完整、编排混乱导致投标文件被误读、漏读或者查找不到相关内容的，是投标供应商的责任。</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4.投标文件因字迹潦草或表达不清所引起的后果由投标供应商负责。</w:t>
      </w:r>
      <w:r>
        <w:rPr>
          <w:rFonts w:ascii="宋体" w:hAnsi="宋体"/>
          <w:sz w:val="24"/>
        </w:rPr>
        <w:tab/>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（六）投标文件的签署</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《投标文件》应由投标供应商法定代表人或其授权代表签字（或盖章），并加盖投标供应商公章。</w:t>
      </w:r>
    </w:p>
    <w:p>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（七）投标文件的形式</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1.投标文件的形式：见《前附表》；</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2.“电子加密投标文件”：“电子加密投标文件”是指通过“政采云电子交易客户端”完成投标文件编制后生成并加密的数据电文形式的投标文件。</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3.“备份投标文件”：“备份投标文件”是指与“电子加密投标文件”同时生成的数据电文形式的电子文件（备份标书），其他方式编制的“备份投标文件”视为无效的“备份投标文件”。</w:t>
      </w:r>
    </w:p>
    <w:p>
      <w:pPr>
        <w:snapToGrid w:val="0"/>
        <w:spacing w:line="360" w:lineRule="auto"/>
        <w:ind w:firstLine="482" w:firstLineChars="200"/>
        <w:jc w:val="left"/>
        <w:outlineLvl w:val="0"/>
        <w:rPr>
          <w:rFonts w:ascii="宋体" w:hAnsi="宋体"/>
          <w:b/>
          <w:sz w:val="24"/>
        </w:rPr>
      </w:pPr>
      <w:r>
        <w:rPr>
          <w:rFonts w:hint="eastAsia" w:ascii="宋体" w:hAnsi="宋体"/>
          <w:b/>
          <w:sz w:val="24"/>
        </w:rPr>
        <w:t>（八）投标文件的份数：见《前附表》。</w:t>
      </w:r>
    </w:p>
    <w:p>
      <w:pPr>
        <w:snapToGrid w:val="0"/>
        <w:spacing w:line="360" w:lineRule="auto"/>
        <w:ind w:firstLine="482" w:firstLineChars="200"/>
        <w:jc w:val="left"/>
        <w:outlineLvl w:val="0"/>
        <w:rPr>
          <w:rFonts w:ascii="宋体" w:hAnsi="宋体"/>
          <w:b/>
          <w:sz w:val="24"/>
        </w:rPr>
      </w:pPr>
      <w:r>
        <w:rPr>
          <w:rFonts w:hint="eastAsia" w:ascii="宋体" w:hAnsi="宋体"/>
          <w:b/>
          <w:sz w:val="24"/>
        </w:rPr>
        <w:t>（九）投标文件的上传和递交：见《前附表》。</w:t>
      </w:r>
    </w:p>
    <w:p>
      <w:pPr>
        <w:snapToGrid w:val="0"/>
        <w:spacing w:line="360" w:lineRule="auto"/>
        <w:ind w:firstLine="482" w:firstLineChars="200"/>
        <w:jc w:val="left"/>
        <w:outlineLvl w:val="0"/>
        <w:rPr>
          <w:rFonts w:ascii="宋体" w:hAnsi="宋体"/>
          <w:b/>
          <w:sz w:val="24"/>
        </w:rPr>
      </w:pPr>
      <w:r>
        <w:rPr>
          <w:rFonts w:hint="eastAsia" w:ascii="宋体" w:hAnsi="宋体"/>
          <w:b/>
          <w:sz w:val="24"/>
        </w:rPr>
        <w:t>（十）“电子加密投标文件”解密和异常情况处理：见《前附表》。</w:t>
      </w:r>
    </w:p>
    <w:p>
      <w:pPr>
        <w:snapToGrid w:val="0"/>
        <w:spacing w:line="360" w:lineRule="auto"/>
        <w:ind w:firstLine="482" w:firstLineChars="200"/>
        <w:jc w:val="left"/>
        <w:outlineLvl w:val="0"/>
        <w:rPr>
          <w:rFonts w:ascii="宋体" w:hAnsi="宋体"/>
          <w:b/>
          <w:sz w:val="24"/>
        </w:rPr>
      </w:pPr>
      <w:r>
        <w:rPr>
          <w:rFonts w:hint="eastAsia" w:ascii="宋体" w:hAnsi="宋体"/>
          <w:b/>
          <w:sz w:val="24"/>
        </w:rPr>
        <w:t>（十一）投标文件的补充、修改或撤回</w:t>
      </w:r>
    </w:p>
    <w:p>
      <w:pPr>
        <w:snapToGrid w:val="0"/>
        <w:spacing w:line="360" w:lineRule="auto"/>
        <w:ind w:firstLine="480" w:firstLineChars="200"/>
        <w:jc w:val="left"/>
        <w:outlineLvl w:val="0"/>
        <w:rPr>
          <w:rFonts w:ascii="宋体" w:hAnsi="宋体"/>
          <w:sz w:val="24"/>
        </w:rPr>
      </w:pPr>
      <w:r>
        <w:rPr>
          <w:rFonts w:hint="eastAsia" w:ascii="宋体" w:hAnsi="宋体"/>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360" w:lineRule="auto"/>
        <w:ind w:firstLine="480" w:firstLineChars="200"/>
        <w:jc w:val="left"/>
        <w:outlineLvl w:val="0"/>
        <w:rPr>
          <w:rFonts w:ascii="宋体" w:hAnsi="宋体"/>
          <w:sz w:val="24"/>
        </w:rPr>
      </w:pPr>
      <w:r>
        <w:rPr>
          <w:rFonts w:hint="eastAsia" w:ascii="宋体" w:hAnsi="宋体"/>
          <w:sz w:val="24"/>
        </w:rPr>
        <w:t>2.投标截止时间后，投标供应商不得撤回、修改投标文件。</w:t>
      </w:r>
    </w:p>
    <w:p>
      <w:pPr>
        <w:snapToGrid w:val="0"/>
        <w:spacing w:line="360" w:lineRule="auto"/>
        <w:ind w:firstLine="482" w:firstLineChars="200"/>
        <w:jc w:val="left"/>
        <w:outlineLvl w:val="0"/>
        <w:rPr>
          <w:rFonts w:ascii="宋体" w:hAnsi="宋体"/>
          <w:b/>
          <w:sz w:val="24"/>
        </w:rPr>
      </w:pPr>
      <w:r>
        <w:rPr>
          <w:rFonts w:hint="eastAsia" w:ascii="宋体" w:hAnsi="宋体"/>
          <w:b/>
          <w:sz w:val="24"/>
        </w:rPr>
        <w:t>（十二）投标文件的备选方案</w:t>
      </w:r>
    </w:p>
    <w:p>
      <w:pPr>
        <w:snapToGrid w:val="0"/>
        <w:spacing w:line="360" w:lineRule="auto"/>
        <w:ind w:firstLine="480" w:firstLineChars="200"/>
        <w:jc w:val="left"/>
        <w:outlineLvl w:val="0"/>
        <w:rPr>
          <w:rFonts w:ascii="宋体" w:hAnsi="宋体"/>
          <w:sz w:val="24"/>
        </w:rPr>
      </w:pPr>
      <w:r>
        <w:rPr>
          <w:rFonts w:hint="eastAsia" w:ascii="宋体" w:hAnsi="宋体"/>
          <w:sz w:val="24"/>
        </w:rPr>
        <w:t>投标供应商不得递交任何的投标备选（替代）方案，否则其投标文件将作无效标处理。与“电子加密投标文件”同时生成的“备份投标文件”不是投标备选（替代）方案。</w:t>
      </w:r>
    </w:p>
    <w:p>
      <w:pPr>
        <w:snapToGrid w:val="0"/>
        <w:spacing w:before="120" w:beforeLines="50" w:line="360" w:lineRule="auto"/>
        <w:ind w:firstLine="472" w:firstLineChars="196"/>
        <w:outlineLvl w:val="2"/>
        <w:rPr>
          <w:rFonts w:ascii="宋体" w:hAnsi="宋体"/>
          <w:b/>
          <w:sz w:val="24"/>
        </w:rPr>
      </w:pPr>
      <w:r>
        <w:rPr>
          <w:rFonts w:hint="eastAsia" w:ascii="宋体" w:hAnsi="宋体"/>
          <w:b/>
          <w:sz w:val="24"/>
        </w:rPr>
        <w:t>（十三）投标无效的情形</w:t>
      </w:r>
    </w:p>
    <w:p>
      <w:pPr>
        <w:snapToGrid w:val="0"/>
        <w:spacing w:line="360" w:lineRule="auto"/>
        <w:ind w:firstLine="480" w:firstLineChars="200"/>
        <w:rPr>
          <w:rFonts w:ascii="宋体" w:hAnsi="宋体"/>
          <w:bCs/>
          <w:sz w:val="24"/>
        </w:rPr>
      </w:pPr>
      <w:r>
        <w:rPr>
          <w:rFonts w:hint="eastAsia"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72" w:firstLineChars="196"/>
        <w:rPr>
          <w:rFonts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在符合性审查和商务评审时，如发现下列情形之一的，投标文件将被视为无效：</w:t>
      </w:r>
    </w:p>
    <w:p>
      <w:pPr>
        <w:snapToGrid w:val="0"/>
        <w:spacing w:line="360" w:lineRule="auto"/>
        <w:ind w:firstLine="470" w:firstLineChars="196"/>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资质条件不符合招标文件要求的；</w:t>
      </w:r>
    </w:p>
    <w:p>
      <w:pPr>
        <w:snapToGrid w:val="0"/>
        <w:spacing w:line="360" w:lineRule="auto"/>
        <w:ind w:firstLine="470" w:firstLineChars="196"/>
        <w:rPr>
          <w:rFonts w:ascii="宋体" w:hAnsi="宋体"/>
          <w:bCs/>
          <w:sz w:val="24"/>
        </w:rPr>
      </w:pPr>
      <w:r>
        <w:rPr>
          <w:rFonts w:hint="eastAsia" w:ascii="宋体" w:hAnsi="宋体"/>
          <w:bCs/>
          <w:sz w:val="24"/>
        </w:rPr>
        <w:t>（2</w:t>
      </w:r>
      <w:r>
        <w:rPr>
          <w:rFonts w:ascii="宋体" w:hAnsi="宋体"/>
          <w:bCs/>
          <w:sz w:val="24"/>
        </w:rPr>
        <w:t>）投标文件无法定代表人签字,或未</w:t>
      </w:r>
      <w:r>
        <w:rPr>
          <w:rFonts w:hint="eastAsia" w:ascii="宋体" w:hAnsi="宋体"/>
          <w:bCs/>
          <w:sz w:val="24"/>
        </w:rPr>
        <w:t>提供法定代表人授权委托书、投标声明书或者填写项目不齐全的；</w:t>
      </w:r>
    </w:p>
    <w:p>
      <w:pPr>
        <w:snapToGrid w:val="0"/>
        <w:spacing w:line="360" w:lineRule="auto"/>
        <w:ind w:firstLine="470" w:firstLineChars="196"/>
        <w:rPr>
          <w:rFonts w:ascii="宋体" w:hAnsi="宋体"/>
          <w:bCs/>
          <w:sz w:val="24"/>
        </w:rPr>
      </w:pPr>
      <w:r>
        <w:rPr>
          <w:rFonts w:hint="eastAsia" w:ascii="宋体" w:hAnsi="宋体"/>
          <w:bCs/>
          <w:sz w:val="24"/>
        </w:rPr>
        <w:t>（3</w:t>
      </w:r>
      <w:r>
        <w:rPr>
          <w:rFonts w:ascii="宋体" w:hAnsi="宋体"/>
          <w:bCs/>
          <w:sz w:val="24"/>
        </w:rPr>
        <w:t>）</w:t>
      </w:r>
      <w:r>
        <w:rPr>
          <w:rFonts w:hint="eastAsia" w:ascii="宋体" w:hAnsi="宋体"/>
          <w:bCs/>
          <w:sz w:val="24"/>
        </w:rPr>
        <w:t>投标代表人未能出具身份证明或与法定代表人授权委托人身份不符的；</w:t>
      </w:r>
    </w:p>
    <w:p>
      <w:pPr>
        <w:pStyle w:val="16"/>
        <w:snapToGrid w:val="0"/>
        <w:spacing w:line="360" w:lineRule="auto"/>
        <w:ind w:firstLine="470" w:firstLineChars="196"/>
        <w:rPr>
          <w:rFonts w:hAnsi="宋体"/>
          <w:bCs/>
          <w:spacing w:val="0"/>
          <w:sz w:val="24"/>
          <w:szCs w:val="24"/>
        </w:rPr>
      </w:pPr>
      <w:r>
        <w:rPr>
          <w:rFonts w:hAnsi="宋体"/>
          <w:bCs/>
          <w:spacing w:val="0"/>
          <w:sz w:val="24"/>
          <w:szCs w:val="24"/>
        </w:rPr>
        <w:t>（</w:t>
      </w:r>
      <w:r>
        <w:rPr>
          <w:rFonts w:hint="eastAsia" w:hAnsi="宋体"/>
          <w:bCs/>
          <w:spacing w:val="0"/>
          <w:sz w:val="24"/>
          <w:szCs w:val="24"/>
        </w:rPr>
        <w:t>4</w:t>
      </w:r>
      <w:r>
        <w:rPr>
          <w:rFonts w:hAnsi="宋体"/>
          <w:bCs/>
          <w:spacing w:val="0"/>
          <w:sz w:val="24"/>
          <w:szCs w:val="24"/>
        </w:rPr>
        <w:t>）投标文件格式不规范、项目不齐全或者内容虚假的；</w:t>
      </w:r>
    </w:p>
    <w:p>
      <w:pPr>
        <w:pStyle w:val="16"/>
        <w:snapToGrid w:val="0"/>
        <w:spacing w:line="360" w:lineRule="auto"/>
        <w:ind w:firstLine="470" w:firstLineChars="196"/>
        <w:rPr>
          <w:rFonts w:hAnsi="宋体"/>
          <w:bCs/>
          <w:spacing w:val="0"/>
          <w:sz w:val="24"/>
          <w:szCs w:val="24"/>
        </w:rPr>
      </w:pPr>
      <w:r>
        <w:rPr>
          <w:rFonts w:hAnsi="宋体"/>
          <w:bCs/>
          <w:spacing w:val="0"/>
          <w:sz w:val="24"/>
          <w:szCs w:val="24"/>
        </w:rPr>
        <w:t>（</w:t>
      </w:r>
      <w:r>
        <w:rPr>
          <w:rFonts w:hint="eastAsia" w:hAnsi="宋体"/>
          <w:bCs/>
          <w:spacing w:val="0"/>
          <w:sz w:val="24"/>
          <w:szCs w:val="24"/>
        </w:rPr>
        <w:t>5</w:t>
      </w:r>
      <w:r>
        <w:rPr>
          <w:rFonts w:hAnsi="宋体"/>
          <w:bCs/>
          <w:spacing w:val="0"/>
          <w:sz w:val="24"/>
          <w:szCs w:val="24"/>
        </w:rPr>
        <w:t>）投标文件的实质性内容未使用中文表述、意思表述不明确、前后矛盾或者使用计量单位不符合招标文件要求的（经评标委员会认定</w:t>
      </w:r>
      <w:r>
        <w:rPr>
          <w:rFonts w:hint="eastAsia" w:hAnsi="宋体"/>
          <w:bCs/>
          <w:spacing w:val="0"/>
          <w:sz w:val="24"/>
          <w:szCs w:val="24"/>
        </w:rPr>
        <w:t>并</w:t>
      </w:r>
      <w:r>
        <w:rPr>
          <w:rFonts w:hAnsi="宋体"/>
          <w:bCs/>
          <w:spacing w:val="0"/>
          <w:sz w:val="24"/>
          <w:szCs w:val="24"/>
        </w:rPr>
        <w:t>允许其当场更正的笔误除外）</w:t>
      </w:r>
      <w:r>
        <w:rPr>
          <w:rFonts w:hint="eastAsia" w:hAnsi="宋体"/>
          <w:bCs/>
          <w:spacing w:val="0"/>
          <w:sz w:val="24"/>
          <w:szCs w:val="24"/>
        </w:rPr>
        <w:t>；</w:t>
      </w:r>
    </w:p>
    <w:p>
      <w:pPr>
        <w:pStyle w:val="16"/>
        <w:snapToGrid w:val="0"/>
        <w:spacing w:line="360" w:lineRule="auto"/>
        <w:ind w:firstLine="470" w:firstLineChars="196"/>
        <w:rPr>
          <w:rFonts w:hAnsi="宋体"/>
          <w:bCs/>
          <w:spacing w:val="0"/>
          <w:sz w:val="24"/>
          <w:szCs w:val="24"/>
        </w:rPr>
      </w:pPr>
      <w:r>
        <w:rPr>
          <w:rFonts w:hAnsi="宋体"/>
          <w:bCs/>
          <w:spacing w:val="0"/>
          <w:sz w:val="24"/>
          <w:szCs w:val="24"/>
        </w:rPr>
        <w:t>（</w:t>
      </w:r>
      <w:r>
        <w:rPr>
          <w:rFonts w:hint="eastAsia" w:hAnsi="宋体"/>
          <w:bCs/>
          <w:spacing w:val="0"/>
          <w:sz w:val="24"/>
          <w:szCs w:val="24"/>
        </w:rPr>
        <w:t>6</w:t>
      </w:r>
      <w:r>
        <w:rPr>
          <w:rFonts w:hAnsi="宋体"/>
          <w:bCs/>
          <w:spacing w:val="0"/>
          <w:sz w:val="24"/>
          <w:szCs w:val="24"/>
        </w:rPr>
        <w:t>）投标有效期、</w:t>
      </w:r>
      <w:r>
        <w:rPr>
          <w:rFonts w:hint="eastAsia" w:hAnsi="宋体"/>
          <w:bCs/>
          <w:spacing w:val="0"/>
          <w:sz w:val="24"/>
          <w:szCs w:val="24"/>
        </w:rPr>
        <w:t>交货期</w:t>
      </w:r>
      <w:r>
        <w:rPr>
          <w:rFonts w:hAnsi="宋体"/>
          <w:bCs/>
          <w:spacing w:val="0"/>
          <w:sz w:val="24"/>
          <w:szCs w:val="24"/>
        </w:rPr>
        <w:t>、质保期等商务条款不能满足招标文件要求的；</w:t>
      </w:r>
    </w:p>
    <w:p>
      <w:pPr>
        <w:pStyle w:val="16"/>
        <w:snapToGrid w:val="0"/>
        <w:spacing w:line="360" w:lineRule="auto"/>
        <w:ind w:firstLine="470" w:firstLineChars="196"/>
        <w:rPr>
          <w:sz w:val="24"/>
          <w:szCs w:val="24"/>
        </w:rPr>
      </w:pPr>
      <w:r>
        <w:rPr>
          <w:rFonts w:hAnsi="宋体"/>
          <w:bCs/>
          <w:spacing w:val="0"/>
          <w:sz w:val="24"/>
          <w:szCs w:val="24"/>
        </w:rPr>
        <w:t>（</w:t>
      </w:r>
      <w:r>
        <w:rPr>
          <w:rFonts w:hint="eastAsia" w:hAnsi="宋体"/>
          <w:bCs/>
          <w:spacing w:val="0"/>
          <w:sz w:val="24"/>
          <w:szCs w:val="24"/>
        </w:rPr>
        <w:t>7</w:t>
      </w:r>
      <w:r>
        <w:rPr>
          <w:rFonts w:hAnsi="宋体"/>
          <w:bCs/>
          <w:spacing w:val="0"/>
          <w:sz w:val="24"/>
          <w:szCs w:val="24"/>
        </w:rPr>
        <w:t>）</w:t>
      </w:r>
      <w:r>
        <w:rPr>
          <w:rFonts w:hint="eastAsia" w:hAnsi="宋体"/>
          <w:bCs/>
          <w:spacing w:val="0"/>
          <w:sz w:val="24"/>
          <w:szCs w:val="24"/>
        </w:rPr>
        <w:t>未实质性</w:t>
      </w:r>
      <w:r>
        <w:rPr>
          <w:rFonts w:hAnsi="宋体"/>
          <w:bCs/>
          <w:spacing w:val="0"/>
          <w:sz w:val="24"/>
          <w:szCs w:val="24"/>
        </w:rPr>
        <w:t>响应招标文件要求或者投标文件有招标方不能接受</w:t>
      </w:r>
      <w:r>
        <w:rPr>
          <w:sz w:val="24"/>
          <w:szCs w:val="24"/>
        </w:rPr>
        <w:t>的附加条件的；</w:t>
      </w:r>
    </w:p>
    <w:p>
      <w:pPr>
        <w:pStyle w:val="16"/>
        <w:snapToGrid w:val="0"/>
        <w:spacing w:line="360" w:lineRule="auto"/>
        <w:ind w:firstLine="454" w:firstLineChars="196"/>
        <w:rPr>
          <w:rFonts w:hAnsi="宋体"/>
          <w:bCs/>
          <w:spacing w:val="0"/>
          <w:sz w:val="24"/>
          <w:szCs w:val="24"/>
        </w:rPr>
      </w:pPr>
      <w:r>
        <w:rPr>
          <w:rFonts w:hint="eastAsia"/>
          <w:sz w:val="24"/>
          <w:szCs w:val="24"/>
          <w:lang w:eastAsia="zh-CN"/>
        </w:rPr>
        <w:t>（</w:t>
      </w:r>
      <w:r>
        <w:rPr>
          <w:rFonts w:hint="eastAsia"/>
          <w:sz w:val="24"/>
          <w:szCs w:val="24"/>
        </w:rPr>
        <w:t>8）</w:t>
      </w:r>
      <w:r>
        <w:rPr>
          <w:rFonts w:hint="eastAsia" w:hAnsi="宋体"/>
          <w:bCs/>
          <w:spacing w:val="0"/>
          <w:sz w:val="24"/>
          <w:szCs w:val="24"/>
        </w:rPr>
        <w:t>供应商提供的《中小企业声明函》未采用本采购文件的模板或提供的《中小企业声明函》未填写完整的或未如实填写《中小企业声明函》的。</w:t>
      </w:r>
    </w:p>
    <w:p>
      <w:pPr>
        <w:pStyle w:val="16"/>
        <w:snapToGrid w:val="0"/>
        <w:spacing w:line="360" w:lineRule="auto"/>
        <w:ind w:firstLine="470" w:firstLineChars="196"/>
        <w:rPr>
          <w:sz w:val="24"/>
          <w:szCs w:val="24"/>
        </w:rPr>
      </w:pPr>
      <w:r>
        <w:rPr>
          <w:rFonts w:hint="eastAsia" w:hAnsi="宋体"/>
          <w:bCs/>
          <w:spacing w:val="0"/>
          <w:sz w:val="24"/>
          <w:szCs w:val="24"/>
        </w:rPr>
        <w:t>（9）</w:t>
      </w:r>
      <w:r>
        <w:rPr>
          <w:rFonts w:hAnsi="宋体" w:cs="宋体"/>
          <w:sz w:val="24"/>
          <w:szCs w:val="24"/>
        </w:rPr>
        <w:t>供应商在《中小企业声明函》中所填企业规模不是中型、小型或微型企业的。</w:t>
      </w:r>
    </w:p>
    <w:p>
      <w:pPr>
        <w:pStyle w:val="16"/>
        <w:snapToGrid w:val="0"/>
        <w:spacing w:line="360" w:lineRule="auto"/>
        <w:ind w:firstLine="457" w:firstLineChars="196"/>
        <w:rPr>
          <w:rFonts w:hAnsi="宋体"/>
          <w:b/>
          <w:bCs/>
          <w:sz w:val="24"/>
          <w:szCs w:val="24"/>
        </w:rPr>
      </w:pPr>
      <w:r>
        <w:rPr>
          <w:rFonts w:hAnsi="宋体"/>
          <w:b/>
          <w:bCs/>
          <w:sz w:val="24"/>
          <w:szCs w:val="24"/>
        </w:rPr>
        <w:t>2</w:t>
      </w:r>
      <w:r>
        <w:rPr>
          <w:rFonts w:hint="eastAsia" w:hAnsi="宋体"/>
          <w:b/>
          <w:bCs/>
          <w:sz w:val="24"/>
          <w:szCs w:val="24"/>
        </w:rPr>
        <w:t>.</w:t>
      </w:r>
      <w:r>
        <w:rPr>
          <w:rFonts w:hAnsi="宋体"/>
          <w:b/>
          <w:bCs/>
          <w:sz w:val="24"/>
          <w:szCs w:val="24"/>
        </w:rPr>
        <w:t>在技术评审时，如发现下列情形之一的，投标文件将被视为无效：</w:t>
      </w:r>
    </w:p>
    <w:p>
      <w:pPr>
        <w:pStyle w:val="16"/>
        <w:snapToGrid w:val="0"/>
        <w:spacing w:line="360" w:lineRule="auto"/>
        <w:ind w:firstLine="457" w:firstLineChars="196"/>
        <w:rPr>
          <w:rFonts w:hAnsi="宋体"/>
          <w:sz w:val="24"/>
          <w:szCs w:val="24"/>
        </w:rPr>
      </w:pPr>
      <w:r>
        <w:rPr>
          <w:rFonts w:hAnsi="宋体"/>
          <w:b/>
          <w:sz w:val="24"/>
          <w:szCs w:val="24"/>
        </w:rPr>
        <w:t>（</w:t>
      </w:r>
      <w:r>
        <w:rPr>
          <w:rFonts w:hAnsi="宋体"/>
          <w:sz w:val="24"/>
          <w:szCs w:val="24"/>
        </w:rPr>
        <w:t>1）未提供或未如实提供投标货物的技术参数，或者投标文件标明的响应或偏离与事实不符或虚假投标的；</w:t>
      </w:r>
    </w:p>
    <w:p>
      <w:pPr>
        <w:pStyle w:val="16"/>
        <w:snapToGrid w:val="0"/>
        <w:spacing w:line="360" w:lineRule="auto"/>
        <w:ind w:firstLine="470" w:firstLineChars="196"/>
        <w:rPr>
          <w:rFonts w:hAnsi="Times New Roman"/>
          <w:spacing w:val="0"/>
          <w:sz w:val="24"/>
          <w:szCs w:val="24"/>
        </w:rPr>
      </w:pPr>
      <w:r>
        <w:rPr>
          <w:rFonts w:hAnsi="Times New Roman"/>
          <w:spacing w:val="0"/>
          <w:sz w:val="24"/>
          <w:szCs w:val="24"/>
        </w:rPr>
        <w:t>（2）明显不符合招标文件</w:t>
      </w:r>
      <w:r>
        <w:rPr>
          <w:rFonts w:hint="eastAsia" w:hAnsi="Times New Roman"/>
          <w:spacing w:val="0"/>
          <w:sz w:val="24"/>
          <w:szCs w:val="24"/>
        </w:rPr>
        <w:t>要求</w:t>
      </w:r>
      <w:r>
        <w:rPr>
          <w:rFonts w:hAnsi="Times New Roman"/>
          <w:spacing w:val="0"/>
          <w:sz w:val="24"/>
          <w:szCs w:val="24"/>
        </w:rPr>
        <w:t>的规格型号、质量标准，或者</w:t>
      </w:r>
      <w:r>
        <w:rPr>
          <w:rFonts w:hint="eastAsia" w:hAnsi="Times New Roman"/>
          <w:spacing w:val="0"/>
          <w:sz w:val="24"/>
          <w:szCs w:val="24"/>
        </w:rPr>
        <w:t>与</w:t>
      </w:r>
      <w:r>
        <w:rPr>
          <w:rFonts w:hAnsi="Times New Roman"/>
          <w:spacing w:val="0"/>
          <w:sz w:val="24"/>
          <w:szCs w:val="24"/>
        </w:rPr>
        <w:t>招标文件中标“▲”的技术指标、主要功能项目发生实质性偏离的；</w:t>
      </w:r>
    </w:p>
    <w:p>
      <w:pPr>
        <w:pStyle w:val="16"/>
        <w:snapToGrid w:val="0"/>
        <w:spacing w:line="360" w:lineRule="auto"/>
        <w:ind w:firstLine="470" w:firstLineChars="196"/>
        <w:rPr>
          <w:rFonts w:hAnsi="Times New Roman"/>
          <w:spacing w:val="0"/>
          <w:sz w:val="24"/>
          <w:szCs w:val="24"/>
        </w:rPr>
      </w:pPr>
      <w:r>
        <w:rPr>
          <w:rFonts w:hAnsi="Times New Roman"/>
          <w:spacing w:val="0"/>
          <w:sz w:val="24"/>
          <w:szCs w:val="24"/>
        </w:rPr>
        <w:t>（3）投标技术方案不明确，存在一个或一个以上备选（替代）投标方案的；</w:t>
      </w:r>
    </w:p>
    <w:p>
      <w:pPr>
        <w:pStyle w:val="16"/>
        <w:snapToGrid w:val="0"/>
        <w:spacing w:line="360" w:lineRule="auto"/>
        <w:ind w:firstLine="470" w:firstLineChars="196"/>
        <w:rPr>
          <w:rFonts w:hAnsi="Times New Roman"/>
          <w:spacing w:val="0"/>
          <w:sz w:val="24"/>
          <w:szCs w:val="24"/>
        </w:rPr>
      </w:pPr>
      <w:r>
        <w:rPr>
          <w:rFonts w:hAnsi="Times New Roman"/>
          <w:spacing w:val="0"/>
          <w:sz w:val="24"/>
          <w:szCs w:val="24"/>
        </w:rPr>
        <w:t>（4）</w:t>
      </w:r>
      <w:r>
        <w:rPr>
          <w:rFonts w:hint="eastAsia" w:hAnsi="Times New Roman"/>
          <w:spacing w:val="0"/>
          <w:sz w:val="24"/>
          <w:szCs w:val="24"/>
        </w:rPr>
        <w:t>与其他参加本次投标供应商的投标文件（技术文件）的文字表述内容相同连续20行以上或者差错相同2处以上的；</w:t>
      </w:r>
    </w:p>
    <w:p>
      <w:pPr>
        <w:pStyle w:val="16"/>
        <w:snapToGrid w:val="0"/>
        <w:spacing w:line="360" w:lineRule="auto"/>
        <w:ind w:firstLine="457" w:firstLineChars="196"/>
        <w:rPr>
          <w:rFonts w:hAnsi="宋体"/>
          <w:b/>
          <w:bCs/>
          <w:sz w:val="24"/>
          <w:szCs w:val="24"/>
        </w:rPr>
      </w:pPr>
      <w:r>
        <w:rPr>
          <w:rFonts w:hAnsi="宋体"/>
          <w:b/>
          <w:bCs/>
          <w:sz w:val="24"/>
          <w:szCs w:val="24"/>
        </w:rPr>
        <w:t>3</w:t>
      </w:r>
      <w:r>
        <w:rPr>
          <w:rFonts w:hint="eastAsia" w:hAnsi="宋体"/>
          <w:b/>
          <w:bCs/>
          <w:sz w:val="24"/>
          <w:szCs w:val="24"/>
        </w:rPr>
        <w:t>.</w:t>
      </w:r>
      <w:r>
        <w:rPr>
          <w:rFonts w:hAnsi="宋体"/>
          <w:b/>
          <w:bCs/>
          <w:sz w:val="24"/>
          <w:szCs w:val="24"/>
        </w:rPr>
        <w:t>在报价评审时，如发现下列情形之一的，投标文件将被视为无效：</w:t>
      </w:r>
    </w:p>
    <w:p>
      <w:pPr>
        <w:pStyle w:val="16"/>
        <w:snapToGrid w:val="0"/>
        <w:spacing w:line="360" w:lineRule="auto"/>
        <w:ind w:firstLine="457" w:firstLineChars="196"/>
        <w:rPr>
          <w:rFonts w:hAnsi="宋体"/>
          <w:sz w:val="24"/>
          <w:szCs w:val="24"/>
        </w:rPr>
      </w:pPr>
      <w:r>
        <w:rPr>
          <w:rFonts w:hAnsi="宋体"/>
          <w:b/>
          <w:sz w:val="24"/>
          <w:szCs w:val="24"/>
        </w:rPr>
        <w:t>（</w:t>
      </w:r>
      <w:r>
        <w:rPr>
          <w:rFonts w:hAnsi="宋体"/>
          <w:sz w:val="24"/>
          <w:szCs w:val="24"/>
        </w:rPr>
        <w:t>1）未采用人民币报价或者未按照招标文件标明的币种报价的；</w:t>
      </w:r>
    </w:p>
    <w:p>
      <w:pPr>
        <w:pStyle w:val="16"/>
        <w:snapToGrid w:val="0"/>
        <w:spacing w:line="360" w:lineRule="auto"/>
        <w:ind w:firstLine="457" w:firstLineChars="196"/>
        <w:rPr>
          <w:rFonts w:hAnsi="宋体"/>
          <w:sz w:val="24"/>
          <w:szCs w:val="24"/>
        </w:rPr>
      </w:pPr>
      <w:r>
        <w:rPr>
          <w:rFonts w:hAnsi="宋体"/>
          <w:b/>
          <w:sz w:val="24"/>
          <w:szCs w:val="24"/>
        </w:rPr>
        <w:t>（</w:t>
      </w:r>
      <w:r>
        <w:rPr>
          <w:rFonts w:hAnsi="宋体"/>
          <w:sz w:val="24"/>
          <w:szCs w:val="24"/>
        </w:rPr>
        <w:t>2）报价超出最高限价，采购人不能支付的</w:t>
      </w:r>
      <w:r>
        <w:rPr>
          <w:rFonts w:hint="eastAsia" w:hAnsi="宋体"/>
          <w:sz w:val="24"/>
          <w:szCs w:val="24"/>
        </w:rPr>
        <w:t>；</w:t>
      </w:r>
    </w:p>
    <w:p>
      <w:pPr>
        <w:pStyle w:val="16"/>
        <w:snapToGrid w:val="0"/>
        <w:spacing w:line="360" w:lineRule="auto"/>
        <w:ind w:firstLine="464" w:firstLineChars="200"/>
        <w:rPr>
          <w:rFonts w:hAnsi="宋体"/>
          <w:sz w:val="24"/>
          <w:szCs w:val="24"/>
        </w:rPr>
      </w:pPr>
      <w:r>
        <w:rPr>
          <w:rFonts w:hint="eastAsia" w:hAnsi="宋体"/>
          <w:sz w:val="24"/>
          <w:szCs w:val="24"/>
        </w:rPr>
        <w:t>（3） 投标报价具有选择性，或者开标价格与投标文件承诺的优惠（折扣）价格不一致的；</w:t>
      </w:r>
    </w:p>
    <w:p>
      <w:pPr>
        <w:pStyle w:val="16"/>
        <w:snapToGrid w:val="0"/>
        <w:spacing w:line="360" w:lineRule="auto"/>
        <w:ind w:firstLine="457" w:firstLineChars="196"/>
        <w:rPr>
          <w:rFonts w:hAnsi="宋体"/>
          <w:b/>
          <w:sz w:val="24"/>
          <w:szCs w:val="24"/>
        </w:rPr>
      </w:pPr>
      <w:r>
        <w:rPr>
          <w:rFonts w:hAnsi="宋体"/>
          <w:b/>
          <w:sz w:val="24"/>
          <w:szCs w:val="24"/>
        </w:rPr>
        <w:t>4</w:t>
      </w:r>
      <w:r>
        <w:rPr>
          <w:rFonts w:hint="eastAsia" w:hAnsi="宋体"/>
          <w:b/>
          <w:sz w:val="24"/>
          <w:szCs w:val="24"/>
        </w:rPr>
        <w:t>.</w:t>
      </w:r>
      <w:r>
        <w:rPr>
          <w:rFonts w:hAnsi="宋体"/>
          <w:b/>
          <w:sz w:val="24"/>
          <w:szCs w:val="24"/>
        </w:rPr>
        <w:t>被拒绝的投标文件为无效。</w:t>
      </w:r>
    </w:p>
    <w:p>
      <w:pPr>
        <w:pStyle w:val="16"/>
        <w:snapToGrid w:val="0"/>
        <w:spacing w:line="360" w:lineRule="auto"/>
        <w:ind w:firstLine="457" w:firstLineChars="196"/>
        <w:rPr>
          <w:rFonts w:hAnsi="宋体"/>
          <w:b/>
          <w:sz w:val="24"/>
          <w:szCs w:val="24"/>
        </w:rPr>
      </w:pPr>
      <w:r>
        <w:rPr>
          <w:rFonts w:hint="eastAsia" w:hAnsi="宋体"/>
          <w:b/>
          <w:sz w:val="24"/>
          <w:szCs w:val="24"/>
        </w:rPr>
        <w:t>5.仅提供备份投标文件的无效。</w:t>
      </w:r>
    </w:p>
    <w:p>
      <w:pPr>
        <w:pStyle w:val="16"/>
        <w:snapToGrid w:val="0"/>
        <w:spacing w:line="360" w:lineRule="auto"/>
        <w:ind w:firstLine="457" w:firstLineChars="196"/>
        <w:outlineLvl w:val="1"/>
        <w:rPr>
          <w:rFonts w:hAnsi="宋体"/>
          <w:b/>
          <w:snapToGrid w:val="0"/>
          <w:sz w:val="24"/>
          <w:szCs w:val="24"/>
        </w:rPr>
      </w:pPr>
      <w:r>
        <w:rPr>
          <w:rFonts w:hint="eastAsia" w:hAnsi="宋体"/>
          <w:b/>
          <w:sz w:val="24"/>
          <w:szCs w:val="24"/>
        </w:rPr>
        <w:t>四、开标</w:t>
      </w:r>
    </w:p>
    <w:p>
      <w:pPr>
        <w:pStyle w:val="16"/>
        <w:snapToGrid w:val="0"/>
        <w:spacing w:line="360" w:lineRule="auto"/>
        <w:ind w:firstLine="457" w:firstLineChars="196"/>
        <w:rPr>
          <w:rFonts w:hAnsi="宋体"/>
          <w:b/>
          <w:sz w:val="24"/>
          <w:szCs w:val="24"/>
        </w:rPr>
      </w:pPr>
      <w:r>
        <w:rPr>
          <w:rFonts w:hAnsi="宋体"/>
          <w:b/>
          <w:sz w:val="24"/>
          <w:szCs w:val="24"/>
        </w:rPr>
        <w:t>（一）开标准备</w:t>
      </w:r>
    </w:p>
    <w:p>
      <w:pPr>
        <w:pStyle w:val="16"/>
        <w:snapToGrid w:val="0"/>
        <w:spacing w:line="360" w:lineRule="auto"/>
        <w:ind w:firstLine="454" w:firstLineChars="196"/>
        <w:rPr>
          <w:rFonts w:hAnsi="宋体"/>
          <w:sz w:val="24"/>
          <w:szCs w:val="24"/>
        </w:rPr>
      </w:pPr>
      <w:r>
        <w:rPr>
          <w:rFonts w:hint="eastAsia" w:hAnsi="宋体"/>
          <w:sz w:val="24"/>
          <w:szCs w:val="24"/>
        </w:rPr>
        <w:t>1.组织机构将按照招标文件规定的时间通过“政府采购云平台”组织开标、开启投标文件，所有供应商均应当准时在线参加。</w:t>
      </w:r>
    </w:p>
    <w:p>
      <w:pPr>
        <w:pStyle w:val="16"/>
        <w:snapToGrid w:val="0"/>
        <w:spacing w:line="360" w:lineRule="auto"/>
        <w:ind w:firstLine="454" w:firstLineChars="196"/>
        <w:rPr>
          <w:rFonts w:hAnsi="宋体"/>
          <w:sz w:val="24"/>
          <w:szCs w:val="24"/>
        </w:rPr>
      </w:pPr>
      <w:r>
        <w:rPr>
          <w:rFonts w:hint="eastAsia" w:hAnsi="宋体"/>
          <w:sz w:val="24"/>
          <w:szCs w:val="24"/>
        </w:rPr>
        <w:t>2. 按照“不见面、少接触”的原则，本项目原则上采取“不见面”形式进行开评标活动,法定代表人或其授权代表无须到场，在线响应即可（通过指定的电子邮箱、传真等）。</w:t>
      </w:r>
    </w:p>
    <w:p>
      <w:pPr>
        <w:pStyle w:val="16"/>
        <w:snapToGrid w:val="0"/>
        <w:spacing w:line="360" w:lineRule="auto"/>
        <w:ind w:firstLine="457" w:firstLineChars="196"/>
        <w:rPr>
          <w:rFonts w:hAnsi="宋体"/>
          <w:b/>
          <w:sz w:val="24"/>
          <w:szCs w:val="24"/>
        </w:rPr>
      </w:pPr>
      <w:r>
        <w:rPr>
          <w:rFonts w:hAnsi="宋体"/>
          <w:b/>
          <w:sz w:val="24"/>
          <w:szCs w:val="24"/>
        </w:rPr>
        <w:t>（二） 开标程序：</w:t>
      </w:r>
    </w:p>
    <w:p>
      <w:pPr>
        <w:pStyle w:val="16"/>
        <w:snapToGrid w:val="0"/>
        <w:spacing w:line="360" w:lineRule="auto"/>
        <w:ind w:firstLine="454" w:firstLineChars="196"/>
        <w:rPr>
          <w:rFonts w:hAnsi="宋体"/>
          <w:sz w:val="24"/>
          <w:szCs w:val="24"/>
        </w:rPr>
      </w:pPr>
      <w:r>
        <w:rPr>
          <w:rFonts w:hint="eastAsia" w:hAnsi="宋体"/>
          <w:sz w:val="24"/>
          <w:szCs w:val="24"/>
        </w:rPr>
        <w:t>1.开标的准备工作由采购组织机构负责落实；</w:t>
      </w:r>
    </w:p>
    <w:p>
      <w:pPr>
        <w:pStyle w:val="16"/>
        <w:snapToGrid w:val="0"/>
        <w:spacing w:line="360" w:lineRule="auto"/>
        <w:ind w:firstLine="454" w:firstLineChars="196"/>
        <w:rPr>
          <w:rFonts w:hAnsi="宋体"/>
          <w:sz w:val="24"/>
          <w:szCs w:val="24"/>
        </w:rPr>
      </w:pPr>
      <w:r>
        <w:rPr>
          <w:rFonts w:hint="eastAsia" w:hAnsi="宋体"/>
          <w:sz w:val="24"/>
          <w:szCs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16"/>
        <w:snapToGrid w:val="0"/>
        <w:spacing w:line="360" w:lineRule="auto"/>
        <w:ind w:firstLine="457" w:firstLineChars="196"/>
        <w:rPr>
          <w:rFonts w:hAnsi="宋体"/>
          <w:b/>
          <w:sz w:val="24"/>
          <w:szCs w:val="24"/>
        </w:rPr>
      </w:pPr>
      <w:r>
        <w:rPr>
          <w:rFonts w:hint="eastAsia" w:hAnsi="宋体"/>
          <w:b/>
          <w:sz w:val="24"/>
          <w:szCs w:val="24"/>
        </w:rPr>
        <w:t>（三）开标流程</w:t>
      </w:r>
    </w:p>
    <w:p>
      <w:pPr>
        <w:pStyle w:val="16"/>
        <w:snapToGrid w:val="0"/>
        <w:spacing w:line="360" w:lineRule="auto"/>
        <w:ind w:firstLine="454" w:firstLineChars="196"/>
        <w:rPr>
          <w:rFonts w:hAnsi="宋体"/>
          <w:sz w:val="24"/>
          <w:szCs w:val="24"/>
        </w:rPr>
      </w:pPr>
      <w:r>
        <w:rPr>
          <w:rFonts w:hint="eastAsia" w:hAnsi="宋体"/>
          <w:sz w:val="24"/>
          <w:szCs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16"/>
        <w:snapToGrid w:val="0"/>
        <w:spacing w:line="360" w:lineRule="auto"/>
        <w:ind w:firstLine="454" w:firstLineChars="196"/>
        <w:rPr>
          <w:rFonts w:hAnsi="宋体"/>
          <w:sz w:val="24"/>
          <w:szCs w:val="24"/>
        </w:rPr>
      </w:pPr>
      <w:r>
        <w:rPr>
          <w:rFonts w:hint="eastAsia" w:hAnsi="宋体"/>
          <w:sz w:val="24"/>
          <w:szCs w:val="24"/>
        </w:rPr>
        <w:t>2.投标文件解密结束；</w:t>
      </w:r>
    </w:p>
    <w:p>
      <w:pPr>
        <w:pStyle w:val="16"/>
        <w:snapToGrid w:val="0"/>
        <w:spacing w:line="360" w:lineRule="auto"/>
        <w:ind w:firstLine="454" w:firstLineChars="196"/>
        <w:rPr>
          <w:rFonts w:hAnsi="宋体"/>
          <w:sz w:val="24"/>
          <w:szCs w:val="24"/>
        </w:rPr>
      </w:pPr>
      <w:r>
        <w:rPr>
          <w:rFonts w:hint="eastAsia" w:hAnsi="宋体"/>
          <w:sz w:val="24"/>
          <w:szCs w:val="24"/>
        </w:rPr>
        <w:t>3.开启投标文件，进入资格审查；</w:t>
      </w:r>
    </w:p>
    <w:p>
      <w:pPr>
        <w:pStyle w:val="16"/>
        <w:snapToGrid w:val="0"/>
        <w:spacing w:line="360" w:lineRule="auto"/>
        <w:ind w:firstLine="454" w:firstLineChars="196"/>
        <w:rPr>
          <w:rFonts w:hAnsi="宋体"/>
          <w:sz w:val="24"/>
          <w:szCs w:val="24"/>
        </w:rPr>
      </w:pPr>
      <w:r>
        <w:rPr>
          <w:rFonts w:hint="eastAsia" w:hAnsi="宋体"/>
          <w:sz w:val="24"/>
          <w:szCs w:val="24"/>
        </w:rPr>
        <w:t>4.开启资格审查通过的投标供应商的商务技术文件进入符合性审查、商务技术评审；</w:t>
      </w:r>
    </w:p>
    <w:p>
      <w:pPr>
        <w:pStyle w:val="16"/>
        <w:snapToGrid w:val="0"/>
        <w:spacing w:line="360" w:lineRule="auto"/>
        <w:ind w:firstLine="454" w:firstLineChars="196"/>
        <w:rPr>
          <w:rFonts w:hAnsi="宋体"/>
          <w:sz w:val="24"/>
          <w:szCs w:val="24"/>
        </w:rPr>
      </w:pPr>
      <w:r>
        <w:rPr>
          <w:rFonts w:hint="eastAsia" w:hAnsi="宋体"/>
          <w:sz w:val="24"/>
          <w:szCs w:val="24"/>
        </w:rPr>
        <w:t>1）符合性审查、商务技术评审结束后，公布符合性审查、商务技术评审无效供应商名称及理由；公布经商务技术评审后有效投标供应商的名单，同时公布其商务技术部分得分情况。</w:t>
      </w:r>
    </w:p>
    <w:p>
      <w:pPr>
        <w:pStyle w:val="16"/>
        <w:snapToGrid w:val="0"/>
        <w:spacing w:line="360" w:lineRule="auto"/>
        <w:ind w:firstLine="454" w:firstLineChars="196"/>
        <w:rPr>
          <w:rFonts w:hAnsi="宋体"/>
          <w:sz w:val="24"/>
          <w:szCs w:val="24"/>
        </w:rPr>
      </w:pPr>
      <w:r>
        <w:rPr>
          <w:rFonts w:hint="eastAsia" w:hAnsi="宋体"/>
          <w:sz w:val="24"/>
          <w:szCs w:val="24"/>
        </w:rPr>
        <w:t>2）开启符合性审查、商务技术评审有效投标供应商的《报价文件》，公布开标一览表有关内容，同时当场制作开标记录表，唱标结束后，由评标委员会对报价的合理性、准确性等进行审查核实。</w:t>
      </w:r>
    </w:p>
    <w:p>
      <w:pPr>
        <w:pStyle w:val="16"/>
        <w:snapToGrid w:val="0"/>
        <w:spacing w:line="360" w:lineRule="auto"/>
        <w:ind w:firstLine="454" w:firstLineChars="196"/>
        <w:rPr>
          <w:rFonts w:hAnsi="宋体"/>
          <w:sz w:val="24"/>
          <w:szCs w:val="24"/>
        </w:rPr>
      </w:pPr>
      <w:r>
        <w:rPr>
          <w:rFonts w:hint="eastAsia" w:hAnsi="宋体"/>
          <w:sz w:val="24"/>
          <w:szCs w:val="24"/>
        </w:rPr>
        <w:t>3）公布报价部分得分情况；</w:t>
      </w:r>
    </w:p>
    <w:p>
      <w:pPr>
        <w:pStyle w:val="16"/>
        <w:snapToGrid w:val="0"/>
        <w:spacing w:line="360" w:lineRule="auto"/>
        <w:ind w:firstLine="454" w:firstLineChars="196"/>
        <w:rPr>
          <w:rFonts w:hAnsi="宋体"/>
          <w:sz w:val="24"/>
          <w:szCs w:val="24"/>
        </w:rPr>
      </w:pPr>
      <w:r>
        <w:rPr>
          <w:rFonts w:hint="eastAsia" w:hAnsi="宋体"/>
          <w:sz w:val="24"/>
          <w:szCs w:val="24"/>
        </w:rPr>
        <w:t>4）评审结束后，公布中标（成交）候选供应商名单等。</w:t>
      </w:r>
    </w:p>
    <w:p>
      <w:pPr>
        <w:pStyle w:val="16"/>
        <w:snapToGrid w:val="0"/>
        <w:spacing w:line="360" w:lineRule="auto"/>
        <w:ind w:firstLine="454" w:firstLineChars="196"/>
        <w:rPr>
          <w:rFonts w:hAnsi="宋体"/>
          <w:sz w:val="24"/>
          <w:szCs w:val="24"/>
        </w:rPr>
      </w:pPr>
      <w:r>
        <w:rPr>
          <w:rFonts w:hint="eastAsia" w:hAnsi="宋体"/>
          <w:sz w:val="24"/>
          <w:szCs w:val="24"/>
        </w:rPr>
        <w:t>5）开标结束。</w:t>
      </w:r>
    </w:p>
    <w:p>
      <w:pPr>
        <w:pStyle w:val="16"/>
        <w:snapToGrid w:val="0"/>
        <w:spacing w:line="360" w:lineRule="auto"/>
        <w:ind w:firstLine="454" w:firstLineChars="196"/>
        <w:rPr>
          <w:rFonts w:hAnsi="宋体"/>
          <w:sz w:val="24"/>
          <w:szCs w:val="24"/>
        </w:rPr>
      </w:pPr>
      <w:r>
        <w:rPr>
          <w:rFonts w:hint="eastAsia" w:hAnsi="宋体"/>
          <w:sz w:val="24"/>
          <w:szCs w:val="24"/>
        </w:rPr>
        <w:t>特别说明：如遇“政府采购云平台”电子化开标或评审程序调整的，按调整后程序执行。</w:t>
      </w:r>
      <w:bookmarkStart w:id="2" w:name="_Toc33194393"/>
      <w:bookmarkStart w:id="3" w:name="_Toc24550037"/>
    </w:p>
    <w:p>
      <w:pPr>
        <w:pStyle w:val="16"/>
        <w:snapToGrid w:val="0"/>
        <w:spacing w:line="360" w:lineRule="auto"/>
        <w:ind w:firstLine="457" w:firstLineChars="196"/>
        <w:rPr>
          <w:rFonts w:hAnsi="宋体"/>
          <w:b/>
          <w:sz w:val="24"/>
          <w:szCs w:val="24"/>
        </w:rPr>
      </w:pPr>
      <w:r>
        <w:rPr>
          <w:rFonts w:hint="eastAsia" w:hAnsi="宋体"/>
          <w:b/>
          <w:sz w:val="24"/>
          <w:szCs w:val="24"/>
        </w:rPr>
        <w:t>（四）投标供应商资格审查</w:t>
      </w:r>
      <w:bookmarkEnd w:id="2"/>
      <w:bookmarkEnd w:id="3"/>
    </w:p>
    <w:p>
      <w:pPr>
        <w:pStyle w:val="16"/>
        <w:snapToGrid w:val="0"/>
        <w:spacing w:line="360" w:lineRule="auto"/>
        <w:ind w:firstLine="454" w:firstLineChars="196"/>
        <w:rPr>
          <w:rFonts w:hAnsi="宋体"/>
          <w:sz w:val="24"/>
          <w:szCs w:val="24"/>
        </w:rPr>
      </w:pPr>
      <w:r>
        <w:rPr>
          <w:rFonts w:hint="eastAsia" w:hAnsi="宋体"/>
          <w:sz w:val="24"/>
          <w:szCs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20"/>
        <w:snapToGrid w:val="0"/>
        <w:spacing w:beforeLines="0" w:afterLines="0" w:line="360" w:lineRule="auto"/>
        <w:ind w:firstLine="480" w:firstLineChars="200"/>
        <w:rPr>
          <w:rFonts w:hAnsi="宋体"/>
        </w:rPr>
      </w:pPr>
      <w:r>
        <w:rPr>
          <w:rFonts w:hint="eastAsia" w:hAnsi="宋体"/>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20"/>
        <w:snapToGrid w:val="0"/>
        <w:spacing w:beforeLines="0" w:afterLines="0" w:line="360" w:lineRule="auto"/>
        <w:ind w:firstLine="480" w:firstLineChars="200"/>
        <w:rPr>
          <w:rFonts w:hAnsi="宋体"/>
          <w:bCs/>
        </w:rPr>
      </w:pPr>
      <w:r>
        <w:rPr>
          <w:rFonts w:hint="eastAsia" w:hAnsi="宋体"/>
        </w:rPr>
        <w:t>3.单位负责人为同一人或者存在直接控股、管理关系的不同供应商参加同一合同项下的政府采购活动的，相关投标供应商均作资格无效处理。</w:t>
      </w:r>
    </w:p>
    <w:p>
      <w:pPr>
        <w:pStyle w:val="20"/>
        <w:snapToGrid w:val="0"/>
        <w:spacing w:beforeLines="0" w:afterLines="0" w:line="360" w:lineRule="auto"/>
        <w:ind w:left="842" w:leftChars="267" w:hanging="281" w:hangingChars="100"/>
        <w:outlineLvl w:val="1"/>
        <w:rPr>
          <w:rFonts w:hAnsi="宋体"/>
          <w:b/>
          <w:sz w:val="28"/>
          <w:szCs w:val="28"/>
        </w:rPr>
      </w:pPr>
      <w:r>
        <w:rPr>
          <w:rFonts w:hint="eastAsia" w:hAnsi="宋体"/>
          <w:b/>
          <w:sz w:val="28"/>
          <w:szCs w:val="28"/>
        </w:rPr>
        <w:t>五、评标</w:t>
      </w:r>
    </w:p>
    <w:p>
      <w:pPr>
        <w:pStyle w:val="20"/>
        <w:snapToGrid w:val="0"/>
        <w:spacing w:beforeLines="0" w:afterLines="0" w:line="360" w:lineRule="auto"/>
        <w:ind w:left="720" w:leftChars="228" w:hanging="241" w:hangingChars="100"/>
        <w:rPr>
          <w:rFonts w:hAnsi="宋体"/>
          <w:b/>
        </w:rPr>
      </w:pPr>
      <w:r>
        <w:rPr>
          <w:rFonts w:hAnsi="宋体"/>
          <w:b/>
        </w:rPr>
        <w:t>（一）组建评标委员会</w:t>
      </w:r>
    </w:p>
    <w:p>
      <w:pPr>
        <w:pStyle w:val="20"/>
        <w:snapToGrid w:val="0"/>
        <w:spacing w:beforeLines="0" w:afterLines="0" w:line="360" w:lineRule="auto"/>
        <w:ind w:firstLine="480" w:firstLineChars="200"/>
        <w:rPr>
          <w:rFonts w:hAnsi="宋体"/>
        </w:rPr>
      </w:pPr>
      <w:r>
        <w:rPr>
          <w:rFonts w:hAnsi="宋体"/>
        </w:rPr>
        <w:t>本项目评标委员会由政府</w:t>
      </w:r>
      <w:r>
        <w:rPr>
          <w:rFonts w:hint="eastAsia" w:hAnsi="宋体"/>
        </w:rPr>
        <w:t>采购评审专家</w:t>
      </w:r>
      <w:r>
        <w:rPr>
          <w:rFonts w:hAnsi="宋体"/>
          <w:u w:val="single"/>
        </w:rPr>
        <w:t xml:space="preserve"> 4 </w:t>
      </w:r>
      <w:r>
        <w:rPr>
          <w:rFonts w:hint="eastAsia" w:hAnsi="宋体"/>
        </w:rPr>
        <w:t>人和采购人代表</w:t>
      </w:r>
      <w:r>
        <w:rPr>
          <w:rFonts w:hAnsi="宋体"/>
          <w:u w:val="single"/>
        </w:rPr>
        <w:t xml:space="preserve"> 1</w:t>
      </w:r>
      <w:r>
        <w:rPr>
          <w:rFonts w:hint="eastAsia" w:hAnsi="宋体"/>
        </w:rPr>
        <w:t>人</w:t>
      </w:r>
      <w:r>
        <w:rPr>
          <w:rFonts w:hAnsi="宋体"/>
        </w:rPr>
        <w:t>,</w:t>
      </w:r>
      <w:r>
        <w:rPr>
          <w:rFonts w:hint="eastAsia" w:hAnsi="宋体"/>
        </w:rPr>
        <w:t>共</w:t>
      </w:r>
      <w:r>
        <w:rPr>
          <w:rFonts w:hAnsi="宋体"/>
          <w:u w:val="single"/>
        </w:rPr>
        <w:t xml:space="preserve"> 5</w:t>
      </w:r>
      <w:r>
        <w:rPr>
          <w:rFonts w:hint="eastAsia" w:hAnsi="宋体"/>
        </w:rPr>
        <w:t>人组成。</w:t>
      </w:r>
    </w:p>
    <w:p>
      <w:pPr>
        <w:pStyle w:val="20"/>
        <w:snapToGrid w:val="0"/>
        <w:spacing w:beforeLines="0" w:afterLines="0" w:line="360" w:lineRule="auto"/>
        <w:ind w:firstLine="482" w:firstLineChars="200"/>
        <w:rPr>
          <w:rFonts w:hAnsi="宋体"/>
          <w:b/>
        </w:rPr>
      </w:pPr>
      <w:r>
        <w:rPr>
          <w:rFonts w:hAnsi="宋体"/>
          <w:b/>
        </w:rPr>
        <w:t>（二）评标的方式</w:t>
      </w:r>
    </w:p>
    <w:p>
      <w:pPr>
        <w:pStyle w:val="20"/>
        <w:snapToGrid w:val="0"/>
        <w:spacing w:beforeLines="0" w:afterLines="0" w:line="360" w:lineRule="auto"/>
        <w:ind w:left="719" w:leftChars="228" w:hanging="240" w:hangingChars="100"/>
        <w:rPr>
          <w:rFonts w:hAnsi="宋体"/>
        </w:rPr>
      </w:pPr>
      <w:r>
        <w:rPr>
          <w:rFonts w:hAnsi="宋体"/>
        </w:rPr>
        <w:t>本项目采用不公开方式评标，评标的依据为招标文件和投标文件。</w:t>
      </w:r>
    </w:p>
    <w:p>
      <w:pPr>
        <w:pStyle w:val="20"/>
        <w:snapToGrid w:val="0"/>
        <w:spacing w:beforeLines="0" w:afterLines="0" w:line="360" w:lineRule="auto"/>
        <w:ind w:left="720" w:leftChars="228" w:hanging="241" w:hangingChars="100"/>
        <w:rPr>
          <w:rFonts w:hAnsi="宋体"/>
          <w:b/>
          <w:bCs/>
        </w:rPr>
      </w:pPr>
      <w:r>
        <w:rPr>
          <w:rFonts w:hAnsi="宋体"/>
          <w:b/>
        </w:rPr>
        <w:t>（三）</w:t>
      </w:r>
      <w:r>
        <w:rPr>
          <w:rFonts w:hAnsi="宋体"/>
          <w:b/>
          <w:bCs/>
        </w:rPr>
        <w:t>评标程序</w:t>
      </w:r>
    </w:p>
    <w:p>
      <w:pPr>
        <w:pStyle w:val="20"/>
        <w:snapToGrid w:val="0"/>
        <w:spacing w:beforeLines="0" w:afterLines="0" w:line="360" w:lineRule="auto"/>
        <w:ind w:firstLine="470" w:firstLineChars="196"/>
        <w:rPr>
          <w:rFonts w:hAnsi="宋体"/>
        </w:rPr>
      </w:pPr>
      <w:r>
        <w:rPr>
          <w:rFonts w:hint="eastAsia" w:hAnsi="宋体"/>
        </w:rPr>
        <w:t>1.对所有通过资格审查的投标供应商的投标文件进行初步审查，审查、评价投标文件是否符合招标文件的商务、技术、服务等实质性要求。</w:t>
      </w:r>
    </w:p>
    <w:p>
      <w:pPr>
        <w:pStyle w:val="20"/>
        <w:snapToGrid w:val="0"/>
        <w:spacing w:beforeLines="0" w:afterLines="0" w:line="360" w:lineRule="auto"/>
        <w:ind w:firstLine="470" w:firstLineChars="196"/>
        <w:rPr>
          <w:rFonts w:hAnsi="宋体"/>
        </w:rPr>
      </w:pPr>
      <w:r>
        <w:rPr>
          <w:rFonts w:hint="eastAsia" w:hAnsi="宋体"/>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pPr>
        <w:pStyle w:val="20"/>
        <w:snapToGrid w:val="0"/>
        <w:spacing w:beforeLines="0" w:afterLines="0" w:line="360" w:lineRule="auto"/>
        <w:ind w:firstLine="470" w:firstLineChars="196"/>
        <w:rPr>
          <w:rFonts w:hAnsi="宋体"/>
        </w:rPr>
      </w:pPr>
      <w:r>
        <w:rPr>
          <w:rFonts w:hint="eastAsia" w:hAnsi="宋体"/>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snapToGrid w:val="0"/>
        <w:spacing w:line="360" w:lineRule="auto"/>
        <w:ind w:firstLine="482" w:firstLineChars="200"/>
        <w:rPr>
          <w:rFonts w:ascii="宋体" w:hAnsi="宋体"/>
          <w:b/>
          <w:sz w:val="24"/>
        </w:rPr>
      </w:pPr>
      <w:r>
        <w:rPr>
          <w:rFonts w:hint="eastAsia" w:ascii="宋体" w:hAnsi="宋体"/>
          <w:b/>
          <w:sz w:val="24"/>
        </w:rPr>
        <w:t>（四）澄清问题的形式</w:t>
      </w:r>
    </w:p>
    <w:p>
      <w:pPr>
        <w:snapToGrid w:val="0"/>
        <w:spacing w:line="360" w:lineRule="auto"/>
        <w:ind w:firstLine="480" w:firstLineChars="200"/>
        <w:rPr>
          <w:rFonts w:ascii="宋体" w:hAnsi="宋体"/>
          <w:sz w:val="24"/>
        </w:rPr>
      </w:pPr>
      <w:r>
        <w:rPr>
          <w:rFonts w:hint="eastAsia" w:ascii="宋体" w:hAnsi="宋体"/>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napToGrid w:val="0"/>
        <w:spacing w:line="360" w:lineRule="auto"/>
        <w:ind w:firstLine="480" w:firstLineChars="200"/>
        <w:rPr>
          <w:rFonts w:ascii="宋体" w:hAnsi="宋体"/>
          <w:sz w:val="24"/>
        </w:rPr>
      </w:pPr>
      <w:r>
        <w:rPr>
          <w:rFonts w:hint="eastAsia" w:ascii="宋体" w:hAnsi="宋体"/>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snapToGrid w:val="0"/>
        <w:spacing w:line="360" w:lineRule="auto"/>
        <w:ind w:firstLine="482" w:firstLineChars="200"/>
        <w:rPr>
          <w:b/>
          <w:sz w:val="24"/>
        </w:rPr>
      </w:pPr>
      <w:r>
        <w:rPr>
          <w:b/>
          <w:sz w:val="24"/>
        </w:rPr>
        <w:t>（五）错误修正</w:t>
      </w:r>
    </w:p>
    <w:p>
      <w:pPr>
        <w:pStyle w:val="20"/>
        <w:snapToGrid w:val="0"/>
        <w:spacing w:beforeLines="0" w:afterLines="0" w:line="360" w:lineRule="auto"/>
        <w:ind w:firstLine="470" w:firstLineChars="196"/>
      </w:pPr>
      <w:r>
        <w:t>投标文件如果出现计算或表达上的错误，修正错误的原则如下：</w:t>
      </w:r>
    </w:p>
    <w:p>
      <w:pPr>
        <w:pStyle w:val="20"/>
        <w:snapToGrid w:val="0"/>
        <w:spacing w:beforeLines="0" w:afterLines="0" w:line="360" w:lineRule="auto"/>
        <w:ind w:firstLine="470" w:firstLineChars="196"/>
      </w:pPr>
      <w:r>
        <w:t>1</w:t>
      </w:r>
      <w:r>
        <w:rPr>
          <w:rFonts w:hint="eastAsia"/>
        </w:rPr>
        <w:t>.开标一览表总价与投标报价明细表汇总数不一致的，以开标一览表为准；</w:t>
      </w:r>
    </w:p>
    <w:p>
      <w:pPr>
        <w:pStyle w:val="20"/>
        <w:snapToGrid w:val="0"/>
        <w:spacing w:beforeLines="0" w:afterLines="0" w:line="360" w:lineRule="auto"/>
        <w:ind w:firstLine="470" w:firstLineChars="196"/>
      </w:pPr>
      <w:r>
        <w:t>2</w:t>
      </w:r>
      <w:r>
        <w:rPr>
          <w:rFonts w:hint="eastAsia"/>
        </w:rPr>
        <w:t>.</w:t>
      </w:r>
      <w:r>
        <w:t>投标文件的大写金额和小写金额不一致的，以大写金额为准；</w:t>
      </w:r>
    </w:p>
    <w:p>
      <w:pPr>
        <w:pStyle w:val="20"/>
        <w:snapToGrid w:val="0"/>
        <w:spacing w:beforeLines="0" w:afterLines="0" w:line="360" w:lineRule="auto"/>
        <w:ind w:firstLine="470" w:firstLineChars="196"/>
      </w:pPr>
      <w:r>
        <w:t>3</w:t>
      </w:r>
      <w:r>
        <w:rPr>
          <w:rFonts w:hint="eastAsia"/>
        </w:rPr>
        <w:t>.</w:t>
      </w:r>
      <w:r>
        <w:t>总价金额与按单价汇总金额不一致的，以单价金额计算结果为准；</w:t>
      </w:r>
    </w:p>
    <w:p>
      <w:pPr>
        <w:pStyle w:val="20"/>
        <w:snapToGrid w:val="0"/>
        <w:spacing w:beforeLines="0" w:afterLines="0" w:line="360" w:lineRule="auto"/>
        <w:ind w:firstLine="470" w:firstLineChars="196"/>
      </w:pPr>
      <w:r>
        <w:t>4</w:t>
      </w:r>
      <w:r>
        <w:rPr>
          <w:rFonts w:hint="eastAsia"/>
        </w:rPr>
        <w:t>.</w:t>
      </w:r>
      <w:r>
        <w:t>对不同文字文本投标文件的解释发生异议的，以中文文本为准。</w:t>
      </w:r>
    </w:p>
    <w:p>
      <w:pPr>
        <w:pStyle w:val="20"/>
        <w:snapToGrid w:val="0"/>
        <w:spacing w:beforeLines="0" w:afterLines="0" w:line="360" w:lineRule="auto"/>
        <w:ind w:firstLine="482" w:firstLineChars="200"/>
        <w:rPr>
          <w:rFonts w:hAnsi="宋体"/>
          <w:b/>
          <w:bCs/>
        </w:rPr>
      </w:pPr>
      <w:r>
        <w:rPr>
          <w:rFonts w:hAnsi="宋体"/>
          <w:b/>
          <w:bCs/>
        </w:rPr>
        <w:t>按上述修正错误的原则及方法调整或修正投标文件的投标报价，投标人同意</w:t>
      </w:r>
      <w:r>
        <w:rPr>
          <w:rFonts w:hint="eastAsia" w:hAnsi="宋体"/>
          <w:b/>
          <w:bCs/>
        </w:rPr>
        <w:t>并签字确认</w:t>
      </w:r>
      <w:r>
        <w:rPr>
          <w:rFonts w:hAnsi="宋体"/>
          <w:b/>
          <w:bCs/>
        </w:rPr>
        <w:t>后，调整后的投标报价对投标人具有约束作用。如果投标人不接受修正后的报价，则其投标将</w:t>
      </w:r>
      <w:r>
        <w:rPr>
          <w:rFonts w:hint="eastAsia" w:hAnsi="宋体"/>
          <w:b/>
          <w:bCs/>
        </w:rPr>
        <w:t>作为无效投标处理</w:t>
      </w:r>
      <w:r>
        <w:rPr>
          <w:rFonts w:hAnsi="宋体"/>
          <w:b/>
          <w:bCs/>
        </w:rPr>
        <w:t>。</w:t>
      </w:r>
    </w:p>
    <w:p>
      <w:pPr>
        <w:pStyle w:val="20"/>
        <w:tabs>
          <w:tab w:val="left" w:pos="630"/>
        </w:tabs>
        <w:snapToGrid w:val="0"/>
        <w:spacing w:beforeLines="0" w:afterLines="0" w:line="360" w:lineRule="auto"/>
        <w:ind w:firstLine="472" w:firstLineChars="196"/>
        <w:rPr>
          <w:rFonts w:hAnsi="宋体"/>
          <w:b/>
        </w:rPr>
      </w:pPr>
      <w:r>
        <w:rPr>
          <w:rFonts w:hAnsi="宋体"/>
          <w:b/>
        </w:rPr>
        <w:t>（六）评标原则和评标办法</w:t>
      </w:r>
    </w:p>
    <w:p>
      <w:pPr>
        <w:pStyle w:val="20"/>
        <w:snapToGrid w:val="0"/>
        <w:spacing w:beforeLines="0" w:afterLines="0" w:line="360" w:lineRule="auto"/>
        <w:ind w:firstLine="470" w:firstLineChars="196"/>
      </w:pPr>
      <w:r>
        <w:t>1</w:t>
      </w:r>
      <w:r>
        <w:rPr>
          <w:rFonts w:hint="eastAsia"/>
        </w:rPr>
        <w:t>.</w:t>
      </w:r>
      <w: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0"/>
        <w:snapToGrid w:val="0"/>
        <w:spacing w:beforeLines="0" w:afterLines="0" w:line="360" w:lineRule="auto"/>
        <w:ind w:firstLine="470" w:firstLineChars="196"/>
      </w:pPr>
      <w:r>
        <w:t>2</w:t>
      </w:r>
      <w:r>
        <w:rPr>
          <w:rFonts w:hint="eastAsia"/>
        </w:rPr>
        <w:t>.</w:t>
      </w:r>
      <w:r>
        <w:t>评标办法。本项目评标办法是本项目采取综合评分法，具体评标内容及评分标准等详见《第四章：评标办法及评分标准》。</w:t>
      </w:r>
    </w:p>
    <w:p>
      <w:pPr>
        <w:pStyle w:val="20"/>
        <w:snapToGrid w:val="0"/>
        <w:spacing w:beforeLines="0" w:afterLines="0" w:line="360" w:lineRule="auto"/>
        <w:ind w:firstLine="482" w:firstLineChars="200"/>
        <w:rPr>
          <w:rFonts w:hAnsi="宋体"/>
          <w:b/>
        </w:rPr>
      </w:pPr>
      <w:r>
        <w:rPr>
          <w:rFonts w:hint="eastAsia" w:hAnsi="宋体"/>
          <w:b/>
        </w:rPr>
        <w:t>（七）废标</w:t>
      </w:r>
    </w:p>
    <w:p>
      <w:pPr>
        <w:pStyle w:val="20"/>
        <w:snapToGrid w:val="0"/>
        <w:spacing w:beforeLines="0" w:afterLines="0" w:line="360" w:lineRule="auto"/>
        <w:ind w:firstLine="470" w:firstLineChars="196"/>
      </w:pPr>
      <w:r>
        <w:rPr>
          <w:rFonts w:hint="eastAsia"/>
        </w:rPr>
        <w:t>在采购中，出现下列情形之一的，应予废标：</w:t>
      </w:r>
    </w:p>
    <w:p>
      <w:pPr>
        <w:pStyle w:val="20"/>
        <w:snapToGrid w:val="0"/>
        <w:spacing w:beforeLines="0" w:afterLines="0" w:line="360" w:lineRule="auto"/>
        <w:ind w:firstLine="470" w:firstLineChars="196"/>
      </w:pPr>
      <w:r>
        <w:rPr>
          <w:rFonts w:hint="eastAsia"/>
        </w:rPr>
        <w:t>1.符合专业条件的供应商或者对招标文件作实质响应的供应商不足3家的；</w:t>
      </w:r>
    </w:p>
    <w:p>
      <w:pPr>
        <w:pStyle w:val="20"/>
        <w:snapToGrid w:val="0"/>
        <w:spacing w:beforeLines="0" w:afterLines="0" w:line="360" w:lineRule="auto"/>
        <w:ind w:firstLine="470" w:firstLineChars="196"/>
      </w:pPr>
      <w:r>
        <w:rPr>
          <w:rFonts w:hint="eastAsia"/>
        </w:rPr>
        <w:t>2.出现影响采购公正的违法、违规行为的；</w:t>
      </w:r>
    </w:p>
    <w:p>
      <w:pPr>
        <w:pStyle w:val="20"/>
        <w:snapToGrid w:val="0"/>
        <w:spacing w:beforeLines="0" w:afterLines="0" w:line="360" w:lineRule="auto"/>
        <w:ind w:firstLine="470" w:firstLineChars="196"/>
      </w:pPr>
      <w:r>
        <w:rPr>
          <w:rFonts w:hint="eastAsia"/>
        </w:rPr>
        <w:t>3.报价均超过预算，不能支付的；</w:t>
      </w:r>
    </w:p>
    <w:p>
      <w:pPr>
        <w:pStyle w:val="20"/>
        <w:snapToGrid w:val="0"/>
        <w:spacing w:beforeLines="0" w:afterLines="0" w:line="360" w:lineRule="auto"/>
        <w:ind w:firstLine="470" w:firstLineChars="196"/>
      </w:pPr>
      <w:r>
        <w:rPr>
          <w:rFonts w:hint="eastAsia"/>
        </w:rPr>
        <w:t>4.因重大变故，采购任务取消的。</w:t>
      </w:r>
    </w:p>
    <w:p>
      <w:pPr>
        <w:pStyle w:val="20"/>
        <w:snapToGrid w:val="0"/>
        <w:spacing w:beforeLines="0" w:afterLines="0" w:line="360" w:lineRule="auto"/>
        <w:ind w:firstLine="482" w:firstLineChars="200"/>
        <w:rPr>
          <w:rFonts w:hAnsi="宋体"/>
          <w:b/>
        </w:rPr>
      </w:pPr>
      <w:r>
        <w:rPr>
          <w:rFonts w:hint="eastAsia" w:hAnsi="宋体"/>
          <w:b/>
        </w:rPr>
        <w:t>（八）可中止电子交易活动的情形</w:t>
      </w:r>
    </w:p>
    <w:p>
      <w:pPr>
        <w:pStyle w:val="20"/>
        <w:snapToGrid w:val="0"/>
        <w:spacing w:beforeLines="0" w:afterLines="0" w:line="360" w:lineRule="auto"/>
        <w:ind w:firstLine="470" w:firstLineChars="196"/>
      </w:pPr>
      <w:r>
        <w:rPr>
          <w:rFonts w:hint="eastAsia"/>
        </w:rPr>
        <w:t>采购过程中出现以下情形，导致电子交易平台无法正常运行，或者无法保证电子交易的公平、公正和安全时，采购组织机构可中止电子交易活动：</w:t>
      </w:r>
    </w:p>
    <w:p>
      <w:pPr>
        <w:pStyle w:val="20"/>
        <w:snapToGrid w:val="0"/>
        <w:spacing w:beforeLines="0" w:afterLines="0" w:line="360" w:lineRule="auto"/>
        <w:ind w:firstLine="470" w:firstLineChars="196"/>
      </w:pPr>
      <w:r>
        <w:rPr>
          <w:rFonts w:hint="eastAsia"/>
        </w:rPr>
        <w:t>1、电子交易平台发生故障而无法登录访问的；</w:t>
      </w:r>
    </w:p>
    <w:p>
      <w:pPr>
        <w:pStyle w:val="20"/>
        <w:snapToGrid w:val="0"/>
        <w:spacing w:beforeLines="0" w:afterLines="0" w:line="360" w:lineRule="auto"/>
        <w:ind w:firstLine="470" w:firstLineChars="196"/>
      </w:pPr>
      <w:r>
        <w:rPr>
          <w:rFonts w:hint="eastAsia"/>
        </w:rPr>
        <w:t>2、电子交易平台应用或数据库出现错误，不能进行正常操作的；</w:t>
      </w:r>
    </w:p>
    <w:p>
      <w:pPr>
        <w:pStyle w:val="20"/>
        <w:snapToGrid w:val="0"/>
        <w:spacing w:beforeLines="0" w:afterLines="0" w:line="360" w:lineRule="auto"/>
        <w:ind w:firstLine="470" w:firstLineChars="196"/>
      </w:pPr>
      <w:r>
        <w:rPr>
          <w:rFonts w:hint="eastAsia"/>
        </w:rPr>
        <w:t>3、电子交易平台发现严重安全漏洞，有潜在泄密危险的；</w:t>
      </w:r>
    </w:p>
    <w:p>
      <w:pPr>
        <w:pStyle w:val="20"/>
        <w:snapToGrid w:val="0"/>
        <w:spacing w:beforeLines="0" w:afterLines="0" w:line="360" w:lineRule="auto"/>
        <w:ind w:firstLine="470" w:firstLineChars="196"/>
      </w:pPr>
      <w:r>
        <w:rPr>
          <w:rFonts w:hint="eastAsia"/>
        </w:rPr>
        <w:t>4、病毒发作导致不能进行正常操作的；</w:t>
      </w:r>
    </w:p>
    <w:p>
      <w:pPr>
        <w:pStyle w:val="20"/>
        <w:snapToGrid w:val="0"/>
        <w:spacing w:beforeLines="0" w:afterLines="0" w:line="360" w:lineRule="auto"/>
        <w:ind w:firstLine="470" w:firstLineChars="196"/>
      </w:pPr>
      <w:r>
        <w:rPr>
          <w:rFonts w:hint="eastAsia"/>
        </w:rPr>
        <w:t>5、其他无法保证电子交易的公平、公正和安全的情况。</w:t>
      </w:r>
    </w:p>
    <w:p>
      <w:pPr>
        <w:pStyle w:val="20"/>
        <w:snapToGrid w:val="0"/>
        <w:spacing w:beforeLines="0" w:afterLines="0" w:line="360" w:lineRule="auto"/>
        <w:ind w:firstLine="470" w:firstLineChars="196"/>
      </w:pPr>
      <w:r>
        <w:rPr>
          <w:rFonts w:hint="eastAsia"/>
        </w:rPr>
        <w:t>出现前款规定情形，不影响采购公平、公正性的，采购组织机构可以待上述情形消除后继续组织电子交易活动；影响或可能影响采购公平、公正性的，应当重新采购。</w:t>
      </w:r>
    </w:p>
    <w:p>
      <w:pPr>
        <w:pStyle w:val="20"/>
        <w:snapToGrid w:val="0"/>
        <w:spacing w:beforeLines="0" w:afterLines="0" w:line="360" w:lineRule="auto"/>
        <w:ind w:firstLine="551" w:firstLineChars="196"/>
        <w:outlineLvl w:val="1"/>
        <w:rPr>
          <w:rFonts w:hAnsi="宋体"/>
          <w:b/>
          <w:sz w:val="28"/>
          <w:szCs w:val="28"/>
        </w:rPr>
      </w:pPr>
      <w:r>
        <w:rPr>
          <w:rFonts w:hint="eastAsia" w:hAnsi="宋体"/>
          <w:b/>
          <w:sz w:val="28"/>
          <w:szCs w:val="28"/>
        </w:rPr>
        <w:t>六、定标</w:t>
      </w:r>
    </w:p>
    <w:p>
      <w:pPr>
        <w:pStyle w:val="20"/>
        <w:snapToGrid w:val="0"/>
        <w:spacing w:beforeLines="0" w:afterLines="0" w:line="360" w:lineRule="auto"/>
        <w:ind w:firstLine="472" w:firstLineChars="196"/>
        <w:rPr>
          <w:b/>
          <w:bCs/>
        </w:rPr>
      </w:pPr>
      <w:r>
        <w:rPr>
          <w:rFonts w:hint="eastAsia"/>
          <w:b/>
          <w:bCs/>
        </w:rPr>
        <w:t>（一）确定中标人。</w:t>
      </w:r>
      <w:r>
        <w:rPr>
          <w:rFonts w:hint="eastAsia" w:hAnsi="宋体"/>
          <w:b/>
        </w:rPr>
        <w:t>本项目由采购人授权评标委员会确定中标人。</w:t>
      </w:r>
    </w:p>
    <w:p>
      <w:pPr>
        <w:pStyle w:val="20"/>
        <w:snapToGrid w:val="0"/>
        <w:spacing w:beforeLines="0" w:afterLines="0" w:line="360" w:lineRule="auto"/>
        <w:ind w:firstLine="470" w:firstLineChars="196"/>
      </w:pPr>
      <w:r>
        <w:rPr>
          <w:rFonts w:hint="eastAsia"/>
        </w:rPr>
        <w:t>1.采购人在收到评标报告后五个工作日内，依法确认中标供应商。</w:t>
      </w:r>
    </w:p>
    <w:p>
      <w:pPr>
        <w:pStyle w:val="20"/>
        <w:snapToGrid w:val="0"/>
        <w:spacing w:beforeLines="0" w:afterLines="0" w:line="360" w:lineRule="auto"/>
        <w:ind w:firstLine="470" w:firstLineChars="196"/>
      </w:pPr>
      <w:r>
        <w:rPr>
          <w:rFonts w:hint="eastAsia"/>
        </w:rPr>
        <w:t>2.中标供应商确定后，中标结果在财政部门指定的政府采购信息发布媒体上公告。</w:t>
      </w:r>
    </w:p>
    <w:p>
      <w:pPr>
        <w:pStyle w:val="20"/>
        <w:snapToGrid w:val="0"/>
        <w:spacing w:beforeLines="0" w:afterLines="0" w:line="360" w:lineRule="auto"/>
        <w:ind w:firstLine="470" w:firstLineChars="196"/>
      </w:pPr>
      <w:r>
        <w:rPr>
          <w:rFonts w:hint="eastAsia"/>
        </w:rPr>
        <w:t>3.在发布公告的同时，招标采购单位向中标供应商发出中标通知书，中标通知书对采购人和中标供应商具有同等法律效力。</w:t>
      </w:r>
    </w:p>
    <w:p>
      <w:pPr>
        <w:pStyle w:val="20"/>
        <w:snapToGrid w:val="0"/>
        <w:spacing w:beforeLines="0" w:afterLines="0" w:line="360" w:lineRule="auto"/>
        <w:ind w:firstLine="472" w:firstLineChars="196"/>
        <w:rPr>
          <w:b/>
        </w:rPr>
      </w:pPr>
      <w:r>
        <w:rPr>
          <w:rFonts w:hint="eastAsia"/>
          <w:b/>
        </w:rPr>
        <w:t>4根据浙江省财政厅《</w:t>
      </w:r>
      <w:r>
        <w:rPr>
          <w:b/>
        </w:rPr>
        <w:t>关于印发浙江省政府采购供应商注册及诚信管理暂行办法的通知</w:t>
      </w:r>
      <w:r>
        <w:rPr>
          <w:rFonts w:hint="eastAsia"/>
          <w:b/>
        </w:rPr>
        <w:t>》[</w:t>
      </w:r>
      <w:r>
        <w:rPr>
          <w:b/>
        </w:rPr>
        <w:t>浙财采监字〔2009〕28号</w:t>
      </w:r>
      <w:r>
        <w:rPr>
          <w:rFonts w:hint="eastAsia"/>
          <w:b/>
        </w:rPr>
        <w:t>]精神，中标供应商在领取中标通知书前，必须在《浙江政府采购网》上完成供应商的注册工作，经初审、终审及公示后方可正式领取中标通知书。</w:t>
      </w:r>
    </w:p>
    <w:p>
      <w:pPr>
        <w:pStyle w:val="20"/>
        <w:snapToGrid w:val="0"/>
        <w:spacing w:beforeLines="0" w:afterLines="0" w:line="360" w:lineRule="auto"/>
        <w:ind w:firstLine="470" w:firstLineChars="196"/>
      </w:pPr>
      <w:r>
        <w:rPr>
          <w:rFonts w:hint="eastAsia"/>
        </w:rPr>
        <w:t>5.中标通知书发出后，采购人改变中标结果，或者中标供应商放弃中标，应当承担相应的法律责任。</w:t>
      </w:r>
    </w:p>
    <w:p>
      <w:pPr>
        <w:pStyle w:val="20"/>
        <w:snapToGrid w:val="0"/>
        <w:spacing w:beforeLines="0" w:afterLines="0" w:line="360" w:lineRule="auto"/>
        <w:ind w:firstLine="470" w:firstLineChars="196"/>
      </w:pPr>
      <w:r>
        <w:rPr>
          <w:rFonts w:hint="eastAsia"/>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pPr>
        <w:pStyle w:val="20"/>
        <w:snapToGrid w:val="0"/>
        <w:spacing w:beforeLines="0" w:afterLines="0" w:line="360" w:lineRule="auto"/>
        <w:ind w:firstLine="472" w:firstLineChars="196"/>
        <w:rPr>
          <w:rFonts w:hAnsi="宋体"/>
          <w:b/>
        </w:rPr>
      </w:pPr>
      <w:r>
        <w:rPr>
          <w:rFonts w:hint="eastAsia" w:hAnsi="宋体"/>
          <w:b/>
        </w:rPr>
        <w:t>（二）中标通知书</w:t>
      </w:r>
    </w:p>
    <w:p>
      <w:pPr>
        <w:pStyle w:val="20"/>
        <w:snapToGrid w:val="0"/>
        <w:spacing w:beforeLines="0" w:afterLines="0" w:line="360" w:lineRule="auto"/>
        <w:ind w:firstLine="470" w:firstLineChars="196"/>
      </w:pPr>
      <w:r>
        <w:rPr>
          <w:rFonts w:hint="eastAsia"/>
        </w:rPr>
        <w:t>1.确定中标供应商后，招标采购单位将以书面形式发出中标通知书，通知中标的投标人其投标被接受。</w:t>
      </w:r>
    </w:p>
    <w:p>
      <w:pPr>
        <w:pStyle w:val="20"/>
        <w:snapToGrid w:val="0"/>
        <w:spacing w:beforeLines="0" w:afterLines="0" w:line="360" w:lineRule="auto"/>
        <w:ind w:firstLine="470" w:firstLineChars="196"/>
      </w:pPr>
      <w:r>
        <w:rPr>
          <w:rFonts w:hint="eastAsia"/>
        </w:rPr>
        <w:t>2.中标通知书为双方签订合同的依据。</w:t>
      </w:r>
    </w:p>
    <w:p>
      <w:pPr>
        <w:pStyle w:val="20"/>
        <w:snapToGrid w:val="0"/>
        <w:spacing w:beforeLines="0" w:afterLines="0" w:line="360" w:lineRule="auto"/>
        <w:ind w:firstLine="470" w:firstLineChars="196"/>
      </w:pPr>
      <w:r>
        <w:rPr>
          <w:rFonts w:hint="eastAsia"/>
        </w:rPr>
        <w:t>3.中标供应商应根据中标通知书中规定的时间内，由法定代表人或其授权代理人与采购人签订合同。</w:t>
      </w:r>
    </w:p>
    <w:p>
      <w:pPr>
        <w:pStyle w:val="20"/>
        <w:snapToGrid w:val="0"/>
        <w:spacing w:beforeLines="0" w:afterLines="0" w:line="360" w:lineRule="auto"/>
        <w:ind w:firstLine="551" w:firstLineChars="196"/>
        <w:outlineLvl w:val="1"/>
        <w:rPr>
          <w:rFonts w:hAnsi="宋体"/>
          <w:b/>
          <w:sz w:val="28"/>
          <w:szCs w:val="28"/>
        </w:rPr>
      </w:pPr>
      <w:r>
        <w:rPr>
          <w:rFonts w:hint="eastAsia" w:hAnsi="宋体"/>
          <w:b/>
          <w:sz w:val="28"/>
          <w:szCs w:val="28"/>
        </w:rPr>
        <w:t>七、合同授予</w:t>
      </w:r>
    </w:p>
    <w:p>
      <w:pPr>
        <w:snapToGrid w:val="0"/>
        <w:spacing w:line="360" w:lineRule="auto"/>
        <w:ind w:firstLine="472" w:firstLineChars="196"/>
        <w:rPr>
          <w:rFonts w:ascii="宋体" w:hAnsi="宋体"/>
          <w:b/>
          <w:bCs/>
          <w:sz w:val="24"/>
          <w:szCs w:val="20"/>
        </w:rPr>
      </w:pPr>
      <w:r>
        <w:rPr>
          <w:rFonts w:hint="eastAsia" w:ascii="宋体" w:hAnsi="宋体"/>
          <w:b/>
          <w:bCs/>
          <w:sz w:val="24"/>
        </w:rPr>
        <w:t>（一）签订合同</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.采购人与</w:t>
      </w:r>
      <w:r>
        <w:rPr>
          <w:rFonts w:ascii="宋体" w:hAnsi="宋体"/>
          <w:sz w:val="24"/>
        </w:rPr>
        <w:t>中标人应</w:t>
      </w:r>
      <w:r>
        <w:rPr>
          <w:rFonts w:hint="eastAsia" w:ascii="宋体" w:hAnsi="宋体"/>
          <w:sz w:val="24"/>
        </w:rPr>
        <w:t>当在《</w:t>
      </w:r>
      <w:r>
        <w:rPr>
          <w:rFonts w:ascii="宋体" w:hAnsi="宋体"/>
          <w:sz w:val="24"/>
        </w:rPr>
        <w:t>中标通知书</w:t>
      </w:r>
      <w:r>
        <w:rPr>
          <w:rFonts w:hint="eastAsia" w:ascii="宋体" w:hAnsi="宋体"/>
          <w:sz w:val="24"/>
        </w:rPr>
        <w:t>》发出之日起30日内签订政府采购合同。同时，采购代理机构对合同内容进行审查，如发现与采购结果和投标承诺内容不一致的，应予以纠正。</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中标人拖延、拒签合同的,将被取消中标资格。</w:t>
      </w:r>
    </w:p>
    <w:p>
      <w:pPr>
        <w:pStyle w:val="20"/>
        <w:snapToGrid w:val="0"/>
        <w:spacing w:beforeLines="0" w:afterLines="0" w:line="360" w:lineRule="auto"/>
        <w:ind w:firstLine="472" w:firstLineChars="196"/>
        <w:rPr>
          <w:rFonts w:hAnsi="宋体"/>
          <w:b/>
        </w:rPr>
      </w:pPr>
      <w:r>
        <w:rPr>
          <w:rFonts w:hAnsi="宋体"/>
          <w:b/>
        </w:rPr>
        <w:t>（二）履约保证金</w:t>
      </w:r>
    </w:p>
    <w:p>
      <w:pPr>
        <w:pStyle w:val="20"/>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签订合同前，中标人应按采购代理机构根据招标文件确定的履约保证金的金额，向采购</w:t>
      </w:r>
      <w:r>
        <w:rPr>
          <w:rFonts w:hint="eastAsia" w:hAnsi="宋体"/>
        </w:rPr>
        <w:t>人</w:t>
      </w:r>
      <w:r>
        <w:rPr>
          <w:rFonts w:hAnsi="宋体"/>
        </w:rPr>
        <w:t>交纳履约保证金。</w:t>
      </w:r>
    </w:p>
    <w:p>
      <w:pPr>
        <w:pStyle w:val="20"/>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签订合同后，如中标人不按双方合同约定履约，则没收其全部履约保证金，履约保证金不足以赔偿损失的，按实际损失赔偿。</w:t>
      </w:r>
    </w:p>
    <w:p>
      <w:pPr>
        <w:pStyle w:val="20"/>
        <w:snapToGrid w:val="0"/>
        <w:spacing w:beforeLines="0" w:afterLines="0" w:line="360" w:lineRule="auto"/>
        <w:ind w:firstLine="470" w:firstLineChars="196"/>
        <w:outlineLvl w:val="1"/>
        <w:rPr>
          <w:rFonts w:hAnsi="宋体"/>
        </w:rPr>
      </w:pPr>
      <w:r>
        <w:rPr>
          <w:rFonts w:hAnsi="宋体"/>
        </w:rPr>
        <w:t>3</w:t>
      </w:r>
      <w:r>
        <w:rPr>
          <w:rFonts w:hint="eastAsia" w:hAnsi="宋体"/>
        </w:rPr>
        <w:t>. 本项目的履约保证金为合同价的1%；履约保证金形式为：现金或银行、保险公司出具的保函；中标人应根据采购人要求汇入采购人指定账号或提供保函。项目终验合格后，退还履约保证金。</w:t>
      </w:r>
    </w:p>
    <w:p>
      <w:pPr>
        <w:pStyle w:val="20"/>
        <w:snapToGrid w:val="0"/>
        <w:spacing w:beforeLines="0" w:afterLines="0" w:line="360" w:lineRule="auto"/>
        <w:ind w:firstLine="551" w:firstLineChars="196"/>
        <w:outlineLvl w:val="1"/>
        <w:rPr>
          <w:rFonts w:hAnsi="宋体"/>
          <w:b/>
          <w:sz w:val="28"/>
          <w:szCs w:val="28"/>
        </w:rPr>
      </w:pPr>
      <w:r>
        <w:rPr>
          <w:rFonts w:hint="eastAsia" w:hAnsi="宋体"/>
          <w:b/>
          <w:sz w:val="28"/>
          <w:szCs w:val="28"/>
        </w:rPr>
        <w:t>(三)其他</w:t>
      </w:r>
    </w:p>
    <w:p>
      <w:pPr>
        <w:snapToGrid w:val="0"/>
        <w:spacing w:line="360" w:lineRule="auto"/>
        <w:ind w:firstLine="470" w:firstLineChars="196"/>
        <w:jc w:val="left"/>
        <w:rPr>
          <w:rFonts w:ascii="宋体" w:hAnsi="宋体"/>
          <w:sz w:val="24"/>
        </w:rPr>
      </w:pPr>
      <w:r>
        <w:rPr>
          <w:rFonts w:hint="eastAsia" w:ascii="宋体" w:hAnsi="宋体"/>
          <w:sz w:val="24"/>
        </w:rPr>
        <w:t>供应商有下列情形之一的，自愿接受取消投标资格；如已中标的，自动放弃中标资格，并承担全部法律责任；给采购人造成损失的，依法承担赔偿责任：</w:t>
      </w:r>
    </w:p>
    <w:p>
      <w:pPr>
        <w:snapToGrid w:val="0"/>
        <w:spacing w:line="360" w:lineRule="auto"/>
        <w:ind w:firstLine="470" w:firstLineChars="196"/>
        <w:rPr>
          <w:rFonts w:ascii="宋体" w:hAnsi="宋体"/>
          <w:sz w:val="24"/>
        </w:rPr>
      </w:pPr>
      <w:r>
        <w:rPr>
          <w:rFonts w:hint="eastAsia" w:ascii="宋体" w:hAnsi="宋体"/>
          <w:sz w:val="24"/>
        </w:rPr>
        <w:t>（1）供应商在投标有效期内撤回投标文件的；</w:t>
      </w:r>
    </w:p>
    <w:p>
      <w:pPr>
        <w:snapToGrid w:val="0"/>
        <w:spacing w:line="360" w:lineRule="auto"/>
        <w:ind w:firstLine="470" w:firstLineChars="196"/>
        <w:rPr>
          <w:rFonts w:ascii="宋体" w:hAnsi="宋体"/>
          <w:sz w:val="24"/>
        </w:rPr>
      </w:pPr>
      <w:r>
        <w:rPr>
          <w:rFonts w:hint="eastAsia" w:ascii="宋体" w:hAnsi="宋体"/>
          <w:sz w:val="24"/>
        </w:rPr>
        <w:t>（2）供应商在投标过程中弄虚作假，提供虚假材料的；</w:t>
      </w:r>
    </w:p>
    <w:p>
      <w:pPr>
        <w:snapToGrid w:val="0"/>
        <w:spacing w:line="360" w:lineRule="auto"/>
        <w:ind w:firstLine="470" w:firstLineChars="196"/>
        <w:rPr>
          <w:rFonts w:ascii="宋体" w:hAnsi="宋体"/>
          <w:sz w:val="24"/>
        </w:rPr>
      </w:pPr>
      <w:r>
        <w:rPr>
          <w:rFonts w:hint="eastAsia" w:ascii="宋体" w:hAnsi="宋体"/>
          <w:sz w:val="24"/>
        </w:rPr>
        <w:t>（3）中标供应商无正当理由不与采购人签订合同的；</w:t>
      </w:r>
    </w:p>
    <w:p>
      <w:pPr>
        <w:snapToGrid w:val="0"/>
        <w:spacing w:line="360" w:lineRule="auto"/>
        <w:ind w:firstLine="470" w:firstLineChars="196"/>
        <w:rPr>
          <w:rFonts w:ascii="宋体" w:hAnsi="宋体"/>
          <w:sz w:val="24"/>
        </w:rPr>
      </w:pPr>
      <w:r>
        <w:rPr>
          <w:rFonts w:hint="eastAsia" w:ascii="宋体" w:hAnsi="宋体"/>
          <w:sz w:val="24"/>
        </w:rPr>
        <w:t>（4）将中标项目转让给他人或者在投标文件中未说明且未经招标采购人同意，将中标项目分包给他人的；</w:t>
      </w:r>
    </w:p>
    <w:p>
      <w:pPr>
        <w:snapToGrid w:val="0"/>
        <w:spacing w:line="360" w:lineRule="auto"/>
        <w:ind w:firstLine="470" w:firstLineChars="196"/>
        <w:rPr>
          <w:rFonts w:ascii="宋体" w:hAnsi="宋体"/>
          <w:sz w:val="24"/>
        </w:rPr>
      </w:pPr>
      <w:r>
        <w:rPr>
          <w:rFonts w:hint="eastAsia" w:ascii="宋体" w:hAnsi="宋体"/>
          <w:sz w:val="24"/>
        </w:rPr>
        <w:t>（5）拒绝履行合同义务的；</w:t>
      </w:r>
    </w:p>
    <w:p>
      <w:pPr>
        <w:snapToGrid w:val="0"/>
        <w:spacing w:line="360" w:lineRule="auto"/>
        <w:ind w:firstLine="470" w:firstLineChars="196"/>
        <w:rPr>
          <w:rFonts w:ascii="宋体" w:hAnsi="宋体"/>
          <w:sz w:val="24"/>
        </w:rPr>
      </w:pPr>
      <w:r>
        <w:rPr>
          <w:rFonts w:hint="eastAsia" w:ascii="宋体" w:hAnsi="宋体"/>
          <w:sz w:val="24"/>
        </w:rPr>
        <w:t>（6）其他严重扰乱招投标程序的。</w:t>
      </w:r>
    </w:p>
    <w:p>
      <w:pPr>
        <w:pStyle w:val="20"/>
        <w:snapToGrid w:val="0"/>
        <w:spacing w:beforeLines="0" w:afterLines="0" w:line="360" w:lineRule="auto"/>
        <w:jc w:val="center"/>
        <w:rPr>
          <w:rFonts w:ascii="黑体" w:hAnsi="宋体" w:eastAsia="黑体"/>
          <w:sz w:val="30"/>
          <w:szCs w:val="30"/>
        </w:rPr>
      </w:pPr>
    </w:p>
    <w:p>
      <w:pPr>
        <w:pStyle w:val="20"/>
        <w:snapToGrid w:val="0"/>
        <w:spacing w:beforeLines="0" w:afterLines="0" w:line="360" w:lineRule="auto"/>
        <w:jc w:val="center"/>
        <w:rPr>
          <w:rFonts w:ascii="黑体" w:hAnsi="宋体" w:eastAsia="黑体"/>
          <w:sz w:val="30"/>
          <w:szCs w:val="30"/>
        </w:rPr>
      </w:pPr>
      <w:r>
        <w:rPr>
          <w:rFonts w:hint="eastAsia" w:ascii="黑体" w:hAnsi="宋体" w:eastAsia="黑体"/>
          <w:sz w:val="30"/>
          <w:szCs w:val="30"/>
        </w:rPr>
        <w:t>第四章  评标办法及评分标准</w:t>
      </w:r>
    </w:p>
    <w:p>
      <w:pPr>
        <w:spacing w:line="360" w:lineRule="auto"/>
        <w:ind w:firstLine="420"/>
        <w:rPr>
          <w:rFonts w:ascii="宋体" w:hAnsi="宋体"/>
          <w:sz w:val="24"/>
        </w:rPr>
      </w:pPr>
      <w:r>
        <w:rPr>
          <w:rFonts w:hint="eastAsia" w:ascii="宋体" w:hAnsi="宋体"/>
          <w:sz w:val="24"/>
        </w:rPr>
        <w:t>为公正、公平、科学地选择中标人，根据《中华人民共和国政府采购法》等有关法律法规的规定和《</w:t>
      </w:r>
      <w:r>
        <w:rPr>
          <w:rFonts w:hint="eastAsia"/>
          <w:sz w:val="24"/>
        </w:rPr>
        <w:t>湖州师范学院工学院中国智能制造挑战赛实验室设备采购项目采购文件</w:t>
      </w:r>
      <w:r>
        <w:rPr>
          <w:rFonts w:hint="eastAsia" w:ascii="宋体" w:hAnsi="宋体"/>
          <w:sz w:val="24"/>
        </w:rPr>
        <w:t>》规定，并结合本项目的实际，制定本办法。</w:t>
      </w:r>
    </w:p>
    <w:p>
      <w:pPr>
        <w:spacing w:line="360" w:lineRule="auto"/>
        <w:ind w:firstLine="420"/>
        <w:rPr>
          <w:rFonts w:ascii="宋体" w:hAnsi="宋体"/>
          <w:bCs/>
          <w:sz w:val="24"/>
          <w:szCs w:val="48"/>
        </w:rPr>
      </w:pPr>
      <w:r>
        <w:rPr>
          <w:rFonts w:hint="eastAsia" w:ascii="宋体" w:hAnsi="宋体"/>
          <w:sz w:val="24"/>
        </w:rPr>
        <w:t>本办法适用于</w:t>
      </w:r>
      <w:r>
        <w:rPr>
          <w:rFonts w:hint="eastAsia"/>
          <w:b/>
          <w:sz w:val="24"/>
        </w:rPr>
        <w:t>湖州师范学院工学院中国智能制造挑战赛实验室设备采购项目</w:t>
      </w:r>
      <w:r>
        <w:rPr>
          <w:rFonts w:hint="eastAsia" w:ascii="宋体" w:hAnsi="宋体"/>
          <w:bCs/>
          <w:sz w:val="24"/>
          <w:szCs w:val="48"/>
        </w:rPr>
        <w:t>的评标。</w:t>
      </w:r>
    </w:p>
    <w:p>
      <w:pPr>
        <w:spacing w:line="360" w:lineRule="auto"/>
        <w:ind w:firstLine="551" w:firstLineChars="196"/>
        <w:rPr>
          <w:rFonts w:ascii="宋体" w:hAnsi="宋体"/>
          <w:b/>
          <w:sz w:val="28"/>
          <w:szCs w:val="28"/>
        </w:rPr>
      </w:pPr>
      <w:r>
        <w:rPr>
          <w:rFonts w:hint="eastAsia" w:ascii="宋体" w:hAnsi="宋体"/>
          <w:b/>
          <w:sz w:val="28"/>
          <w:szCs w:val="28"/>
        </w:rPr>
        <w:t>一、总则</w:t>
      </w:r>
    </w:p>
    <w:p>
      <w:pPr>
        <w:spacing w:before="120" w:beforeLines="50" w:after="120" w:afterLines="50" w:line="360" w:lineRule="auto"/>
        <w:ind w:firstLine="480" w:firstLineChars="200"/>
        <w:rPr>
          <w:rFonts w:ascii="宋体" w:hAnsi="宋体"/>
          <w:sz w:val="24"/>
        </w:rPr>
      </w:pPr>
      <w:r>
        <w:rPr>
          <w:rFonts w:hint="eastAsia" w:ascii="宋体" w:hAnsi="宋体"/>
          <w:sz w:val="24"/>
        </w:rPr>
        <w:t>本次评标采用综合评分法，</w:t>
      </w:r>
      <w:r>
        <w:rPr>
          <w:rFonts w:hint="eastAsia" w:ascii="宋体" w:hAnsi="宋体"/>
          <w:b/>
          <w:sz w:val="24"/>
        </w:rPr>
        <w:t>总分为100分，包含：价格分（30分）、技术分（50分）、商务、资信及其他分（20分）</w:t>
      </w:r>
      <w:r>
        <w:rPr>
          <w:rFonts w:hint="eastAsia" w:ascii="宋体" w:hAnsi="宋体"/>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hint="eastAsia" w:ascii="宋体" w:hAnsi="宋体"/>
          <w:bCs/>
          <w:sz w:val="24"/>
        </w:rPr>
        <w:t>评分过程中采用四舍五入法，并保留小数2位。</w:t>
      </w:r>
    </w:p>
    <w:p>
      <w:pPr>
        <w:spacing w:line="360" w:lineRule="auto"/>
        <w:ind w:firstLine="480" w:firstLineChars="200"/>
        <w:rPr>
          <w:rFonts w:ascii="宋体" w:hAnsi="宋体"/>
          <w:sz w:val="24"/>
        </w:rPr>
      </w:pPr>
      <w:r>
        <w:rPr>
          <w:rFonts w:hint="eastAsia" w:ascii="宋体" w:hAnsi="宋体"/>
          <w:sz w:val="24"/>
        </w:rPr>
        <w:t>投标人评标</w:t>
      </w:r>
      <w:r>
        <w:rPr>
          <w:rFonts w:hint="eastAsia" w:ascii="宋体" w:hAnsi="宋体"/>
          <w:bCs/>
          <w:sz w:val="24"/>
        </w:rPr>
        <w:t>综合得分=价格分+(技术分+商务、资信及其他分)</w:t>
      </w:r>
    </w:p>
    <w:p>
      <w:pPr>
        <w:spacing w:line="360" w:lineRule="auto"/>
        <w:ind w:firstLine="562" w:firstLineChars="200"/>
        <w:rPr>
          <w:rFonts w:ascii="宋体" w:hAnsi="宋体"/>
          <w:b/>
          <w:sz w:val="28"/>
          <w:szCs w:val="28"/>
        </w:rPr>
      </w:pPr>
      <w:r>
        <w:rPr>
          <w:rFonts w:hint="eastAsia" w:ascii="宋体" w:hAnsi="宋体"/>
          <w:b/>
          <w:sz w:val="28"/>
          <w:szCs w:val="28"/>
        </w:rPr>
        <w:t>二、评标内容及标准</w:t>
      </w:r>
    </w:p>
    <w:p>
      <w:pPr>
        <w:pStyle w:val="16"/>
        <w:spacing w:line="360" w:lineRule="auto"/>
        <w:ind w:firstLine="466" w:firstLineChars="200"/>
        <w:rPr>
          <w:rFonts w:hAnsi="宋体"/>
          <w:b/>
          <w:bCs/>
          <w:sz w:val="24"/>
        </w:rPr>
      </w:pPr>
      <w:r>
        <w:rPr>
          <w:rFonts w:hint="eastAsia" w:hAnsi="宋体"/>
          <w:b/>
          <w:sz w:val="24"/>
        </w:rPr>
        <w:t>（一）</w:t>
      </w:r>
      <w:r>
        <w:rPr>
          <w:rFonts w:hint="eastAsia" w:hAnsi="宋体"/>
          <w:b/>
          <w:bCs/>
          <w:sz w:val="24"/>
        </w:rPr>
        <w:t>价格分（30分）</w:t>
      </w:r>
    </w:p>
    <w:p>
      <w:pPr>
        <w:pStyle w:val="16"/>
        <w:spacing w:line="360" w:lineRule="auto"/>
        <w:ind w:firstLine="464" w:firstLineChars="200"/>
        <w:rPr>
          <w:rFonts w:hAnsi="宋体"/>
          <w:bCs/>
          <w:sz w:val="24"/>
          <w:szCs w:val="24"/>
        </w:rPr>
      </w:pPr>
      <w:r>
        <w:rPr>
          <w:rFonts w:hint="eastAsia" w:hAnsi="宋体"/>
          <w:bCs/>
          <w:sz w:val="24"/>
        </w:rPr>
        <w:t>价格分</w:t>
      </w:r>
      <w:r>
        <w:rPr>
          <w:rFonts w:hint="eastAsia" w:hAnsi="宋体"/>
          <w:bCs/>
          <w:sz w:val="24"/>
          <w:szCs w:val="24"/>
        </w:rPr>
        <w:t>采用低价优先法计算，即满足招标文件要求且投标价格最低的投标报价为评标基准价，其他投标人的价格分按照下列公式计算：</w:t>
      </w:r>
    </w:p>
    <w:p>
      <w:pPr>
        <w:spacing w:line="360" w:lineRule="auto"/>
        <w:ind w:firstLine="480" w:firstLineChars="200"/>
        <w:rPr>
          <w:rFonts w:ascii="宋体" w:hAnsi="宋体"/>
          <w:sz w:val="24"/>
        </w:rPr>
      </w:pPr>
      <w:r>
        <w:rPr>
          <w:rFonts w:hint="eastAsia" w:ascii="宋体" w:hAnsi="宋体"/>
          <w:sz w:val="24"/>
        </w:rPr>
        <w:t>价格分=（评标基准价/投标报价）×30%×100</w:t>
      </w:r>
    </w:p>
    <w:p>
      <w:pPr>
        <w:spacing w:before="120" w:beforeLines="50" w:after="120" w:afterLines="50" w:line="400" w:lineRule="exact"/>
        <w:ind w:firstLine="472" w:firstLineChars="196"/>
        <w:rPr>
          <w:rFonts w:ascii="宋体" w:hAnsi="宋体"/>
          <w:b/>
          <w:sz w:val="24"/>
        </w:rPr>
      </w:pPr>
      <w:r>
        <w:rPr>
          <w:rFonts w:hint="eastAsia" w:ascii="宋体" w:hAnsi="宋体"/>
          <w:b/>
          <w:bCs/>
          <w:sz w:val="24"/>
        </w:rPr>
        <w:t>（二）</w:t>
      </w:r>
      <w:r>
        <w:rPr>
          <w:rFonts w:hint="eastAsia" w:ascii="宋体" w:hAnsi="宋体"/>
          <w:b/>
          <w:sz w:val="24"/>
        </w:rPr>
        <w:t>技术分（50分）</w:t>
      </w:r>
    </w:p>
    <w:p>
      <w:pPr>
        <w:spacing w:before="120" w:beforeLines="50" w:after="120" w:afterLines="50" w:line="400" w:lineRule="exact"/>
        <w:ind w:firstLine="472" w:firstLineChars="196"/>
        <w:rPr>
          <w:rFonts w:ascii="宋体" w:hAnsi="宋体" w:cs="仿宋"/>
          <w:kern w:val="0"/>
          <w:sz w:val="24"/>
          <w:lang w:val="zh-CN" w:bidi="zh-CN"/>
        </w:rPr>
      </w:pPr>
      <w:r>
        <w:rPr>
          <w:rFonts w:hint="eastAsia" w:ascii="宋体" w:hAnsi="宋体"/>
          <w:b/>
          <w:sz w:val="24"/>
        </w:rPr>
        <w:t>1.满足招标项目的性能及技术指标要求（30分），</w:t>
      </w:r>
      <w:r>
        <w:rPr>
          <w:rFonts w:hint="eastAsia" w:ascii="宋体" w:hAnsi="宋体" w:cs="仿宋"/>
          <w:b/>
          <w:bCs/>
          <w:kern w:val="0"/>
          <w:sz w:val="24"/>
          <w:lang w:val="zh-CN" w:bidi="zh-CN"/>
        </w:rPr>
        <w:t>任何一项不可偏离的性能指标或者技术指标低于招标需求的，投标无效</w:t>
      </w:r>
      <w:r>
        <w:rPr>
          <w:rFonts w:hint="eastAsia" w:ascii="宋体" w:hAnsi="宋体" w:cs="仿宋"/>
          <w:kern w:val="0"/>
          <w:sz w:val="24"/>
          <w:lang w:val="zh-CN" w:bidi="zh-CN"/>
        </w:rPr>
        <w:t>；技术指标与招标需求基本一致的，得基本</w:t>
      </w:r>
      <w:r>
        <w:rPr>
          <w:rFonts w:ascii="宋体" w:hAnsi="宋体" w:cs="仿宋"/>
          <w:kern w:val="0"/>
          <w:sz w:val="24"/>
          <w:lang w:bidi="zh-CN"/>
        </w:rPr>
        <w:t>20</w:t>
      </w:r>
      <w:r>
        <w:rPr>
          <w:rFonts w:hint="eastAsia" w:ascii="宋体" w:hAnsi="宋体" w:cs="仿宋"/>
          <w:kern w:val="0"/>
          <w:sz w:val="24"/>
          <w:lang w:val="zh-CN" w:bidi="zh-CN"/>
        </w:rPr>
        <w:t>分；所有不可偏离指标均满足且多数指标明显优于招标需求的，每优于一项在基本分的基础上加1分，最高得3</w:t>
      </w:r>
      <w:r>
        <w:rPr>
          <w:rFonts w:hint="eastAsia" w:ascii="宋体" w:hAnsi="宋体" w:cs="仿宋"/>
          <w:kern w:val="0"/>
          <w:sz w:val="24"/>
          <w:lang w:bidi="zh-CN"/>
        </w:rPr>
        <w:t>0</w:t>
      </w:r>
      <w:r>
        <w:rPr>
          <w:rFonts w:hint="eastAsia" w:ascii="宋体" w:hAnsi="宋体" w:cs="仿宋"/>
          <w:kern w:val="0"/>
          <w:sz w:val="24"/>
          <w:lang w:val="zh-CN" w:bidi="zh-CN"/>
        </w:rPr>
        <w:t>分；允许偏离的</w:t>
      </w:r>
      <w:r>
        <w:rPr>
          <w:rFonts w:hint="eastAsia" w:ascii="宋体" w:hAnsi="宋体"/>
          <w:bCs/>
          <w:sz w:val="24"/>
        </w:rPr>
        <w:t>带“★”号</w:t>
      </w:r>
      <w:r>
        <w:rPr>
          <w:rFonts w:hint="eastAsia" w:ascii="宋体" w:hAnsi="宋体" w:cs="仿宋"/>
          <w:kern w:val="0"/>
          <w:sz w:val="24"/>
          <w:lang w:val="zh-CN" w:bidi="zh-CN"/>
        </w:rPr>
        <w:t>指标低于招标需求（负偏离）的，每低于一项扣2分，扣完该项得分为止；允许偏离的</w:t>
      </w:r>
      <w:r>
        <w:rPr>
          <w:rFonts w:hint="eastAsia" w:ascii="宋体" w:hAnsi="宋体"/>
          <w:bCs/>
          <w:sz w:val="24"/>
        </w:rPr>
        <w:t>非带“★”号</w:t>
      </w:r>
      <w:r>
        <w:rPr>
          <w:rFonts w:hint="eastAsia" w:ascii="宋体" w:hAnsi="宋体" w:cs="仿宋"/>
          <w:kern w:val="0"/>
          <w:sz w:val="24"/>
          <w:lang w:val="zh-CN" w:bidi="zh-CN"/>
        </w:rPr>
        <w:t>指标低于招标需求（负偏离）的，每低于一项扣1分，扣完该项得分为止。</w:t>
      </w:r>
    </w:p>
    <w:p>
      <w:pPr>
        <w:spacing w:before="120" w:beforeLines="50" w:after="120" w:afterLines="50" w:line="400" w:lineRule="exact"/>
        <w:ind w:firstLine="472" w:firstLineChars="196"/>
        <w:rPr>
          <w:rFonts w:ascii="宋体" w:hAnsi="宋体"/>
          <w:bCs/>
          <w:sz w:val="24"/>
        </w:rPr>
      </w:pPr>
      <w:r>
        <w:rPr>
          <w:rFonts w:hint="eastAsia" w:ascii="宋体" w:hAnsi="宋体"/>
          <w:b/>
          <w:sz w:val="24"/>
        </w:rPr>
        <w:t>2.确保供应货物质量的设施及措施（5分），</w:t>
      </w:r>
      <w:r>
        <w:rPr>
          <w:rFonts w:hint="eastAsia" w:ascii="宋体" w:hAnsi="宋体"/>
          <w:bCs/>
          <w:sz w:val="24"/>
        </w:rPr>
        <w:t>有严密的质量监控措施和先进的质量检测设施的得5分，质量监控措施和质量检测设施不完善的，每项扣</w:t>
      </w:r>
      <w:r>
        <w:rPr>
          <w:rFonts w:hint="eastAsia" w:ascii="宋体" w:hAnsi="宋体"/>
          <w:bCs/>
          <w:sz w:val="24"/>
          <w:u w:val="single"/>
        </w:rPr>
        <w:t>1</w:t>
      </w:r>
      <w:r>
        <w:rPr>
          <w:rFonts w:hint="eastAsia" w:ascii="宋体" w:hAnsi="宋体"/>
          <w:bCs/>
          <w:sz w:val="24"/>
        </w:rPr>
        <w:t>分，扣完该项得分为止；无质量控制措施的扣</w:t>
      </w:r>
      <w:r>
        <w:rPr>
          <w:rFonts w:hint="eastAsia" w:ascii="宋体" w:hAnsi="宋体"/>
          <w:bCs/>
          <w:sz w:val="24"/>
          <w:u w:val="single"/>
        </w:rPr>
        <w:t>2.5</w:t>
      </w:r>
      <w:r>
        <w:rPr>
          <w:rFonts w:hint="eastAsia" w:ascii="宋体" w:hAnsi="宋体"/>
          <w:bCs/>
          <w:sz w:val="24"/>
        </w:rPr>
        <w:t>分，无质量检测设施的扣</w:t>
      </w:r>
      <w:r>
        <w:rPr>
          <w:rFonts w:hint="eastAsia" w:ascii="宋体" w:hAnsi="宋体"/>
          <w:bCs/>
          <w:sz w:val="24"/>
          <w:u w:val="single"/>
        </w:rPr>
        <w:t>2.5</w:t>
      </w:r>
      <w:r>
        <w:rPr>
          <w:rFonts w:hint="eastAsia" w:ascii="宋体" w:hAnsi="宋体"/>
          <w:bCs/>
          <w:sz w:val="24"/>
        </w:rPr>
        <w:t>分。</w:t>
      </w:r>
    </w:p>
    <w:p>
      <w:pPr>
        <w:spacing w:line="360" w:lineRule="auto"/>
        <w:ind w:firstLine="482" w:firstLineChars="200"/>
        <w:rPr>
          <w:rFonts w:ascii="宋体" w:hAnsi="宋体"/>
          <w:sz w:val="24"/>
        </w:rPr>
      </w:pPr>
      <w:r>
        <w:rPr>
          <w:rFonts w:hint="eastAsia" w:ascii="宋体" w:hAnsi="宋体"/>
          <w:b/>
          <w:sz w:val="24"/>
        </w:rPr>
        <w:t>3.保证交货期的施工组织方案和措施（</w:t>
      </w:r>
      <w:r>
        <w:rPr>
          <w:rFonts w:ascii="宋体" w:hAnsi="宋体"/>
          <w:b/>
          <w:sz w:val="24"/>
        </w:rPr>
        <w:t>4</w:t>
      </w:r>
      <w:r>
        <w:rPr>
          <w:rFonts w:hint="eastAsia" w:ascii="宋体" w:hAnsi="宋体"/>
          <w:b/>
          <w:sz w:val="24"/>
        </w:rPr>
        <w:t>分），</w:t>
      </w:r>
      <w:r>
        <w:rPr>
          <w:rFonts w:ascii="宋体" w:hAnsi="宋体"/>
          <w:sz w:val="24"/>
        </w:rPr>
        <w:t>确保项目</w:t>
      </w:r>
      <w:r>
        <w:rPr>
          <w:rFonts w:hint="eastAsia" w:ascii="宋体" w:hAnsi="宋体"/>
          <w:sz w:val="24"/>
        </w:rPr>
        <w:t>交货期</w:t>
      </w:r>
      <w:r>
        <w:rPr>
          <w:rFonts w:ascii="宋体" w:hAnsi="宋体"/>
          <w:sz w:val="24"/>
        </w:rPr>
        <w:t>、</w:t>
      </w:r>
      <w:r>
        <w:rPr>
          <w:rFonts w:hint="eastAsia" w:ascii="宋体" w:hAnsi="宋体"/>
          <w:sz w:val="24"/>
        </w:rPr>
        <w:t>施工</w:t>
      </w:r>
      <w:r>
        <w:rPr>
          <w:rFonts w:ascii="宋体" w:hAnsi="宋体"/>
          <w:sz w:val="24"/>
        </w:rPr>
        <w:t>组织机构和分工安排、项目过程中各阶段划分和控制</w:t>
      </w:r>
      <w:r>
        <w:rPr>
          <w:rFonts w:hint="eastAsia" w:ascii="宋体" w:hAnsi="宋体"/>
          <w:sz w:val="24"/>
        </w:rPr>
        <w:t>等方案和措施切实可行的，得</w:t>
      </w:r>
      <w:r>
        <w:rPr>
          <w:rFonts w:ascii="宋体" w:hAnsi="宋体"/>
          <w:sz w:val="24"/>
        </w:rPr>
        <w:t>4</w:t>
      </w:r>
      <w:r>
        <w:rPr>
          <w:rFonts w:hint="eastAsia" w:ascii="宋体" w:hAnsi="宋体"/>
          <w:sz w:val="24"/>
        </w:rPr>
        <w:t>分；方案措施欠佳的，每项扣</w:t>
      </w:r>
      <w:r>
        <w:rPr>
          <w:rFonts w:hint="eastAsia" w:ascii="宋体" w:hAnsi="宋体"/>
          <w:bCs/>
          <w:sz w:val="24"/>
          <w:u w:val="single"/>
        </w:rPr>
        <w:t>0.5</w:t>
      </w:r>
      <w:r>
        <w:rPr>
          <w:rFonts w:hint="eastAsia" w:ascii="宋体" w:hAnsi="宋体"/>
          <w:sz w:val="24"/>
        </w:rPr>
        <w:t>分，扣完该项得分为止；方案措施存在明显缺陷的，每项扣</w:t>
      </w:r>
      <w:r>
        <w:rPr>
          <w:rFonts w:hint="eastAsia" w:ascii="宋体" w:hAnsi="宋体"/>
          <w:bCs/>
          <w:sz w:val="24"/>
          <w:u w:val="single"/>
        </w:rPr>
        <w:t>1</w:t>
      </w:r>
      <w:r>
        <w:rPr>
          <w:rFonts w:hint="eastAsia" w:ascii="宋体" w:hAnsi="宋体"/>
          <w:sz w:val="24"/>
        </w:rPr>
        <w:t>分，扣完该项得分为止；无方案无措施的不得分。</w:t>
      </w:r>
    </w:p>
    <w:p>
      <w:pPr>
        <w:spacing w:line="360" w:lineRule="auto"/>
        <w:ind w:firstLine="482" w:firstLineChars="200"/>
        <w:rPr>
          <w:kern w:val="0"/>
          <w:sz w:val="24"/>
        </w:rPr>
      </w:pPr>
      <w:r>
        <w:rPr>
          <w:rFonts w:hint="eastAsia" w:ascii="宋体" w:hAnsi="宋体"/>
          <w:b/>
          <w:sz w:val="24"/>
        </w:rPr>
        <w:t>4.安装、调试、验收的方案和措施（4分），</w:t>
      </w:r>
      <w:r>
        <w:rPr>
          <w:rFonts w:hint="eastAsia" w:ascii="宋体" w:hAnsi="宋体"/>
          <w:sz w:val="24"/>
        </w:rPr>
        <w:t>安装、调试、验收的各阶段的方案和措施能结合本项目特点、切实可行的，得4分；方案措施欠佳的，每项扣0.5分，扣</w:t>
      </w:r>
      <w:r>
        <w:rPr>
          <w:rFonts w:hint="eastAsia"/>
          <w:kern w:val="0"/>
          <w:sz w:val="24"/>
        </w:rPr>
        <w:t>完该项得分为止；方案措施存在明显缺陷的，每项扣</w:t>
      </w:r>
      <w:r>
        <w:rPr>
          <w:rFonts w:hint="eastAsia" w:ascii="宋体" w:hAnsi="宋体"/>
          <w:bCs/>
          <w:sz w:val="24"/>
          <w:u w:val="single"/>
        </w:rPr>
        <w:t>1</w:t>
      </w:r>
      <w:r>
        <w:rPr>
          <w:rFonts w:hint="eastAsia"/>
          <w:kern w:val="0"/>
          <w:sz w:val="24"/>
        </w:rPr>
        <w:t>分，扣完该项得分为止；无方案无措施的不得分。</w:t>
      </w:r>
    </w:p>
    <w:p>
      <w:pPr>
        <w:spacing w:line="360" w:lineRule="auto"/>
        <w:ind w:firstLine="482" w:firstLineChars="200"/>
        <w:rPr>
          <w:rFonts w:ascii="宋体" w:hAnsi="宋体"/>
          <w:b/>
          <w:sz w:val="24"/>
        </w:rPr>
      </w:pPr>
      <w:r>
        <w:rPr>
          <w:rFonts w:hint="eastAsia" w:ascii="宋体" w:hAnsi="宋体"/>
          <w:b/>
          <w:sz w:val="24"/>
        </w:rPr>
        <w:t>5.拟投入本项目人员（</w:t>
      </w:r>
      <w:r>
        <w:rPr>
          <w:rFonts w:ascii="宋体" w:hAnsi="宋体"/>
          <w:b/>
          <w:sz w:val="24"/>
        </w:rPr>
        <w:t>4</w:t>
      </w:r>
      <w:r>
        <w:rPr>
          <w:rFonts w:hint="eastAsia" w:ascii="宋体" w:hAnsi="宋体"/>
          <w:b/>
          <w:sz w:val="24"/>
        </w:rPr>
        <w:t>分），</w:t>
      </w:r>
      <w:r>
        <w:rPr>
          <w:rFonts w:hint="eastAsia"/>
          <w:kern w:val="0"/>
          <w:sz w:val="24"/>
        </w:rPr>
        <w:t>拟投入本项目人员配备充足、合理，专业配置齐全、经验丰富且岗位分明，利于项目有效开展的</w:t>
      </w:r>
      <w:r>
        <w:rPr>
          <w:kern w:val="0"/>
          <w:sz w:val="24"/>
        </w:rPr>
        <w:t>4</w:t>
      </w:r>
      <w:r>
        <w:rPr>
          <w:rFonts w:hint="eastAsia"/>
          <w:kern w:val="0"/>
          <w:sz w:val="24"/>
        </w:rPr>
        <w:t>分；岗位专业</w:t>
      </w:r>
      <w:r>
        <w:rPr>
          <w:rFonts w:hint="eastAsia" w:ascii="宋体" w:hAnsi="宋体" w:cs="宋体"/>
          <w:color w:val="000000" w:themeColor="text1"/>
          <w:sz w:val="24"/>
        </w:rPr>
        <w:t>配置不齐全的每项扣1分；岗位分工不明确、不完整处每项扣</w:t>
      </w:r>
      <w:r>
        <w:rPr>
          <w:rFonts w:ascii="宋体" w:hAnsi="宋体" w:cs="宋体"/>
          <w:color w:val="000000" w:themeColor="text1"/>
          <w:sz w:val="24"/>
        </w:rPr>
        <w:t>1</w:t>
      </w:r>
      <w:r>
        <w:rPr>
          <w:rFonts w:hint="eastAsia" w:ascii="宋体" w:hAnsi="宋体" w:cs="宋体"/>
          <w:color w:val="000000" w:themeColor="text1"/>
          <w:sz w:val="24"/>
        </w:rPr>
        <w:t>分（需提供本公司近一个月社保证明）。</w:t>
      </w:r>
    </w:p>
    <w:p>
      <w:pPr>
        <w:spacing w:line="360" w:lineRule="auto"/>
        <w:ind w:firstLine="482" w:firstLineChars="200"/>
        <w:rPr>
          <w:rFonts w:ascii="宋体" w:hAnsi="宋体"/>
          <w:sz w:val="24"/>
        </w:rPr>
      </w:pPr>
      <w:r>
        <w:rPr>
          <w:rFonts w:hint="eastAsia" w:ascii="宋体" w:hAnsi="宋体"/>
          <w:b/>
          <w:sz w:val="24"/>
        </w:rPr>
        <w:t>6.对本项目有效的改进措施和合理化建议（</w:t>
      </w:r>
      <w:r>
        <w:rPr>
          <w:rFonts w:ascii="宋体" w:hAnsi="宋体"/>
          <w:b/>
          <w:sz w:val="24"/>
        </w:rPr>
        <w:t>3</w:t>
      </w:r>
      <w:r>
        <w:rPr>
          <w:rFonts w:hint="eastAsia" w:ascii="宋体" w:hAnsi="宋体"/>
          <w:b/>
          <w:sz w:val="24"/>
        </w:rPr>
        <w:t>分）</w:t>
      </w:r>
      <w:r>
        <w:rPr>
          <w:rFonts w:hint="eastAsia" w:ascii="宋体" w:hAnsi="宋体"/>
          <w:sz w:val="24"/>
        </w:rPr>
        <w:t>，有效建议和措施每项得1分，最高得</w:t>
      </w:r>
      <w:r>
        <w:rPr>
          <w:rFonts w:ascii="宋体" w:hAnsi="宋体"/>
          <w:sz w:val="24"/>
        </w:rPr>
        <w:t>3</w:t>
      </w:r>
      <w:r>
        <w:rPr>
          <w:rFonts w:hint="eastAsia" w:ascii="宋体" w:hAnsi="宋体"/>
          <w:sz w:val="24"/>
        </w:rPr>
        <w:t>分，未提供的不得分。</w:t>
      </w:r>
    </w:p>
    <w:p>
      <w:pPr>
        <w:spacing w:line="360" w:lineRule="auto"/>
        <w:ind w:firstLine="482" w:firstLineChars="200"/>
        <w:rPr>
          <w:rFonts w:ascii="宋体" w:hAnsi="宋体"/>
          <w:b/>
          <w:bCs/>
          <w:sz w:val="24"/>
        </w:rPr>
      </w:pPr>
      <w:r>
        <w:rPr>
          <w:rFonts w:hint="eastAsia" w:ascii="宋体" w:hAnsi="宋体"/>
          <w:b/>
          <w:bCs/>
          <w:sz w:val="24"/>
        </w:rPr>
        <w:t>（三）商务、资信及其他分（20分）</w:t>
      </w:r>
    </w:p>
    <w:p>
      <w:pPr>
        <w:spacing w:before="120" w:beforeLines="50" w:after="120" w:afterLines="50" w:line="400" w:lineRule="exact"/>
        <w:ind w:firstLine="482" w:firstLineChars="200"/>
        <w:rPr>
          <w:rFonts w:ascii="宋体" w:hAnsi="宋体" w:cs="仿宋"/>
          <w:b/>
          <w:bCs/>
          <w:kern w:val="0"/>
          <w:sz w:val="24"/>
          <w:lang w:val="zh-CN" w:bidi="zh-CN"/>
        </w:rPr>
      </w:pPr>
      <w:r>
        <w:rPr>
          <w:rFonts w:hint="eastAsia" w:ascii="宋体" w:hAnsi="宋体"/>
          <w:b/>
          <w:sz w:val="24"/>
        </w:rPr>
        <w:t>1.</w:t>
      </w:r>
      <w:r>
        <w:rPr>
          <w:rFonts w:hint="eastAsia" w:ascii="宋体" w:hAnsi="宋体"/>
          <w:b/>
          <w:bCs/>
          <w:sz w:val="24"/>
        </w:rPr>
        <w:t>成功案例及</w:t>
      </w:r>
      <w:r>
        <w:rPr>
          <w:rFonts w:hint="eastAsia" w:ascii="宋体" w:hAnsi="宋体" w:cs="宋体"/>
          <w:b/>
          <w:bCs/>
          <w:sz w:val="24"/>
          <w:szCs w:val="20"/>
        </w:rPr>
        <w:t>业绩（3分），</w:t>
      </w:r>
      <w:r>
        <w:rPr>
          <w:rFonts w:hint="eastAsia" w:ascii="宋体" w:hAnsi="宋体" w:cs="仿宋"/>
          <w:kern w:val="0"/>
          <w:sz w:val="24"/>
          <w:lang w:val="zh-CN" w:bidi="zh-CN"/>
        </w:rPr>
        <w:t>投标人提供2019年1月1日至今成功同类项目业绩或案例证明：投标人提供的1个合同得0.5分，最高得3分；未提供采购项目合同复印件的不得分。</w:t>
      </w:r>
      <w:r>
        <w:rPr>
          <w:rFonts w:hint="eastAsia" w:ascii="宋体" w:hAnsi="宋体" w:cs="仿宋"/>
          <w:b/>
          <w:bCs/>
          <w:kern w:val="0"/>
          <w:sz w:val="24"/>
          <w:lang w:val="zh-CN" w:bidi="zh-CN"/>
        </w:rPr>
        <w:t>（投标人要列出采购单位名称及项目负责人联系电话，合同签定时间为2019年1月1日至今的合同有效。否则不得分）。</w:t>
      </w:r>
    </w:p>
    <w:p>
      <w:pPr>
        <w:spacing w:before="120" w:beforeLines="50" w:after="120" w:afterLines="50" w:line="400" w:lineRule="exact"/>
        <w:ind w:firstLine="482" w:firstLineChars="200"/>
        <w:rPr>
          <w:rFonts w:ascii="宋体" w:hAnsi="宋体" w:cs="仿宋"/>
          <w:kern w:val="0"/>
          <w:sz w:val="24"/>
          <w:lang w:val="zh-CN" w:bidi="zh-CN"/>
        </w:rPr>
      </w:pPr>
      <w:r>
        <w:rPr>
          <w:rFonts w:hint="eastAsia" w:ascii="宋体" w:hAnsi="宋体"/>
          <w:b/>
          <w:sz w:val="24"/>
        </w:rPr>
        <w:t>2.权</w:t>
      </w:r>
      <w:r>
        <w:rPr>
          <w:rFonts w:hint="eastAsia" w:ascii="宋体" w:hAnsi="宋体"/>
          <w:b/>
          <w:bCs/>
          <w:sz w:val="24"/>
        </w:rPr>
        <w:t>威认证（3</w:t>
      </w:r>
      <w:r>
        <w:rPr>
          <w:rFonts w:ascii="宋体" w:hAnsi="宋体"/>
          <w:b/>
          <w:bCs/>
          <w:sz w:val="24"/>
        </w:rPr>
        <w:t>分</w:t>
      </w:r>
      <w:r>
        <w:rPr>
          <w:rFonts w:hint="eastAsia" w:ascii="宋体" w:hAnsi="宋体"/>
          <w:b/>
          <w:bCs/>
          <w:sz w:val="24"/>
        </w:rPr>
        <w:t>），</w:t>
      </w:r>
      <w:r>
        <w:rPr>
          <w:rFonts w:hint="eastAsia" w:ascii="宋体" w:hAnsi="宋体" w:cs="仿宋"/>
          <w:kern w:val="0"/>
          <w:sz w:val="24"/>
          <w:lang w:val="zh-CN" w:bidi="zh-CN"/>
        </w:rPr>
        <w:t>投标人具备有效质量管理体系认证证书、具备有效环境管理体系认证证书的、有效职业健康体系认证证书的，凭相关证书复印件每项得1分，最高3分。</w:t>
      </w:r>
      <w:r>
        <w:rPr>
          <w:rFonts w:hint="eastAsia" w:ascii="宋体" w:hAnsi="宋体" w:cs="宋体"/>
          <w:kern w:val="0"/>
          <w:sz w:val="24"/>
        </w:rPr>
        <w:t>（提供认证证书复印件，并提供国家认证认可业务信息统一查询平台的证书查询截图，未提供不得分）。</w:t>
      </w:r>
    </w:p>
    <w:p>
      <w:pPr>
        <w:spacing w:before="120" w:beforeLines="50" w:after="120" w:afterLines="50" w:line="400" w:lineRule="exact"/>
        <w:ind w:firstLine="482" w:firstLineChars="200"/>
        <w:rPr>
          <w:lang w:val="zh-CN" w:bidi="zh-CN"/>
        </w:rPr>
      </w:pPr>
      <w:r>
        <w:rPr>
          <w:rFonts w:hint="eastAsia" w:ascii="宋体" w:hAnsi="宋体"/>
          <w:b/>
          <w:bCs/>
          <w:sz w:val="24"/>
        </w:rPr>
        <w:t>3.政策分（2分），</w:t>
      </w:r>
      <w:r>
        <w:rPr>
          <w:rFonts w:hint="eastAsia" w:ascii="宋体" w:hAnsi="宋体" w:cs="仿宋"/>
          <w:kern w:val="0"/>
          <w:sz w:val="24"/>
          <w:lang w:val="zh-CN" w:bidi="zh-CN"/>
        </w:rPr>
        <w:t>投标产品均具有由财政部、环境保护部发布的《环境标志产品政府采购清单》的有效证明文书的得1分；投标产品均具有由财政部、国家发改委联合发布有效期内、属于《节能产品政府采购清单》内优先采购节能产品的有效证明文书的得1分。</w:t>
      </w:r>
    </w:p>
    <w:p>
      <w:pPr>
        <w:spacing w:before="120" w:beforeLines="50" w:after="120" w:afterLines="50" w:line="400" w:lineRule="exact"/>
        <w:ind w:firstLine="482" w:firstLineChars="200"/>
        <w:rPr>
          <w:rFonts w:ascii="宋体" w:hAnsi="宋体" w:cs="仿宋"/>
          <w:kern w:val="0"/>
          <w:sz w:val="24"/>
          <w:lang w:val="zh-CN" w:bidi="zh-CN"/>
        </w:rPr>
      </w:pPr>
      <w:r>
        <w:rPr>
          <w:rFonts w:hint="eastAsia" w:ascii="宋体" w:hAnsi="宋体"/>
          <w:b/>
          <w:sz w:val="24"/>
        </w:rPr>
        <w:t>4.质保期（4分），</w:t>
      </w:r>
      <w:r>
        <w:rPr>
          <w:rFonts w:hint="eastAsia" w:ascii="宋体" w:hAnsi="宋体" w:cs="仿宋"/>
          <w:kern w:val="0"/>
          <w:sz w:val="24"/>
          <w:lang w:val="zh-CN" w:bidi="zh-CN"/>
        </w:rPr>
        <w:t>质保期超过招标文件规定的，每增加一年，加1分，最高得4分。</w:t>
      </w:r>
    </w:p>
    <w:p>
      <w:pPr>
        <w:spacing w:before="120" w:beforeLines="50" w:after="120" w:afterLines="50" w:line="400" w:lineRule="exact"/>
        <w:ind w:firstLine="482" w:firstLineChars="200"/>
        <w:rPr>
          <w:rFonts w:ascii="宋体" w:hAnsi="宋体" w:cs="仿宋"/>
          <w:kern w:val="0"/>
          <w:sz w:val="24"/>
          <w:lang w:val="zh-CN" w:bidi="zh-CN"/>
        </w:rPr>
      </w:pPr>
      <w:r>
        <w:rPr>
          <w:rFonts w:hint="eastAsia" w:ascii="宋体" w:hAnsi="宋体"/>
          <w:b/>
          <w:sz w:val="24"/>
        </w:rPr>
        <w:t>5.售后服务优惠承诺（5分）</w:t>
      </w:r>
      <w:r>
        <w:rPr>
          <w:rFonts w:hint="eastAsia" w:ascii="宋体" w:hAnsi="宋体"/>
          <w:sz w:val="24"/>
        </w:rPr>
        <w:t>，</w:t>
      </w:r>
      <w:r>
        <w:rPr>
          <w:rFonts w:hint="eastAsia" w:ascii="宋体" w:hAnsi="宋体" w:cs="仿宋"/>
          <w:kern w:val="0"/>
          <w:sz w:val="24"/>
          <w:lang w:val="zh-CN" w:bidi="zh-CN"/>
        </w:rPr>
        <w:t>售后服务方案和承诺（如赠送损耗材料、维修配件价格、技术培训服务等）完整、可行，落实保障措施和其他优惠承诺等全面周到的得4-</w:t>
      </w:r>
      <w:r>
        <w:rPr>
          <w:rFonts w:ascii="宋体" w:hAnsi="宋体" w:cs="仿宋"/>
          <w:kern w:val="0"/>
          <w:sz w:val="24"/>
          <w:lang w:bidi="zh-CN"/>
        </w:rPr>
        <w:t>5</w:t>
      </w:r>
      <w:r>
        <w:rPr>
          <w:rFonts w:hint="eastAsia" w:ascii="宋体" w:hAnsi="宋体" w:cs="仿宋"/>
          <w:kern w:val="0"/>
          <w:sz w:val="24"/>
          <w:lang w:val="zh-CN" w:bidi="zh-CN"/>
        </w:rPr>
        <w:t>分，售后服务方案不全面，落实保障措施和其他优惠承诺欠缺的得1-3分，除招标文件规定内容外无其他售后服务承诺的，该项不得分。</w:t>
      </w:r>
    </w:p>
    <w:p>
      <w:pPr>
        <w:spacing w:before="120" w:beforeLines="50" w:after="120" w:afterLines="50" w:line="400" w:lineRule="exact"/>
        <w:ind w:firstLine="482" w:firstLineChars="200"/>
        <w:rPr>
          <w:rFonts w:ascii="宋体" w:hAnsi="宋体" w:cs="仿宋"/>
          <w:b/>
          <w:bCs/>
          <w:kern w:val="0"/>
          <w:sz w:val="24"/>
          <w:lang w:val="zh-CN" w:bidi="zh-CN"/>
        </w:rPr>
      </w:pPr>
      <w:r>
        <w:rPr>
          <w:rFonts w:hint="eastAsia" w:ascii="宋体" w:hAnsi="宋体"/>
          <w:b/>
          <w:sz w:val="24"/>
        </w:rPr>
        <w:t>6.</w:t>
      </w:r>
      <w:r>
        <w:rPr>
          <w:rFonts w:hint="eastAsia" w:ascii="宋体" w:hAnsi="宋体"/>
          <w:b/>
          <w:bCs/>
          <w:sz w:val="24"/>
        </w:rPr>
        <w:t>响应时间（3分），</w:t>
      </w:r>
      <w:r>
        <w:rPr>
          <w:rFonts w:hint="eastAsia" w:ascii="宋体" w:hAnsi="宋体" w:cs="仿宋"/>
          <w:kern w:val="0"/>
          <w:sz w:val="24"/>
          <w:lang w:val="zh-CN" w:bidi="zh-CN"/>
        </w:rPr>
        <w:t>接到采购人报修通知（电话、电传等）后</w:t>
      </w:r>
      <w:r>
        <w:rPr>
          <w:rFonts w:ascii="宋体" w:hAnsi="宋体" w:cs="仿宋"/>
          <w:kern w:val="0"/>
          <w:sz w:val="24"/>
          <w:lang w:bidi="zh-CN"/>
        </w:rPr>
        <w:t>2</w:t>
      </w:r>
      <w:r>
        <w:rPr>
          <w:rFonts w:hint="eastAsia" w:ascii="宋体" w:hAnsi="宋体" w:cs="仿宋"/>
          <w:kern w:val="0"/>
          <w:sz w:val="24"/>
          <w:lang w:bidi="zh-CN"/>
        </w:rPr>
        <w:t>个工作日</w:t>
      </w:r>
      <w:r>
        <w:rPr>
          <w:rFonts w:hint="eastAsia" w:ascii="宋体" w:hAnsi="宋体" w:cs="仿宋"/>
          <w:kern w:val="0"/>
          <w:sz w:val="24"/>
          <w:lang w:val="zh-CN" w:bidi="zh-CN"/>
        </w:rPr>
        <w:t>内到达现场响应，</w:t>
      </w:r>
      <w:r>
        <w:rPr>
          <w:rFonts w:hint="eastAsia" w:ascii="宋体" w:hAnsi="宋体" w:cs="仿宋"/>
          <w:kern w:val="0"/>
          <w:sz w:val="24"/>
          <w:lang w:bidi="zh-CN"/>
        </w:rPr>
        <w:t>并于</w:t>
      </w:r>
      <w:r>
        <w:rPr>
          <w:rFonts w:ascii="宋体" w:hAnsi="宋体" w:cs="仿宋"/>
          <w:kern w:val="0"/>
          <w:sz w:val="24"/>
          <w:lang w:bidi="zh-CN"/>
        </w:rPr>
        <w:t>3</w:t>
      </w:r>
      <w:r>
        <w:rPr>
          <w:rFonts w:hint="eastAsia" w:ascii="宋体" w:hAnsi="宋体" w:cs="仿宋"/>
          <w:kern w:val="0"/>
          <w:sz w:val="24"/>
          <w:lang w:bidi="zh-CN"/>
        </w:rPr>
        <w:t>个工作日修复完成</w:t>
      </w:r>
      <w:r>
        <w:rPr>
          <w:rFonts w:hint="eastAsia" w:ascii="宋体" w:hAnsi="宋体" w:cs="仿宋"/>
          <w:kern w:val="0"/>
          <w:sz w:val="24"/>
          <w:lang w:val="zh-CN" w:bidi="zh-CN"/>
        </w:rPr>
        <w:t>得3分；</w:t>
      </w:r>
      <w:r>
        <w:rPr>
          <w:rFonts w:hint="eastAsia" w:ascii="宋体" w:hAnsi="宋体" w:cs="仿宋"/>
          <w:kern w:val="0"/>
          <w:sz w:val="24"/>
          <w:lang w:bidi="zh-CN"/>
        </w:rPr>
        <w:t>现场响应或修复完成时间每</w:t>
      </w:r>
      <w:r>
        <w:rPr>
          <w:rFonts w:hint="eastAsia" w:ascii="宋体" w:hAnsi="宋体" w:cs="仿宋"/>
          <w:kern w:val="0"/>
          <w:sz w:val="24"/>
          <w:lang w:val="zh-CN" w:bidi="zh-CN"/>
        </w:rPr>
        <w:t>增加</w:t>
      </w:r>
      <w:r>
        <w:rPr>
          <w:rFonts w:ascii="宋体" w:hAnsi="宋体" w:cs="仿宋"/>
          <w:kern w:val="0"/>
          <w:sz w:val="24"/>
          <w:lang w:bidi="zh-CN"/>
        </w:rPr>
        <w:t>1</w:t>
      </w:r>
      <w:r>
        <w:rPr>
          <w:rFonts w:hint="eastAsia" w:ascii="宋体" w:hAnsi="宋体" w:cs="仿宋"/>
          <w:kern w:val="0"/>
          <w:sz w:val="24"/>
          <w:lang w:bidi="zh-CN"/>
        </w:rPr>
        <w:t>个工作日</w:t>
      </w:r>
      <w:r>
        <w:rPr>
          <w:rFonts w:hint="eastAsia" w:ascii="宋体" w:hAnsi="宋体" w:cs="仿宋"/>
          <w:kern w:val="0"/>
          <w:sz w:val="24"/>
          <w:lang w:val="zh-CN" w:bidi="zh-CN"/>
        </w:rPr>
        <w:t>扣1分，扣完为止。</w:t>
      </w:r>
    </w:p>
    <w:p>
      <w:pPr>
        <w:spacing w:before="120" w:beforeLines="50" w:after="120" w:afterLines="50" w:line="400" w:lineRule="exact"/>
        <w:ind w:firstLine="482" w:firstLineChars="200"/>
        <w:rPr>
          <w:rFonts w:ascii="宋体" w:hAnsi="宋体"/>
          <w:b/>
          <w:bCs/>
          <w:sz w:val="24"/>
        </w:rPr>
      </w:pPr>
      <w:r>
        <w:rPr>
          <w:rFonts w:hint="eastAsia" w:ascii="宋体" w:hAnsi="宋体"/>
          <w:b/>
          <w:bCs/>
          <w:sz w:val="24"/>
        </w:rPr>
        <w:t>（四）技术、商务、资信及其他分的计算</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技术、商务、资信及其他分按照评标委员会成员的独立评分结果汇总数的算术平均分计算，计算公式为：技术商务资信分=（评标委员会所有成员评分合计数）/（评标委员会组成人员数）</w:t>
      </w: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jc w:val="center"/>
        <w:rPr>
          <w:rFonts w:ascii="黑体" w:hAnsi="宋体" w:eastAsia="黑体"/>
          <w:bCs/>
          <w:sz w:val="30"/>
          <w:szCs w:val="30"/>
        </w:rPr>
      </w:pPr>
      <w:r>
        <w:rPr>
          <w:rFonts w:hint="eastAsia" w:ascii="黑体" w:hAnsi="宋体" w:eastAsia="黑体"/>
          <w:sz w:val="30"/>
          <w:szCs w:val="30"/>
        </w:rPr>
        <w:t xml:space="preserve">第五章  </w:t>
      </w:r>
      <w:r>
        <w:rPr>
          <w:rFonts w:hint="eastAsia" w:ascii="黑体" w:hAnsi="宋体" w:eastAsia="黑体"/>
          <w:bCs/>
          <w:sz w:val="30"/>
          <w:szCs w:val="30"/>
        </w:rPr>
        <w:t>合同主要条款（供参考）</w:t>
      </w:r>
    </w:p>
    <w:p>
      <w:pPr>
        <w:snapToGrid w:val="0"/>
        <w:spacing w:line="360" w:lineRule="auto"/>
        <w:jc w:val="center"/>
        <w:outlineLvl w:val="0"/>
        <w:rPr>
          <w:rFonts w:ascii="宋体" w:hAnsi="宋体"/>
          <w:b/>
          <w:bCs/>
          <w:sz w:val="30"/>
          <w:szCs w:val="20"/>
        </w:rPr>
      </w:pPr>
      <w:r>
        <w:rPr>
          <w:rFonts w:hint="eastAsia" w:ascii="宋体" w:hAnsi="宋体"/>
          <w:b/>
          <w:sz w:val="30"/>
        </w:rPr>
        <w:t>浙江省政府采购合同指引</w:t>
      </w:r>
    </w:p>
    <w:p>
      <w:pPr>
        <w:pStyle w:val="20"/>
        <w:snapToGrid w:val="0"/>
        <w:spacing w:beforeLines="0" w:afterLines="0" w:line="360" w:lineRule="auto"/>
        <w:rPr>
          <w:rFonts w:hAnsi="宋体"/>
        </w:rPr>
      </w:pPr>
      <w:r>
        <w:rPr>
          <w:rFonts w:hAnsi="宋体"/>
        </w:rPr>
        <w:t>项目名称：                                       项目编号：</w:t>
      </w:r>
    </w:p>
    <w:p>
      <w:pPr>
        <w:pStyle w:val="20"/>
        <w:snapToGrid w:val="0"/>
        <w:spacing w:beforeLines="0" w:afterLines="0" w:line="360" w:lineRule="auto"/>
        <w:rPr>
          <w:rFonts w:hAnsi="宋体"/>
        </w:rPr>
      </w:pPr>
      <w:r>
        <w:rPr>
          <w:rFonts w:hAnsi="宋体"/>
        </w:rPr>
        <w:t>甲方：（买方）</w:t>
      </w:r>
    </w:p>
    <w:p>
      <w:pPr>
        <w:pStyle w:val="20"/>
        <w:snapToGrid w:val="0"/>
        <w:spacing w:beforeLines="0" w:afterLines="0" w:line="360" w:lineRule="auto"/>
        <w:rPr>
          <w:rFonts w:hAnsi="宋体"/>
        </w:rPr>
      </w:pPr>
      <w:r>
        <w:rPr>
          <w:rFonts w:hAnsi="宋体"/>
        </w:rPr>
        <w:t>乙方：（卖方）</w:t>
      </w:r>
    </w:p>
    <w:p>
      <w:pPr>
        <w:pStyle w:val="20"/>
        <w:snapToGrid w:val="0"/>
        <w:spacing w:beforeLines="0" w:afterLines="0" w:line="360" w:lineRule="auto"/>
        <w:rPr>
          <w:rFonts w:hAnsi="宋体"/>
          <w:b/>
        </w:rPr>
      </w:pPr>
      <w:r>
        <w:rPr>
          <w:rFonts w:hAnsi="宋体"/>
        </w:rPr>
        <w:t>甲、乙双方根据</w:t>
      </w:r>
      <w:r>
        <w:rPr>
          <w:rFonts w:hint="eastAsia" w:hAnsi="宋体"/>
          <w:u w:val="single"/>
        </w:rPr>
        <w:t>浙江华耀建设咨询有限公司</w:t>
      </w:r>
      <w:r>
        <w:rPr>
          <w:rFonts w:hAnsi="宋体"/>
          <w:u w:val="single"/>
        </w:rPr>
        <w:t>关于</w:t>
      </w:r>
      <w:r>
        <w:rPr>
          <w:rFonts w:hint="eastAsia" w:hAnsi="宋体"/>
          <w:spacing w:val="-20"/>
          <w:u w:val="single"/>
        </w:rPr>
        <w:t>湖州师范学院工学院中国智能制造挑战赛实验室设备采购项目</w:t>
      </w:r>
      <w:r>
        <w:rPr>
          <w:rFonts w:hAnsi="宋体"/>
        </w:rPr>
        <w:t>公开招标的结果，签署本合同。</w:t>
      </w:r>
    </w:p>
    <w:p>
      <w:pPr>
        <w:pStyle w:val="20"/>
        <w:snapToGrid w:val="0"/>
        <w:spacing w:beforeLines="0" w:afterLines="0" w:line="360" w:lineRule="auto"/>
        <w:rPr>
          <w:rFonts w:hAnsi="宋体"/>
          <w:b/>
        </w:rPr>
      </w:pPr>
      <w:r>
        <w:rPr>
          <w:rFonts w:hAnsi="宋体"/>
          <w:b/>
        </w:rPr>
        <w:t>一、货物内容</w:t>
      </w:r>
    </w:p>
    <w:p>
      <w:pPr>
        <w:pStyle w:val="20"/>
        <w:snapToGrid w:val="0"/>
        <w:spacing w:beforeLines="0" w:afterLines="0" w:line="360" w:lineRule="auto"/>
        <w:rPr>
          <w:rFonts w:hAnsi="宋体"/>
          <w:spacing w:val="-20"/>
          <w:u w:val="single"/>
        </w:rPr>
      </w:pPr>
      <w:r>
        <w:rPr>
          <w:rFonts w:hAnsi="宋体"/>
        </w:rPr>
        <w:t>1. 货物名称：</w:t>
      </w:r>
      <w:r>
        <w:rPr>
          <w:rFonts w:hint="eastAsia" w:hAnsi="宋体"/>
          <w:spacing w:val="-20"/>
          <w:u w:val="single"/>
        </w:rPr>
        <w:t>湖州师范学院工学院中国智能制造挑战赛实验室设备采购项目</w:t>
      </w:r>
    </w:p>
    <w:p>
      <w:pPr>
        <w:pStyle w:val="20"/>
        <w:snapToGrid w:val="0"/>
        <w:spacing w:beforeLines="0" w:afterLines="0" w:line="360" w:lineRule="auto"/>
        <w:rPr>
          <w:rFonts w:hAnsi="宋体"/>
        </w:rPr>
      </w:pPr>
      <w:r>
        <w:rPr>
          <w:rFonts w:hint="eastAsia" w:hAnsi="宋体"/>
        </w:rPr>
        <w:t>2</w:t>
      </w:r>
      <w:r>
        <w:rPr>
          <w:rFonts w:hAnsi="宋体"/>
        </w:rPr>
        <w:t>. 型号规格：</w:t>
      </w:r>
    </w:p>
    <w:p>
      <w:pPr>
        <w:pStyle w:val="20"/>
        <w:snapToGrid w:val="0"/>
        <w:spacing w:beforeLines="0" w:afterLines="0" w:line="360" w:lineRule="auto"/>
        <w:rPr>
          <w:rFonts w:hAnsi="宋体"/>
        </w:rPr>
      </w:pPr>
      <w:r>
        <w:rPr>
          <w:rFonts w:hint="eastAsia" w:hAnsi="宋体"/>
        </w:rPr>
        <w:t>3</w:t>
      </w:r>
      <w:r>
        <w:rPr>
          <w:rFonts w:hAnsi="宋体"/>
        </w:rPr>
        <w:t>. 技术参数：</w:t>
      </w:r>
    </w:p>
    <w:p>
      <w:pPr>
        <w:pStyle w:val="20"/>
        <w:snapToGrid w:val="0"/>
        <w:spacing w:beforeLines="0" w:afterLines="0" w:line="360" w:lineRule="auto"/>
        <w:rPr>
          <w:rFonts w:hAnsi="宋体"/>
        </w:rPr>
      </w:pPr>
      <w:r>
        <w:rPr>
          <w:rFonts w:hAnsi="宋体"/>
        </w:rPr>
        <w:t>4</w:t>
      </w:r>
      <w:r>
        <w:rPr>
          <w:rFonts w:hint="eastAsia" w:hAnsi="宋体"/>
        </w:rPr>
        <w:t>.</w:t>
      </w:r>
      <w:r>
        <w:rPr>
          <w:rFonts w:hAnsi="宋体"/>
        </w:rPr>
        <w:t xml:space="preserve"> 数量（单位）：</w:t>
      </w:r>
    </w:p>
    <w:p>
      <w:pPr>
        <w:pStyle w:val="20"/>
        <w:snapToGrid w:val="0"/>
        <w:spacing w:beforeLines="0" w:afterLines="0" w:line="360" w:lineRule="auto"/>
        <w:rPr>
          <w:rFonts w:hAnsi="宋体"/>
          <w:b/>
        </w:rPr>
      </w:pPr>
      <w:r>
        <w:rPr>
          <w:rFonts w:hAnsi="宋体"/>
          <w:b/>
        </w:rPr>
        <w:t>二、合同金额</w:t>
      </w:r>
    </w:p>
    <w:p>
      <w:pPr>
        <w:pStyle w:val="20"/>
        <w:snapToGrid w:val="0"/>
        <w:spacing w:beforeLines="0" w:afterLines="0" w:line="360" w:lineRule="auto"/>
        <w:ind w:left="410" w:hanging="410" w:hangingChars="171"/>
        <w:rPr>
          <w:rFonts w:hAnsi="宋体"/>
        </w:rPr>
      </w:pPr>
      <w:r>
        <w:rPr>
          <w:rFonts w:hAnsi="宋体"/>
        </w:rPr>
        <w:t xml:space="preserve"> 本合同金额为（大写）：人民币_________________________元（￥_______________元）。</w:t>
      </w:r>
    </w:p>
    <w:p>
      <w:pPr>
        <w:pStyle w:val="20"/>
        <w:snapToGrid w:val="0"/>
        <w:spacing w:beforeLines="0" w:afterLines="0" w:line="360" w:lineRule="auto"/>
        <w:rPr>
          <w:rFonts w:hAnsi="宋体"/>
          <w:b/>
        </w:rPr>
      </w:pPr>
      <w:r>
        <w:rPr>
          <w:rFonts w:hAnsi="宋体"/>
          <w:b/>
        </w:rPr>
        <w:t>三、技术资料</w:t>
      </w:r>
    </w:p>
    <w:p>
      <w:pPr>
        <w:pStyle w:val="20"/>
        <w:snapToGrid w:val="0"/>
        <w:spacing w:beforeLines="0" w:afterLines="0" w:line="360" w:lineRule="auto"/>
        <w:ind w:left="410" w:hanging="410" w:hangingChars="171"/>
        <w:rPr>
          <w:rFonts w:hAnsi="宋体"/>
        </w:rPr>
      </w:pPr>
      <w:r>
        <w:rPr>
          <w:rFonts w:hAnsi="宋体"/>
        </w:rPr>
        <w:t>1</w:t>
      </w:r>
      <w:r>
        <w:rPr>
          <w:rFonts w:hint="eastAsia" w:hAnsi="宋体"/>
        </w:rPr>
        <w:t>.</w:t>
      </w:r>
      <w:r>
        <w:rPr>
          <w:rFonts w:hAnsi="宋体"/>
        </w:rPr>
        <w:t>乙方应按招标文件规定的时间向甲方提供使用货物的有关技术资料。</w:t>
      </w:r>
    </w:p>
    <w:p>
      <w:pPr>
        <w:pStyle w:val="20"/>
        <w:snapToGrid w:val="0"/>
        <w:spacing w:beforeLines="0" w:afterLines="0" w:line="360" w:lineRule="auto"/>
        <w:ind w:left="410" w:hanging="410" w:hangingChars="171"/>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0"/>
        <w:snapToGrid w:val="0"/>
        <w:spacing w:beforeLines="0" w:afterLines="0" w:line="360" w:lineRule="auto"/>
        <w:ind w:left="412" w:hanging="412" w:hangingChars="171"/>
        <w:rPr>
          <w:rFonts w:hAnsi="宋体"/>
          <w:b/>
        </w:rPr>
      </w:pPr>
      <w:r>
        <w:rPr>
          <w:rFonts w:hAnsi="宋体"/>
          <w:b/>
        </w:rPr>
        <w:t>四、知识产权</w:t>
      </w:r>
    </w:p>
    <w:p>
      <w:pPr>
        <w:pStyle w:val="20"/>
        <w:snapToGrid w:val="0"/>
        <w:spacing w:beforeLines="0" w:afterLines="0" w:line="360" w:lineRule="auto"/>
        <w:rPr>
          <w:rFonts w:hAnsi="宋体"/>
          <w:bCs/>
        </w:rPr>
      </w:pPr>
      <w:r>
        <w:rPr>
          <w:rFonts w:hAnsi="宋体"/>
        </w:rPr>
        <w:t>乙方应保证所提供的货物或其任何一部分均不会侵犯任何第三方的知识产权</w:t>
      </w:r>
      <w:r>
        <w:rPr>
          <w:rFonts w:hAnsi="宋体"/>
          <w:bCs/>
        </w:rPr>
        <w:t>。</w:t>
      </w:r>
    </w:p>
    <w:p>
      <w:pPr>
        <w:pStyle w:val="20"/>
        <w:snapToGrid w:val="0"/>
        <w:spacing w:beforeLines="0" w:afterLines="0" w:line="360" w:lineRule="auto"/>
        <w:rPr>
          <w:rFonts w:hAnsi="宋体"/>
          <w:u w:val="single"/>
        </w:rPr>
      </w:pPr>
      <w:r>
        <w:rPr>
          <w:rFonts w:hAnsi="宋体"/>
          <w:b/>
        </w:rPr>
        <w:t>五、产权担保</w:t>
      </w:r>
    </w:p>
    <w:p>
      <w:pPr>
        <w:pStyle w:val="20"/>
        <w:snapToGrid w:val="0"/>
        <w:spacing w:beforeLines="0" w:afterLines="0" w:line="360" w:lineRule="auto"/>
        <w:ind w:left="408" w:hanging="408" w:hangingChars="170"/>
        <w:rPr>
          <w:rFonts w:hAnsi="宋体"/>
          <w:u w:val="single"/>
        </w:rPr>
      </w:pPr>
      <w:r>
        <w:rPr>
          <w:rFonts w:hAnsi="宋体"/>
        </w:rPr>
        <w:t>乙方保证所交付的货物的所有权完全属于乙方且无任何抵押、查封等产权瑕疵。</w:t>
      </w:r>
    </w:p>
    <w:p>
      <w:pPr>
        <w:pStyle w:val="20"/>
        <w:snapToGrid w:val="0"/>
        <w:spacing w:beforeLines="0" w:afterLines="0" w:line="360" w:lineRule="auto"/>
        <w:ind w:left="410" w:hanging="410" w:hangingChars="170"/>
        <w:rPr>
          <w:rFonts w:hAnsi="宋体"/>
          <w:b/>
        </w:rPr>
      </w:pPr>
      <w:r>
        <w:rPr>
          <w:rFonts w:hAnsi="宋体"/>
          <w:b/>
        </w:rPr>
        <w:t>六、履约保证金</w:t>
      </w:r>
    </w:p>
    <w:p>
      <w:pPr>
        <w:pStyle w:val="20"/>
        <w:snapToGrid w:val="0"/>
        <w:spacing w:beforeLines="0" w:afterLines="0" w:line="360" w:lineRule="auto"/>
        <w:ind w:left="1"/>
        <w:rPr>
          <w:rFonts w:hAnsi="宋体"/>
        </w:rPr>
      </w:pPr>
      <w:r>
        <w:rPr>
          <w:rFonts w:hint="eastAsia" w:hAnsi="宋体"/>
        </w:rPr>
        <w:t>本项目的履约保证金为合同价的1%；履约保证金形式为：现金或银行、保险公司出具的保函；中标人应根据采购人要求汇入采购人指定账号或提供保函。项目终验合格后，退还履约保证金。采购人单位名称：湖州师范学院；开户行：建行吴兴支行；账号：33001649335050002860。统一社会信用代码：123305004711725032。地址、电话：湖州市二环东路759号，0572-2321567。</w:t>
      </w:r>
    </w:p>
    <w:p>
      <w:pPr>
        <w:pStyle w:val="20"/>
        <w:snapToGrid w:val="0"/>
        <w:spacing w:beforeLines="0" w:afterLines="0" w:line="360" w:lineRule="auto"/>
        <w:ind w:left="1"/>
        <w:rPr>
          <w:rFonts w:hAnsi="宋体"/>
          <w:b/>
        </w:rPr>
      </w:pPr>
      <w:r>
        <w:rPr>
          <w:rFonts w:hint="eastAsia" w:hAnsi="宋体"/>
          <w:b/>
        </w:rPr>
        <w:t>七、转包或分包</w:t>
      </w:r>
    </w:p>
    <w:p>
      <w:pPr>
        <w:snapToGrid w:val="0"/>
        <w:spacing w:line="360" w:lineRule="auto"/>
        <w:rPr>
          <w:rFonts w:ascii="宋体" w:hAnsi="宋体"/>
          <w:sz w:val="24"/>
        </w:rPr>
      </w:pPr>
      <w:r>
        <w:rPr>
          <w:rFonts w:ascii="宋体" w:hAnsi="宋体"/>
          <w:sz w:val="24"/>
        </w:rPr>
        <w:t>1</w:t>
      </w:r>
      <w:r>
        <w:rPr>
          <w:rFonts w:hint="eastAsia" w:ascii="宋体" w:hAnsi="宋体"/>
          <w:sz w:val="24"/>
        </w:rPr>
        <w:t>.本合同范围的货物，应由</w:t>
      </w:r>
      <w:r>
        <w:rPr>
          <w:rFonts w:ascii="宋体" w:hAnsi="宋体"/>
          <w:sz w:val="24"/>
        </w:rPr>
        <w:t>乙</w:t>
      </w:r>
      <w:r>
        <w:rPr>
          <w:rFonts w:hint="eastAsia" w:ascii="宋体" w:hAnsi="宋体"/>
          <w:sz w:val="24"/>
        </w:rPr>
        <w:t>方直接供应，不得转让他人供应；</w:t>
      </w:r>
    </w:p>
    <w:p>
      <w:pPr>
        <w:snapToGrid w:val="0"/>
        <w:spacing w:line="360" w:lineRule="auto"/>
        <w:rPr>
          <w:rFonts w:ascii="宋体" w:hAnsi="宋体"/>
          <w:sz w:val="24"/>
        </w:rPr>
      </w:pPr>
      <w:r>
        <w:rPr>
          <w:rFonts w:ascii="宋体" w:hAnsi="宋体"/>
          <w:sz w:val="24"/>
        </w:rPr>
        <w:t>2</w:t>
      </w:r>
      <w:r>
        <w:rPr>
          <w:rFonts w:hint="eastAsia" w:ascii="宋体" w:hAnsi="宋体"/>
          <w:sz w:val="24"/>
        </w:rPr>
        <w:t>.本项目允许分包；</w:t>
      </w:r>
    </w:p>
    <w:p>
      <w:pPr>
        <w:snapToGrid w:val="0"/>
        <w:spacing w:line="360" w:lineRule="auto"/>
        <w:rPr>
          <w:rFonts w:ascii="宋体" w:hAnsi="宋体"/>
          <w:sz w:val="24"/>
        </w:rPr>
      </w:pPr>
      <w:r>
        <w:rPr>
          <w:rFonts w:ascii="宋体" w:hAnsi="宋体"/>
          <w:sz w:val="24"/>
        </w:rPr>
        <w:t>3</w:t>
      </w:r>
      <w:r>
        <w:rPr>
          <w:rFonts w:hint="eastAsia" w:ascii="宋体" w:hAnsi="宋体"/>
          <w:sz w:val="24"/>
        </w:rPr>
        <w:t>.如有转让和未经</w:t>
      </w:r>
      <w:r>
        <w:rPr>
          <w:rFonts w:ascii="宋体" w:hAnsi="宋体"/>
          <w:sz w:val="24"/>
        </w:rPr>
        <w:t>甲</w:t>
      </w:r>
      <w:r>
        <w:rPr>
          <w:rFonts w:hint="eastAsia" w:ascii="宋体" w:hAnsi="宋体"/>
          <w:sz w:val="24"/>
        </w:rPr>
        <w:t>方同意的分包行为，</w:t>
      </w:r>
      <w:r>
        <w:rPr>
          <w:rFonts w:ascii="宋体" w:hAnsi="宋体"/>
          <w:sz w:val="24"/>
        </w:rPr>
        <w:t>甲</w:t>
      </w:r>
      <w:r>
        <w:rPr>
          <w:rFonts w:hint="eastAsia" w:ascii="宋体" w:hAnsi="宋体"/>
          <w:sz w:val="24"/>
        </w:rPr>
        <w:t>方有权解除合同，没收履约保证金并追究乙方的违约责任。</w:t>
      </w:r>
    </w:p>
    <w:p>
      <w:pPr>
        <w:pStyle w:val="20"/>
        <w:snapToGrid w:val="0"/>
        <w:spacing w:beforeLines="0" w:afterLines="0" w:line="360" w:lineRule="auto"/>
        <w:rPr>
          <w:rFonts w:hAnsi="宋体"/>
        </w:rPr>
      </w:pPr>
      <w:r>
        <w:rPr>
          <w:rFonts w:hAnsi="宋体"/>
          <w:b/>
        </w:rPr>
        <w:t>八、质保期</w:t>
      </w:r>
    </w:p>
    <w:p>
      <w:pPr>
        <w:pStyle w:val="20"/>
        <w:snapToGrid w:val="0"/>
        <w:spacing w:beforeLines="0" w:afterLines="0" w:line="360" w:lineRule="auto"/>
        <w:ind w:left="410" w:hanging="410" w:hangingChars="171"/>
        <w:rPr>
          <w:rFonts w:hAnsi="宋体"/>
        </w:rPr>
      </w:pPr>
      <w:r>
        <w:rPr>
          <w:rFonts w:hAnsi="宋体"/>
        </w:rPr>
        <w:t>1</w:t>
      </w:r>
      <w:r>
        <w:rPr>
          <w:rFonts w:hint="eastAsia" w:hAnsi="宋体"/>
        </w:rPr>
        <w:t>.</w:t>
      </w:r>
      <w:r>
        <w:rPr>
          <w:rFonts w:hAnsi="宋体"/>
        </w:rPr>
        <w:t xml:space="preserve"> 质保期</w:t>
      </w:r>
      <w:r>
        <w:rPr>
          <w:rFonts w:hint="eastAsia" w:hAnsi="宋体"/>
        </w:rPr>
        <w:t xml:space="preserve">：  </w:t>
      </w:r>
      <w:r>
        <w:rPr>
          <w:rFonts w:hint="eastAsia"/>
        </w:rPr>
        <w:t>年</w:t>
      </w:r>
      <w:r>
        <w:rPr>
          <w:rFonts w:hAnsi="宋体"/>
        </w:rPr>
        <w:t>。（自验收合格之日起计）</w:t>
      </w:r>
    </w:p>
    <w:p>
      <w:pPr>
        <w:pStyle w:val="20"/>
        <w:snapToGrid w:val="0"/>
        <w:spacing w:beforeLines="0" w:afterLines="0" w:line="360" w:lineRule="auto"/>
        <w:rPr>
          <w:rFonts w:hAnsi="宋体"/>
          <w:b/>
        </w:rPr>
      </w:pPr>
      <w:r>
        <w:rPr>
          <w:rFonts w:hAnsi="宋体"/>
          <w:b/>
        </w:rPr>
        <w:t>九、交货期、交货方式及交货地点</w:t>
      </w:r>
    </w:p>
    <w:p>
      <w:pPr>
        <w:pStyle w:val="20"/>
        <w:snapToGrid w:val="0"/>
        <w:spacing w:beforeLines="0" w:afterLines="0" w:line="360" w:lineRule="auto"/>
        <w:rPr>
          <w:rFonts w:hAnsi="宋体"/>
          <w:bCs/>
        </w:rPr>
      </w:pPr>
      <w:r>
        <w:rPr>
          <w:rFonts w:hAnsi="宋体"/>
          <w:bCs/>
        </w:rPr>
        <w:t>1</w:t>
      </w:r>
      <w:r>
        <w:rPr>
          <w:rFonts w:hint="eastAsia" w:hAnsi="宋体"/>
          <w:bCs/>
        </w:rPr>
        <w:t>.</w:t>
      </w:r>
      <w:r>
        <w:rPr>
          <w:rFonts w:hAnsi="宋体"/>
          <w:bCs/>
        </w:rPr>
        <w:t xml:space="preserve"> 交货期：</w:t>
      </w:r>
      <w:r>
        <w:rPr>
          <w:rFonts w:hint="eastAsia" w:hAnsi="宋体"/>
          <w:bCs/>
        </w:rPr>
        <w:t>合同签订后日内交货</w:t>
      </w:r>
      <w:r>
        <w:rPr>
          <w:rFonts w:hint="eastAsia" w:hAnsi="宋体"/>
        </w:rPr>
        <w:t>并完成安装。</w:t>
      </w:r>
    </w:p>
    <w:p>
      <w:pPr>
        <w:pStyle w:val="20"/>
        <w:snapToGrid w:val="0"/>
        <w:spacing w:beforeLines="0" w:afterLines="0" w:line="360" w:lineRule="auto"/>
        <w:rPr>
          <w:rFonts w:hAnsi="宋体"/>
          <w:bCs/>
        </w:rPr>
      </w:pPr>
      <w:r>
        <w:rPr>
          <w:rFonts w:hAnsi="宋体"/>
          <w:bCs/>
        </w:rPr>
        <w:t>2</w:t>
      </w:r>
      <w:r>
        <w:rPr>
          <w:rFonts w:hint="eastAsia" w:hAnsi="宋体"/>
          <w:bCs/>
        </w:rPr>
        <w:t>.</w:t>
      </w:r>
      <w:r>
        <w:rPr>
          <w:rFonts w:hAnsi="宋体"/>
          <w:bCs/>
        </w:rPr>
        <w:t xml:space="preserve"> 交货方式：</w:t>
      </w:r>
    </w:p>
    <w:p>
      <w:pPr>
        <w:pStyle w:val="20"/>
        <w:snapToGrid w:val="0"/>
        <w:spacing w:beforeLines="0" w:afterLines="0" w:line="360" w:lineRule="auto"/>
        <w:rPr>
          <w:rFonts w:hAnsi="宋体"/>
          <w:b/>
        </w:rPr>
      </w:pPr>
      <w:r>
        <w:rPr>
          <w:rFonts w:hAnsi="宋体"/>
          <w:bCs/>
        </w:rPr>
        <w:t>3</w:t>
      </w:r>
      <w:r>
        <w:rPr>
          <w:rFonts w:hint="eastAsia" w:hAnsi="宋体"/>
          <w:bCs/>
        </w:rPr>
        <w:t>.</w:t>
      </w:r>
      <w:r>
        <w:rPr>
          <w:rFonts w:hAnsi="宋体"/>
          <w:bCs/>
        </w:rPr>
        <w:t xml:space="preserve"> 交货地点：</w:t>
      </w:r>
      <w:r>
        <w:rPr>
          <w:rFonts w:hint="eastAsia" w:hAnsi="宋体"/>
          <w:bCs/>
        </w:rPr>
        <w:t>采购人指定</w:t>
      </w:r>
    </w:p>
    <w:p>
      <w:pPr>
        <w:pStyle w:val="20"/>
        <w:snapToGrid w:val="0"/>
        <w:spacing w:beforeLines="0" w:afterLines="0" w:line="360" w:lineRule="auto"/>
        <w:rPr>
          <w:rFonts w:hAnsi="宋体"/>
          <w:b/>
        </w:rPr>
      </w:pPr>
      <w:r>
        <w:rPr>
          <w:rFonts w:hAnsi="宋体"/>
          <w:b/>
        </w:rPr>
        <w:t>十、货款支付</w:t>
      </w:r>
    </w:p>
    <w:p>
      <w:pPr>
        <w:pStyle w:val="20"/>
        <w:snapToGrid w:val="0"/>
        <w:spacing w:beforeLines="0" w:afterLines="0" w:line="360" w:lineRule="auto"/>
        <w:rPr>
          <w:rFonts w:hAnsi="宋体"/>
        </w:rPr>
      </w:pPr>
      <w:r>
        <w:rPr>
          <w:rFonts w:hint="eastAsia" w:hAnsi="宋体"/>
          <w:bCs/>
        </w:rPr>
        <w:t>1.</w:t>
      </w:r>
      <w:r>
        <w:rPr>
          <w:rFonts w:hAnsi="宋体"/>
        </w:rPr>
        <w:t>根据《保障中小企业款项支付条例》、省财政厅《关于坚决打赢疫情防控阻击战进一步做好政府采购资金支持企业发展工作的通知》（浙财采监【2020】3号）</w:t>
      </w:r>
      <w:r>
        <w:rPr>
          <w:rFonts w:hint="eastAsia" w:hAnsi="宋体"/>
        </w:rPr>
        <w:t>和（浙财采监〔2022]3号）</w:t>
      </w:r>
      <w:r>
        <w:rPr>
          <w:rFonts w:hAnsi="宋体"/>
        </w:rPr>
        <w:t>要求,制定如以下付款方式:</w:t>
      </w:r>
      <w:r>
        <w:rPr>
          <w:rFonts w:hint="eastAsia" w:hAnsi="宋体"/>
        </w:rPr>
        <w:t>合同生效以及具备实施条件后7个工作日内支付合同金额的40%预付款，采购人在向供应商支付预付款之前，供应商向采购人提供与预付款金额相对应的担保措施，担保措施可以是银行、保险公司等金融机构出具的预付款保函或其他担保措施。</w:t>
      </w:r>
      <w:r>
        <w:rPr>
          <w:rFonts w:hAnsi="宋体"/>
        </w:rPr>
        <w:t>（2）采购金额剩余款项于采购项目履行完毕并经过采购人书面确认后由采购人向供应商支付。采购人应自收到供应商开具的发票后15日内将上述相关款项支付到合同约定的供应商账户。</w:t>
      </w:r>
    </w:p>
    <w:p>
      <w:pPr>
        <w:pStyle w:val="20"/>
        <w:snapToGrid w:val="0"/>
        <w:spacing w:beforeLines="0" w:afterLines="0" w:line="360" w:lineRule="auto"/>
        <w:rPr>
          <w:rFonts w:hAnsi="宋体"/>
          <w:bCs/>
        </w:rPr>
      </w:pPr>
      <w:r>
        <w:rPr>
          <w:rFonts w:hAnsi="宋体"/>
        </w:rPr>
        <w:t>付款方式</w:t>
      </w:r>
      <w:r>
        <w:rPr>
          <w:rFonts w:hint="eastAsia" w:hAnsi="宋体"/>
        </w:rPr>
        <w:t>二</w:t>
      </w:r>
      <w:r>
        <w:rPr>
          <w:rFonts w:hAnsi="宋体"/>
        </w:rPr>
        <w:t>：（1）供应商确认，不需支付预付款</w:t>
      </w:r>
      <w:r>
        <w:rPr>
          <w:rFonts w:hint="eastAsia" w:hAnsi="宋体"/>
        </w:rPr>
        <w:t>。</w:t>
      </w:r>
      <w:r>
        <w:rPr>
          <w:rFonts w:hAnsi="宋体"/>
        </w:rPr>
        <w:t>（由供应商签订合同代表手抄并签字，手写文字上加盖供应商公章）（2）（一次性支付或分期支付均可，根据采购人与供应商协商的方式确定）</w:t>
      </w:r>
      <w:r>
        <w:rPr>
          <w:rFonts w:hAnsi="宋体"/>
        </w:rPr>
        <w:br w:type="textWrapping"/>
      </w:r>
      <w:r>
        <w:rPr>
          <w:rFonts w:hAnsi="宋体"/>
        </w:rPr>
        <w:t>采购人应自收到供应商开具的发票后15日内将上述相关款项支付到合同约定的供应商账户。</w:t>
      </w:r>
    </w:p>
    <w:p>
      <w:pPr>
        <w:pStyle w:val="20"/>
        <w:snapToGrid w:val="0"/>
        <w:spacing w:beforeLines="0" w:afterLines="0" w:line="360" w:lineRule="auto"/>
        <w:rPr>
          <w:rFonts w:hAnsi="宋体"/>
          <w:bCs/>
        </w:rPr>
      </w:pPr>
      <w:r>
        <w:rPr>
          <w:rFonts w:hAnsi="宋体"/>
          <w:bCs/>
        </w:rPr>
        <w:t>2</w:t>
      </w:r>
      <w:r>
        <w:rPr>
          <w:rFonts w:hint="eastAsia" w:hAnsi="宋体"/>
          <w:bCs/>
        </w:rPr>
        <w:t>.</w:t>
      </w:r>
      <w:r>
        <w:rPr>
          <w:rFonts w:hAnsi="宋体"/>
          <w:bCs/>
        </w:rPr>
        <w:t>当采购数量与实际使用数量不一致时，乙</w:t>
      </w:r>
      <w:r>
        <w:rPr>
          <w:rFonts w:hint="eastAsia" w:hAnsi="宋体"/>
          <w:bCs/>
        </w:rPr>
        <w:t>方</w:t>
      </w:r>
      <w:r>
        <w:rPr>
          <w:rFonts w:hAnsi="宋体"/>
          <w:bCs/>
        </w:rPr>
        <w:t>应根据实际使用量供货，合同的最终结算金额按实际使用量乘以成交单价进行计算。</w:t>
      </w:r>
    </w:p>
    <w:p>
      <w:pPr>
        <w:snapToGrid w:val="0"/>
        <w:spacing w:line="360" w:lineRule="auto"/>
        <w:rPr>
          <w:rFonts w:ascii="宋体" w:hAnsi="宋体"/>
          <w:b/>
          <w:sz w:val="24"/>
          <w:szCs w:val="20"/>
        </w:rPr>
      </w:pPr>
      <w:r>
        <w:rPr>
          <w:rFonts w:hint="eastAsia" w:ascii="宋体" w:hAnsi="宋体"/>
          <w:b/>
          <w:sz w:val="24"/>
        </w:rPr>
        <w:t>十一、税费</w:t>
      </w:r>
    </w:p>
    <w:p>
      <w:pPr>
        <w:snapToGrid w:val="0"/>
        <w:spacing w:line="360" w:lineRule="auto"/>
        <w:rPr>
          <w:rFonts w:ascii="宋体" w:hAnsi="宋体"/>
          <w:sz w:val="24"/>
          <w:szCs w:val="20"/>
        </w:rPr>
      </w:pPr>
      <w:r>
        <w:rPr>
          <w:rFonts w:hint="eastAsia" w:ascii="宋体" w:hAnsi="宋体"/>
          <w:sz w:val="24"/>
        </w:rPr>
        <w:t>本合同执行中相关的一切税费均由</w:t>
      </w:r>
      <w:r>
        <w:rPr>
          <w:rFonts w:hAnsi="宋体"/>
          <w:sz w:val="24"/>
        </w:rPr>
        <w:t>乙</w:t>
      </w:r>
      <w:r>
        <w:rPr>
          <w:rFonts w:hint="eastAsia" w:ascii="宋体" w:hAnsi="宋体"/>
          <w:sz w:val="24"/>
        </w:rPr>
        <w:t>方负担。</w:t>
      </w:r>
    </w:p>
    <w:p>
      <w:pPr>
        <w:pStyle w:val="20"/>
        <w:snapToGrid w:val="0"/>
        <w:spacing w:beforeLines="0" w:afterLines="0" w:line="360" w:lineRule="auto"/>
        <w:ind w:left="412" w:hanging="412" w:hangingChars="171"/>
        <w:rPr>
          <w:rFonts w:hAnsi="宋体"/>
        </w:rPr>
      </w:pPr>
      <w:r>
        <w:rPr>
          <w:rFonts w:hAnsi="宋体"/>
          <w:b/>
        </w:rPr>
        <w:t>十二、质量保证及售后服务</w:t>
      </w:r>
    </w:p>
    <w:p>
      <w:pPr>
        <w:pStyle w:val="20"/>
        <w:snapToGrid w:val="0"/>
        <w:spacing w:beforeLines="0" w:afterLines="0" w:line="360" w:lineRule="auto"/>
        <w:rPr>
          <w:rFonts w:hAnsi="宋体"/>
        </w:rPr>
      </w:pPr>
      <w:r>
        <w:rPr>
          <w:rFonts w:hAnsi="宋体"/>
        </w:rPr>
        <w:t>1</w:t>
      </w:r>
      <w:r>
        <w:rPr>
          <w:rFonts w:hint="eastAsia" w:hAnsi="宋体"/>
        </w:rPr>
        <w:t>.</w:t>
      </w:r>
      <w:r>
        <w:rPr>
          <w:rFonts w:hAnsi="宋体"/>
        </w:rPr>
        <w:t xml:space="preserve"> 乙方应按招标文件规定的货物性能、技术要求、质量标准向甲方提供未经使用的全新</w:t>
      </w:r>
      <w:r>
        <w:rPr>
          <w:rFonts w:hint="eastAsia" w:hAnsi="宋体"/>
        </w:rPr>
        <w:t>合格</w:t>
      </w:r>
      <w:r>
        <w:rPr>
          <w:rFonts w:hAnsi="宋体"/>
        </w:rPr>
        <w:t>产品。</w:t>
      </w:r>
    </w:p>
    <w:p>
      <w:pPr>
        <w:pStyle w:val="20"/>
        <w:snapToGrid w:val="0"/>
        <w:spacing w:beforeLines="0" w:afterLines="0" w:line="360" w:lineRule="auto"/>
        <w:rPr>
          <w:rFonts w:hAnsi="宋体"/>
        </w:rPr>
      </w:pPr>
      <w:r>
        <w:rPr>
          <w:rFonts w:hAnsi="宋体"/>
        </w:rPr>
        <w:t>2</w:t>
      </w:r>
      <w:r>
        <w:rPr>
          <w:rFonts w:hint="eastAsia" w:hAnsi="宋体"/>
        </w:rPr>
        <w:t>.</w:t>
      </w:r>
      <w:r>
        <w:rPr>
          <w:rFonts w:hAnsi="宋体"/>
        </w:rPr>
        <w:t xml:space="preserve"> 乙方提供的货物在质</w:t>
      </w:r>
      <w:r>
        <w:rPr>
          <w:rFonts w:hint="eastAsia" w:hAnsi="宋体"/>
        </w:rPr>
        <w:t>保</w:t>
      </w:r>
      <w:r>
        <w:rPr>
          <w:rFonts w:hAnsi="宋体"/>
        </w:rPr>
        <w:t>期内因货物本身的质量问题发生故障，乙方应负责免费更换。对达不到技术要求者，根据实际情况，经双方协商，可按以下办法处理：</w:t>
      </w:r>
    </w:p>
    <w:p>
      <w:pPr>
        <w:pStyle w:val="20"/>
        <w:snapToGrid w:val="0"/>
        <w:spacing w:beforeLines="0" w:afterLines="0" w:line="360" w:lineRule="auto"/>
        <w:ind w:firstLine="420"/>
        <w:rPr>
          <w:rFonts w:hAnsi="宋体"/>
        </w:rPr>
      </w:pPr>
      <w:r>
        <w:rPr>
          <w:rFonts w:hAnsi="宋体"/>
        </w:rPr>
        <w:t>⑴更换：由乙方承担所发生的全部费用。</w:t>
      </w:r>
    </w:p>
    <w:p>
      <w:pPr>
        <w:pStyle w:val="20"/>
        <w:snapToGrid w:val="0"/>
        <w:spacing w:beforeLines="0" w:afterLines="0" w:line="360" w:lineRule="auto"/>
        <w:ind w:firstLine="420"/>
        <w:rPr>
          <w:rFonts w:hAnsi="宋体"/>
        </w:rPr>
      </w:pPr>
      <w:r>
        <w:rPr>
          <w:rFonts w:hAnsi="宋体"/>
        </w:rPr>
        <w:t>⑵贬值处理：由甲乙双方合议定价。</w:t>
      </w:r>
    </w:p>
    <w:p>
      <w:pPr>
        <w:pStyle w:val="20"/>
        <w:snapToGrid w:val="0"/>
        <w:spacing w:beforeLines="0" w:afterLines="0" w:line="360" w:lineRule="auto"/>
        <w:rPr>
          <w:rFonts w:hAnsi="宋体"/>
        </w:rPr>
      </w:pPr>
      <w:r>
        <w:rPr>
          <w:rFonts w:hAnsi="宋体"/>
        </w:rPr>
        <w:t>⑶退货处理：乙方应退还甲方支付的合同款，同时应承担该货物的直接费用（运输、保险、检验、货款利息及银行手续费等）。</w:t>
      </w:r>
    </w:p>
    <w:p>
      <w:pPr>
        <w:pStyle w:val="20"/>
        <w:snapToGrid w:val="0"/>
        <w:spacing w:beforeLines="0" w:afterLines="0" w:line="360" w:lineRule="auto"/>
        <w:rPr>
          <w:rFonts w:hAnsi="宋体"/>
        </w:rPr>
      </w:pPr>
      <w:r>
        <w:rPr>
          <w:rFonts w:hAnsi="宋体"/>
        </w:rPr>
        <w:t>3</w:t>
      </w:r>
      <w:r>
        <w:rPr>
          <w:rFonts w:hint="eastAsia" w:hAnsi="宋体"/>
        </w:rPr>
        <w:t>.</w:t>
      </w:r>
      <w:r>
        <w:rPr>
          <w:rFonts w:hAnsi="宋体"/>
        </w:rPr>
        <w:t xml:space="preserve"> 如在使用过程中发生质量问题，乙方在接到甲方通知后在△小时内到达甲方现场。</w:t>
      </w:r>
    </w:p>
    <w:p>
      <w:pPr>
        <w:pStyle w:val="20"/>
        <w:snapToGrid w:val="0"/>
        <w:spacing w:beforeLines="0" w:afterLines="0" w:line="360" w:lineRule="auto"/>
        <w:rPr>
          <w:rFonts w:hAnsi="宋体"/>
        </w:rPr>
      </w:pPr>
      <w:r>
        <w:rPr>
          <w:rFonts w:hAnsi="宋体"/>
        </w:rPr>
        <w:t>4</w:t>
      </w:r>
      <w:r>
        <w:rPr>
          <w:rFonts w:hint="eastAsia" w:hAnsi="宋体"/>
        </w:rPr>
        <w:t>.</w:t>
      </w:r>
      <w:r>
        <w:rPr>
          <w:rFonts w:hAnsi="宋体"/>
        </w:rPr>
        <w:t xml:space="preserve"> 在质保期内，乙方应对货物出现的质量及安全问题负责处理解决并承担一切费用。</w:t>
      </w:r>
    </w:p>
    <w:p>
      <w:pPr>
        <w:pStyle w:val="20"/>
        <w:snapToGrid w:val="0"/>
        <w:spacing w:beforeLines="0" w:afterLines="0" w:line="360" w:lineRule="auto"/>
        <w:rPr>
          <w:rFonts w:hAnsi="宋体"/>
        </w:rPr>
      </w:pPr>
      <w:r>
        <w:rPr>
          <w:rFonts w:hAnsi="宋体"/>
        </w:rPr>
        <w:t>5</w:t>
      </w:r>
      <w:r>
        <w:rPr>
          <w:rFonts w:hint="eastAsia" w:hAnsi="宋体"/>
        </w:rPr>
        <w:t>.</w:t>
      </w:r>
      <w:r>
        <w:rPr>
          <w:rFonts w:hAnsi="宋体"/>
        </w:rPr>
        <w:t>上述的货物免费保修期为</w:t>
      </w:r>
      <w:r>
        <w:rPr>
          <w:rFonts w:hint="eastAsia"/>
        </w:rPr>
        <w:t xml:space="preserve"> 年</w:t>
      </w:r>
      <w:r>
        <w:rPr>
          <w:rFonts w:hAnsi="宋体"/>
        </w:rPr>
        <w:t>，因人为因素出现的故障不在免费保修范围内。超过保修期的机器设备，终生维修，维修时只收部件成本费。</w:t>
      </w:r>
    </w:p>
    <w:p>
      <w:pPr>
        <w:pStyle w:val="20"/>
        <w:snapToGrid w:val="0"/>
        <w:spacing w:beforeLines="0" w:afterLines="0" w:line="360" w:lineRule="auto"/>
        <w:rPr>
          <w:rFonts w:hAnsi="宋体"/>
          <w:b/>
        </w:rPr>
      </w:pPr>
      <w:r>
        <w:rPr>
          <w:rFonts w:hAnsi="宋体"/>
          <w:b/>
        </w:rPr>
        <w:t>十三、调试和验收</w:t>
      </w:r>
    </w:p>
    <w:p>
      <w:pPr>
        <w:pStyle w:val="20"/>
        <w:snapToGrid w:val="0"/>
        <w:spacing w:beforeLines="0" w:afterLines="0" w:line="360" w:lineRule="auto"/>
        <w:jc w:val="left"/>
        <w:rPr>
          <w:rFonts w:hAnsi="宋体"/>
        </w:rPr>
      </w:pPr>
      <w:r>
        <w:rPr>
          <w:rFonts w:hAnsi="宋体"/>
        </w:rPr>
        <w:t>1</w:t>
      </w:r>
      <w:r>
        <w:rPr>
          <w:rFonts w:hint="eastAsia" w:hAnsi="宋体"/>
        </w:rPr>
        <w:t>.</w:t>
      </w:r>
      <w:r>
        <w:rPr>
          <w:rFonts w:hAnsi="宋体"/>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0"/>
        <w:snapToGrid w:val="0"/>
        <w:spacing w:beforeLines="0" w:afterLines="0" w:line="360" w:lineRule="auto"/>
        <w:rPr>
          <w:rFonts w:hAnsi="宋体"/>
        </w:rPr>
      </w:pPr>
      <w:r>
        <w:rPr>
          <w:rFonts w:hAnsi="宋体"/>
        </w:rPr>
        <w:t>2</w:t>
      </w:r>
      <w:r>
        <w:rPr>
          <w:rFonts w:hint="eastAsia" w:hAnsi="宋体"/>
        </w:rPr>
        <w:t>.</w:t>
      </w:r>
      <w:r>
        <w:rPr>
          <w:rFonts w:hAnsi="宋体"/>
        </w:rPr>
        <w:t xml:space="preserve"> 乙方交货前应对产品作出全面检查和对验收文件进行整理，并列出清单，作为甲方收货验收和使用的技术条件依据，检验的结果应随货物交甲方。</w:t>
      </w:r>
    </w:p>
    <w:p>
      <w:pPr>
        <w:pStyle w:val="20"/>
        <w:snapToGrid w:val="0"/>
        <w:spacing w:beforeLines="0" w:afterLines="0" w:line="360" w:lineRule="auto"/>
        <w:rPr>
          <w:rFonts w:hAnsi="宋体"/>
          <w:u w:val="single"/>
        </w:rPr>
      </w:pPr>
      <w:r>
        <w:rPr>
          <w:rFonts w:hAnsi="宋体"/>
        </w:rPr>
        <w:t>3</w:t>
      </w:r>
      <w:r>
        <w:rPr>
          <w:rFonts w:hint="eastAsia" w:hAnsi="宋体"/>
        </w:rPr>
        <w:t>.</w:t>
      </w:r>
      <w:r>
        <w:rPr>
          <w:rFonts w:hAnsi="宋体"/>
        </w:rPr>
        <w:t xml:space="preserve"> 甲方对乙方提供的货物在使用前进行调试时，乙方需负责安装并培训甲方的使用操作人员，并协助甲方一起调试，直到符合技术要求，甲方才做最终验收。</w:t>
      </w:r>
    </w:p>
    <w:p>
      <w:pPr>
        <w:pStyle w:val="20"/>
        <w:snapToGrid w:val="0"/>
        <w:spacing w:beforeLines="0" w:afterLines="0" w:line="360" w:lineRule="auto"/>
        <w:rPr>
          <w:rFonts w:hAnsi="宋体"/>
        </w:rPr>
      </w:pPr>
      <w:r>
        <w:rPr>
          <w:rFonts w:hAnsi="宋体"/>
        </w:rPr>
        <w:t>4</w:t>
      </w:r>
      <w:r>
        <w:rPr>
          <w:rFonts w:hint="eastAsia" w:hAnsi="宋体"/>
        </w:rPr>
        <w:t>.</w:t>
      </w:r>
      <w:r>
        <w:rPr>
          <w:rFonts w:hAnsi="宋体"/>
        </w:rPr>
        <w:t xml:space="preserve"> 对技术复杂的货物，甲方应请国家认可的专业检测机构参与初步验收及最终验收，并由其出具质量检测报告。</w:t>
      </w:r>
    </w:p>
    <w:p>
      <w:pPr>
        <w:pStyle w:val="20"/>
        <w:snapToGrid w:val="0"/>
        <w:spacing w:beforeLines="0" w:afterLines="0" w:line="360" w:lineRule="auto"/>
        <w:rPr>
          <w:rFonts w:hAnsi="宋体"/>
        </w:rPr>
      </w:pPr>
      <w:r>
        <w:rPr>
          <w:rFonts w:hAnsi="宋体"/>
        </w:rPr>
        <w:t>5</w:t>
      </w:r>
      <w:r>
        <w:rPr>
          <w:rFonts w:hint="eastAsia" w:hAnsi="宋体"/>
        </w:rPr>
        <w:t>.</w:t>
      </w:r>
      <w:r>
        <w:rPr>
          <w:rFonts w:hAnsi="宋体"/>
        </w:rPr>
        <w:t xml:space="preserve"> 验收时乙方必须在现场，验收完毕后作出验收结果报告；验收费用由乙方负责。</w:t>
      </w:r>
    </w:p>
    <w:p>
      <w:pPr>
        <w:pStyle w:val="20"/>
        <w:snapToGrid w:val="0"/>
        <w:spacing w:beforeLines="0" w:afterLines="0" w:line="360" w:lineRule="auto"/>
        <w:rPr>
          <w:rFonts w:hAnsi="宋体"/>
          <w:b/>
        </w:rPr>
      </w:pPr>
      <w:r>
        <w:rPr>
          <w:rFonts w:hAnsi="宋体"/>
          <w:b/>
        </w:rPr>
        <w:t>十四、货物包装、发运及运输</w:t>
      </w:r>
    </w:p>
    <w:p>
      <w:pPr>
        <w:pStyle w:val="20"/>
        <w:snapToGrid w:val="0"/>
        <w:spacing w:beforeLines="0" w:afterLines="0" w:line="360" w:lineRule="auto"/>
        <w:rPr>
          <w:rFonts w:hAnsi="宋体"/>
        </w:rPr>
      </w:pPr>
      <w:r>
        <w:rPr>
          <w:rFonts w:hAnsi="宋体"/>
        </w:rPr>
        <w:t>1</w:t>
      </w:r>
      <w:r>
        <w:rPr>
          <w:rFonts w:hint="eastAsia" w:hAnsi="宋体"/>
        </w:rPr>
        <w:t>.</w:t>
      </w:r>
      <w:r>
        <w:rPr>
          <w:rFonts w:hAnsi="宋体"/>
        </w:rPr>
        <w:t xml:space="preserve"> 乙方应在货物发运前对其进行满足运输距离、防潮、防震、防锈和防破损装卸等要求包装，以保证货物安全运达甲方指定地点。</w:t>
      </w:r>
    </w:p>
    <w:p>
      <w:pPr>
        <w:pStyle w:val="20"/>
        <w:snapToGrid w:val="0"/>
        <w:spacing w:beforeLines="0" w:afterLines="0" w:line="360" w:lineRule="auto"/>
        <w:rPr>
          <w:rFonts w:hAnsi="宋体"/>
        </w:rPr>
      </w:pPr>
      <w:r>
        <w:rPr>
          <w:rFonts w:hAnsi="宋体"/>
        </w:rPr>
        <w:t>2</w:t>
      </w:r>
      <w:r>
        <w:rPr>
          <w:rFonts w:hint="eastAsia" w:hAnsi="宋体"/>
        </w:rPr>
        <w:t>.</w:t>
      </w:r>
      <w:r>
        <w:rPr>
          <w:rFonts w:hAnsi="宋体"/>
        </w:rPr>
        <w:t xml:space="preserve"> 使用说明书、质量检验证明书、随配附件和工具以及清单一并附于货物内。</w:t>
      </w:r>
    </w:p>
    <w:p>
      <w:pPr>
        <w:pStyle w:val="20"/>
        <w:snapToGrid w:val="0"/>
        <w:spacing w:beforeLines="0" w:afterLines="0" w:line="360" w:lineRule="auto"/>
        <w:rPr>
          <w:rFonts w:hAnsi="宋体"/>
        </w:rPr>
      </w:pPr>
      <w:r>
        <w:rPr>
          <w:rFonts w:hAnsi="宋体"/>
        </w:rPr>
        <w:t>3</w:t>
      </w:r>
      <w:r>
        <w:rPr>
          <w:rFonts w:hint="eastAsia" w:hAnsi="宋体"/>
        </w:rPr>
        <w:t>.</w:t>
      </w:r>
      <w:r>
        <w:rPr>
          <w:rFonts w:hAnsi="宋体"/>
        </w:rPr>
        <w:t xml:space="preserve"> 乙方在货物发运手续办理完毕后24小时内或货到甲方48小时前通知甲方，以准备接货。</w:t>
      </w:r>
    </w:p>
    <w:p>
      <w:pPr>
        <w:pStyle w:val="20"/>
        <w:snapToGrid w:val="0"/>
        <w:spacing w:beforeLines="0" w:afterLines="0" w:line="360" w:lineRule="auto"/>
        <w:rPr>
          <w:rFonts w:hAnsi="宋体"/>
        </w:rPr>
      </w:pPr>
      <w:r>
        <w:rPr>
          <w:rFonts w:hAnsi="宋体"/>
        </w:rPr>
        <w:t>4</w:t>
      </w:r>
      <w:r>
        <w:rPr>
          <w:rFonts w:hint="eastAsia" w:hAnsi="宋体"/>
        </w:rPr>
        <w:t>.</w:t>
      </w:r>
      <w:r>
        <w:rPr>
          <w:rFonts w:hAnsi="宋体"/>
        </w:rPr>
        <w:t xml:space="preserve"> 货物在交付甲方前发生的风险均由乙方负责。</w:t>
      </w:r>
    </w:p>
    <w:p>
      <w:pPr>
        <w:pStyle w:val="20"/>
        <w:snapToGrid w:val="0"/>
        <w:spacing w:beforeLines="0" w:afterLines="0" w:line="360" w:lineRule="auto"/>
        <w:rPr>
          <w:rFonts w:hAnsi="宋体"/>
        </w:rPr>
      </w:pPr>
      <w:r>
        <w:rPr>
          <w:rFonts w:hAnsi="宋体"/>
        </w:rPr>
        <w:t>5</w:t>
      </w:r>
      <w:r>
        <w:rPr>
          <w:rFonts w:hint="eastAsia" w:hAnsi="宋体"/>
        </w:rPr>
        <w:t>.</w:t>
      </w:r>
      <w:r>
        <w:rPr>
          <w:rFonts w:hAnsi="宋体"/>
        </w:rPr>
        <w:t xml:space="preserve"> 货物在规定的交付期限内由乙方送达甲方指定的地点视为交付，乙方同时需通知甲方货物已送达。</w:t>
      </w:r>
    </w:p>
    <w:p>
      <w:pPr>
        <w:pStyle w:val="20"/>
        <w:snapToGrid w:val="0"/>
        <w:spacing w:beforeLines="0" w:afterLines="0" w:line="360" w:lineRule="auto"/>
        <w:rPr>
          <w:rFonts w:hAnsi="宋体"/>
          <w:b/>
        </w:rPr>
      </w:pPr>
      <w:r>
        <w:rPr>
          <w:rFonts w:hAnsi="宋体"/>
          <w:b/>
        </w:rPr>
        <w:t>十五、违约责任</w:t>
      </w:r>
    </w:p>
    <w:p>
      <w:pPr>
        <w:pStyle w:val="20"/>
        <w:snapToGrid w:val="0"/>
        <w:spacing w:beforeLines="0" w:afterLines="0" w:line="360" w:lineRule="auto"/>
        <w:rPr>
          <w:rFonts w:hAnsi="宋体"/>
        </w:rPr>
      </w:pPr>
      <w:r>
        <w:rPr>
          <w:rFonts w:hAnsi="宋体"/>
        </w:rPr>
        <w:t>1</w:t>
      </w:r>
      <w:r>
        <w:rPr>
          <w:rFonts w:hint="eastAsia" w:hAnsi="宋体"/>
        </w:rPr>
        <w:t>.</w:t>
      </w:r>
      <w:r>
        <w:rPr>
          <w:rFonts w:hAnsi="宋体"/>
        </w:rPr>
        <w:t xml:space="preserve"> 甲方无正当理由拒收货物的，甲方向乙方偿付拒收货款总值的百分之五违约金。</w:t>
      </w:r>
    </w:p>
    <w:p>
      <w:pPr>
        <w:pStyle w:val="20"/>
        <w:snapToGrid w:val="0"/>
        <w:spacing w:beforeLines="0" w:afterLines="0" w:line="360" w:lineRule="auto"/>
        <w:rPr>
          <w:rFonts w:hAnsi="宋体"/>
        </w:rPr>
      </w:pPr>
      <w:r>
        <w:rPr>
          <w:rFonts w:hAnsi="宋体"/>
        </w:rPr>
        <w:t>2</w:t>
      </w:r>
      <w:r>
        <w:rPr>
          <w:rFonts w:hint="eastAsia" w:hAnsi="宋体"/>
        </w:rPr>
        <w:t>.</w:t>
      </w:r>
      <w:r>
        <w:rPr>
          <w:rFonts w:hAnsi="宋体"/>
        </w:rPr>
        <w:t xml:space="preserve"> 甲方无故逾期验收和办理货款支付手续的,甲方应按逾期付款总额每日万分之五向乙方支付违约金。</w:t>
      </w:r>
    </w:p>
    <w:p>
      <w:pPr>
        <w:pStyle w:val="20"/>
        <w:snapToGrid w:val="0"/>
        <w:spacing w:beforeLines="0" w:afterLines="0" w:line="360" w:lineRule="auto"/>
        <w:rPr>
          <w:rFonts w:hAnsi="宋体"/>
        </w:rPr>
      </w:pPr>
      <w:r>
        <w:rPr>
          <w:rFonts w:hAnsi="宋体"/>
        </w:rPr>
        <w:t>3</w:t>
      </w:r>
      <w:r>
        <w:rPr>
          <w:rFonts w:hint="eastAsia" w:hAnsi="宋体"/>
        </w:rPr>
        <w:t>.</w:t>
      </w:r>
      <w:r>
        <w:rPr>
          <w:rFonts w:hAnsi="宋体"/>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0"/>
        <w:snapToGrid w:val="0"/>
        <w:spacing w:beforeLines="0" w:afterLines="0" w:line="360" w:lineRule="auto"/>
        <w:rPr>
          <w:rFonts w:hAnsi="宋体"/>
        </w:rPr>
      </w:pPr>
      <w:r>
        <w:rPr>
          <w:rFonts w:hAnsi="宋体"/>
        </w:rPr>
        <w:t>4</w:t>
      </w:r>
      <w:r>
        <w:rPr>
          <w:rFonts w:hint="eastAsia" w:hAnsi="宋体"/>
        </w:rPr>
        <w:t>.</w:t>
      </w:r>
      <w:r>
        <w:rPr>
          <w:rFonts w:hAnsi="宋体"/>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0"/>
        <w:snapToGrid w:val="0"/>
        <w:spacing w:beforeLines="0" w:afterLines="0" w:line="360" w:lineRule="auto"/>
        <w:rPr>
          <w:rFonts w:hAnsi="宋体"/>
          <w:b/>
        </w:rPr>
      </w:pPr>
      <w:r>
        <w:rPr>
          <w:rFonts w:hAnsi="宋体"/>
          <w:b/>
        </w:rPr>
        <w:t>十六、不可抗力事件处理</w:t>
      </w:r>
    </w:p>
    <w:p>
      <w:pPr>
        <w:pStyle w:val="20"/>
        <w:snapToGrid w:val="0"/>
        <w:spacing w:beforeLines="0" w:afterLines="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pPr>
        <w:pStyle w:val="20"/>
        <w:snapToGrid w:val="0"/>
        <w:spacing w:beforeLines="0" w:afterLines="0" w:line="360" w:lineRule="auto"/>
        <w:rPr>
          <w:rFonts w:hAnsi="宋体"/>
        </w:rPr>
      </w:pPr>
      <w:r>
        <w:rPr>
          <w:rFonts w:hAnsi="宋体"/>
        </w:rPr>
        <w:t>2</w:t>
      </w:r>
      <w:r>
        <w:rPr>
          <w:rFonts w:hint="eastAsia" w:hAnsi="宋体"/>
        </w:rPr>
        <w:t>.</w:t>
      </w:r>
      <w:r>
        <w:rPr>
          <w:rFonts w:hAnsi="宋体"/>
        </w:rPr>
        <w:t xml:space="preserve"> 不可抗力事件发生后，应立即通知对方，并寄送有关权威机构出具的证明。</w:t>
      </w:r>
    </w:p>
    <w:p>
      <w:pPr>
        <w:pStyle w:val="20"/>
        <w:snapToGrid w:val="0"/>
        <w:spacing w:beforeLines="0" w:afterLines="0" w:line="360" w:lineRule="auto"/>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pPr>
        <w:pStyle w:val="20"/>
        <w:snapToGrid w:val="0"/>
        <w:spacing w:beforeLines="0" w:afterLines="0" w:line="360" w:lineRule="auto"/>
        <w:rPr>
          <w:rFonts w:hAnsi="宋体"/>
          <w:b/>
        </w:rPr>
      </w:pPr>
      <w:r>
        <w:rPr>
          <w:rFonts w:hAnsi="宋体"/>
          <w:b/>
        </w:rPr>
        <w:t>十七、诉讼</w:t>
      </w:r>
    </w:p>
    <w:p>
      <w:pPr>
        <w:pStyle w:val="20"/>
        <w:snapToGrid w:val="0"/>
        <w:spacing w:beforeLines="0" w:afterLines="0" w:line="360" w:lineRule="auto"/>
        <w:rPr>
          <w:rFonts w:hAnsi="宋体"/>
        </w:rPr>
      </w:pPr>
      <w:r>
        <w:rPr>
          <w:rFonts w:hAnsi="宋体"/>
        </w:rPr>
        <w:t xml:space="preserve"> 双方在执行合同中所发生的一切争议，应通过协商解决。如协商不成，可向</w:t>
      </w:r>
      <w:r>
        <w:rPr>
          <w:rFonts w:hint="eastAsia" w:hAnsi="宋体"/>
        </w:rPr>
        <w:t>甲方所在</w:t>
      </w:r>
      <w:r>
        <w:rPr>
          <w:rFonts w:hAnsi="宋体"/>
        </w:rPr>
        <w:t>地法院起诉。</w:t>
      </w:r>
    </w:p>
    <w:p>
      <w:pPr>
        <w:pStyle w:val="20"/>
        <w:snapToGrid w:val="0"/>
        <w:spacing w:beforeLines="0" w:afterLines="0" w:line="360" w:lineRule="auto"/>
        <w:rPr>
          <w:rFonts w:hAnsi="宋体"/>
          <w:b/>
        </w:rPr>
      </w:pPr>
      <w:r>
        <w:rPr>
          <w:rFonts w:hAnsi="宋体"/>
          <w:b/>
        </w:rPr>
        <w:t>十八、合同生效及其它</w:t>
      </w:r>
    </w:p>
    <w:p>
      <w:pPr>
        <w:pStyle w:val="20"/>
        <w:snapToGrid w:val="0"/>
        <w:spacing w:beforeLines="0" w:afterLines="0" w:line="360" w:lineRule="auto"/>
        <w:rPr>
          <w:rFonts w:hAnsi="宋体"/>
        </w:rPr>
      </w:pPr>
      <w:r>
        <w:rPr>
          <w:rFonts w:hAnsi="宋体"/>
        </w:rPr>
        <w:t>1</w:t>
      </w:r>
      <w:r>
        <w:rPr>
          <w:rFonts w:hint="eastAsia" w:hAnsi="宋体"/>
        </w:rPr>
        <w:t>.</w:t>
      </w:r>
      <w:r>
        <w:rPr>
          <w:rFonts w:hAnsi="宋体"/>
        </w:rPr>
        <w:t>合同经双方法定代表人或授权代表签字并加盖单位公章后生效。</w:t>
      </w:r>
    </w:p>
    <w:p>
      <w:pPr>
        <w:pStyle w:val="20"/>
        <w:snapToGrid w:val="0"/>
        <w:spacing w:beforeLines="0" w:afterLines="0" w:line="360" w:lineRule="auto"/>
        <w:rPr>
          <w:rFonts w:hAnsi="宋体"/>
        </w:rPr>
      </w:pPr>
      <w:r>
        <w:rPr>
          <w:rFonts w:hAnsi="宋体"/>
        </w:rPr>
        <w:t>2</w:t>
      </w:r>
      <w:r>
        <w:rPr>
          <w:rFonts w:hint="eastAsia" w:hAnsi="宋体"/>
        </w:rPr>
        <w:t>.</w:t>
      </w:r>
      <w:r>
        <w:rPr>
          <w:rFonts w:hAnsi="宋体"/>
        </w:rPr>
        <w:t>合同执行中涉及采购资金和采购内容修改或补充的，须经财政部门审批，并签书面补充协议报政府采购监督管理部门备案，方可作为主合同不可分割的一部分。</w:t>
      </w:r>
    </w:p>
    <w:p>
      <w:pPr>
        <w:pStyle w:val="20"/>
        <w:snapToGrid w:val="0"/>
        <w:spacing w:beforeLines="0" w:afterLines="0" w:line="360" w:lineRule="auto"/>
        <w:ind w:left="480" w:hanging="480" w:hangingChars="200"/>
        <w:rPr>
          <w:rFonts w:hAnsi="宋体"/>
        </w:rPr>
      </w:pPr>
      <w:r>
        <w:rPr>
          <w:rFonts w:hAnsi="宋体"/>
        </w:rPr>
        <w:t>3</w:t>
      </w:r>
      <w:r>
        <w:rPr>
          <w:rFonts w:hint="eastAsia" w:hAnsi="宋体"/>
        </w:rPr>
        <w:t>.</w:t>
      </w:r>
      <w:r>
        <w:rPr>
          <w:rFonts w:hAnsi="宋体"/>
        </w:rPr>
        <w:t>本合同未尽事宜，遵照《</w:t>
      </w:r>
      <w:r>
        <w:rPr>
          <w:rFonts w:hint="eastAsia" w:hAnsi="宋体"/>
        </w:rPr>
        <w:t>中华人民共和国民法典</w:t>
      </w:r>
      <w:r>
        <w:rPr>
          <w:rFonts w:hAnsi="宋体"/>
        </w:rPr>
        <w:t>》有关条文执行。</w:t>
      </w:r>
    </w:p>
    <w:p>
      <w:pPr>
        <w:pStyle w:val="20"/>
        <w:snapToGrid w:val="0"/>
        <w:spacing w:beforeLines="0" w:afterLines="0" w:line="360" w:lineRule="auto"/>
        <w:rPr>
          <w:rFonts w:hAnsi="宋体"/>
        </w:rPr>
      </w:pPr>
      <w:r>
        <w:rPr>
          <w:rFonts w:hAnsi="宋体"/>
        </w:rPr>
        <w:t>4</w:t>
      </w:r>
      <w:r>
        <w:rPr>
          <w:rFonts w:hint="eastAsia" w:hAnsi="宋体"/>
        </w:rPr>
        <w:t>.</w:t>
      </w:r>
      <w:r>
        <w:rPr>
          <w:rFonts w:hAnsi="宋体"/>
        </w:rPr>
        <w:t>本合同正本一式</w:t>
      </w:r>
      <w:r>
        <w:rPr>
          <w:rFonts w:hint="eastAsia" w:hAnsi="宋体"/>
        </w:rPr>
        <w:t>六</w:t>
      </w:r>
      <w:r>
        <w:rPr>
          <w:rFonts w:hAnsi="宋体"/>
        </w:rPr>
        <w:t>份，具有同等法律效力，甲</w:t>
      </w:r>
      <w:r>
        <w:rPr>
          <w:rFonts w:hint="eastAsia" w:hAnsi="宋体"/>
        </w:rPr>
        <w:t>方执三份，乙方执二份，采购代理机构执一份。</w:t>
      </w:r>
    </w:p>
    <w:p>
      <w:pPr>
        <w:pStyle w:val="20"/>
        <w:snapToGrid w:val="0"/>
        <w:spacing w:beforeLines="0" w:afterLines="0" w:line="360" w:lineRule="auto"/>
        <w:ind w:left="480" w:hanging="480" w:hangingChars="200"/>
        <w:rPr>
          <w:rFonts w:hAnsi="宋体"/>
        </w:rPr>
      </w:pPr>
      <w:r>
        <w:rPr>
          <w:rFonts w:hAnsi="宋体"/>
        </w:rPr>
        <w:t xml:space="preserve">  甲方：                            乙方： </w:t>
      </w:r>
    </w:p>
    <w:p>
      <w:pPr>
        <w:pStyle w:val="20"/>
        <w:snapToGrid w:val="0"/>
        <w:spacing w:beforeLines="0" w:afterLines="0" w:line="360" w:lineRule="auto"/>
        <w:rPr>
          <w:rFonts w:hAnsi="宋体"/>
        </w:rPr>
      </w:pPr>
      <w:r>
        <w:rPr>
          <w:rFonts w:hAnsi="宋体"/>
        </w:rPr>
        <w:t xml:space="preserve">  地址：                            地址： </w:t>
      </w:r>
    </w:p>
    <w:p>
      <w:pPr>
        <w:pStyle w:val="20"/>
        <w:snapToGrid w:val="0"/>
        <w:spacing w:beforeLines="0" w:afterLines="0" w:line="360" w:lineRule="auto"/>
        <w:rPr>
          <w:rFonts w:hAnsi="宋体"/>
        </w:rPr>
      </w:pPr>
      <w:r>
        <w:rPr>
          <w:rFonts w:hAnsi="宋体"/>
        </w:rPr>
        <w:t xml:space="preserve">  法定</w:t>
      </w:r>
      <w:r>
        <w:rPr>
          <w:rFonts w:hint="eastAsia" w:hAnsi="宋体"/>
        </w:rPr>
        <w:t>（授权）</w:t>
      </w:r>
      <w:r>
        <w:rPr>
          <w:rFonts w:hAnsi="宋体"/>
        </w:rPr>
        <w:t xml:space="preserve">代表人：             </w:t>
      </w:r>
      <w:r>
        <w:rPr>
          <w:rFonts w:hint="eastAsia" w:hAnsi="宋体"/>
        </w:rPr>
        <w:t xml:space="preserve"> </w:t>
      </w:r>
      <w:r>
        <w:rPr>
          <w:rFonts w:hAnsi="宋体"/>
        </w:rPr>
        <w:t>法定</w:t>
      </w:r>
      <w:r>
        <w:rPr>
          <w:rFonts w:hint="eastAsia" w:hAnsi="宋体"/>
        </w:rPr>
        <w:t>（授权）</w:t>
      </w:r>
      <w:r>
        <w:rPr>
          <w:rFonts w:hAnsi="宋体"/>
        </w:rPr>
        <w:t>代表人：</w:t>
      </w:r>
    </w:p>
    <w:p>
      <w:pPr>
        <w:pStyle w:val="20"/>
        <w:snapToGrid w:val="0"/>
        <w:spacing w:beforeLines="0" w:afterLines="0" w:line="360" w:lineRule="auto"/>
        <w:rPr>
          <w:rFonts w:hAnsi="宋体"/>
        </w:rPr>
      </w:pPr>
      <w:r>
        <w:rPr>
          <w:rFonts w:hAnsi="宋体"/>
        </w:rPr>
        <w:t xml:space="preserve">  签</w:t>
      </w:r>
      <w:r>
        <w:rPr>
          <w:rFonts w:hint="eastAsia" w:hAnsi="宋体"/>
        </w:rPr>
        <w:t>字日期</w:t>
      </w:r>
      <w:r>
        <w:rPr>
          <w:rFonts w:hAnsi="宋体"/>
        </w:rPr>
        <w:t xml:space="preserve">：      年  月  日    </w:t>
      </w:r>
      <w:r>
        <w:rPr>
          <w:rFonts w:hint="eastAsia" w:hAnsi="宋体"/>
        </w:rPr>
        <w:t xml:space="preserve">    </w:t>
      </w:r>
      <w:r>
        <w:rPr>
          <w:rFonts w:hAnsi="宋体"/>
        </w:rPr>
        <w:t>签</w:t>
      </w:r>
      <w:r>
        <w:rPr>
          <w:rFonts w:hint="eastAsia" w:hAnsi="宋体"/>
        </w:rPr>
        <w:t>字</w:t>
      </w:r>
      <w:r>
        <w:rPr>
          <w:rFonts w:hAnsi="宋体"/>
        </w:rPr>
        <w:t>日期：      年  月  日</w:t>
      </w:r>
    </w:p>
    <w:p>
      <w:pPr>
        <w:snapToGrid w:val="0"/>
        <w:spacing w:line="360" w:lineRule="auto"/>
        <w:jc w:val="center"/>
        <w:rPr>
          <w:sz w:val="30"/>
          <w:szCs w:val="30"/>
        </w:rPr>
      </w:pPr>
      <w:r>
        <w:br w:type="page"/>
      </w:r>
      <w:r>
        <w:rPr>
          <w:rFonts w:hint="eastAsia"/>
          <w:sz w:val="30"/>
          <w:szCs w:val="30"/>
        </w:rPr>
        <w:t>第六章　投标文件格式</w:t>
      </w:r>
    </w:p>
    <w:p>
      <w:pPr>
        <w:snapToGrid w:val="0"/>
        <w:spacing w:line="360" w:lineRule="auto"/>
        <w:jc w:val="center"/>
        <w:outlineLvl w:val="1"/>
        <w:rPr>
          <w:rFonts w:ascii="宋体" w:hAnsi="宋体"/>
          <w:b/>
          <w:bCs/>
          <w:sz w:val="24"/>
        </w:rPr>
      </w:pPr>
      <w:r>
        <w:rPr>
          <w:rFonts w:hint="eastAsia" w:ascii="宋体" w:hAnsi="宋体"/>
          <w:b/>
          <w:bCs/>
          <w:sz w:val="24"/>
        </w:rPr>
        <w:t>一、资格文件格式</w:t>
      </w:r>
    </w:p>
    <w:p>
      <w:pPr>
        <w:snapToGrid w:val="0"/>
        <w:spacing w:line="360" w:lineRule="auto"/>
        <w:jc w:val="center"/>
        <w:rPr>
          <w:rFonts w:ascii="宋体" w:hAnsi="宋体"/>
          <w:sz w:val="24"/>
          <w:szCs w:val="20"/>
        </w:rPr>
      </w:pPr>
    </w:p>
    <w:p>
      <w:pPr>
        <w:snapToGrid w:val="0"/>
        <w:spacing w:line="360" w:lineRule="auto"/>
        <w:rPr>
          <w:rFonts w:ascii="宋体" w:hAnsi="宋体"/>
          <w:sz w:val="24"/>
          <w:szCs w:val="20"/>
        </w:rPr>
      </w:pPr>
      <w:r>
        <w:rPr>
          <w:rFonts w:hint="eastAsia" w:ascii="宋体" w:hAnsi="宋体"/>
          <w:sz w:val="24"/>
        </w:rPr>
        <w:t>1.资格文件封面格式：</w:t>
      </w:r>
    </w:p>
    <w:p>
      <w:pPr>
        <w:snapToGrid w:val="0"/>
        <w:spacing w:line="360" w:lineRule="auto"/>
        <w:rPr>
          <w:rFonts w:ascii="宋体" w:hAnsi="宋体"/>
          <w:b/>
          <w:bCs/>
          <w:sz w:val="32"/>
          <w:szCs w:val="20"/>
        </w:rPr>
      </w:pPr>
    </w:p>
    <w:p>
      <w:pPr>
        <w:snapToGrid w:val="0"/>
        <w:spacing w:line="360" w:lineRule="auto"/>
        <w:jc w:val="center"/>
        <w:rPr>
          <w:rFonts w:ascii="宋体" w:hAnsi="宋体"/>
          <w:bCs/>
          <w:sz w:val="24"/>
          <w:szCs w:val="20"/>
        </w:rPr>
      </w:pPr>
      <w:r>
        <w:rPr>
          <w:rFonts w:hint="eastAsia" w:ascii="宋体" w:hAnsi="宋体"/>
          <w:bCs/>
          <w:sz w:val="24"/>
        </w:rPr>
        <w:t>资 格 文件</w:t>
      </w:r>
    </w:p>
    <w:p>
      <w:pPr>
        <w:snapToGrid w:val="0"/>
        <w:spacing w:line="360" w:lineRule="auto"/>
        <w:rPr>
          <w:rFonts w:ascii="宋体" w:hAnsi="宋体"/>
          <w:bCs/>
          <w:sz w:val="24"/>
          <w:szCs w:val="20"/>
        </w:rPr>
      </w:pPr>
    </w:p>
    <w:p>
      <w:pPr>
        <w:snapToGrid w:val="0"/>
        <w:spacing w:line="360" w:lineRule="auto"/>
        <w:ind w:left="1918" w:leftChars="456" w:hanging="960" w:hangingChars="400"/>
        <w:rPr>
          <w:rFonts w:ascii="宋体" w:hAnsi="宋体"/>
          <w:bCs/>
          <w:sz w:val="24"/>
          <w:szCs w:val="20"/>
        </w:rPr>
      </w:pPr>
      <w:r>
        <w:rPr>
          <w:rFonts w:hint="eastAsia" w:ascii="宋体" w:hAnsi="宋体"/>
          <w:bCs/>
          <w:sz w:val="24"/>
        </w:rPr>
        <w:t>项目名称：</w:t>
      </w:r>
      <w:r>
        <w:rPr>
          <w:rFonts w:hint="eastAsia" w:ascii="宋体" w:hAnsi="宋体"/>
          <w:spacing w:val="-20"/>
          <w:sz w:val="24"/>
        </w:rPr>
        <w:t>湖州师范学院工学院中国智能制造挑战赛实验室设备采购项目</w:t>
      </w:r>
    </w:p>
    <w:p>
      <w:pPr>
        <w:snapToGrid w:val="0"/>
        <w:spacing w:line="360" w:lineRule="auto"/>
        <w:ind w:firstLine="960" w:firstLineChars="400"/>
        <w:rPr>
          <w:rFonts w:ascii="宋体" w:hAnsi="宋体"/>
          <w:bCs/>
          <w:sz w:val="24"/>
          <w:szCs w:val="20"/>
        </w:rPr>
      </w:pPr>
      <w:r>
        <w:rPr>
          <w:rFonts w:hint="eastAsia" w:ascii="宋体" w:hAnsi="宋体"/>
          <w:bCs/>
          <w:sz w:val="24"/>
        </w:rPr>
        <w:t>项目编号：</w:t>
      </w:r>
      <w:r>
        <w:rPr>
          <w:rFonts w:hint="eastAsia" w:ascii="宋体" w:hAnsi="宋体"/>
          <w:sz w:val="24"/>
        </w:rPr>
        <w:t>HYHZ2022-135</w:t>
      </w:r>
    </w:p>
    <w:p>
      <w:pPr>
        <w:pStyle w:val="9"/>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pPr>
        <w:pStyle w:val="9"/>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pPr>
        <w:snapToGrid w:val="0"/>
        <w:spacing w:line="360" w:lineRule="auto"/>
        <w:ind w:firstLine="4080" w:firstLineChars="1700"/>
        <w:rPr>
          <w:rFonts w:ascii="宋体" w:hAnsi="宋体"/>
          <w:sz w:val="24"/>
          <w:szCs w:val="20"/>
        </w:rPr>
      </w:pPr>
    </w:p>
    <w:p>
      <w:pPr>
        <w:snapToGrid w:val="0"/>
        <w:spacing w:line="360" w:lineRule="auto"/>
        <w:ind w:firstLine="645"/>
        <w:jc w:val="center"/>
        <w:rPr>
          <w:rFonts w:ascii="宋体" w:hAnsi="宋体"/>
          <w:sz w:val="24"/>
          <w:szCs w:val="20"/>
        </w:rPr>
      </w:pPr>
      <w:r>
        <w:rPr>
          <w:rFonts w:hint="eastAsia" w:ascii="宋体" w:hAnsi="宋体"/>
          <w:sz w:val="24"/>
        </w:rPr>
        <w:t>年月日</w:t>
      </w:r>
    </w:p>
    <w:p>
      <w:pPr>
        <w:snapToGrid w:val="0"/>
        <w:spacing w:line="360" w:lineRule="auto"/>
        <w:rPr>
          <w:rFonts w:ascii="宋体" w:hAnsi="宋体"/>
          <w:b/>
          <w:bCs/>
          <w:sz w:val="24"/>
        </w:rPr>
      </w:pPr>
      <w:r>
        <w:rPr>
          <w:rFonts w:hint="eastAsia" w:ascii="宋体" w:hAnsi="宋体"/>
          <w:sz w:val="24"/>
        </w:rPr>
        <w:t>2.</w:t>
      </w:r>
      <w:r>
        <w:rPr>
          <w:rFonts w:hint="eastAsia" w:ascii="宋体" w:hAnsi="宋体"/>
          <w:b/>
          <w:bCs/>
          <w:sz w:val="24"/>
        </w:rPr>
        <w:t>资格文件目录</w:t>
      </w:r>
    </w:p>
    <w:p>
      <w:pPr>
        <w:snapToGrid w:val="0"/>
        <w:spacing w:line="360" w:lineRule="auto"/>
        <w:rPr>
          <w:rFonts w:ascii="宋体" w:hAnsi="宋体"/>
          <w:sz w:val="24"/>
          <w:szCs w:val="20"/>
        </w:rPr>
      </w:pPr>
    </w:p>
    <w:p>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）投标声明书————————（页码）</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）投标人基本情况介绍————————</w:t>
      </w:r>
    </w:p>
    <w:p>
      <w:pPr>
        <w:snapToGrid w:val="0"/>
        <w:spacing w:line="360" w:lineRule="auto"/>
        <w:jc w:val="left"/>
        <w:rPr>
          <w:rFonts w:ascii="宋体" w:hAnsi="宋体"/>
          <w:sz w:val="24"/>
        </w:rPr>
      </w:pPr>
      <w:r>
        <w:rPr>
          <w:rFonts w:hint="eastAsia" w:ascii="宋体" w:hAnsi="宋体"/>
          <w:sz w:val="24"/>
        </w:rPr>
        <w:t>（3）</w:t>
      </w:r>
      <w:r>
        <w:rPr>
          <w:rFonts w:ascii="宋体" w:hAnsi="宋体"/>
          <w:sz w:val="24"/>
        </w:rPr>
        <w:t>法定代表人授权委托书</w:t>
      </w:r>
      <w:r>
        <w:rPr>
          <w:rFonts w:hint="eastAsia" w:ascii="宋体" w:hAnsi="宋体"/>
          <w:sz w:val="24"/>
        </w:rPr>
        <w:t>————————</w:t>
      </w:r>
    </w:p>
    <w:p>
      <w:pPr>
        <w:snapToGrid w:val="0"/>
        <w:spacing w:line="360" w:lineRule="auto"/>
        <w:jc w:val="left"/>
        <w:rPr>
          <w:rFonts w:ascii="宋体" w:hAnsi="宋体"/>
          <w:sz w:val="24"/>
        </w:rPr>
      </w:pPr>
      <w:r>
        <w:rPr>
          <w:rFonts w:hint="eastAsia" w:ascii="宋体" w:hAnsi="宋体"/>
          <w:sz w:val="24"/>
        </w:rPr>
        <w:t>（4）近三个月依法缴纳税收和社保费的证明【税费凭证，或者依法缴纳税费或依法免缴税费的证明】（</w:t>
      </w:r>
      <w:r>
        <w:rPr>
          <w:rFonts w:hint="eastAsia" w:ascii="宋体" w:hAnsi="宋体"/>
          <w:bCs/>
          <w:sz w:val="24"/>
        </w:rPr>
        <w:t>复印件各一份</w:t>
      </w:r>
      <w:r>
        <w:rPr>
          <w:rFonts w:hint="eastAsia" w:ascii="宋体" w:hAnsi="宋体"/>
          <w:sz w:val="24"/>
        </w:rPr>
        <w:t>）————————</w:t>
      </w:r>
    </w:p>
    <w:p>
      <w:pPr>
        <w:snapToGrid w:val="0"/>
        <w:spacing w:line="360" w:lineRule="auto"/>
        <w:jc w:val="left"/>
        <w:rPr>
          <w:rFonts w:ascii="宋体" w:hAnsi="宋体"/>
          <w:sz w:val="24"/>
        </w:rPr>
      </w:pPr>
      <w:r>
        <w:rPr>
          <w:rFonts w:hint="eastAsia" w:ascii="宋体" w:hAnsi="宋体"/>
          <w:sz w:val="24"/>
        </w:rPr>
        <w:t>（5）有效的营业执照副本复印件————————</w:t>
      </w:r>
    </w:p>
    <w:p>
      <w:pPr>
        <w:snapToGrid w:val="0"/>
        <w:spacing w:line="360" w:lineRule="auto"/>
        <w:jc w:val="left"/>
        <w:rPr>
          <w:rFonts w:ascii="宋体" w:hAnsi="宋体" w:cs="Arial"/>
          <w:kern w:val="0"/>
          <w:sz w:val="24"/>
        </w:rPr>
      </w:pPr>
      <w:r>
        <w:rPr>
          <w:rFonts w:hint="eastAsia" w:ascii="宋体" w:hAnsi="宋体" w:cs="Arial"/>
          <w:kern w:val="0"/>
          <w:sz w:val="24"/>
        </w:rPr>
        <w:t>（6）</w:t>
      </w:r>
      <w:r>
        <w:rPr>
          <w:rFonts w:hint="eastAsia" w:ascii="宋体" w:hAnsi="宋体" w:cs="宋体"/>
          <w:sz w:val="24"/>
        </w:rPr>
        <w:t>近三个月企业的财务状况报告或银行资信证明复印件</w:t>
      </w:r>
      <w:r>
        <w:rPr>
          <w:rFonts w:hint="eastAsia" w:ascii="宋体" w:hAnsi="宋体"/>
          <w:sz w:val="24"/>
        </w:rPr>
        <w:t>————————</w:t>
      </w:r>
    </w:p>
    <w:p>
      <w:pPr>
        <w:snapToGrid w:val="0"/>
        <w:spacing w:line="360" w:lineRule="auto"/>
        <w:jc w:val="left"/>
        <w:rPr>
          <w:rFonts w:ascii="宋体" w:hAnsi="宋体"/>
          <w:sz w:val="24"/>
        </w:rPr>
      </w:pPr>
      <w:r>
        <w:rPr>
          <w:rFonts w:hint="eastAsia" w:ascii="宋体" w:hAnsi="宋体" w:cs="Arial"/>
          <w:kern w:val="0"/>
          <w:sz w:val="24"/>
        </w:rPr>
        <w:t>（7）</w:t>
      </w:r>
      <w:r>
        <w:rPr>
          <w:rFonts w:hint="eastAsia" w:ascii="宋体" w:hAnsi="宋体"/>
          <w:sz w:val="24"/>
        </w:rPr>
        <w:t>提供自招标公告发布之日起至投标截止日内任意时间的“信用中国”网站（www.creditchina.gov.cn）、中国政府采购网（www.ccgp.gov.cn）投标人信用查询网页截图————————</w:t>
      </w:r>
    </w:p>
    <w:p>
      <w:pPr>
        <w:snapToGrid w:val="0"/>
        <w:spacing w:line="360" w:lineRule="auto"/>
        <w:jc w:val="left"/>
        <w:rPr>
          <w:rFonts w:ascii="宋体" w:hAnsi="宋体"/>
          <w:sz w:val="24"/>
        </w:rPr>
      </w:pPr>
      <w:r>
        <w:rPr>
          <w:rFonts w:hint="eastAsia" w:ascii="宋体" w:hAnsi="宋体" w:cs="Arial"/>
          <w:kern w:val="0"/>
          <w:sz w:val="24"/>
        </w:rPr>
        <w:t>（8）</w:t>
      </w:r>
      <w:r>
        <w:rPr>
          <w:rFonts w:hint="eastAsia" w:ascii="宋体" w:hAnsi="宋体"/>
          <w:sz w:val="24"/>
        </w:rPr>
        <w:t>《中小企业声明函》（格式见附件），残疾人福利性单位需提供《残疾人福利性单位声明函》，监狱企业需提供省级以</w:t>
      </w:r>
      <w:r>
        <w:rPr>
          <w:rFonts w:hint="eastAsia" w:ascii="宋体" w:hAnsi="宋体" w:cs="宋体"/>
          <w:sz w:val="24"/>
        </w:rPr>
        <w:t>上监狱管理局、戒毒管理局（含新疆生产建设兵团）出具的属于监狱企业的证明文件</w:t>
      </w:r>
      <w:r>
        <w:rPr>
          <w:rFonts w:hint="eastAsia" w:ascii="宋体" w:hAnsi="宋体"/>
          <w:sz w:val="24"/>
        </w:rPr>
        <w:t>————————</w:t>
      </w:r>
    </w:p>
    <w:p>
      <w:pPr>
        <w:snapToGrid w:val="0"/>
        <w:spacing w:line="360" w:lineRule="auto"/>
        <w:jc w:val="left"/>
        <w:rPr>
          <w:rFonts w:ascii="宋体" w:hAnsi="宋体"/>
          <w:b/>
          <w:sz w:val="24"/>
          <w:szCs w:val="20"/>
        </w:rPr>
      </w:pPr>
      <w:r>
        <w:rPr>
          <w:rFonts w:hint="eastAsia" w:ascii="宋体" w:hAnsi="宋体"/>
          <w:sz w:val="24"/>
        </w:rPr>
        <w:t>（9）联合体各方共同投标协议（如有，格式自拟）————————</w:t>
      </w:r>
    </w:p>
    <w:p>
      <w:pPr>
        <w:snapToGrid w:val="0"/>
        <w:spacing w:line="360" w:lineRule="auto"/>
        <w:jc w:val="left"/>
        <w:rPr>
          <w:rFonts w:ascii="宋体" w:hAnsi="宋体"/>
          <w:sz w:val="24"/>
          <w:szCs w:val="20"/>
        </w:rPr>
      </w:pPr>
      <w:r>
        <w:rPr>
          <w:rFonts w:ascii="宋体" w:hAnsi="宋体"/>
        </w:rPr>
        <w:br w:type="page"/>
      </w:r>
      <w:r>
        <w:rPr>
          <w:rFonts w:hint="eastAsia" w:ascii="宋体" w:hAnsi="宋体"/>
        </w:rPr>
        <w:t>3</w:t>
      </w:r>
      <w:r>
        <w:rPr>
          <w:rFonts w:hint="eastAsia" w:ascii="宋体" w:hAnsi="宋体"/>
          <w:sz w:val="24"/>
        </w:rPr>
        <w:t>.投标声明书格式：</w:t>
      </w:r>
    </w:p>
    <w:p>
      <w:pPr>
        <w:snapToGrid w:val="0"/>
        <w:spacing w:line="360" w:lineRule="auto"/>
        <w:jc w:val="center"/>
        <w:rPr>
          <w:rFonts w:ascii="宋体" w:hAnsi="宋体"/>
          <w:sz w:val="24"/>
          <w:szCs w:val="20"/>
        </w:rPr>
      </w:pPr>
      <w:r>
        <w:rPr>
          <w:rFonts w:hint="eastAsia" w:ascii="宋体" w:hAnsi="宋体"/>
          <w:sz w:val="30"/>
        </w:rPr>
        <w:t>投标声明书</w:t>
      </w:r>
    </w:p>
    <w:p>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pPr>
        <w:snapToGrid w:val="0"/>
        <w:spacing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（投标人名称）系中华人民共和国合法企业，经营地址。</w:t>
      </w:r>
    </w:p>
    <w:p>
      <w:pPr>
        <w:snapToGrid w:val="0"/>
        <w:spacing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我方此次向贵方提供的产品名称为：</w:t>
      </w:r>
      <w:r>
        <w:rPr>
          <w:rFonts w:hint="eastAsia" w:ascii="宋体" w:hAnsi="宋体"/>
          <w:sz w:val="24"/>
        </w:rPr>
        <w:t>；规格型号：；该型号产品我方有现货可供，并已于年月生产完工或向</w:t>
      </w:r>
      <w:r>
        <w:rPr>
          <w:rFonts w:hint="eastAsia" w:ascii="宋体" w:hAnsi="宋体"/>
          <w:sz w:val="24"/>
          <w:u w:val="single"/>
        </w:rPr>
        <w:t>　　</w:t>
      </w:r>
      <w:r>
        <w:rPr>
          <w:rFonts w:hint="eastAsia" w:ascii="宋体" w:hAnsi="宋体"/>
          <w:sz w:val="24"/>
        </w:rPr>
        <w:t>（原厂商名称）购进［</w:t>
      </w:r>
      <w:r>
        <w:rPr>
          <w:rFonts w:hint="eastAsia" w:ascii="宋体" w:hAnsi="宋体"/>
          <w:b/>
          <w:bCs/>
          <w:sz w:val="24"/>
        </w:rPr>
        <w:t>或</w:t>
      </w:r>
      <w:r>
        <w:rPr>
          <w:rFonts w:hint="eastAsia" w:ascii="宋体" w:hAnsi="宋体"/>
          <w:sz w:val="24"/>
        </w:rPr>
        <w:t>需在中标后向订购］。</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我方诚意提请贵方关注：</w:t>
      </w:r>
      <w:r>
        <w:rPr>
          <w:rFonts w:hint="eastAsia" w:ascii="宋体" w:hAnsi="宋体"/>
          <w:sz w:val="24"/>
        </w:rPr>
        <w:t>近期</w:t>
      </w:r>
      <w:r>
        <w:rPr>
          <w:rFonts w:ascii="宋体" w:hAnsi="宋体"/>
          <w:sz w:val="24"/>
        </w:rPr>
        <w:t>有关该型号产品的</w:t>
      </w:r>
      <w:r>
        <w:rPr>
          <w:rFonts w:hint="eastAsia" w:ascii="宋体" w:hAnsi="宋体"/>
          <w:sz w:val="24"/>
        </w:rPr>
        <w:t>生产、供货、售后服务以及性能等方面的重大决策和事项有：</w:t>
      </w:r>
    </w:p>
    <w:p>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line="360" w:lineRule="auto"/>
        <w:ind w:firstLine="480" w:firstLineChars="200"/>
        <w:rPr>
          <w:rFonts w:ascii="宋体" w:hAnsi="宋体"/>
          <w:sz w:val="24"/>
          <w:szCs w:val="20"/>
        </w:rPr>
      </w:pPr>
      <w:r>
        <w:rPr>
          <w:rFonts w:hint="eastAsia" w:ascii="宋体" w:hAnsi="宋体"/>
          <w:sz w:val="24"/>
          <w:u w:val="single"/>
        </w:rPr>
        <w:t>　　　　　　　　　　　　　　　　　　　　　　　　　　　</w:t>
      </w:r>
    </w:p>
    <w:p>
      <w:pPr>
        <w:pStyle w:val="16"/>
        <w:snapToGrid w:val="0"/>
        <w:spacing w:line="360" w:lineRule="auto"/>
        <w:ind w:firstLine="464" w:firstLineChars="200"/>
        <w:rPr>
          <w:rFonts w:hAnsi="宋体"/>
          <w:sz w:val="24"/>
        </w:rPr>
      </w:pPr>
      <w:r>
        <w:rPr>
          <w:rFonts w:hAnsi="宋体"/>
          <w:sz w:val="24"/>
        </w:rPr>
        <w:t>5</w:t>
      </w:r>
      <w:r>
        <w:rPr>
          <w:rFonts w:hint="eastAsia" w:hAnsi="宋体"/>
          <w:sz w:val="24"/>
        </w:rPr>
        <w:t>.我方及由本人担任法定代表人的其他机构</w:t>
      </w:r>
      <w:r>
        <w:rPr>
          <w:rFonts w:hAnsi="宋体"/>
          <w:sz w:val="24"/>
        </w:rPr>
        <w:t>最近三年内被</w:t>
      </w:r>
      <w:r>
        <w:rPr>
          <w:rFonts w:hint="eastAsia" w:hAnsi="宋体"/>
          <w:sz w:val="24"/>
        </w:rPr>
        <w:t>通报或者被处罚的</w:t>
      </w:r>
      <w:r>
        <w:rPr>
          <w:rFonts w:hAnsi="宋体"/>
          <w:sz w:val="24"/>
        </w:rPr>
        <w:t>违法行为有：</w:t>
      </w:r>
    </w:p>
    <w:p>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line="360" w:lineRule="auto"/>
        <w:ind w:firstLine="480" w:firstLineChars="200"/>
        <w:rPr>
          <w:rFonts w:ascii="宋体" w:hAnsi="宋体"/>
          <w:sz w:val="24"/>
          <w:szCs w:val="20"/>
        </w:rPr>
      </w:pPr>
      <w:r>
        <w:rPr>
          <w:rFonts w:hint="eastAsia" w:ascii="宋体" w:hAnsi="宋体"/>
          <w:sz w:val="24"/>
        </w:rPr>
        <w:t>6.以上事项如有虚假或隐瞒，我方愿意承担一切后果，并不再寻求任何旨在减轻或免除法律责任的辩解。</w:t>
      </w:r>
    </w:p>
    <w:p>
      <w:pPr>
        <w:pStyle w:val="88"/>
        <w:snapToGrid w:val="0"/>
        <w:spacing w:line="360" w:lineRule="auto"/>
        <w:ind w:firstLine="200"/>
        <w:rPr>
          <w:rFonts w:ascii="宋体" w:hAnsi="宋体"/>
        </w:rPr>
      </w:pPr>
    </w:p>
    <w:p>
      <w:pPr>
        <w:snapToGrid w:val="0"/>
        <w:spacing w:line="360" w:lineRule="auto"/>
        <w:ind w:firstLine="200"/>
        <w:rPr>
          <w:rFonts w:ascii="宋体" w:hAnsi="宋体"/>
          <w:sz w:val="24"/>
          <w:szCs w:val="20"/>
          <w:u w:val="single"/>
        </w:rPr>
      </w:pPr>
      <w:r>
        <w:rPr>
          <w:rFonts w:hint="eastAsia" w:ascii="宋体" w:hAnsi="宋体"/>
          <w:sz w:val="24"/>
        </w:rPr>
        <w:t>法定代表人签字：</w:t>
      </w:r>
    </w:p>
    <w:p>
      <w:pPr>
        <w:snapToGrid w:val="0"/>
        <w:spacing w:line="360" w:lineRule="auto"/>
        <w:ind w:firstLine="240" w:firstLineChars="100"/>
        <w:rPr>
          <w:rFonts w:ascii="宋体" w:hAnsi="宋体"/>
          <w:sz w:val="24"/>
        </w:rPr>
      </w:pPr>
      <w:r>
        <w:rPr>
          <w:rFonts w:hint="eastAsia" w:ascii="宋体" w:hAnsi="宋体"/>
          <w:sz w:val="24"/>
        </w:rPr>
        <w:t>投标人公章：</w:t>
      </w:r>
      <w:r>
        <w:rPr>
          <w:rFonts w:ascii="宋体" w:hAnsi="宋体"/>
          <w:sz w:val="24"/>
        </w:rPr>
        <w:t xml:space="preserve">                      年    月    日</w:t>
      </w:r>
    </w:p>
    <w:p>
      <w:pPr>
        <w:pStyle w:val="14"/>
      </w:pPr>
    </w:p>
    <w:p>
      <w:pPr>
        <w:pStyle w:val="43"/>
        <w:rPr>
          <w:color w:val="auto"/>
        </w:rPr>
      </w:pPr>
    </w:p>
    <w:p>
      <w:pPr>
        <w:snapToGrid w:val="0"/>
        <w:spacing w:line="360" w:lineRule="auto"/>
        <w:rPr>
          <w:rFonts w:ascii="宋体" w:hAnsi="宋体"/>
          <w:sz w:val="24"/>
          <w:szCs w:val="20"/>
        </w:rPr>
      </w:pPr>
    </w:p>
    <w:p>
      <w:pPr>
        <w:snapToGrid w:val="0"/>
        <w:spacing w:line="360" w:lineRule="auto"/>
        <w:rPr>
          <w:rFonts w:ascii="宋体" w:hAnsi="宋体"/>
          <w:sz w:val="24"/>
        </w:rPr>
      </w:pPr>
      <w:r>
        <w:rPr>
          <w:rFonts w:hint="eastAsia" w:ascii="宋体" w:hAnsi="宋体"/>
          <w:sz w:val="24"/>
        </w:rPr>
        <w:t>4.投标人情况介绍（包括主要产品、技术力量、生产规模、经营业绩等，格式自拟）</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szCs w:val="20"/>
        </w:rPr>
      </w:pPr>
      <w:r>
        <w:rPr>
          <w:rFonts w:hint="eastAsia" w:ascii="宋体" w:hAnsi="宋体"/>
          <w:sz w:val="24"/>
        </w:rPr>
        <w:t>5.法定代表人授权委托书格式：</w:t>
      </w:r>
    </w:p>
    <w:p>
      <w:pPr>
        <w:snapToGrid w:val="0"/>
        <w:spacing w:line="360" w:lineRule="auto"/>
        <w:jc w:val="center"/>
        <w:rPr>
          <w:rFonts w:ascii="宋体" w:hAnsi="宋体"/>
          <w:b/>
          <w:sz w:val="24"/>
          <w:szCs w:val="20"/>
        </w:rPr>
      </w:pPr>
      <w:r>
        <w:rPr>
          <w:rFonts w:hint="eastAsia" w:ascii="宋体" w:hAnsi="宋体"/>
          <w:b/>
          <w:sz w:val="24"/>
        </w:rPr>
        <w:t>法定代表人授权委托书</w:t>
      </w:r>
    </w:p>
    <w:p>
      <w:pPr>
        <w:snapToGrid w:val="0"/>
        <w:spacing w:line="360" w:lineRule="auto"/>
        <w:rPr>
          <w:rFonts w:ascii="宋体" w:hAnsi="宋体"/>
          <w:b/>
          <w:bCs/>
          <w:sz w:val="24"/>
          <w:szCs w:val="20"/>
        </w:rPr>
      </w:pPr>
      <w:r>
        <w:rPr>
          <w:rFonts w:hint="eastAsia" w:ascii="宋体" w:hAnsi="宋体"/>
          <w:bCs/>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pPr>
        <w:snapToGrid w:val="0"/>
        <w:spacing w:line="360" w:lineRule="auto"/>
        <w:ind w:firstLine="720" w:firstLineChars="300"/>
        <w:rPr>
          <w:rFonts w:ascii="宋体" w:hAnsi="宋体"/>
          <w:sz w:val="24"/>
          <w:szCs w:val="20"/>
        </w:rPr>
      </w:pPr>
      <w:r>
        <w:rPr>
          <w:rFonts w:hint="eastAsia" w:ascii="宋体" w:hAnsi="宋体"/>
          <w:sz w:val="24"/>
        </w:rPr>
        <w:t>我</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（投标人名称）的法定代表人，现授权委托本单位在职职工（姓名）以我方的名义参加</w:t>
      </w:r>
      <w:r>
        <w:rPr>
          <w:rFonts w:hint="eastAsia" w:ascii="宋体" w:hAnsi="宋体"/>
          <w:spacing w:val="-20"/>
          <w:sz w:val="24"/>
          <w:u w:val="single"/>
        </w:rPr>
        <w:t>湖州师范学院工学院中国智能制造挑战赛实验室设备采购项目</w:t>
      </w:r>
      <w:r>
        <w:rPr>
          <w:rFonts w:hint="eastAsia" w:ascii="宋体" w:hAnsi="宋体"/>
          <w:sz w:val="24"/>
        </w:rPr>
        <w:t>的投标活动，并代表我方全权办理针对上述项目的投标、开标、评标、签约等具体事务和签署相关文件。</w:t>
      </w:r>
    </w:p>
    <w:p>
      <w:pPr>
        <w:snapToGrid w:val="0"/>
        <w:spacing w:line="360" w:lineRule="auto"/>
        <w:rPr>
          <w:rFonts w:ascii="宋体" w:hAnsi="宋体"/>
          <w:sz w:val="24"/>
          <w:szCs w:val="20"/>
        </w:rPr>
      </w:pPr>
      <w:r>
        <w:rPr>
          <w:rFonts w:hint="eastAsia" w:ascii="宋体" w:hAnsi="宋体"/>
          <w:sz w:val="24"/>
        </w:rPr>
        <w:t>我方对被授权人的签名事项负全部责任。</w:t>
      </w:r>
    </w:p>
    <w:p>
      <w:pPr>
        <w:snapToGrid w:val="0"/>
        <w:spacing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line="360" w:lineRule="auto"/>
        <w:ind w:firstLine="480"/>
        <w:rPr>
          <w:rFonts w:ascii="宋体" w:hAnsi="宋体"/>
          <w:sz w:val="24"/>
          <w:szCs w:val="20"/>
        </w:rPr>
      </w:pPr>
      <w:r>
        <w:rPr>
          <w:rFonts w:hint="eastAsia" w:ascii="宋体" w:hAnsi="宋体"/>
          <w:sz w:val="24"/>
        </w:rPr>
        <w:t>被授权人无转委托权，特此委托。</w:t>
      </w:r>
    </w:p>
    <w:p>
      <w:pPr>
        <w:snapToGrid w:val="0"/>
        <w:spacing w:line="360" w:lineRule="auto"/>
        <w:rPr>
          <w:rFonts w:ascii="宋体" w:hAnsi="宋体"/>
          <w:sz w:val="24"/>
          <w:szCs w:val="20"/>
        </w:rPr>
      </w:pPr>
    </w:p>
    <w:p>
      <w:pPr>
        <w:snapToGrid w:val="0"/>
        <w:spacing w:line="360" w:lineRule="auto"/>
        <w:rPr>
          <w:rFonts w:ascii="宋体" w:hAnsi="宋体"/>
          <w:sz w:val="24"/>
          <w:szCs w:val="20"/>
          <w:u w:val="single"/>
        </w:rPr>
      </w:pPr>
      <w:r>
        <w:rPr>
          <w:rFonts w:hint="eastAsia" w:ascii="宋体" w:hAnsi="宋体"/>
          <w:sz w:val="24"/>
        </w:rPr>
        <w:t>被授权人签名：法定代表人签名：</w:t>
      </w:r>
    </w:p>
    <w:p>
      <w:pPr>
        <w:snapToGrid w:val="0"/>
        <w:spacing w:line="360" w:lineRule="auto"/>
        <w:ind w:firstLine="960" w:firstLineChars="400"/>
        <w:rPr>
          <w:rFonts w:ascii="宋体" w:hAnsi="宋体"/>
          <w:sz w:val="24"/>
          <w:szCs w:val="20"/>
        </w:rPr>
      </w:pPr>
      <w:r>
        <w:rPr>
          <w:rFonts w:hint="eastAsia" w:ascii="宋体" w:hAnsi="宋体"/>
          <w:sz w:val="24"/>
        </w:rPr>
        <w:t>职务：职务：</w:t>
      </w:r>
    </w:p>
    <w:p>
      <w:pPr>
        <w:snapToGrid w:val="0"/>
        <w:spacing w:line="360" w:lineRule="auto"/>
        <w:rPr>
          <w:rFonts w:ascii="宋体" w:hAnsi="宋体"/>
          <w:sz w:val="24"/>
          <w:szCs w:val="20"/>
        </w:rPr>
      </w:pPr>
      <w:r>
        <w:rPr>
          <w:rFonts w:hint="eastAsia" w:ascii="宋体" w:hAnsi="宋体"/>
          <w:sz w:val="24"/>
        </w:rPr>
        <w:t>被授权人身份证号码：</w:t>
      </w:r>
    </w:p>
    <w:p>
      <w:pPr>
        <w:snapToGrid w:val="0"/>
        <w:spacing w:line="360" w:lineRule="auto"/>
        <w:rPr>
          <w:rFonts w:ascii="宋体" w:hAnsi="宋体"/>
          <w:sz w:val="24"/>
        </w:rPr>
      </w:pPr>
      <w:r>
        <w:rPr>
          <w:rFonts w:hint="eastAsia" w:ascii="宋体" w:hAnsi="宋体"/>
          <w:sz w:val="24"/>
        </w:rPr>
        <w:t>投标人公章：</w:t>
      </w:r>
    </w:p>
    <w:p>
      <w:pPr>
        <w:pStyle w:val="9"/>
        <w:spacing w:line="360" w:lineRule="auto"/>
        <w:ind w:firstLine="374" w:firstLineChars="156"/>
        <w:rPr>
          <w:rFonts w:ascii="宋体" w:hAnsi="宋体"/>
          <w:sz w:val="24"/>
          <w:szCs w:val="24"/>
        </w:rPr>
      </w:pPr>
      <w:r>
        <w:rPr>
          <w:rFonts w:hint="eastAsia" w:ascii="宋体" w:hAnsi="宋体"/>
          <w:sz w:val="24"/>
          <w:szCs w:val="24"/>
        </w:rPr>
        <w:t>————————————————————-----------</w:t>
      </w:r>
    </w:p>
    <w:p>
      <w:pPr>
        <w:pStyle w:val="9"/>
        <w:spacing w:line="360" w:lineRule="auto"/>
        <w:ind w:firstLine="374" w:firstLineChars="156"/>
        <w:jc w:val="center"/>
        <w:rPr>
          <w:rFonts w:ascii="宋体" w:hAnsi="宋体"/>
          <w:sz w:val="24"/>
          <w:szCs w:val="24"/>
        </w:rPr>
      </w:pPr>
    </w:p>
    <w:p>
      <w:pPr>
        <w:pStyle w:val="9"/>
        <w:spacing w:line="360" w:lineRule="auto"/>
        <w:ind w:firstLine="374" w:firstLineChars="156"/>
        <w:jc w:val="center"/>
        <w:rPr>
          <w:rFonts w:ascii="宋体" w:hAnsi="宋体"/>
          <w:sz w:val="24"/>
          <w:szCs w:val="24"/>
        </w:rPr>
      </w:pPr>
      <w:r>
        <w:rPr>
          <w:rFonts w:hint="eastAsia" w:ascii="宋体" w:hAnsi="宋体"/>
          <w:sz w:val="24"/>
          <w:szCs w:val="24"/>
        </w:rPr>
        <w:t>授权代理人有效身份证明复印件粘贴处</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jc w:val="center"/>
        <w:rPr>
          <w:rFonts w:ascii="宋体" w:hAnsi="宋体"/>
          <w:sz w:val="24"/>
        </w:rPr>
      </w:pPr>
      <w:r>
        <w:rPr>
          <w:rFonts w:hint="eastAsia" w:ascii="宋体" w:hAnsi="宋体"/>
          <w:sz w:val="24"/>
        </w:rPr>
        <w:t>年月日</w:t>
      </w:r>
    </w:p>
    <w:p>
      <w:pPr>
        <w:snapToGrid w:val="0"/>
        <w:spacing w:before="120" w:beforeLines="50" w:after="50"/>
        <w:rPr>
          <w:sz w:val="24"/>
        </w:rPr>
      </w:pPr>
      <w:r>
        <w:rPr>
          <w:rFonts w:hint="eastAsia"/>
          <w:sz w:val="24"/>
        </w:rPr>
        <w:t>附：</w:t>
      </w:r>
      <w:r>
        <w:rPr>
          <w:sz w:val="24"/>
        </w:rPr>
        <w:t>授权代理人社保证明复印件</w:t>
      </w:r>
      <w:r>
        <w:rPr>
          <w:rFonts w:hint="eastAsia"/>
          <w:sz w:val="24"/>
        </w:rPr>
        <w:t>（</w:t>
      </w:r>
      <w:r>
        <w:rPr>
          <w:sz w:val="24"/>
        </w:rPr>
        <w:t>社保机构出具的由本单位或分公司为其缴纳的近1个月的社保证明</w:t>
      </w:r>
      <w:r>
        <w:rPr>
          <w:rFonts w:hint="eastAsia"/>
          <w:sz w:val="24"/>
        </w:rPr>
        <w:t>）</w:t>
      </w:r>
    </w:p>
    <w:p>
      <w:pPr>
        <w:snapToGrid w:val="0"/>
        <w:spacing w:line="360" w:lineRule="auto"/>
        <w:rPr>
          <w:rFonts w:ascii="宋体" w:hAnsi="宋体"/>
        </w:rPr>
      </w:pPr>
    </w:p>
    <w:p>
      <w:pPr>
        <w:pStyle w:val="14"/>
      </w:pPr>
    </w:p>
    <w:p>
      <w:pPr>
        <w:pStyle w:val="15"/>
      </w:pPr>
    </w:p>
    <w:p/>
    <w:p>
      <w:pPr>
        <w:pStyle w:val="2"/>
      </w:pPr>
    </w:p>
    <w:p/>
    <w:p/>
    <w:p>
      <w:pPr>
        <w:snapToGrid w:val="0"/>
        <w:spacing w:line="360" w:lineRule="auto"/>
        <w:rPr>
          <w:rFonts w:ascii="宋体" w:hAnsi="宋体"/>
          <w:sz w:val="24"/>
        </w:rPr>
      </w:pPr>
    </w:p>
    <w:p>
      <w:pPr>
        <w:snapToGrid w:val="0"/>
        <w:spacing w:line="360" w:lineRule="auto"/>
        <w:rPr>
          <w:rFonts w:ascii="宋体" w:hAnsi="宋体"/>
          <w:sz w:val="24"/>
          <w:szCs w:val="20"/>
        </w:rPr>
      </w:pPr>
      <w:r>
        <w:rPr>
          <w:rFonts w:hint="eastAsia" w:ascii="宋体" w:hAnsi="宋体"/>
          <w:sz w:val="24"/>
        </w:rPr>
        <w:t>6. 近三个月依法缴纳税收和社保费的证明【税费凭证，或者依法缴纳税费或依法免缴税费的证明】</w:t>
      </w:r>
      <w:r>
        <w:rPr>
          <w:rFonts w:hint="eastAsia" w:ascii="宋体" w:hAnsi="宋体"/>
          <w:sz w:val="24"/>
          <w:szCs w:val="20"/>
        </w:rPr>
        <w:t>（格式自拟，</w:t>
      </w:r>
      <w:r>
        <w:rPr>
          <w:rFonts w:hint="eastAsia" w:ascii="宋体" w:hAnsi="宋体"/>
          <w:bCs/>
          <w:sz w:val="24"/>
        </w:rPr>
        <w:t>复印件各一份</w:t>
      </w:r>
      <w:r>
        <w:rPr>
          <w:rFonts w:hint="eastAsia" w:ascii="宋体" w:hAnsi="宋体"/>
          <w:sz w:val="24"/>
          <w:szCs w:val="20"/>
        </w:rPr>
        <w:t>），《依法纳税或依法免税证明》原件一年内均保持有效。</w:t>
      </w: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u w:val="single"/>
        </w:rPr>
      </w:pPr>
      <w:r>
        <w:rPr>
          <w:rFonts w:hint="eastAsia" w:ascii="宋体" w:hAnsi="宋体"/>
          <w:sz w:val="24"/>
        </w:rPr>
        <w:t>7.有效</w:t>
      </w:r>
      <w:r>
        <w:rPr>
          <w:rFonts w:hint="eastAsia" w:ascii="宋体" w:hAnsi="宋体" w:cs="宋体"/>
          <w:sz w:val="24"/>
        </w:rPr>
        <w:t>的营业执照副本</w:t>
      </w:r>
      <w:r>
        <w:rPr>
          <w:rFonts w:hint="eastAsia" w:ascii="宋体" w:hAnsi="宋体"/>
          <w:sz w:val="24"/>
        </w:rPr>
        <w:t>复印件</w:t>
      </w:r>
    </w:p>
    <w:p>
      <w:pPr>
        <w:snapToGrid w:val="0"/>
        <w:spacing w:line="360" w:lineRule="auto"/>
        <w:jc w:val="left"/>
        <w:rPr>
          <w:rFonts w:ascii="宋体" w:hAnsi="宋体"/>
          <w:sz w:val="24"/>
          <w:szCs w:val="20"/>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r>
        <w:rPr>
          <w:rFonts w:hint="eastAsia" w:ascii="宋体" w:hAnsi="宋体" w:cs="宋体"/>
          <w:sz w:val="24"/>
        </w:rPr>
        <w:t>8.近三个月企业的财务状况报告或银行资信证明</w:t>
      </w:r>
      <w:r>
        <w:rPr>
          <w:rFonts w:hint="eastAsia" w:ascii="宋体" w:hAnsi="宋体"/>
          <w:sz w:val="24"/>
        </w:rPr>
        <w:t>复印件</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r>
        <w:rPr>
          <w:rFonts w:hint="eastAsia" w:ascii="宋体" w:hAnsi="宋体"/>
          <w:sz w:val="24"/>
        </w:rPr>
        <w:t>9. 提供自招标公告发布之日起至投标截止日内任意时间的“信用中国”网站（www.creditchina.gov.cn）、中国政府采购网（www.ccgp.gov.cn）投标人信用查询网页截图</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pStyle w:val="14"/>
      </w:pPr>
    </w:p>
    <w:p>
      <w:pPr>
        <w:pStyle w:val="43"/>
        <w:rPr>
          <w:color w:val="auto"/>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10.中小企业声明函</w:t>
      </w:r>
    </w:p>
    <w:p>
      <w:pPr>
        <w:spacing w:line="360" w:lineRule="auto"/>
        <w:ind w:firstLine="480" w:firstLineChars="200"/>
        <w:rPr>
          <w:rFonts w:ascii="宋体" w:hAnsi="宋体" w:cs="仿宋"/>
          <w:kern w:val="0"/>
          <w:sz w:val="24"/>
        </w:rPr>
      </w:pPr>
    </w:p>
    <w:p>
      <w:pPr>
        <w:spacing w:line="360" w:lineRule="auto"/>
        <w:jc w:val="center"/>
        <w:rPr>
          <w:rFonts w:ascii="宋体" w:hAnsi="宋体"/>
          <w:sz w:val="28"/>
          <w:szCs w:val="28"/>
        </w:rPr>
      </w:pPr>
      <w:r>
        <w:rPr>
          <w:rFonts w:hint="eastAsia" w:ascii="宋体" w:hAnsi="宋体"/>
          <w:b/>
          <w:sz w:val="28"/>
          <w:szCs w:val="28"/>
        </w:rPr>
        <w:t>中小企业声明函</w:t>
      </w:r>
    </w:p>
    <w:p>
      <w:pPr>
        <w:spacing w:line="360" w:lineRule="auto"/>
        <w:ind w:firstLine="480" w:firstLineChars="200"/>
        <w:rPr>
          <w:rFonts w:ascii="宋体" w:hAnsi="宋体" w:cs="仿宋"/>
          <w:kern w:val="0"/>
          <w:sz w:val="24"/>
        </w:rPr>
      </w:pPr>
      <w:r>
        <w:rPr>
          <w:rFonts w:hint="eastAsia" w:ascii="宋体" w:hAnsi="宋体" w:cs="仿宋"/>
          <w:kern w:val="0"/>
          <w:sz w:val="24"/>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pPr>
        <w:spacing w:line="360" w:lineRule="auto"/>
        <w:ind w:firstLine="480" w:firstLineChars="200"/>
        <w:rPr>
          <w:rFonts w:ascii="宋体" w:hAnsi="宋体" w:cs="仿宋"/>
          <w:kern w:val="0"/>
          <w:sz w:val="24"/>
        </w:rPr>
      </w:pPr>
      <w:r>
        <w:rPr>
          <w:rFonts w:hint="eastAsia" w:ascii="宋体" w:hAnsi="宋体" w:cs="仿宋"/>
          <w:kern w:val="0"/>
          <w:sz w:val="24"/>
        </w:rPr>
        <w:t xml:space="preserve">1. </w:t>
      </w:r>
      <w:r>
        <w:rPr>
          <w:rFonts w:hint="eastAsia" w:ascii="宋体" w:hAnsi="宋体" w:cs="仿宋"/>
          <w:kern w:val="0"/>
          <w:sz w:val="24"/>
          <w:u w:val="single"/>
        </w:rPr>
        <w:t xml:space="preserve">（标的名称） </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；承建（承接）企业为</w:t>
      </w:r>
      <w:r>
        <w:rPr>
          <w:rFonts w:hint="eastAsia" w:ascii="宋体" w:hAnsi="宋体" w:cs="仿宋"/>
          <w:kern w:val="0"/>
          <w:sz w:val="24"/>
          <w:u w:val="single"/>
        </w:rPr>
        <w:t>（企业名称）</w:t>
      </w:r>
      <w:r>
        <w:rPr>
          <w:rFonts w:hint="eastAsia" w:ascii="宋体" w:hAnsi="宋体" w:cs="仿宋"/>
          <w:kern w:val="0"/>
          <w:sz w:val="24"/>
        </w:rPr>
        <w:t>，从业人员___人，营业收入为___万元，资产总额为___万元①，属于</w:t>
      </w:r>
      <w:r>
        <w:rPr>
          <w:rFonts w:hint="eastAsia" w:ascii="宋体" w:hAnsi="宋体" w:cs="仿宋"/>
          <w:kern w:val="0"/>
          <w:sz w:val="24"/>
          <w:u w:val="single"/>
        </w:rPr>
        <w:t>（中型企业、小型企业、微型企业）</w:t>
      </w:r>
      <w:r>
        <w:rPr>
          <w:rFonts w:hint="eastAsia" w:ascii="宋体" w:hAnsi="宋体" w:cs="仿宋"/>
          <w:kern w:val="0"/>
          <w:sz w:val="24"/>
        </w:rPr>
        <w:t>；</w:t>
      </w:r>
    </w:p>
    <w:p>
      <w:pPr>
        <w:spacing w:line="360" w:lineRule="auto"/>
        <w:ind w:firstLine="480" w:firstLineChars="200"/>
        <w:rPr>
          <w:rFonts w:ascii="宋体" w:hAnsi="宋体" w:cs="仿宋"/>
          <w:kern w:val="0"/>
          <w:sz w:val="24"/>
        </w:rPr>
      </w:pPr>
    </w:p>
    <w:p>
      <w:pPr>
        <w:spacing w:line="360" w:lineRule="auto"/>
        <w:ind w:firstLine="480" w:firstLineChars="200"/>
        <w:rPr>
          <w:rFonts w:ascii="宋体" w:hAnsi="宋体" w:cs="仿宋"/>
          <w:kern w:val="0"/>
          <w:sz w:val="24"/>
        </w:rPr>
      </w:pPr>
      <w:r>
        <w:rPr>
          <w:rFonts w:hint="eastAsia" w:ascii="宋体" w:hAnsi="宋体" w:cs="仿宋"/>
          <w:kern w:val="0"/>
          <w:sz w:val="24"/>
        </w:rPr>
        <w:t>……</w:t>
      </w:r>
    </w:p>
    <w:p>
      <w:pPr>
        <w:spacing w:line="360" w:lineRule="auto"/>
        <w:ind w:firstLine="480" w:firstLineChars="200"/>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仿宋"/>
          <w:kern w:val="0"/>
          <w:sz w:val="24"/>
        </w:rPr>
      </w:pPr>
      <w:r>
        <w:rPr>
          <w:rFonts w:hint="eastAsia" w:ascii="宋体" w:hAnsi="宋体" w:cs="仿宋"/>
          <w:kern w:val="0"/>
          <w:sz w:val="24"/>
        </w:rPr>
        <w:t>本企业对上述声明内容的真实性负责。如有虚假，将依法承担相应责任。</w:t>
      </w:r>
    </w:p>
    <w:p>
      <w:pPr>
        <w:spacing w:line="360" w:lineRule="auto"/>
        <w:ind w:firstLine="5640" w:firstLineChars="2350"/>
        <w:rPr>
          <w:rFonts w:ascii="宋体" w:hAnsi="宋体" w:cs="仿宋"/>
          <w:kern w:val="0"/>
          <w:sz w:val="24"/>
        </w:rPr>
      </w:pPr>
      <w:r>
        <w:rPr>
          <w:rFonts w:hint="eastAsia" w:ascii="宋体" w:hAnsi="宋体" w:cs="仿宋"/>
          <w:kern w:val="0"/>
          <w:sz w:val="24"/>
        </w:rPr>
        <w:t>企业名称（盖章）：</w:t>
      </w:r>
    </w:p>
    <w:p>
      <w:pPr>
        <w:spacing w:line="360" w:lineRule="auto"/>
        <w:ind w:firstLine="5640" w:firstLineChars="2350"/>
        <w:rPr>
          <w:rFonts w:ascii="宋体" w:hAnsi="宋体" w:cs="仿宋"/>
          <w:kern w:val="0"/>
          <w:sz w:val="24"/>
        </w:rPr>
      </w:pPr>
      <w:r>
        <w:rPr>
          <w:rFonts w:hint="eastAsia" w:ascii="宋体" w:hAnsi="宋体" w:cs="仿宋"/>
          <w:kern w:val="0"/>
          <w:sz w:val="24"/>
        </w:rPr>
        <w:t>日期：</w:t>
      </w:r>
    </w:p>
    <w:p>
      <w:pPr>
        <w:spacing w:line="360" w:lineRule="auto"/>
        <w:ind w:firstLine="5640" w:firstLineChars="2350"/>
        <w:rPr>
          <w:rFonts w:ascii="宋体" w:hAnsi="宋体" w:cs="仿宋"/>
          <w:kern w:val="0"/>
          <w:sz w:val="24"/>
        </w:rPr>
      </w:pPr>
    </w:p>
    <w:p>
      <w:pPr>
        <w:spacing w:line="360" w:lineRule="auto"/>
        <w:ind w:firstLine="5640" w:firstLineChars="2350"/>
        <w:rPr>
          <w:rFonts w:ascii="宋体" w:hAnsi="宋体"/>
          <w:bCs/>
          <w:sz w:val="24"/>
        </w:rPr>
      </w:pPr>
    </w:p>
    <w:p>
      <w:pPr>
        <w:numPr>
          <w:ilvl w:val="0"/>
          <w:numId w:val="9"/>
        </w:numPr>
        <w:snapToGrid w:val="0"/>
        <w:spacing w:before="50" w:after="50" w:line="360" w:lineRule="auto"/>
        <w:jc w:val="left"/>
        <w:rPr>
          <w:rFonts w:ascii="宋体" w:hAnsi="宋体" w:cs="仿宋"/>
          <w:sz w:val="24"/>
        </w:rPr>
      </w:pPr>
      <w:r>
        <w:rPr>
          <w:rFonts w:hint="eastAsia" w:ascii="宋体" w:cs="宋体"/>
          <w:kern w:val="0"/>
          <w:sz w:val="18"/>
          <w:szCs w:val="18"/>
        </w:rPr>
        <w:t>注从业人员、营业收入、资产总额填报上一年度数据，无上一年度数据的新成立企业可不填报。</w:t>
      </w:r>
    </w:p>
    <w:p>
      <w:pPr>
        <w:spacing w:line="360" w:lineRule="auto"/>
        <w:ind w:firstLine="5600" w:firstLineChars="2000"/>
        <w:rPr>
          <w:rFonts w:ascii="宋体" w:hAnsi="宋体"/>
          <w:sz w:val="28"/>
          <w:szCs w:val="28"/>
        </w:rPr>
      </w:pPr>
    </w:p>
    <w:p>
      <w:pPr>
        <w:snapToGrid w:val="0"/>
        <w:spacing w:line="360" w:lineRule="auto"/>
        <w:jc w:val="left"/>
        <w:rPr>
          <w:rFonts w:ascii="宋体" w:hAnsi="宋体"/>
          <w:sz w:val="28"/>
          <w:szCs w:val="28"/>
        </w:rPr>
      </w:pPr>
    </w:p>
    <w:p>
      <w:pPr>
        <w:widowControl/>
        <w:jc w:val="left"/>
        <w:rPr>
          <w:rFonts w:ascii="宋体" w:hAnsi="宋体" w:cs="宋体"/>
          <w:sz w:val="24"/>
          <w:szCs w:val="20"/>
        </w:rPr>
      </w:pPr>
    </w:p>
    <w:p>
      <w:pPr>
        <w:spacing w:line="360" w:lineRule="auto"/>
        <w:jc w:val="left"/>
        <w:outlineLvl w:val="1"/>
        <w:rPr>
          <w:rFonts w:ascii="宋体" w:hAnsi="宋体" w:cs="宋体"/>
        </w:rPr>
      </w:pPr>
      <w:r>
        <w:rPr>
          <w:rFonts w:hint="eastAsia" w:hAnsi="宋体" w:cs="宋体"/>
          <w:sz w:val="24"/>
          <w:u w:val="single"/>
        </w:rPr>
        <w:t>此表必须如实填写，不能留有空格。</w:t>
      </w:r>
    </w:p>
    <w:p>
      <w:pPr>
        <w:rPr>
          <w:rFonts w:ascii="宋体" w:hAnsi="宋体" w:cs="宋体"/>
        </w:rPr>
      </w:pPr>
    </w:p>
    <w:p>
      <w:pPr>
        <w:rPr>
          <w:rFonts w:ascii="宋体" w:hAnsi="宋体" w:cs="宋体"/>
        </w:rPr>
      </w:pPr>
    </w:p>
    <w:p>
      <w:pPr>
        <w:pStyle w:val="105"/>
      </w:pPr>
    </w:p>
    <w:p>
      <w:pPr>
        <w:pStyle w:val="105"/>
      </w:pPr>
    </w:p>
    <w:p>
      <w:pPr>
        <w:pStyle w:val="105"/>
      </w:pPr>
    </w:p>
    <w:p>
      <w:pPr>
        <w:pStyle w:val="105"/>
      </w:pPr>
    </w:p>
    <w:p>
      <w:pPr>
        <w:pStyle w:val="105"/>
      </w:pPr>
    </w:p>
    <w:p>
      <w:pPr>
        <w:pStyle w:val="105"/>
      </w:pPr>
    </w:p>
    <w:p>
      <w:pPr>
        <w:spacing w:line="588" w:lineRule="exact"/>
        <w:jc w:val="center"/>
        <w:rPr>
          <w:rFonts w:ascii="宋体" w:hAnsi="宋体"/>
          <w:b/>
          <w:bCs/>
          <w:sz w:val="30"/>
        </w:rPr>
      </w:pPr>
      <w:r>
        <w:rPr>
          <w:rFonts w:hint="eastAsia" w:ascii="宋体" w:hAnsi="宋体"/>
          <w:b/>
          <w:bCs/>
          <w:sz w:val="30"/>
        </w:rPr>
        <w:t>残疾人福利性单位声明函</w:t>
      </w:r>
    </w:p>
    <w:p>
      <w:pPr>
        <w:spacing w:line="588" w:lineRule="exact"/>
        <w:jc w:val="center"/>
        <w:rPr>
          <w:rFonts w:asciiTheme="majorEastAsia" w:hAnsiTheme="majorEastAsia" w:eastAsiaTheme="majorEastAsia"/>
          <w:b/>
          <w:spacing w:val="6"/>
          <w:sz w:val="24"/>
        </w:rPr>
      </w:pP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本单位对上述声明的真实性负责。如有虚假，将依法承担相应责任。</w:t>
      </w:r>
    </w:p>
    <w:p>
      <w:pPr>
        <w:snapToGrid w:val="0"/>
        <w:spacing w:line="360" w:lineRule="auto"/>
        <w:ind w:firstLine="480" w:firstLineChars="200"/>
        <w:rPr>
          <w:rFonts w:asciiTheme="majorEastAsia" w:hAnsiTheme="majorEastAsia" w:eastAsiaTheme="majorEastAsia"/>
          <w:sz w:val="24"/>
        </w:rPr>
      </w:pPr>
    </w:p>
    <w:p>
      <w:pPr>
        <w:spacing w:line="588" w:lineRule="exact"/>
        <w:ind w:firstLine="504" w:firstLineChars="200"/>
        <w:rPr>
          <w:rFonts w:asciiTheme="majorEastAsia" w:hAnsiTheme="majorEastAsia" w:eastAsiaTheme="majorEastAsia"/>
          <w:spacing w:val="6"/>
          <w:sz w:val="24"/>
        </w:rPr>
      </w:pPr>
    </w:p>
    <w:p>
      <w:pPr>
        <w:snapToGrid w:val="0"/>
        <w:spacing w:line="360" w:lineRule="auto"/>
        <w:ind w:firstLine="480" w:firstLineChars="200"/>
        <w:jc w:val="right"/>
        <w:rPr>
          <w:rFonts w:asciiTheme="majorEastAsia" w:hAnsiTheme="majorEastAsia" w:eastAsiaTheme="majorEastAsia"/>
          <w:sz w:val="24"/>
        </w:rPr>
      </w:pPr>
      <w:r>
        <w:rPr>
          <w:rFonts w:hint="eastAsia" w:asciiTheme="majorEastAsia" w:hAnsiTheme="majorEastAsia" w:eastAsiaTheme="majorEastAsia"/>
          <w:sz w:val="24"/>
        </w:rPr>
        <w:t xml:space="preserve">      单位名称（盖章）：</w:t>
      </w:r>
    </w:p>
    <w:p>
      <w:pPr>
        <w:snapToGrid w:val="0"/>
        <w:spacing w:line="360" w:lineRule="auto"/>
        <w:ind w:firstLine="480" w:firstLineChars="200"/>
        <w:jc w:val="right"/>
        <w:rPr>
          <w:rFonts w:asciiTheme="majorEastAsia" w:hAnsiTheme="majorEastAsia" w:eastAsiaTheme="majorEastAsia"/>
          <w:sz w:val="24"/>
        </w:rPr>
      </w:pPr>
      <w:r>
        <w:rPr>
          <w:rFonts w:hint="eastAsia" w:asciiTheme="majorEastAsia" w:hAnsiTheme="majorEastAsia" w:eastAsiaTheme="majorEastAsia"/>
          <w:sz w:val="24"/>
        </w:rPr>
        <w:t xml:space="preserve">       日  期：</w:t>
      </w:r>
    </w:p>
    <w:p>
      <w:pPr>
        <w:rPr>
          <w:rFonts w:asciiTheme="majorEastAsia" w:hAnsiTheme="majorEastAsia" w:eastAsiaTheme="majorEastAsia"/>
          <w:sz w:val="24"/>
        </w:rPr>
      </w:pPr>
    </w:p>
    <w:p>
      <w:pPr>
        <w:rPr>
          <w:rFonts w:asciiTheme="majorEastAsia" w:hAnsiTheme="majorEastAsia" w:eastAsiaTheme="majorEastAsia"/>
          <w:sz w:val="24"/>
        </w:rPr>
      </w:pPr>
    </w:p>
    <w:p>
      <w:pPr>
        <w:pStyle w:val="9"/>
        <w:spacing w:line="500" w:lineRule="exact"/>
        <w:ind w:firstLine="0"/>
        <w:rPr>
          <w:rFonts w:asciiTheme="majorEastAsia" w:hAnsiTheme="majorEastAsia" w:eastAsiaTheme="majorEastAsia"/>
          <w:szCs w:val="24"/>
        </w:rPr>
      </w:pPr>
    </w:p>
    <w:p>
      <w:pPr>
        <w:pStyle w:val="9"/>
        <w:spacing w:line="500" w:lineRule="exact"/>
        <w:ind w:firstLine="0"/>
        <w:rPr>
          <w:rFonts w:asciiTheme="majorEastAsia" w:hAnsiTheme="majorEastAsia" w:eastAsiaTheme="majorEastAsia"/>
          <w:szCs w:val="24"/>
        </w:rPr>
      </w:pPr>
    </w:p>
    <w:p>
      <w:pPr>
        <w:snapToGrid w:val="0"/>
        <w:spacing w:before="50"/>
        <w:jc w:val="center"/>
        <w:rPr>
          <w:rFonts w:asciiTheme="majorEastAsia" w:hAnsiTheme="majorEastAsia" w:eastAsiaTheme="majorEastAsia"/>
          <w:b/>
          <w:spacing w:val="40"/>
          <w:kern w:val="0"/>
          <w:sz w:val="24"/>
        </w:rPr>
      </w:pPr>
    </w:p>
    <w:p>
      <w:pPr>
        <w:snapToGrid w:val="0"/>
        <w:spacing w:before="50"/>
        <w:rPr>
          <w:rFonts w:asciiTheme="majorEastAsia" w:hAnsiTheme="majorEastAsia" w:eastAsiaTheme="majorEastAsia"/>
          <w:b/>
          <w:spacing w:val="40"/>
          <w:kern w:val="0"/>
          <w:sz w:val="24"/>
        </w:rPr>
      </w:pPr>
      <w:r>
        <w:rPr>
          <w:rFonts w:hint="eastAsia" w:asciiTheme="majorEastAsia" w:hAnsiTheme="majorEastAsia" w:eastAsiaTheme="majorEastAsia"/>
          <w:sz w:val="24"/>
          <w:u w:val="single"/>
        </w:rPr>
        <w:t>注：若不是残疾人福利性单位，请勿填写此表。</w:t>
      </w:r>
    </w:p>
    <w:p>
      <w:pPr>
        <w:rPr>
          <w:rFonts w:asciiTheme="majorEastAsia" w:hAnsiTheme="majorEastAsia" w:eastAsiaTheme="majorEastAsia"/>
          <w:sz w:val="24"/>
        </w:rPr>
      </w:pPr>
    </w:p>
    <w:p>
      <w:pPr>
        <w:pStyle w:val="28"/>
      </w:pPr>
    </w:p>
    <w:p>
      <w:pPr>
        <w:pStyle w:val="28"/>
      </w:pPr>
    </w:p>
    <w:p>
      <w:pPr>
        <w:pStyle w:val="28"/>
      </w:pPr>
    </w:p>
    <w:p>
      <w:pPr>
        <w:pStyle w:val="28"/>
      </w:pPr>
    </w:p>
    <w:p>
      <w:pPr>
        <w:pStyle w:val="28"/>
      </w:pPr>
    </w:p>
    <w:p>
      <w:pPr>
        <w:pStyle w:val="28"/>
      </w:pPr>
    </w:p>
    <w:p>
      <w:pPr>
        <w:pStyle w:val="28"/>
      </w:pPr>
    </w:p>
    <w:p>
      <w:pPr>
        <w:pStyle w:val="44"/>
      </w:pPr>
    </w:p>
    <w:p/>
    <w:p>
      <w:pPr>
        <w:spacing w:line="360" w:lineRule="auto"/>
        <w:jc w:val="left"/>
        <w:rPr>
          <w:rFonts w:ascii="宋体" w:hAnsi="宋体"/>
          <w:sz w:val="24"/>
        </w:rPr>
      </w:pPr>
      <w:r>
        <w:rPr>
          <w:rFonts w:hint="eastAsia" w:ascii="宋体" w:hAnsi="宋体" w:cs="Arial"/>
          <w:kern w:val="0"/>
          <w:sz w:val="24"/>
        </w:rPr>
        <w:t>1</w:t>
      </w:r>
      <w:r>
        <w:rPr>
          <w:rFonts w:hint="eastAsia" w:ascii="宋体" w:hAnsi="宋体" w:cs="Arial"/>
          <w:kern w:val="0"/>
          <w:sz w:val="24"/>
          <w:lang w:val="en-US" w:eastAsia="zh-CN"/>
        </w:rPr>
        <w:t>1</w:t>
      </w:r>
      <w:r>
        <w:rPr>
          <w:rFonts w:hint="eastAsia" w:ascii="宋体" w:hAnsi="宋体" w:cs="Arial"/>
          <w:kern w:val="0"/>
          <w:sz w:val="24"/>
        </w:rPr>
        <w:t>.</w:t>
      </w:r>
      <w:r>
        <w:rPr>
          <w:rFonts w:hint="eastAsia" w:ascii="宋体" w:hAnsi="宋体"/>
          <w:sz w:val="24"/>
        </w:rPr>
        <w:t>联合体各方共同投标协议（如有，格式自拟）</w:t>
      </w:r>
    </w:p>
    <w:p>
      <w:pPr>
        <w:pStyle w:val="43"/>
        <w:rPr>
          <w:color w:val="auto"/>
        </w:rPr>
      </w:pPr>
    </w:p>
    <w:p>
      <w:pPr>
        <w:pStyle w:val="44"/>
      </w:pPr>
    </w:p>
    <w:p/>
    <w:p>
      <w:pPr>
        <w:pStyle w:val="2"/>
      </w:pPr>
    </w:p>
    <w:p/>
    <w:p>
      <w:pPr>
        <w:pStyle w:val="2"/>
      </w:pPr>
    </w:p>
    <w:p>
      <w:pPr>
        <w:snapToGrid w:val="0"/>
        <w:spacing w:line="360" w:lineRule="auto"/>
        <w:jc w:val="center"/>
        <w:outlineLvl w:val="1"/>
        <w:rPr>
          <w:rFonts w:ascii="宋体" w:hAnsi="宋体"/>
          <w:b/>
          <w:bCs/>
          <w:sz w:val="24"/>
        </w:rPr>
      </w:pPr>
    </w:p>
    <w:p>
      <w:pPr>
        <w:snapToGrid w:val="0"/>
        <w:spacing w:line="360" w:lineRule="auto"/>
        <w:jc w:val="center"/>
        <w:outlineLvl w:val="1"/>
        <w:rPr>
          <w:rFonts w:ascii="宋体" w:hAnsi="宋体"/>
          <w:b/>
          <w:bCs/>
          <w:sz w:val="24"/>
        </w:rPr>
      </w:pPr>
      <w:r>
        <w:rPr>
          <w:rFonts w:hint="eastAsia" w:ascii="宋体" w:hAnsi="宋体"/>
          <w:b/>
          <w:bCs/>
          <w:sz w:val="24"/>
        </w:rPr>
        <w:t>二、技术/资信/商务文件格式</w:t>
      </w:r>
    </w:p>
    <w:p>
      <w:pPr>
        <w:snapToGrid w:val="0"/>
        <w:spacing w:line="360" w:lineRule="auto"/>
        <w:jc w:val="center"/>
        <w:rPr>
          <w:rFonts w:ascii="宋体" w:hAnsi="宋体"/>
          <w:sz w:val="24"/>
          <w:szCs w:val="20"/>
        </w:rPr>
      </w:pPr>
    </w:p>
    <w:p>
      <w:pPr>
        <w:snapToGrid w:val="0"/>
        <w:spacing w:line="360" w:lineRule="auto"/>
        <w:rPr>
          <w:rFonts w:ascii="宋体" w:hAnsi="宋体"/>
          <w:sz w:val="24"/>
          <w:szCs w:val="20"/>
        </w:rPr>
      </w:pPr>
      <w:r>
        <w:rPr>
          <w:rFonts w:hint="eastAsia" w:ascii="宋体" w:hAnsi="宋体"/>
          <w:sz w:val="24"/>
        </w:rPr>
        <w:t>1</w:t>
      </w:r>
      <w:r>
        <w:rPr>
          <w:rFonts w:hint="eastAsia" w:ascii="宋体" w:hAnsi="宋体"/>
          <w:sz w:val="24"/>
          <w:lang w:val="en-US" w:eastAsia="zh-CN"/>
        </w:rPr>
        <w:t>2</w:t>
      </w:r>
      <w:r>
        <w:rPr>
          <w:rFonts w:hint="eastAsia" w:ascii="宋体" w:hAnsi="宋体"/>
          <w:sz w:val="24"/>
        </w:rPr>
        <w:t>.技术/资信/商务文件封面格式：</w:t>
      </w:r>
    </w:p>
    <w:p>
      <w:pPr>
        <w:snapToGrid w:val="0"/>
        <w:spacing w:line="360" w:lineRule="auto"/>
        <w:jc w:val="center"/>
        <w:rPr>
          <w:rFonts w:ascii="宋体" w:hAnsi="宋体"/>
          <w:bCs/>
          <w:sz w:val="24"/>
          <w:szCs w:val="20"/>
        </w:rPr>
      </w:pPr>
    </w:p>
    <w:p>
      <w:pPr>
        <w:snapToGrid w:val="0"/>
        <w:spacing w:line="360" w:lineRule="auto"/>
        <w:jc w:val="center"/>
        <w:rPr>
          <w:rFonts w:ascii="宋体" w:hAnsi="宋体"/>
          <w:bCs/>
          <w:sz w:val="24"/>
          <w:szCs w:val="20"/>
        </w:rPr>
      </w:pPr>
      <w:r>
        <w:rPr>
          <w:rFonts w:hint="eastAsia" w:ascii="宋体" w:hAnsi="宋体"/>
          <w:bCs/>
          <w:sz w:val="24"/>
        </w:rPr>
        <w:t>技术/资信/商务文件</w:t>
      </w:r>
    </w:p>
    <w:p>
      <w:pPr>
        <w:snapToGrid w:val="0"/>
        <w:spacing w:line="360" w:lineRule="auto"/>
        <w:rPr>
          <w:rFonts w:ascii="宋体" w:hAnsi="宋体"/>
          <w:bCs/>
          <w:sz w:val="24"/>
          <w:szCs w:val="20"/>
        </w:rPr>
      </w:pPr>
    </w:p>
    <w:p>
      <w:pPr>
        <w:snapToGrid w:val="0"/>
        <w:spacing w:line="360" w:lineRule="auto"/>
        <w:ind w:left="1918" w:leftChars="456" w:hanging="960" w:hangingChars="400"/>
        <w:rPr>
          <w:rFonts w:ascii="宋体" w:hAnsi="宋体"/>
          <w:bCs/>
          <w:sz w:val="24"/>
          <w:szCs w:val="20"/>
        </w:rPr>
      </w:pPr>
      <w:r>
        <w:rPr>
          <w:rFonts w:hint="eastAsia" w:ascii="宋体" w:hAnsi="宋体"/>
          <w:bCs/>
          <w:sz w:val="24"/>
        </w:rPr>
        <w:t>项目名称：</w:t>
      </w:r>
      <w:r>
        <w:rPr>
          <w:rFonts w:hint="eastAsia" w:ascii="宋体" w:hAnsi="宋体"/>
          <w:spacing w:val="-20"/>
          <w:sz w:val="24"/>
        </w:rPr>
        <w:t>湖州师范学院工学院中国智能制造挑战赛实验室设备采购项目</w:t>
      </w:r>
    </w:p>
    <w:p>
      <w:pPr>
        <w:snapToGrid w:val="0"/>
        <w:spacing w:line="360" w:lineRule="auto"/>
        <w:ind w:firstLine="960" w:firstLineChars="400"/>
        <w:rPr>
          <w:rFonts w:ascii="宋体" w:hAnsi="宋体"/>
          <w:bCs/>
          <w:sz w:val="24"/>
          <w:szCs w:val="20"/>
        </w:rPr>
      </w:pPr>
      <w:r>
        <w:rPr>
          <w:rFonts w:hint="eastAsia" w:ascii="宋体" w:hAnsi="宋体"/>
          <w:bCs/>
          <w:sz w:val="24"/>
        </w:rPr>
        <w:t>项目编号：</w:t>
      </w:r>
      <w:r>
        <w:rPr>
          <w:rFonts w:hint="eastAsia" w:ascii="宋体" w:hAnsi="宋体"/>
          <w:sz w:val="24"/>
        </w:rPr>
        <w:t>HYHZ2022-135</w:t>
      </w:r>
    </w:p>
    <w:p>
      <w:pPr>
        <w:pStyle w:val="9"/>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pPr>
        <w:pStyle w:val="9"/>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pPr>
        <w:pStyle w:val="9"/>
        <w:snapToGrid w:val="0"/>
        <w:spacing w:line="360" w:lineRule="auto"/>
        <w:ind w:firstLine="960" w:firstLineChars="400"/>
        <w:rPr>
          <w:rFonts w:ascii="宋体" w:hAnsi="宋体"/>
          <w:bCs/>
          <w:sz w:val="24"/>
          <w:szCs w:val="24"/>
        </w:rPr>
      </w:pPr>
    </w:p>
    <w:p>
      <w:pPr>
        <w:snapToGrid w:val="0"/>
        <w:spacing w:line="360" w:lineRule="auto"/>
        <w:ind w:firstLine="4080" w:firstLineChars="1700"/>
        <w:rPr>
          <w:rFonts w:ascii="宋体" w:hAnsi="宋体"/>
          <w:sz w:val="24"/>
          <w:szCs w:val="20"/>
        </w:rPr>
      </w:pPr>
    </w:p>
    <w:p>
      <w:pPr>
        <w:pStyle w:val="2"/>
      </w:pPr>
    </w:p>
    <w:p>
      <w:pPr>
        <w:snapToGrid w:val="0"/>
        <w:spacing w:line="360" w:lineRule="auto"/>
        <w:ind w:firstLine="645"/>
        <w:jc w:val="center"/>
        <w:rPr>
          <w:rFonts w:ascii="宋体" w:hAnsi="宋体"/>
          <w:sz w:val="24"/>
        </w:rPr>
      </w:pPr>
      <w:r>
        <w:rPr>
          <w:rFonts w:hint="eastAsia" w:ascii="宋体" w:hAnsi="宋体"/>
          <w:sz w:val="24"/>
        </w:rPr>
        <w:t>年月日</w:t>
      </w:r>
    </w:p>
    <w:p>
      <w:pPr>
        <w:snapToGrid w:val="0"/>
        <w:spacing w:line="360" w:lineRule="auto"/>
        <w:ind w:firstLine="645"/>
        <w:jc w:val="center"/>
        <w:rPr>
          <w:rFonts w:ascii="宋体" w:hAnsi="宋体"/>
          <w:sz w:val="24"/>
        </w:rPr>
      </w:pPr>
    </w:p>
    <w:p>
      <w:pPr>
        <w:pStyle w:val="14"/>
      </w:pPr>
    </w:p>
    <w:p>
      <w:pPr>
        <w:snapToGrid w:val="0"/>
        <w:spacing w:line="360" w:lineRule="auto"/>
        <w:rPr>
          <w:rFonts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w:t>
      </w:r>
      <w:r>
        <w:rPr>
          <w:rFonts w:hint="eastAsia" w:ascii="宋体" w:hAnsi="宋体"/>
          <w:b/>
          <w:bCs/>
          <w:sz w:val="24"/>
        </w:rPr>
        <w:t>技术/资信/商务文件目录</w:t>
      </w:r>
    </w:p>
    <w:p>
      <w:pPr>
        <w:snapToGrid w:val="0"/>
        <w:spacing w:line="360" w:lineRule="auto"/>
        <w:rPr>
          <w:rFonts w:ascii="宋体" w:hAnsi="宋体"/>
          <w:sz w:val="24"/>
        </w:rPr>
      </w:pPr>
      <w:r>
        <w:rPr>
          <w:rFonts w:hint="eastAsia" w:ascii="宋体" w:hAnsi="宋体"/>
          <w:sz w:val="24"/>
        </w:rPr>
        <w:t>技术：</w:t>
      </w:r>
    </w:p>
    <w:p>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）确保供应货物质量的设施及措施————————（页码）</w:t>
      </w:r>
    </w:p>
    <w:p>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2</w:t>
      </w:r>
      <w:r>
        <w:rPr>
          <w:rFonts w:hint="eastAsia" w:ascii="宋体" w:hAnsi="宋体"/>
          <w:sz w:val="24"/>
        </w:rPr>
        <w:t>）保证交货期的施工组织方案和措施————————</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）安装、调试、验收的方案和措施————</w:t>
      </w:r>
    </w:p>
    <w:p>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4</w:t>
      </w:r>
      <w:r>
        <w:rPr>
          <w:rFonts w:hint="eastAsia" w:ascii="宋体" w:hAnsi="宋体"/>
          <w:sz w:val="24"/>
        </w:rPr>
        <w:t>）设备配置清单————————</w:t>
      </w:r>
    </w:p>
    <w:p>
      <w:pPr>
        <w:snapToGrid w:val="0"/>
        <w:spacing w:line="360" w:lineRule="auto"/>
        <w:jc w:val="left"/>
        <w:rPr>
          <w:rFonts w:ascii="宋体" w:hAnsi="宋体"/>
          <w:sz w:val="24"/>
          <w:szCs w:val="20"/>
        </w:rPr>
      </w:pPr>
      <w:r>
        <w:rPr>
          <w:rFonts w:hint="eastAsia" w:ascii="宋体" w:hAnsi="宋体"/>
          <w:sz w:val="24"/>
        </w:rPr>
        <w:t>（5）技术响应表————————</w:t>
      </w:r>
    </w:p>
    <w:p>
      <w:pPr>
        <w:snapToGrid w:val="0"/>
        <w:spacing w:line="360" w:lineRule="auto"/>
        <w:jc w:val="left"/>
        <w:rPr>
          <w:rFonts w:ascii="宋体" w:hAnsi="宋体"/>
          <w:sz w:val="24"/>
          <w:szCs w:val="20"/>
        </w:rPr>
      </w:pPr>
      <w:r>
        <w:rPr>
          <w:rFonts w:hint="eastAsia" w:ascii="宋体" w:hAnsi="宋体"/>
          <w:sz w:val="24"/>
        </w:rPr>
        <w:t>（6）项目实施人员一览表————————</w:t>
      </w:r>
    </w:p>
    <w:p>
      <w:pPr>
        <w:snapToGrid w:val="0"/>
        <w:spacing w:line="360" w:lineRule="auto"/>
        <w:jc w:val="left"/>
        <w:rPr>
          <w:rFonts w:ascii="宋体" w:hAnsi="宋体"/>
          <w:sz w:val="24"/>
        </w:rPr>
      </w:pPr>
      <w:r>
        <w:rPr>
          <w:rFonts w:hint="eastAsia" w:ascii="宋体" w:hAnsi="宋体"/>
          <w:sz w:val="24"/>
        </w:rPr>
        <w:t>（7）投标人对本项目的合理化建议和改进措施————————</w:t>
      </w:r>
    </w:p>
    <w:p>
      <w:pPr>
        <w:snapToGrid w:val="0"/>
        <w:spacing w:line="360" w:lineRule="auto"/>
        <w:jc w:val="left"/>
        <w:rPr>
          <w:rFonts w:ascii="宋体" w:hAnsi="宋体"/>
          <w:sz w:val="24"/>
        </w:rPr>
      </w:pPr>
      <w:r>
        <w:rPr>
          <w:rFonts w:hint="eastAsia" w:ascii="宋体" w:hAnsi="宋体"/>
          <w:sz w:val="24"/>
        </w:rPr>
        <w:t>（8）投标人需要说明的其他文件和说明————————</w:t>
      </w:r>
    </w:p>
    <w:p>
      <w:pPr>
        <w:snapToGrid w:val="0"/>
        <w:spacing w:line="360" w:lineRule="auto"/>
        <w:rPr>
          <w:rFonts w:ascii="宋体" w:hAnsi="宋体"/>
          <w:sz w:val="24"/>
        </w:rPr>
      </w:pPr>
      <w:r>
        <w:rPr>
          <w:rFonts w:hint="eastAsia" w:ascii="宋体" w:hAnsi="宋体"/>
          <w:sz w:val="24"/>
        </w:rPr>
        <w:t>资信：</w:t>
      </w:r>
    </w:p>
    <w:p>
      <w:pPr>
        <w:snapToGrid w:val="0"/>
        <w:spacing w:line="360" w:lineRule="auto"/>
        <w:jc w:val="left"/>
        <w:rPr>
          <w:rFonts w:ascii="宋体" w:hAnsi="宋体"/>
          <w:sz w:val="24"/>
          <w:szCs w:val="20"/>
        </w:rPr>
      </w:pPr>
      <w:r>
        <w:rPr>
          <w:rFonts w:hint="eastAsia" w:ascii="宋体" w:hAnsi="宋体"/>
          <w:sz w:val="24"/>
        </w:rPr>
        <w:t>（9）类似成功案例的业绩证明（投标人同类项目实施情况一览表、合同复印件）————————</w:t>
      </w:r>
    </w:p>
    <w:p>
      <w:pPr>
        <w:snapToGrid w:val="0"/>
        <w:spacing w:line="360" w:lineRule="auto"/>
        <w:jc w:val="left"/>
        <w:rPr>
          <w:rFonts w:ascii="宋体" w:hAnsi="宋体"/>
          <w:sz w:val="24"/>
        </w:rPr>
      </w:pPr>
      <w:r>
        <w:rPr>
          <w:rFonts w:hint="eastAsia" w:ascii="宋体" w:hAnsi="宋体"/>
          <w:sz w:val="24"/>
        </w:rPr>
        <w:t>（10）其他特殊资质证书</w:t>
      </w:r>
      <w:r>
        <w:rPr>
          <w:rFonts w:ascii="宋体" w:hAnsi="宋体"/>
          <w:sz w:val="24"/>
        </w:rPr>
        <w:t>（如</w:t>
      </w:r>
      <w:r>
        <w:rPr>
          <w:rFonts w:hint="eastAsia" w:ascii="宋体" w:hAnsi="宋体"/>
          <w:sz w:val="24"/>
        </w:rPr>
        <w:t>本地化服务能力等）（格式可自拟）—————</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1）</w:t>
      </w:r>
      <w:r>
        <w:rPr>
          <w:rFonts w:ascii="宋体" w:hAnsi="宋体"/>
          <w:sz w:val="24"/>
        </w:rPr>
        <w:t>权威认证证书</w:t>
      </w:r>
      <w:r>
        <w:rPr>
          <w:rFonts w:hint="eastAsia" w:ascii="宋体" w:hAnsi="宋体"/>
          <w:sz w:val="24"/>
        </w:rPr>
        <w:t>—————</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2）政策分相关证明材料—————</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3）投标人认为可以证明其能力或业绩的其他材料————————</w:t>
      </w:r>
    </w:p>
    <w:p>
      <w:pPr>
        <w:pStyle w:val="14"/>
      </w:pPr>
      <w:r>
        <w:rPr>
          <w:rFonts w:hint="eastAsia" w:ascii="宋体" w:hAnsi="宋体"/>
          <w:sz w:val="24"/>
        </w:rPr>
        <w:t>（</w:t>
      </w:r>
      <w:r>
        <w:rPr>
          <w:rFonts w:ascii="宋体" w:hAnsi="宋体"/>
          <w:sz w:val="24"/>
        </w:rPr>
        <w:t>1</w:t>
      </w:r>
      <w:r>
        <w:rPr>
          <w:rFonts w:hint="eastAsia" w:ascii="宋体" w:hAnsi="宋体"/>
          <w:sz w:val="24"/>
        </w:rPr>
        <w:t>4）投标人情况介绍————————</w:t>
      </w:r>
    </w:p>
    <w:p>
      <w:pPr>
        <w:snapToGrid w:val="0"/>
        <w:spacing w:line="360" w:lineRule="auto"/>
        <w:rPr>
          <w:rFonts w:ascii="宋体" w:hAnsi="宋体"/>
          <w:sz w:val="24"/>
        </w:rPr>
      </w:pPr>
      <w:r>
        <w:rPr>
          <w:rFonts w:hint="eastAsia" w:ascii="宋体" w:hAnsi="宋体"/>
          <w:sz w:val="24"/>
        </w:rPr>
        <w:t>商务：</w:t>
      </w:r>
    </w:p>
    <w:p>
      <w:pPr>
        <w:snapToGrid w:val="0"/>
        <w:spacing w:line="360" w:lineRule="auto"/>
        <w:jc w:val="left"/>
        <w:rPr>
          <w:rFonts w:ascii="宋体" w:hAnsi="宋体"/>
          <w:sz w:val="24"/>
        </w:rPr>
      </w:pPr>
      <w:r>
        <w:rPr>
          <w:rFonts w:hint="eastAsia" w:ascii="宋体" w:hAnsi="宋体"/>
          <w:sz w:val="24"/>
        </w:rPr>
        <w:t>（15）商务响应表————————</w:t>
      </w:r>
    </w:p>
    <w:p>
      <w:pPr>
        <w:snapToGrid w:val="0"/>
        <w:spacing w:line="360" w:lineRule="auto"/>
        <w:jc w:val="left"/>
        <w:rPr>
          <w:rFonts w:ascii="宋体" w:hAnsi="宋体"/>
          <w:sz w:val="24"/>
        </w:rPr>
      </w:pPr>
      <w:r>
        <w:rPr>
          <w:rFonts w:hint="eastAsia" w:ascii="宋体" w:hAnsi="宋体"/>
          <w:sz w:val="24"/>
        </w:rPr>
        <w:t>（16）</w:t>
      </w:r>
      <w:r>
        <w:rPr>
          <w:rFonts w:ascii="宋体" w:hAnsi="宋体"/>
          <w:sz w:val="24"/>
        </w:rPr>
        <w:t>售后服务的内容和措施</w:t>
      </w:r>
      <w:r>
        <w:rPr>
          <w:rFonts w:hint="eastAsia" w:ascii="宋体" w:hAnsi="宋体"/>
          <w:sz w:val="24"/>
        </w:rPr>
        <w:t>————————</w:t>
      </w:r>
    </w:p>
    <w:p>
      <w:pPr>
        <w:snapToGrid w:val="0"/>
        <w:spacing w:line="360" w:lineRule="auto"/>
        <w:jc w:val="left"/>
        <w:rPr>
          <w:rFonts w:ascii="宋体" w:hAnsi="宋体"/>
          <w:sz w:val="24"/>
        </w:rPr>
      </w:pPr>
      <w:r>
        <w:rPr>
          <w:rFonts w:hint="eastAsia" w:ascii="宋体" w:hAnsi="宋体"/>
          <w:sz w:val="24"/>
        </w:rPr>
        <w:t>（17）响应时间————————</w:t>
      </w:r>
    </w:p>
    <w:p>
      <w:pPr>
        <w:snapToGrid w:val="0"/>
        <w:spacing w:line="360" w:lineRule="auto"/>
        <w:jc w:val="left"/>
        <w:rPr>
          <w:rFonts w:ascii="宋体" w:hAnsi="宋体"/>
          <w:sz w:val="24"/>
        </w:rPr>
      </w:pPr>
      <w:r>
        <w:rPr>
          <w:rFonts w:hint="eastAsia" w:ascii="宋体" w:hAnsi="宋体"/>
          <w:sz w:val="24"/>
        </w:rPr>
        <w:t>（18）信用承诺书————————</w:t>
      </w:r>
    </w:p>
    <w:p>
      <w:pPr>
        <w:snapToGrid w:val="0"/>
        <w:spacing w:line="360" w:lineRule="auto"/>
        <w:rPr>
          <w:rFonts w:ascii="宋体" w:hAnsi="宋体"/>
          <w:sz w:val="24"/>
        </w:rPr>
      </w:pPr>
      <w:r>
        <w:rPr>
          <w:rFonts w:hint="eastAsia" w:ascii="宋体" w:hAnsi="宋体"/>
          <w:sz w:val="24"/>
        </w:rPr>
        <w:t>（19）技术、商务、资信及其他分自评表————————</w:t>
      </w:r>
    </w:p>
    <w:p>
      <w:pPr>
        <w:snapToGrid w:val="0"/>
        <w:spacing w:line="360" w:lineRule="auto"/>
        <w:jc w:val="left"/>
      </w:pPr>
    </w:p>
    <w:p>
      <w:pPr>
        <w:pStyle w:val="14"/>
      </w:pPr>
    </w:p>
    <w:p>
      <w:pPr>
        <w:pStyle w:val="43"/>
        <w:rPr>
          <w:color w:val="auto"/>
        </w:rPr>
      </w:pPr>
    </w:p>
    <w:p>
      <w:pPr>
        <w:pStyle w:val="44"/>
      </w:pPr>
    </w:p>
    <w:p>
      <w:pPr>
        <w:snapToGrid w:val="0"/>
        <w:spacing w:line="360" w:lineRule="auto"/>
        <w:jc w:val="left"/>
        <w:rPr>
          <w:rFonts w:ascii="宋体" w:hAnsi="宋体"/>
          <w:sz w:val="24"/>
          <w:szCs w:val="20"/>
        </w:rPr>
      </w:pPr>
      <w:r>
        <w:rPr>
          <w:rFonts w:hint="eastAsia" w:ascii="宋体" w:hAnsi="宋体"/>
          <w:sz w:val="24"/>
        </w:rPr>
        <w:t>1</w:t>
      </w:r>
      <w:r>
        <w:rPr>
          <w:rFonts w:hint="eastAsia" w:ascii="宋体" w:hAnsi="宋体"/>
          <w:sz w:val="24"/>
          <w:lang w:val="en-US" w:eastAsia="zh-CN"/>
        </w:rPr>
        <w:t>4</w:t>
      </w:r>
      <w:r>
        <w:rPr>
          <w:rFonts w:hint="eastAsia" w:ascii="宋体" w:hAnsi="宋体"/>
          <w:sz w:val="24"/>
        </w:rPr>
        <w:t>.确保供应货物质量的设施及措施（格式自拟）</w:t>
      </w:r>
    </w:p>
    <w:p>
      <w:pPr>
        <w:snapToGrid w:val="0"/>
        <w:spacing w:line="360" w:lineRule="auto"/>
        <w:jc w:val="left"/>
        <w:rPr>
          <w:rFonts w:ascii="宋体" w:hAnsi="宋体"/>
          <w:sz w:val="24"/>
          <w:szCs w:val="20"/>
        </w:rPr>
      </w:pPr>
    </w:p>
    <w:p>
      <w:pPr>
        <w:pStyle w:val="14"/>
      </w:pPr>
    </w:p>
    <w:p>
      <w:pPr>
        <w:pStyle w:val="15"/>
      </w:pPr>
    </w:p>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r>
        <w:rPr>
          <w:rFonts w:hint="eastAsia" w:ascii="宋体" w:hAnsi="宋体"/>
          <w:sz w:val="24"/>
        </w:rPr>
        <w:t>1</w:t>
      </w:r>
      <w:r>
        <w:rPr>
          <w:rFonts w:hint="eastAsia" w:ascii="宋体" w:hAnsi="宋体"/>
          <w:sz w:val="24"/>
          <w:lang w:val="en-US" w:eastAsia="zh-CN"/>
        </w:rPr>
        <w:t>5</w:t>
      </w:r>
      <w:r>
        <w:rPr>
          <w:rFonts w:hint="eastAsia" w:ascii="宋体" w:hAnsi="宋体"/>
          <w:sz w:val="24"/>
        </w:rPr>
        <w:t>.保证交货期的施工组织方案和措施（格式自拟）</w:t>
      </w:r>
    </w:p>
    <w:p>
      <w:pPr>
        <w:pStyle w:val="14"/>
      </w:pPr>
    </w:p>
    <w:p>
      <w:pPr>
        <w:pStyle w:val="43"/>
        <w:rPr>
          <w:color w:val="auto"/>
        </w:rPr>
      </w:pPr>
    </w:p>
    <w:p>
      <w:pPr>
        <w:pStyle w:val="44"/>
      </w:pPr>
    </w:p>
    <w:p/>
    <w:p>
      <w:pPr>
        <w:pStyle w:val="14"/>
      </w:pPr>
    </w:p>
    <w:p>
      <w:pPr>
        <w:spacing w:line="360" w:lineRule="auto"/>
        <w:jc w:val="left"/>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.安装、调试、验收的方案和措施（格式自拟）</w:t>
      </w:r>
    </w:p>
    <w:p>
      <w:pPr>
        <w:pStyle w:val="2"/>
      </w:pPr>
    </w:p>
    <w:p>
      <w:pPr>
        <w:pStyle w:val="14"/>
      </w:pPr>
    </w:p>
    <w:p>
      <w:pPr>
        <w:pStyle w:val="44"/>
        <w:ind w:left="0"/>
      </w:pPr>
    </w:p>
    <w:p/>
    <w:p>
      <w:pPr>
        <w:pStyle w:val="2"/>
      </w:pPr>
    </w:p>
    <w:p>
      <w:pPr>
        <w:snapToGrid w:val="0"/>
        <w:spacing w:line="360" w:lineRule="auto"/>
        <w:jc w:val="left"/>
        <w:rPr>
          <w:rFonts w:ascii="宋体" w:hAnsi="宋体"/>
          <w:sz w:val="24"/>
          <w:szCs w:val="20"/>
        </w:rPr>
      </w:pPr>
      <w:r>
        <w:rPr>
          <w:rFonts w:hint="eastAsia" w:ascii="宋体" w:hAnsi="宋体"/>
          <w:sz w:val="24"/>
        </w:rPr>
        <w:t>1</w:t>
      </w:r>
      <w:r>
        <w:rPr>
          <w:rFonts w:hint="eastAsia" w:ascii="宋体" w:hAnsi="宋体"/>
          <w:sz w:val="24"/>
          <w:lang w:val="en-US" w:eastAsia="zh-CN"/>
        </w:rPr>
        <w:t>7</w:t>
      </w:r>
      <w:r>
        <w:rPr>
          <w:rFonts w:hint="eastAsia" w:ascii="宋体" w:hAnsi="宋体"/>
          <w:sz w:val="24"/>
        </w:rPr>
        <w:t>.设备配置清单格式：</w:t>
      </w:r>
    </w:p>
    <w:p>
      <w:pPr>
        <w:tabs>
          <w:tab w:val="left" w:pos="1418"/>
        </w:tabs>
        <w:snapToGrid w:val="0"/>
        <w:spacing w:line="360" w:lineRule="auto"/>
        <w:rPr>
          <w:rFonts w:ascii="宋体" w:hAnsi="宋体"/>
          <w:sz w:val="24"/>
          <w:szCs w:val="28"/>
        </w:rPr>
      </w:pPr>
      <w:r>
        <w:rPr>
          <w:rFonts w:hint="eastAsia" w:ascii="宋体" w:hAnsi="宋体"/>
        </w:rPr>
        <w:t>项目名称：</w:t>
      </w:r>
    </w:p>
    <w:tbl>
      <w:tblPr>
        <w:tblStyle w:val="3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单位及数量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p>
            <w:pPr>
              <w:snapToGrid w:val="0"/>
              <w:spacing w:line="360" w:lineRule="auto"/>
              <w:jc w:val="center"/>
              <w:rPr>
                <w:rFonts w:ascii="宋体" w:hAnsi="宋体"/>
                <w:sz w:val="24"/>
                <w:szCs w:val="2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080" w:type="dxa"/>
            <w:tcBorders>
              <w:top w:val="single" w:color="auto" w:sz="4" w:space="0"/>
              <w:left w:val="single" w:color="auto" w:sz="4" w:space="0"/>
              <w:bottom w:val="nil"/>
              <w:right w:val="single" w:color="auto" w:sz="4" w:space="0"/>
            </w:tcBorders>
            <w:vAlign w:val="center"/>
          </w:tcPr>
          <w:p>
            <w:pPr>
              <w:snapToGrid w:val="0"/>
              <w:spacing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80" w:hanging="480"/>
              <w:jc w:val="center"/>
              <w:rPr>
                <w:rFonts w:ascii="宋体" w:hAnsi="宋体"/>
                <w:sz w:val="24"/>
                <w:szCs w:val="2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p>
        </w:tc>
      </w:tr>
    </w:tbl>
    <w:p>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pPr>
        <w:snapToGrid w:val="0"/>
        <w:spacing w:line="360" w:lineRule="auto"/>
        <w:rPr>
          <w:rFonts w:ascii="宋体" w:hAnsi="宋体"/>
          <w:spacing w:val="20"/>
          <w:sz w:val="24"/>
          <w:u w:val="single"/>
        </w:rPr>
      </w:pPr>
      <w:r>
        <w:rPr>
          <w:rFonts w:hint="eastAsia" w:ascii="宋体" w:hAnsi="宋体"/>
          <w:spacing w:val="20"/>
          <w:sz w:val="24"/>
        </w:rPr>
        <w:t>投标人盖章：日期：</w:t>
      </w:r>
    </w:p>
    <w:p>
      <w:pPr>
        <w:snapToGrid w:val="0"/>
        <w:spacing w:line="360" w:lineRule="auto"/>
        <w:rPr>
          <w:rFonts w:ascii="宋体" w:hAnsi="宋体"/>
          <w:spacing w:val="20"/>
          <w:sz w:val="24"/>
          <w:u w:val="single"/>
        </w:rPr>
      </w:pPr>
    </w:p>
    <w:p>
      <w:pPr>
        <w:snapToGrid w:val="0"/>
        <w:spacing w:line="360" w:lineRule="auto"/>
        <w:jc w:val="left"/>
        <w:rPr>
          <w:rFonts w:ascii="宋体" w:hAnsi="宋体"/>
          <w:sz w:val="24"/>
          <w:szCs w:val="20"/>
        </w:rPr>
      </w:pPr>
      <w:r>
        <w:rPr>
          <w:rFonts w:hint="eastAsia" w:ascii="宋体" w:hAnsi="宋体"/>
          <w:sz w:val="24"/>
        </w:rPr>
        <w:t>1</w:t>
      </w:r>
      <w:r>
        <w:rPr>
          <w:rFonts w:hint="eastAsia" w:ascii="宋体" w:hAnsi="宋体"/>
          <w:sz w:val="24"/>
          <w:lang w:val="en-US" w:eastAsia="zh-CN"/>
        </w:rPr>
        <w:t>8</w:t>
      </w:r>
      <w:r>
        <w:rPr>
          <w:rFonts w:hint="eastAsia" w:ascii="宋体" w:hAnsi="宋体"/>
          <w:sz w:val="24"/>
        </w:rPr>
        <w:t>.技术响应表格式：</w:t>
      </w:r>
    </w:p>
    <w:p>
      <w:pPr>
        <w:snapToGrid w:val="0"/>
        <w:spacing w:line="360" w:lineRule="auto"/>
        <w:jc w:val="left"/>
        <w:rPr>
          <w:rFonts w:ascii="宋体" w:hAnsi="宋体"/>
          <w:sz w:val="24"/>
          <w:szCs w:val="20"/>
        </w:rPr>
      </w:pPr>
      <w:r>
        <w:rPr>
          <w:rFonts w:hint="eastAsia" w:ascii="宋体" w:hAnsi="宋体"/>
        </w:rPr>
        <w:t>项目名称：</w:t>
      </w:r>
    </w:p>
    <w:tbl>
      <w:tblPr>
        <w:tblStyle w:val="35"/>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720"/>
        <w:gridCol w:w="2361"/>
        <w:gridCol w:w="1976"/>
        <w:gridCol w:w="1808"/>
        <w:gridCol w:w="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3909" w:type="dxa"/>
            <w:gridSpan w:val="3"/>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outlineLvl w:val="0"/>
              <w:rPr>
                <w:rFonts w:hAnsi="宋体"/>
                <w:szCs w:val="21"/>
              </w:rPr>
            </w:pPr>
            <w:r>
              <w:rPr>
                <w:rFonts w:hAnsi="宋体"/>
                <w:szCs w:val="21"/>
              </w:rPr>
              <w:t>招标文件要求</w:t>
            </w:r>
          </w:p>
        </w:tc>
        <w:tc>
          <w:tcPr>
            <w:tcW w:w="3784" w:type="dxa"/>
            <w:gridSpan w:val="2"/>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outlineLvl w:val="0"/>
              <w:rPr>
                <w:rFonts w:hAnsi="宋体"/>
                <w:szCs w:val="21"/>
              </w:rPr>
            </w:pPr>
            <w:r>
              <w:rPr>
                <w:rFonts w:hAnsi="宋体"/>
                <w:szCs w:val="21"/>
              </w:rPr>
              <w:t>投标文件响应</w:t>
            </w:r>
          </w:p>
        </w:tc>
        <w:tc>
          <w:tcPr>
            <w:tcW w:w="835" w:type="dxa"/>
            <w:vMerge w:val="restart"/>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r>
              <w:rPr>
                <w:rFonts w:hAnsi="宋体"/>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1548" w:type="dxa"/>
            <w:gridSpan w:val="2"/>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outlineLvl w:val="0"/>
              <w:rPr>
                <w:rFonts w:hAnsi="宋体"/>
                <w:szCs w:val="21"/>
              </w:rPr>
            </w:pPr>
            <w:r>
              <w:rPr>
                <w:rFonts w:hAnsi="宋体"/>
                <w:szCs w:val="21"/>
              </w:rPr>
              <w:t>项目</w:t>
            </w:r>
          </w:p>
        </w:tc>
        <w:tc>
          <w:tcPr>
            <w:tcW w:w="2361"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outlineLvl w:val="0"/>
              <w:rPr>
                <w:rFonts w:hAnsi="宋体"/>
                <w:szCs w:val="21"/>
              </w:rPr>
            </w:pPr>
            <w:r>
              <w:rPr>
                <w:rFonts w:hAnsi="宋体"/>
                <w:szCs w:val="21"/>
              </w:rPr>
              <w:t>要求</w:t>
            </w:r>
          </w:p>
        </w:tc>
        <w:tc>
          <w:tcPr>
            <w:tcW w:w="197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outlineLvl w:val="0"/>
              <w:rPr>
                <w:rFonts w:hAnsi="宋体"/>
                <w:szCs w:val="21"/>
              </w:rPr>
            </w:pPr>
            <w:r>
              <w:rPr>
                <w:rFonts w:hAnsi="宋体"/>
                <w:szCs w:val="21"/>
              </w:rPr>
              <w:t>设备名称</w:t>
            </w:r>
          </w:p>
        </w:tc>
        <w:tc>
          <w:tcPr>
            <w:tcW w:w="180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outlineLvl w:val="0"/>
              <w:rPr>
                <w:rFonts w:hAnsi="宋体"/>
                <w:szCs w:val="21"/>
              </w:rPr>
            </w:pPr>
            <w:r>
              <w:rPr>
                <w:rFonts w:hAnsi="宋体"/>
                <w:szCs w:val="21"/>
              </w:rPr>
              <w:t>性能及指标</w:t>
            </w: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outlineLvl w:val="0"/>
              <w:rPr>
                <w:rFonts w:hAnsi="宋体"/>
              </w:rPr>
            </w:pPr>
            <w:r>
              <w:rPr>
                <w:rFonts w:hint="eastAsia" w:hAnsi="宋体"/>
              </w:rPr>
              <w:t>一</w:t>
            </w:r>
            <w:r>
              <w:rPr>
                <w:rFonts w:hAnsi="宋体"/>
              </w:rPr>
              <w:t>、</w:t>
            </w:r>
          </w:p>
          <w:p>
            <w:pPr>
              <w:pStyle w:val="20"/>
              <w:snapToGrid w:val="0"/>
              <w:spacing w:beforeLines="0" w:afterLines="0" w:line="360" w:lineRule="auto"/>
              <w:outlineLvl w:val="0"/>
              <w:rPr>
                <w:rFonts w:hAnsi="宋体"/>
                <w:szCs w:val="21"/>
              </w:rPr>
            </w:pPr>
            <w:r>
              <w:rPr>
                <w:rFonts w:hAnsi="宋体"/>
              </w:rPr>
              <w:t>性能及技术指标</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outlineLvl w:val="0"/>
              <w:rPr>
                <w:rFonts w:hAnsi="宋体"/>
                <w:szCs w:val="21"/>
              </w:rPr>
            </w:pPr>
            <w:r>
              <w:rPr>
                <w:rFonts w:hAnsi="宋体"/>
                <w:szCs w:val="21"/>
              </w:rPr>
              <w:t>主要技术指标</w:t>
            </w:r>
          </w:p>
        </w:tc>
        <w:tc>
          <w:tcPr>
            <w:tcW w:w="2361"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outlineLvl w:val="0"/>
              <w:rPr>
                <w:rFonts w:hAnsi="宋体"/>
                <w:szCs w:val="21"/>
              </w:rPr>
            </w:pPr>
            <w:r>
              <w:rPr>
                <w:rFonts w:hAnsi="宋体"/>
                <w:szCs w:val="21"/>
              </w:rPr>
              <w:t>1、</w:t>
            </w:r>
          </w:p>
        </w:tc>
        <w:tc>
          <w:tcPr>
            <w:tcW w:w="197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6"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 w:val="24"/>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 w:val="24"/>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szCs w:val="21"/>
              </w:rPr>
            </w:pPr>
            <w:r>
              <w:rPr>
                <w:rFonts w:hAnsi="宋体"/>
                <w:szCs w:val="21"/>
              </w:rPr>
              <w:t>2、</w:t>
            </w:r>
          </w:p>
        </w:tc>
        <w:tc>
          <w:tcPr>
            <w:tcW w:w="197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 w:val="24"/>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 w:val="24"/>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outlineLvl w:val="0"/>
              <w:rPr>
                <w:rFonts w:hAnsi="宋体"/>
              </w:rPr>
            </w:pPr>
            <w:r>
              <w:rPr>
                <w:rFonts w:hAnsi="宋体"/>
              </w:rPr>
              <w:t>3、</w:t>
            </w:r>
          </w:p>
        </w:tc>
        <w:tc>
          <w:tcPr>
            <w:tcW w:w="197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rPr>
            </w:pPr>
          </w:p>
        </w:tc>
        <w:tc>
          <w:tcPr>
            <w:tcW w:w="180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rPr>
            </w:pPr>
          </w:p>
        </w:tc>
        <w:tc>
          <w:tcPr>
            <w:tcW w:w="835"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6"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2361"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r>
              <w:rPr>
                <w:rFonts w:hAnsi="宋体"/>
                <w:szCs w:val="21"/>
              </w:rPr>
              <w:t>...</w:t>
            </w:r>
          </w:p>
        </w:tc>
        <w:tc>
          <w:tcPr>
            <w:tcW w:w="197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2361"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r>
              <w:rPr>
                <w:rFonts w:hAnsi="宋体"/>
                <w:szCs w:val="21"/>
              </w:rPr>
              <w:t>N</w:t>
            </w:r>
          </w:p>
        </w:tc>
        <w:tc>
          <w:tcPr>
            <w:tcW w:w="197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720" w:type="dxa"/>
            <w:vMerge w:val="restart"/>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r>
              <w:rPr>
                <w:rFonts w:hAnsi="宋体"/>
                <w:szCs w:val="21"/>
              </w:rPr>
              <w:t>次要指标</w:t>
            </w:r>
          </w:p>
        </w:tc>
        <w:tc>
          <w:tcPr>
            <w:tcW w:w="2361"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r>
              <w:rPr>
                <w:rFonts w:hAnsi="宋体"/>
                <w:szCs w:val="21"/>
              </w:rPr>
              <w:t>1</w:t>
            </w:r>
          </w:p>
        </w:tc>
        <w:tc>
          <w:tcPr>
            <w:tcW w:w="197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 w:val="24"/>
                <w:szCs w:val="21"/>
              </w:rPr>
            </w:pPr>
          </w:p>
        </w:tc>
        <w:tc>
          <w:tcPr>
            <w:tcW w:w="2361"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r>
              <w:rPr>
                <w:rFonts w:hAnsi="宋体"/>
                <w:szCs w:val="21"/>
              </w:rPr>
              <w:t>...</w:t>
            </w:r>
          </w:p>
        </w:tc>
        <w:tc>
          <w:tcPr>
            <w:tcW w:w="197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2361"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p>
        </w:tc>
        <w:tc>
          <w:tcPr>
            <w:tcW w:w="197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548" w:type="dxa"/>
            <w:gridSpan w:val="2"/>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r>
              <w:rPr>
                <w:rFonts w:hAnsi="宋体"/>
              </w:rPr>
              <w:t>二</w:t>
            </w:r>
            <w:r>
              <w:rPr>
                <w:rFonts w:hAnsi="宋体"/>
                <w:szCs w:val="21"/>
              </w:rPr>
              <w:t>、质量标准</w:t>
            </w:r>
          </w:p>
        </w:tc>
        <w:tc>
          <w:tcPr>
            <w:tcW w:w="2361"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r>
              <w:rPr>
                <w:rFonts w:hAnsi="宋体"/>
                <w:szCs w:val="21"/>
              </w:rPr>
              <w:t>（国家标准、行业标准、地区标准等）</w:t>
            </w:r>
          </w:p>
        </w:tc>
        <w:tc>
          <w:tcPr>
            <w:tcW w:w="197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548" w:type="dxa"/>
            <w:gridSpan w:val="2"/>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szCs w:val="21"/>
              </w:rPr>
            </w:pPr>
            <w:r>
              <w:rPr>
                <w:rFonts w:hAnsi="宋体"/>
                <w:szCs w:val="21"/>
              </w:rPr>
              <w:t>...</w:t>
            </w:r>
          </w:p>
        </w:tc>
        <w:tc>
          <w:tcPr>
            <w:tcW w:w="2361"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rPr>
            </w:pPr>
          </w:p>
        </w:tc>
        <w:tc>
          <w:tcPr>
            <w:tcW w:w="197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rPr>
            </w:pPr>
          </w:p>
        </w:tc>
        <w:tc>
          <w:tcPr>
            <w:tcW w:w="180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rPr>
            </w:pPr>
          </w:p>
        </w:tc>
        <w:tc>
          <w:tcPr>
            <w:tcW w:w="835"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rPr>
            </w:pPr>
          </w:p>
        </w:tc>
      </w:tr>
    </w:tbl>
    <w:p>
      <w:pPr>
        <w:pStyle w:val="13"/>
        <w:spacing w:before="0" w:after="0" w:line="360" w:lineRule="auto"/>
        <w:rPr>
          <w:rFonts w:ascii="宋体" w:eastAsia="宋体"/>
          <w:spacing w:val="20"/>
        </w:rPr>
      </w:pPr>
      <w:r>
        <w:rPr>
          <w:rFonts w:hint="eastAsia" w:ascii="宋体" w:eastAsia="宋体"/>
        </w:rPr>
        <w:t>注：投标人应根据投标设备的性能指标、对照招标文件要求在“偏离情况”栏注明“正偏离”、“负偏离”或“无偏离”。</w:t>
      </w:r>
    </w:p>
    <w:p>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pPr>
        <w:snapToGrid w:val="0"/>
        <w:spacing w:line="360" w:lineRule="auto"/>
        <w:rPr>
          <w:rFonts w:ascii="宋体" w:hAnsi="宋体"/>
          <w:spacing w:val="20"/>
          <w:sz w:val="24"/>
        </w:rPr>
      </w:pPr>
      <w:r>
        <w:rPr>
          <w:rFonts w:hint="eastAsia" w:ascii="宋体" w:hAnsi="宋体"/>
          <w:spacing w:val="20"/>
          <w:sz w:val="24"/>
        </w:rPr>
        <w:t>投标人盖章：日 期：</w:t>
      </w:r>
    </w:p>
    <w:p>
      <w:pPr>
        <w:snapToGrid w:val="0"/>
        <w:spacing w:line="360" w:lineRule="auto"/>
        <w:jc w:val="left"/>
        <w:rPr>
          <w:rFonts w:ascii="宋体" w:hAnsi="宋体"/>
          <w:sz w:val="24"/>
          <w:szCs w:val="20"/>
        </w:rPr>
      </w:pPr>
    </w:p>
    <w:p>
      <w:pPr>
        <w:pStyle w:val="44"/>
      </w:pPr>
    </w:p>
    <w:p/>
    <w:p>
      <w:pPr>
        <w:snapToGrid w:val="0"/>
        <w:spacing w:line="360" w:lineRule="auto"/>
        <w:jc w:val="left"/>
        <w:rPr>
          <w:rFonts w:ascii="宋体" w:hAnsi="宋体"/>
          <w:sz w:val="24"/>
          <w:szCs w:val="20"/>
        </w:rPr>
      </w:pPr>
      <w:r>
        <w:rPr>
          <w:rFonts w:hint="eastAsia" w:ascii="宋体" w:hAnsi="宋体"/>
          <w:sz w:val="24"/>
        </w:rPr>
        <w:t>1</w:t>
      </w:r>
      <w:r>
        <w:rPr>
          <w:rFonts w:hint="eastAsia" w:ascii="宋体" w:hAnsi="宋体"/>
          <w:sz w:val="24"/>
          <w:lang w:val="en-US" w:eastAsia="zh-CN"/>
        </w:rPr>
        <w:t>9.</w:t>
      </w:r>
      <w:r>
        <w:rPr>
          <w:rFonts w:hint="eastAsia" w:ascii="宋体" w:hAnsi="宋体"/>
          <w:sz w:val="24"/>
        </w:rPr>
        <w:t>项目实施人员一览表格式：</w:t>
      </w:r>
    </w:p>
    <w:p>
      <w:pPr>
        <w:snapToGrid w:val="0"/>
        <w:spacing w:line="360" w:lineRule="auto"/>
        <w:jc w:val="center"/>
        <w:rPr>
          <w:rFonts w:ascii="宋体" w:hAnsi="宋体"/>
          <w:b/>
          <w:sz w:val="24"/>
          <w:szCs w:val="20"/>
        </w:rPr>
      </w:pPr>
      <w:r>
        <w:rPr>
          <w:rFonts w:hint="eastAsia" w:ascii="宋体" w:hAnsi="宋体"/>
          <w:b/>
          <w:sz w:val="24"/>
        </w:rPr>
        <w:t>项目实施人员（主要从业人员及其技术资格）一览表</w:t>
      </w:r>
    </w:p>
    <w:p>
      <w:pPr>
        <w:snapToGrid w:val="0"/>
        <w:spacing w:line="360" w:lineRule="auto"/>
        <w:rPr>
          <w:rFonts w:ascii="宋体" w:hAnsi="宋体"/>
          <w:sz w:val="24"/>
          <w:szCs w:val="20"/>
        </w:rPr>
      </w:pPr>
      <w:r>
        <w:rPr>
          <w:rFonts w:hint="eastAsia" w:ascii="宋体" w:hAnsi="宋体"/>
        </w:rPr>
        <w:t>项目名称：</w:t>
      </w:r>
    </w:p>
    <w:tbl>
      <w:tblPr>
        <w:tblStyle w:val="35"/>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sz w:val="24"/>
                <w:szCs w:val="20"/>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sz w:val="24"/>
                <w:szCs w:val="20"/>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sz w:val="24"/>
                <w:szCs w:val="20"/>
              </w:rPr>
            </w:pPr>
            <w:r>
              <w:rPr>
                <w:rFonts w:hint="eastAsia" w:ascii="宋体" w:hAnsi="宋体"/>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sz w:val="24"/>
                <w:szCs w:val="20"/>
              </w:rPr>
            </w:pPr>
            <w:r>
              <w:rPr>
                <w:rFonts w:hint="eastAsia" w:ascii="宋体" w:hAnsi="宋体"/>
                <w:sz w:val="24"/>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bCs/>
                <w:sz w:val="24"/>
                <w:szCs w:val="20"/>
              </w:rPr>
            </w:pPr>
            <w:r>
              <w:rPr>
                <w:rFonts w:hint="eastAsia" w:ascii="宋体" w:hAnsi="宋体"/>
                <w:bCs/>
                <w:sz w:val="24"/>
              </w:rPr>
              <w:t>参加本单位工作时间</w:t>
            </w:r>
          </w:p>
        </w:tc>
        <w:tc>
          <w:tcPr>
            <w:tcW w:w="1980"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bCs/>
                <w:sz w:val="24"/>
                <w:szCs w:val="20"/>
              </w:rPr>
            </w:pPr>
            <w:r>
              <w:rPr>
                <w:rFonts w:hint="eastAsia" w:ascii="宋体" w:hAnsi="宋体"/>
                <w:bCs/>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pStyle w:val="21"/>
              <w:snapToGrid w:val="0"/>
              <w:spacing w:line="360" w:lineRule="auto"/>
              <w:ind w:left="5250"/>
              <w:rPr>
                <w:rFonts w:ascii="宋体" w:hAnsi="宋体" w:eastAsia="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bl>
    <w:p>
      <w:pPr>
        <w:snapToGrid w:val="0"/>
        <w:spacing w:line="360" w:lineRule="auto"/>
        <w:jc w:val="left"/>
        <w:rPr>
          <w:rFonts w:ascii="宋体" w:hAnsi="宋体"/>
          <w:sz w:val="24"/>
          <w:szCs w:val="20"/>
        </w:rPr>
      </w:pPr>
      <w:r>
        <w:rPr>
          <w:rFonts w:hint="eastAsia" w:ascii="宋体" w:hAnsi="宋体"/>
          <w:sz w:val="24"/>
        </w:rPr>
        <w:t>注：在填写时，如本表格不适合投标单位的实际情况，可根据本表格式自行划表填写。</w:t>
      </w:r>
    </w:p>
    <w:p>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pPr>
        <w:snapToGrid w:val="0"/>
        <w:spacing w:line="360" w:lineRule="auto"/>
        <w:jc w:val="left"/>
        <w:rPr>
          <w:rFonts w:ascii="宋体" w:hAnsi="宋体"/>
          <w:spacing w:val="20"/>
          <w:sz w:val="24"/>
          <w:szCs w:val="20"/>
          <w:u w:val="single"/>
        </w:rPr>
      </w:pPr>
      <w:r>
        <w:rPr>
          <w:rFonts w:hint="eastAsia" w:ascii="宋体" w:hAnsi="宋体"/>
          <w:spacing w:val="20"/>
          <w:sz w:val="24"/>
        </w:rPr>
        <w:t>投标人盖章：日期：</w:t>
      </w:r>
    </w:p>
    <w:p>
      <w:pPr>
        <w:snapToGrid w:val="0"/>
        <w:spacing w:line="360" w:lineRule="auto"/>
        <w:jc w:val="left"/>
        <w:rPr>
          <w:rFonts w:ascii="宋体" w:hAnsi="宋体"/>
          <w:sz w:val="24"/>
        </w:rPr>
      </w:pPr>
    </w:p>
    <w:p>
      <w:pPr>
        <w:snapToGrid w:val="0"/>
        <w:spacing w:line="360" w:lineRule="auto"/>
        <w:jc w:val="left"/>
        <w:rPr>
          <w:rFonts w:ascii="宋体" w:hAnsi="宋体"/>
          <w:sz w:val="24"/>
          <w:szCs w:val="20"/>
        </w:rPr>
      </w:pPr>
      <w:r>
        <w:rPr>
          <w:rFonts w:hint="eastAsia" w:ascii="宋体" w:hAnsi="宋体"/>
          <w:sz w:val="24"/>
          <w:lang w:val="en-US" w:eastAsia="zh-CN"/>
        </w:rPr>
        <w:t>20</w:t>
      </w:r>
      <w:r>
        <w:rPr>
          <w:rFonts w:hint="eastAsia" w:ascii="宋体" w:hAnsi="宋体"/>
          <w:sz w:val="24"/>
        </w:rPr>
        <w:t>.投标人对本项目的合理化建议和改进措施（格式自拟）</w:t>
      </w:r>
    </w:p>
    <w:p>
      <w:pPr>
        <w:snapToGrid w:val="0"/>
        <w:spacing w:line="360" w:lineRule="auto"/>
        <w:jc w:val="left"/>
        <w:rPr>
          <w:rFonts w:ascii="宋体" w:hAnsi="宋体"/>
          <w:sz w:val="24"/>
        </w:rPr>
      </w:pPr>
    </w:p>
    <w:p>
      <w:pPr>
        <w:snapToGrid w:val="0"/>
        <w:spacing w:line="360" w:lineRule="auto"/>
        <w:jc w:val="left"/>
        <w:rPr>
          <w:rFonts w:ascii="宋体" w:hAnsi="宋体"/>
          <w:sz w:val="24"/>
          <w:szCs w:val="20"/>
        </w:rPr>
      </w:pPr>
      <w:r>
        <w:rPr>
          <w:rFonts w:hint="eastAsia" w:ascii="宋体" w:hAnsi="宋体"/>
          <w:sz w:val="24"/>
        </w:rPr>
        <w:t>2</w:t>
      </w:r>
      <w:r>
        <w:rPr>
          <w:rFonts w:hint="eastAsia" w:ascii="宋体" w:hAnsi="宋体"/>
          <w:sz w:val="24"/>
          <w:lang w:val="en-US" w:eastAsia="zh-CN"/>
        </w:rPr>
        <w:t>1</w:t>
      </w:r>
      <w:r>
        <w:rPr>
          <w:rFonts w:hint="eastAsia" w:ascii="宋体" w:hAnsi="宋体"/>
          <w:sz w:val="24"/>
        </w:rPr>
        <w:t>.投标人需要说明的其他文件和说明（格式自拟）</w:t>
      </w:r>
    </w:p>
    <w:p>
      <w:pPr>
        <w:snapToGrid w:val="0"/>
        <w:spacing w:line="360" w:lineRule="auto"/>
        <w:jc w:val="left"/>
        <w:rPr>
          <w:rFonts w:ascii="宋体" w:hAnsi="宋体"/>
        </w:rPr>
        <w:sectPr>
          <w:headerReference r:id="rId3" w:type="default"/>
          <w:footerReference r:id="rId4" w:type="default"/>
          <w:footerReference r:id="rId5" w:type="even"/>
          <w:pgSz w:w="11906" w:h="16838"/>
          <w:pgMar w:top="1361" w:right="1247" w:bottom="1361" w:left="1247" w:header="851" w:footer="851" w:gutter="0"/>
          <w:cols w:space="720" w:num="1"/>
          <w:docGrid w:linePitch="312" w:charSpace="0"/>
        </w:sectPr>
      </w:pPr>
    </w:p>
    <w:p>
      <w:pPr>
        <w:snapToGrid w:val="0"/>
        <w:spacing w:line="360" w:lineRule="auto"/>
        <w:jc w:val="left"/>
        <w:rPr>
          <w:rFonts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.投标人的类似成功案例的业绩证明文件：</w:t>
      </w:r>
    </w:p>
    <w:p>
      <w:pPr>
        <w:pStyle w:val="27"/>
        <w:snapToGrid w:val="0"/>
        <w:spacing w:line="360" w:lineRule="auto"/>
        <w:ind w:left="480" w:hanging="480"/>
        <w:rPr>
          <w:rFonts w:ascii="宋体" w:hAnsi="宋体"/>
          <w:sz w:val="24"/>
        </w:rPr>
      </w:pPr>
      <w:r>
        <w:rPr>
          <w:rFonts w:ascii="宋体" w:hAnsi="宋体"/>
          <w:sz w:val="24"/>
        </w:rPr>
        <w:t>投标人同类项目实施情况一览表格式：（投标人同类项目合同复印件）</w:t>
      </w:r>
    </w:p>
    <w:tbl>
      <w:tblPr>
        <w:tblStyle w:val="35"/>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采购</w:t>
            </w:r>
          </w:p>
          <w:p>
            <w:pPr>
              <w:snapToGrid w:val="0"/>
              <w:spacing w:line="360" w:lineRule="auto"/>
              <w:jc w:val="center"/>
              <w:rPr>
                <w:rFonts w:ascii="宋体" w:hAnsi="宋体"/>
                <w:sz w:val="18"/>
                <w:szCs w:val="20"/>
              </w:rPr>
            </w:pPr>
            <w:r>
              <w:rPr>
                <w:rFonts w:hint="eastAsia" w:ascii="宋体" w:hAnsi="宋体"/>
                <w:sz w:val="1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合同</w:t>
            </w:r>
          </w:p>
          <w:p>
            <w:pPr>
              <w:snapToGrid w:val="0"/>
              <w:spacing w:line="360" w:lineRule="auto"/>
              <w:jc w:val="center"/>
              <w:rPr>
                <w:rFonts w:ascii="宋体" w:hAnsi="宋体"/>
                <w:sz w:val="18"/>
                <w:szCs w:val="20"/>
              </w:rPr>
            </w:pPr>
            <w:r>
              <w:rPr>
                <w:rFonts w:hint="eastAsia" w:ascii="宋体" w:hAnsi="宋体"/>
                <w:sz w:val="18"/>
              </w:rPr>
              <w:t>金额</w:t>
            </w:r>
          </w:p>
          <w:p>
            <w:pPr>
              <w:snapToGrid w:val="0"/>
              <w:spacing w:line="360" w:lineRule="auto"/>
              <w:jc w:val="center"/>
              <w:rPr>
                <w:rFonts w:ascii="宋体" w:hAnsi="宋体"/>
                <w:sz w:val="18"/>
                <w:szCs w:val="20"/>
              </w:rPr>
            </w:pPr>
            <w:r>
              <w:rPr>
                <w:rFonts w:hint="eastAsia" w:ascii="宋体" w:hAnsi="宋体"/>
                <w:sz w:val="18"/>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采购单位联系人及</w:t>
            </w:r>
          </w:p>
          <w:p>
            <w:pPr>
              <w:snapToGrid w:val="0"/>
              <w:spacing w:line="360" w:lineRule="auto"/>
              <w:jc w:val="center"/>
              <w:rPr>
                <w:rFonts w:ascii="宋体" w:hAnsi="宋体"/>
                <w:sz w:val="18"/>
                <w:szCs w:val="20"/>
              </w:rPr>
            </w:pPr>
            <w:r>
              <w:rPr>
                <w:rFonts w:hint="eastAsia" w:ascii="宋体" w:hAnsi="宋体"/>
                <w:sz w:val="18"/>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bl>
    <w:p>
      <w:pPr>
        <w:pStyle w:val="10"/>
        <w:snapToGrid w:val="0"/>
        <w:spacing w:before="0" w:after="0" w:line="360" w:lineRule="auto"/>
        <w:rPr>
          <w:rFonts w:ascii="宋体" w:hAnsi="宋体" w:eastAsia="宋体"/>
          <w:sz w:val="24"/>
        </w:rPr>
      </w:pPr>
    </w:p>
    <w:p>
      <w:pPr>
        <w:pStyle w:val="10"/>
        <w:snapToGrid w:val="0"/>
        <w:spacing w:before="0" w:after="0" w:line="360" w:lineRule="auto"/>
        <w:ind w:firstLine="600" w:firstLineChars="250"/>
        <w:rPr>
          <w:rFonts w:ascii="宋体" w:hAnsi="宋体" w:eastAsia="宋体"/>
          <w:sz w:val="24"/>
          <w:u w:val="single"/>
        </w:rPr>
      </w:pPr>
      <w:r>
        <w:rPr>
          <w:rFonts w:hint="eastAsia" w:ascii="宋体" w:hAnsi="宋体" w:eastAsia="宋体"/>
          <w:sz w:val="24"/>
        </w:rPr>
        <w:t>法定代表人签字：</w:t>
      </w:r>
      <w:r>
        <w:rPr>
          <w:rFonts w:hint="eastAsia" w:ascii="宋体" w:hAnsi="宋体" w:eastAsia="宋体"/>
          <w:sz w:val="24"/>
          <w:u w:val="single"/>
        </w:rPr>
        <w:t>　　　　　</w:t>
      </w:r>
    </w:p>
    <w:p>
      <w:pPr>
        <w:snapToGrid w:val="0"/>
        <w:spacing w:line="360" w:lineRule="auto"/>
        <w:ind w:firstLine="480" w:firstLineChars="200"/>
        <w:jc w:val="left"/>
        <w:rPr>
          <w:rFonts w:ascii="宋体" w:hAnsi="宋体"/>
          <w:sz w:val="24"/>
        </w:rPr>
      </w:pPr>
      <w:r>
        <w:rPr>
          <w:rFonts w:hint="eastAsia" w:ascii="宋体" w:hAnsi="宋体"/>
          <w:sz w:val="24"/>
        </w:rPr>
        <w:t>投标人公章：年月日</w:t>
      </w:r>
    </w:p>
    <w:p>
      <w:pPr>
        <w:snapToGrid w:val="0"/>
        <w:spacing w:line="360" w:lineRule="auto"/>
        <w:ind w:firstLine="480" w:firstLineChars="200"/>
        <w:jc w:val="left"/>
        <w:rPr>
          <w:rFonts w:ascii="仿宋_GB2312" w:eastAsia="仿宋_GB2312"/>
          <w:sz w:val="24"/>
        </w:rPr>
      </w:pPr>
    </w:p>
    <w:p>
      <w:pPr>
        <w:snapToGrid w:val="0"/>
        <w:spacing w:line="360" w:lineRule="auto"/>
        <w:jc w:val="left"/>
        <w:rPr>
          <w:rFonts w:ascii="宋体" w:hAnsi="宋体"/>
          <w:sz w:val="24"/>
        </w:rPr>
        <w:sectPr>
          <w:pgSz w:w="16838" w:h="11906" w:orient="landscape"/>
          <w:pgMar w:top="1797" w:right="1474" w:bottom="1797" w:left="1247" w:header="851" w:footer="851" w:gutter="0"/>
          <w:cols w:space="720" w:num="1"/>
          <w:docGrid w:linePitch="312" w:charSpace="0"/>
        </w:sectPr>
      </w:pPr>
    </w:p>
    <w:p>
      <w:pPr>
        <w:snapToGrid w:val="0"/>
        <w:spacing w:line="360" w:lineRule="auto"/>
        <w:ind w:firstLine="480" w:firstLineChars="200"/>
        <w:jc w:val="left"/>
        <w:rPr>
          <w:rFonts w:ascii="宋体" w:hAnsi="宋体"/>
          <w:i/>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.距采购人最近或者能为本项目提供最优服务的网点情况表</w:t>
      </w:r>
    </w:p>
    <w:tbl>
      <w:tblPr>
        <w:tblStyle w:val="35"/>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投标文件</w:t>
            </w:r>
          </w:p>
          <w:p>
            <w:pPr>
              <w:snapToGrid w:val="0"/>
              <w:spacing w:line="360" w:lineRule="auto"/>
              <w:jc w:val="center"/>
              <w:rPr>
                <w:rFonts w:ascii="宋体" w:hAnsi="宋体"/>
                <w:sz w:val="24"/>
                <w:szCs w:val="20"/>
              </w:rPr>
            </w:pPr>
            <w:r>
              <w:rPr>
                <w:rFonts w:hint="eastAsia" w:ascii="宋体" w:hAnsi="宋体"/>
                <w:sz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地址</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其中：投标人出资比例</w:t>
            </w:r>
          </w:p>
        </w:tc>
        <w:tc>
          <w:tcPr>
            <w:tcW w:w="143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line="360" w:lineRule="auto"/>
              <w:ind w:left="60"/>
              <w:jc w:val="left"/>
              <w:rPr>
                <w:rFonts w:ascii="宋体" w:hAnsi="宋体"/>
                <w:sz w:val="24"/>
                <w:szCs w:val="20"/>
              </w:rPr>
            </w:pPr>
            <w:r>
              <w:rPr>
                <w:rFonts w:hint="eastAsia" w:ascii="宋体" w:hAnsi="宋体"/>
                <w:sz w:val="24"/>
              </w:rPr>
              <w:t>其中：技术人员数</w:t>
            </w:r>
          </w:p>
        </w:tc>
        <w:tc>
          <w:tcPr>
            <w:tcW w:w="143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经营期限</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工作业绩</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服务承诺</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line="360" w:lineRule="auto"/>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pPr>
              <w:snapToGrid w:val="0"/>
              <w:spacing w:line="360" w:lineRule="auto"/>
              <w:ind w:firstLine="240" w:firstLineChars="100"/>
              <w:jc w:val="left"/>
              <w:rPr>
                <w:rFonts w:ascii="宋体" w:hAnsi="宋体"/>
                <w:sz w:val="24"/>
                <w:szCs w:val="20"/>
              </w:rPr>
            </w:pPr>
            <w:r>
              <w:rPr>
                <w:rFonts w:hint="eastAsia" w:ascii="宋体" w:hAnsi="宋体"/>
                <w:sz w:val="24"/>
              </w:rPr>
              <w:t>传</w:t>
            </w:r>
            <w:r>
              <w:rPr>
                <w:rFonts w:ascii="宋体" w:hAnsi="宋体"/>
                <w:sz w:val="24"/>
              </w:rPr>
              <w:t xml:space="preserve"> 真</w:t>
            </w:r>
          </w:p>
        </w:tc>
        <w:tc>
          <w:tcPr>
            <w:tcW w:w="2323" w:type="dxa"/>
            <w:gridSpan w:val="2"/>
            <w:tcBorders>
              <w:top w:val="single" w:color="auto" w:sz="4" w:space="0"/>
              <w:left w:val="single" w:color="auto" w:sz="2" w:space="0"/>
              <w:bottom w:val="single" w:color="auto" w:sz="4" w:space="0"/>
              <w:right w:val="single" w:color="auto" w:sz="2"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2"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负责人</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line="360" w:lineRule="auto"/>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pPr>
              <w:snapToGrid w:val="0"/>
              <w:spacing w:line="360" w:lineRule="auto"/>
              <w:jc w:val="left"/>
              <w:rPr>
                <w:rFonts w:ascii="宋体" w:hAnsi="宋体"/>
                <w:sz w:val="24"/>
                <w:szCs w:val="20"/>
              </w:rPr>
            </w:pPr>
            <w:r>
              <w:rPr>
                <w:rFonts w:hint="eastAsia" w:ascii="宋体" w:hAnsi="宋体"/>
                <w:sz w:val="24"/>
              </w:rPr>
              <w:t>联系电话</w:t>
            </w:r>
          </w:p>
        </w:tc>
        <w:tc>
          <w:tcPr>
            <w:tcW w:w="2323" w:type="dxa"/>
            <w:gridSpan w:val="2"/>
            <w:tcBorders>
              <w:top w:val="single" w:color="auto" w:sz="4" w:space="0"/>
              <w:left w:val="single" w:color="auto" w:sz="2"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bl>
    <w:p>
      <w:pPr>
        <w:pStyle w:val="10"/>
        <w:snapToGrid w:val="0"/>
        <w:spacing w:before="0" w:after="0" w:line="360" w:lineRule="auto"/>
        <w:rPr>
          <w:rFonts w:ascii="宋体" w:hAnsi="宋体" w:eastAsia="宋体"/>
          <w:sz w:val="24"/>
          <w:u w:val="single"/>
        </w:rPr>
      </w:pPr>
      <w:r>
        <w:rPr>
          <w:rFonts w:hint="eastAsia" w:ascii="宋体" w:hAnsi="宋体" w:eastAsia="宋体"/>
          <w:sz w:val="24"/>
        </w:rPr>
        <w:t>授权代表签字：</w:t>
      </w:r>
      <w:r>
        <w:rPr>
          <w:rFonts w:hint="eastAsia" w:ascii="宋体" w:hAnsi="宋体" w:eastAsia="宋体"/>
          <w:sz w:val="24"/>
          <w:u w:val="single"/>
        </w:rPr>
        <w:t>　　　　　</w:t>
      </w:r>
    </w:p>
    <w:p>
      <w:pPr>
        <w:pStyle w:val="14"/>
        <w:snapToGrid w:val="0"/>
        <w:spacing w:after="0" w:line="360" w:lineRule="auto"/>
        <w:rPr>
          <w:rFonts w:ascii="宋体" w:hAnsi="宋体"/>
          <w:sz w:val="24"/>
        </w:rPr>
      </w:pPr>
      <w:r>
        <w:rPr>
          <w:rFonts w:hint="eastAsia" w:ascii="宋体" w:hAnsi="宋体"/>
          <w:sz w:val="24"/>
        </w:rPr>
        <w:t>投标人公章：　 年月　 日</w:t>
      </w:r>
    </w:p>
    <w:p>
      <w:pPr>
        <w:snapToGrid w:val="0"/>
        <w:spacing w:line="360" w:lineRule="auto"/>
        <w:ind w:firstLine="480" w:firstLineChars="200"/>
        <w:jc w:val="left"/>
        <w:rPr>
          <w:rFonts w:ascii="宋体" w:hAnsi="宋体"/>
          <w:sz w:val="24"/>
          <w:szCs w:val="20"/>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r>
        <w:rPr>
          <w:rFonts w:hint="eastAsia" w:ascii="宋体" w:hAnsi="宋体"/>
          <w:sz w:val="24"/>
        </w:rPr>
        <w:t>2</w:t>
      </w:r>
      <w:r>
        <w:rPr>
          <w:rFonts w:hint="eastAsia" w:ascii="宋体" w:hAnsi="宋体"/>
          <w:sz w:val="24"/>
          <w:lang w:val="en-US" w:eastAsia="zh-CN"/>
        </w:rPr>
        <w:t>4</w:t>
      </w:r>
      <w:r>
        <w:rPr>
          <w:rFonts w:hint="eastAsia" w:ascii="宋体" w:hAnsi="宋体"/>
          <w:sz w:val="24"/>
        </w:rPr>
        <w:t>.</w:t>
      </w:r>
      <w:r>
        <w:rPr>
          <w:rFonts w:ascii="宋体" w:hAnsi="宋体"/>
          <w:sz w:val="24"/>
        </w:rPr>
        <w:t>权威认证证书</w:t>
      </w:r>
      <w:r>
        <w:rPr>
          <w:rFonts w:hint="eastAsia" w:ascii="宋体" w:hAnsi="宋体"/>
          <w:sz w:val="24"/>
        </w:rPr>
        <w:t>复印件</w:t>
      </w:r>
    </w:p>
    <w:p>
      <w:pPr>
        <w:snapToGrid w:val="0"/>
        <w:spacing w:line="360" w:lineRule="auto"/>
        <w:jc w:val="left"/>
        <w:rPr>
          <w:rFonts w:ascii="宋体" w:hAnsi="宋体"/>
          <w:sz w:val="24"/>
        </w:rPr>
      </w:pPr>
    </w:p>
    <w:p>
      <w:pPr>
        <w:pStyle w:val="14"/>
      </w:pPr>
    </w:p>
    <w:p>
      <w:pPr>
        <w:pStyle w:val="14"/>
      </w:pPr>
    </w:p>
    <w:p>
      <w:pPr>
        <w:pStyle w:val="43"/>
        <w:rPr>
          <w:color w:val="auto"/>
        </w:rPr>
      </w:pPr>
    </w:p>
    <w:p>
      <w:pPr>
        <w:snapToGrid w:val="0"/>
        <w:spacing w:line="360" w:lineRule="auto"/>
        <w:jc w:val="left"/>
        <w:rPr>
          <w:rFonts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.投标人认为可以证明其能力或业绩的其他材料（格式自拟）</w:t>
      </w:r>
    </w:p>
    <w:p>
      <w:pPr>
        <w:pStyle w:val="14"/>
      </w:pPr>
    </w:p>
    <w:p>
      <w:pPr>
        <w:pStyle w:val="43"/>
        <w:rPr>
          <w:color w:val="auto"/>
        </w:rPr>
      </w:pPr>
    </w:p>
    <w:p>
      <w:pPr>
        <w:pStyle w:val="43"/>
        <w:rPr>
          <w:color w:val="auto"/>
        </w:rPr>
      </w:pPr>
    </w:p>
    <w:p>
      <w:pPr>
        <w:pStyle w:val="44"/>
      </w:pPr>
    </w:p>
    <w:p/>
    <w:p>
      <w:pPr>
        <w:snapToGrid w:val="0"/>
        <w:spacing w:line="360" w:lineRule="auto"/>
        <w:jc w:val="left"/>
        <w:rPr>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.投标人情况介绍</w:t>
      </w:r>
    </w:p>
    <w:p>
      <w:pPr>
        <w:pStyle w:val="14"/>
      </w:pPr>
    </w:p>
    <w:p/>
    <w:p>
      <w:pPr>
        <w:pStyle w:val="14"/>
      </w:pPr>
    </w:p>
    <w:p>
      <w:pPr>
        <w:pStyle w:val="43"/>
        <w:rPr>
          <w:color w:val="auto"/>
        </w:rPr>
      </w:pPr>
    </w:p>
    <w:p>
      <w:pPr>
        <w:pStyle w:val="14"/>
      </w:pPr>
    </w:p>
    <w:p>
      <w:pPr>
        <w:snapToGrid w:val="0"/>
        <w:spacing w:line="360" w:lineRule="auto"/>
        <w:jc w:val="left"/>
        <w:rPr>
          <w:rFonts w:ascii="宋体" w:hAnsi="宋体"/>
          <w:sz w:val="24"/>
          <w:szCs w:val="20"/>
        </w:rPr>
      </w:pPr>
      <w:r>
        <w:rPr>
          <w:rFonts w:hint="eastAsia" w:ascii="宋体" w:hAnsi="宋体"/>
          <w:sz w:val="24"/>
        </w:rPr>
        <w:t>2</w:t>
      </w:r>
      <w:r>
        <w:rPr>
          <w:rFonts w:hint="eastAsia" w:ascii="宋体" w:hAnsi="宋体"/>
          <w:sz w:val="24"/>
          <w:lang w:val="en-US" w:eastAsia="zh-CN"/>
        </w:rPr>
        <w:t>7</w:t>
      </w:r>
      <w:r>
        <w:rPr>
          <w:rFonts w:hint="eastAsia" w:ascii="宋体" w:hAnsi="宋体"/>
          <w:sz w:val="24"/>
        </w:rPr>
        <w:t>.商务响应表格式：</w:t>
      </w:r>
    </w:p>
    <w:p>
      <w:pPr>
        <w:snapToGrid w:val="0"/>
        <w:spacing w:line="360" w:lineRule="auto"/>
        <w:jc w:val="left"/>
        <w:rPr>
          <w:rFonts w:ascii="宋体" w:hAnsi="宋体"/>
          <w:sz w:val="24"/>
          <w:szCs w:val="20"/>
          <w:u w:val="single"/>
        </w:rPr>
      </w:pPr>
      <w:r>
        <w:rPr>
          <w:rFonts w:hint="eastAsia" w:ascii="宋体" w:hAnsi="宋体"/>
          <w:sz w:val="24"/>
        </w:rPr>
        <w:t>项目名称：</w:t>
      </w:r>
    </w:p>
    <w:tbl>
      <w:tblPr>
        <w:tblStyle w:val="35"/>
        <w:tblW w:w="9633"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5854"/>
        <w:gridCol w:w="867"/>
        <w:gridCol w:w="14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r>
              <w:rPr>
                <w:rFonts w:hint="eastAsia" w:ascii="宋体" w:hAnsi="宋体"/>
                <w:sz w:val="24"/>
              </w:rPr>
              <w:t>项目</w:t>
            </w:r>
          </w:p>
        </w:tc>
        <w:tc>
          <w:tcPr>
            <w:tcW w:w="585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r>
              <w:rPr>
                <w:rFonts w:hint="eastAsia" w:ascii="宋体" w:hAnsi="宋体"/>
                <w:sz w:val="24"/>
              </w:rPr>
              <w:t>招标文件要求</w:t>
            </w:r>
          </w:p>
        </w:tc>
        <w:tc>
          <w:tcPr>
            <w:tcW w:w="86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r>
              <w:rPr>
                <w:rFonts w:hint="eastAsia" w:ascii="宋体" w:hAnsi="宋体"/>
                <w:sz w:val="24"/>
              </w:rPr>
              <w:t>是否响应</w:t>
            </w:r>
          </w:p>
        </w:tc>
        <w:tc>
          <w:tcPr>
            <w:tcW w:w="149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r>
              <w:rPr>
                <w:rFonts w:hint="eastAsia" w:ascii="宋体" w:hAnsi="宋体"/>
                <w:sz w:val="24"/>
              </w:rPr>
              <w:t>质保期</w:t>
            </w:r>
          </w:p>
        </w:tc>
        <w:tc>
          <w:tcPr>
            <w:tcW w:w="585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r>
              <w:rPr>
                <w:rFonts w:hint="eastAsia" w:ascii="宋体" w:hAnsi="宋体"/>
                <w:sz w:val="24"/>
              </w:rPr>
              <w:t>▲</w:t>
            </w:r>
            <w:r>
              <w:rPr>
                <w:rFonts w:ascii="宋体" w:hAnsi="宋体"/>
                <w:sz w:val="24"/>
              </w:rPr>
              <w:t>验收合格</w:t>
            </w:r>
            <w:r>
              <w:rPr>
                <w:rFonts w:hint="eastAsia" w:ascii="宋体" w:hAnsi="宋体"/>
                <w:sz w:val="24"/>
              </w:rPr>
              <w:t>后，质保期为1年。（具体产品保修期见招标需求）</w:t>
            </w:r>
          </w:p>
        </w:tc>
        <w:tc>
          <w:tcPr>
            <w:tcW w:w="86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49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r>
              <w:rPr>
                <w:rFonts w:hint="eastAsia" w:ascii="宋体" w:hAnsi="宋体"/>
                <w:sz w:val="24"/>
              </w:rPr>
              <w:t>售后技术服务要求</w:t>
            </w:r>
          </w:p>
        </w:tc>
        <w:tc>
          <w:tcPr>
            <w:tcW w:w="5854" w:type="dxa"/>
            <w:tcBorders>
              <w:top w:val="single" w:color="auto" w:sz="4" w:space="0"/>
              <w:left w:val="single" w:color="auto" w:sz="4" w:space="0"/>
              <w:bottom w:val="single" w:color="auto" w:sz="4" w:space="0"/>
              <w:right w:val="single" w:color="auto" w:sz="4" w:space="0"/>
            </w:tcBorders>
          </w:tcPr>
          <w:p>
            <w:pPr>
              <w:tabs>
                <w:tab w:val="left" w:pos="3870"/>
                <w:tab w:val="left" w:pos="4085"/>
              </w:tabs>
              <w:snapToGrid w:val="0"/>
              <w:spacing w:line="440" w:lineRule="exact"/>
              <w:jc w:val="left"/>
              <w:rPr>
                <w:rFonts w:ascii="宋体" w:hAnsi="宋体"/>
                <w:sz w:val="24"/>
              </w:rPr>
            </w:pPr>
            <w:r>
              <w:rPr>
                <w:rFonts w:hint="eastAsia" w:ascii="宋体" w:hAnsi="宋体"/>
                <w:sz w:val="24"/>
              </w:rPr>
              <w:t>▲供应商在接到采购人通知后，2个工作日内派人赴现场处理设备质量问题。4个工作日内不能修复的，则无偿提供备机或备用零件供采购人使用。</w:t>
            </w:r>
          </w:p>
        </w:tc>
        <w:tc>
          <w:tcPr>
            <w:tcW w:w="86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49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r>
              <w:rPr>
                <w:rFonts w:hint="eastAsia" w:ascii="宋体" w:hAnsi="宋体"/>
                <w:sz w:val="24"/>
              </w:rPr>
              <w:t>交货时间及地点</w:t>
            </w:r>
          </w:p>
        </w:tc>
        <w:tc>
          <w:tcPr>
            <w:tcW w:w="58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 xml:space="preserve">▲合同签订后30天内交货并完成安装；地点：采购人指定地点。 </w:t>
            </w:r>
          </w:p>
        </w:tc>
        <w:tc>
          <w:tcPr>
            <w:tcW w:w="867" w:type="dxa"/>
            <w:tcBorders>
              <w:top w:val="single" w:color="auto" w:sz="4" w:space="0"/>
              <w:left w:val="single" w:color="auto" w:sz="4" w:space="0"/>
              <w:bottom w:val="single" w:color="auto" w:sz="4" w:space="0"/>
              <w:right w:val="single" w:color="auto" w:sz="4" w:space="0"/>
            </w:tcBorders>
          </w:tcPr>
          <w:p>
            <w:pPr>
              <w:snapToGrid w:val="0"/>
              <w:spacing w:line="360" w:lineRule="auto"/>
              <w:ind w:left="43"/>
              <w:rPr>
                <w:rFonts w:ascii="宋体" w:hAnsi="宋体"/>
                <w:sz w:val="24"/>
                <w:szCs w:val="20"/>
              </w:rPr>
            </w:pPr>
          </w:p>
        </w:tc>
        <w:tc>
          <w:tcPr>
            <w:tcW w:w="1494" w:type="dxa"/>
            <w:tcBorders>
              <w:top w:val="single" w:color="auto" w:sz="4" w:space="0"/>
              <w:left w:val="single" w:color="auto" w:sz="4" w:space="0"/>
              <w:bottom w:val="single" w:color="auto" w:sz="4" w:space="0"/>
              <w:right w:val="single" w:color="auto" w:sz="4" w:space="0"/>
            </w:tcBorders>
          </w:tcPr>
          <w:p>
            <w:pPr>
              <w:snapToGrid w:val="0"/>
              <w:spacing w:line="360" w:lineRule="auto"/>
              <w:ind w:left="43"/>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履约保证金</w:t>
            </w:r>
          </w:p>
        </w:tc>
        <w:tc>
          <w:tcPr>
            <w:tcW w:w="58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本项目的履约保证金为合同价的1%；履约保证金形式为：现金或银行、保险公司出具的保函；中标人应根据采购人要求汇入采购人指定账号或提供保函。项目终验合格后，退还履约保证金。采购人单位名称：湖州师范学院；开户行：建行吴兴支行；账号：33001649335050002860。统一社会信用代码：123305004711725032。地址、电话：湖州市二环东路759号，0572-2321567。</w:t>
            </w:r>
          </w:p>
        </w:tc>
        <w:tc>
          <w:tcPr>
            <w:tcW w:w="86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49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41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sz w:val="24"/>
              </w:rPr>
            </w:pPr>
            <w:r>
              <w:rPr>
                <w:rFonts w:hint="eastAsia" w:ascii="宋体" w:hAnsi="宋体"/>
                <w:sz w:val="24"/>
              </w:rPr>
              <w:t>付款条件</w:t>
            </w:r>
          </w:p>
        </w:tc>
        <w:tc>
          <w:tcPr>
            <w:tcW w:w="5854"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sz w:val="24"/>
              </w:rPr>
            </w:pPr>
            <w:r>
              <w:rPr>
                <w:rFonts w:ascii="宋体" w:hAnsi="宋体"/>
                <w:sz w:val="24"/>
              </w:rPr>
              <w:t>▲根据《保障中小企业款项支付条例》、省财政厅《关于坚决打赢疫情防控阻击战进一步做好政府采购资金支持企业发展工作的通知》（浙财采监【2020】3号）</w:t>
            </w:r>
            <w:r>
              <w:rPr>
                <w:rFonts w:hint="eastAsia" w:ascii="宋体" w:hAnsi="宋体"/>
                <w:sz w:val="24"/>
              </w:rPr>
              <w:t>和（浙财采监〔2022]3号）</w:t>
            </w:r>
            <w:r>
              <w:rPr>
                <w:rFonts w:ascii="宋体" w:hAnsi="宋体"/>
                <w:sz w:val="24"/>
              </w:rPr>
              <w:t>要求,制定如以下付款方式</w:t>
            </w:r>
            <w:r>
              <w:rPr>
                <w:rFonts w:hint="eastAsia" w:ascii="宋体" w:hAnsi="宋体"/>
                <w:sz w:val="24"/>
              </w:rPr>
              <w:t>：</w:t>
            </w:r>
          </w:p>
          <w:p>
            <w:pPr>
              <w:pStyle w:val="103"/>
              <w:ind w:firstLine="482"/>
              <w:rPr>
                <w:rFonts w:ascii="宋体" w:hAnsi="宋体" w:cs="宋体"/>
                <w:b/>
                <w:kern w:val="0"/>
                <w:sz w:val="24"/>
              </w:rPr>
            </w:pPr>
            <w:r>
              <w:rPr>
                <w:rFonts w:hint="eastAsia" w:ascii="宋体" w:hAnsi="宋体" w:cs="宋体"/>
                <w:b/>
                <w:kern w:val="0"/>
                <w:sz w:val="24"/>
              </w:rPr>
              <w:t>付款方式一：根据（浙财采监〔2022〕3号）文件要求，适用符合《政府采购促进中小企业发展管理办法》认定的中小企业合同。所投产品均为中小企业生产并正确提供中小企业声明函可认定为中小企业合同。</w:t>
            </w:r>
          </w:p>
          <w:p>
            <w:pPr>
              <w:pStyle w:val="103"/>
              <w:rPr>
                <w:rFonts w:ascii="宋体" w:hAnsi="宋体" w:cs="宋体"/>
                <w:kern w:val="0"/>
                <w:sz w:val="24"/>
              </w:rPr>
            </w:pPr>
            <w:r>
              <w:rPr>
                <w:rFonts w:hint="eastAsia" w:ascii="宋体" w:hAnsi="宋体" w:cs="宋体"/>
                <w:kern w:val="0"/>
                <w:sz w:val="24"/>
              </w:rPr>
              <w:t>（1）自采购合同生效及具备实施条件后7个工作日内支付预付款，也即合同金额的40%,采购人在向供应商支付预付款之前，供应商向采购人提供与预付款金额相对应的担保措施，担保措施可以是银行、保险公司等金融机构出具的预付款保函或其他担保措施；</w:t>
            </w:r>
          </w:p>
          <w:p>
            <w:pPr>
              <w:pStyle w:val="103"/>
              <w:rPr>
                <w:rFonts w:ascii="宋体" w:hAnsi="宋体" w:cs="宋体"/>
                <w:kern w:val="0"/>
                <w:sz w:val="24"/>
              </w:rPr>
            </w:pPr>
            <w:r>
              <w:rPr>
                <w:rFonts w:hint="eastAsia" w:ascii="宋体" w:hAnsi="宋体" w:cs="宋体"/>
                <w:kern w:val="0"/>
                <w:sz w:val="24"/>
              </w:rPr>
              <w:t>（2）供应商在完成本项目并经采购人验收合格后，供应商依法依规开具相应金额发票，采购人应自收到供应商开具的发票后14个工作日内支付合同金额剩余款项60%。</w:t>
            </w:r>
          </w:p>
          <w:p>
            <w:pPr>
              <w:pStyle w:val="103"/>
              <w:rPr>
                <w:rFonts w:ascii="宋体" w:hAnsi="宋体" w:cs="宋体"/>
                <w:kern w:val="0"/>
                <w:sz w:val="24"/>
              </w:rPr>
            </w:pPr>
            <w:r>
              <w:rPr>
                <w:rFonts w:hint="eastAsia" w:ascii="宋体" w:hAnsi="宋体" w:cs="宋体"/>
                <w:kern w:val="0"/>
                <w:sz w:val="24"/>
              </w:rPr>
              <w:t>注：签订合同时供应商明确表示无需预付款（</w:t>
            </w:r>
            <w:r>
              <w:rPr>
                <w:rFonts w:ascii="宋体" w:hAnsi="宋体" w:cs="宋体"/>
                <w:kern w:val="0"/>
                <w:sz w:val="24"/>
              </w:rPr>
              <w:t>由供应商签订合同代表手抄并签字，手写文字上加盖供应商公章）</w:t>
            </w:r>
            <w:r>
              <w:rPr>
                <w:rFonts w:hint="eastAsia" w:ascii="宋体" w:hAnsi="宋体" w:cs="宋体"/>
                <w:kern w:val="0"/>
                <w:sz w:val="24"/>
              </w:rPr>
              <w:t>或者要求降低预付款比例的，采购人可在合同中另行约定。</w:t>
            </w:r>
          </w:p>
          <w:p>
            <w:pPr>
              <w:pStyle w:val="103"/>
              <w:ind w:firstLine="482"/>
              <w:rPr>
                <w:rFonts w:ascii="宋体" w:hAnsi="宋体" w:cs="宋体"/>
                <w:b/>
                <w:kern w:val="0"/>
                <w:sz w:val="24"/>
              </w:rPr>
            </w:pPr>
            <w:r>
              <w:rPr>
                <w:rFonts w:hint="eastAsia" w:ascii="宋体" w:hAnsi="宋体" w:cs="宋体"/>
                <w:b/>
                <w:kern w:val="0"/>
                <w:sz w:val="24"/>
              </w:rPr>
              <w:t>付款方式二：适用《政府采购促进中小企业发展管理办法》认定的大型企业合同。</w:t>
            </w:r>
          </w:p>
          <w:p>
            <w:pPr>
              <w:pStyle w:val="103"/>
              <w:rPr>
                <w:rFonts w:ascii="宋体" w:hAnsi="宋体" w:cs="宋体"/>
                <w:kern w:val="0"/>
                <w:sz w:val="24"/>
              </w:rPr>
            </w:pPr>
            <w:r>
              <w:rPr>
                <w:rFonts w:hint="eastAsia" w:ascii="宋体" w:hAnsi="宋体" w:cs="宋体"/>
                <w:kern w:val="0"/>
                <w:sz w:val="24"/>
              </w:rPr>
              <w:t>中标人完成本项目并经采购人验收合格后，中标人依法依规开具全额发票，采购人按合同金额原则上于</w:t>
            </w:r>
            <w:r>
              <w:rPr>
                <w:rFonts w:ascii="宋体" w:hAnsi="宋体" w:cs="宋体"/>
                <w:kern w:val="0"/>
                <w:sz w:val="24"/>
              </w:rPr>
              <w:t>14</w:t>
            </w:r>
            <w:r>
              <w:rPr>
                <w:rFonts w:hint="eastAsia" w:ascii="宋体" w:hAnsi="宋体" w:cs="宋体"/>
                <w:kern w:val="0"/>
                <w:sz w:val="24"/>
              </w:rPr>
              <w:t>个工作日内（如遇特殊情况顺延）一次性全额支付款项。</w:t>
            </w:r>
          </w:p>
        </w:tc>
        <w:tc>
          <w:tcPr>
            <w:tcW w:w="86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49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r>
              <w:rPr>
                <w:rFonts w:hint="eastAsia" w:ascii="宋体" w:hAnsi="宋体"/>
                <w:sz w:val="24"/>
              </w:rPr>
              <w:t>备品备件及耗材等要求</w:t>
            </w:r>
          </w:p>
        </w:tc>
        <w:tc>
          <w:tcPr>
            <w:tcW w:w="585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r>
              <w:rPr>
                <w:rFonts w:hint="eastAsia" w:ascii="宋体" w:hAnsi="宋体"/>
                <w:sz w:val="24"/>
              </w:rPr>
              <w:t>▲仪器安装调试期间所用的所有耗材、试剂均需免费提供；易磨损备品备件在质保期间需免费更换。</w:t>
            </w:r>
          </w:p>
        </w:tc>
        <w:tc>
          <w:tcPr>
            <w:tcW w:w="86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49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r>
              <w:rPr>
                <w:rFonts w:hint="eastAsia" w:ascii="宋体" w:hAnsi="宋体"/>
                <w:sz w:val="24"/>
              </w:rPr>
              <w:t>培训要求</w:t>
            </w:r>
          </w:p>
        </w:tc>
        <w:tc>
          <w:tcPr>
            <w:tcW w:w="585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r>
              <w:rPr>
                <w:rFonts w:hint="eastAsia" w:ascii="宋体" w:hAnsi="宋体"/>
                <w:sz w:val="24"/>
              </w:rPr>
              <w:t>中标人应提供针对采购人的培训服务，并提供所有设备的中文使用说明书。培训内容：仪器原理、构造、操作维护和简单维修，以保证采购方的技术人员熟练掌握仪器软硬件的操作。</w:t>
            </w:r>
          </w:p>
        </w:tc>
        <w:tc>
          <w:tcPr>
            <w:tcW w:w="86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49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bl>
    <w:p>
      <w:pPr>
        <w:snapToGrid w:val="0"/>
        <w:spacing w:line="360" w:lineRule="auto"/>
        <w:jc w:val="left"/>
        <w:rPr>
          <w:rFonts w:ascii="宋体" w:hAnsi="宋体"/>
          <w:bCs/>
          <w:sz w:val="24"/>
        </w:rPr>
      </w:pPr>
    </w:p>
    <w:p>
      <w:pPr>
        <w:snapToGrid w:val="0"/>
        <w:spacing w:line="360" w:lineRule="auto"/>
        <w:jc w:val="left"/>
        <w:rPr>
          <w:rFonts w:ascii="宋体" w:hAnsi="宋体"/>
          <w:bCs/>
          <w:sz w:val="24"/>
        </w:rPr>
      </w:pPr>
    </w:p>
    <w:p>
      <w:pPr>
        <w:snapToGrid w:val="0"/>
        <w:spacing w:line="360" w:lineRule="auto"/>
        <w:jc w:val="left"/>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w:t>
      </w:r>
      <w:r>
        <w:rPr>
          <w:rFonts w:ascii="宋体" w:hAnsi="宋体"/>
          <w:sz w:val="24"/>
        </w:rPr>
        <w:t>售后服务的内容和措施</w:t>
      </w:r>
      <w:r>
        <w:rPr>
          <w:rFonts w:hint="eastAsia" w:ascii="宋体" w:hAnsi="宋体"/>
          <w:sz w:val="24"/>
        </w:rPr>
        <w:t>（格式自拟）</w:t>
      </w:r>
    </w:p>
    <w:p>
      <w:pPr>
        <w:pStyle w:val="43"/>
        <w:rPr>
          <w:color w:val="auto"/>
        </w:rPr>
      </w:pPr>
    </w:p>
    <w:p>
      <w:pPr>
        <w:pStyle w:val="44"/>
      </w:pPr>
    </w:p>
    <w:p>
      <w:pPr>
        <w:pStyle w:val="2"/>
      </w:pPr>
    </w:p>
    <w:p>
      <w:pPr>
        <w:pStyle w:val="14"/>
        <w:rPr>
          <w:rFonts w:ascii="宋体" w:hAnsi="宋体"/>
          <w:sz w:val="24"/>
        </w:rPr>
      </w:pPr>
      <w:r>
        <w:rPr>
          <w:rFonts w:hint="eastAsia" w:ascii="宋体" w:hAnsi="宋体"/>
          <w:sz w:val="24"/>
        </w:rPr>
        <w:t>2</w:t>
      </w:r>
      <w:r>
        <w:rPr>
          <w:rFonts w:hint="eastAsia" w:ascii="宋体" w:hAnsi="宋体"/>
          <w:sz w:val="24"/>
          <w:lang w:val="en-US" w:eastAsia="zh-CN"/>
        </w:rPr>
        <w:t>9</w:t>
      </w:r>
      <w:r>
        <w:rPr>
          <w:rFonts w:hint="eastAsia" w:ascii="宋体" w:hAnsi="宋体"/>
          <w:sz w:val="24"/>
        </w:rPr>
        <w:t>.响应时间（格式自拟）</w:t>
      </w:r>
    </w:p>
    <w:p>
      <w:pPr>
        <w:pStyle w:val="43"/>
        <w:rPr>
          <w:color w:val="auto"/>
        </w:rPr>
      </w:pPr>
    </w:p>
    <w:p>
      <w:pPr>
        <w:pStyle w:val="44"/>
      </w:pPr>
    </w:p>
    <w:p/>
    <w:p/>
    <w:p>
      <w:pPr>
        <w:pStyle w:val="2"/>
      </w:pPr>
    </w:p>
    <w:p>
      <w:pPr>
        <w:pStyle w:val="44"/>
      </w:pPr>
    </w:p>
    <w:p>
      <w:pPr>
        <w:snapToGrid w:val="0"/>
        <w:spacing w:line="360" w:lineRule="auto"/>
        <w:jc w:val="left"/>
        <w:rPr>
          <w:rFonts w:ascii="宋体" w:hAnsi="宋体"/>
          <w:sz w:val="24"/>
        </w:rPr>
      </w:pPr>
      <w:r>
        <w:rPr>
          <w:rFonts w:hint="eastAsia" w:ascii="宋体" w:hAnsi="宋体"/>
          <w:sz w:val="24"/>
          <w:lang w:val="en-US" w:eastAsia="zh-CN"/>
        </w:rPr>
        <w:t>30</w:t>
      </w:r>
      <w:r>
        <w:rPr>
          <w:rFonts w:hint="eastAsia" w:ascii="宋体" w:hAnsi="宋体"/>
          <w:sz w:val="24"/>
        </w:rPr>
        <w:t>.信用承诺书</w:t>
      </w:r>
    </w:p>
    <w:p>
      <w:pPr>
        <w:tabs>
          <w:tab w:val="left" w:pos="1650"/>
        </w:tabs>
        <w:spacing w:line="360" w:lineRule="auto"/>
        <w:jc w:val="center"/>
        <w:rPr>
          <w:rFonts w:ascii="宋体" w:hAnsi="宋体"/>
          <w:sz w:val="44"/>
          <w:szCs w:val="44"/>
        </w:rPr>
      </w:pPr>
      <w:r>
        <w:rPr>
          <w:rFonts w:hint="eastAsia" w:ascii="宋体" w:hAnsi="宋体"/>
          <w:sz w:val="44"/>
          <w:szCs w:val="44"/>
        </w:rPr>
        <w:t>信用承诺书</w:t>
      </w:r>
    </w:p>
    <w:p>
      <w:pPr>
        <w:tabs>
          <w:tab w:val="left" w:pos="1650"/>
        </w:tabs>
        <w:spacing w:line="360" w:lineRule="auto"/>
        <w:jc w:val="left"/>
        <w:rPr>
          <w:rFonts w:ascii="宋体" w:hAnsi="宋体"/>
          <w:sz w:val="24"/>
        </w:rPr>
      </w:pPr>
      <w:r>
        <w:rPr>
          <w:rFonts w:hint="eastAsia" w:ascii="宋体" w:hAnsi="宋体"/>
          <w:sz w:val="24"/>
        </w:rPr>
        <w:t>（投标单位）现参加（采购项目）政府采购活动，郑重承诺如下：</w:t>
      </w:r>
    </w:p>
    <w:p>
      <w:pPr>
        <w:tabs>
          <w:tab w:val="left" w:pos="1650"/>
        </w:tabs>
        <w:spacing w:line="360" w:lineRule="auto"/>
        <w:ind w:firstLine="630"/>
        <w:rPr>
          <w:rFonts w:ascii="宋体" w:hAnsi="宋体"/>
          <w:sz w:val="24"/>
        </w:rPr>
      </w:pPr>
      <w:r>
        <w:rPr>
          <w:rFonts w:hint="eastAsia" w:ascii="宋体" w:hAnsi="宋体"/>
          <w:sz w:val="24"/>
        </w:rPr>
        <w:t>对所提供的资料合法性、真实性、准确性和有效性负责；</w:t>
      </w:r>
    </w:p>
    <w:p>
      <w:pPr>
        <w:tabs>
          <w:tab w:val="left" w:pos="1650"/>
        </w:tabs>
        <w:spacing w:line="360" w:lineRule="auto"/>
        <w:ind w:firstLine="630"/>
        <w:rPr>
          <w:rFonts w:ascii="宋体" w:hAnsi="宋体"/>
          <w:sz w:val="24"/>
        </w:rPr>
      </w:pPr>
      <w:r>
        <w:rPr>
          <w:rFonts w:hint="eastAsia" w:ascii="宋体" w:hAnsi="宋体"/>
          <w:sz w:val="24"/>
        </w:rPr>
        <w:t>严格按照国家法律、法规和规章，依法开展相关经济活动，全面履行应尽的责任和义务；</w:t>
      </w:r>
    </w:p>
    <w:p>
      <w:pPr>
        <w:tabs>
          <w:tab w:val="left" w:pos="1650"/>
        </w:tabs>
        <w:spacing w:line="360" w:lineRule="auto"/>
        <w:ind w:firstLine="630"/>
        <w:rPr>
          <w:rFonts w:ascii="宋体" w:hAnsi="宋体"/>
          <w:sz w:val="24"/>
        </w:rPr>
      </w:pPr>
      <w:r>
        <w:rPr>
          <w:rFonts w:hint="eastAsia" w:ascii="宋体" w:hAnsi="宋体"/>
          <w:sz w:val="24"/>
        </w:rPr>
        <w:t>加强自我约束、自我规范、自我管理，不制假售假、不虚假宣传、不违约毁约、不恶意逃债、不偷税漏税，诚信依法经营；</w:t>
      </w:r>
    </w:p>
    <w:p>
      <w:pPr>
        <w:tabs>
          <w:tab w:val="left" w:pos="1650"/>
        </w:tabs>
        <w:spacing w:line="360" w:lineRule="auto"/>
        <w:ind w:firstLine="630"/>
        <w:rPr>
          <w:rFonts w:ascii="宋体" w:hAnsi="宋体"/>
          <w:sz w:val="24"/>
        </w:rPr>
      </w:pPr>
      <w:r>
        <w:rPr>
          <w:rFonts w:hint="eastAsia" w:ascii="宋体" w:hAnsi="宋体"/>
          <w:sz w:val="24"/>
        </w:rPr>
        <w:t>自愿接受行政主管部门的依法检查、违背承诺约定将自愿承担违约责任，并接受法律法规和相关部门规章制度的惩戒和约束；</w:t>
      </w:r>
    </w:p>
    <w:p>
      <w:pPr>
        <w:tabs>
          <w:tab w:val="left" w:pos="1650"/>
        </w:tabs>
        <w:spacing w:line="360" w:lineRule="auto"/>
        <w:ind w:firstLine="630"/>
        <w:rPr>
          <w:rFonts w:ascii="宋体" w:hAnsi="宋体"/>
          <w:sz w:val="24"/>
        </w:rPr>
      </w:pPr>
      <w:r>
        <w:rPr>
          <w:rFonts w:hint="eastAsia" w:ascii="宋体" w:hAnsi="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pStyle w:val="95"/>
        <w:spacing w:before="0" w:beforeAutospacing="0" w:after="0" w:afterAutospacing="0" w:line="360" w:lineRule="auto"/>
        <w:ind w:firstLine="600" w:firstLineChars="250"/>
        <w:rPr>
          <w:rFonts w:cs="Times New Roman"/>
          <w:kern w:val="2"/>
        </w:rPr>
      </w:pPr>
      <w:r>
        <w:rPr>
          <w:rFonts w:hint="eastAsia" w:cs="Times New Roman"/>
          <w:kern w:val="2"/>
        </w:rPr>
        <w:t>统一社会信用代码：</w:t>
      </w:r>
    </w:p>
    <w:p>
      <w:pPr>
        <w:pStyle w:val="95"/>
        <w:spacing w:before="0" w:beforeAutospacing="0" w:after="0" w:afterAutospacing="0" w:line="360" w:lineRule="auto"/>
        <w:ind w:firstLine="600" w:firstLineChars="250"/>
        <w:rPr>
          <w:rFonts w:cs="Times New Roman"/>
          <w:kern w:val="2"/>
        </w:rPr>
      </w:pPr>
    </w:p>
    <w:p>
      <w:pPr>
        <w:pStyle w:val="95"/>
        <w:spacing w:before="0" w:beforeAutospacing="0" w:after="0" w:afterAutospacing="0" w:line="360" w:lineRule="auto"/>
        <w:ind w:firstLine="565" w:firstLineChars="250"/>
        <w:rPr>
          <w:rFonts w:cs="Times New Roman"/>
          <w:spacing w:val="-7"/>
        </w:rPr>
      </w:pPr>
    </w:p>
    <w:p>
      <w:pPr>
        <w:pStyle w:val="95"/>
        <w:spacing w:before="0" w:beforeAutospacing="0" w:after="0" w:afterAutospacing="0" w:line="360" w:lineRule="auto"/>
        <w:ind w:firstLine="3240" w:firstLineChars="1350"/>
        <w:rPr>
          <w:rFonts w:cs="Times New Roman"/>
          <w:kern w:val="2"/>
        </w:rPr>
      </w:pPr>
      <w:r>
        <w:rPr>
          <w:rFonts w:hint="eastAsia" w:cs="Times New Roman"/>
          <w:kern w:val="2"/>
        </w:rPr>
        <w:t>承诺单位</w:t>
      </w:r>
      <w:r>
        <w:rPr>
          <w:rFonts w:cs="Times New Roman"/>
          <w:kern w:val="2"/>
        </w:rPr>
        <w:t>/</w:t>
      </w:r>
      <w:r>
        <w:rPr>
          <w:rFonts w:hint="eastAsia" w:cs="Times New Roman"/>
          <w:kern w:val="2"/>
        </w:rPr>
        <w:t>个人（盖章</w:t>
      </w:r>
      <w:r>
        <w:rPr>
          <w:rFonts w:cs="Times New Roman"/>
          <w:kern w:val="2"/>
        </w:rPr>
        <w:t>/</w:t>
      </w:r>
      <w:r>
        <w:rPr>
          <w:rFonts w:hint="eastAsia" w:cs="Times New Roman"/>
          <w:kern w:val="2"/>
        </w:rPr>
        <w:t>签名）</w:t>
      </w:r>
    </w:p>
    <w:p>
      <w:pPr>
        <w:spacing w:line="360" w:lineRule="auto"/>
        <w:ind w:firstLine="3480" w:firstLineChars="1450"/>
        <w:rPr>
          <w:rFonts w:ascii="宋体" w:hAnsi="宋体"/>
          <w:sz w:val="24"/>
        </w:rPr>
      </w:pPr>
      <w:r>
        <w:rPr>
          <w:rFonts w:hint="eastAsia" w:ascii="宋体" w:hAnsi="宋体"/>
          <w:sz w:val="24"/>
        </w:rPr>
        <w:t>时间：</w:t>
      </w:r>
      <w:r>
        <w:rPr>
          <w:rFonts w:ascii="宋体" w:hAnsi="宋体"/>
          <w:sz w:val="24"/>
        </w:rPr>
        <w:t>2022年</w:t>
      </w:r>
      <w:r>
        <w:rPr>
          <w:rFonts w:hint="eastAsia" w:ascii="宋体" w:hAnsi="宋体"/>
          <w:sz w:val="24"/>
        </w:rPr>
        <w:t xml:space="preserve"> 月 日</w:t>
      </w:r>
    </w:p>
    <w:p>
      <w:pPr>
        <w:pStyle w:val="14"/>
      </w:pPr>
    </w:p>
    <w:p>
      <w:pPr>
        <w:pStyle w:val="15"/>
      </w:pPr>
    </w:p>
    <w:p/>
    <w:p>
      <w:pPr>
        <w:pStyle w:val="2"/>
      </w:pPr>
    </w:p>
    <w:p/>
    <w:p>
      <w:pPr>
        <w:pStyle w:val="43"/>
        <w:rPr>
          <w:color w:val="auto"/>
        </w:rPr>
      </w:pPr>
    </w:p>
    <w:p>
      <w:pPr>
        <w:pStyle w:val="44"/>
      </w:pPr>
    </w:p>
    <w:p>
      <w:pPr>
        <w:pStyle w:val="44"/>
      </w:pPr>
    </w:p>
    <w:p>
      <w:pPr>
        <w:snapToGrid w:val="0"/>
        <w:spacing w:line="360" w:lineRule="auto"/>
        <w:rPr>
          <w:rFonts w:ascii="宋体" w:hAnsi="宋体"/>
          <w:sz w:val="24"/>
        </w:rPr>
      </w:pPr>
      <w:r>
        <w:rPr>
          <w:rFonts w:hint="eastAsia" w:ascii="宋体" w:hAnsi="宋体"/>
          <w:bCs/>
          <w:sz w:val="24"/>
        </w:rPr>
        <w:t>3</w:t>
      </w:r>
      <w:r>
        <w:rPr>
          <w:rFonts w:hint="eastAsia" w:ascii="宋体" w:hAnsi="宋体"/>
          <w:bCs/>
          <w:sz w:val="24"/>
          <w:lang w:val="en-US" w:eastAsia="zh-CN"/>
        </w:rPr>
        <w:t>1</w:t>
      </w:r>
      <w:r>
        <w:rPr>
          <w:rFonts w:hint="eastAsia" w:ascii="宋体" w:hAnsi="宋体"/>
          <w:bCs/>
          <w:sz w:val="24"/>
        </w:rPr>
        <w:t>.</w:t>
      </w:r>
      <w:r>
        <w:rPr>
          <w:rFonts w:hint="eastAsia" w:ascii="宋体" w:hAnsi="宋体"/>
          <w:sz w:val="24"/>
        </w:rPr>
        <w:t xml:space="preserve">技术、商务、资信及其他分自评表  </w:t>
      </w:r>
    </w:p>
    <w:p>
      <w:pPr>
        <w:pStyle w:val="16"/>
        <w:spacing w:line="360" w:lineRule="auto"/>
        <w:ind w:firstLine="300" w:firstLineChars="129"/>
        <w:rPr>
          <w:rFonts w:hAnsi="宋体"/>
          <w:b/>
          <w:sz w:val="24"/>
        </w:rPr>
      </w:pPr>
      <w:r>
        <w:rPr>
          <w:rFonts w:hint="eastAsia" w:hAnsi="宋体"/>
          <w:b/>
          <w:sz w:val="24"/>
        </w:rPr>
        <w:t>投标人名称</w:t>
      </w:r>
    </w:p>
    <w:tbl>
      <w:tblPr>
        <w:tblStyle w:val="35"/>
        <w:tblW w:w="9801"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533"/>
        <w:gridCol w:w="2268"/>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56" w:type="dxa"/>
            <w:gridSpan w:val="2"/>
            <w:vAlign w:val="center"/>
          </w:tcPr>
          <w:p>
            <w:pPr>
              <w:spacing w:line="360" w:lineRule="auto"/>
              <w:jc w:val="center"/>
              <w:rPr>
                <w:rFonts w:ascii="宋体" w:hAnsi="宋体"/>
                <w:sz w:val="24"/>
              </w:rPr>
            </w:pPr>
            <w:r>
              <w:rPr>
                <w:rFonts w:hint="eastAsia" w:ascii="宋体" w:hAnsi="宋体"/>
                <w:sz w:val="24"/>
              </w:rPr>
              <w:t>评分项目</w:t>
            </w:r>
          </w:p>
        </w:tc>
        <w:tc>
          <w:tcPr>
            <w:tcW w:w="2268" w:type="dxa"/>
            <w:vAlign w:val="center"/>
          </w:tcPr>
          <w:p>
            <w:pPr>
              <w:snapToGrid w:val="0"/>
              <w:spacing w:line="360" w:lineRule="auto"/>
              <w:jc w:val="center"/>
              <w:rPr>
                <w:rFonts w:ascii="宋体" w:hAnsi="宋体"/>
                <w:sz w:val="24"/>
              </w:rPr>
            </w:pPr>
            <w:r>
              <w:rPr>
                <w:rFonts w:hint="eastAsia" w:ascii="宋体" w:hAnsi="宋体"/>
                <w:sz w:val="24"/>
              </w:rPr>
              <w:t>投标文件对应资料</w:t>
            </w:r>
          </w:p>
        </w:tc>
        <w:tc>
          <w:tcPr>
            <w:tcW w:w="1276" w:type="dxa"/>
            <w:vAlign w:val="center"/>
          </w:tcPr>
          <w:p>
            <w:pPr>
              <w:snapToGrid w:val="0"/>
              <w:spacing w:line="360" w:lineRule="auto"/>
              <w:jc w:val="center"/>
              <w:rPr>
                <w:rFonts w:ascii="宋体" w:hAnsi="宋体"/>
                <w:sz w:val="24"/>
              </w:rPr>
            </w:pPr>
            <w:r>
              <w:rPr>
                <w:rFonts w:hint="eastAsia" w:ascii="宋体" w:hAnsi="宋体"/>
                <w:sz w:val="24"/>
              </w:rPr>
              <w:t>自评分</w:t>
            </w:r>
          </w:p>
        </w:tc>
        <w:tc>
          <w:tcPr>
            <w:tcW w:w="1701" w:type="dxa"/>
            <w:vAlign w:val="center"/>
          </w:tcPr>
          <w:p>
            <w:pPr>
              <w:snapToGrid w:val="0"/>
              <w:spacing w:line="360" w:lineRule="auto"/>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23" w:type="dxa"/>
            <w:vMerge w:val="restart"/>
            <w:vAlign w:val="center"/>
          </w:tcPr>
          <w:p>
            <w:pPr>
              <w:spacing w:line="360" w:lineRule="auto"/>
              <w:jc w:val="center"/>
              <w:rPr>
                <w:rFonts w:ascii="宋体" w:hAnsi="宋体"/>
                <w:sz w:val="24"/>
              </w:rPr>
            </w:pPr>
            <w:r>
              <w:rPr>
                <w:rFonts w:hint="eastAsia" w:ascii="宋体" w:hAnsi="宋体"/>
                <w:sz w:val="24"/>
              </w:rPr>
              <w:t>技</w:t>
            </w:r>
          </w:p>
          <w:p>
            <w:pPr>
              <w:spacing w:line="360" w:lineRule="auto"/>
              <w:jc w:val="center"/>
              <w:rPr>
                <w:rFonts w:ascii="宋体" w:hAnsi="宋体"/>
                <w:sz w:val="24"/>
              </w:rPr>
            </w:pPr>
            <w:r>
              <w:rPr>
                <w:rFonts w:hint="eastAsia" w:ascii="宋体" w:hAnsi="宋体"/>
                <w:sz w:val="24"/>
              </w:rPr>
              <w:t>术</w:t>
            </w:r>
          </w:p>
          <w:p>
            <w:pPr>
              <w:spacing w:line="360" w:lineRule="auto"/>
              <w:jc w:val="center"/>
              <w:rPr>
                <w:rFonts w:ascii="宋体" w:hAnsi="宋体"/>
                <w:sz w:val="24"/>
              </w:rPr>
            </w:pPr>
            <w:r>
              <w:rPr>
                <w:rFonts w:hint="eastAsia" w:ascii="宋体" w:hAnsi="宋体"/>
                <w:sz w:val="24"/>
              </w:rPr>
              <w:t>分</w:t>
            </w:r>
          </w:p>
          <w:p>
            <w:pPr>
              <w:spacing w:line="360" w:lineRule="auto"/>
              <w:jc w:val="center"/>
              <w:rPr>
                <w:rFonts w:ascii="宋体" w:hAnsi="宋体"/>
                <w:sz w:val="24"/>
              </w:rPr>
            </w:pPr>
            <w:r>
              <w:rPr>
                <w:rFonts w:hint="eastAsia" w:ascii="宋体" w:hAnsi="宋体"/>
                <w:sz w:val="24"/>
              </w:rPr>
              <w:t>50</w:t>
            </w:r>
          </w:p>
          <w:p>
            <w:pPr>
              <w:spacing w:line="360" w:lineRule="auto"/>
              <w:jc w:val="center"/>
              <w:rPr>
                <w:rFonts w:ascii="宋体" w:hAnsi="宋体"/>
                <w:sz w:val="24"/>
              </w:rPr>
            </w:pPr>
            <w:r>
              <w:rPr>
                <w:rFonts w:hint="eastAsia" w:ascii="宋体" w:hAnsi="宋体"/>
                <w:sz w:val="24"/>
              </w:rPr>
              <w:t>分</w:t>
            </w: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restart"/>
            <w:vAlign w:val="center"/>
          </w:tcPr>
          <w:p>
            <w:pPr>
              <w:spacing w:line="360" w:lineRule="auto"/>
              <w:jc w:val="center"/>
              <w:rPr>
                <w:rFonts w:ascii="宋体" w:hAnsi="宋体"/>
                <w:sz w:val="24"/>
              </w:rPr>
            </w:pPr>
            <w:r>
              <w:rPr>
                <w:rFonts w:hint="eastAsia" w:ascii="宋体" w:hAnsi="宋体"/>
                <w:sz w:val="24"/>
              </w:rPr>
              <w:t>商务、资信及其他</w:t>
            </w:r>
          </w:p>
          <w:p>
            <w:pPr>
              <w:spacing w:line="360" w:lineRule="auto"/>
              <w:jc w:val="center"/>
              <w:rPr>
                <w:rFonts w:ascii="宋体" w:hAnsi="宋体"/>
                <w:sz w:val="24"/>
              </w:rPr>
            </w:pPr>
            <w:r>
              <w:rPr>
                <w:rFonts w:hint="eastAsia" w:ascii="宋体" w:hAnsi="宋体"/>
                <w:sz w:val="24"/>
              </w:rPr>
              <w:t>分20分</w:t>
            </w: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pPr>
              <w:spacing w:line="360" w:lineRule="auto"/>
              <w:jc w:val="center"/>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pPr>
              <w:spacing w:line="360" w:lineRule="auto"/>
              <w:jc w:val="center"/>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pPr>
              <w:spacing w:line="360" w:lineRule="auto"/>
              <w:jc w:val="center"/>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56" w:type="dxa"/>
            <w:gridSpan w:val="2"/>
            <w:vAlign w:val="center"/>
          </w:tcPr>
          <w:p>
            <w:pPr>
              <w:spacing w:line="360" w:lineRule="auto"/>
              <w:jc w:val="center"/>
              <w:rPr>
                <w:rFonts w:ascii="宋体" w:hAnsi="宋体"/>
                <w:sz w:val="24"/>
              </w:rPr>
            </w:pPr>
            <w:r>
              <w:rPr>
                <w:rFonts w:hint="eastAsia" w:ascii="宋体" w:hAnsi="宋体"/>
                <w:sz w:val="24"/>
              </w:rPr>
              <w:t>总分</w:t>
            </w:r>
          </w:p>
        </w:tc>
        <w:tc>
          <w:tcPr>
            <w:tcW w:w="2268" w:type="dxa"/>
          </w:tcPr>
          <w:p>
            <w:pPr>
              <w:spacing w:line="360" w:lineRule="auto"/>
              <w:rPr>
                <w:rFonts w:ascii="宋体" w:hAnsi="宋体"/>
                <w:sz w:val="24"/>
              </w:rPr>
            </w:pPr>
          </w:p>
        </w:tc>
        <w:tc>
          <w:tcPr>
            <w:tcW w:w="2977" w:type="dxa"/>
            <w:gridSpan w:val="2"/>
          </w:tcPr>
          <w:p>
            <w:pPr>
              <w:spacing w:line="360" w:lineRule="auto"/>
              <w:rPr>
                <w:rFonts w:ascii="宋体" w:hAnsi="宋体"/>
                <w:sz w:val="24"/>
              </w:rPr>
            </w:pPr>
          </w:p>
        </w:tc>
      </w:tr>
    </w:tbl>
    <w:p>
      <w:pPr>
        <w:pStyle w:val="16"/>
        <w:spacing w:line="360" w:lineRule="auto"/>
        <w:ind w:firstLine="221" w:firstLineChars="129"/>
      </w:pPr>
    </w:p>
    <w:p>
      <w:pPr>
        <w:pStyle w:val="16"/>
        <w:spacing w:line="360" w:lineRule="auto"/>
        <w:ind w:firstLine="221" w:firstLineChars="129"/>
      </w:pPr>
    </w:p>
    <w:p>
      <w:pPr>
        <w:pStyle w:val="16"/>
        <w:spacing w:line="360" w:lineRule="auto"/>
        <w:ind w:firstLine="221" w:firstLineChars="129"/>
      </w:pPr>
    </w:p>
    <w:p>
      <w:pPr>
        <w:pStyle w:val="16"/>
        <w:spacing w:line="360" w:lineRule="auto"/>
        <w:ind w:firstLine="221" w:firstLineChars="129"/>
      </w:pPr>
    </w:p>
    <w:p>
      <w:pPr>
        <w:pStyle w:val="16"/>
        <w:spacing w:line="360" w:lineRule="auto"/>
        <w:ind w:firstLine="221" w:firstLineChars="129"/>
      </w:pPr>
    </w:p>
    <w:p>
      <w:pPr>
        <w:pStyle w:val="16"/>
        <w:spacing w:line="360" w:lineRule="auto"/>
        <w:ind w:firstLine="221" w:firstLineChars="129"/>
      </w:pPr>
    </w:p>
    <w:p>
      <w:pPr>
        <w:pStyle w:val="16"/>
        <w:spacing w:line="360" w:lineRule="auto"/>
        <w:ind w:firstLine="221" w:firstLineChars="129"/>
      </w:pPr>
    </w:p>
    <w:p>
      <w:pPr>
        <w:pStyle w:val="16"/>
        <w:spacing w:line="360" w:lineRule="auto"/>
        <w:ind w:firstLine="221" w:firstLineChars="129"/>
      </w:pPr>
    </w:p>
    <w:p>
      <w:pPr>
        <w:pStyle w:val="16"/>
        <w:spacing w:line="360" w:lineRule="auto"/>
        <w:ind w:firstLine="221" w:firstLineChars="129"/>
      </w:pPr>
    </w:p>
    <w:p>
      <w:pPr>
        <w:pStyle w:val="16"/>
        <w:spacing w:line="360" w:lineRule="auto"/>
        <w:ind w:firstLine="221" w:firstLineChars="129"/>
      </w:pPr>
    </w:p>
    <w:p>
      <w:pPr>
        <w:pStyle w:val="16"/>
        <w:spacing w:line="360" w:lineRule="auto"/>
        <w:ind w:firstLine="221" w:firstLineChars="129"/>
      </w:pPr>
    </w:p>
    <w:p>
      <w:pPr>
        <w:pStyle w:val="16"/>
        <w:spacing w:line="360" w:lineRule="auto"/>
        <w:ind w:firstLine="221" w:firstLineChars="129"/>
      </w:pPr>
    </w:p>
    <w:p>
      <w:pPr>
        <w:pStyle w:val="16"/>
        <w:spacing w:line="360" w:lineRule="auto"/>
        <w:ind w:firstLine="221" w:firstLineChars="129"/>
      </w:pPr>
    </w:p>
    <w:p>
      <w:pPr>
        <w:snapToGrid w:val="0"/>
        <w:spacing w:line="360" w:lineRule="auto"/>
        <w:jc w:val="center"/>
        <w:rPr>
          <w:rFonts w:ascii="宋体" w:hAnsi="宋体"/>
          <w:sz w:val="30"/>
          <w:szCs w:val="20"/>
        </w:rPr>
      </w:pPr>
      <w:r>
        <w:rPr>
          <w:rFonts w:hint="eastAsia" w:ascii="宋体" w:hAnsi="宋体"/>
          <w:sz w:val="24"/>
        </w:rPr>
        <w:t>三、报价文件格式</w:t>
      </w:r>
    </w:p>
    <w:p>
      <w:pPr>
        <w:snapToGrid w:val="0"/>
        <w:spacing w:line="360" w:lineRule="auto"/>
        <w:rPr>
          <w:rFonts w:ascii="宋体" w:hAnsi="宋体"/>
          <w:sz w:val="24"/>
          <w:szCs w:val="20"/>
        </w:rPr>
      </w:pPr>
      <w:r>
        <w:rPr>
          <w:rFonts w:hint="eastAsia" w:ascii="宋体" w:hAnsi="宋体"/>
          <w:sz w:val="24"/>
        </w:rPr>
        <w:t>3</w:t>
      </w:r>
      <w:r>
        <w:rPr>
          <w:rFonts w:hint="eastAsia" w:ascii="宋体" w:hAnsi="宋体"/>
          <w:sz w:val="24"/>
          <w:lang w:val="en-US" w:eastAsia="zh-CN"/>
        </w:rPr>
        <w:t>2</w:t>
      </w:r>
      <w:r>
        <w:rPr>
          <w:rFonts w:hint="eastAsia" w:ascii="宋体" w:hAnsi="宋体"/>
          <w:sz w:val="24"/>
        </w:rPr>
        <w:t>.报价文件封面格式：</w:t>
      </w:r>
    </w:p>
    <w:p>
      <w:pPr>
        <w:snapToGrid w:val="0"/>
        <w:spacing w:line="360" w:lineRule="auto"/>
        <w:rPr>
          <w:rFonts w:ascii="宋体" w:hAnsi="宋体"/>
          <w:b/>
          <w:bCs/>
          <w:sz w:val="32"/>
          <w:szCs w:val="20"/>
        </w:rPr>
      </w:pPr>
    </w:p>
    <w:p>
      <w:pPr>
        <w:snapToGrid w:val="0"/>
        <w:spacing w:line="360" w:lineRule="auto"/>
        <w:rPr>
          <w:rFonts w:ascii="宋体" w:hAnsi="宋体"/>
          <w:sz w:val="24"/>
          <w:szCs w:val="20"/>
        </w:rPr>
      </w:pPr>
    </w:p>
    <w:p>
      <w:pPr>
        <w:snapToGrid w:val="0"/>
        <w:spacing w:line="360" w:lineRule="auto"/>
        <w:jc w:val="center"/>
        <w:rPr>
          <w:rFonts w:ascii="宋体" w:hAnsi="宋体"/>
          <w:bCs/>
          <w:sz w:val="24"/>
          <w:szCs w:val="20"/>
        </w:rPr>
      </w:pPr>
    </w:p>
    <w:p>
      <w:pPr>
        <w:snapToGrid w:val="0"/>
        <w:spacing w:line="360" w:lineRule="auto"/>
        <w:jc w:val="center"/>
        <w:rPr>
          <w:rFonts w:ascii="宋体" w:hAnsi="宋体"/>
          <w:bCs/>
          <w:sz w:val="24"/>
          <w:szCs w:val="20"/>
        </w:rPr>
      </w:pPr>
      <w:r>
        <w:rPr>
          <w:rFonts w:hint="eastAsia" w:ascii="宋体" w:hAnsi="宋体"/>
          <w:bCs/>
          <w:sz w:val="24"/>
        </w:rPr>
        <w:t>报价文件</w:t>
      </w:r>
    </w:p>
    <w:p>
      <w:pPr>
        <w:snapToGrid w:val="0"/>
        <w:spacing w:line="360" w:lineRule="auto"/>
        <w:rPr>
          <w:rFonts w:ascii="宋体" w:hAnsi="宋体"/>
          <w:bCs/>
          <w:sz w:val="24"/>
          <w:szCs w:val="20"/>
        </w:rPr>
      </w:pPr>
    </w:p>
    <w:p>
      <w:pPr>
        <w:snapToGrid w:val="0"/>
        <w:spacing w:line="360" w:lineRule="auto"/>
        <w:ind w:firstLine="960" w:firstLineChars="400"/>
        <w:rPr>
          <w:rFonts w:ascii="宋体" w:hAnsi="宋体"/>
          <w:bCs/>
          <w:sz w:val="24"/>
        </w:rPr>
      </w:pPr>
      <w:r>
        <w:rPr>
          <w:rFonts w:hint="eastAsia" w:ascii="宋体" w:hAnsi="宋体"/>
          <w:bCs/>
          <w:sz w:val="24"/>
        </w:rPr>
        <w:t>项目名称：</w:t>
      </w:r>
      <w:r>
        <w:rPr>
          <w:rFonts w:hint="eastAsia" w:ascii="宋体" w:hAnsi="宋体"/>
          <w:spacing w:val="-20"/>
          <w:sz w:val="24"/>
        </w:rPr>
        <w:t>湖州师范学院工学院中国智能制造挑战赛实验室设备采购项目</w:t>
      </w:r>
    </w:p>
    <w:p>
      <w:pPr>
        <w:snapToGrid w:val="0"/>
        <w:spacing w:line="360" w:lineRule="auto"/>
        <w:ind w:firstLine="1080" w:firstLineChars="450"/>
        <w:jc w:val="left"/>
        <w:rPr>
          <w:rFonts w:ascii="宋体" w:hAnsi="宋体"/>
          <w:sz w:val="24"/>
        </w:rPr>
      </w:pPr>
      <w:r>
        <w:rPr>
          <w:rFonts w:hint="eastAsia" w:ascii="宋体" w:hAnsi="宋体"/>
          <w:bCs/>
          <w:sz w:val="24"/>
        </w:rPr>
        <w:t>项目编号：HYHZ2022-135</w:t>
      </w:r>
    </w:p>
    <w:p>
      <w:pPr>
        <w:snapToGrid w:val="0"/>
        <w:spacing w:line="360" w:lineRule="auto"/>
        <w:ind w:firstLine="1080" w:firstLineChars="450"/>
        <w:rPr>
          <w:sz w:val="24"/>
        </w:rPr>
      </w:pPr>
      <w:r>
        <w:rPr>
          <w:rFonts w:hint="eastAsia"/>
          <w:sz w:val="24"/>
        </w:rPr>
        <w:t>投标人名称：</w:t>
      </w:r>
    </w:p>
    <w:p>
      <w:pPr>
        <w:pStyle w:val="9"/>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pPr>
        <w:pStyle w:val="9"/>
        <w:snapToGrid w:val="0"/>
        <w:spacing w:line="360" w:lineRule="auto"/>
        <w:ind w:firstLine="960" w:firstLineChars="400"/>
        <w:rPr>
          <w:rFonts w:ascii="宋体" w:hAnsi="宋体"/>
          <w:bCs/>
          <w:sz w:val="24"/>
          <w:szCs w:val="24"/>
        </w:rPr>
      </w:pPr>
    </w:p>
    <w:p>
      <w:pPr>
        <w:pStyle w:val="9"/>
        <w:snapToGrid w:val="0"/>
        <w:spacing w:line="360" w:lineRule="auto"/>
        <w:ind w:firstLine="1497" w:firstLineChars="416"/>
        <w:rPr>
          <w:rFonts w:ascii="宋体" w:hAnsi="宋体"/>
          <w:sz w:val="36"/>
        </w:rPr>
      </w:pPr>
    </w:p>
    <w:p>
      <w:pPr>
        <w:snapToGrid w:val="0"/>
        <w:spacing w:line="360" w:lineRule="auto"/>
        <w:ind w:firstLine="4080" w:firstLineChars="1700"/>
        <w:rPr>
          <w:rFonts w:ascii="宋体" w:hAnsi="宋体"/>
          <w:sz w:val="24"/>
          <w:szCs w:val="20"/>
        </w:rPr>
      </w:pPr>
    </w:p>
    <w:p>
      <w:pPr>
        <w:snapToGrid w:val="0"/>
        <w:spacing w:line="360" w:lineRule="auto"/>
        <w:jc w:val="center"/>
        <w:rPr>
          <w:rFonts w:ascii="宋体" w:hAnsi="宋体"/>
          <w:sz w:val="30"/>
          <w:szCs w:val="20"/>
        </w:rPr>
      </w:pPr>
      <w:r>
        <w:rPr>
          <w:rFonts w:hint="eastAsia" w:ascii="宋体" w:hAnsi="宋体"/>
          <w:sz w:val="24"/>
        </w:rPr>
        <w:t>年月日</w:t>
      </w:r>
    </w:p>
    <w:p>
      <w:pPr>
        <w:snapToGrid w:val="0"/>
        <w:spacing w:line="360" w:lineRule="auto"/>
        <w:jc w:val="center"/>
        <w:rPr>
          <w:rFonts w:ascii="宋体" w:hAnsi="宋体"/>
          <w:sz w:val="30"/>
          <w:szCs w:val="20"/>
        </w:rPr>
      </w:pPr>
    </w:p>
    <w:p>
      <w:pPr>
        <w:snapToGrid w:val="0"/>
        <w:spacing w:line="360" w:lineRule="auto"/>
        <w:rPr>
          <w:rFonts w:ascii="宋体" w:hAnsi="宋体"/>
          <w:sz w:val="24"/>
          <w:szCs w:val="20"/>
        </w:rPr>
      </w:pPr>
      <w:r>
        <w:rPr>
          <w:rFonts w:ascii="宋体" w:hAnsi="宋体"/>
        </w:rPr>
        <w:br w:type="page"/>
      </w:r>
      <w:r>
        <w:rPr>
          <w:rFonts w:hint="eastAsia" w:ascii="宋体" w:hAnsi="宋体"/>
          <w:sz w:val="24"/>
        </w:rPr>
        <w:t>3</w:t>
      </w:r>
      <w:r>
        <w:rPr>
          <w:rFonts w:hint="eastAsia" w:ascii="宋体" w:hAnsi="宋体"/>
          <w:sz w:val="24"/>
          <w:lang w:val="en-US" w:eastAsia="zh-CN"/>
        </w:rPr>
        <w:t>3</w:t>
      </w:r>
      <w:r>
        <w:rPr>
          <w:rFonts w:hint="eastAsia" w:ascii="宋体" w:hAnsi="宋体"/>
          <w:sz w:val="24"/>
        </w:rPr>
        <w:t>.投标函格式：</w:t>
      </w:r>
    </w:p>
    <w:p>
      <w:pPr>
        <w:snapToGrid w:val="0"/>
        <w:spacing w:line="360" w:lineRule="auto"/>
        <w:jc w:val="center"/>
        <w:rPr>
          <w:rFonts w:ascii="宋体" w:hAnsi="宋体"/>
          <w:b/>
          <w:sz w:val="24"/>
          <w:szCs w:val="20"/>
        </w:rPr>
      </w:pPr>
      <w:r>
        <w:rPr>
          <w:rFonts w:hint="eastAsia" w:ascii="宋体" w:hAnsi="宋体"/>
          <w:b/>
          <w:sz w:val="24"/>
        </w:rPr>
        <w:t>投标函</w:t>
      </w:r>
    </w:p>
    <w:p>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（全名）经正式授权并代表投标人</w:t>
      </w:r>
      <w:r>
        <w:rPr>
          <w:rFonts w:ascii="宋体" w:hAnsi="宋体"/>
          <w:sz w:val="24"/>
        </w:rPr>
        <w:t>_____</w:t>
      </w:r>
      <w:r>
        <w:rPr>
          <w:rFonts w:ascii="宋体" w:hAnsi="宋体"/>
          <w:sz w:val="24"/>
          <w:u w:val="single"/>
        </w:rPr>
        <w:t>__                    __</w:t>
      </w:r>
      <w:r>
        <w:rPr>
          <w:rFonts w:hint="eastAsia" w:ascii="宋体" w:hAnsi="宋体"/>
          <w:sz w:val="24"/>
        </w:rPr>
        <w:t>（投标人名称）提交资格文件、技术/资信/商务文件</w:t>
      </w:r>
      <w:r>
        <w:rPr>
          <w:rFonts w:hint="eastAsia" w:ascii="宋体" w:hAnsi="宋体" w:cs="Arial"/>
          <w:sz w:val="24"/>
        </w:rPr>
        <w:t>、</w:t>
      </w:r>
      <w:r>
        <w:rPr>
          <w:rFonts w:hint="eastAsia" w:ascii="宋体" w:hAnsi="宋体"/>
          <w:sz w:val="24"/>
        </w:rPr>
        <w:t>投标报价文件各一份。</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 xml:space="preserve"> ______</w:t>
      </w:r>
      <w:r>
        <w:rPr>
          <w:rFonts w:hint="eastAsia" w:ascii="宋体" w:hAnsi="宋体"/>
          <w:sz w:val="24"/>
        </w:rPr>
        <w:t>个日。</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 xml:space="preserve"> ___________  </w:t>
      </w:r>
      <w:r>
        <w:rPr>
          <w:rFonts w:hint="eastAsia" w:ascii="宋体" w:hAnsi="宋体"/>
          <w:sz w:val="24"/>
        </w:rPr>
        <w:t>职务：</w:t>
      </w:r>
      <w:r>
        <w:rPr>
          <w:rFonts w:ascii="宋体" w:hAnsi="宋体"/>
          <w:sz w:val="24"/>
        </w:rPr>
        <w:t>_____________</w:t>
      </w:r>
    </w:p>
    <w:p>
      <w:pPr>
        <w:snapToGrid w:val="0"/>
        <w:spacing w:line="360" w:lineRule="auto"/>
        <w:rPr>
          <w:rFonts w:ascii="宋体" w:hAnsi="宋体"/>
          <w:sz w:val="24"/>
          <w:szCs w:val="20"/>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):___________________</w:t>
      </w:r>
    </w:p>
    <w:p>
      <w:pPr>
        <w:snapToGrid w:val="0"/>
        <w:spacing w:line="360" w:lineRule="auto"/>
        <w:rPr>
          <w:rFonts w:ascii="宋体" w:hAnsi="宋体"/>
          <w:sz w:val="24"/>
          <w:szCs w:val="20"/>
        </w:rPr>
      </w:pPr>
      <w:r>
        <w:rPr>
          <w:rFonts w:hint="eastAsia" w:ascii="宋体" w:hAnsi="宋体"/>
          <w:sz w:val="24"/>
        </w:rPr>
        <w:t>开户银行：银行账号：</w:t>
      </w:r>
    </w:p>
    <w:p>
      <w:pPr>
        <w:snapToGrid w:val="0"/>
        <w:spacing w:line="360" w:lineRule="auto"/>
        <w:rPr>
          <w:rFonts w:ascii="宋体" w:hAnsi="宋体"/>
          <w:sz w:val="30"/>
          <w:szCs w:val="20"/>
        </w:rPr>
      </w:pPr>
      <w:r>
        <w:rPr>
          <w:rFonts w:hint="eastAsia" w:ascii="宋体" w:hAnsi="宋体"/>
          <w:sz w:val="24"/>
        </w:rPr>
        <w:t>法定代表人签字</w:t>
      </w:r>
      <w:r>
        <w:rPr>
          <w:rFonts w:ascii="宋体" w:hAnsi="宋体"/>
          <w:sz w:val="24"/>
        </w:rPr>
        <w:t xml:space="preserve">:___________                      </w:t>
      </w: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pStyle w:val="20"/>
        <w:snapToGrid w:val="0"/>
        <w:spacing w:beforeLines="0" w:afterLines="0" w:line="360" w:lineRule="auto"/>
        <w:rPr>
          <w:rFonts w:hAnsi="宋体"/>
        </w:rPr>
      </w:pPr>
    </w:p>
    <w:p>
      <w:pPr>
        <w:snapToGrid w:val="0"/>
        <w:spacing w:line="360" w:lineRule="auto"/>
        <w:jc w:val="left"/>
        <w:rPr>
          <w:rFonts w:hAnsi="宋体" w:cs="仿宋"/>
        </w:rPr>
      </w:pPr>
      <w:r>
        <w:rPr>
          <w:rFonts w:hAnsi="宋体"/>
        </w:rPr>
        <w:br w:type="page"/>
      </w:r>
    </w:p>
    <w:p>
      <w:pPr>
        <w:pStyle w:val="20"/>
        <w:snapToGrid w:val="0"/>
        <w:spacing w:beforeLines="0" w:afterLines="0" w:line="360" w:lineRule="auto"/>
        <w:rPr>
          <w:rFonts w:hAnsi="宋体"/>
        </w:rPr>
      </w:pPr>
      <w:r>
        <w:rPr>
          <w:rFonts w:hint="eastAsia" w:hAnsi="宋体" w:cs="仿宋"/>
        </w:rPr>
        <w:t>3</w:t>
      </w:r>
      <w:r>
        <w:rPr>
          <w:rFonts w:hint="eastAsia" w:hAnsi="宋体" w:cs="仿宋"/>
          <w:lang w:val="en-US" w:eastAsia="zh-CN"/>
        </w:rPr>
        <w:t>4</w:t>
      </w:r>
      <w:r>
        <w:rPr>
          <w:rFonts w:hint="eastAsia" w:hAnsi="宋体" w:cs="仿宋"/>
        </w:rPr>
        <w:t>.</w:t>
      </w:r>
      <w:r>
        <w:rPr>
          <w:rFonts w:hAnsi="宋体"/>
        </w:rPr>
        <w:t xml:space="preserve">投标报价明细表格式：       </w:t>
      </w:r>
    </w:p>
    <w:p>
      <w:pPr>
        <w:pStyle w:val="20"/>
        <w:snapToGrid w:val="0"/>
        <w:spacing w:beforeLines="0" w:afterLines="0" w:line="360" w:lineRule="auto"/>
        <w:jc w:val="center"/>
        <w:rPr>
          <w:rFonts w:hAnsi="宋体"/>
        </w:rPr>
      </w:pPr>
      <w:r>
        <w:rPr>
          <w:rFonts w:hAnsi="宋体"/>
        </w:rPr>
        <w:t>投标报价明细表</w:t>
      </w:r>
    </w:p>
    <w:p>
      <w:pPr>
        <w:pStyle w:val="20"/>
        <w:snapToGrid w:val="0"/>
        <w:spacing w:beforeLines="0" w:afterLines="0" w:line="360" w:lineRule="auto"/>
        <w:rPr>
          <w:rFonts w:hAnsi="宋体"/>
          <w:sz w:val="30"/>
        </w:rPr>
      </w:pPr>
      <w:r>
        <w:rPr>
          <w:rFonts w:hAnsi="宋体"/>
        </w:rPr>
        <w:t>项目名称：</w:t>
      </w:r>
      <w:r>
        <w:rPr>
          <w:rFonts w:hAnsi="宋体"/>
          <w:szCs w:val="21"/>
        </w:rPr>
        <w:t>金额单位：人民币（元）</w:t>
      </w:r>
    </w:p>
    <w:tbl>
      <w:tblPr>
        <w:tblStyle w:val="35"/>
        <w:tblW w:w="9817"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8"/>
        <w:gridCol w:w="1612"/>
        <w:gridCol w:w="1260"/>
        <w:gridCol w:w="1088"/>
        <w:gridCol w:w="11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ascii="宋体" w:hAnsi="宋体"/>
                <w:spacing w:val="20"/>
                <w:sz w:val="24"/>
                <w:szCs w:val="20"/>
              </w:rPr>
            </w:pPr>
            <w:r>
              <w:rPr>
                <w:rFonts w:hint="eastAsia" w:ascii="宋体" w:hAnsi="宋体"/>
                <w:sz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ascii="宋体" w:hAnsi="宋体"/>
                <w:spacing w:val="20"/>
                <w:sz w:val="24"/>
                <w:szCs w:val="20"/>
              </w:rPr>
            </w:pPr>
            <w:r>
              <w:rPr>
                <w:rFonts w:hint="eastAsia" w:ascii="宋体" w:hAnsi="宋体"/>
                <w:sz w:val="24"/>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pPr>
              <w:pStyle w:val="82"/>
              <w:snapToGrid w:val="0"/>
              <w:rPr>
                <w:rFonts w:ascii="宋体" w:hAnsi="宋体" w:eastAsia="宋体"/>
              </w:rPr>
            </w:pPr>
            <w:r>
              <w:rPr>
                <w:rFonts w:ascii="宋体" w:hAnsi="宋体" w:eastAsia="宋体"/>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ascii="宋体" w:hAnsi="宋体"/>
                <w:spacing w:val="20"/>
                <w:sz w:val="24"/>
                <w:szCs w:val="20"/>
              </w:rPr>
            </w:pPr>
            <w:r>
              <w:rPr>
                <w:rFonts w:hint="eastAsia" w:ascii="宋体" w:hAnsi="宋体"/>
                <w:sz w:val="24"/>
              </w:rPr>
              <w:t>规格型号</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ascii="宋体" w:hAnsi="宋体"/>
                <w:spacing w:val="20"/>
                <w:sz w:val="24"/>
                <w:szCs w:val="20"/>
              </w:rPr>
            </w:pPr>
            <w:r>
              <w:rPr>
                <w:rFonts w:hint="eastAsia" w:ascii="宋体" w:hAnsi="宋体"/>
                <w:sz w:val="24"/>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ascii="宋体" w:hAnsi="宋体"/>
                <w:spacing w:val="20"/>
                <w:sz w:val="24"/>
                <w:szCs w:val="20"/>
              </w:rPr>
            </w:pPr>
            <w:r>
              <w:rPr>
                <w:rFonts w:hint="eastAsia" w:ascii="宋体" w:hAnsi="宋体"/>
                <w:sz w:val="24"/>
              </w:rPr>
              <w:t>单价</w:t>
            </w:r>
          </w:p>
        </w:tc>
        <w:tc>
          <w:tcPr>
            <w:tcW w:w="108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ascii="宋体" w:hAnsi="宋体"/>
                <w:spacing w:val="20"/>
                <w:sz w:val="24"/>
                <w:szCs w:val="20"/>
              </w:rPr>
            </w:pPr>
            <w:r>
              <w:rPr>
                <w:rFonts w:hint="eastAsia" w:ascii="宋体" w:hAnsi="宋体"/>
                <w:sz w:val="24"/>
              </w:rPr>
              <w:t>金额</w:t>
            </w: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widowControl/>
              <w:jc w:val="left"/>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16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kern w:val="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16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16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kern w:val="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16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kern w:val="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16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kern w:val="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16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微软雅黑" w:hAnsi="微软雅黑" w:eastAsia="微软雅黑" w:cs="微软雅黑"/>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微软雅黑" w:hAnsi="微软雅黑" w:eastAsia="微软雅黑" w:cs="微软雅黑"/>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16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微软雅黑" w:hAnsi="微软雅黑" w:eastAsia="微软雅黑" w:cs="微软雅黑"/>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微软雅黑" w:hAnsi="微软雅黑" w:eastAsia="微软雅黑" w:cs="微软雅黑"/>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16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微软雅黑" w:hAnsi="微软雅黑" w:eastAsia="微软雅黑" w:cs="微软雅黑"/>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微软雅黑" w:hAnsi="微软雅黑" w:eastAsia="微软雅黑" w:cs="微软雅黑"/>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16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微软雅黑" w:hAnsi="微软雅黑" w:eastAsia="微软雅黑" w:cs="微软雅黑"/>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微软雅黑" w:hAnsi="微软雅黑" w:eastAsia="微软雅黑" w:cs="微软雅黑"/>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16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微软雅黑" w:hAnsi="微软雅黑" w:eastAsia="微软雅黑" w:cs="微软雅黑"/>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微软雅黑" w:hAnsi="微软雅黑" w:eastAsia="微软雅黑" w:cs="微软雅黑"/>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16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微软雅黑" w:hAnsi="微软雅黑" w:eastAsia="微软雅黑" w:cs="微软雅黑"/>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微软雅黑" w:hAnsi="微软雅黑" w:eastAsia="微软雅黑" w:cs="微软雅黑"/>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16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微软雅黑" w:hAnsi="微软雅黑" w:eastAsia="微软雅黑" w:cs="微软雅黑"/>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微软雅黑" w:hAnsi="微软雅黑" w:eastAsia="微软雅黑" w:cs="微软雅黑"/>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16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微软雅黑" w:hAnsi="微软雅黑" w:eastAsia="微软雅黑" w:cs="微软雅黑"/>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微软雅黑" w:hAnsi="微软雅黑" w:eastAsia="微软雅黑" w:cs="微软雅黑"/>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16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48" w:type="dxa"/>
            <w:gridSpan w:val="8"/>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r>
              <w:rPr>
                <w:rFonts w:hint="eastAsia" w:ascii="宋体" w:hAnsi="宋体"/>
                <w:spacing w:val="20"/>
                <w:sz w:val="24"/>
              </w:rPr>
              <w:t>投标费用及利润</w:t>
            </w:r>
          </w:p>
        </w:tc>
        <w:tc>
          <w:tcPr>
            <w:tcW w:w="116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4140" w:type="dxa"/>
            <w:gridSpan w:val="3"/>
            <w:tcBorders>
              <w:top w:val="single" w:color="auto" w:sz="4" w:space="0"/>
              <w:left w:val="single" w:color="auto" w:sz="4" w:space="0"/>
              <w:bottom w:val="single" w:color="auto" w:sz="4" w:space="0"/>
              <w:right w:val="single" w:color="auto" w:sz="4" w:space="0"/>
            </w:tcBorders>
          </w:tcPr>
          <w:p>
            <w:pPr>
              <w:pStyle w:val="88"/>
              <w:tabs>
                <w:tab w:val="left" w:pos="1418"/>
              </w:tabs>
              <w:snapToGrid w:val="0"/>
              <w:spacing w:line="360" w:lineRule="auto"/>
              <w:rPr>
                <w:rFonts w:ascii="宋体" w:hAnsi="宋体"/>
                <w:spacing w:val="20"/>
                <w:szCs w:val="24"/>
              </w:rPr>
            </w:pPr>
            <w:r>
              <w:rPr>
                <w:rFonts w:hint="eastAsia" w:ascii="宋体" w:hAnsi="宋体"/>
                <w:spacing w:val="20"/>
                <w:szCs w:val="24"/>
              </w:rPr>
              <w:t>运输费、安装调试费</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16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4140" w:type="dxa"/>
            <w:gridSpan w:val="3"/>
            <w:tcBorders>
              <w:top w:val="single" w:color="auto" w:sz="4" w:space="0"/>
              <w:left w:val="single" w:color="auto" w:sz="4" w:space="0"/>
              <w:bottom w:val="single" w:color="auto" w:sz="4" w:space="0"/>
              <w:right w:val="single" w:color="auto" w:sz="4" w:space="0"/>
            </w:tcBorders>
          </w:tcPr>
          <w:p>
            <w:pPr>
              <w:pStyle w:val="88"/>
              <w:tabs>
                <w:tab w:val="left" w:pos="1418"/>
              </w:tabs>
              <w:snapToGrid w:val="0"/>
              <w:spacing w:line="360" w:lineRule="auto"/>
              <w:rPr>
                <w:rFonts w:ascii="宋体" w:hAnsi="宋体"/>
                <w:spacing w:val="20"/>
                <w:szCs w:val="24"/>
              </w:rPr>
            </w:pPr>
            <w:r>
              <w:rPr>
                <w:rFonts w:hint="eastAsia" w:ascii="宋体" w:hAnsi="宋体"/>
                <w:spacing w:val="20"/>
                <w:szCs w:val="24"/>
              </w:rPr>
              <w:t>代理费</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16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4140" w:type="dxa"/>
            <w:gridSpan w:val="3"/>
            <w:tcBorders>
              <w:top w:val="single" w:color="auto" w:sz="4" w:space="0"/>
              <w:left w:val="single" w:color="auto" w:sz="4" w:space="0"/>
              <w:bottom w:val="single" w:color="auto" w:sz="4" w:space="0"/>
              <w:right w:val="single" w:color="auto" w:sz="4" w:space="0"/>
            </w:tcBorders>
          </w:tcPr>
          <w:p>
            <w:pPr>
              <w:pStyle w:val="88"/>
              <w:tabs>
                <w:tab w:val="left" w:pos="1418"/>
              </w:tabs>
              <w:snapToGrid w:val="0"/>
              <w:spacing w:line="360" w:lineRule="auto"/>
              <w:rPr>
                <w:rFonts w:ascii="宋体" w:hAnsi="宋体"/>
                <w:spacing w:val="20"/>
                <w:szCs w:val="24"/>
              </w:rPr>
            </w:pPr>
            <w:r>
              <w:rPr>
                <w:rFonts w:hint="eastAsia" w:ascii="宋体" w:hAnsi="宋体"/>
                <w:spacing w:val="20"/>
                <w:szCs w:val="24"/>
              </w:rPr>
              <w:t>其他：</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16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4148"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rPr>
                <w:rFonts w:ascii="宋体" w:hAnsi="宋体"/>
                <w:spacing w:val="20"/>
                <w:sz w:val="24"/>
                <w:szCs w:val="20"/>
              </w:rPr>
            </w:pPr>
            <w:r>
              <w:rPr>
                <w:rFonts w:hint="eastAsia" w:ascii="宋体" w:hAnsi="宋体"/>
                <w:spacing w:val="20"/>
                <w:sz w:val="24"/>
              </w:rPr>
              <w:t>税费及附加</w:t>
            </w:r>
          </w:p>
        </w:tc>
        <w:tc>
          <w:tcPr>
            <w:tcW w:w="287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ind w:left="8"/>
              <w:rPr>
                <w:rFonts w:ascii="宋体" w:hAnsi="宋体"/>
                <w:spacing w:val="20"/>
                <w:sz w:val="24"/>
                <w:szCs w:val="20"/>
              </w:rPr>
            </w:pPr>
            <w:r>
              <w:rPr>
                <w:rFonts w:hint="eastAsia" w:ascii="宋体" w:hAnsi="宋体"/>
                <w:spacing w:val="20"/>
                <w:sz w:val="24"/>
              </w:rPr>
              <w:t>税费率</w:t>
            </w:r>
            <w:r>
              <w:rPr>
                <w:rFonts w:ascii="宋体" w:hAnsi="宋体"/>
                <w:spacing w:val="20"/>
                <w:sz w:val="24"/>
              </w:rPr>
              <w:t>: %</w:t>
            </w: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16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4148"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rPr>
                <w:rFonts w:ascii="宋体" w:hAnsi="宋体"/>
                <w:spacing w:val="20"/>
                <w:sz w:val="24"/>
                <w:szCs w:val="20"/>
              </w:rPr>
            </w:pPr>
            <w:r>
              <w:rPr>
                <w:rFonts w:hint="eastAsia" w:ascii="宋体" w:hAnsi="宋体"/>
                <w:spacing w:val="20"/>
                <w:sz w:val="24"/>
              </w:rPr>
              <w:t>项目毛利</w:t>
            </w:r>
          </w:p>
        </w:tc>
        <w:tc>
          <w:tcPr>
            <w:tcW w:w="287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ind w:left="8"/>
              <w:rPr>
                <w:rFonts w:ascii="宋体" w:hAnsi="宋体"/>
                <w:spacing w:val="20"/>
                <w:sz w:val="24"/>
                <w:szCs w:val="20"/>
              </w:rPr>
            </w:pPr>
            <w:r>
              <w:rPr>
                <w:rFonts w:hint="eastAsia" w:ascii="宋体" w:hAnsi="宋体"/>
                <w:spacing w:val="20"/>
                <w:sz w:val="24"/>
              </w:rPr>
              <w:t>毛利率：</w:t>
            </w:r>
            <w:r>
              <w:rPr>
                <w:rFonts w:ascii="宋体" w:hAnsi="宋体"/>
                <w:spacing w:val="20"/>
                <w:sz w:val="24"/>
              </w:rPr>
              <w:t>%</w:t>
            </w: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16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7"/>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r>
              <w:rPr>
                <w:rFonts w:hint="eastAsia" w:ascii="宋体" w:hAnsi="宋体"/>
                <w:spacing w:val="20"/>
                <w:sz w:val="24"/>
              </w:rPr>
              <w:t>投 标 总价</w:t>
            </w: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16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bl>
    <w:p>
      <w:pPr>
        <w:tabs>
          <w:tab w:val="left" w:pos="1418"/>
        </w:tabs>
        <w:snapToGrid w:val="0"/>
        <w:spacing w:line="360" w:lineRule="auto"/>
        <w:ind w:left="1418" w:hanging="567"/>
        <w:jc w:val="center"/>
        <w:rPr>
          <w:rFonts w:ascii="宋体" w:hAnsi="宋体"/>
          <w:spacing w:val="20"/>
          <w:sz w:val="24"/>
          <w:szCs w:val="20"/>
          <w:u w:val="single"/>
        </w:rPr>
      </w:pPr>
    </w:p>
    <w:p>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pPr>
        <w:snapToGrid w:val="0"/>
        <w:spacing w:line="360" w:lineRule="auto"/>
        <w:rPr>
          <w:rFonts w:ascii="宋体" w:hAnsi="宋体"/>
          <w:spacing w:val="20"/>
          <w:sz w:val="24"/>
          <w:u w:val="single"/>
        </w:rPr>
      </w:pPr>
      <w:r>
        <w:rPr>
          <w:rFonts w:hint="eastAsia" w:ascii="宋体" w:hAnsi="宋体"/>
          <w:spacing w:val="20"/>
          <w:sz w:val="24"/>
        </w:rPr>
        <w:t>投标人盖章：日期：</w:t>
      </w:r>
    </w:p>
    <w:p>
      <w:pPr>
        <w:pStyle w:val="14"/>
      </w:pPr>
    </w:p>
    <w:p>
      <w:pPr>
        <w:pStyle w:val="20"/>
        <w:snapToGrid w:val="0"/>
        <w:spacing w:beforeLines="0" w:afterLines="0" w:line="360" w:lineRule="auto"/>
        <w:ind w:firstLine="4800" w:firstLineChars="2000"/>
        <w:rPr>
          <w:rFonts w:hAnsi="宋体" w:cs="仿宋"/>
        </w:rPr>
      </w:pPr>
    </w:p>
    <w:p>
      <w:pPr>
        <w:spacing w:line="360" w:lineRule="auto"/>
        <w:rPr>
          <w:sz w:val="24"/>
        </w:rPr>
      </w:pPr>
      <w:r>
        <w:rPr>
          <w:rFonts w:hint="eastAsia"/>
          <w:sz w:val="24"/>
        </w:rPr>
        <w:t>3</w:t>
      </w:r>
      <w:r>
        <w:rPr>
          <w:rFonts w:hint="eastAsia"/>
          <w:sz w:val="24"/>
          <w:lang w:val="en-US" w:eastAsia="zh-CN"/>
        </w:rPr>
        <w:t>5</w:t>
      </w:r>
      <w:r>
        <w:rPr>
          <w:rFonts w:hint="eastAsia"/>
          <w:sz w:val="24"/>
        </w:rPr>
        <w:t>.招标代理服务费承诺函</w:t>
      </w:r>
    </w:p>
    <w:p>
      <w:pPr>
        <w:spacing w:line="360" w:lineRule="auto"/>
        <w:jc w:val="center"/>
        <w:rPr>
          <w:b/>
          <w:sz w:val="32"/>
        </w:rPr>
      </w:pPr>
    </w:p>
    <w:p>
      <w:pPr>
        <w:tabs>
          <w:tab w:val="left" w:pos="2996"/>
        </w:tabs>
        <w:spacing w:line="360" w:lineRule="auto"/>
        <w:ind w:firstLine="480" w:firstLineChars="200"/>
        <w:rPr>
          <w:sz w:val="24"/>
        </w:rPr>
      </w:pPr>
      <w:r>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pStyle w:val="9"/>
        <w:spacing w:line="360" w:lineRule="auto"/>
        <w:ind w:firstLine="1454" w:firstLineChars="606"/>
        <w:rPr>
          <w:rFonts w:ascii="宋体" w:hAnsi="宋体"/>
          <w:sz w:val="24"/>
          <w:szCs w:val="24"/>
        </w:rPr>
      </w:pPr>
      <w:r>
        <w:rPr>
          <w:rFonts w:hint="eastAsia" w:ascii="宋体" w:hAnsi="宋体"/>
          <w:sz w:val="24"/>
          <w:szCs w:val="24"/>
        </w:rPr>
        <w:t>投标人：（盖章）</w:t>
      </w:r>
    </w:p>
    <w:p>
      <w:pPr>
        <w:pStyle w:val="9"/>
        <w:spacing w:line="360" w:lineRule="auto"/>
        <w:ind w:firstLine="374" w:firstLineChars="156"/>
        <w:rPr>
          <w:rFonts w:ascii="宋体" w:hAnsi="宋体"/>
          <w:sz w:val="24"/>
          <w:szCs w:val="24"/>
        </w:rPr>
      </w:pPr>
    </w:p>
    <w:p>
      <w:pPr>
        <w:pStyle w:val="9"/>
        <w:spacing w:line="360" w:lineRule="auto"/>
        <w:ind w:firstLine="1334" w:firstLineChars="556"/>
        <w:rPr>
          <w:rFonts w:ascii="宋体" w:hAnsi="宋体"/>
          <w:sz w:val="24"/>
          <w:szCs w:val="24"/>
        </w:rPr>
      </w:pPr>
      <w:r>
        <w:rPr>
          <w:rFonts w:hint="eastAsia" w:ascii="宋体" w:hAnsi="宋体"/>
          <w:sz w:val="24"/>
          <w:szCs w:val="24"/>
        </w:rPr>
        <w:t>法定代表人或其授权代理人（签名或盖章）</w:t>
      </w:r>
    </w:p>
    <w:p>
      <w:pPr>
        <w:pStyle w:val="9"/>
        <w:spacing w:line="360" w:lineRule="auto"/>
        <w:ind w:firstLine="374" w:firstLineChars="156"/>
        <w:jc w:val="center"/>
        <w:rPr>
          <w:rFonts w:ascii="宋体" w:hAnsi="宋体"/>
          <w:sz w:val="24"/>
          <w:szCs w:val="24"/>
        </w:rPr>
      </w:pPr>
    </w:p>
    <w:p>
      <w:pPr>
        <w:pStyle w:val="9"/>
        <w:spacing w:line="360" w:lineRule="auto"/>
        <w:ind w:left="840" w:firstLine="374" w:firstLineChars="156"/>
        <w:rPr>
          <w:rFonts w:ascii="宋体" w:hAnsi="宋体"/>
          <w:sz w:val="24"/>
          <w:szCs w:val="24"/>
        </w:rPr>
      </w:pPr>
      <w:r>
        <w:rPr>
          <w:rFonts w:hint="eastAsia" w:ascii="宋体" w:hAnsi="宋体"/>
          <w:sz w:val="24"/>
          <w:szCs w:val="24"/>
        </w:rPr>
        <w:t xml:space="preserve">              日期：    年   月   日</w:t>
      </w:r>
    </w:p>
    <w:p>
      <w:pPr>
        <w:pStyle w:val="20"/>
        <w:snapToGrid w:val="0"/>
        <w:spacing w:beforeLines="0" w:afterLines="0" w:line="360" w:lineRule="auto"/>
      </w:pPr>
    </w:p>
    <w:p>
      <w:pPr>
        <w:pStyle w:val="9"/>
        <w:spacing w:line="500" w:lineRule="exact"/>
        <w:ind w:firstLine="0"/>
        <w:jc w:val="left"/>
        <w:rPr>
          <w:rFonts w:ascii="宋体" w:hAnsi="宋体"/>
          <w:sz w:val="24"/>
          <w:szCs w:val="24"/>
          <w:u w:val="single"/>
        </w:rPr>
      </w:pPr>
    </w:p>
    <w:p>
      <w:pPr>
        <w:pStyle w:val="9"/>
        <w:spacing w:line="500" w:lineRule="exact"/>
        <w:ind w:firstLine="0"/>
        <w:jc w:val="left"/>
        <w:rPr>
          <w:rFonts w:ascii="宋体" w:hAnsi="宋体"/>
          <w:sz w:val="24"/>
          <w:szCs w:val="24"/>
        </w:rPr>
      </w:pPr>
      <w:r>
        <w:rPr>
          <w:rFonts w:hint="eastAsia" w:ascii="宋体" w:hAnsi="宋体"/>
          <w:sz w:val="24"/>
          <w:szCs w:val="24"/>
        </w:rPr>
        <w:t>____________________________________________________________________________</w:t>
      </w:r>
    </w:p>
    <w:p>
      <w:pPr>
        <w:pStyle w:val="9"/>
        <w:spacing w:line="500" w:lineRule="exact"/>
        <w:ind w:firstLine="0"/>
        <w:jc w:val="left"/>
        <w:rPr>
          <w:rFonts w:ascii="宋体" w:hAnsi="宋体"/>
          <w:sz w:val="24"/>
          <w:szCs w:val="24"/>
        </w:rPr>
      </w:pPr>
      <w:r>
        <w:rPr>
          <w:rFonts w:hint="eastAsia" w:ascii="宋体" w:hAnsi="宋体"/>
          <w:sz w:val="24"/>
          <w:szCs w:val="24"/>
        </w:rPr>
        <w:t>代理费汇款账号：</w:t>
      </w:r>
    </w:p>
    <w:p>
      <w:pPr>
        <w:snapToGrid w:val="0"/>
        <w:jc w:val="left"/>
        <w:rPr>
          <w:rFonts w:ascii="宋体" w:hAnsi="宋体"/>
          <w:sz w:val="24"/>
        </w:rPr>
      </w:pPr>
    </w:p>
    <w:p>
      <w:pPr>
        <w:snapToGrid w:val="0"/>
        <w:jc w:val="left"/>
        <w:rPr>
          <w:rFonts w:ascii="宋体" w:hAnsi="宋体"/>
          <w:sz w:val="24"/>
        </w:rPr>
      </w:pPr>
    </w:p>
    <w:p>
      <w:pPr>
        <w:snapToGrid w:val="0"/>
        <w:rPr>
          <w:rFonts w:ascii="宋体" w:hAnsi="宋体"/>
          <w:sz w:val="24"/>
        </w:rPr>
      </w:pPr>
      <w:r>
        <w:rPr>
          <w:rFonts w:hint="eastAsia" w:ascii="宋体" w:hAnsi="宋体"/>
          <w:sz w:val="24"/>
        </w:rPr>
        <w:t>单位名称：浙江华耀建设咨询有限公司龙溪北路分公司</w:t>
      </w:r>
    </w:p>
    <w:p>
      <w:pPr>
        <w:snapToGrid w:val="0"/>
        <w:rPr>
          <w:rFonts w:ascii="宋体" w:hAnsi="宋体"/>
          <w:sz w:val="24"/>
        </w:rPr>
      </w:pPr>
      <w:r>
        <w:rPr>
          <w:rFonts w:hint="eastAsia" w:ascii="宋体" w:hAnsi="宋体"/>
          <w:sz w:val="24"/>
        </w:rPr>
        <w:t>开户银行：中国工商银行股份有限公司湖州经济开发区支行</w:t>
      </w:r>
    </w:p>
    <w:p>
      <w:pPr>
        <w:tabs>
          <w:tab w:val="left" w:pos="1418"/>
        </w:tabs>
        <w:snapToGrid w:val="0"/>
        <w:spacing w:before="50" w:after="50"/>
        <w:rPr>
          <w:rFonts w:ascii="宋体" w:hAnsi="宋体"/>
          <w:spacing w:val="20"/>
          <w:sz w:val="24"/>
          <w:szCs w:val="20"/>
          <w:u w:val="single"/>
        </w:rPr>
      </w:pPr>
      <w:r>
        <w:rPr>
          <w:rFonts w:hint="eastAsia" w:ascii="宋体" w:hAnsi="宋体"/>
          <w:sz w:val="24"/>
        </w:rPr>
        <w:t>银行账号：1205210409001029749</w:t>
      </w:r>
    </w:p>
    <w:p>
      <w:pPr>
        <w:pStyle w:val="20"/>
        <w:snapToGrid w:val="0"/>
        <w:spacing w:beforeLines="0" w:afterLines="0" w:line="360" w:lineRule="auto"/>
      </w:pPr>
    </w:p>
    <w:p>
      <w:pPr>
        <w:tabs>
          <w:tab w:val="left" w:pos="1418"/>
        </w:tabs>
        <w:snapToGrid w:val="0"/>
        <w:spacing w:line="360" w:lineRule="auto"/>
        <w:ind w:left="1418" w:hanging="567"/>
        <w:rPr>
          <w:rFonts w:ascii="宋体" w:hAnsi="宋体"/>
          <w:spacing w:val="20"/>
          <w:sz w:val="24"/>
          <w:szCs w:val="20"/>
          <w:u w:val="single"/>
        </w:rPr>
        <w:sectPr>
          <w:headerReference r:id="rId7" w:type="first"/>
          <w:footerReference r:id="rId10" w:type="first"/>
          <w:headerReference r:id="rId6" w:type="default"/>
          <w:footerReference r:id="rId8" w:type="default"/>
          <w:footerReference r:id="rId9" w:type="even"/>
          <w:pgSz w:w="11906" w:h="16838"/>
          <w:pgMar w:top="1361" w:right="1361" w:bottom="1361" w:left="1361" w:header="851" w:footer="851" w:gutter="0"/>
          <w:cols w:space="720" w:num="1"/>
          <w:docGrid w:linePitch="312" w:charSpace="0"/>
        </w:sectPr>
      </w:pPr>
    </w:p>
    <w:p>
      <w:pPr>
        <w:snapToGrid w:val="0"/>
        <w:spacing w:line="360" w:lineRule="auto"/>
        <w:rPr>
          <w:rFonts w:ascii="宋体" w:hAnsi="宋体"/>
          <w:b/>
          <w:sz w:val="24"/>
        </w:rPr>
      </w:pPr>
      <w:r>
        <w:rPr>
          <w:rFonts w:hint="eastAsia" w:ascii="宋体" w:hAnsi="宋体"/>
          <w:b/>
          <w:sz w:val="24"/>
        </w:rPr>
        <w:t>3</w:t>
      </w:r>
      <w:r>
        <w:rPr>
          <w:rFonts w:hint="eastAsia" w:ascii="宋体" w:hAnsi="宋体"/>
          <w:b/>
          <w:sz w:val="24"/>
          <w:lang w:val="en-US" w:eastAsia="zh-CN"/>
        </w:rPr>
        <w:t>6</w:t>
      </w:r>
      <w:r>
        <w:rPr>
          <w:rFonts w:hint="eastAsia" w:ascii="宋体" w:hAnsi="宋体"/>
          <w:b/>
          <w:sz w:val="24"/>
        </w:rPr>
        <w:t xml:space="preserve">.开标一览表 </w:t>
      </w:r>
    </w:p>
    <w:p>
      <w:pPr>
        <w:snapToGrid w:val="0"/>
        <w:spacing w:line="360" w:lineRule="auto"/>
        <w:jc w:val="center"/>
        <w:rPr>
          <w:rFonts w:ascii="宋体" w:hAnsi="宋体"/>
          <w:b/>
          <w:sz w:val="30"/>
          <w:szCs w:val="20"/>
        </w:rPr>
      </w:pPr>
      <w:r>
        <w:rPr>
          <w:rFonts w:hint="eastAsia" w:ascii="宋体" w:hAnsi="宋体"/>
          <w:b/>
          <w:sz w:val="30"/>
        </w:rPr>
        <w:t>开标一览表</w:t>
      </w:r>
    </w:p>
    <w:p>
      <w:pPr>
        <w:snapToGrid w:val="0"/>
        <w:spacing w:line="360" w:lineRule="auto"/>
        <w:rPr>
          <w:rFonts w:ascii="宋体" w:hAnsi="宋体"/>
          <w:sz w:val="24"/>
          <w:szCs w:val="20"/>
        </w:rPr>
      </w:pPr>
      <w:r>
        <w:rPr>
          <w:rFonts w:hint="eastAsia" w:ascii="宋体" w:hAnsi="宋体"/>
          <w:sz w:val="24"/>
        </w:rPr>
        <w:t>招标编号：项目名称：投标人名称：单位：元</w:t>
      </w:r>
    </w:p>
    <w:tbl>
      <w:tblPr>
        <w:tblStyle w:val="35"/>
        <w:tblW w:w="11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1603"/>
        <w:gridCol w:w="810"/>
        <w:gridCol w:w="1003"/>
        <w:gridCol w:w="3071"/>
        <w:gridCol w:w="1978"/>
        <w:gridCol w:w="1079"/>
        <w:gridCol w:w="15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项目名称</w:t>
            </w: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货物名称</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数量</w:t>
            </w: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产地</w:t>
            </w:r>
          </w:p>
        </w:tc>
        <w:tc>
          <w:tcPr>
            <w:tcW w:w="30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品牌及厂家</w:t>
            </w: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规格型号</w:t>
            </w:r>
          </w:p>
        </w:tc>
        <w:tc>
          <w:tcPr>
            <w:tcW w:w="10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单价</w:t>
            </w: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32"/>
                <w:szCs w:val="20"/>
              </w:rPr>
            </w:pPr>
          </w:p>
          <w:p>
            <w:pPr>
              <w:snapToGrid w:val="0"/>
              <w:spacing w:line="360" w:lineRule="auto"/>
              <w:jc w:val="center"/>
              <w:rPr>
                <w:rFonts w:ascii="宋体" w:hAnsi="宋体"/>
                <w:sz w:val="32"/>
                <w:szCs w:val="20"/>
              </w:rPr>
            </w:pP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Cs/>
                <w:sz w:val="32"/>
                <w:szCs w:val="20"/>
              </w:rPr>
            </w:pP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Cs/>
                <w:sz w:val="32"/>
                <w:szCs w:val="20"/>
              </w:rPr>
            </w:pP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32"/>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32"/>
                <w:szCs w:val="21"/>
              </w:rPr>
            </w:pP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32"/>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32"/>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32"/>
              </w:rPr>
            </w:pP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Cs/>
                <w:sz w:val="32"/>
                <w:szCs w:val="20"/>
              </w:rPr>
            </w:pP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Cs/>
                <w:sz w:val="32"/>
                <w:szCs w:val="20"/>
              </w:rPr>
            </w:pP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32"/>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32"/>
                <w:szCs w:val="21"/>
              </w:rPr>
            </w:pP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32"/>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32"/>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7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Cs/>
                <w:sz w:val="24"/>
                <w:szCs w:val="20"/>
              </w:rPr>
            </w:pP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Cs/>
                <w:sz w:val="24"/>
                <w:szCs w:val="20"/>
              </w:rPr>
            </w:pP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1"/>
              </w:rPr>
            </w:pP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20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1"/>
              </w:rPr>
            </w:pPr>
            <w:r>
              <w:rPr>
                <w:rFonts w:hint="eastAsia" w:ascii="宋体" w:hAnsi="宋体"/>
                <w:sz w:val="24"/>
                <w:szCs w:val="21"/>
              </w:rPr>
              <w:t>投标费用及利润</w:t>
            </w:r>
          </w:p>
        </w:tc>
        <w:tc>
          <w:tcPr>
            <w:tcW w:w="10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1804"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1"/>
                <w:u w:val="single"/>
              </w:rPr>
            </w:pPr>
            <w:r>
              <w:rPr>
                <w:rFonts w:hint="eastAsia" w:ascii="宋体" w:hAnsi="宋体"/>
                <w:sz w:val="24"/>
                <w:szCs w:val="21"/>
              </w:rPr>
              <w:t>合计金额大写：￥</w:t>
            </w:r>
          </w:p>
        </w:tc>
      </w:tr>
    </w:tbl>
    <w:p>
      <w:pPr>
        <w:snapToGrid w:val="0"/>
        <w:spacing w:line="360" w:lineRule="auto"/>
        <w:jc w:val="left"/>
        <w:rPr>
          <w:rFonts w:ascii="宋体" w:hAnsi="宋体"/>
          <w:sz w:val="24"/>
          <w:szCs w:val="20"/>
        </w:rPr>
      </w:pPr>
      <w:r>
        <w:rPr>
          <w:rFonts w:hint="eastAsia" w:ascii="宋体" w:hAnsi="宋体"/>
          <w:sz w:val="24"/>
        </w:rPr>
        <w:t>注</w:t>
      </w:r>
      <w:r>
        <w:rPr>
          <w:rFonts w:ascii="宋体" w:hAnsi="宋体"/>
          <w:sz w:val="24"/>
        </w:rPr>
        <w:t>: 1</w:t>
      </w:r>
      <w:r>
        <w:rPr>
          <w:rFonts w:hint="eastAsia" w:ascii="宋体" w:hAnsi="宋体"/>
          <w:sz w:val="24"/>
        </w:rPr>
        <w:t>、报价一经涂改，应在涂改处加盖单位公章或者由法定代表人或授权委托人签字或盖章，否则其投标作无效标处理。</w:t>
      </w:r>
    </w:p>
    <w:p>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、凡需用专用耗材的专用设备类采购项目，应按招标文件规定的耗材量或按耗材的常规试用量提供报价。</w:t>
      </w:r>
    </w:p>
    <w:p>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、投标费用包括项目实施所需的人工费、服务费、运输费、安装调试费、购买及制作标书费、税费及其他一切费用。</w:t>
      </w:r>
    </w:p>
    <w:p>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、以上报价应与“投标设备报价明细表”中的“投标总价”相一致。</w:t>
      </w:r>
    </w:p>
    <w:p>
      <w:pPr>
        <w:snapToGrid w:val="0"/>
        <w:spacing w:line="360" w:lineRule="auto"/>
        <w:ind w:left="-2" w:leftChars="-1" w:right="-817" w:rightChars="-389"/>
        <w:jc w:val="right"/>
        <w:rPr>
          <w:rFonts w:ascii="宋体" w:hAnsi="宋体"/>
          <w:sz w:val="24"/>
          <w:szCs w:val="20"/>
        </w:rPr>
      </w:pPr>
      <w:r>
        <w:rPr>
          <w:rFonts w:hint="eastAsia" w:ascii="宋体" w:hAnsi="宋体"/>
          <w:sz w:val="24"/>
        </w:rPr>
        <w:t>法定代表人签字：</w:t>
      </w:r>
    </w:p>
    <w:p>
      <w:pPr>
        <w:snapToGrid w:val="0"/>
        <w:spacing w:line="360" w:lineRule="auto"/>
        <w:ind w:right="-817" w:rightChars="-389"/>
        <w:jc w:val="right"/>
        <w:rPr>
          <w:rFonts w:ascii="宋体" w:hAnsi="宋体"/>
          <w:sz w:val="24"/>
        </w:rPr>
      </w:pPr>
      <w:r>
        <w:rPr>
          <w:rFonts w:hint="eastAsia" w:ascii="宋体" w:hAnsi="宋体"/>
          <w:sz w:val="24"/>
        </w:rPr>
        <w:t>投标人名称（盖章）：</w:t>
      </w:r>
    </w:p>
    <w:p>
      <w:pPr>
        <w:snapToGrid w:val="0"/>
        <w:spacing w:line="360" w:lineRule="auto"/>
        <w:ind w:right="-817" w:rightChars="-389"/>
        <w:jc w:val="right"/>
        <w:rPr>
          <w:rFonts w:ascii="宋体" w:hAnsi="宋体"/>
          <w:sz w:val="24"/>
        </w:rPr>
      </w:pPr>
      <w:r>
        <w:rPr>
          <w:rFonts w:hint="eastAsia" w:ascii="宋体" w:hAnsi="宋体"/>
          <w:sz w:val="24"/>
        </w:rPr>
        <w:t>日期：年月日</w:t>
      </w:r>
    </w:p>
    <w:p>
      <w:pPr>
        <w:spacing w:line="360" w:lineRule="auto"/>
        <w:jc w:val="left"/>
        <w:rPr>
          <w:sz w:val="28"/>
          <w:szCs w:val="28"/>
        </w:rPr>
      </w:pPr>
      <w:r>
        <w:rPr>
          <w:rFonts w:hint="eastAsia"/>
          <w:sz w:val="28"/>
          <w:szCs w:val="28"/>
        </w:rPr>
        <w:t>附件：</w:t>
      </w:r>
      <w:r>
        <w:rPr>
          <w:sz w:val="28"/>
          <w:szCs w:val="28"/>
        </w:rPr>
        <w:t xml:space="preserve"> “</w:t>
      </w:r>
      <w:r>
        <w:rPr>
          <w:rFonts w:hint="eastAsia"/>
          <w:sz w:val="28"/>
          <w:szCs w:val="28"/>
        </w:rPr>
        <w:t>信用中国</w:t>
      </w:r>
      <w:r>
        <w:rPr>
          <w:sz w:val="28"/>
          <w:szCs w:val="28"/>
        </w:rPr>
        <w:t>”</w:t>
      </w:r>
      <w:r>
        <w:rPr>
          <w:rFonts w:hint="eastAsia"/>
          <w:sz w:val="28"/>
          <w:szCs w:val="28"/>
        </w:rPr>
        <w:t>（</w:t>
      </w:r>
      <w:r>
        <w:rPr>
          <w:sz w:val="28"/>
          <w:szCs w:val="28"/>
        </w:rPr>
        <w:t>www.creditchina.gov.cn</w:t>
      </w:r>
      <w:r>
        <w:rPr>
          <w:rFonts w:hint="eastAsia"/>
          <w:sz w:val="28"/>
          <w:szCs w:val="28"/>
        </w:rPr>
        <w:t>）、</w:t>
      </w:r>
      <w:r>
        <w:rPr>
          <w:sz w:val="28"/>
          <w:szCs w:val="28"/>
        </w:rPr>
        <w:t>“</w:t>
      </w:r>
      <w:r>
        <w:rPr>
          <w:rFonts w:hint="eastAsia"/>
          <w:sz w:val="28"/>
          <w:szCs w:val="28"/>
        </w:rPr>
        <w:t>中国政府采购网</w:t>
      </w:r>
      <w:r>
        <w:rPr>
          <w:sz w:val="28"/>
          <w:szCs w:val="28"/>
        </w:rPr>
        <w:t>”</w:t>
      </w:r>
      <w:r>
        <w:rPr>
          <w:rFonts w:hint="eastAsia"/>
          <w:sz w:val="28"/>
          <w:szCs w:val="28"/>
        </w:rPr>
        <w:t>（</w:t>
      </w:r>
      <w:r>
        <w:rPr>
          <w:sz w:val="28"/>
          <w:szCs w:val="28"/>
        </w:rPr>
        <w:t>www.ccgp.gov.cn</w:t>
      </w:r>
      <w:r>
        <w:rPr>
          <w:rFonts w:hint="eastAsia"/>
          <w:sz w:val="28"/>
          <w:szCs w:val="28"/>
        </w:rPr>
        <w:t>）网页截图</w:t>
      </w:r>
      <w:r>
        <w:rPr>
          <w:sz w:val="28"/>
          <w:szCs w:val="28"/>
        </w:rPr>
        <w:t>模板</w:t>
      </w:r>
    </w:p>
    <w:p>
      <w:pPr>
        <w:spacing w:line="360" w:lineRule="auto"/>
        <w:jc w:val="center"/>
        <w:rPr>
          <w:i/>
          <w:sz w:val="28"/>
          <w:szCs w:val="28"/>
        </w:rPr>
      </w:pPr>
      <w:r>
        <w:drawing>
          <wp:inline distT="0" distB="0" distL="0" distR="0">
            <wp:extent cx="4037965" cy="6845300"/>
            <wp:effectExtent l="0" t="0" r="12700" b="635"/>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2"/>
                    <a:srcRect/>
                    <a:stretch>
                      <a:fillRect/>
                    </a:stretch>
                  </pic:blipFill>
                  <pic:spPr>
                    <a:xfrm rot="5400000">
                      <a:off x="0" y="0"/>
                      <a:ext cx="4037965" cy="6845300"/>
                    </a:xfrm>
                    <a:prstGeom prst="rect">
                      <a:avLst/>
                    </a:prstGeom>
                    <a:noFill/>
                    <a:ln w="9525" cmpd="sng">
                      <a:noFill/>
                      <a:miter lim="800000"/>
                      <a:headEnd/>
                      <a:tailEnd/>
                    </a:ln>
                    <a:effectLst/>
                  </pic:spPr>
                </pic:pic>
              </a:graphicData>
            </a:graphic>
          </wp:inline>
        </w:drawing>
      </w:r>
    </w:p>
    <w:p>
      <w:pPr>
        <w:spacing w:line="360" w:lineRule="auto"/>
      </w:pPr>
      <w:r>
        <w:drawing>
          <wp:inline distT="0" distB="0" distL="0" distR="0">
            <wp:extent cx="4543425" cy="7229475"/>
            <wp:effectExtent l="1371600" t="0" r="1343025"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3"/>
                    <a:srcRect/>
                    <a:stretch>
                      <a:fillRect/>
                    </a:stretch>
                  </pic:blipFill>
                  <pic:spPr>
                    <a:xfrm rot="5400000">
                      <a:off x="0" y="0"/>
                      <a:ext cx="4543425" cy="7229475"/>
                    </a:xfrm>
                    <a:prstGeom prst="rect">
                      <a:avLst/>
                    </a:prstGeom>
                    <a:noFill/>
                    <a:ln w="9525" cmpd="sng">
                      <a:noFill/>
                      <a:miter lim="800000"/>
                      <a:headEnd/>
                      <a:tailEnd/>
                    </a:ln>
                  </pic:spPr>
                </pic:pic>
              </a:graphicData>
            </a:graphic>
          </wp:inline>
        </w:drawing>
      </w:r>
    </w:p>
    <w:p/>
    <w:sectPr>
      <w:pgSz w:w="16838" w:h="11906" w:orient="landscape"/>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
    <w:altName w:val="Times New Roman"/>
    <w:panose1 w:val="00000000000000000000"/>
    <w:charset w:val="00"/>
    <w:family w:val="roman"/>
    <w:pitch w:val="default"/>
    <w:sig w:usb0="00000000" w:usb1="00000000" w:usb2="0000000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创艺简标宋">
    <w:altName w:val="黑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9"/>
        <w:rFonts w:ascii="宋体" w:hAnsi="宋体"/>
        <w:sz w:val="28"/>
        <w:szCs w:val="28"/>
      </w:rPr>
    </w:pPr>
  </w:p>
  <w:p>
    <w:pPr>
      <w:pStyle w:val="86"/>
      <w:ind w:firstLine="420"/>
      <w:rPr>
        <w:sz w:val="24"/>
        <w:szCs w:val="24"/>
      </w:rPr>
    </w:pPr>
    <w:r>
      <w:rPr>
        <w:rFonts w:hint="eastAsia"/>
      </w:rPr>
      <w:t xml:space="preserve">   浙江华耀建设咨询有限公司                                  </w:t>
    </w:r>
    <w: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54</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9"/>
      </w:rPr>
    </w:pPr>
    <w:r>
      <w:fldChar w:fldCharType="begin"/>
    </w:r>
    <w:r>
      <w:rPr>
        <w:rStyle w:val="39"/>
      </w:rPr>
      <w:instrText xml:space="preserve">PAGE  </w:instrText>
    </w:r>
    <w:r>
      <w:fldChar w:fldCharType="end"/>
    </w:r>
  </w:p>
  <w:p>
    <w:pPr>
      <w:pStyle w:val="2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9"/>
        <w:rFonts w:ascii="宋体" w:hAnsi="宋体"/>
        <w:sz w:val="28"/>
        <w:szCs w:val="28"/>
      </w:rPr>
    </w:pPr>
  </w:p>
  <w:p>
    <w:pPr>
      <w:pStyle w:val="24"/>
      <w:ind w:right="720" w:firstLine="240" w:firstLineChars="100"/>
      <w:jc w:val="center"/>
      <w:rPr>
        <w:sz w:val="24"/>
        <w:szCs w:val="24"/>
      </w:rP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69</w:t>
    </w:r>
    <w:r>
      <w:rPr>
        <w:sz w:val="24"/>
        <w:szCs w:val="24"/>
      </w:rPr>
      <w:fldChar w:fldCharType="end"/>
    </w:r>
    <w:r>
      <w:rPr>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9"/>
      </w:rPr>
    </w:pPr>
    <w:r>
      <w:fldChar w:fldCharType="begin"/>
    </w:r>
    <w:r>
      <w:rPr>
        <w:rStyle w:val="39"/>
      </w:rPr>
      <w:instrText xml:space="preserve">PAGE  </w:instrText>
    </w:r>
    <w:r>
      <w:fldChar w:fldCharType="end"/>
    </w:r>
  </w:p>
  <w:p>
    <w:pPr>
      <w:pStyle w:val="2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napToGrid w:val="0"/>
      <w:spacing w:beforeLines="0" w:afterLines="0" w:line="360" w:lineRule="auto"/>
      <w:rPr>
        <w:rFonts w:hAnsi="宋体"/>
        <w:sz w:val="21"/>
        <w:szCs w:val="21"/>
        <w:u w:val="single"/>
      </w:rPr>
    </w:pPr>
    <w:r>
      <w:rPr>
        <w:rFonts w:hint="eastAsia" w:cs="Arial"/>
        <w:sz w:val="21"/>
        <w:szCs w:val="21"/>
        <w:u w:val="single"/>
      </w:rPr>
      <w:t xml:space="preserve">湖州师范学院工学院中国智能制造挑战赛实验室设备采购项目                         </w:t>
    </w:r>
    <w:r>
      <w:rPr>
        <w:rFonts w:hint="eastAsia" w:hAnsi="宋体" w:cs="Arial"/>
        <w:sz w:val="21"/>
        <w:szCs w:val="21"/>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napToGrid w:val="0"/>
      <w:spacing w:beforeLines="0" w:afterLines="0" w:line="360" w:lineRule="auto"/>
      <w:rPr>
        <w:rFonts w:hAnsi="宋体"/>
        <w:sz w:val="21"/>
        <w:szCs w:val="21"/>
        <w:u w:val="single"/>
      </w:rPr>
    </w:pPr>
    <w:r>
      <w:rPr>
        <w:rFonts w:hint="eastAsia" w:cs="Arial"/>
        <w:sz w:val="21"/>
        <w:szCs w:val="21"/>
        <w:u w:val="single"/>
      </w:rPr>
      <w:t>湖州师范学院工学院中国智能制造挑战赛实验室设备采购项目         招标文</w:t>
    </w:r>
    <w:r>
      <w:rPr>
        <w:rFonts w:hint="eastAsia" w:hAnsi="宋体" w:cs="Arial"/>
        <w:sz w:val="21"/>
        <w:szCs w:val="21"/>
        <w:u w:val="single"/>
      </w:rPr>
      <w:t>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A6B01"/>
    <w:multiLevelType w:val="singleLevel"/>
    <w:tmpl w:val="DACA6B01"/>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2">
    <w:nsid w:val="07CE1629"/>
    <w:multiLevelType w:val="multilevel"/>
    <w:tmpl w:val="07CE1629"/>
    <w:lvl w:ilvl="0" w:tentative="0">
      <w:start w:val="1"/>
      <w:numFmt w:val="upperLetter"/>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5E360F"/>
    <w:multiLevelType w:val="multilevel"/>
    <w:tmpl w:val="0B5E360F"/>
    <w:lvl w:ilvl="0" w:tentative="0">
      <w:start w:val="1"/>
      <w:numFmt w:val="decimal"/>
      <w:lvlText w:val="%1."/>
      <w:lvlJc w:val="left"/>
      <w:pPr>
        <w:ind w:left="840" w:hanging="420"/>
      </w:p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2D67A85"/>
    <w:multiLevelType w:val="multilevel"/>
    <w:tmpl w:val="62D67A85"/>
    <w:lvl w:ilvl="0" w:tentative="0">
      <w:start w:val="1"/>
      <w:numFmt w:val="decimal"/>
      <w:lvlText w:val="%1）"/>
      <w:lvlJc w:val="left"/>
      <w:pPr>
        <w:ind w:left="360" w:hanging="360"/>
      </w:pPr>
      <w:rPr>
        <w:rFonts w:hint="default" w:ascii="Times New Roman" w:hAnsi="Times New Roman"/>
        <w:b w:val="0"/>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6482A15"/>
    <w:multiLevelType w:val="multilevel"/>
    <w:tmpl w:val="66482A15"/>
    <w:lvl w:ilvl="0" w:tentative="0">
      <w:start w:val="1"/>
      <w:numFmt w:val="decimalEnclosedCircle"/>
      <w:lvlText w:val="%1"/>
      <w:lvlJc w:val="left"/>
      <w:pPr>
        <w:ind w:left="360" w:hanging="360"/>
      </w:pPr>
      <w:rPr>
        <w:rFonts w:hint="default" w:ascii="宋体" w:hAnsi="宋体" w:eastAsia="宋体" w:cs="TimesNewRomanPSM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E062CA2"/>
    <w:multiLevelType w:val="multilevel"/>
    <w:tmpl w:val="6E062CA2"/>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4292992"/>
    <w:multiLevelType w:val="multilevel"/>
    <w:tmpl w:val="74292992"/>
    <w:lvl w:ilvl="0" w:tentative="0">
      <w:start w:val="1"/>
      <w:numFmt w:val="decimal"/>
      <w:lvlText w:val="%1）"/>
      <w:lvlJc w:val="left"/>
      <w:pPr>
        <w:ind w:left="420" w:hanging="420"/>
      </w:pPr>
      <w:rPr>
        <w:rFonts w:hint="default" w:ascii="Times New Roman" w:hAnsi="Times New Roman"/>
        <w:b w:val="0"/>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B4B4C0B"/>
    <w:multiLevelType w:val="multilevel"/>
    <w:tmpl w:val="7B4B4C0B"/>
    <w:lvl w:ilvl="0" w:tentative="0">
      <w:start w:val="1"/>
      <w:numFmt w:val="decimal"/>
      <w:lvlText w:val="%1）"/>
      <w:lvlJc w:val="left"/>
      <w:pPr>
        <w:ind w:left="420" w:hanging="420"/>
      </w:pPr>
      <w:rPr>
        <w:rFonts w:hint="default" w:ascii="Times New Roman" w:hAnsi="Times New Roman"/>
        <w:b w:val="0"/>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num>
  <w:num w:numId="2">
    <w:abstractNumId w:val="6"/>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7"/>
  </w:num>
  <w:num w:numId="8">
    <w:abstractNumId w:val="3"/>
    <w:lvlOverride w:ilvl="0">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4ZjU3MWU3NzVkZjAxNjk3NjRiOGIyNDNhNWUzYjQifQ=="/>
  </w:docVars>
  <w:rsids>
    <w:rsidRoot w:val="00E216D2"/>
    <w:rsid w:val="00007052"/>
    <w:rsid w:val="00031257"/>
    <w:rsid w:val="00032FE4"/>
    <w:rsid w:val="0003640D"/>
    <w:rsid w:val="00041A3D"/>
    <w:rsid w:val="000426C5"/>
    <w:rsid w:val="000537F8"/>
    <w:rsid w:val="0005690B"/>
    <w:rsid w:val="00064EC6"/>
    <w:rsid w:val="00066ADB"/>
    <w:rsid w:val="00071539"/>
    <w:rsid w:val="00073D92"/>
    <w:rsid w:val="0007419F"/>
    <w:rsid w:val="00082A51"/>
    <w:rsid w:val="000A42E5"/>
    <w:rsid w:val="000A6F96"/>
    <w:rsid w:val="000B35B5"/>
    <w:rsid w:val="000B4F4D"/>
    <w:rsid w:val="000C4B7D"/>
    <w:rsid w:val="000E3D09"/>
    <w:rsid w:val="000E5D2F"/>
    <w:rsid w:val="000E6032"/>
    <w:rsid w:val="000F01E4"/>
    <w:rsid w:val="000F21C8"/>
    <w:rsid w:val="000F4434"/>
    <w:rsid w:val="00106D3B"/>
    <w:rsid w:val="001312B7"/>
    <w:rsid w:val="0014269C"/>
    <w:rsid w:val="001432C4"/>
    <w:rsid w:val="00145824"/>
    <w:rsid w:val="00153FF2"/>
    <w:rsid w:val="001543E7"/>
    <w:rsid w:val="00156EF2"/>
    <w:rsid w:val="00156EFD"/>
    <w:rsid w:val="00157EA3"/>
    <w:rsid w:val="0016025A"/>
    <w:rsid w:val="00160D7E"/>
    <w:rsid w:val="00162521"/>
    <w:rsid w:val="001638C2"/>
    <w:rsid w:val="0017145A"/>
    <w:rsid w:val="00176700"/>
    <w:rsid w:val="00193241"/>
    <w:rsid w:val="00194D1F"/>
    <w:rsid w:val="00195FB1"/>
    <w:rsid w:val="001A7A84"/>
    <w:rsid w:val="001B2B02"/>
    <w:rsid w:val="001B2DA5"/>
    <w:rsid w:val="001C3858"/>
    <w:rsid w:val="001D4544"/>
    <w:rsid w:val="001E236C"/>
    <w:rsid w:val="00201399"/>
    <w:rsid w:val="002062F4"/>
    <w:rsid w:val="002104D3"/>
    <w:rsid w:val="00214711"/>
    <w:rsid w:val="002156D4"/>
    <w:rsid w:val="00222118"/>
    <w:rsid w:val="00225466"/>
    <w:rsid w:val="002425E7"/>
    <w:rsid w:val="00261571"/>
    <w:rsid w:val="00261962"/>
    <w:rsid w:val="00281467"/>
    <w:rsid w:val="00283413"/>
    <w:rsid w:val="00285874"/>
    <w:rsid w:val="00294B8B"/>
    <w:rsid w:val="002A60FA"/>
    <w:rsid w:val="002B277E"/>
    <w:rsid w:val="002B74CC"/>
    <w:rsid w:val="002C08CD"/>
    <w:rsid w:val="002C4300"/>
    <w:rsid w:val="002C7FDA"/>
    <w:rsid w:val="002F1510"/>
    <w:rsid w:val="00301566"/>
    <w:rsid w:val="003146F2"/>
    <w:rsid w:val="0032344A"/>
    <w:rsid w:val="003263AC"/>
    <w:rsid w:val="0033384D"/>
    <w:rsid w:val="00381997"/>
    <w:rsid w:val="003846C7"/>
    <w:rsid w:val="00387A91"/>
    <w:rsid w:val="003921EA"/>
    <w:rsid w:val="00397F58"/>
    <w:rsid w:val="003C476D"/>
    <w:rsid w:val="003D5ABD"/>
    <w:rsid w:val="003D777B"/>
    <w:rsid w:val="003F3529"/>
    <w:rsid w:val="003F4A4D"/>
    <w:rsid w:val="00420BB3"/>
    <w:rsid w:val="00421975"/>
    <w:rsid w:val="00442398"/>
    <w:rsid w:val="004517EC"/>
    <w:rsid w:val="00452AFE"/>
    <w:rsid w:val="00454C26"/>
    <w:rsid w:val="00456CC2"/>
    <w:rsid w:val="00457208"/>
    <w:rsid w:val="00461CA4"/>
    <w:rsid w:val="004621B2"/>
    <w:rsid w:val="00463A67"/>
    <w:rsid w:val="00463D5A"/>
    <w:rsid w:val="00464EC4"/>
    <w:rsid w:val="00480A44"/>
    <w:rsid w:val="0049078C"/>
    <w:rsid w:val="004927DA"/>
    <w:rsid w:val="00495A68"/>
    <w:rsid w:val="00496047"/>
    <w:rsid w:val="004B0641"/>
    <w:rsid w:val="004B5E1F"/>
    <w:rsid w:val="004B7FA3"/>
    <w:rsid w:val="004F2B46"/>
    <w:rsid w:val="004F42F5"/>
    <w:rsid w:val="004F523E"/>
    <w:rsid w:val="00514702"/>
    <w:rsid w:val="00524BD5"/>
    <w:rsid w:val="00540C31"/>
    <w:rsid w:val="00546497"/>
    <w:rsid w:val="005543DC"/>
    <w:rsid w:val="00565BDD"/>
    <w:rsid w:val="00577134"/>
    <w:rsid w:val="0058007E"/>
    <w:rsid w:val="00597626"/>
    <w:rsid w:val="005D30BC"/>
    <w:rsid w:val="005D4765"/>
    <w:rsid w:val="005D6B15"/>
    <w:rsid w:val="00601787"/>
    <w:rsid w:val="0061765C"/>
    <w:rsid w:val="00620785"/>
    <w:rsid w:val="0062250A"/>
    <w:rsid w:val="006325E6"/>
    <w:rsid w:val="00642727"/>
    <w:rsid w:val="00646767"/>
    <w:rsid w:val="006637D7"/>
    <w:rsid w:val="00665AC2"/>
    <w:rsid w:val="0067275B"/>
    <w:rsid w:val="00676260"/>
    <w:rsid w:val="00681104"/>
    <w:rsid w:val="006812A7"/>
    <w:rsid w:val="00681E47"/>
    <w:rsid w:val="00690426"/>
    <w:rsid w:val="00692067"/>
    <w:rsid w:val="0069554A"/>
    <w:rsid w:val="006971FA"/>
    <w:rsid w:val="006B00F4"/>
    <w:rsid w:val="006B0F79"/>
    <w:rsid w:val="006C15D4"/>
    <w:rsid w:val="006D3139"/>
    <w:rsid w:val="006D6D3F"/>
    <w:rsid w:val="006E201C"/>
    <w:rsid w:val="006E3C92"/>
    <w:rsid w:val="006F659B"/>
    <w:rsid w:val="007001D1"/>
    <w:rsid w:val="00701FA9"/>
    <w:rsid w:val="00705C38"/>
    <w:rsid w:val="00716AC2"/>
    <w:rsid w:val="00722246"/>
    <w:rsid w:val="00727309"/>
    <w:rsid w:val="0073134E"/>
    <w:rsid w:val="00737150"/>
    <w:rsid w:val="007417F1"/>
    <w:rsid w:val="00741BDA"/>
    <w:rsid w:val="00757B9A"/>
    <w:rsid w:val="0076703F"/>
    <w:rsid w:val="00770099"/>
    <w:rsid w:val="00785EDC"/>
    <w:rsid w:val="00787372"/>
    <w:rsid w:val="0079456F"/>
    <w:rsid w:val="00794D4E"/>
    <w:rsid w:val="007A040F"/>
    <w:rsid w:val="007A7E70"/>
    <w:rsid w:val="007B175F"/>
    <w:rsid w:val="007B1947"/>
    <w:rsid w:val="007B199C"/>
    <w:rsid w:val="007C5ED9"/>
    <w:rsid w:val="007D7BF0"/>
    <w:rsid w:val="007D7C8B"/>
    <w:rsid w:val="007E5BB3"/>
    <w:rsid w:val="007E7253"/>
    <w:rsid w:val="0080200F"/>
    <w:rsid w:val="0082634C"/>
    <w:rsid w:val="00837DEC"/>
    <w:rsid w:val="008708F2"/>
    <w:rsid w:val="00872AF2"/>
    <w:rsid w:val="00873C0D"/>
    <w:rsid w:val="00875E6A"/>
    <w:rsid w:val="008807D3"/>
    <w:rsid w:val="0088708B"/>
    <w:rsid w:val="00897351"/>
    <w:rsid w:val="008A0355"/>
    <w:rsid w:val="008A1D20"/>
    <w:rsid w:val="008A3907"/>
    <w:rsid w:val="008B12A0"/>
    <w:rsid w:val="008B36A6"/>
    <w:rsid w:val="008B4D85"/>
    <w:rsid w:val="008B5331"/>
    <w:rsid w:val="008C5FC8"/>
    <w:rsid w:val="008E7CF9"/>
    <w:rsid w:val="009003D0"/>
    <w:rsid w:val="00946605"/>
    <w:rsid w:val="00953637"/>
    <w:rsid w:val="00957107"/>
    <w:rsid w:val="0098387C"/>
    <w:rsid w:val="00984AED"/>
    <w:rsid w:val="0099759B"/>
    <w:rsid w:val="009A57D5"/>
    <w:rsid w:val="009A6ECE"/>
    <w:rsid w:val="009B78FF"/>
    <w:rsid w:val="009D2B28"/>
    <w:rsid w:val="009D6E16"/>
    <w:rsid w:val="00A05220"/>
    <w:rsid w:val="00A05C7E"/>
    <w:rsid w:val="00A10435"/>
    <w:rsid w:val="00A10AA7"/>
    <w:rsid w:val="00A261BE"/>
    <w:rsid w:val="00A341F1"/>
    <w:rsid w:val="00A34726"/>
    <w:rsid w:val="00A35E52"/>
    <w:rsid w:val="00A40ED3"/>
    <w:rsid w:val="00A45ED9"/>
    <w:rsid w:val="00A50BF7"/>
    <w:rsid w:val="00A540D1"/>
    <w:rsid w:val="00A72999"/>
    <w:rsid w:val="00A766B5"/>
    <w:rsid w:val="00A81BAD"/>
    <w:rsid w:val="00A84EA9"/>
    <w:rsid w:val="00A87DD7"/>
    <w:rsid w:val="00A90858"/>
    <w:rsid w:val="00A9296F"/>
    <w:rsid w:val="00A97569"/>
    <w:rsid w:val="00AA6912"/>
    <w:rsid w:val="00AC0F37"/>
    <w:rsid w:val="00AC4D14"/>
    <w:rsid w:val="00AD125A"/>
    <w:rsid w:val="00AD12E5"/>
    <w:rsid w:val="00AD5AD3"/>
    <w:rsid w:val="00AD6F71"/>
    <w:rsid w:val="00AE7571"/>
    <w:rsid w:val="00AF1F4B"/>
    <w:rsid w:val="00AF6D45"/>
    <w:rsid w:val="00B112FD"/>
    <w:rsid w:val="00B27A20"/>
    <w:rsid w:val="00B33F27"/>
    <w:rsid w:val="00B429D3"/>
    <w:rsid w:val="00B714DF"/>
    <w:rsid w:val="00B83A98"/>
    <w:rsid w:val="00B85A4A"/>
    <w:rsid w:val="00B87D20"/>
    <w:rsid w:val="00B94268"/>
    <w:rsid w:val="00BA39A5"/>
    <w:rsid w:val="00BA7B00"/>
    <w:rsid w:val="00BE17F2"/>
    <w:rsid w:val="00BF056D"/>
    <w:rsid w:val="00BF2457"/>
    <w:rsid w:val="00BF3D1E"/>
    <w:rsid w:val="00BF417F"/>
    <w:rsid w:val="00C021A4"/>
    <w:rsid w:val="00C07C5A"/>
    <w:rsid w:val="00C07D38"/>
    <w:rsid w:val="00C20242"/>
    <w:rsid w:val="00C22869"/>
    <w:rsid w:val="00C23A4F"/>
    <w:rsid w:val="00C31C2C"/>
    <w:rsid w:val="00C34678"/>
    <w:rsid w:val="00C50CC9"/>
    <w:rsid w:val="00C546EC"/>
    <w:rsid w:val="00C55E6A"/>
    <w:rsid w:val="00C5723F"/>
    <w:rsid w:val="00C8171A"/>
    <w:rsid w:val="00CA79AB"/>
    <w:rsid w:val="00CE31E1"/>
    <w:rsid w:val="00CE3314"/>
    <w:rsid w:val="00D033F7"/>
    <w:rsid w:val="00D11C99"/>
    <w:rsid w:val="00D13275"/>
    <w:rsid w:val="00D36D2C"/>
    <w:rsid w:val="00D42D05"/>
    <w:rsid w:val="00D47E1F"/>
    <w:rsid w:val="00D52F74"/>
    <w:rsid w:val="00D5784C"/>
    <w:rsid w:val="00D60431"/>
    <w:rsid w:val="00D64DCF"/>
    <w:rsid w:val="00D65FDB"/>
    <w:rsid w:val="00D871FE"/>
    <w:rsid w:val="00D902F0"/>
    <w:rsid w:val="00D92241"/>
    <w:rsid w:val="00DA5D56"/>
    <w:rsid w:val="00DA64AB"/>
    <w:rsid w:val="00DC4474"/>
    <w:rsid w:val="00DD16FD"/>
    <w:rsid w:val="00E04683"/>
    <w:rsid w:val="00E1332A"/>
    <w:rsid w:val="00E13508"/>
    <w:rsid w:val="00E14020"/>
    <w:rsid w:val="00E20146"/>
    <w:rsid w:val="00E21672"/>
    <w:rsid w:val="00E216D2"/>
    <w:rsid w:val="00E41C62"/>
    <w:rsid w:val="00E73C87"/>
    <w:rsid w:val="00E80D7E"/>
    <w:rsid w:val="00EB258F"/>
    <w:rsid w:val="00EB3EB1"/>
    <w:rsid w:val="00EB443B"/>
    <w:rsid w:val="00EC7021"/>
    <w:rsid w:val="00EF3DB6"/>
    <w:rsid w:val="00F017E0"/>
    <w:rsid w:val="00F0721D"/>
    <w:rsid w:val="00F0757C"/>
    <w:rsid w:val="00F13CBA"/>
    <w:rsid w:val="00F164CD"/>
    <w:rsid w:val="00F27BA6"/>
    <w:rsid w:val="00F30279"/>
    <w:rsid w:val="00F3518B"/>
    <w:rsid w:val="00F352CA"/>
    <w:rsid w:val="00F41577"/>
    <w:rsid w:val="00F54F60"/>
    <w:rsid w:val="00F565A1"/>
    <w:rsid w:val="00F741D1"/>
    <w:rsid w:val="00F81286"/>
    <w:rsid w:val="00FA7ED4"/>
    <w:rsid w:val="00FB78F8"/>
    <w:rsid w:val="00FC5D7A"/>
    <w:rsid w:val="00FD530E"/>
    <w:rsid w:val="00FE242E"/>
    <w:rsid w:val="00FE28A5"/>
    <w:rsid w:val="00FE292F"/>
    <w:rsid w:val="00FE425F"/>
    <w:rsid w:val="01046D86"/>
    <w:rsid w:val="011D6E67"/>
    <w:rsid w:val="02226DE7"/>
    <w:rsid w:val="04E92909"/>
    <w:rsid w:val="101B67A7"/>
    <w:rsid w:val="12F86697"/>
    <w:rsid w:val="13B44A8A"/>
    <w:rsid w:val="1517297F"/>
    <w:rsid w:val="177F0A39"/>
    <w:rsid w:val="19E435FD"/>
    <w:rsid w:val="1C3919D2"/>
    <w:rsid w:val="1EF328AA"/>
    <w:rsid w:val="21D722E3"/>
    <w:rsid w:val="21E11013"/>
    <w:rsid w:val="220B18C2"/>
    <w:rsid w:val="22A46B00"/>
    <w:rsid w:val="23F34EA3"/>
    <w:rsid w:val="2B7D3C27"/>
    <w:rsid w:val="2BEE216F"/>
    <w:rsid w:val="2CF52909"/>
    <w:rsid w:val="2E1F5CFC"/>
    <w:rsid w:val="33A02298"/>
    <w:rsid w:val="33D57B92"/>
    <w:rsid w:val="352248AD"/>
    <w:rsid w:val="36243BAE"/>
    <w:rsid w:val="378B76CC"/>
    <w:rsid w:val="3D434851"/>
    <w:rsid w:val="413C419C"/>
    <w:rsid w:val="439F2073"/>
    <w:rsid w:val="442C73B2"/>
    <w:rsid w:val="46026DAB"/>
    <w:rsid w:val="46326C27"/>
    <w:rsid w:val="4794408B"/>
    <w:rsid w:val="4A537C1F"/>
    <w:rsid w:val="4C200B48"/>
    <w:rsid w:val="4D93224D"/>
    <w:rsid w:val="4DD317A9"/>
    <w:rsid w:val="4DD70B1D"/>
    <w:rsid w:val="4E631CB8"/>
    <w:rsid w:val="50006C16"/>
    <w:rsid w:val="500542B6"/>
    <w:rsid w:val="501610BD"/>
    <w:rsid w:val="50634C3A"/>
    <w:rsid w:val="515B2E61"/>
    <w:rsid w:val="52BB45E9"/>
    <w:rsid w:val="558372C8"/>
    <w:rsid w:val="59E91DE6"/>
    <w:rsid w:val="5AFF7D61"/>
    <w:rsid w:val="5B8C14FC"/>
    <w:rsid w:val="60EA620B"/>
    <w:rsid w:val="61110B4D"/>
    <w:rsid w:val="652A7EDD"/>
    <w:rsid w:val="65B95CDD"/>
    <w:rsid w:val="68ED0400"/>
    <w:rsid w:val="6B3D766F"/>
    <w:rsid w:val="6B7A60B0"/>
    <w:rsid w:val="6D55144C"/>
    <w:rsid w:val="6DB56A2D"/>
    <w:rsid w:val="6E0913DE"/>
    <w:rsid w:val="720529BB"/>
    <w:rsid w:val="72BC4A36"/>
    <w:rsid w:val="73F33528"/>
    <w:rsid w:val="74E62789"/>
    <w:rsid w:val="78082788"/>
    <w:rsid w:val="7B000AAA"/>
    <w:rsid w:val="7B174540"/>
    <w:rsid w:val="ED79D2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39" w:semiHidden="0" w:name="Table Grid"/>
    <w:lsdException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0"/>
    <w:pPr>
      <w:keepNext/>
      <w:keepLines/>
      <w:spacing w:before="340" w:after="330" w:line="576" w:lineRule="auto"/>
      <w:outlineLvl w:val="0"/>
    </w:pPr>
    <w:rPr>
      <w:rFonts w:ascii="time new roman" w:hAnsi="time new roman" w:eastAsia="长城粗隶书" w:cs="Courier New"/>
      <w:b/>
      <w:bCs/>
      <w:kern w:val="44"/>
      <w:sz w:val="44"/>
      <w:szCs w:val="44"/>
    </w:rPr>
  </w:style>
  <w:style w:type="paragraph" w:styleId="4">
    <w:name w:val="heading 2"/>
    <w:basedOn w:val="1"/>
    <w:next w:val="1"/>
    <w:link w:val="48"/>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49"/>
    <w:qFormat/>
    <w:uiPriority w:val="0"/>
    <w:pPr>
      <w:keepNext/>
      <w:keepLines/>
      <w:spacing w:before="260" w:after="260" w:line="416" w:lineRule="auto"/>
      <w:outlineLvl w:val="2"/>
    </w:pPr>
    <w:rPr>
      <w:b/>
      <w:bCs/>
      <w:sz w:val="32"/>
      <w:szCs w:val="32"/>
    </w:rPr>
  </w:style>
  <w:style w:type="paragraph" w:styleId="6">
    <w:name w:val="heading 4"/>
    <w:basedOn w:val="1"/>
    <w:next w:val="1"/>
    <w:link w:val="50"/>
    <w:qFormat/>
    <w:uiPriority w:val="0"/>
    <w:pPr>
      <w:keepNext/>
      <w:keepLines/>
      <w:spacing w:before="280" w:after="290" w:line="376" w:lineRule="auto"/>
      <w:outlineLvl w:val="3"/>
    </w:pPr>
    <w:rPr>
      <w:rFonts w:ascii="Cambria" w:hAnsi="Cambria"/>
      <w:b/>
      <w:bCs/>
      <w:sz w:val="28"/>
      <w:szCs w:val="28"/>
    </w:rPr>
  </w:style>
  <w:style w:type="character" w:default="1" w:styleId="37">
    <w:name w:val="Default Paragraph Font"/>
    <w:semiHidden/>
    <w:unhideWhenUsed/>
    <w:qFormat/>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65"/>
    <w:qFormat/>
    <w:uiPriority w:val="0"/>
    <w:pPr>
      <w:spacing w:before="240" w:after="60" w:line="480" w:lineRule="exact"/>
      <w:jc w:val="center"/>
      <w:outlineLvl w:val="0"/>
    </w:pPr>
    <w:rPr>
      <w:rFonts w:ascii="Cambria" w:hAnsi="Cambria"/>
      <w:b/>
      <w:bCs/>
      <w:sz w:val="32"/>
      <w:szCs w:val="32"/>
    </w:rPr>
  </w:style>
  <w:style w:type="paragraph" w:styleId="7">
    <w:name w:val="Note Heading"/>
    <w:basedOn w:val="1"/>
    <w:next w:val="1"/>
    <w:link w:val="52"/>
    <w:qFormat/>
    <w:uiPriority w:val="0"/>
    <w:pPr>
      <w:jc w:val="center"/>
    </w:pPr>
    <w:rPr>
      <w:rFonts w:ascii="time new roman" w:hAnsi="time new roman" w:eastAsia="长城粗隶书"/>
    </w:rPr>
  </w:style>
  <w:style w:type="paragraph" w:styleId="8">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9">
    <w:name w:val="Normal Indent"/>
    <w:basedOn w:val="1"/>
    <w:link w:val="53"/>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54"/>
    <w:qFormat/>
    <w:uiPriority w:val="0"/>
    <w:pPr>
      <w:shd w:val="clear" w:color="auto" w:fill="000080"/>
    </w:pPr>
  </w:style>
  <w:style w:type="paragraph" w:styleId="12">
    <w:name w:val="annotation text"/>
    <w:basedOn w:val="1"/>
    <w:link w:val="55"/>
    <w:qFormat/>
    <w:uiPriority w:val="0"/>
    <w:pPr>
      <w:jc w:val="left"/>
    </w:pPr>
  </w:style>
  <w:style w:type="paragraph" w:styleId="13">
    <w:name w:val="Body Text 3"/>
    <w:basedOn w:val="1"/>
    <w:link w:val="56"/>
    <w:qFormat/>
    <w:uiPriority w:val="0"/>
    <w:pPr>
      <w:snapToGrid w:val="0"/>
      <w:spacing w:before="50" w:after="50"/>
    </w:pPr>
    <w:rPr>
      <w:rFonts w:hAnsi="宋体" w:eastAsia="仿宋_GB2312"/>
      <w:b/>
      <w:bCs/>
      <w:sz w:val="24"/>
      <w:szCs w:val="20"/>
    </w:rPr>
  </w:style>
  <w:style w:type="paragraph" w:styleId="14">
    <w:name w:val="Body Text"/>
    <w:basedOn w:val="1"/>
    <w:next w:val="15"/>
    <w:link w:val="51"/>
    <w:qFormat/>
    <w:uiPriority w:val="0"/>
    <w:pPr>
      <w:spacing w:after="120"/>
    </w:pPr>
    <w:rPr>
      <w:sz w:val="28"/>
    </w:rPr>
  </w:style>
  <w:style w:type="paragraph" w:styleId="15">
    <w:name w:val="toc 8"/>
    <w:basedOn w:val="1"/>
    <w:next w:val="1"/>
    <w:qFormat/>
    <w:uiPriority w:val="0"/>
    <w:pPr>
      <w:ind w:left="2940" w:leftChars="1400"/>
    </w:pPr>
  </w:style>
  <w:style w:type="paragraph" w:styleId="16">
    <w:name w:val="Body Text Indent"/>
    <w:basedOn w:val="1"/>
    <w:next w:val="1"/>
    <w:link w:val="57"/>
    <w:qFormat/>
    <w:uiPriority w:val="0"/>
    <w:pPr>
      <w:spacing w:line="200" w:lineRule="exact"/>
      <w:ind w:firstLine="301"/>
    </w:pPr>
    <w:rPr>
      <w:rFonts w:ascii="宋体" w:hAnsi="Courier New"/>
      <w:spacing w:val="-4"/>
      <w:sz w:val="18"/>
      <w:szCs w:val="20"/>
    </w:rPr>
  </w:style>
  <w:style w:type="paragraph" w:styleId="17">
    <w:name w:val="List Number 3"/>
    <w:basedOn w:val="1"/>
    <w:qFormat/>
    <w:uiPriority w:val="0"/>
    <w:pPr>
      <w:tabs>
        <w:tab w:val="left" w:pos="1200"/>
      </w:tabs>
      <w:ind w:left="1200" w:hanging="360"/>
    </w:pPr>
  </w:style>
  <w:style w:type="paragraph" w:styleId="18">
    <w:name w:val="List 2"/>
    <w:basedOn w:val="1"/>
    <w:qFormat/>
    <w:uiPriority w:val="0"/>
    <w:pPr>
      <w:ind w:left="100" w:leftChars="200" w:hanging="200" w:hangingChars="200"/>
    </w:pPr>
    <w:rPr>
      <w:sz w:val="28"/>
    </w:rPr>
  </w:style>
  <w:style w:type="paragraph" w:styleId="19">
    <w:name w:val="Block Text"/>
    <w:basedOn w:val="1"/>
    <w:qFormat/>
    <w:uiPriority w:val="0"/>
    <w:pPr>
      <w:spacing w:after="120"/>
      <w:ind w:left="1440" w:leftChars="700" w:right="1440" w:rightChars="700"/>
    </w:pPr>
    <w:rPr>
      <w:rFonts w:ascii="time new roman" w:hAnsi="time new roman" w:eastAsia="长城粗隶书" w:cs="Courier New"/>
    </w:rPr>
  </w:style>
  <w:style w:type="paragraph" w:styleId="20">
    <w:name w:val="Plain Text"/>
    <w:basedOn w:val="1"/>
    <w:link w:val="59"/>
    <w:qFormat/>
    <w:uiPriority w:val="0"/>
    <w:pPr>
      <w:spacing w:beforeLines="50" w:afterLines="50" w:line="400" w:lineRule="exact"/>
    </w:pPr>
    <w:rPr>
      <w:rFonts w:ascii="宋体" w:hAnsi="Courier New"/>
      <w:sz w:val="24"/>
    </w:rPr>
  </w:style>
  <w:style w:type="paragraph" w:styleId="21">
    <w:name w:val="Date"/>
    <w:basedOn w:val="1"/>
    <w:next w:val="1"/>
    <w:link w:val="60"/>
    <w:qFormat/>
    <w:uiPriority w:val="0"/>
    <w:pPr>
      <w:ind w:left="2500" w:leftChars="2500"/>
    </w:pPr>
    <w:rPr>
      <w:rFonts w:eastAsia="楷体_GB2312"/>
      <w:sz w:val="32"/>
      <w:szCs w:val="20"/>
    </w:rPr>
  </w:style>
  <w:style w:type="paragraph" w:styleId="22">
    <w:name w:val="Body Text Indent 2"/>
    <w:basedOn w:val="1"/>
    <w:link w:val="61"/>
    <w:qFormat/>
    <w:uiPriority w:val="0"/>
    <w:pPr>
      <w:snapToGrid w:val="0"/>
      <w:ind w:firstLine="542" w:firstLineChars="225"/>
    </w:pPr>
    <w:rPr>
      <w:rFonts w:ascii="仿宋_GB2312" w:hAnsi="宋体" w:cs="Arial"/>
      <w:b/>
      <w:bCs/>
      <w:color w:val="000000"/>
      <w:sz w:val="24"/>
    </w:rPr>
  </w:style>
  <w:style w:type="paragraph" w:styleId="23">
    <w:name w:val="Balloon Text"/>
    <w:basedOn w:val="1"/>
    <w:link w:val="62"/>
    <w:qFormat/>
    <w:uiPriority w:val="0"/>
    <w:rPr>
      <w:rFonts w:ascii="time new roman" w:hAnsi="time new roman" w:eastAsia="长城粗隶书" w:cs="Courier New"/>
      <w:sz w:val="18"/>
      <w:szCs w:val="18"/>
    </w:rPr>
  </w:style>
  <w:style w:type="paragraph" w:styleId="24">
    <w:name w:val="footer"/>
    <w:basedOn w:val="1"/>
    <w:link w:val="46"/>
    <w:unhideWhenUsed/>
    <w:qFormat/>
    <w:uiPriority w:val="0"/>
    <w:pPr>
      <w:tabs>
        <w:tab w:val="center" w:pos="4153"/>
        <w:tab w:val="right" w:pos="8306"/>
      </w:tabs>
      <w:snapToGrid w:val="0"/>
      <w:jc w:val="left"/>
    </w:pPr>
    <w:rPr>
      <w:sz w:val="18"/>
      <w:szCs w:val="18"/>
    </w:rPr>
  </w:style>
  <w:style w:type="paragraph" w:styleId="25">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List"/>
    <w:basedOn w:val="1"/>
    <w:qFormat/>
    <w:uiPriority w:val="0"/>
    <w:pPr>
      <w:ind w:left="200" w:hanging="200" w:hangingChars="200"/>
    </w:pPr>
    <w:rPr>
      <w:sz w:val="28"/>
    </w:rPr>
  </w:style>
  <w:style w:type="paragraph" w:styleId="28">
    <w:name w:val="footnote text"/>
    <w:basedOn w:val="1"/>
    <w:semiHidden/>
    <w:qFormat/>
    <w:uiPriority w:val="99"/>
    <w:pPr>
      <w:snapToGrid w:val="0"/>
      <w:jc w:val="left"/>
    </w:pPr>
    <w:rPr>
      <w:rFonts w:ascii="Calibri" w:hAnsi="Calibri" w:cs="Calibri"/>
      <w:sz w:val="18"/>
      <w:szCs w:val="18"/>
    </w:rPr>
  </w:style>
  <w:style w:type="paragraph" w:styleId="29">
    <w:name w:val="Body Text Indent 3"/>
    <w:basedOn w:val="1"/>
    <w:link w:val="63"/>
    <w:qFormat/>
    <w:uiPriority w:val="0"/>
    <w:pPr>
      <w:snapToGrid w:val="0"/>
      <w:ind w:firstLine="480" w:firstLineChars="200"/>
      <w:jc w:val="left"/>
    </w:pPr>
    <w:rPr>
      <w:rFonts w:ascii="仿宋_GB2312" w:hAnsi="宋体" w:eastAsia="仿宋_GB2312"/>
      <w:color w:val="000000"/>
      <w:sz w:val="24"/>
    </w:rPr>
  </w:style>
  <w:style w:type="paragraph" w:styleId="30">
    <w:name w:val="index 7"/>
    <w:basedOn w:val="1"/>
    <w:next w:val="1"/>
    <w:qFormat/>
    <w:uiPriority w:val="0"/>
    <w:pPr>
      <w:ind w:left="1200" w:leftChars="1200"/>
    </w:pPr>
  </w:style>
  <w:style w:type="paragraph" w:styleId="31">
    <w:name w:val="Body Text 2"/>
    <w:basedOn w:val="1"/>
    <w:link w:val="64"/>
    <w:qFormat/>
    <w:uiPriority w:val="0"/>
    <w:pPr>
      <w:widowControl/>
      <w:snapToGrid w:val="0"/>
      <w:spacing w:before="50" w:afterLines="50" w:line="400" w:lineRule="exact"/>
      <w:jc w:val="left"/>
    </w:pPr>
    <w:rPr>
      <w:rFonts w:ascii="宋体" w:hAnsi="宋体"/>
      <w:color w:val="000000"/>
      <w:sz w:val="24"/>
    </w:rPr>
  </w:style>
  <w:style w:type="paragraph" w:styleId="32">
    <w:name w:val="Normal (Web)"/>
    <w:basedOn w:val="1"/>
    <w:qFormat/>
    <w:uiPriority w:val="0"/>
    <w:pPr>
      <w:widowControl/>
      <w:spacing w:line="300" w:lineRule="atLeast"/>
      <w:jc w:val="left"/>
    </w:pPr>
    <w:rPr>
      <w:rFonts w:ascii="宋体" w:hAnsi="宋体" w:cs="宋体"/>
      <w:kern w:val="0"/>
      <w:sz w:val="24"/>
    </w:rPr>
  </w:style>
  <w:style w:type="paragraph" w:styleId="33">
    <w:name w:val="annotation subject"/>
    <w:basedOn w:val="12"/>
    <w:next w:val="12"/>
    <w:link w:val="66"/>
    <w:qFormat/>
    <w:uiPriority w:val="0"/>
    <w:rPr>
      <w:b/>
      <w:bCs/>
    </w:rPr>
  </w:style>
  <w:style w:type="paragraph" w:styleId="34">
    <w:name w:val="Body Text First Indent"/>
    <w:basedOn w:val="14"/>
    <w:link w:val="67"/>
    <w:qFormat/>
    <w:uiPriority w:val="0"/>
    <w:pPr>
      <w:spacing w:line="390" w:lineRule="atLeast"/>
      <w:ind w:firstLine="420" w:firstLineChars="100"/>
    </w:pPr>
    <w:rPr>
      <w:rFonts w:ascii="Calibri" w:hAnsi="Calibri"/>
    </w:rPr>
  </w:style>
  <w:style w:type="table" w:styleId="36">
    <w:name w:val="Table Grid"/>
    <w:basedOn w:val="35"/>
    <w:qFormat/>
    <w:uiPriority w:val="3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page number"/>
    <w:qFormat/>
    <w:uiPriority w:val="0"/>
  </w:style>
  <w:style w:type="character" w:styleId="40">
    <w:name w:val="FollowedHyperlink"/>
    <w:qFormat/>
    <w:uiPriority w:val="0"/>
    <w:rPr>
      <w:color w:val="800080"/>
      <w:u w:val="single"/>
    </w:rPr>
  </w:style>
  <w:style w:type="character" w:styleId="41">
    <w:name w:val="Hyperlink"/>
    <w:qFormat/>
    <w:uiPriority w:val="0"/>
    <w:rPr>
      <w:color w:val="0000FF"/>
      <w:u w:val="single"/>
    </w:rPr>
  </w:style>
  <w:style w:type="character" w:styleId="42">
    <w:name w:val="annotation reference"/>
    <w:qFormat/>
    <w:uiPriority w:val="0"/>
    <w:rPr>
      <w:sz w:val="21"/>
      <w:szCs w:val="21"/>
    </w:rPr>
  </w:style>
  <w:style w:type="paragraph" w:customStyle="1" w:styleId="43">
    <w:name w:val="Default"/>
    <w:next w:val="44"/>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44">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45">
    <w:name w:val="页眉 Char"/>
    <w:basedOn w:val="37"/>
    <w:link w:val="25"/>
    <w:qFormat/>
    <w:uiPriority w:val="0"/>
    <w:rPr>
      <w:sz w:val="18"/>
      <w:szCs w:val="18"/>
    </w:rPr>
  </w:style>
  <w:style w:type="character" w:customStyle="1" w:styleId="46">
    <w:name w:val="页脚 Char"/>
    <w:basedOn w:val="37"/>
    <w:link w:val="24"/>
    <w:semiHidden/>
    <w:qFormat/>
    <w:uiPriority w:val="99"/>
    <w:rPr>
      <w:sz w:val="18"/>
      <w:szCs w:val="18"/>
    </w:rPr>
  </w:style>
  <w:style w:type="character" w:customStyle="1" w:styleId="47">
    <w:name w:val="标题 1 Char"/>
    <w:basedOn w:val="37"/>
    <w:link w:val="3"/>
    <w:qFormat/>
    <w:uiPriority w:val="0"/>
    <w:rPr>
      <w:rFonts w:ascii="time new roman" w:hAnsi="time new roman" w:eastAsia="长城粗隶书" w:cs="Courier New"/>
      <w:b/>
      <w:bCs/>
      <w:kern w:val="44"/>
      <w:sz w:val="44"/>
      <w:szCs w:val="44"/>
    </w:rPr>
  </w:style>
  <w:style w:type="character" w:customStyle="1" w:styleId="48">
    <w:name w:val="标题 2 Char"/>
    <w:basedOn w:val="37"/>
    <w:link w:val="4"/>
    <w:qFormat/>
    <w:uiPriority w:val="0"/>
    <w:rPr>
      <w:rFonts w:ascii="Arial" w:hAnsi="Arial" w:eastAsia="黑体" w:cs="Times New Roman"/>
      <w:b/>
      <w:bCs/>
      <w:sz w:val="32"/>
      <w:szCs w:val="32"/>
    </w:rPr>
  </w:style>
  <w:style w:type="character" w:customStyle="1" w:styleId="49">
    <w:name w:val="标题 3 Char"/>
    <w:basedOn w:val="37"/>
    <w:link w:val="5"/>
    <w:qFormat/>
    <w:uiPriority w:val="0"/>
    <w:rPr>
      <w:rFonts w:ascii="Times New Roman" w:hAnsi="Times New Roman" w:eastAsia="宋体" w:cs="Times New Roman"/>
      <w:b/>
      <w:bCs/>
      <w:sz w:val="32"/>
      <w:szCs w:val="32"/>
    </w:rPr>
  </w:style>
  <w:style w:type="character" w:customStyle="1" w:styleId="50">
    <w:name w:val="标题 4 Char"/>
    <w:basedOn w:val="37"/>
    <w:link w:val="6"/>
    <w:qFormat/>
    <w:uiPriority w:val="0"/>
    <w:rPr>
      <w:rFonts w:ascii="Cambria" w:hAnsi="Cambria" w:eastAsia="宋体" w:cs="Times New Roman"/>
      <w:b/>
      <w:bCs/>
      <w:sz w:val="28"/>
      <w:szCs w:val="28"/>
    </w:rPr>
  </w:style>
  <w:style w:type="character" w:customStyle="1" w:styleId="51">
    <w:name w:val="正文文本 Char"/>
    <w:basedOn w:val="37"/>
    <w:link w:val="14"/>
    <w:qFormat/>
    <w:uiPriority w:val="0"/>
    <w:rPr>
      <w:rFonts w:ascii="Times New Roman" w:hAnsi="Times New Roman" w:eastAsia="宋体" w:cs="Times New Roman"/>
      <w:sz w:val="28"/>
      <w:szCs w:val="24"/>
    </w:rPr>
  </w:style>
  <w:style w:type="character" w:customStyle="1" w:styleId="52">
    <w:name w:val="注释标题 Char"/>
    <w:basedOn w:val="37"/>
    <w:link w:val="7"/>
    <w:qFormat/>
    <w:uiPriority w:val="0"/>
    <w:rPr>
      <w:rFonts w:ascii="time new roman" w:hAnsi="time new roman" w:eastAsia="长城粗隶书" w:cs="Times New Roman"/>
      <w:szCs w:val="24"/>
    </w:rPr>
  </w:style>
  <w:style w:type="character" w:customStyle="1" w:styleId="53">
    <w:name w:val="正文缩进 Char"/>
    <w:link w:val="9"/>
    <w:qFormat/>
    <w:uiPriority w:val="0"/>
    <w:rPr>
      <w:rFonts w:ascii="Times New Roman" w:hAnsi="Times New Roman" w:eastAsia="宋体" w:cs="Times New Roman"/>
      <w:szCs w:val="20"/>
    </w:rPr>
  </w:style>
  <w:style w:type="character" w:customStyle="1" w:styleId="54">
    <w:name w:val="文档结构图 Char"/>
    <w:basedOn w:val="37"/>
    <w:link w:val="11"/>
    <w:qFormat/>
    <w:uiPriority w:val="0"/>
    <w:rPr>
      <w:rFonts w:ascii="Times New Roman" w:hAnsi="Times New Roman" w:eastAsia="宋体" w:cs="Times New Roman"/>
      <w:szCs w:val="24"/>
      <w:shd w:val="clear" w:color="auto" w:fill="000080"/>
    </w:rPr>
  </w:style>
  <w:style w:type="character" w:customStyle="1" w:styleId="55">
    <w:name w:val="批注文字 Char"/>
    <w:basedOn w:val="37"/>
    <w:link w:val="12"/>
    <w:qFormat/>
    <w:uiPriority w:val="0"/>
    <w:rPr>
      <w:rFonts w:ascii="Times New Roman" w:hAnsi="Times New Roman" w:eastAsia="宋体" w:cs="Times New Roman"/>
      <w:szCs w:val="24"/>
    </w:rPr>
  </w:style>
  <w:style w:type="character" w:customStyle="1" w:styleId="56">
    <w:name w:val="正文文本 3 Char"/>
    <w:basedOn w:val="37"/>
    <w:link w:val="13"/>
    <w:qFormat/>
    <w:uiPriority w:val="0"/>
    <w:rPr>
      <w:rFonts w:ascii="Times New Roman" w:hAnsi="宋体" w:eastAsia="仿宋_GB2312" w:cs="Times New Roman"/>
      <w:b/>
      <w:bCs/>
      <w:sz w:val="24"/>
      <w:szCs w:val="20"/>
    </w:rPr>
  </w:style>
  <w:style w:type="character" w:customStyle="1" w:styleId="57">
    <w:name w:val="正文文本缩进 Char"/>
    <w:basedOn w:val="37"/>
    <w:link w:val="16"/>
    <w:qFormat/>
    <w:uiPriority w:val="0"/>
    <w:rPr>
      <w:rFonts w:ascii="宋体" w:hAnsi="Courier New" w:eastAsia="宋体" w:cs="Times New Roman"/>
      <w:spacing w:val="-4"/>
      <w:sz w:val="18"/>
      <w:szCs w:val="20"/>
    </w:rPr>
  </w:style>
  <w:style w:type="character" w:customStyle="1" w:styleId="58">
    <w:name w:val="纯文本 Char"/>
    <w:basedOn w:val="37"/>
    <w:qFormat/>
    <w:uiPriority w:val="0"/>
    <w:rPr>
      <w:rFonts w:ascii="宋体" w:hAnsi="Courier New" w:eastAsia="宋体" w:cs="Courier New"/>
      <w:szCs w:val="21"/>
    </w:rPr>
  </w:style>
  <w:style w:type="character" w:customStyle="1" w:styleId="59">
    <w:name w:val="纯文本 Char1"/>
    <w:link w:val="20"/>
    <w:qFormat/>
    <w:uiPriority w:val="0"/>
    <w:rPr>
      <w:rFonts w:ascii="宋体" w:hAnsi="Courier New" w:eastAsia="宋体" w:cs="Times New Roman"/>
      <w:sz w:val="24"/>
      <w:szCs w:val="24"/>
    </w:rPr>
  </w:style>
  <w:style w:type="character" w:customStyle="1" w:styleId="60">
    <w:name w:val="日期 Char"/>
    <w:basedOn w:val="37"/>
    <w:link w:val="21"/>
    <w:qFormat/>
    <w:uiPriority w:val="0"/>
    <w:rPr>
      <w:rFonts w:ascii="Times New Roman" w:hAnsi="Times New Roman" w:eastAsia="楷体_GB2312" w:cs="Times New Roman"/>
      <w:sz w:val="32"/>
      <w:szCs w:val="20"/>
    </w:rPr>
  </w:style>
  <w:style w:type="character" w:customStyle="1" w:styleId="61">
    <w:name w:val="正文文本缩进 2 Char"/>
    <w:basedOn w:val="37"/>
    <w:link w:val="22"/>
    <w:qFormat/>
    <w:uiPriority w:val="0"/>
    <w:rPr>
      <w:rFonts w:ascii="仿宋_GB2312" w:hAnsi="宋体" w:eastAsia="宋体" w:cs="Arial"/>
      <w:b/>
      <w:bCs/>
      <w:color w:val="000000"/>
      <w:sz w:val="24"/>
      <w:szCs w:val="24"/>
    </w:rPr>
  </w:style>
  <w:style w:type="character" w:customStyle="1" w:styleId="62">
    <w:name w:val="批注框文本 Char"/>
    <w:basedOn w:val="37"/>
    <w:link w:val="23"/>
    <w:qFormat/>
    <w:uiPriority w:val="0"/>
    <w:rPr>
      <w:rFonts w:ascii="time new roman" w:hAnsi="time new roman" w:eastAsia="长城粗隶书" w:cs="Courier New"/>
      <w:sz w:val="18"/>
      <w:szCs w:val="18"/>
    </w:rPr>
  </w:style>
  <w:style w:type="character" w:customStyle="1" w:styleId="63">
    <w:name w:val="正文文本缩进 3 Char"/>
    <w:basedOn w:val="37"/>
    <w:link w:val="29"/>
    <w:qFormat/>
    <w:uiPriority w:val="0"/>
    <w:rPr>
      <w:rFonts w:ascii="仿宋_GB2312" w:hAnsi="宋体" w:eastAsia="仿宋_GB2312" w:cs="Times New Roman"/>
      <w:color w:val="000000"/>
      <w:sz w:val="24"/>
      <w:szCs w:val="24"/>
    </w:rPr>
  </w:style>
  <w:style w:type="character" w:customStyle="1" w:styleId="64">
    <w:name w:val="正文文本 2 Char"/>
    <w:basedOn w:val="37"/>
    <w:link w:val="31"/>
    <w:qFormat/>
    <w:uiPriority w:val="0"/>
    <w:rPr>
      <w:rFonts w:ascii="宋体" w:hAnsi="宋体" w:eastAsia="宋体" w:cs="Times New Roman"/>
      <w:color w:val="000000"/>
      <w:sz w:val="24"/>
      <w:szCs w:val="24"/>
    </w:rPr>
  </w:style>
  <w:style w:type="character" w:customStyle="1" w:styleId="65">
    <w:name w:val="标题 Char"/>
    <w:basedOn w:val="37"/>
    <w:link w:val="2"/>
    <w:qFormat/>
    <w:uiPriority w:val="0"/>
    <w:rPr>
      <w:rFonts w:ascii="Cambria" w:hAnsi="Cambria" w:eastAsia="宋体" w:cs="Times New Roman"/>
      <w:b/>
      <w:bCs/>
      <w:sz w:val="32"/>
      <w:szCs w:val="32"/>
    </w:rPr>
  </w:style>
  <w:style w:type="character" w:customStyle="1" w:styleId="66">
    <w:name w:val="批注主题 Char"/>
    <w:basedOn w:val="55"/>
    <w:link w:val="33"/>
    <w:qFormat/>
    <w:uiPriority w:val="0"/>
    <w:rPr>
      <w:rFonts w:ascii="Times New Roman" w:hAnsi="Times New Roman" w:eastAsia="宋体" w:cs="Times New Roman"/>
      <w:b/>
      <w:bCs/>
      <w:szCs w:val="24"/>
    </w:rPr>
  </w:style>
  <w:style w:type="character" w:customStyle="1" w:styleId="67">
    <w:name w:val="正文首行缩进 Char"/>
    <w:basedOn w:val="51"/>
    <w:link w:val="34"/>
    <w:qFormat/>
    <w:uiPriority w:val="0"/>
    <w:rPr>
      <w:rFonts w:ascii="Calibri" w:hAnsi="Calibri" w:eastAsia="宋体" w:cs="Times New Roman"/>
      <w:sz w:val="28"/>
      <w:szCs w:val="24"/>
    </w:rPr>
  </w:style>
  <w:style w:type="character" w:customStyle="1" w:styleId="68">
    <w:name w:val="font51"/>
    <w:qFormat/>
    <w:uiPriority w:val="0"/>
    <w:rPr>
      <w:rFonts w:hint="eastAsia" w:ascii="宋体" w:hAnsi="宋体" w:eastAsia="宋体" w:cs="宋体"/>
      <w:color w:val="000000"/>
      <w:sz w:val="22"/>
      <w:szCs w:val="22"/>
      <w:u w:val="none"/>
    </w:rPr>
  </w:style>
  <w:style w:type="character" w:customStyle="1" w:styleId="69">
    <w:name w:val="font21"/>
    <w:qFormat/>
    <w:uiPriority w:val="0"/>
    <w:rPr>
      <w:rFonts w:hint="eastAsia" w:ascii="宋体" w:hAnsi="宋体" w:eastAsia="宋体" w:cs="宋体"/>
      <w:color w:val="000000"/>
      <w:sz w:val="22"/>
      <w:szCs w:val="22"/>
      <w:u w:val="none"/>
    </w:rPr>
  </w:style>
  <w:style w:type="character" w:customStyle="1" w:styleId="70">
    <w:name w:val="font11"/>
    <w:qFormat/>
    <w:uiPriority w:val="0"/>
    <w:rPr>
      <w:rFonts w:hint="default" w:ascii="Times New Roman" w:hAnsi="Times New Roman" w:cs="Times New Roman"/>
      <w:color w:val="000000"/>
      <w:sz w:val="21"/>
      <w:szCs w:val="21"/>
      <w:u w:val="none"/>
    </w:rPr>
  </w:style>
  <w:style w:type="character" w:customStyle="1" w:styleId="71">
    <w:name w:val="纯文本 Char3"/>
    <w:qFormat/>
    <w:uiPriority w:val="0"/>
    <w:rPr>
      <w:rFonts w:ascii="宋体" w:hAnsi="Courier New" w:eastAsia="宋体"/>
      <w:kern w:val="2"/>
      <w:sz w:val="24"/>
      <w:szCs w:val="24"/>
      <w:lang w:val="en-US" w:eastAsia="zh-CN" w:bidi="ar-SA"/>
    </w:rPr>
  </w:style>
  <w:style w:type="character" w:customStyle="1" w:styleId="72">
    <w:name w:val="font01"/>
    <w:qFormat/>
    <w:uiPriority w:val="0"/>
    <w:rPr>
      <w:rFonts w:hint="eastAsia" w:ascii="长城粗隶书" w:eastAsia="长城粗隶书"/>
      <w:color w:val="000000"/>
      <w:sz w:val="21"/>
      <w:szCs w:val="21"/>
      <w:u w:val="none"/>
    </w:rPr>
  </w:style>
  <w:style w:type="character" w:customStyle="1" w:styleId="73">
    <w:name w:val="ca-22"/>
    <w:qFormat/>
    <w:uiPriority w:val="0"/>
  </w:style>
  <w:style w:type="character" w:customStyle="1" w:styleId="74">
    <w:name w:val="apple-converted-space"/>
    <w:qFormat/>
    <w:uiPriority w:val="0"/>
  </w:style>
  <w:style w:type="character" w:customStyle="1" w:styleId="75">
    <w:name w:val="style8"/>
    <w:qFormat/>
    <w:uiPriority w:val="0"/>
  </w:style>
  <w:style w:type="character" w:customStyle="1" w:styleId="76">
    <w:name w:val="apple-style-span"/>
    <w:qFormat/>
    <w:uiPriority w:val="0"/>
  </w:style>
  <w:style w:type="character" w:customStyle="1" w:styleId="77">
    <w:name w:val="列出段落 Char"/>
    <w:link w:val="78"/>
    <w:qFormat/>
    <w:uiPriority w:val="34"/>
    <w:rPr>
      <w:rFonts w:ascii="Calibri" w:hAnsi="Calibri"/>
    </w:rPr>
  </w:style>
  <w:style w:type="paragraph" w:styleId="78">
    <w:name w:val="List Paragraph"/>
    <w:basedOn w:val="1"/>
    <w:link w:val="77"/>
    <w:qFormat/>
    <w:uiPriority w:val="34"/>
    <w:pPr>
      <w:ind w:firstLine="420" w:firstLineChars="200"/>
    </w:pPr>
    <w:rPr>
      <w:rFonts w:ascii="Calibri" w:hAnsi="Calibri" w:eastAsiaTheme="minorEastAsia" w:cstheme="minorBidi"/>
      <w:szCs w:val="22"/>
    </w:rPr>
  </w:style>
  <w:style w:type="character" w:customStyle="1" w:styleId="79">
    <w:name w:val="普通文字 Char1"/>
    <w:qFormat/>
    <w:uiPriority w:val="0"/>
    <w:rPr>
      <w:rFonts w:ascii="宋体" w:hAnsi="Courier New" w:eastAsia="宋体"/>
      <w:kern w:val="2"/>
      <w:sz w:val="21"/>
      <w:szCs w:val="24"/>
      <w:lang w:val="en-US" w:eastAsia="zh-CN" w:bidi="ar-SA"/>
    </w:rPr>
  </w:style>
  <w:style w:type="character" w:customStyle="1" w:styleId="80">
    <w:name w:val="unnamed11"/>
    <w:qFormat/>
    <w:uiPriority w:val="0"/>
    <w:rPr>
      <w:color w:val="000000"/>
      <w:sz w:val="20"/>
      <w:szCs w:val="20"/>
    </w:rPr>
  </w:style>
  <w:style w:type="paragraph" w:customStyle="1" w:styleId="81">
    <w:name w:val="正文2"/>
    <w:basedOn w:val="1"/>
    <w:qFormat/>
    <w:uiPriority w:val="0"/>
    <w:pPr>
      <w:spacing w:before="156" w:line="360" w:lineRule="auto"/>
      <w:ind w:firstLine="510" w:firstLineChars="200"/>
    </w:pPr>
    <w:rPr>
      <w:sz w:val="24"/>
      <w:szCs w:val="20"/>
    </w:rPr>
  </w:style>
  <w:style w:type="paragraph" w:customStyle="1" w:styleId="8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83">
    <w:name w:val="正文段"/>
    <w:basedOn w:val="1"/>
    <w:qFormat/>
    <w:uiPriority w:val="0"/>
    <w:pPr>
      <w:widowControl/>
      <w:snapToGrid w:val="0"/>
      <w:spacing w:afterLines="50"/>
      <w:ind w:firstLine="200" w:firstLineChars="200"/>
    </w:pPr>
    <w:rPr>
      <w:kern w:val="0"/>
      <w:sz w:val="24"/>
      <w:szCs w:val="20"/>
    </w:rPr>
  </w:style>
  <w:style w:type="paragraph" w:customStyle="1" w:styleId="84">
    <w:name w:val="A_正文_注释"/>
    <w:basedOn w:val="1"/>
    <w:qFormat/>
    <w:uiPriority w:val="0"/>
    <w:pPr>
      <w:tabs>
        <w:tab w:val="left" w:pos="1547"/>
      </w:tabs>
      <w:spacing w:line="360" w:lineRule="auto"/>
      <w:ind w:left="200" w:leftChars="200" w:firstLine="600" w:firstLineChars="200"/>
    </w:pPr>
    <w:rPr>
      <w:rFonts w:eastAsia="仿宋"/>
      <w:color w:val="0070C0"/>
      <w:sz w:val="30"/>
      <w:szCs w:val="22"/>
    </w:rPr>
  </w:style>
  <w:style w:type="paragraph" w:customStyle="1" w:styleId="8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6">
    <w:name w:val="Char"/>
    <w:basedOn w:val="1"/>
    <w:qFormat/>
    <w:uiPriority w:val="0"/>
    <w:pPr>
      <w:ind w:firstLine="640" w:firstLineChars="200"/>
    </w:pPr>
    <w:rPr>
      <w:rFonts w:ascii="宋体" w:hAnsi="宋体" w:cs="宋体"/>
      <w:color w:val="000000"/>
      <w:kern w:val="0"/>
      <w:szCs w:val="21"/>
    </w:rPr>
  </w:style>
  <w:style w:type="paragraph" w:styleId="87">
    <w:name w:val="No Spacing"/>
    <w:qFormat/>
    <w:uiPriority w:val="99"/>
    <w:pPr>
      <w:adjustRightInd w:val="0"/>
      <w:snapToGrid w:val="0"/>
    </w:pPr>
    <w:rPr>
      <w:rFonts w:ascii="Tahoma" w:hAnsi="Tahoma" w:eastAsia="微软雅黑" w:cs="Times New Roman"/>
      <w:sz w:val="22"/>
      <w:szCs w:val="22"/>
      <w:lang w:val="en-US" w:eastAsia="zh-CN" w:bidi="ar-SA"/>
    </w:rPr>
  </w:style>
  <w:style w:type="paragraph" w:customStyle="1" w:styleId="88">
    <w:name w:val="默认段落字体 Para Char Char Char Char Char Char Char Char Char1 Char Char Char Char"/>
    <w:basedOn w:val="1"/>
    <w:qFormat/>
    <w:uiPriority w:val="0"/>
    <w:rPr>
      <w:rFonts w:ascii="Tahoma" w:hAnsi="Tahoma"/>
      <w:sz w:val="24"/>
      <w:szCs w:val="20"/>
    </w:rPr>
  </w:style>
  <w:style w:type="paragraph" w:customStyle="1" w:styleId="8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p0"/>
    <w:next w:val="30"/>
    <w:qFormat/>
    <w:uiPriority w:val="0"/>
    <w:pPr>
      <w:snapToGrid w:val="0"/>
    </w:pPr>
    <w:rPr>
      <w:rFonts w:ascii="Times New Roman" w:hAnsi="Times New Roman" w:eastAsia="宋体" w:cs="Times New Roman"/>
      <w:sz w:val="21"/>
      <w:szCs w:val="21"/>
      <w:lang w:val="en-US" w:eastAsia="zh-CN" w:bidi="ar-SA"/>
    </w:rPr>
  </w:style>
  <w:style w:type="paragraph" w:customStyle="1" w:styleId="91">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Char1 Char Char1 Char"/>
    <w:basedOn w:val="1"/>
    <w:qFormat/>
    <w:uiPriority w:val="0"/>
    <w:pPr>
      <w:widowControl/>
      <w:spacing w:line="400" w:lineRule="exact"/>
      <w:jc w:val="center"/>
    </w:pPr>
    <w:rPr>
      <w:rFonts w:ascii="Verdana" w:hAnsi="Verdana"/>
      <w:kern w:val="0"/>
      <w:szCs w:val="20"/>
      <w:lang w:eastAsia="en-US"/>
    </w:rPr>
  </w:style>
  <w:style w:type="paragraph" w:customStyle="1" w:styleId="93">
    <w:name w:val="Char2"/>
    <w:basedOn w:val="11"/>
    <w:next w:val="1"/>
    <w:qFormat/>
    <w:uiPriority w:val="0"/>
    <w:rPr>
      <w:rFonts w:ascii="宋体" w:hAnsi="宋体"/>
    </w:rPr>
  </w:style>
  <w:style w:type="paragraph" w:customStyle="1" w:styleId="94">
    <w:name w:val="Char Char Char"/>
    <w:basedOn w:val="11"/>
    <w:qFormat/>
    <w:uiPriority w:val="0"/>
    <w:rPr>
      <w:rFonts w:ascii="Tahoma" w:hAnsi="Tahoma"/>
      <w:sz w:val="24"/>
    </w:rPr>
  </w:style>
  <w:style w:type="paragraph" w:customStyle="1" w:styleId="9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Char1"/>
    <w:basedOn w:val="1"/>
    <w:qFormat/>
    <w:uiPriority w:val="0"/>
    <w:rPr>
      <w:rFonts w:ascii="Tahoma" w:hAnsi="Tahoma"/>
      <w:sz w:val="24"/>
    </w:rPr>
  </w:style>
  <w:style w:type="paragraph" w:customStyle="1" w:styleId="97">
    <w:name w:val="正文文字"/>
    <w:basedOn w:val="1"/>
    <w:qFormat/>
    <w:uiPriority w:val="0"/>
    <w:pPr>
      <w:spacing w:line="360" w:lineRule="auto"/>
      <w:ind w:firstLine="420"/>
    </w:pPr>
    <w:rPr>
      <w:sz w:val="24"/>
    </w:rPr>
  </w:style>
  <w:style w:type="paragraph" w:customStyle="1" w:styleId="9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9">
    <w:name w:val="列表段落1"/>
    <w:basedOn w:val="1"/>
    <w:qFormat/>
    <w:uiPriority w:val="34"/>
    <w:pPr>
      <w:ind w:firstLine="420" w:firstLineChars="200"/>
    </w:pPr>
    <w:rPr>
      <w:rFonts w:asciiTheme="minorHAnsi" w:hAnsiTheme="minorHAnsi" w:eastAsiaTheme="minorEastAsia" w:cstheme="minorBidi"/>
      <w:szCs w:val="22"/>
    </w:rPr>
  </w:style>
  <w:style w:type="paragraph" w:customStyle="1" w:styleId="100">
    <w:name w:val="正文样式1"/>
    <w:basedOn w:val="1"/>
    <w:link w:val="101"/>
    <w:qFormat/>
    <w:uiPriority w:val="0"/>
    <w:pPr>
      <w:spacing w:beforeLines="50" w:afterLines="50" w:line="360" w:lineRule="auto"/>
      <w:ind w:firstLine="200" w:firstLineChars="200"/>
    </w:pPr>
    <w:rPr>
      <w:szCs w:val="20"/>
    </w:rPr>
  </w:style>
  <w:style w:type="character" w:customStyle="1" w:styleId="101">
    <w:name w:val="正文样式1 Char"/>
    <w:link w:val="100"/>
    <w:qFormat/>
    <w:uiPriority w:val="0"/>
    <w:rPr>
      <w:rFonts w:ascii="Times New Roman" w:hAnsi="Times New Roman" w:eastAsia="宋体" w:cs="Times New Roman"/>
      <w:kern w:val="2"/>
      <w:sz w:val="21"/>
    </w:rPr>
  </w:style>
  <w:style w:type="character" w:customStyle="1" w:styleId="102">
    <w:name w:val="纯文本 Char2"/>
    <w:basedOn w:val="37"/>
    <w:qFormat/>
    <w:uiPriority w:val="0"/>
    <w:rPr>
      <w:rFonts w:ascii="宋体" w:hAnsi="Courier New" w:eastAsia="宋体" w:cs="Courier New"/>
      <w:szCs w:val="21"/>
    </w:rPr>
  </w:style>
  <w:style w:type="paragraph" w:customStyle="1" w:styleId="103">
    <w:name w:val="DAS正文"/>
    <w:basedOn w:val="1"/>
    <w:qFormat/>
    <w:uiPriority w:val="0"/>
    <w:pPr>
      <w:spacing w:line="360" w:lineRule="auto"/>
      <w:ind w:right="181" w:firstLine="480" w:firstLineChars="200"/>
    </w:pPr>
    <w:rPr>
      <w:rFonts w:ascii="Verdana" w:hAnsi="Verdana"/>
    </w:rPr>
  </w:style>
  <w:style w:type="character" w:customStyle="1" w:styleId="104">
    <w:name w:val="纯文本 Char4"/>
    <w:qFormat/>
    <w:uiPriority w:val="99"/>
    <w:rPr>
      <w:rFonts w:ascii="宋体" w:hAnsi="Courier New" w:cs="宋体"/>
      <w:sz w:val="21"/>
      <w:szCs w:val="21"/>
    </w:rPr>
  </w:style>
  <w:style w:type="paragraph" w:customStyle="1" w:styleId="105">
    <w:name w:val="表格文字"/>
    <w:basedOn w:val="1"/>
    <w:qFormat/>
    <w:uiPriority w:val="0"/>
    <w:pPr>
      <w:spacing w:before="25" w:after="25"/>
      <w:jc w:val="left"/>
    </w:pPr>
    <w:rPr>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2C343-ACFC-4790-8656-70D87312F83F}">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69</Pages>
  <Words>37425</Words>
  <Characters>41192</Characters>
  <Lines>315</Lines>
  <Paragraphs>88</Paragraphs>
  <TotalTime>0</TotalTime>
  <ScaleCrop>false</ScaleCrop>
  <LinksUpToDate>false</LinksUpToDate>
  <CharactersWithSpaces>42207</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2022-07-27T02:25:00Z</dcterms:created>
  <dc:creator>NTKO</dc:creator>
  <cp:lastModifiedBy>NTKO</cp:lastModifiedBy>
  <dcterms:modified xsi:type="dcterms:W3CDTF">2022-08-05T06:43:00Z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4C636877CC864C7393F7B16AF6BC8AAD</vt:lpwstr>
  </property>
  <property fmtid="{D5CDD505-2E9C-101B-9397-08002B2CF9AE}" pid="4" name="commondata">
    <vt:lpwstr>eyJoZGlkIjoiYzMyNjcyN2MzN2ZjZmQzYjcwNWY3YjQ5M2M4OTFjNmIifQ==</vt:lpwstr>
  </property>
</Properties>
</file>