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52"/>
          <w:szCs w:val="52"/>
        </w:rPr>
      </w:pPr>
    </w:p>
    <w:p>
      <w:pPr>
        <w:pStyle w:val="18"/>
        <w:snapToGrid w:val="0"/>
        <w:spacing w:beforeLines="0" w:afterLines="0" w:line="360" w:lineRule="auto"/>
        <w:ind w:left="2783" w:leftChars="282" w:hanging="2191" w:hangingChars="496"/>
        <w:rPr>
          <w:rFonts w:hAnsi="宋体"/>
          <w:b/>
          <w:sz w:val="44"/>
          <w:szCs w:val="44"/>
        </w:rPr>
      </w:pPr>
      <w:r>
        <w:rPr>
          <w:rFonts w:hint="eastAsia" w:hAnsi="宋体"/>
          <w:b/>
          <w:sz w:val="44"/>
          <w:szCs w:val="44"/>
        </w:rPr>
        <w:t>湖州市吴兴区中小学升降式课桌椅采购项目</w:t>
      </w:r>
    </w:p>
    <w:p>
      <w:pPr>
        <w:spacing w:line="360" w:lineRule="auto"/>
        <w:rPr>
          <w:rFonts w:ascii="宋体" w:hAnsi="宋体"/>
          <w:b/>
          <w:sz w:val="28"/>
          <w:szCs w:val="28"/>
        </w:rPr>
      </w:pPr>
    </w:p>
    <w:p>
      <w:pPr>
        <w:snapToGrid w:val="0"/>
        <w:spacing w:line="360" w:lineRule="auto"/>
        <w:jc w:val="center"/>
        <w:rPr>
          <w:rFonts w:ascii="宋体" w:hAnsi="宋体"/>
          <w:b/>
          <w:sz w:val="28"/>
          <w:szCs w:val="28"/>
        </w:rPr>
      </w:pPr>
      <w:r>
        <w:rPr>
          <w:rFonts w:hint="eastAsia" w:ascii="宋体" w:hAnsi="宋体"/>
          <w:b/>
          <w:sz w:val="28"/>
          <w:szCs w:val="28"/>
        </w:rPr>
        <w:t>（财政审批编号：吴兴财采确临[2022]6228号）</w:t>
      </w:r>
    </w:p>
    <w:p>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pPr>
        <w:snapToGrid w:val="0"/>
        <w:spacing w:before="120" w:beforeLines="50" w:line="360" w:lineRule="auto"/>
        <w:rPr>
          <w:rFonts w:ascii="隶书" w:hAnsi="Arial Narrow" w:eastAsia="楷体_GB2312"/>
          <w:sz w:val="30"/>
          <w:szCs w:val="72"/>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pStyle w:val="18"/>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HYHZ2022-80</w:t>
      </w:r>
    </w:p>
    <w:p>
      <w:pPr>
        <w:pStyle w:val="18"/>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项目名称：湖州市吴兴区中小学升降式课桌椅采购项目</w:t>
      </w:r>
    </w:p>
    <w:p>
      <w:pPr>
        <w:pStyle w:val="18"/>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湖州市吴兴区教育局</w:t>
      </w:r>
    </w:p>
    <w:p>
      <w:pPr>
        <w:pStyle w:val="18"/>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pPr>
        <w:pStyle w:val="18"/>
        <w:snapToGrid w:val="0"/>
        <w:spacing w:beforeLines="0" w:afterLines="0" w:line="360" w:lineRule="auto"/>
        <w:ind w:firstLine="590" w:firstLineChars="196"/>
        <w:rPr>
          <w:rFonts w:hAnsi="宋体"/>
          <w:b/>
          <w:sz w:val="30"/>
          <w:szCs w:val="30"/>
        </w:rPr>
      </w:pPr>
    </w:p>
    <w:p>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2022年6月23日</w:t>
      </w:r>
    </w:p>
    <w:p>
      <w:pPr>
        <w:pStyle w:val="18"/>
        <w:spacing w:beforeLines="0" w:afterLines="0" w:line="360" w:lineRule="auto"/>
        <w:jc w:val="center"/>
        <w:rPr>
          <w:rFonts w:ascii="创艺简标宋" w:hAnsi="宋体" w:eastAsia="创艺简标宋"/>
          <w:b/>
          <w:sz w:val="44"/>
          <w:szCs w:val="44"/>
        </w:rPr>
      </w:pPr>
    </w:p>
    <w:p>
      <w:pPr>
        <w:pStyle w:val="18"/>
        <w:spacing w:beforeLines="0" w:afterLines="0" w:line="360" w:lineRule="auto"/>
        <w:jc w:val="center"/>
        <w:rPr>
          <w:rFonts w:ascii="创艺简标宋" w:hAnsi="宋体" w:eastAsia="创艺简标宋"/>
          <w:b/>
          <w:sz w:val="44"/>
          <w:szCs w:val="44"/>
        </w:rPr>
      </w:pPr>
    </w:p>
    <w:p>
      <w:pPr>
        <w:pStyle w:val="18"/>
        <w:spacing w:beforeLines="0" w:afterLines="0" w:line="360" w:lineRule="auto"/>
        <w:jc w:val="center"/>
        <w:rPr>
          <w:rFonts w:ascii="创艺简标宋" w:hAnsi="宋体" w:eastAsia="创艺简标宋"/>
          <w:b/>
          <w:sz w:val="44"/>
          <w:szCs w:val="44"/>
        </w:rPr>
      </w:pPr>
    </w:p>
    <w:p>
      <w:pPr>
        <w:pStyle w:val="18"/>
        <w:spacing w:beforeLines="0" w:afterLines="0" w:line="360" w:lineRule="auto"/>
        <w:jc w:val="center"/>
        <w:rPr>
          <w:rFonts w:ascii="创艺简标宋" w:hAnsi="宋体" w:eastAsia="创艺简标宋"/>
          <w:b/>
          <w:sz w:val="44"/>
          <w:szCs w:val="44"/>
        </w:rPr>
      </w:pPr>
    </w:p>
    <w:p>
      <w:pPr>
        <w:pStyle w:val="18"/>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8"/>
        <w:spacing w:beforeLines="0" w:afterLines="0" w:line="360" w:lineRule="auto"/>
        <w:jc w:val="center"/>
        <w:rPr>
          <w:rFonts w:ascii="创艺简标宋" w:hAnsi="宋体" w:eastAsia="创艺简标宋"/>
          <w:b/>
          <w:sz w:val="44"/>
          <w:szCs w:val="44"/>
        </w:rPr>
      </w:pPr>
    </w:p>
    <w:p>
      <w:pPr>
        <w:numPr>
          <w:ilvl w:val="0"/>
          <w:numId w:val="1"/>
        </w:numPr>
        <w:spacing w:line="360" w:lineRule="auto"/>
        <w:rPr>
          <w:rFonts w:ascii="宋体" w:hAnsi="宋体"/>
          <w:sz w:val="30"/>
          <w:szCs w:val="20"/>
        </w:rPr>
      </w:pPr>
      <w:r>
        <w:rPr>
          <w:rFonts w:hint="eastAsia" w:ascii="宋体" w:hAnsi="宋体"/>
          <w:sz w:val="30"/>
        </w:rPr>
        <w:t>公开招标采购公告   -------------------------3</w:t>
      </w:r>
    </w:p>
    <w:p>
      <w:pPr>
        <w:numPr>
          <w:ilvl w:val="0"/>
          <w:numId w:val="1"/>
        </w:numPr>
        <w:spacing w:line="360" w:lineRule="auto"/>
        <w:rPr>
          <w:rFonts w:ascii="宋体" w:hAnsi="宋体"/>
          <w:sz w:val="30"/>
          <w:szCs w:val="20"/>
        </w:rPr>
      </w:pPr>
      <w:r>
        <w:rPr>
          <w:rFonts w:hint="eastAsia" w:ascii="宋体" w:hAnsi="宋体"/>
          <w:sz w:val="30"/>
        </w:rPr>
        <w:t>招标需求   ---------------------------------8</w:t>
      </w:r>
    </w:p>
    <w:p>
      <w:pPr>
        <w:numPr>
          <w:ilvl w:val="0"/>
          <w:numId w:val="1"/>
        </w:numPr>
        <w:spacing w:line="360" w:lineRule="auto"/>
        <w:rPr>
          <w:sz w:val="30"/>
          <w:szCs w:val="30"/>
        </w:rPr>
      </w:pPr>
      <w:r>
        <w:rPr>
          <w:rFonts w:hint="eastAsia" w:ascii="宋体" w:hAnsi="宋体"/>
          <w:sz w:val="30"/>
        </w:rPr>
        <w:t>投标人须知   ------------------------------17</w:t>
      </w:r>
    </w:p>
    <w:p>
      <w:pPr>
        <w:spacing w:line="360" w:lineRule="auto"/>
        <w:ind w:firstLine="1350" w:firstLineChars="450"/>
        <w:rPr>
          <w:rFonts w:ascii="宋体" w:hAnsi="宋体"/>
          <w:sz w:val="30"/>
        </w:rPr>
      </w:pPr>
      <w:r>
        <w:rPr>
          <w:rFonts w:hint="eastAsia"/>
          <w:sz w:val="30"/>
          <w:szCs w:val="30"/>
        </w:rPr>
        <w:t>一、总则</w:t>
      </w:r>
      <w:r>
        <w:rPr>
          <w:sz w:val="30"/>
          <w:szCs w:val="30"/>
        </w:rPr>
        <w:t xml:space="preserve">    </w:t>
      </w:r>
      <w:r>
        <w:rPr>
          <w:rFonts w:hint="eastAsia" w:ascii="宋体" w:hAnsi="宋体"/>
          <w:sz w:val="30"/>
        </w:rPr>
        <w:t>--------------------------------18</w:t>
      </w:r>
    </w:p>
    <w:p>
      <w:pPr>
        <w:spacing w:line="360" w:lineRule="auto"/>
        <w:ind w:firstLine="1350" w:firstLineChars="450"/>
        <w:rPr>
          <w:rFonts w:ascii="宋体" w:hAnsi="宋体"/>
          <w:sz w:val="30"/>
        </w:rPr>
      </w:pPr>
      <w:r>
        <w:rPr>
          <w:rFonts w:hint="eastAsia"/>
          <w:sz w:val="30"/>
          <w:szCs w:val="30"/>
        </w:rPr>
        <w:t>二、招标文件</w:t>
      </w:r>
      <w:r>
        <w:rPr>
          <w:sz w:val="30"/>
          <w:szCs w:val="30"/>
        </w:rPr>
        <w:t xml:space="preserve">    </w:t>
      </w:r>
      <w:r>
        <w:rPr>
          <w:rFonts w:hint="eastAsia" w:ascii="宋体" w:hAnsi="宋体"/>
          <w:sz w:val="30"/>
        </w:rPr>
        <w:t>----------------------------21</w:t>
      </w:r>
    </w:p>
    <w:p>
      <w:pPr>
        <w:spacing w:line="360" w:lineRule="auto"/>
        <w:ind w:firstLine="1350" w:firstLineChars="450"/>
        <w:rPr>
          <w:rFonts w:ascii="宋体" w:hAnsi="宋体"/>
          <w:sz w:val="30"/>
        </w:rPr>
      </w:pPr>
      <w:r>
        <w:rPr>
          <w:rFonts w:hint="eastAsia"/>
          <w:sz w:val="30"/>
          <w:szCs w:val="30"/>
        </w:rPr>
        <w:t>三、投标文件的编制</w:t>
      </w:r>
      <w:r>
        <w:rPr>
          <w:sz w:val="30"/>
          <w:szCs w:val="30"/>
        </w:rPr>
        <w:t xml:space="preserve">     </w:t>
      </w:r>
      <w:r>
        <w:rPr>
          <w:rFonts w:hint="eastAsia" w:ascii="宋体" w:hAnsi="宋体"/>
          <w:sz w:val="30"/>
        </w:rPr>
        <w:t>---------------------22</w:t>
      </w:r>
    </w:p>
    <w:p>
      <w:pPr>
        <w:spacing w:line="360" w:lineRule="auto"/>
        <w:ind w:firstLine="1350" w:firstLineChars="450"/>
        <w:rPr>
          <w:rFonts w:ascii="宋体" w:hAnsi="宋体"/>
          <w:sz w:val="30"/>
        </w:rPr>
      </w:pPr>
      <w:r>
        <w:rPr>
          <w:rFonts w:hint="eastAsia"/>
          <w:sz w:val="30"/>
          <w:szCs w:val="30"/>
        </w:rPr>
        <w:t>四、开标</w:t>
      </w:r>
      <w:r>
        <w:rPr>
          <w:sz w:val="30"/>
          <w:szCs w:val="30"/>
        </w:rPr>
        <w:t xml:space="preserve">   </w:t>
      </w:r>
      <w:r>
        <w:rPr>
          <w:rFonts w:hint="eastAsia" w:ascii="宋体" w:hAnsi="宋体"/>
          <w:sz w:val="30"/>
        </w:rPr>
        <w:t>---------------------------------27</w:t>
      </w:r>
    </w:p>
    <w:p>
      <w:pPr>
        <w:spacing w:line="360" w:lineRule="auto"/>
        <w:ind w:firstLine="1350" w:firstLineChars="450"/>
        <w:rPr>
          <w:rFonts w:ascii="宋体" w:hAnsi="宋体"/>
          <w:sz w:val="30"/>
        </w:rPr>
      </w:pPr>
      <w:r>
        <w:rPr>
          <w:rFonts w:hint="eastAsia"/>
          <w:sz w:val="30"/>
          <w:szCs w:val="30"/>
        </w:rPr>
        <w:t>五、评标</w:t>
      </w:r>
      <w:r>
        <w:rPr>
          <w:sz w:val="30"/>
          <w:szCs w:val="30"/>
        </w:rPr>
        <w:t xml:space="preserve">   </w:t>
      </w:r>
      <w:r>
        <w:rPr>
          <w:rFonts w:hint="eastAsia" w:ascii="宋体" w:hAnsi="宋体"/>
          <w:sz w:val="30"/>
        </w:rPr>
        <w:t>---------------------------------28</w:t>
      </w:r>
    </w:p>
    <w:p>
      <w:pPr>
        <w:spacing w:line="360" w:lineRule="auto"/>
        <w:ind w:firstLine="1350" w:firstLineChars="450"/>
        <w:rPr>
          <w:rFonts w:ascii="宋体" w:hAnsi="宋体"/>
          <w:sz w:val="30"/>
        </w:rPr>
      </w:pPr>
      <w:r>
        <w:rPr>
          <w:rFonts w:hint="eastAsia"/>
          <w:sz w:val="30"/>
          <w:szCs w:val="30"/>
        </w:rPr>
        <w:t>六、定标</w:t>
      </w:r>
      <w:r>
        <w:rPr>
          <w:sz w:val="30"/>
          <w:szCs w:val="30"/>
        </w:rPr>
        <w:t xml:space="preserve">   </w:t>
      </w:r>
      <w:r>
        <w:rPr>
          <w:rFonts w:hint="eastAsia" w:ascii="宋体" w:hAnsi="宋体"/>
          <w:sz w:val="30"/>
        </w:rPr>
        <w:t>---------------------------------30</w:t>
      </w:r>
    </w:p>
    <w:p>
      <w:pPr>
        <w:spacing w:line="360" w:lineRule="auto"/>
        <w:ind w:firstLine="1350" w:firstLineChars="450"/>
        <w:rPr>
          <w:sz w:val="30"/>
          <w:szCs w:val="30"/>
        </w:rPr>
      </w:pPr>
      <w:r>
        <w:rPr>
          <w:rFonts w:hint="eastAsia"/>
          <w:sz w:val="30"/>
          <w:szCs w:val="30"/>
        </w:rPr>
        <w:t>七、合同授予</w:t>
      </w:r>
      <w:r>
        <w:rPr>
          <w:sz w:val="30"/>
          <w:szCs w:val="30"/>
        </w:rPr>
        <w:t xml:space="preserve">   </w:t>
      </w:r>
      <w:r>
        <w:rPr>
          <w:rFonts w:hint="eastAsia" w:ascii="宋体" w:hAnsi="宋体"/>
          <w:sz w:val="30"/>
        </w:rPr>
        <w:t>-----------------------------31</w:t>
      </w:r>
    </w:p>
    <w:p>
      <w:pPr>
        <w:numPr>
          <w:ilvl w:val="0"/>
          <w:numId w:val="1"/>
        </w:numPr>
        <w:spacing w:line="360" w:lineRule="auto"/>
        <w:rPr>
          <w:rFonts w:ascii="宋体" w:hAnsi="宋体"/>
          <w:sz w:val="30"/>
          <w:szCs w:val="20"/>
        </w:rPr>
      </w:pPr>
      <w:r>
        <w:rPr>
          <w:rFonts w:hint="eastAsia" w:ascii="宋体" w:hAnsi="宋体"/>
          <w:sz w:val="30"/>
        </w:rPr>
        <w:t>评标办法及评分标准 ------------------------32</w:t>
      </w:r>
    </w:p>
    <w:p>
      <w:pPr>
        <w:numPr>
          <w:ilvl w:val="0"/>
          <w:numId w:val="1"/>
        </w:numPr>
        <w:spacing w:line="360" w:lineRule="auto"/>
        <w:rPr>
          <w:rFonts w:ascii="宋体" w:hAnsi="宋体"/>
          <w:sz w:val="30"/>
          <w:szCs w:val="20"/>
        </w:rPr>
      </w:pPr>
      <w:r>
        <w:rPr>
          <w:rFonts w:hint="eastAsia" w:ascii="宋体" w:hAnsi="宋体"/>
          <w:sz w:val="30"/>
        </w:rPr>
        <w:t>政府采购合同主要条款-----------------------36</w:t>
      </w:r>
    </w:p>
    <w:p>
      <w:pPr>
        <w:numPr>
          <w:ilvl w:val="0"/>
          <w:numId w:val="1"/>
        </w:numPr>
        <w:spacing w:line="360" w:lineRule="auto"/>
        <w:rPr>
          <w:rFonts w:ascii="宋体" w:hAnsi="宋体"/>
          <w:sz w:val="30"/>
          <w:szCs w:val="20"/>
        </w:rPr>
      </w:pPr>
      <w:r>
        <w:rPr>
          <w:rFonts w:hint="eastAsia" w:ascii="宋体" w:hAnsi="宋体"/>
          <w:sz w:val="30"/>
        </w:rPr>
        <w:t>投标文件格式    ---------------------------41</w:t>
      </w:r>
    </w:p>
    <w:p>
      <w:pPr>
        <w:spacing w:line="360" w:lineRule="auto"/>
        <w:rPr>
          <w:rFonts w:ascii="宋体" w:hAnsi="宋体"/>
          <w:sz w:val="30"/>
          <w:szCs w:val="20"/>
        </w:rPr>
      </w:pPr>
    </w:p>
    <w:p>
      <w:pPr>
        <w:pStyle w:val="18"/>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湖州市吴兴区中小学升降式课桌椅采购项目的潜在投标人应在浙江政府采购网（http://zfcg.czt.zj.gov.cn/) 获取招标文件，并于2022年7月13日9：00（北京时间）前递交投标文件。</w:t>
      </w:r>
    </w:p>
    <w:p>
      <w:pPr>
        <w:snapToGrid w:val="0"/>
        <w:spacing w:line="360" w:lineRule="auto"/>
        <w:rPr>
          <w:rFonts w:ascii="宋体" w:hAnsi="宋体"/>
          <w:sz w:val="24"/>
        </w:rPr>
      </w:pPr>
      <w:r>
        <w:rPr>
          <w:rFonts w:hint="eastAsia" w:ascii="宋体" w:hAnsi="宋体" w:cs="Arial"/>
          <w:b/>
          <w:sz w:val="24"/>
        </w:rPr>
        <w:t>一、项目基本情况</w:t>
      </w:r>
    </w:p>
    <w:p>
      <w:pPr>
        <w:spacing w:line="360" w:lineRule="auto"/>
        <w:ind w:firstLine="480" w:firstLineChars="200"/>
        <w:rPr>
          <w:rFonts w:ascii="宋体" w:hAnsi="宋体"/>
          <w:sz w:val="24"/>
        </w:rPr>
      </w:pPr>
      <w:r>
        <w:rPr>
          <w:rFonts w:hint="eastAsia" w:ascii="宋体" w:hAnsi="宋体"/>
          <w:sz w:val="24"/>
        </w:rPr>
        <w:t>项目编号：HYHZ2022-80(吴兴财采确临[2022]6228号)</w:t>
      </w:r>
    </w:p>
    <w:p>
      <w:pPr>
        <w:spacing w:line="360" w:lineRule="auto"/>
        <w:ind w:left="479" w:leftChars="228"/>
        <w:rPr>
          <w:rFonts w:ascii="宋体" w:hAnsi="宋体"/>
          <w:sz w:val="24"/>
        </w:rPr>
      </w:pPr>
      <w:r>
        <w:rPr>
          <w:rFonts w:hint="eastAsia" w:ascii="宋体" w:hAnsi="宋体"/>
          <w:sz w:val="24"/>
        </w:rPr>
        <w:t>项目名称：湖州市吴兴区中小学升降式课桌椅采购项目</w:t>
      </w:r>
    </w:p>
    <w:p>
      <w:pPr>
        <w:spacing w:line="360" w:lineRule="auto"/>
        <w:ind w:left="479" w:leftChars="228"/>
        <w:rPr>
          <w:rFonts w:ascii="宋体" w:hAnsi="宋体" w:cs="Arial"/>
          <w:b/>
          <w:sz w:val="24"/>
        </w:rPr>
      </w:pPr>
      <w:r>
        <w:rPr>
          <w:rFonts w:hint="eastAsia" w:ascii="宋体" w:hAnsi="宋体" w:cs="Arial"/>
          <w:b/>
          <w:sz w:val="24"/>
        </w:rPr>
        <w:t>预算金额：1849.7250万元；最高限价：1664.04万元</w:t>
      </w:r>
    </w:p>
    <w:p>
      <w:pPr>
        <w:spacing w:line="360" w:lineRule="auto"/>
        <w:ind w:left="479" w:leftChars="228"/>
        <w:rPr>
          <w:rFonts w:ascii="宋体" w:hAnsi="宋体" w:cs="Arial"/>
          <w:b/>
          <w:sz w:val="24"/>
        </w:rPr>
      </w:pPr>
      <w:r>
        <w:rPr>
          <w:rFonts w:hint="eastAsia" w:ascii="宋体" w:hAnsi="宋体" w:cs="Arial"/>
          <w:b/>
          <w:sz w:val="24"/>
        </w:rPr>
        <w:t>采购需求：吴兴区教育局所属40所中小学(校区）采购39620套升降式课桌椅（其中小学生升降式课桌椅：25020套、中学生升降式课桌椅：14600套）</w:t>
      </w:r>
    </w:p>
    <w:p>
      <w:pPr>
        <w:widowControl/>
        <w:spacing w:line="360" w:lineRule="auto"/>
        <w:ind w:firstLine="482" w:firstLineChars="200"/>
        <w:jc w:val="left"/>
        <w:rPr>
          <w:rFonts w:ascii="宋体" w:hAnsi="宋体"/>
          <w:b/>
          <w:sz w:val="24"/>
        </w:rPr>
      </w:pPr>
      <w:r>
        <w:rPr>
          <w:rFonts w:hint="eastAsia" w:ascii="宋体" w:hAnsi="宋体"/>
          <w:b/>
          <w:sz w:val="24"/>
        </w:rPr>
        <w:t>标项1：升降式课桌椅项目标项1</w:t>
      </w:r>
    </w:p>
    <w:p>
      <w:pPr>
        <w:widowControl/>
        <w:spacing w:line="360" w:lineRule="auto"/>
        <w:ind w:firstLine="482" w:firstLineChars="200"/>
        <w:jc w:val="left"/>
        <w:rPr>
          <w:rFonts w:ascii="宋体" w:hAnsi="宋体"/>
          <w:b/>
          <w:sz w:val="24"/>
        </w:rPr>
      </w:pPr>
      <w:r>
        <w:rPr>
          <w:rFonts w:hint="eastAsia" w:ascii="宋体" w:hAnsi="宋体"/>
          <w:b/>
          <w:sz w:val="24"/>
        </w:rPr>
        <w:t>预算：人民币460.35</w:t>
      </w:r>
      <w:r>
        <w:rPr>
          <w:rFonts w:ascii="宋体" w:hAnsi="宋体"/>
          <w:b/>
          <w:sz w:val="24"/>
        </w:rPr>
        <w:t>万元</w:t>
      </w:r>
      <w:r>
        <w:rPr>
          <w:rFonts w:hint="eastAsia" w:ascii="宋体" w:hAnsi="宋体"/>
          <w:b/>
          <w:sz w:val="24"/>
        </w:rPr>
        <w:t xml:space="preserve">   最高限价：人民币429.66</w:t>
      </w:r>
      <w:r>
        <w:rPr>
          <w:rFonts w:ascii="宋体" w:hAnsi="宋体"/>
          <w:b/>
          <w:sz w:val="24"/>
        </w:rPr>
        <w:t>万元</w:t>
      </w:r>
    </w:p>
    <w:p>
      <w:pPr>
        <w:widowControl/>
        <w:spacing w:line="360" w:lineRule="auto"/>
        <w:ind w:firstLine="482" w:firstLineChars="200"/>
        <w:jc w:val="left"/>
        <w:rPr>
          <w:rFonts w:ascii="宋体" w:hAnsi="宋体"/>
          <w:b/>
          <w:sz w:val="24"/>
        </w:rPr>
      </w:pPr>
      <w:r>
        <w:rPr>
          <w:rFonts w:hint="eastAsia" w:ascii="宋体" w:hAnsi="宋体"/>
          <w:b/>
          <w:sz w:val="24"/>
        </w:rPr>
        <w:t xml:space="preserve">标项2：升降式课桌椅项目标项2     </w:t>
      </w:r>
    </w:p>
    <w:p>
      <w:pPr>
        <w:widowControl/>
        <w:spacing w:line="360" w:lineRule="auto"/>
        <w:ind w:firstLine="482" w:firstLineChars="200"/>
        <w:jc w:val="left"/>
        <w:rPr>
          <w:rFonts w:ascii="宋体" w:hAnsi="宋体"/>
          <w:b/>
          <w:sz w:val="24"/>
        </w:rPr>
      </w:pPr>
      <w:r>
        <w:rPr>
          <w:rFonts w:hint="eastAsia" w:ascii="宋体" w:hAnsi="宋体"/>
          <w:b/>
          <w:sz w:val="24"/>
        </w:rPr>
        <w:t xml:space="preserve">预算：人民币470.025 </w:t>
      </w:r>
      <w:r>
        <w:rPr>
          <w:rFonts w:ascii="宋体" w:hAnsi="宋体"/>
          <w:b/>
          <w:sz w:val="24"/>
        </w:rPr>
        <w:t>万元</w:t>
      </w:r>
      <w:r>
        <w:rPr>
          <w:rFonts w:hint="eastAsia" w:ascii="宋体" w:hAnsi="宋体"/>
          <w:b/>
          <w:sz w:val="24"/>
        </w:rPr>
        <w:t xml:space="preserve">   最高限价：人民币426.09 </w:t>
      </w:r>
      <w:r>
        <w:rPr>
          <w:rFonts w:ascii="宋体" w:hAnsi="宋体"/>
          <w:b/>
          <w:sz w:val="24"/>
        </w:rPr>
        <w:t>万元</w:t>
      </w:r>
    </w:p>
    <w:p>
      <w:pPr>
        <w:widowControl/>
        <w:spacing w:line="360" w:lineRule="auto"/>
        <w:ind w:firstLine="482" w:firstLineChars="200"/>
        <w:jc w:val="left"/>
        <w:rPr>
          <w:rFonts w:ascii="宋体" w:hAnsi="宋体"/>
          <w:b/>
          <w:sz w:val="24"/>
        </w:rPr>
      </w:pPr>
      <w:r>
        <w:rPr>
          <w:rFonts w:hint="eastAsia" w:ascii="宋体" w:hAnsi="宋体"/>
          <w:b/>
          <w:sz w:val="24"/>
        </w:rPr>
        <w:t>标项3：升降式课桌椅项目标项3</w:t>
      </w:r>
    </w:p>
    <w:p>
      <w:pPr>
        <w:widowControl/>
        <w:spacing w:line="360" w:lineRule="auto"/>
        <w:ind w:firstLine="482" w:firstLineChars="200"/>
        <w:jc w:val="left"/>
        <w:rPr>
          <w:rFonts w:ascii="宋体" w:hAnsi="宋体"/>
          <w:b/>
          <w:sz w:val="24"/>
        </w:rPr>
      </w:pPr>
      <w:r>
        <w:rPr>
          <w:rFonts w:hint="eastAsia" w:ascii="宋体" w:hAnsi="宋体"/>
          <w:b/>
          <w:sz w:val="24"/>
        </w:rPr>
        <w:t xml:space="preserve">预算：人民币450.225 </w:t>
      </w:r>
      <w:r>
        <w:rPr>
          <w:rFonts w:ascii="宋体" w:hAnsi="宋体"/>
          <w:b/>
          <w:sz w:val="24"/>
        </w:rPr>
        <w:t>万元</w:t>
      </w:r>
      <w:r>
        <w:rPr>
          <w:rFonts w:hint="eastAsia" w:ascii="宋体" w:hAnsi="宋体"/>
          <w:b/>
          <w:sz w:val="24"/>
        </w:rPr>
        <w:t xml:space="preserve">   最高限价：人民币405.72</w:t>
      </w:r>
      <w:r>
        <w:rPr>
          <w:rFonts w:ascii="宋体" w:hAnsi="宋体"/>
          <w:b/>
          <w:sz w:val="24"/>
        </w:rPr>
        <w:t>万元</w:t>
      </w:r>
    </w:p>
    <w:p>
      <w:pPr>
        <w:widowControl/>
        <w:spacing w:line="360" w:lineRule="auto"/>
        <w:ind w:firstLine="482" w:firstLineChars="200"/>
        <w:jc w:val="left"/>
        <w:rPr>
          <w:rFonts w:ascii="宋体" w:hAnsi="宋体"/>
          <w:b/>
          <w:sz w:val="24"/>
        </w:rPr>
      </w:pPr>
      <w:r>
        <w:rPr>
          <w:rFonts w:hint="eastAsia" w:ascii="宋体" w:hAnsi="宋体"/>
          <w:b/>
          <w:sz w:val="24"/>
        </w:rPr>
        <w:t>标项4：升降式课桌椅项目标项4</w:t>
      </w:r>
    </w:p>
    <w:p>
      <w:pPr>
        <w:widowControl/>
        <w:spacing w:line="360" w:lineRule="auto"/>
        <w:ind w:firstLine="482" w:firstLineChars="200"/>
        <w:jc w:val="left"/>
        <w:rPr>
          <w:rFonts w:ascii="宋体" w:hAnsi="宋体"/>
          <w:b/>
          <w:sz w:val="24"/>
          <w:highlight w:val="yellow"/>
        </w:rPr>
      </w:pPr>
      <w:r>
        <w:rPr>
          <w:rFonts w:hint="eastAsia" w:ascii="宋体" w:hAnsi="宋体"/>
          <w:b/>
          <w:sz w:val="24"/>
        </w:rPr>
        <w:t>预算：人民币469.125</w:t>
      </w:r>
      <w:r>
        <w:rPr>
          <w:rFonts w:ascii="宋体" w:hAnsi="宋体"/>
          <w:b/>
          <w:sz w:val="24"/>
        </w:rPr>
        <w:t>万元</w:t>
      </w:r>
      <w:r>
        <w:rPr>
          <w:rFonts w:hint="eastAsia" w:ascii="宋体" w:hAnsi="宋体"/>
          <w:b/>
          <w:sz w:val="24"/>
        </w:rPr>
        <w:t xml:space="preserve">   最高限价：人民币402.57</w:t>
      </w:r>
      <w:r>
        <w:rPr>
          <w:rFonts w:ascii="宋体" w:hAnsi="宋体"/>
          <w:b/>
          <w:sz w:val="24"/>
        </w:rPr>
        <w:t>万元</w:t>
      </w:r>
    </w:p>
    <w:p>
      <w:pPr>
        <w:snapToGrid w:val="0"/>
        <w:spacing w:line="360" w:lineRule="auto"/>
        <w:ind w:firstLine="472" w:firstLineChars="196"/>
        <w:rPr>
          <w:rFonts w:ascii="宋体" w:hAnsi="宋体"/>
          <w:b/>
          <w:bCs/>
          <w:sz w:val="24"/>
          <w:shd w:val="pct10" w:color="auto" w:fill="FFFFFF"/>
        </w:rPr>
      </w:pPr>
      <w:r>
        <w:rPr>
          <w:rFonts w:hint="eastAsia" w:ascii="宋体" w:hAnsi="宋体" w:cs="宋体"/>
          <w:b/>
          <w:kern w:val="0"/>
          <w:sz w:val="24"/>
        </w:rPr>
        <w:t>注：本项目分为4个标项，投标人可根据自身能力选择一个或多个标项参与投标，且</w:t>
      </w:r>
      <w:r>
        <w:rPr>
          <w:rFonts w:hint="eastAsia" w:ascii="宋体" w:hAnsi="宋体" w:cs="宋体"/>
          <w:b/>
          <w:sz w:val="24"/>
        </w:rPr>
        <w:t>可以同时参与多个标项的评审，但一个</w:t>
      </w:r>
      <w:r>
        <w:rPr>
          <w:rFonts w:hint="eastAsia" w:ascii="宋体" w:hAnsi="宋体"/>
          <w:b/>
          <w:sz w:val="24"/>
        </w:rPr>
        <w:t>投标人</w:t>
      </w:r>
      <w:r>
        <w:rPr>
          <w:rFonts w:hint="eastAsia" w:ascii="宋体" w:hAnsi="宋体" w:cs="宋体"/>
          <w:b/>
          <w:sz w:val="24"/>
        </w:rPr>
        <w:t>只能中标一个标项；</w:t>
      </w:r>
      <w:r>
        <w:rPr>
          <w:rFonts w:hint="eastAsia" w:ascii="宋体" w:hAnsi="宋体"/>
          <w:b/>
          <w:bCs/>
          <w:sz w:val="24"/>
        </w:rPr>
        <w:t>按标项1，标项2，标项3，标项4的顺序确定中标人</w:t>
      </w:r>
      <w:r>
        <w:rPr>
          <w:rFonts w:hint="eastAsia" w:ascii="宋体" w:hAnsi="宋体" w:cs="宋体"/>
          <w:b/>
          <w:kern w:val="0"/>
          <w:sz w:val="24"/>
        </w:rPr>
        <w:t>，</w:t>
      </w:r>
      <w:r>
        <w:rPr>
          <w:rFonts w:hint="eastAsia" w:ascii="宋体" w:hAnsi="宋体" w:cs="宋体"/>
          <w:b/>
          <w:sz w:val="24"/>
        </w:rPr>
        <w:t>已中标的</w:t>
      </w:r>
      <w:r>
        <w:rPr>
          <w:rFonts w:hint="eastAsia" w:ascii="宋体" w:hAnsi="宋体"/>
          <w:b/>
          <w:sz w:val="24"/>
        </w:rPr>
        <w:t>投标人</w:t>
      </w:r>
      <w:r>
        <w:rPr>
          <w:rFonts w:hint="eastAsia" w:ascii="宋体" w:hAnsi="宋体" w:cs="宋体"/>
          <w:b/>
          <w:sz w:val="24"/>
        </w:rPr>
        <w:t>仍然进入下一标项的评审，但不再确定为中标人。</w:t>
      </w:r>
    </w:p>
    <w:p>
      <w:pPr>
        <w:snapToGrid w:val="0"/>
        <w:spacing w:line="360" w:lineRule="auto"/>
        <w:ind w:firstLine="480" w:firstLineChars="200"/>
        <w:rPr>
          <w:rFonts w:ascii="宋体" w:hAnsi="宋体"/>
          <w:sz w:val="24"/>
        </w:rPr>
      </w:pPr>
      <w:r>
        <w:rPr>
          <w:rFonts w:hint="eastAsia" w:ascii="宋体" w:hAnsi="宋体"/>
          <w:sz w:val="24"/>
        </w:rPr>
        <w:t>详</w:t>
      </w:r>
      <w:r>
        <w:rPr>
          <w:rFonts w:hint="eastAsia" w:ascii="宋体" w:hAnsi="宋体" w:cs="仿宋"/>
          <w:sz w:val="24"/>
        </w:rPr>
        <w:t>见招标文件第二章采购需求</w:t>
      </w:r>
    </w:p>
    <w:p>
      <w:pPr>
        <w:snapToGrid w:val="0"/>
        <w:spacing w:line="360" w:lineRule="auto"/>
        <w:ind w:firstLine="470" w:firstLineChars="196"/>
        <w:rPr>
          <w:rFonts w:ascii="宋体" w:hAnsi="宋体" w:cs="仿宋"/>
          <w:sz w:val="24"/>
        </w:rPr>
      </w:pPr>
      <w:r>
        <w:rPr>
          <w:rFonts w:hint="eastAsia" w:ascii="宋体" w:hAnsi="宋体" w:cs="仿宋"/>
          <w:sz w:val="24"/>
        </w:rPr>
        <w:t>合同履行期限：见招标文件第二章采购需求</w:t>
      </w:r>
    </w:p>
    <w:p>
      <w:pPr>
        <w:snapToGrid w:val="0"/>
        <w:spacing w:line="360" w:lineRule="auto"/>
        <w:ind w:firstLine="470" w:firstLineChars="196"/>
        <w:rPr>
          <w:rFonts w:ascii="宋体" w:hAnsi="宋体" w:cs="仿宋"/>
          <w:sz w:val="24"/>
        </w:rPr>
      </w:pPr>
      <w:r>
        <w:rPr>
          <w:rFonts w:hint="eastAsia" w:ascii="宋体" w:hAnsi="宋体" w:cs="仿宋"/>
          <w:sz w:val="24"/>
        </w:rPr>
        <w:t>本项目（是）接受联合体投标。</w:t>
      </w:r>
    </w:p>
    <w:p>
      <w:pPr>
        <w:snapToGrid w:val="0"/>
        <w:spacing w:line="360" w:lineRule="auto"/>
        <w:rPr>
          <w:rFonts w:ascii="宋体" w:hAnsi="宋体" w:cs="Arial"/>
          <w:b/>
          <w:sz w:val="24"/>
        </w:rPr>
      </w:pPr>
      <w:r>
        <w:rPr>
          <w:rFonts w:hint="eastAsia" w:ascii="宋体" w:hAnsi="宋体" w:cs="Arial"/>
          <w:b/>
          <w:sz w:val="24"/>
        </w:rPr>
        <w:t>二、申请人的资格要求：</w:t>
      </w:r>
    </w:p>
    <w:p>
      <w:pPr>
        <w:snapToGrid w:val="0"/>
        <w:spacing w:line="360" w:lineRule="auto"/>
        <w:ind w:firstLine="480" w:firstLineChars="200"/>
        <w:rPr>
          <w:rFonts w:ascii="宋体" w:hAnsi="宋体" w:cs="Arial"/>
          <w:sz w:val="24"/>
        </w:rPr>
      </w:pPr>
      <w:r>
        <w:rPr>
          <w:rFonts w:hint="eastAsia" w:ascii="宋体" w:hAnsi="宋体" w:cs="仿宋"/>
          <w:sz w:val="24"/>
        </w:rPr>
        <w:t>1.满足《中华人民共和国政府采购法》第二十二条规定；</w:t>
      </w:r>
      <w:r>
        <w:rPr>
          <w:rFonts w:hint="eastAsia" w:ascii="宋体" w:hAnsi="宋体"/>
          <w:sz w:val="24"/>
        </w:rPr>
        <w:t>且未被“信用中国”（www.creditchina.gov.cn）、中国政府采购网（www.ccgp.gov.cn）列入失信被执行人、重大税收违法案件当事人名单、政府采购严重违法失信行为记录名单。</w:t>
      </w:r>
    </w:p>
    <w:p>
      <w:pPr>
        <w:snapToGrid w:val="0"/>
        <w:spacing w:line="360" w:lineRule="auto"/>
        <w:ind w:firstLine="482" w:firstLineChars="200"/>
        <w:rPr>
          <w:rFonts w:ascii="宋体" w:hAnsi="宋体"/>
          <w:b/>
          <w:color w:val="FF0000"/>
          <w:sz w:val="24"/>
        </w:rPr>
      </w:pPr>
      <w:r>
        <w:rPr>
          <w:rFonts w:hint="eastAsia" w:ascii="宋体" w:hAnsi="宋体"/>
          <w:b/>
          <w:color w:val="FF0000"/>
          <w:sz w:val="24"/>
        </w:rPr>
        <w:t>2.落实政府采购政策需满足的资格要求：</w:t>
      </w:r>
      <w:r>
        <w:rPr>
          <w:rFonts w:ascii="宋体" w:hAnsi="宋体"/>
          <w:b/>
          <w:color w:val="FF0000"/>
          <w:sz w:val="24"/>
        </w:rPr>
        <w:t>本项目属于面向中小企业预留采购份额项目，预留份额通过采购合同的供应商将采购项目中的一定比例分包给一家或者多家中小企业进行，分包意向协议中预留给中小企业的金额应当不低于总金额的</w:t>
      </w:r>
      <w:r>
        <w:rPr>
          <w:rFonts w:hint="eastAsia" w:ascii="宋体" w:hAnsi="宋体"/>
          <w:b/>
          <w:color w:val="FF0000"/>
          <w:sz w:val="24"/>
        </w:rPr>
        <w:t>4</w:t>
      </w:r>
      <w:r>
        <w:rPr>
          <w:rFonts w:ascii="宋体" w:hAnsi="宋体"/>
          <w:b/>
          <w:color w:val="FF0000"/>
          <w:sz w:val="24"/>
        </w:rPr>
        <w:t>0%。接受分包合同的中小企业和分包企业之间不得存在直接控股、管理关系。提供明确以上事项的《分包意向协议》和《中小企业声明函》（监狱企业视同小型、微型企业，提供由省级以上监狱管理局、戒毒管理局(含新疆生产建设兵团)出具的属于监狱企业的证明文件；残疾人福利性单位视同小型、微型企业，提供《残疾人福利性单位声明函》）。</w:t>
      </w:r>
    </w:p>
    <w:p>
      <w:pPr>
        <w:snapToGrid w:val="0"/>
        <w:spacing w:line="360" w:lineRule="auto"/>
        <w:ind w:firstLine="482" w:firstLineChars="200"/>
        <w:rPr>
          <w:rFonts w:ascii="宋体" w:hAnsi="宋体"/>
          <w:b/>
          <w:color w:val="FF0000"/>
          <w:sz w:val="24"/>
        </w:rPr>
      </w:pPr>
      <w:r>
        <w:rPr>
          <w:rFonts w:ascii="宋体" w:hAnsi="宋体"/>
          <w:b/>
          <w:color w:val="FF0000"/>
          <w:sz w:val="24"/>
        </w:rPr>
        <w:t>如果供应商本身提供所有标的均由中小企业制造、承建或承接，视同符合本条资格条件，无需再进行分包。提供明确以上事项的《中小企业声明函》（监狱企业视同小型、微型企业，提供由省级以上监狱管理局、戒毒管理局(含新疆生产建设兵团)出具的属于监狱企业的证明文件；残疾人福利性单位视同小型、微型企业，提供《残疾人福利性单位声明函》）。</w:t>
      </w:r>
    </w:p>
    <w:p>
      <w:pPr>
        <w:spacing w:line="360" w:lineRule="auto"/>
        <w:ind w:firstLine="480" w:firstLineChars="200"/>
        <w:rPr>
          <w:rFonts w:ascii="宋体" w:hAnsi="宋体" w:cs="宋体"/>
          <w:sz w:val="24"/>
        </w:rPr>
      </w:pPr>
      <w:r>
        <w:rPr>
          <w:rFonts w:hint="eastAsia" w:ascii="宋体" w:hAnsi="宋体" w:cs="仿宋"/>
          <w:sz w:val="24"/>
        </w:rPr>
        <w:t>3.本项目的特定资格要求：无</w:t>
      </w:r>
      <w:r>
        <w:rPr>
          <w:rFonts w:hint="eastAsia" w:ascii="宋体" w:hAnsi="宋体" w:cs="宋体"/>
          <w:sz w:val="24"/>
        </w:rPr>
        <w:t>；</w:t>
      </w:r>
    </w:p>
    <w:p>
      <w:pPr>
        <w:spacing w:line="360" w:lineRule="auto"/>
        <w:ind w:firstLine="480" w:firstLineChars="200"/>
        <w:rPr>
          <w:rFonts w:ascii="宋体" w:hAnsi="宋体" w:cs="仿宋"/>
          <w:sz w:val="24"/>
        </w:rPr>
      </w:pPr>
      <w:r>
        <w:rPr>
          <w:rFonts w:hint="eastAsia" w:ascii="宋体" w:hAnsi="宋体" w:cs="宋体"/>
          <w:color w:val="000000"/>
          <w:kern w:val="0"/>
          <w:sz w:val="24"/>
        </w:rPr>
        <w:t>4.本项目接受联合体投标。</w:t>
      </w:r>
    </w:p>
    <w:p>
      <w:pPr>
        <w:snapToGrid w:val="0"/>
        <w:spacing w:line="360" w:lineRule="auto"/>
        <w:rPr>
          <w:rFonts w:ascii="宋体" w:hAnsi="宋体" w:cs="Arial"/>
          <w:b/>
          <w:sz w:val="24"/>
        </w:rPr>
      </w:pPr>
      <w:r>
        <w:rPr>
          <w:rFonts w:hint="eastAsia" w:ascii="宋体" w:hAnsi="宋体" w:cs="Arial"/>
          <w:b/>
          <w:sz w:val="24"/>
        </w:rPr>
        <w:t>三、获取招标文件：</w:t>
      </w:r>
    </w:p>
    <w:p>
      <w:pPr>
        <w:snapToGrid w:val="0"/>
        <w:spacing w:line="360" w:lineRule="auto"/>
        <w:ind w:firstLine="480" w:firstLineChars="200"/>
        <w:rPr>
          <w:rFonts w:ascii="宋体" w:hAnsi="宋体" w:cs="仿宋"/>
          <w:sz w:val="24"/>
        </w:rPr>
      </w:pPr>
      <w:r>
        <w:rPr>
          <w:rFonts w:hint="eastAsia" w:ascii="宋体" w:hAnsi="宋体" w:cs="仿宋"/>
          <w:sz w:val="24"/>
        </w:rPr>
        <w:t>时间：2022年6月23日至2022年</w:t>
      </w:r>
      <w:r>
        <w:rPr>
          <w:rFonts w:hint="eastAsia" w:ascii="宋体" w:hAnsi="宋体"/>
          <w:sz w:val="24"/>
        </w:rPr>
        <w:t>7</w:t>
      </w:r>
      <w:r>
        <w:rPr>
          <w:rFonts w:hint="eastAsia" w:ascii="宋体" w:hAnsi="宋体" w:cs="仿宋"/>
          <w:sz w:val="24"/>
        </w:rPr>
        <w:t>月13日</w:t>
      </w:r>
    </w:p>
    <w:p>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pPr>
        <w:snapToGrid w:val="0"/>
        <w:spacing w:line="360" w:lineRule="auto"/>
        <w:ind w:firstLine="480" w:firstLineChars="200"/>
        <w:rPr>
          <w:rFonts w:ascii="宋体" w:hAnsi="宋体" w:cs="仿宋"/>
          <w:sz w:val="24"/>
        </w:rPr>
      </w:pPr>
      <w:r>
        <w:rPr>
          <w:rFonts w:hint="eastAsia" w:ascii="宋体" w:hAnsi="宋体" w:cs="仿宋"/>
          <w:sz w:val="24"/>
        </w:rPr>
        <w:t>售价：0</w:t>
      </w:r>
    </w:p>
    <w:p>
      <w:pPr>
        <w:snapToGrid w:val="0"/>
        <w:spacing w:line="360" w:lineRule="auto"/>
        <w:rPr>
          <w:rFonts w:ascii="宋体" w:hAnsi="宋体" w:cs="Arial"/>
          <w:b/>
          <w:sz w:val="24"/>
        </w:rPr>
      </w:pPr>
      <w:r>
        <w:rPr>
          <w:rFonts w:hint="eastAsia" w:ascii="宋体" w:hAnsi="宋体" w:cs="Arial"/>
          <w:b/>
          <w:sz w:val="24"/>
        </w:rPr>
        <w:t>四、提交投标文件截止时间、开标时间和地点：</w:t>
      </w:r>
    </w:p>
    <w:p>
      <w:pPr>
        <w:snapToGrid w:val="0"/>
        <w:spacing w:line="360" w:lineRule="auto"/>
        <w:ind w:firstLine="600" w:firstLineChars="250"/>
        <w:rPr>
          <w:rFonts w:ascii="宋体" w:hAnsi="宋体" w:cs="仿宋"/>
          <w:bCs/>
          <w:sz w:val="24"/>
        </w:rPr>
      </w:pPr>
      <w:r>
        <w:rPr>
          <w:rFonts w:hint="eastAsia" w:ascii="宋体" w:hAnsi="宋体" w:cs="仿宋"/>
          <w:sz w:val="24"/>
        </w:rPr>
        <w:t>2022年</w:t>
      </w:r>
      <w:r>
        <w:rPr>
          <w:rFonts w:hint="eastAsia" w:ascii="宋体" w:hAnsi="宋体"/>
          <w:sz w:val="24"/>
        </w:rPr>
        <w:t>7</w:t>
      </w:r>
      <w:r>
        <w:rPr>
          <w:rFonts w:hint="eastAsia" w:ascii="宋体" w:hAnsi="宋体" w:cs="仿宋"/>
          <w:sz w:val="24"/>
        </w:rPr>
        <w:t>月13日</w:t>
      </w:r>
      <w:r>
        <w:rPr>
          <w:rFonts w:hint="eastAsia" w:ascii="宋体" w:hAnsi="宋体"/>
          <w:sz w:val="24"/>
        </w:rPr>
        <w:t>9：00（北京时间）</w:t>
      </w:r>
    </w:p>
    <w:p>
      <w:pPr>
        <w:snapToGrid w:val="0"/>
        <w:spacing w:line="360" w:lineRule="auto"/>
        <w:ind w:firstLine="600" w:firstLineChars="250"/>
        <w:rPr>
          <w:rFonts w:ascii="宋体" w:hAnsi="宋体" w:cs="仿宋"/>
          <w:bCs/>
          <w:sz w:val="24"/>
          <w:u w:val="single"/>
        </w:rPr>
      </w:pPr>
      <w:r>
        <w:rPr>
          <w:rFonts w:hint="eastAsia" w:ascii="宋体" w:hAnsi="宋体" w:cs="仿宋"/>
          <w:sz w:val="24"/>
        </w:rPr>
        <w:t>地点：</w:t>
      </w:r>
      <w:r>
        <w:rPr>
          <w:rFonts w:hint="eastAsia" w:ascii="宋体" w:hAnsi="宋体" w:cs="宋体"/>
          <w:kern w:val="0"/>
          <w:sz w:val="24"/>
        </w:rPr>
        <w:t>湖州市吴兴区公共资源交易中心（湖州市吴兴区区府路1188号总部自由港E幢4楼）401开标室（</w:t>
      </w:r>
      <w:r>
        <w:rPr>
          <w:rFonts w:hint="eastAsia" w:ascii="宋体" w:hAnsi="宋体" w:cs="仿宋"/>
          <w:sz w:val="24"/>
        </w:rPr>
        <w:t>通过“政府采购云平台（http://www.zcygov.cn）”实行在线投标及开标）。</w:t>
      </w:r>
    </w:p>
    <w:p>
      <w:pPr>
        <w:snapToGrid w:val="0"/>
        <w:spacing w:line="360" w:lineRule="auto"/>
        <w:rPr>
          <w:rFonts w:ascii="宋体" w:hAnsi="宋体" w:cs="Arial"/>
          <w:b/>
          <w:sz w:val="24"/>
        </w:rPr>
      </w:pPr>
      <w:r>
        <w:rPr>
          <w:rFonts w:hint="eastAsia" w:ascii="宋体" w:hAnsi="宋体" w:cs="Arial"/>
          <w:b/>
          <w:sz w:val="24"/>
        </w:rPr>
        <w:t>五、公告期限</w:t>
      </w:r>
    </w:p>
    <w:p>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pPr>
        <w:spacing w:line="360" w:lineRule="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spacing w:line="360" w:lineRule="auto"/>
        <w:ind w:firstLine="360" w:firstLineChars="15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p>
      <w:pPr>
        <w:spacing w:line="360" w:lineRule="auto"/>
        <w:ind w:firstLine="360" w:firstLineChars="15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360" w:lineRule="auto"/>
        <w:ind w:firstLine="360" w:firstLineChars="15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pPr>
        <w:spacing w:line="360" w:lineRule="auto"/>
        <w:ind w:firstLine="360" w:firstLineChars="15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否</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仿宋"/>
          <w:sz w:val="24"/>
        </w:rPr>
        <w:t>7、本项目公告发布网站：</w:t>
      </w:r>
      <w:r>
        <w:rPr>
          <w:rFonts w:hint="eastAsia" w:ascii="宋体" w:hAnsi="宋体" w:cs="宋体"/>
          <w:kern w:val="0"/>
          <w:sz w:val="24"/>
        </w:rPr>
        <w:t>“浙江省政府采购网”(http://zfcg.czt.zj.gov.cn/)和吴兴区人民政府网http://www.wuxing.gov.cn/首页“吴兴区公共资源交易中心”专栏。</w:t>
      </w:r>
    </w:p>
    <w:p>
      <w:pPr>
        <w:snapToGrid w:val="0"/>
        <w:spacing w:line="360" w:lineRule="auto"/>
        <w:ind w:firstLine="480" w:firstLineChars="200"/>
        <w:rPr>
          <w:rFonts w:ascii="宋体" w:hAnsi="宋体" w:cs="仿宋"/>
          <w:kern w:val="0"/>
          <w:sz w:val="24"/>
        </w:rPr>
      </w:pPr>
      <w:r>
        <w:rPr>
          <w:rFonts w:hint="eastAsia" w:ascii="宋体" w:hAnsi="宋体" w:cs="仿宋"/>
          <w:sz w:val="24"/>
        </w:rPr>
        <w:t>8、投标事项：</w:t>
      </w:r>
    </w:p>
    <w:p>
      <w:pPr>
        <w:spacing w:line="360" w:lineRule="auto"/>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360" w:lineRule="auto"/>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pPr>
        <w:spacing w:line="360" w:lineRule="auto"/>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pPr>
        <w:spacing w:line="360" w:lineRule="auto"/>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360" w:lineRule="auto"/>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pPr>
        <w:spacing w:line="360" w:lineRule="auto"/>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w:t>
      </w:r>
      <w:r>
        <w:rPr>
          <w:rFonts w:ascii="宋体" w:hAnsi="宋体" w:cs="宋体"/>
          <w:kern w:val="0"/>
          <w:sz w:val="24"/>
        </w:rPr>
        <w:t>:</w:t>
      </w:r>
      <w:r>
        <w:rPr>
          <w:rFonts w:hint="eastAsia" w:ascii="宋体" w:hAnsi="宋体" w:cs="宋体"/>
          <w:kern w:val="0"/>
          <w:sz w:val="24"/>
        </w:rPr>
        <w:t>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(BFBS格式)，按政采云平台项目采购-电子交易操作指南中上传的电子</w:t>
      </w:r>
      <w:r>
        <w:rPr>
          <w:rFonts w:hint="eastAsia" w:ascii="宋体" w:hAnsi="宋体" w:cs="宋体"/>
          <w:kern w:val="0"/>
          <w:sz w:val="24"/>
        </w:rPr>
        <w:t>投标文件</w:t>
      </w:r>
      <w:r>
        <w:rPr>
          <w:rFonts w:ascii="宋体" w:hAnsi="宋体" w:cs="宋体"/>
          <w:kern w:val="0"/>
          <w:sz w:val="24"/>
        </w:rPr>
        <w:t>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pPr>
        <w:spacing w:line="360" w:lineRule="auto"/>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pPr>
        <w:spacing w:line="360" w:lineRule="auto"/>
        <w:ind w:firstLine="361" w:firstLineChars="150"/>
        <w:rPr>
          <w:rFonts w:ascii="宋体" w:hAnsi="宋体" w:cs="宋体"/>
          <w:kern w:val="0"/>
          <w:sz w:val="24"/>
        </w:rPr>
      </w:pPr>
      <w:r>
        <w:rPr>
          <w:rFonts w:hint="eastAsia" w:ascii="宋体" w:hAnsi="宋体" w:cs="仿宋"/>
          <w:b/>
          <w:sz w:val="24"/>
        </w:rPr>
        <w:t>9.告知事项：</w:t>
      </w:r>
      <w:r>
        <w:rPr>
          <w:rFonts w:hint="eastAsia" w:ascii="宋体" w:hAnsi="宋体" w:cs="宋体"/>
          <w:kern w:val="0"/>
          <w:sz w:val="24"/>
        </w:rPr>
        <w:t>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snapToGrid w:val="0"/>
        <w:spacing w:line="360" w:lineRule="auto"/>
        <w:ind w:firstLine="542" w:firstLineChars="225"/>
        <w:rPr>
          <w:rFonts w:ascii="宋体" w:hAnsi="宋体" w:cs="Arial"/>
          <w:b/>
          <w:sz w:val="24"/>
        </w:rPr>
      </w:pPr>
      <w:r>
        <w:rPr>
          <w:rFonts w:hint="eastAsia" w:ascii="宋体" w:hAnsi="宋体" w:cs="Arial"/>
          <w:b/>
          <w:sz w:val="24"/>
        </w:rPr>
        <w:t>十三、业务咨询：</w:t>
      </w:r>
    </w:p>
    <w:p>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pPr>
        <w:snapToGrid w:val="0"/>
        <w:spacing w:line="360" w:lineRule="auto"/>
        <w:ind w:firstLine="470" w:firstLineChars="196"/>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pPr>
        <w:snapToGrid w:val="0"/>
        <w:spacing w:line="360" w:lineRule="auto"/>
        <w:ind w:firstLine="470" w:firstLineChars="196"/>
        <w:rPr>
          <w:rFonts w:ascii="宋体" w:hAnsi="宋体" w:cs="Arial"/>
          <w:sz w:val="24"/>
        </w:rPr>
      </w:pPr>
    </w:p>
    <w:p>
      <w:pPr>
        <w:snapToGrid w:val="0"/>
        <w:spacing w:line="360" w:lineRule="auto"/>
        <w:ind w:firstLine="470" w:firstLineChars="196"/>
        <w:rPr>
          <w:rFonts w:ascii="宋体" w:hAnsi="宋体"/>
          <w:sz w:val="24"/>
        </w:rPr>
      </w:pPr>
      <w:r>
        <w:rPr>
          <w:rFonts w:hint="eastAsia" w:ascii="宋体" w:hAnsi="宋体" w:cs="Arial"/>
          <w:sz w:val="24"/>
        </w:rPr>
        <w:t>2.采购人名称：</w:t>
      </w:r>
      <w:r>
        <w:rPr>
          <w:rFonts w:hint="eastAsia" w:ascii="宋体" w:hAnsi="宋体"/>
          <w:sz w:val="24"/>
        </w:rPr>
        <w:t xml:space="preserve">湖州市吴兴区教育局 </w:t>
      </w:r>
    </w:p>
    <w:p>
      <w:pPr>
        <w:snapToGrid w:val="0"/>
        <w:spacing w:line="360" w:lineRule="auto"/>
        <w:ind w:firstLine="480" w:firstLineChars="200"/>
        <w:rPr>
          <w:rFonts w:ascii="宋体" w:hAnsi="宋体" w:cs="Arial"/>
          <w:sz w:val="24"/>
        </w:rPr>
      </w:pPr>
      <w:r>
        <w:rPr>
          <w:rFonts w:hint="eastAsia" w:ascii="宋体" w:hAnsi="宋体"/>
          <w:sz w:val="24"/>
        </w:rPr>
        <w:t>地址：</w:t>
      </w:r>
      <w:r>
        <w:rPr>
          <w:rFonts w:ascii="宋体" w:hAnsi="宋体"/>
          <w:sz w:val="24"/>
        </w:rPr>
        <w:t>湖州市吴兴区</w:t>
      </w:r>
      <w:r>
        <w:rPr>
          <w:rFonts w:hint="eastAsia" w:ascii="宋体" w:hAnsi="宋体" w:cs="Arial"/>
          <w:sz w:val="24"/>
        </w:rPr>
        <w:t>吴兴大道1号</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w:t>
      </w:r>
      <w:r>
        <w:rPr>
          <w:rFonts w:ascii="宋体" w:hAnsi="宋体" w:cs="宋体"/>
          <w:color w:val="000000" w:themeColor="text1"/>
          <w:sz w:val="24"/>
          <w14:textFill>
            <w14:solidFill>
              <w14:schemeClr w14:val="tx1"/>
            </w14:solidFill>
          </w14:textFill>
        </w:rPr>
        <w:t>屠</w:t>
      </w:r>
      <w:r>
        <w:rPr>
          <w:rFonts w:hint="eastAsia" w:ascii="宋体" w:hAnsi="宋体" w:cs="宋体"/>
          <w:color w:val="000000" w:themeColor="text1"/>
          <w:sz w:val="24"/>
          <w14:textFill>
            <w14:solidFill>
              <w14:schemeClr w14:val="tx1"/>
            </w14:solidFill>
          </w14:textFill>
        </w:rPr>
        <w:t>老师</w:t>
      </w:r>
      <w:r>
        <w:rPr>
          <w:rFonts w:hint="eastAsia" w:ascii="宋体" w:hAnsi="宋体" w:cs="Arial"/>
          <w:color w:val="000000" w:themeColor="text1"/>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  </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联系方式：</w:t>
      </w:r>
      <w:r>
        <w:rPr>
          <w:rFonts w:ascii="宋体" w:hAnsi="宋体" w:cs="宋体"/>
          <w:color w:val="000000" w:themeColor="text1"/>
          <w:sz w:val="24"/>
          <w14:textFill>
            <w14:solidFill>
              <w14:schemeClr w14:val="tx1"/>
            </w14:solidFill>
          </w14:textFill>
        </w:rPr>
        <w:t>0572-2289279</w:t>
      </w:r>
      <w:r>
        <w:rPr>
          <w:rFonts w:hint="eastAsia" w:ascii="宋体" w:hAnsi="宋体"/>
          <w:color w:val="000000" w:themeColor="text1"/>
          <w:sz w:val="24"/>
          <w14:textFill>
            <w14:solidFill>
              <w14:schemeClr w14:val="tx1"/>
            </w14:solidFill>
          </w14:textFill>
        </w:rPr>
        <w:t xml:space="preserve">  </w:t>
      </w:r>
    </w:p>
    <w:p>
      <w:pPr>
        <w:snapToGrid w:val="0"/>
        <w:spacing w:line="360" w:lineRule="auto"/>
        <w:ind w:firstLine="480" w:firstLineChars="200"/>
        <w:rPr>
          <w:rFonts w:ascii="宋体" w:hAnsi="宋体"/>
          <w:color w:val="FF0000"/>
          <w:sz w:val="24"/>
        </w:rPr>
      </w:pPr>
      <w:r>
        <w:rPr>
          <w:rFonts w:hint="eastAsia" w:ascii="宋体" w:hAnsi="宋体"/>
          <w:color w:val="000000" w:themeColor="text1"/>
          <w:sz w:val="24"/>
          <w14:textFill>
            <w14:solidFill>
              <w14:schemeClr w14:val="tx1"/>
            </w14:solidFill>
          </w14:textFill>
        </w:rPr>
        <w:t>采购人质疑联系人：</w:t>
      </w:r>
      <w:r>
        <w:rPr>
          <w:rFonts w:ascii="宋体" w:hAnsi="宋体" w:cs="宋体"/>
          <w:color w:val="000000" w:themeColor="text1"/>
          <w:sz w:val="24"/>
          <w14:textFill>
            <w14:solidFill>
              <w14:schemeClr w14:val="tx1"/>
            </w14:solidFill>
          </w14:textFill>
        </w:rPr>
        <w:t>邬</w:t>
      </w:r>
      <w:r>
        <w:rPr>
          <w:rFonts w:hint="eastAsia" w:ascii="宋体" w:hAnsi="宋体" w:cs="宋体"/>
          <w:color w:val="000000" w:themeColor="text1"/>
          <w:sz w:val="24"/>
          <w14:textFill>
            <w14:solidFill>
              <w14:schemeClr w14:val="tx1"/>
            </w14:solidFill>
          </w14:textFill>
        </w:rPr>
        <w:t>老师</w:t>
      </w:r>
      <w:r>
        <w:rPr>
          <w:rFonts w:hint="eastAsia" w:ascii="宋体" w:hAnsi="宋体"/>
          <w:color w:val="000000" w:themeColor="text1"/>
          <w:sz w:val="24"/>
          <w14:textFill>
            <w14:solidFill>
              <w14:schemeClr w14:val="tx1"/>
            </w14:solidFill>
          </w14:textFill>
        </w:rPr>
        <w:t xml:space="preserve">       采购人质疑联系电话：</w:t>
      </w:r>
      <w:r>
        <w:rPr>
          <w:rFonts w:ascii="宋体" w:hAnsi="宋体" w:cs="宋体"/>
          <w:color w:val="000000" w:themeColor="text1"/>
          <w:sz w:val="24"/>
          <w14:textFill>
            <w14:solidFill>
              <w14:schemeClr w14:val="tx1"/>
            </w14:solidFill>
          </w14:textFill>
        </w:rPr>
        <w:t>0572-228927</w:t>
      </w:r>
      <w:r>
        <w:rPr>
          <w:rFonts w:ascii="宋体" w:hAnsi="宋体" w:cs="宋体"/>
          <w:sz w:val="24"/>
        </w:rPr>
        <w:t>9</w:t>
      </w:r>
      <w:r>
        <w:rPr>
          <w:rFonts w:hint="eastAsia" w:ascii="宋体" w:hAnsi="宋体"/>
          <w:color w:val="FF0000"/>
          <w:sz w:val="24"/>
        </w:rPr>
        <w:t xml:space="preserve">  </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cs="宋体"/>
          <w:sz w:val="24"/>
        </w:rPr>
      </w:pPr>
      <w:r>
        <w:rPr>
          <w:rFonts w:hint="eastAsia" w:ascii="宋体" w:hAnsi="宋体" w:cs="Arial"/>
          <w:sz w:val="24"/>
        </w:rPr>
        <w:t>3.同级政府采购监督管理部门名称：</w:t>
      </w:r>
      <w:r>
        <w:rPr>
          <w:rFonts w:hint="eastAsia" w:ascii="宋体" w:hAnsi="宋体" w:cs="宋体"/>
          <w:sz w:val="24"/>
        </w:rPr>
        <w:t>湖州市吴兴区财政局政府采购监管科</w:t>
      </w:r>
    </w:p>
    <w:p>
      <w:pPr>
        <w:snapToGrid w:val="0"/>
        <w:spacing w:line="360" w:lineRule="auto"/>
        <w:ind w:firstLine="480" w:firstLineChars="200"/>
        <w:rPr>
          <w:rFonts w:ascii="宋体" w:hAnsi="宋体" w:cs="Arial"/>
          <w:sz w:val="24"/>
        </w:rPr>
      </w:pPr>
      <w:r>
        <w:rPr>
          <w:rFonts w:hint="eastAsia" w:ascii="宋体" w:hAnsi="宋体" w:cs="Arial"/>
          <w:sz w:val="24"/>
        </w:rPr>
        <w:t>地址：湖州市</w:t>
      </w:r>
      <w:r>
        <w:rPr>
          <w:rFonts w:ascii="宋体" w:hAnsi="宋体"/>
          <w:sz w:val="24"/>
        </w:rPr>
        <w:t>吴兴区</w:t>
      </w:r>
      <w:r>
        <w:rPr>
          <w:rFonts w:hint="eastAsia" w:ascii="宋体" w:hAnsi="宋体" w:cs="Arial"/>
          <w:sz w:val="24"/>
        </w:rPr>
        <w:t>吴兴大道1号</w:t>
      </w:r>
    </w:p>
    <w:p>
      <w:pPr>
        <w:snapToGrid w:val="0"/>
        <w:spacing w:line="360" w:lineRule="auto"/>
        <w:ind w:firstLine="480" w:firstLineChars="200"/>
        <w:rPr>
          <w:rFonts w:ascii="宋体" w:hAnsi="宋体" w:cs="Arial"/>
          <w:sz w:val="24"/>
        </w:rPr>
      </w:pPr>
      <w:r>
        <w:rPr>
          <w:rFonts w:hint="eastAsia" w:ascii="宋体" w:hAnsi="宋体" w:cs="Arial"/>
          <w:sz w:val="24"/>
        </w:rPr>
        <w:t xml:space="preserve">联系人：沈先生；监督投诉电话：0572-2289702 </w:t>
      </w:r>
    </w:p>
    <w:p>
      <w:pPr>
        <w:snapToGrid w:val="0"/>
        <w:spacing w:line="360" w:lineRule="auto"/>
        <w:ind w:left="238"/>
        <w:rPr>
          <w:rFonts w:ascii="宋体" w:hAnsi="宋体"/>
          <w:sz w:val="24"/>
        </w:rPr>
      </w:pPr>
      <w:r>
        <w:rPr>
          <w:rFonts w:hint="eastAsia" w:ascii="宋体" w:hAnsi="宋体" w:cs="Arial"/>
          <w:sz w:val="24"/>
        </w:rPr>
        <w:t xml:space="preserve">                                                      湖州市吴兴区教育局</w:t>
      </w:r>
    </w:p>
    <w:p>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pPr>
        <w:snapToGrid w:val="0"/>
        <w:spacing w:line="360" w:lineRule="auto"/>
        <w:ind w:left="238"/>
        <w:jc w:val="center"/>
        <w:rPr>
          <w:rFonts w:ascii="宋体" w:hAnsi="宋体"/>
          <w:sz w:val="24"/>
        </w:rPr>
      </w:pPr>
      <w:r>
        <w:rPr>
          <w:rFonts w:hint="eastAsia" w:ascii="宋体" w:hAnsi="宋体"/>
          <w:sz w:val="24"/>
        </w:rPr>
        <w:t xml:space="preserve">                                                  2022年6月23日</w:t>
      </w:r>
    </w:p>
    <w:p>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sz w:val="24"/>
        </w:rPr>
      </w:pPr>
      <w:r>
        <w:rPr>
          <w:rFonts w:hint="eastAsia" w:ascii="宋体" w:hAnsi="宋体" w:cs="仿宋"/>
          <w:b/>
          <w:sz w:val="24"/>
        </w:rPr>
        <w:t>CA问题联系电话（人工）：汇信CA 400-888-4636；天谷CA 400-087-8198。</w:t>
      </w:r>
    </w:p>
    <w:p>
      <w:pPr>
        <w:rPr>
          <w:rFonts w:ascii="宋体" w:hAnsi="宋体" w:cs="仿宋"/>
          <w:b/>
          <w:sz w:val="24"/>
        </w:rPr>
      </w:pPr>
    </w:p>
    <w:p>
      <w:pPr>
        <w:rPr>
          <w:rFonts w:ascii="宋体" w:hAnsi="宋体" w:cs="仿宋"/>
          <w:b/>
          <w:sz w:val="24"/>
        </w:rPr>
      </w:pPr>
    </w:p>
    <w:p>
      <w:pPr>
        <w:snapToGrid w:val="0"/>
        <w:spacing w:line="360" w:lineRule="auto"/>
        <w:ind w:left="238"/>
        <w:jc w:val="center"/>
        <w:rPr>
          <w:rFonts w:ascii="黑体" w:hAnsi="宋体" w:eastAsia="黑体"/>
          <w:sz w:val="30"/>
          <w:szCs w:val="30"/>
        </w:rPr>
      </w:pPr>
      <w:r>
        <w:rPr>
          <w:rFonts w:hint="eastAsia" w:ascii="黑体" w:hAnsi="宋体" w:eastAsia="黑体"/>
          <w:sz w:val="30"/>
          <w:szCs w:val="30"/>
        </w:rPr>
        <w:t>第二章  招标需求</w:t>
      </w:r>
    </w:p>
    <w:p>
      <w:pPr>
        <w:widowControl/>
        <w:spacing w:line="360" w:lineRule="auto"/>
        <w:jc w:val="left"/>
        <w:rPr>
          <w:rFonts w:ascii="宋体" w:hAnsi="宋体"/>
          <w:sz w:val="24"/>
        </w:rPr>
      </w:pPr>
      <w:r>
        <w:rPr>
          <w:rFonts w:hint="eastAsia" w:ascii="宋体" w:hAnsi="宋体"/>
          <w:b/>
          <w:sz w:val="24"/>
        </w:rPr>
        <w:t>一、采购项目名称：湖州市吴兴区教育局升降式课桌椅项目</w:t>
      </w:r>
    </w:p>
    <w:p>
      <w:pPr>
        <w:widowControl/>
        <w:spacing w:line="360" w:lineRule="auto"/>
        <w:jc w:val="left"/>
        <w:rPr>
          <w:rFonts w:ascii="宋体" w:hAnsi="宋体"/>
          <w:b/>
          <w:sz w:val="24"/>
        </w:rPr>
      </w:pPr>
      <w:r>
        <w:rPr>
          <w:rFonts w:hint="eastAsia" w:ascii="宋体" w:hAnsi="宋体"/>
          <w:b/>
          <w:sz w:val="24"/>
        </w:rPr>
        <w:t>二、采购项目编号：HYHZ2022-80</w:t>
      </w:r>
    </w:p>
    <w:p>
      <w:pPr>
        <w:widowControl/>
        <w:spacing w:line="360" w:lineRule="auto"/>
        <w:jc w:val="left"/>
        <w:rPr>
          <w:rFonts w:ascii="宋体" w:hAnsi="宋体" w:cs="宋体"/>
          <w:kern w:val="0"/>
          <w:sz w:val="24"/>
        </w:rPr>
      </w:pPr>
      <w:r>
        <w:rPr>
          <w:rFonts w:hint="eastAsia" w:ascii="宋体" w:hAnsi="宋体"/>
          <w:b/>
          <w:sz w:val="24"/>
        </w:rPr>
        <w:t>三、采购项目预算：</w:t>
      </w:r>
      <w:r>
        <w:rPr>
          <w:rFonts w:hint="eastAsia" w:ascii="宋体" w:hAnsi="宋体" w:cs="Arial"/>
          <w:b/>
          <w:sz w:val="24"/>
        </w:rPr>
        <w:t>1849.7250万元；最高限价：</w:t>
      </w:r>
      <w:r>
        <w:rPr>
          <w:rFonts w:hint="eastAsia" w:ascii="宋体" w:hAnsi="宋体"/>
          <w:b/>
          <w:sz w:val="24"/>
        </w:rPr>
        <w:t>1707.51万元。</w:t>
      </w:r>
    </w:p>
    <w:p>
      <w:pPr>
        <w:widowControl/>
        <w:spacing w:line="360" w:lineRule="auto"/>
        <w:jc w:val="left"/>
        <w:rPr>
          <w:rFonts w:ascii="宋体" w:hAnsi="宋体"/>
          <w:b/>
          <w:sz w:val="24"/>
        </w:rPr>
      </w:pPr>
      <w:r>
        <w:rPr>
          <w:rFonts w:hint="eastAsia" w:ascii="宋体" w:hAnsi="宋体"/>
          <w:b/>
          <w:sz w:val="24"/>
        </w:rPr>
        <w:t>四、采购项目实施地点：湖州市吴兴区教育局</w:t>
      </w:r>
    </w:p>
    <w:p>
      <w:pPr>
        <w:widowControl/>
        <w:spacing w:line="360" w:lineRule="auto"/>
        <w:jc w:val="left"/>
        <w:rPr>
          <w:rFonts w:ascii="宋体" w:hAnsi="宋体"/>
          <w:b/>
          <w:bCs/>
          <w:sz w:val="24"/>
        </w:rPr>
      </w:pPr>
      <w:r>
        <w:rPr>
          <w:rFonts w:hint="eastAsia" w:ascii="宋体" w:hAnsi="宋体"/>
          <w:b/>
          <w:bCs/>
          <w:sz w:val="24"/>
        </w:rPr>
        <w:t>五、采购项目采购清单和技术</w:t>
      </w:r>
      <w:r>
        <w:rPr>
          <w:rFonts w:ascii="宋体" w:hAnsi="宋体"/>
          <w:b/>
          <w:bCs/>
          <w:sz w:val="24"/>
        </w:rPr>
        <w:t>参数：</w:t>
      </w:r>
    </w:p>
    <w:p>
      <w:pPr>
        <w:widowControl/>
        <w:spacing w:line="360" w:lineRule="auto"/>
        <w:jc w:val="left"/>
        <w:rPr>
          <w:rFonts w:ascii="宋体" w:hAnsi="宋体" w:cs="Arial"/>
          <w:b/>
          <w:sz w:val="24"/>
        </w:rPr>
      </w:pPr>
      <w:r>
        <w:rPr>
          <w:rFonts w:hint="eastAsia" w:ascii="宋体" w:hAnsi="宋体"/>
          <w:b/>
          <w:sz w:val="24"/>
        </w:rPr>
        <w:t>1.采购清单：</w:t>
      </w:r>
      <w:r>
        <w:rPr>
          <w:rFonts w:hint="eastAsia" w:ascii="宋体" w:hAnsi="宋体" w:cs="Arial"/>
          <w:b/>
          <w:sz w:val="24"/>
        </w:rPr>
        <w:t>吴兴区教育局所属40所中小学(校区）采购39620套升降式课桌椅（其中小学生升降式套课桌椅：25020套、中学生升降式套课桌椅：14600套）</w:t>
      </w:r>
    </w:p>
    <w:p>
      <w:pPr>
        <w:widowControl/>
        <w:spacing w:line="360" w:lineRule="auto"/>
        <w:ind w:firstLine="482" w:firstLineChars="200"/>
        <w:jc w:val="left"/>
        <w:rPr>
          <w:rFonts w:ascii="宋体" w:hAnsi="宋体"/>
          <w:b/>
          <w:sz w:val="24"/>
        </w:rPr>
      </w:pPr>
      <w:r>
        <w:rPr>
          <w:rFonts w:hint="eastAsia" w:ascii="宋体" w:hAnsi="宋体"/>
          <w:b/>
          <w:sz w:val="24"/>
        </w:rPr>
        <w:t>标项1：升降式课桌椅项目标项1</w:t>
      </w:r>
    </w:p>
    <w:p>
      <w:pPr>
        <w:widowControl/>
        <w:spacing w:line="360" w:lineRule="auto"/>
        <w:ind w:firstLine="482" w:firstLineChars="200"/>
        <w:jc w:val="left"/>
        <w:rPr>
          <w:rFonts w:asciiTheme="majorEastAsia" w:hAnsiTheme="majorEastAsia" w:eastAsiaTheme="majorEastAsia"/>
          <w:b/>
          <w:sz w:val="24"/>
        </w:rPr>
      </w:pPr>
      <w:r>
        <w:rPr>
          <w:rFonts w:hint="eastAsia" w:ascii="宋体" w:hAnsi="宋体"/>
          <w:b/>
          <w:sz w:val="24"/>
        </w:rPr>
        <w:t>预算：人民币460.35</w:t>
      </w:r>
      <w:r>
        <w:rPr>
          <w:rFonts w:ascii="宋体" w:hAnsi="宋体"/>
          <w:b/>
          <w:sz w:val="24"/>
        </w:rPr>
        <w:t>万元</w:t>
      </w:r>
      <w:r>
        <w:rPr>
          <w:rFonts w:hint="eastAsia" w:ascii="宋体" w:hAnsi="宋体"/>
          <w:b/>
          <w:sz w:val="24"/>
        </w:rPr>
        <w:t xml:space="preserve">   最高限价：人民币429.66万元</w:t>
      </w:r>
    </w:p>
    <w:tbl>
      <w:tblPr>
        <w:tblStyle w:val="33"/>
        <w:tblW w:w="9654" w:type="dxa"/>
        <w:tblInd w:w="93" w:type="dxa"/>
        <w:tblLayout w:type="autofit"/>
        <w:tblCellMar>
          <w:top w:w="0" w:type="dxa"/>
          <w:left w:w="108" w:type="dxa"/>
          <w:bottom w:w="0" w:type="dxa"/>
          <w:right w:w="108" w:type="dxa"/>
        </w:tblCellMar>
      </w:tblPr>
      <w:tblGrid>
        <w:gridCol w:w="480"/>
        <w:gridCol w:w="2229"/>
        <w:gridCol w:w="1275"/>
        <w:gridCol w:w="709"/>
        <w:gridCol w:w="1134"/>
        <w:gridCol w:w="992"/>
        <w:gridCol w:w="851"/>
        <w:gridCol w:w="992"/>
        <w:gridCol w:w="992"/>
      </w:tblGrid>
      <w:tr>
        <w:tblPrEx>
          <w:tblCellMar>
            <w:top w:w="0" w:type="dxa"/>
            <w:left w:w="108" w:type="dxa"/>
            <w:bottom w:w="0" w:type="dxa"/>
            <w:right w:w="108" w:type="dxa"/>
          </w:tblCellMar>
        </w:tblPrEx>
        <w:trPr>
          <w:trHeight w:val="1020" w:hRule="atLeast"/>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序号</w:t>
            </w:r>
          </w:p>
        </w:tc>
        <w:tc>
          <w:tcPr>
            <w:tcW w:w="2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学校名称</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学校类别</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校区</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需要增配的课桌椅（班级数）</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增配数量</w:t>
            </w:r>
          </w:p>
        </w:tc>
        <w:tc>
          <w:tcPr>
            <w:tcW w:w="992" w:type="dxa"/>
            <w:vMerge w:val="restart"/>
            <w:tcBorders>
              <w:top w:val="single" w:color="auto" w:sz="4" w:space="0"/>
              <w:left w:val="single" w:color="auto" w:sz="4" w:space="0"/>
              <w:right w:val="single" w:color="000000"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实际回收课桌椅数量</w:t>
            </w:r>
          </w:p>
        </w:tc>
      </w:tr>
      <w:tr>
        <w:tblPrEx>
          <w:tblCellMar>
            <w:top w:w="0" w:type="dxa"/>
            <w:left w:w="108" w:type="dxa"/>
            <w:bottom w:w="0" w:type="dxa"/>
            <w:right w:w="108" w:type="dxa"/>
          </w:tblCellMar>
        </w:tblPrEx>
        <w:trPr>
          <w:trHeight w:val="27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22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初中</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小学</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合计</w:t>
            </w:r>
          </w:p>
        </w:tc>
        <w:tc>
          <w:tcPr>
            <w:tcW w:w="99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湖州市爱山小学教育集团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仁皇校区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38</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1710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1710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1680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w:t>
            </w:r>
          </w:p>
        </w:tc>
        <w:tc>
          <w:tcPr>
            <w:tcW w:w="222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湖州市文苑小学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720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湖州市织里镇中学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初中</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2400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2400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1500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湖州市织里镇轧村中学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初中</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1200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1200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595</w:t>
            </w:r>
          </w:p>
        </w:tc>
      </w:tr>
      <w:tr>
        <w:tblPrEx>
          <w:tblCellMar>
            <w:top w:w="0" w:type="dxa"/>
            <w:left w:w="108" w:type="dxa"/>
            <w:bottom w:w="0" w:type="dxa"/>
            <w:right w:w="108" w:type="dxa"/>
          </w:tblCellMar>
        </w:tblPrEx>
        <w:trPr>
          <w:trHeight w:val="54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湖州市织里镇漾西学校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九年一贯制</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370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湖州市织里镇晟舍小学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29</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1305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1305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1305</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湖州市织里镇轧村小学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675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675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8</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湖州市仁皇山小学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1620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1620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1350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218</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4200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6030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10230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7800</w:t>
            </w:r>
          </w:p>
        </w:tc>
      </w:tr>
    </w:tbl>
    <w:p>
      <w:pPr>
        <w:widowControl/>
        <w:jc w:val="center"/>
        <w:textAlignment w:val="center"/>
        <w:rPr>
          <w:rFonts w:cs="仿宋_GB2312" w:asciiTheme="majorEastAsia" w:hAnsiTheme="majorEastAsia" w:eastAsiaTheme="majorEastAsia"/>
          <w:kern w:val="0"/>
          <w:sz w:val="24"/>
          <w:lang w:bidi="ar"/>
        </w:rPr>
      </w:pPr>
    </w:p>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 xml:space="preserve">标项2：升降式课桌椅项目标项2     </w:t>
      </w:r>
    </w:p>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预算：人民币470.025</w:t>
      </w:r>
      <w:r>
        <w:rPr>
          <w:rFonts w:cs="仿宋_GB2312" w:asciiTheme="majorEastAsia" w:hAnsiTheme="majorEastAsia" w:eastAsiaTheme="majorEastAsia"/>
          <w:kern w:val="0"/>
          <w:sz w:val="24"/>
          <w:lang w:bidi="ar"/>
        </w:rPr>
        <w:t>万元</w:t>
      </w:r>
      <w:r>
        <w:rPr>
          <w:rFonts w:hint="eastAsia" w:cs="仿宋_GB2312" w:asciiTheme="majorEastAsia" w:hAnsiTheme="majorEastAsia" w:eastAsiaTheme="majorEastAsia"/>
          <w:kern w:val="0"/>
          <w:sz w:val="24"/>
          <w:lang w:bidi="ar"/>
        </w:rPr>
        <w:t xml:space="preserve">   最高限价：人民币426.09</w:t>
      </w:r>
      <w:r>
        <w:rPr>
          <w:rFonts w:cs="仿宋_GB2312" w:asciiTheme="majorEastAsia" w:hAnsiTheme="majorEastAsia" w:eastAsiaTheme="majorEastAsia"/>
          <w:kern w:val="0"/>
          <w:sz w:val="24"/>
          <w:lang w:bidi="ar"/>
        </w:rPr>
        <w:t>万元</w:t>
      </w:r>
    </w:p>
    <w:tbl>
      <w:tblPr>
        <w:tblStyle w:val="33"/>
        <w:tblW w:w="9654" w:type="dxa"/>
        <w:tblInd w:w="93" w:type="dxa"/>
        <w:tblLayout w:type="autofit"/>
        <w:tblCellMar>
          <w:top w:w="0" w:type="dxa"/>
          <w:left w:w="108" w:type="dxa"/>
          <w:bottom w:w="0" w:type="dxa"/>
          <w:right w:w="108" w:type="dxa"/>
        </w:tblCellMar>
      </w:tblPr>
      <w:tblGrid>
        <w:gridCol w:w="480"/>
        <w:gridCol w:w="2229"/>
        <w:gridCol w:w="1275"/>
        <w:gridCol w:w="709"/>
        <w:gridCol w:w="1134"/>
        <w:gridCol w:w="992"/>
        <w:gridCol w:w="851"/>
        <w:gridCol w:w="992"/>
        <w:gridCol w:w="992"/>
      </w:tblGrid>
      <w:tr>
        <w:tblPrEx>
          <w:tblCellMar>
            <w:top w:w="0" w:type="dxa"/>
            <w:left w:w="108" w:type="dxa"/>
            <w:bottom w:w="0" w:type="dxa"/>
            <w:right w:w="108" w:type="dxa"/>
          </w:tblCellMar>
        </w:tblPrEx>
        <w:trPr>
          <w:trHeight w:val="1020" w:hRule="atLeast"/>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序号</w:t>
            </w:r>
          </w:p>
        </w:tc>
        <w:tc>
          <w:tcPr>
            <w:tcW w:w="2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学校名称</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学校类别</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校区</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需要增配的课桌椅（班级数）</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增配数量</w:t>
            </w:r>
          </w:p>
        </w:tc>
        <w:tc>
          <w:tcPr>
            <w:tcW w:w="992"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实际回收课桌椅数量</w:t>
            </w:r>
          </w:p>
        </w:tc>
      </w:tr>
      <w:tr>
        <w:tblPrEx>
          <w:tblCellMar>
            <w:top w:w="0" w:type="dxa"/>
            <w:left w:w="108" w:type="dxa"/>
            <w:bottom w:w="0" w:type="dxa"/>
            <w:right w:w="108" w:type="dxa"/>
          </w:tblCellMar>
        </w:tblPrEx>
        <w:trPr>
          <w:trHeight w:val="27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22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初中</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小学</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合计</w:t>
            </w:r>
          </w:p>
        </w:tc>
        <w:tc>
          <w:tcPr>
            <w:tcW w:w="99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湖州市第四中学教育集团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初中</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白鱼潭校区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1800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1800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1641</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w:t>
            </w:r>
          </w:p>
        </w:tc>
        <w:tc>
          <w:tcPr>
            <w:tcW w:w="222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湖州市第四中学教育集团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初中</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西山漾校区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1800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1800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1800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湖州市月河小学教育集团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吉山校区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765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765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1300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湖州市月河小学教育集团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浮玉校区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1620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1620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0</w:t>
            </w:r>
          </w:p>
        </w:tc>
      </w:tr>
      <w:tr>
        <w:tblPrEx>
          <w:tblCellMar>
            <w:top w:w="0" w:type="dxa"/>
            <w:left w:w="108" w:type="dxa"/>
            <w:bottom w:w="0" w:type="dxa"/>
            <w:right w:w="108" w:type="dxa"/>
          </w:tblCellMar>
        </w:tblPrEx>
        <w:trPr>
          <w:trHeight w:val="54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湖州市吴兴区戴山学校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九年一贯制</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湖州市吴兴区太湖小学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湖州市环渚学校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九年一贯制</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8</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湖州市东林镇第二小学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135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135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0</w:t>
            </w:r>
          </w:p>
        </w:tc>
      </w:tr>
      <w:tr>
        <w:tblPrEx>
          <w:tblCellMar>
            <w:top w:w="0" w:type="dxa"/>
            <w:left w:w="108" w:type="dxa"/>
            <w:bottom w:w="0" w:type="dxa"/>
            <w:right w:w="108" w:type="dxa"/>
          </w:tblCellMar>
        </w:tblPrEx>
        <w:trPr>
          <w:trHeight w:val="27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w:t>
            </w: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湖州市龙泉小学</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630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630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550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湖州市新风实验小学教育集团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清河校区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2250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2250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2280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215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4700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5445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10145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8071</w:t>
            </w:r>
          </w:p>
        </w:tc>
      </w:tr>
    </w:tbl>
    <w:p>
      <w:pPr>
        <w:widowControl/>
        <w:jc w:val="center"/>
        <w:textAlignment w:val="center"/>
        <w:rPr>
          <w:rFonts w:cs="仿宋_GB2312" w:asciiTheme="majorEastAsia" w:hAnsiTheme="majorEastAsia" w:eastAsiaTheme="majorEastAsia"/>
          <w:kern w:val="0"/>
          <w:sz w:val="24"/>
          <w:lang w:bidi="ar"/>
        </w:rPr>
      </w:pPr>
    </w:p>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标项3：升降式课桌椅项目标项3</w:t>
      </w:r>
    </w:p>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 xml:space="preserve">预算：人民币450.225 </w:t>
      </w:r>
      <w:r>
        <w:rPr>
          <w:rFonts w:cs="仿宋_GB2312" w:asciiTheme="majorEastAsia" w:hAnsiTheme="majorEastAsia" w:eastAsiaTheme="majorEastAsia"/>
          <w:kern w:val="0"/>
          <w:sz w:val="24"/>
          <w:lang w:bidi="ar"/>
        </w:rPr>
        <w:t>万元</w:t>
      </w:r>
      <w:r>
        <w:rPr>
          <w:rFonts w:hint="eastAsia" w:cs="仿宋_GB2312" w:asciiTheme="majorEastAsia" w:hAnsiTheme="majorEastAsia" w:eastAsiaTheme="majorEastAsia"/>
          <w:kern w:val="0"/>
          <w:sz w:val="24"/>
          <w:lang w:bidi="ar"/>
        </w:rPr>
        <w:t xml:space="preserve">   最高限价：人民币405.72万元</w:t>
      </w:r>
    </w:p>
    <w:tbl>
      <w:tblPr>
        <w:tblStyle w:val="33"/>
        <w:tblW w:w="9654" w:type="dxa"/>
        <w:tblInd w:w="93" w:type="dxa"/>
        <w:tblLayout w:type="autofit"/>
        <w:tblCellMar>
          <w:top w:w="0" w:type="dxa"/>
          <w:left w:w="108" w:type="dxa"/>
          <w:bottom w:w="0" w:type="dxa"/>
          <w:right w:w="108" w:type="dxa"/>
        </w:tblCellMar>
      </w:tblPr>
      <w:tblGrid>
        <w:gridCol w:w="480"/>
        <w:gridCol w:w="2229"/>
        <w:gridCol w:w="1275"/>
        <w:gridCol w:w="709"/>
        <w:gridCol w:w="1134"/>
        <w:gridCol w:w="992"/>
        <w:gridCol w:w="851"/>
        <w:gridCol w:w="992"/>
        <w:gridCol w:w="992"/>
      </w:tblGrid>
      <w:tr>
        <w:tblPrEx>
          <w:tblCellMar>
            <w:top w:w="0" w:type="dxa"/>
            <w:left w:w="108" w:type="dxa"/>
            <w:bottom w:w="0" w:type="dxa"/>
            <w:right w:w="108" w:type="dxa"/>
          </w:tblCellMar>
        </w:tblPrEx>
        <w:trPr>
          <w:trHeight w:val="1020" w:hRule="atLeast"/>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序号</w:t>
            </w:r>
          </w:p>
        </w:tc>
        <w:tc>
          <w:tcPr>
            <w:tcW w:w="2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学校名称</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学校类别</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校区</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需要增配的课桌椅（班级数）</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增配数量</w:t>
            </w:r>
          </w:p>
        </w:tc>
        <w:tc>
          <w:tcPr>
            <w:tcW w:w="9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实际回收课桌椅数量</w:t>
            </w:r>
          </w:p>
        </w:tc>
      </w:tr>
      <w:tr>
        <w:tblPrEx>
          <w:tblCellMar>
            <w:top w:w="0" w:type="dxa"/>
            <w:left w:w="108" w:type="dxa"/>
            <w:bottom w:w="0" w:type="dxa"/>
            <w:right w:w="108" w:type="dxa"/>
          </w:tblCellMar>
        </w:tblPrEx>
        <w:trPr>
          <w:trHeight w:val="27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22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kern w:val="0"/>
                <w:sz w:val="24"/>
                <w:lang w:bidi="ar"/>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初中</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小学</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合计</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湖州市第十一中学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初中</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230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w:t>
            </w:r>
          </w:p>
        </w:tc>
        <w:tc>
          <w:tcPr>
            <w:tcW w:w="222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湖州市第十二中学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初中</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950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950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774</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湖州市东风小学教育集团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建设路校区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810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810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810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湖州市东风小学教育集团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南华路校区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1080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0</w:t>
            </w:r>
          </w:p>
        </w:tc>
      </w:tr>
      <w:tr>
        <w:tblPrEx>
          <w:tblCellMar>
            <w:top w:w="0" w:type="dxa"/>
            <w:left w:w="108" w:type="dxa"/>
            <w:bottom w:w="0" w:type="dxa"/>
            <w:right w:w="108" w:type="dxa"/>
          </w:tblCellMar>
        </w:tblPrEx>
        <w:trPr>
          <w:trHeight w:val="54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湖州市新风实验小学教育集团</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下塘校区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1620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1620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1620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湖州市吴兴区八里店镇常路学校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九年一贯制</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14</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550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7</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湖州市吴兴区第一小学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540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540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1127</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8</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湖州市东林镇东林中学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初中</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湖州市东林镇东林小学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810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810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595</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10</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湖州市飞英小学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405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405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270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11</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湖州市凤凰小学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小学</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21</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945</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400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12</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湖州市吴兴区妙西学校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九年一贯制</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w:t>
            </w:r>
            <w:r>
              <w:rPr>
                <w:rFonts w:hint="eastAsia" w:cs="仿宋_GB2312" w:asciiTheme="majorEastAsia" w:hAnsiTheme="majorEastAsia" w:eastAsiaTheme="majorEastAsia"/>
                <w:kern w:val="0"/>
                <w:sz w:val="24"/>
                <w:lang w:bidi="ar"/>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1100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1100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796</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222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小计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2</w:t>
            </w:r>
            <w:r>
              <w:rPr>
                <w:rFonts w:hint="eastAsia" w:cs="仿宋_GB2312" w:asciiTheme="majorEastAsia" w:hAnsiTheme="majorEastAsia" w:eastAsiaTheme="majorEastAsia"/>
                <w:kern w:val="0"/>
                <w:sz w:val="24"/>
                <w:lang w:bidi="ar"/>
              </w:rPr>
              <w:t>07</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3</w:t>
            </w:r>
            <w:r>
              <w:rPr>
                <w:rFonts w:hint="eastAsia" w:cs="仿宋_GB2312" w:asciiTheme="majorEastAsia" w:hAnsiTheme="majorEastAsia" w:eastAsiaTheme="majorEastAsia"/>
                <w:kern w:val="0"/>
                <w:sz w:val="24"/>
                <w:lang w:bidi="ar"/>
              </w:rPr>
              <w:t>450</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6210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kern w:val="0"/>
                <w:sz w:val="24"/>
                <w:lang w:bidi="ar"/>
              </w:rPr>
            </w:pPr>
            <w:r>
              <w:rPr>
                <w:rFonts w:cs="仿宋_GB2312" w:asciiTheme="majorEastAsia" w:hAnsiTheme="majorEastAsia" w:eastAsiaTheme="majorEastAsia"/>
                <w:kern w:val="0"/>
                <w:sz w:val="24"/>
                <w:lang w:bidi="ar"/>
              </w:rPr>
              <w:t>9</w:t>
            </w:r>
            <w:r>
              <w:rPr>
                <w:rFonts w:hint="eastAsia" w:cs="仿宋_GB2312" w:asciiTheme="majorEastAsia" w:hAnsiTheme="majorEastAsia" w:eastAsiaTheme="majorEastAsia"/>
                <w:kern w:val="0"/>
                <w:sz w:val="24"/>
                <w:lang w:bidi="ar"/>
              </w:rPr>
              <w:t>660</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7172</w:t>
            </w:r>
          </w:p>
        </w:tc>
      </w:tr>
    </w:tbl>
    <w:p>
      <w:pPr>
        <w:widowControl/>
        <w:jc w:val="center"/>
        <w:textAlignment w:val="center"/>
        <w:rPr>
          <w:rFonts w:cs="仿宋_GB2312" w:asciiTheme="majorEastAsia" w:hAnsiTheme="majorEastAsia" w:eastAsiaTheme="majorEastAsia"/>
          <w:kern w:val="0"/>
          <w:sz w:val="24"/>
          <w:lang w:bidi="ar"/>
        </w:rPr>
      </w:pPr>
    </w:p>
    <w:p>
      <w:pPr>
        <w:widowControl/>
        <w:jc w:val="center"/>
        <w:textAlignment w:val="center"/>
        <w:rPr>
          <w:rFonts w:cs="仿宋_GB2312" w:asciiTheme="majorEastAsia" w:hAnsiTheme="majorEastAsia" w:eastAsiaTheme="majorEastAsia"/>
          <w:kern w:val="0"/>
          <w:sz w:val="24"/>
          <w:lang w:bidi="ar"/>
        </w:rPr>
      </w:pPr>
      <w:r>
        <w:rPr>
          <w:rFonts w:hint="eastAsia" w:cs="仿宋_GB2312" w:asciiTheme="majorEastAsia" w:hAnsiTheme="majorEastAsia" w:eastAsiaTheme="majorEastAsia"/>
          <w:kern w:val="0"/>
          <w:sz w:val="24"/>
          <w:lang w:bidi="ar"/>
        </w:rPr>
        <w:t>标项4：升降式课桌椅项目标项4</w:t>
      </w:r>
    </w:p>
    <w:p>
      <w:pPr>
        <w:widowControl/>
        <w:jc w:val="center"/>
        <w:textAlignment w:val="center"/>
        <w:rPr>
          <w:rFonts w:asciiTheme="majorEastAsia" w:hAnsiTheme="majorEastAsia" w:eastAsiaTheme="majorEastAsia"/>
          <w:b/>
          <w:sz w:val="24"/>
        </w:rPr>
      </w:pPr>
      <w:r>
        <w:rPr>
          <w:rFonts w:hint="eastAsia" w:cs="仿宋_GB2312" w:asciiTheme="majorEastAsia" w:hAnsiTheme="majorEastAsia" w:eastAsiaTheme="majorEastAsia"/>
          <w:kern w:val="0"/>
          <w:sz w:val="24"/>
          <w:lang w:bidi="ar"/>
        </w:rPr>
        <w:t>预算：人民币469.125</w:t>
      </w:r>
      <w:r>
        <w:rPr>
          <w:rFonts w:cs="仿宋_GB2312" w:asciiTheme="majorEastAsia" w:hAnsiTheme="majorEastAsia" w:eastAsiaTheme="majorEastAsia"/>
          <w:kern w:val="0"/>
          <w:sz w:val="24"/>
          <w:lang w:bidi="ar"/>
        </w:rPr>
        <w:t>万元</w:t>
      </w:r>
      <w:r>
        <w:rPr>
          <w:rFonts w:hint="eastAsia" w:cs="仿宋_GB2312" w:asciiTheme="majorEastAsia" w:hAnsiTheme="majorEastAsia" w:eastAsiaTheme="majorEastAsia"/>
          <w:kern w:val="0"/>
          <w:sz w:val="24"/>
          <w:lang w:bidi="ar"/>
        </w:rPr>
        <w:t xml:space="preserve">   最高限价：人民币402.57万元</w:t>
      </w:r>
    </w:p>
    <w:tbl>
      <w:tblPr>
        <w:tblStyle w:val="33"/>
        <w:tblW w:w="9654" w:type="dxa"/>
        <w:tblInd w:w="93" w:type="dxa"/>
        <w:tblLayout w:type="autofit"/>
        <w:tblCellMar>
          <w:top w:w="0" w:type="dxa"/>
          <w:left w:w="108" w:type="dxa"/>
          <w:bottom w:w="0" w:type="dxa"/>
          <w:right w:w="108" w:type="dxa"/>
        </w:tblCellMar>
      </w:tblPr>
      <w:tblGrid>
        <w:gridCol w:w="480"/>
        <w:gridCol w:w="2229"/>
        <w:gridCol w:w="1275"/>
        <w:gridCol w:w="709"/>
        <w:gridCol w:w="1134"/>
        <w:gridCol w:w="992"/>
        <w:gridCol w:w="851"/>
        <w:gridCol w:w="992"/>
        <w:gridCol w:w="992"/>
      </w:tblGrid>
      <w:tr>
        <w:tblPrEx>
          <w:tblCellMar>
            <w:top w:w="0" w:type="dxa"/>
            <w:left w:w="108" w:type="dxa"/>
            <w:bottom w:w="0" w:type="dxa"/>
            <w:right w:w="108" w:type="dxa"/>
          </w:tblCellMar>
        </w:tblPrEx>
        <w:trPr>
          <w:trHeight w:val="1020" w:hRule="atLeast"/>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序号</w:t>
            </w:r>
          </w:p>
        </w:tc>
        <w:tc>
          <w:tcPr>
            <w:tcW w:w="2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学校名称</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学校类别</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校区</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需要增配的课桌椅（班级数）</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增配数量</w:t>
            </w:r>
          </w:p>
        </w:tc>
        <w:tc>
          <w:tcPr>
            <w:tcW w:w="992" w:type="dxa"/>
            <w:vMerge w:val="restart"/>
            <w:tcBorders>
              <w:top w:val="single" w:color="auto" w:sz="4" w:space="0"/>
              <w:left w:val="single" w:color="auto" w:sz="4" w:space="0"/>
              <w:right w:val="single" w:color="000000"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实际回收课桌椅数量</w:t>
            </w:r>
          </w:p>
        </w:tc>
      </w:tr>
      <w:tr>
        <w:tblPrEx>
          <w:tblCellMar>
            <w:top w:w="0" w:type="dxa"/>
            <w:left w:w="108" w:type="dxa"/>
            <w:bottom w:w="0" w:type="dxa"/>
            <w:right w:w="108" w:type="dxa"/>
          </w:tblCellMar>
        </w:tblPrEx>
        <w:trPr>
          <w:trHeight w:val="27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b/>
                <w:bCs/>
                <w:kern w:val="0"/>
                <w:sz w:val="24"/>
              </w:rPr>
            </w:pPr>
          </w:p>
        </w:tc>
        <w:tc>
          <w:tcPr>
            <w:tcW w:w="2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b/>
                <w:bCs/>
                <w:kern w:val="0"/>
                <w:sz w:val="24"/>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b/>
                <w:bCs/>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b/>
                <w:bCs/>
                <w:kern w:val="0"/>
                <w:sz w:val="24"/>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ajorEastAsia" w:hAnsiTheme="majorEastAsia" w:eastAsiaTheme="majorEastAsia"/>
                <w:b/>
                <w:bCs/>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初中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小学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合计</w:t>
            </w:r>
          </w:p>
        </w:tc>
        <w:tc>
          <w:tcPr>
            <w:tcW w:w="99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rPr>
                <w:rFonts w:cs="宋体" w:asciiTheme="majorEastAsia" w:hAnsiTheme="majorEastAsia" w:eastAsiaTheme="majorEastAsia"/>
                <w:b/>
                <w:bCs/>
                <w:kern w:val="0"/>
                <w:sz w:val="24"/>
              </w:rPr>
            </w:pP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湖州市湖师附小教育集团</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小学</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幸福里校区</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2295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2295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1545</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2229"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湖州市湖师附小教育集团</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小学</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余家漾校区</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1350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1350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967</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湖州市湖师附小教育集团</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小学</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西山漾校区</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49</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2205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2205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1340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湖州市吴兴区塘甸小学</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小学</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180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180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0</w:t>
            </w:r>
          </w:p>
        </w:tc>
      </w:tr>
      <w:tr>
        <w:tblPrEx>
          <w:tblCellMar>
            <w:top w:w="0" w:type="dxa"/>
            <w:left w:w="108" w:type="dxa"/>
            <w:bottom w:w="0" w:type="dxa"/>
            <w:right w:w="108" w:type="dxa"/>
          </w:tblCellMar>
        </w:tblPrEx>
        <w:trPr>
          <w:trHeight w:val="54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湖州市织里实验小学教育集团</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小学</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东校区</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450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450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湖州市吴兴区城南实验学校</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九年一贯制</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650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650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580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湖州市埭溪镇上强中学</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初中</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900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900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900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湖州市埭溪镇上强小学</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小学</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225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225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350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湖州市弁南中学</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初中</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700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700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10</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湖州市弁南小学</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小学</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630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630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320</w:t>
            </w:r>
          </w:p>
        </w:tc>
      </w:tr>
      <w:tr>
        <w:tblPrEx>
          <w:tblCellMar>
            <w:top w:w="0" w:type="dxa"/>
            <w:left w:w="108" w:type="dxa"/>
            <w:bottom w:w="0" w:type="dxa"/>
            <w:right w:w="108" w:type="dxa"/>
          </w:tblCellMar>
        </w:tblPrEx>
        <w:trPr>
          <w:trHeight w:val="270"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22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小计</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　</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208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2250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7335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9585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6002</w:t>
            </w:r>
          </w:p>
        </w:tc>
      </w:tr>
    </w:tbl>
    <w:p>
      <w:pPr>
        <w:jc w:val="center"/>
        <w:rPr>
          <w:rFonts w:asciiTheme="majorEastAsia" w:hAnsiTheme="majorEastAsia" w:eastAsiaTheme="majorEastAsia"/>
          <w:sz w:val="24"/>
        </w:rPr>
      </w:pPr>
    </w:p>
    <w:p>
      <w:pPr>
        <w:jc w:val="center"/>
        <w:rPr>
          <w:rFonts w:ascii="宋体" w:hAnsi="宋体"/>
          <w:b/>
          <w:bCs/>
          <w:sz w:val="24"/>
        </w:rPr>
      </w:pPr>
      <w:r>
        <w:rPr>
          <w:rFonts w:hint="eastAsia" w:asciiTheme="majorEastAsia" w:hAnsiTheme="majorEastAsia" w:eastAsiaTheme="majorEastAsia"/>
          <w:sz w:val="24"/>
        </w:rPr>
        <w:t>2. 技术参数</w:t>
      </w:r>
    </w:p>
    <w:tbl>
      <w:tblPr>
        <w:tblStyle w:val="3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533"/>
        <w:gridCol w:w="1673"/>
        <w:gridCol w:w="5487"/>
        <w:gridCol w:w="7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tcPr>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序</w:t>
            </w:r>
          </w:p>
          <w:p>
            <w:pPr>
              <w:widowControl/>
              <w:spacing w:line="360" w:lineRule="auto"/>
              <w:jc w:val="left"/>
              <w:rPr>
                <w:rFonts w:ascii="宋体" w:hAnsi="宋体" w:eastAsia="Times New Roman" w:cs="宋体"/>
                <w:b/>
                <w:bCs/>
                <w:color w:val="000000"/>
                <w:kern w:val="0"/>
                <w:sz w:val="24"/>
              </w:rPr>
            </w:pPr>
            <w:r>
              <w:rPr>
                <w:rFonts w:hint="eastAsia" w:ascii="宋体" w:hAnsi="宋体" w:eastAsia="Times New Roman" w:cs="宋体"/>
                <w:color w:val="000000"/>
                <w:kern w:val="0"/>
                <w:sz w:val="24"/>
              </w:rPr>
              <w:t>号</w:t>
            </w:r>
          </w:p>
        </w:tc>
        <w:tc>
          <w:tcPr>
            <w:tcW w:w="533" w:type="dxa"/>
          </w:tcPr>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名</w:t>
            </w:r>
          </w:p>
          <w:p>
            <w:pPr>
              <w:widowControl/>
              <w:spacing w:line="360" w:lineRule="auto"/>
              <w:jc w:val="left"/>
              <w:rPr>
                <w:rFonts w:ascii="宋体" w:hAnsi="宋体" w:eastAsia="Times New Roman" w:cs="宋体"/>
                <w:b/>
                <w:bCs/>
                <w:color w:val="000000"/>
                <w:kern w:val="0"/>
                <w:sz w:val="24"/>
              </w:rPr>
            </w:pPr>
            <w:r>
              <w:rPr>
                <w:rFonts w:hint="eastAsia" w:ascii="宋体" w:hAnsi="宋体" w:eastAsia="Times New Roman" w:cs="宋体"/>
                <w:color w:val="000000"/>
                <w:kern w:val="0"/>
                <w:sz w:val="24"/>
              </w:rPr>
              <w:t>称</w:t>
            </w:r>
          </w:p>
        </w:tc>
        <w:tc>
          <w:tcPr>
            <w:tcW w:w="1673" w:type="dxa"/>
          </w:tcPr>
          <w:p>
            <w:pPr>
              <w:widowControl/>
              <w:spacing w:line="360" w:lineRule="auto"/>
              <w:jc w:val="left"/>
              <w:rPr>
                <w:rFonts w:ascii="宋体" w:hAnsi="宋体" w:eastAsia="Times New Roman" w:cs="宋体"/>
                <w:b/>
                <w:bCs/>
                <w:color w:val="000000"/>
                <w:kern w:val="0"/>
                <w:sz w:val="24"/>
              </w:rPr>
            </w:pPr>
            <w:r>
              <w:rPr>
                <w:rFonts w:hint="eastAsia" w:ascii="宋体" w:hAnsi="宋体" w:eastAsia="Times New Roman" w:cs="宋体"/>
                <w:color w:val="000000"/>
                <w:kern w:val="0"/>
                <w:sz w:val="24"/>
              </w:rPr>
              <w:t>产品参考图片</w:t>
            </w:r>
          </w:p>
        </w:tc>
        <w:tc>
          <w:tcPr>
            <w:tcW w:w="5487" w:type="dxa"/>
          </w:tcPr>
          <w:p>
            <w:pPr>
              <w:widowControl/>
              <w:spacing w:line="360" w:lineRule="auto"/>
              <w:jc w:val="left"/>
              <w:rPr>
                <w:rFonts w:ascii="宋体" w:hAnsi="宋体" w:eastAsia="Times New Roman" w:cs="宋体"/>
                <w:b/>
                <w:bCs/>
                <w:color w:val="000000"/>
                <w:kern w:val="0"/>
                <w:sz w:val="24"/>
              </w:rPr>
            </w:pPr>
            <w:r>
              <w:rPr>
                <w:rFonts w:hint="eastAsia" w:ascii="宋体" w:hAnsi="宋体" w:eastAsia="Times New Roman" w:cs="宋体"/>
                <w:color w:val="000000"/>
                <w:kern w:val="0"/>
                <w:sz w:val="24"/>
              </w:rPr>
              <w:t>规格材质</w:t>
            </w:r>
          </w:p>
        </w:tc>
        <w:tc>
          <w:tcPr>
            <w:tcW w:w="737" w:type="dxa"/>
          </w:tcPr>
          <w:p>
            <w:pPr>
              <w:widowControl/>
              <w:spacing w:line="360" w:lineRule="auto"/>
              <w:jc w:val="left"/>
              <w:rPr>
                <w:rFonts w:ascii="宋体" w:hAnsi="宋体" w:eastAsia="Times New Roman" w:cs="宋体"/>
                <w:b/>
                <w:bCs/>
                <w:color w:val="000000"/>
                <w:kern w:val="0"/>
                <w:sz w:val="24"/>
              </w:rPr>
            </w:pPr>
            <w:r>
              <w:rPr>
                <w:rFonts w:hint="eastAsia" w:ascii="宋体" w:hAnsi="宋体" w:eastAsia="Times New Roman" w:cs="宋体"/>
                <w:color w:val="000000"/>
                <w:kern w:val="0"/>
                <w:sz w:val="24"/>
              </w:rPr>
              <w:t>单位</w:t>
            </w:r>
          </w:p>
        </w:tc>
        <w:tc>
          <w:tcPr>
            <w:tcW w:w="696" w:type="dxa"/>
          </w:tcPr>
          <w:p>
            <w:pPr>
              <w:widowControl/>
              <w:spacing w:line="360" w:lineRule="auto"/>
              <w:jc w:val="left"/>
              <w:rPr>
                <w:rFonts w:ascii="宋体" w:hAnsi="宋体" w:eastAsia="Times New Roman" w:cs="宋体"/>
                <w:b/>
                <w:bCs/>
                <w:color w:val="000000"/>
                <w:kern w:val="0"/>
                <w:sz w:val="24"/>
              </w:rPr>
            </w:pPr>
            <w:r>
              <w:rPr>
                <w:rFonts w:hint="eastAsia" w:ascii="宋体" w:hAnsi="宋体" w:eastAsia="Times New Roman"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tcPr>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1</w:t>
            </w:r>
          </w:p>
          <w:p>
            <w:pPr>
              <w:widowControl/>
              <w:spacing w:line="360" w:lineRule="auto"/>
              <w:jc w:val="left"/>
              <w:rPr>
                <w:rFonts w:ascii="宋体" w:hAnsi="宋体" w:eastAsia="Times New Roman" w:cs="宋体"/>
                <w:b/>
                <w:bCs/>
                <w:color w:val="000000"/>
                <w:kern w:val="0"/>
                <w:sz w:val="24"/>
              </w:rPr>
            </w:pPr>
          </w:p>
        </w:tc>
        <w:tc>
          <w:tcPr>
            <w:tcW w:w="533" w:type="dxa"/>
          </w:tcPr>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手</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摇</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升</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降</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式</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课</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桌</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椅</w:t>
            </w:r>
          </w:p>
          <w:p>
            <w:pPr>
              <w:widowControl/>
              <w:spacing w:line="360" w:lineRule="auto"/>
              <w:jc w:val="left"/>
              <w:rPr>
                <w:rFonts w:ascii="宋体" w:hAnsi="宋体" w:eastAsia="Times New Roman" w:cs="宋体"/>
                <w:b/>
                <w:bCs/>
                <w:color w:val="000000"/>
                <w:kern w:val="0"/>
                <w:sz w:val="24"/>
              </w:rPr>
            </w:pPr>
          </w:p>
        </w:tc>
        <w:tc>
          <w:tcPr>
            <w:tcW w:w="1673" w:type="dxa"/>
          </w:tcPr>
          <w:p>
            <w:pPr>
              <w:widowControl/>
              <w:spacing w:line="360" w:lineRule="auto"/>
              <w:jc w:val="center"/>
              <w:rPr>
                <w:rFonts w:ascii="宋体" w:hAnsi="宋体" w:eastAsia="Times New Roman" w:cs="宋体"/>
                <w:b/>
                <w:bCs/>
                <w:szCs w:val="21"/>
              </w:rPr>
            </w:pPr>
          </w:p>
          <w:p>
            <w:pPr>
              <w:widowControl/>
              <w:spacing w:line="360" w:lineRule="auto"/>
              <w:jc w:val="center"/>
              <w:rPr>
                <w:rFonts w:ascii="宋体" w:hAnsi="宋体" w:eastAsia="Times New Roman" w:cs="宋体"/>
                <w:b/>
                <w:bCs/>
                <w:szCs w:val="21"/>
              </w:rPr>
            </w:pPr>
          </w:p>
          <w:p>
            <w:pPr>
              <w:widowControl/>
              <w:spacing w:line="360" w:lineRule="auto"/>
              <w:jc w:val="center"/>
              <w:rPr>
                <w:rFonts w:ascii="宋体" w:hAnsi="宋体" w:eastAsia="Times New Roman" w:cs="宋体"/>
                <w:sz w:val="24"/>
              </w:rPr>
            </w:pPr>
            <w:r>
              <w:rPr>
                <w:rFonts w:ascii="宋体" w:hAnsi="宋体" w:eastAsia="Times New Roman" w:cs="宋体"/>
                <w:sz w:val="24"/>
              </w:rPr>
              <w:drawing>
                <wp:inline distT="0" distB="0" distL="0" distR="0">
                  <wp:extent cx="1181735" cy="1095375"/>
                  <wp:effectExtent l="0" t="0" r="0" b="9525"/>
                  <wp:docPr id="6" name="图片 6" descr="C:\Users\Administrator\AppData\Local\Temp\WeChat Files\5bd3b1353e48dda1fb0e1315f91d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WeChat Files\5bd3b1353e48dda1fb0e1315f91d6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81761" cy="1095555"/>
                          </a:xfrm>
                          <a:prstGeom prst="rect">
                            <a:avLst/>
                          </a:prstGeom>
                          <a:noFill/>
                          <a:ln>
                            <a:noFill/>
                          </a:ln>
                        </pic:spPr>
                      </pic:pic>
                    </a:graphicData>
                  </a:graphic>
                </wp:inline>
              </w:drawing>
            </w:r>
          </w:p>
          <w:p>
            <w:pPr>
              <w:widowControl/>
              <w:spacing w:line="360" w:lineRule="auto"/>
              <w:jc w:val="center"/>
              <w:rPr>
                <w:rFonts w:ascii="宋体" w:hAnsi="宋体" w:eastAsia="Times New Roman" w:cs="宋体"/>
                <w:b/>
                <w:bCs/>
                <w:szCs w:val="21"/>
              </w:rPr>
            </w:pPr>
            <w:r>
              <w:rPr>
                <w:rFonts w:hint="eastAsia" w:ascii="宋体" w:hAnsi="宋体" w:eastAsia="Times New Roman" w:cs="宋体"/>
                <w:b/>
                <w:bCs/>
                <w:color w:val="000000"/>
                <w:kern w:val="0"/>
                <w:szCs w:val="21"/>
              </w:rPr>
              <w:t>小学生</w:t>
            </w:r>
            <w:r>
              <w:rPr>
                <w:rFonts w:hint="eastAsia" w:ascii="宋体" w:hAnsi="宋体" w:eastAsia="Times New Roman" w:cs="宋体"/>
                <w:b/>
                <w:bCs/>
                <w:szCs w:val="21"/>
              </w:rPr>
              <w:t>适用</w:t>
            </w:r>
          </w:p>
          <w:p>
            <w:pPr>
              <w:widowControl/>
              <w:spacing w:line="360" w:lineRule="auto"/>
              <w:jc w:val="center"/>
              <w:rPr>
                <w:rFonts w:ascii="宋体" w:hAnsi="宋体" w:eastAsia="Times New Roman" w:cs="宋体"/>
                <w:sz w:val="24"/>
              </w:rPr>
            </w:pPr>
          </w:p>
        </w:tc>
        <w:tc>
          <w:tcPr>
            <w:tcW w:w="5487" w:type="dxa"/>
          </w:tcPr>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 xml:space="preserve">一、课桌 </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1.桌面高度：660—750mm 可调节，调节后能满足国标GB/T3976-2014中1号课桌的桌面高度要求。</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 xml:space="preserve">2.桌面尺寸：600×400×18mm。桌面材质：采用18mm 厚环保双面饰多层板，甲醛释放量符合国标 E1（释放量≤ 1.5mg/L），四周截面采用 PP 材料。优质塑料一次注塑成型封边带笔槽，前鸭嘴后直边，桌面四角为圆角，封边结实、严密包边不起翘，耐磕碰， 塑料材质不易开裂、老化。 </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 xml:space="preserve">3.桌斗尺寸：450×300×150mm，钢板厚度≥ 0.8mm。桌斗材质：采用优质冷轧板冲压一次成 型冲孔，整体光滑无毛刺。 </w:t>
            </w:r>
          </w:p>
          <w:p>
            <w:pPr>
              <w:widowControl/>
              <w:spacing w:line="360" w:lineRule="auto"/>
              <w:jc w:val="left"/>
              <w:rPr>
                <w:rFonts w:ascii="宋体" w:hAnsi="宋体" w:eastAsia="Times New Roman" w:cs="宋体"/>
                <w:kern w:val="0"/>
                <w:sz w:val="24"/>
              </w:rPr>
            </w:pPr>
            <w:r>
              <w:rPr>
                <w:rFonts w:hint="eastAsia" w:ascii="宋体" w:hAnsi="宋体" w:eastAsia="Times New Roman" w:cs="宋体"/>
                <w:kern w:val="0"/>
                <w:sz w:val="24"/>
              </w:rPr>
              <w:t>4.桌架材质：脚立管 70×30×1.2mm 的椭圆管，脚 立管 55×25×1.2mm 的椭圆管，横脚管 60×30× 1.2mm 的D形管。</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5.焊接光滑平整无毛刺、无气孔、焊瘤、焊丝咬 边和飞溅，经脱脂、酸洗、水洗、磷化成膜、电 泳，自动恒温喷涂。</w:t>
            </w:r>
          </w:p>
          <w:p>
            <w:pPr>
              <w:widowControl/>
              <w:numPr>
                <w:ilvl w:val="0"/>
                <w:numId w:val="2"/>
              </w:numPr>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 xml:space="preserve">桌椅脚套采用高级橡胶 ABS 脚套（成形横脚 套），耐磨、移位无声。采用国标镀锌螺丝固定脚套，做到外观美观，安装牢固，紧固紧齐。 </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7.课桌左右两侧须各有一挂钩配置、挂钩材质为 PA 塑料挂钩。不得采用螺丝锁附方式配置挂钩、在静止状态下可以承载 30KG 或以上的挂物承 重。</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 xml:space="preserve">二、课椅 </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1. 座面高：360—440mm 可调节，调节后能满足 国标 GB/T3976-2014 中 1 号课椅的座面高度要 求。</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 xml:space="preserve">2.座面尺寸：380×383mm，厚度≥20mm。材质工艺：采用环保 PP 材料中空吹塑成型。 </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 xml:space="preserve">3.靠背尺寸：405×250mm，厚度≥20mm。材质工艺：采用环保 ABS 材料中空吹塑一次成型。 </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4.椅架材质：脚立管 70×30×1.2mm 的椭圆管，脚立管 55×25×1.2mm 的椭圆管，横脚管 60×30× 1.2mm 的D形管，座靠管采用 40×20×1.2mm 的椭圆管。</w:t>
            </w:r>
          </w:p>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 xml:space="preserve">5.焊接光滑平整无毛刺、无气孔、焊瘤、焊丝咬边和飞溅，经脱脂、酸洗、水洗、磷化成膜、电泳，自动恒温喷涂。 </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 xml:space="preserve">6.脚套采用高级橡胶 ABS 脚套（成形横脚套）， 耐磨、移位无声。采用国标镀锌螺丝固定脚套，做到外观美观，安装牢固， 紧固紧齐。 </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三、升降方式</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手摇式升降:左右脚架各加装一组高低自动升降调节器，升降传动齿轮采用合金压铸，升降螺杆采用中碳刚T型螺纹传动，暗藏保护装置，防止碰撞弯曲,配戴外六角杆手摇工具。</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四、尺规刻度要求</w:t>
            </w:r>
          </w:p>
          <w:p>
            <w:pPr>
              <w:widowControl/>
              <w:spacing w:line="360" w:lineRule="auto"/>
              <w:jc w:val="left"/>
              <w:rPr>
                <w:rFonts w:ascii="宋体" w:hAnsi="宋体" w:eastAsia="Times New Roman" w:cs="宋体"/>
                <w:b/>
                <w:bCs/>
                <w:color w:val="000000"/>
                <w:kern w:val="0"/>
                <w:sz w:val="24"/>
              </w:rPr>
            </w:pPr>
            <w:r>
              <w:rPr>
                <w:rFonts w:hint="eastAsia" w:ascii="宋体" w:hAnsi="宋体" w:eastAsia="Times New Roman" w:cs="宋体"/>
                <w:color w:val="000000"/>
                <w:kern w:val="0"/>
                <w:sz w:val="24"/>
              </w:rPr>
              <w:t>桌椅侧钢管上标示升降高度                                                      注：课桌椅提供3种及以上颜色（课桌包括但不限于浅蓝色、浅绿色、浅木纹色；课椅包括但不限于浅蓝色、浅绿色、浅灰色），具体颜色由采购人（学校）确定。</w:t>
            </w:r>
          </w:p>
        </w:tc>
        <w:tc>
          <w:tcPr>
            <w:tcW w:w="737" w:type="dxa"/>
          </w:tcPr>
          <w:p>
            <w:pPr>
              <w:widowControl/>
              <w:spacing w:line="360" w:lineRule="auto"/>
              <w:jc w:val="left"/>
              <w:rPr>
                <w:rFonts w:ascii="宋体" w:hAnsi="宋体" w:eastAsia="Times New Roman" w:cs="宋体"/>
              </w:rPr>
            </w:pPr>
            <w:r>
              <w:rPr>
                <w:rFonts w:hint="eastAsia" w:ascii="宋体" w:hAnsi="宋体" w:eastAsia="Times New Roman" w:cs="宋体"/>
                <w:color w:val="000000"/>
                <w:kern w:val="0"/>
                <w:sz w:val="24"/>
              </w:rPr>
              <w:t>套</w:t>
            </w:r>
          </w:p>
          <w:p>
            <w:pPr>
              <w:widowControl/>
              <w:spacing w:line="360" w:lineRule="auto"/>
              <w:jc w:val="left"/>
              <w:rPr>
                <w:rFonts w:ascii="宋体" w:hAnsi="宋体" w:eastAsia="Times New Roman" w:cs="宋体"/>
                <w:b/>
                <w:bCs/>
                <w:color w:val="000000"/>
                <w:kern w:val="0"/>
                <w:sz w:val="24"/>
              </w:rPr>
            </w:pPr>
          </w:p>
        </w:tc>
        <w:tc>
          <w:tcPr>
            <w:tcW w:w="696" w:type="dxa"/>
          </w:tcPr>
          <w:p>
            <w:pPr>
              <w:widowControl/>
              <w:spacing w:line="360" w:lineRule="auto"/>
              <w:jc w:val="left"/>
              <w:rPr>
                <w:rFonts w:ascii="宋体" w:hAnsi="宋体" w:eastAsia="Times New Roman"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1</w:t>
            </w:r>
          </w:p>
        </w:tc>
        <w:tc>
          <w:tcPr>
            <w:tcW w:w="533" w:type="dxa"/>
            <w:vAlign w:val="center"/>
          </w:tcPr>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 xml:space="preserve"> 课桌椅</w:t>
            </w:r>
          </w:p>
        </w:tc>
        <w:tc>
          <w:tcPr>
            <w:tcW w:w="1673" w:type="dxa"/>
            <w:vAlign w:val="center"/>
          </w:tcPr>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drawing>
                <wp:inline distT="0" distB="0" distL="0" distR="0">
                  <wp:extent cx="965835" cy="1250315"/>
                  <wp:effectExtent l="0" t="0" r="5715" b="6985"/>
                  <wp:docPr id="9" name="图片 9" descr="C:\Users\Administrator\AppData\Local\Temp\WeChat Files\f97fe4b8c0a0c969fae8963d0a52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WeChat Files\f97fe4b8c0a0c969fae8963d0a527e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71976" cy="1258060"/>
                          </a:xfrm>
                          <a:prstGeom prst="rect">
                            <a:avLst/>
                          </a:prstGeom>
                          <a:noFill/>
                          <a:ln>
                            <a:noFill/>
                          </a:ln>
                        </pic:spPr>
                      </pic:pic>
                    </a:graphicData>
                  </a:graphic>
                </wp:inline>
              </w:drawing>
            </w:r>
          </w:p>
          <w:p>
            <w:pPr>
              <w:widowControl/>
              <w:spacing w:line="360" w:lineRule="auto"/>
              <w:jc w:val="left"/>
              <w:rPr>
                <w:rFonts w:ascii="宋体" w:hAnsi="宋体" w:eastAsia="Times New Roman" w:cs="宋体"/>
                <w:color w:val="000000"/>
                <w:kern w:val="0"/>
                <w:sz w:val="24"/>
              </w:rPr>
            </w:pP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中学生适用</w:t>
            </w:r>
          </w:p>
          <w:p>
            <w:pPr>
              <w:widowControl/>
              <w:spacing w:line="360" w:lineRule="auto"/>
              <w:jc w:val="left"/>
              <w:rPr>
                <w:rFonts w:ascii="宋体" w:hAnsi="宋体" w:eastAsia="Times New Roman" w:cs="宋体"/>
                <w:color w:val="000000"/>
                <w:kern w:val="0"/>
                <w:sz w:val="24"/>
              </w:rPr>
            </w:pPr>
          </w:p>
        </w:tc>
        <w:tc>
          <w:tcPr>
            <w:tcW w:w="5487" w:type="dxa"/>
            <w:vAlign w:val="center"/>
          </w:tcPr>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一、课桌</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1.桌面高度：670—790mm可调节，调节后能满足国标GB/T3976-2014中0号课桌的桌面高度要求。桌面尺寸：600×445×18mm。</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2.桌面材质：采用18mm厚环保双面饰多层板，甲醛释放量符合国标E1（释放量≤ 1.5mg/L），四周截面采用PP材料。优质塑料一次注塑成型封边无笔槽，前鸭嘴后直边,桌面四角为圆角，封边结实、严密包边不起翘，耐磕碰，塑料材质不易开裂、老化。</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3.桌斗尺寸：480×300×180mm，钢板厚度≥0.8mm。桌斗材质：采用优质冷轧板冲压一次成型，整体光滑无毛刺。</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4.底管30X60X1.2mmD形管，立管30X70X1.2mm椭圆管，内套管25X54X1.2mm椭圆管。采用两根20X40X1.2mm椭圆管加固。</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5.焊接采用全机器人自动焊接，光滑平整无毛刺、无气孔、焊瘤、焊丝咬边和飞溅，经脱脂、酸洗、水洗、磷化成膜、电泳，自动恒温喷涂，颜色（可选色），确保6年无自然生锈掉色。</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6.脚套为PA环保塑料，耐磨、移位无声。采用国标镀锌螺丝固定脚套，做到外观美观，安装牢固，紧固紧齐。</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7.课桌左右两侧须各有一挂钩配置、挂钩材质为PA塑料挂钩。不得采用螺丝锁附方式配置挂钩、在静止状态下可以承载30KG或以上的挂物承重</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二、课椅</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1.座面高：360—460mm可调节，调节后能满足国标GB/T3976-2014中0号课椅的座面高度要求。座面尺寸：380×383mm，厚度≥40mm。材质工艺：采用环保PP材料中空吹塑成型。</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2.靠背尺寸：405×250mm，厚度≥20mm。材质工艺：采用环保PP材料中空吹塑成型。</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3.椅架材质：底管30X60X1.2mm椭圆管；立柱30X70X1.2mm椭圆管；内套管25X54X1.2mm椭圆管。</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靠背管采用20x40x1.2mm椭圆管。</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5.焊接采用全机器人自动焊接，光滑平整无毛刺、无气孔、焊瘤、焊丝咬边和飞溅，经脱脂、酸洗、水洗、磷化成膜、电泳，自动恒温喷涂，颜色（可选色），确保6年无自然生锈掉色。</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6.脚套为PA环保塑料，耐磨、移位无声。采用国标镀锌螺丝固定脚套，做到外观美观，安装牢固，紧固紧齐。</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三、升降方式</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手摇式升降:左右脚架各加装一组高低自动升降调节器，升降传动齿轮采用合金压铸，升降螺杆采用中碳刚T型螺纹传动，暗藏保护装置，防止碰撞弯曲,配戴外六角杆手摇工具。</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四、尺规刻度要求</w:t>
            </w: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桌椅侧钢管上标示升降高度                                                      注：课桌椅提供3种及以上颜色（课桌包括但不限于浅蓝色、浅绿色、浅木纹色；课椅包括但不限于浅蓝色、浅绿色、浅灰色），具体颜色由采购人（学校）确定。</w:t>
            </w:r>
          </w:p>
        </w:tc>
        <w:tc>
          <w:tcPr>
            <w:tcW w:w="737" w:type="dxa"/>
            <w:vAlign w:val="center"/>
          </w:tcPr>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套</w:t>
            </w:r>
          </w:p>
        </w:tc>
        <w:tc>
          <w:tcPr>
            <w:tcW w:w="696" w:type="dxa"/>
            <w:vAlign w:val="center"/>
          </w:tcPr>
          <w:p>
            <w:pPr>
              <w:widowControl/>
              <w:spacing w:line="360" w:lineRule="auto"/>
              <w:jc w:val="left"/>
              <w:rPr>
                <w:rFonts w:ascii="宋体" w:hAnsi="宋体" w:eastAsia="Times New Roman" w:cs="宋体"/>
                <w:color w:val="000000"/>
                <w:kern w:val="0"/>
                <w:sz w:val="24"/>
              </w:rPr>
            </w:pPr>
          </w:p>
        </w:tc>
      </w:tr>
    </w:tbl>
    <w:p>
      <w:pPr>
        <w:widowControl/>
        <w:spacing w:line="360" w:lineRule="auto"/>
        <w:jc w:val="left"/>
        <w:rPr>
          <w:rFonts w:ascii="宋体" w:hAnsi="宋体" w:eastAsia="Times New Roman" w:cs="宋体"/>
          <w:color w:val="000000"/>
          <w:kern w:val="0"/>
          <w:sz w:val="24"/>
        </w:rPr>
      </w:pPr>
    </w:p>
    <w:p>
      <w:pPr>
        <w:widowControl/>
        <w:spacing w:line="360" w:lineRule="auto"/>
        <w:jc w:val="left"/>
        <w:rPr>
          <w:rFonts w:ascii="宋体" w:hAnsi="宋体" w:eastAsia="Times New Roman" w:cs="宋体"/>
          <w:color w:val="000000"/>
          <w:kern w:val="0"/>
          <w:sz w:val="24"/>
        </w:rPr>
      </w:pPr>
      <w:r>
        <w:rPr>
          <w:rFonts w:hint="eastAsia" w:ascii="宋体" w:hAnsi="宋体" w:eastAsia="Times New Roman" w:cs="宋体"/>
          <w:color w:val="000000"/>
          <w:kern w:val="0"/>
          <w:sz w:val="24"/>
        </w:rPr>
        <w:t>注：1、分二批供货。第一次：2022年8月20日之前提供不少于各校总数量50%的货物，并完成安装调试及验收；第二次：2022年10月20日之前提供剩余数量的供货并完成安装调试及验收（具体时间以合同为准）。</w:t>
      </w:r>
    </w:p>
    <w:p>
      <w:pPr>
        <w:widowControl/>
        <w:spacing w:line="360" w:lineRule="auto"/>
        <w:jc w:val="left"/>
      </w:pPr>
      <w:r>
        <w:rPr>
          <w:rFonts w:hint="eastAsia" w:ascii="宋体" w:hAnsi="宋体" w:eastAsia="Times New Roman" w:cs="宋体"/>
          <w:color w:val="000000"/>
          <w:kern w:val="0"/>
          <w:sz w:val="24"/>
        </w:rPr>
        <w:t>2、实际供货数量以采购人发出的订单为准。采购人提供的图片为</w:t>
      </w:r>
      <w:r>
        <w:rPr>
          <w:rFonts w:hint="eastAsia" w:ascii="宋体" w:hAnsi="宋体" w:cs="宋体"/>
          <w:color w:val="000000"/>
          <w:kern w:val="0"/>
          <w:sz w:val="24"/>
        </w:rPr>
        <w:t xml:space="preserve">参考式样和颜色，供应商提供所投产品的彩色图片。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3、中标人须根据采购单位的要求及时供货，具体数量按实调整。</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4、每个批次由采购人随机抽取课桌椅成品送第三方检测机构检测，若不合格则该批次全部更换。抽取时间和形式由采购人指定，中标人无条件服从。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4、采购人根据实际情况可能将对供应商的供货进行环保检测，检测费用由中标人承担，如不合格免费更换产品。 </w:t>
      </w:r>
    </w:p>
    <w:p>
      <w:pPr>
        <w:widowControl/>
        <w:spacing w:line="360" w:lineRule="auto"/>
        <w:ind w:firstLine="480" w:firstLineChars="200"/>
        <w:jc w:val="left"/>
      </w:pPr>
      <w:r>
        <w:rPr>
          <w:rFonts w:hint="eastAsia" w:ascii="宋体" w:hAnsi="宋体" w:cs="宋体"/>
          <w:color w:val="000000"/>
          <w:kern w:val="0"/>
          <w:sz w:val="24"/>
        </w:rPr>
        <w:t xml:space="preserve">5、全费用单价包含人工、制造、材料、设备、运输、装卸、安装、机械、售后服务、保险、规费、利润、税金、风险费及其他等一切费用。 </w:t>
      </w:r>
    </w:p>
    <w:p>
      <w:pPr>
        <w:widowControl/>
        <w:spacing w:line="360" w:lineRule="auto"/>
        <w:jc w:val="left"/>
      </w:pPr>
      <w:r>
        <w:rPr>
          <w:rFonts w:hint="eastAsia" w:ascii="宋体" w:hAnsi="宋体" w:cs="宋体"/>
          <w:b/>
          <w:bCs/>
          <w:color w:val="000000"/>
          <w:kern w:val="0"/>
          <w:sz w:val="24"/>
        </w:rPr>
        <w:t xml:space="preserve">二、其他要求 </w:t>
      </w:r>
    </w:p>
    <w:p>
      <w:pPr>
        <w:widowControl/>
        <w:spacing w:line="360" w:lineRule="auto"/>
        <w:ind w:firstLine="480" w:firstLineChars="200"/>
        <w:jc w:val="left"/>
      </w:pPr>
      <w:r>
        <w:rPr>
          <w:color w:val="000000"/>
          <w:kern w:val="0"/>
          <w:sz w:val="24"/>
        </w:rPr>
        <w:t>1</w:t>
      </w:r>
      <w:r>
        <w:rPr>
          <w:rFonts w:hint="eastAsia" w:ascii="宋体" w:hAnsi="宋体" w:cs="宋体"/>
          <w:color w:val="000000"/>
          <w:kern w:val="0"/>
          <w:sz w:val="24"/>
        </w:rPr>
        <w:t xml:space="preserve">、 交货前的采购人查验 </w:t>
      </w:r>
    </w:p>
    <w:p>
      <w:pPr>
        <w:widowControl/>
        <w:spacing w:line="360" w:lineRule="auto"/>
        <w:ind w:firstLine="480" w:firstLineChars="200"/>
        <w:jc w:val="left"/>
      </w:pPr>
      <w:r>
        <w:rPr>
          <w:rFonts w:hint="eastAsia" w:ascii="宋体" w:hAnsi="宋体" w:cs="宋体"/>
          <w:color w:val="000000"/>
          <w:kern w:val="0"/>
          <w:sz w:val="24"/>
        </w:rPr>
        <w:t xml:space="preserve">采购人有权在产品制造期间到中标供应商的生产现场查验产品及其部件，有权查看试验结果，采购人也可指派员或代理履行这种工厂查验，但这并不免除中标供应商应按合同履行其义务的责任。 </w:t>
      </w:r>
    </w:p>
    <w:p>
      <w:pPr>
        <w:widowControl/>
        <w:spacing w:line="360" w:lineRule="auto"/>
        <w:ind w:firstLine="480" w:firstLineChars="200"/>
        <w:jc w:val="left"/>
      </w:pPr>
      <w:r>
        <w:rPr>
          <w:color w:val="000000"/>
          <w:kern w:val="0"/>
          <w:sz w:val="24"/>
        </w:rPr>
        <w:t>2</w:t>
      </w:r>
      <w:r>
        <w:rPr>
          <w:rFonts w:hint="eastAsia" w:ascii="宋体" w:hAnsi="宋体" w:cs="宋体"/>
          <w:color w:val="000000"/>
          <w:kern w:val="0"/>
          <w:sz w:val="24"/>
        </w:rPr>
        <w:t xml:space="preserve">、安装、调试 </w:t>
      </w:r>
    </w:p>
    <w:p>
      <w:pPr>
        <w:widowControl/>
        <w:spacing w:line="360" w:lineRule="auto"/>
        <w:ind w:firstLine="480" w:firstLineChars="200"/>
        <w:jc w:val="left"/>
      </w:pPr>
      <w:r>
        <w:rPr>
          <w:rFonts w:hint="eastAsia" w:ascii="宋体" w:hAnsi="宋体" w:cs="宋体"/>
          <w:color w:val="000000"/>
          <w:kern w:val="0"/>
          <w:sz w:val="24"/>
        </w:rPr>
        <w:t xml:space="preserve">中标供应商须派有相当工作经验的技术人员进行安装、调试，并负责现场安装过程中产品保护。 </w:t>
      </w:r>
    </w:p>
    <w:p>
      <w:pPr>
        <w:widowControl/>
        <w:spacing w:line="360" w:lineRule="auto"/>
        <w:ind w:firstLine="480" w:firstLineChars="200"/>
        <w:jc w:val="left"/>
      </w:pPr>
      <w:r>
        <w:rPr>
          <w:color w:val="000000"/>
          <w:kern w:val="0"/>
          <w:sz w:val="24"/>
        </w:rPr>
        <w:t>3</w:t>
      </w:r>
      <w:r>
        <w:rPr>
          <w:rFonts w:hint="eastAsia" w:ascii="宋体" w:hAnsi="宋体" w:cs="宋体"/>
          <w:color w:val="000000"/>
          <w:kern w:val="0"/>
          <w:sz w:val="24"/>
        </w:rPr>
        <w:t xml:space="preserve">、验收、交付 </w:t>
      </w:r>
    </w:p>
    <w:p>
      <w:pPr>
        <w:widowControl/>
        <w:spacing w:line="360" w:lineRule="auto"/>
        <w:ind w:firstLine="480" w:firstLineChars="200"/>
        <w:jc w:val="left"/>
      </w:pPr>
      <w:r>
        <w:rPr>
          <w:rFonts w:hint="eastAsia" w:ascii="宋体" w:hAnsi="宋体" w:cs="宋体"/>
          <w:color w:val="000000"/>
          <w:kern w:val="0"/>
          <w:sz w:val="24"/>
        </w:rPr>
        <w:t xml:space="preserve">货物安装完成后，中标供应商须负责对全部货物的保护和清洁工作，直至货物验收合格交付使用为止。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学校根据招标文件或合同进行验收，各标项均分两次验收，第一次供货完成，学校进行初验，初验完成后由区教育局组织相关人员随机抽取5所学校进行综合验收；第二次供货完成，学校进行初验，初验完成后由区教育局组织相关人员随机抽取5所学校进行综合验收。资金按供货批次支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采购人与中标供应商双方按照招标货物的技术要求及规范对全部货物进行验收。货物验收前，中标供应商应事先准备好验收文件并获采购人的确认，如验收合格，双方代表人在验收文件上签字完成终交验收手续，正式交付使用。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如第一次验收未合格，中标供应商应找出原因进行更正，并应在第一次验收结束后 </w:t>
      </w:r>
      <w:r>
        <w:rPr>
          <w:rFonts w:ascii="宋体" w:hAnsi="宋体" w:cs="宋体"/>
          <w:kern w:val="0"/>
          <w:sz w:val="24"/>
        </w:rPr>
        <w:t xml:space="preserve">7 </w:t>
      </w:r>
      <w:r>
        <w:rPr>
          <w:rFonts w:hint="eastAsia" w:ascii="宋体" w:hAnsi="宋体" w:cs="宋体"/>
          <w:kern w:val="0"/>
          <w:sz w:val="24"/>
        </w:rPr>
        <w:t xml:space="preserve">个工作日内进行再次验收，中标供应商应承担由此而产生的全部费用。如第二次验收仍不能符合合格条件，采购人可拒绝接受全部货物，中标供应商负责赔偿一切损失。 </w:t>
      </w:r>
    </w:p>
    <w:p>
      <w:pPr>
        <w:widowControl/>
        <w:spacing w:line="360" w:lineRule="auto"/>
        <w:ind w:firstLine="480" w:firstLineChars="200"/>
        <w:jc w:val="left"/>
        <w:rPr>
          <w:rFonts w:ascii="宋体" w:hAnsi="宋体" w:cs="宋体"/>
          <w:color w:val="000000"/>
          <w:kern w:val="0"/>
          <w:sz w:val="24"/>
        </w:rPr>
      </w:pPr>
      <w:r>
        <w:rPr>
          <w:color w:val="000000"/>
          <w:kern w:val="0"/>
          <w:sz w:val="24"/>
        </w:rPr>
        <w:t>4</w:t>
      </w:r>
      <w:r>
        <w:rPr>
          <w:rFonts w:hint="eastAsia" w:ascii="宋体" w:hAnsi="宋体" w:cs="宋体"/>
          <w:color w:val="000000"/>
          <w:kern w:val="0"/>
          <w:sz w:val="24"/>
        </w:rPr>
        <w:t xml:space="preserve">、备品备件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中标供应商须对所供的货物提供足够的备件、附件和易损件，以满足货物正常使用的需要。中标供应商随货物所带的备品备件，其价格应包含在货物投标价内。</w:t>
      </w:r>
    </w:p>
    <w:p>
      <w:pPr>
        <w:widowControl/>
        <w:spacing w:line="360" w:lineRule="auto"/>
        <w:ind w:firstLine="480" w:firstLineChars="200"/>
        <w:jc w:val="left"/>
      </w:pPr>
      <w:r>
        <w:rPr>
          <w:rFonts w:hint="eastAsia" w:ascii="宋体" w:hAnsi="宋体" w:cs="宋体"/>
          <w:color w:val="000000"/>
          <w:kern w:val="0"/>
          <w:sz w:val="24"/>
        </w:rPr>
        <w:t>中标供应商须保证在货物质保期后维修所需的备品备件价格不高于本次投标报价。</w:t>
      </w:r>
    </w:p>
    <w:p>
      <w:pPr>
        <w:widowControl/>
        <w:spacing w:line="360" w:lineRule="auto"/>
        <w:jc w:val="left"/>
        <w:rPr>
          <w:rFonts w:ascii="宋体" w:hAnsi="宋体"/>
          <w:b/>
          <w:bCs/>
          <w:sz w:val="24"/>
        </w:rPr>
      </w:pPr>
    </w:p>
    <w:p>
      <w:pPr>
        <w:widowControl/>
        <w:spacing w:line="360" w:lineRule="auto"/>
        <w:jc w:val="left"/>
        <w:rPr>
          <w:rFonts w:hAnsi="宋体"/>
          <w:b/>
        </w:rPr>
      </w:pPr>
      <w:r>
        <w:rPr>
          <w:rFonts w:hint="eastAsia" w:hAnsi="宋体"/>
          <w:b/>
        </w:rPr>
        <w:t>六、</w:t>
      </w:r>
      <w:r>
        <w:rPr>
          <w:rFonts w:hAnsi="宋体"/>
          <w:b/>
        </w:rPr>
        <w:t>商务要求</w:t>
      </w:r>
    </w:p>
    <w:tbl>
      <w:tblPr>
        <w:tblStyle w:val="33"/>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26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 w:val="24"/>
              </w:rPr>
            </w:pPr>
            <w:r>
              <w:rPr>
                <w:rFonts w:hint="eastAsia" w:ascii="宋体" w:hAnsi="宋体" w:cs="宋体"/>
                <w:b/>
                <w:bCs/>
                <w:kern w:val="0"/>
                <w:sz w:val="24"/>
              </w:rPr>
              <w:t>质保期</w:t>
            </w:r>
          </w:p>
        </w:tc>
        <w:tc>
          <w:tcPr>
            <w:tcW w:w="7938" w:type="dxa"/>
            <w:tcBorders>
              <w:top w:val="single" w:color="auto" w:sz="4" w:space="0"/>
              <w:left w:val="single" w:color="auto" w:sz="4" w:space="0"/>
              <w:bottom w:val="single" w:color="auto" w:sz="4" w:space="0"/>
              <w:right w:val="single" w:color="auto" w:sz="4" w:space="0"/>
            </w:tcBorders>
          </w:tcPr>
          <w:p>
            <w:pPr>
              <w:widowControl/>
              <w:jc w:val="left"/>
            </w:pPr>
            <w:r>
              <w:rPr>
                <w:rFonts w:hint="eastAsia" w:ascii="宋体" w:hAnsi="宋体"/>
                <w:b/>
                <w:sz w:val="24"/>
              </w:rPr>
              <w:t>▲</w:t>
            </w:r>
            <w:r>
              <w:rPr>
                <w:rFonts w:hint="eastAsia" w:ascii="宋体" w:hAnsi="宋体" w:cs="宋体"/>
                <w:kern w:val="0"/>
                <w:sz w:val="24"/>
              </w:rPr>
              <w:t xml:space="preserve">质保期为产品验收合格起不少于 3 年。 </w:t>
            </w:r>
          </w:p>
          <w:p>
            <w:pPr>
              <w:widowControl/>
              <w:jc w:val="left"/>
            </w:pPr>
            <w:r>
              <w:rPr>
                <w:rFonts w:hint="eastAsia" w:ascii="宋体" w:hAnsi="宋体" w:cs="宋体"/>
                <w:kern w:val="0"/>
                <w:sz w:val="24"/>
              </w:rPr>
              <w:t xml:space="preserve">在正常使用情况下，非人为因素是指没有超出招标文件和国家规定的技术指标的行为。 </w:t>
            </w:r>
          </w:p>
          <w:p>
            <w:pPr>
              <w:widowControl/>
              <w:jc w:val="left"/>
            </w:pPr>
            <w:r>
              <w:rPr>
                <w:rFonts w:hint="eastAsia" w:ascii="宋体" w:hAnsi="宋体" w:cs="宋体"/>
                <w:kern w:val="0"/>
                <w:sz w:val="24"/>
              </w:rPr>
              <w:t xml:space="preserve">质保期内，除不可抗力因素，因货物制造质量不良或非人为因素而产生损坏或不能正常使用，卖方应免费提供更换和维修，并承担业主的经济损失，对更换的货物其质保期重新计算。 </w:t>
            </w:r>
          </w:p>
          <w:p>
            <w:pPr>
              <w:widowControl/>
              <w:jc w:val="left"/>
              <w:rPr>
                <w:rFonts w:ascii="宋体" w:hAnsi="宋体"/>
                <w:sz w:val="24"/>
              </w:rPr>
            </w:pPr>
            <w:r>
              <w:rPr>
                <w:rFonts w:hint="eastAsia" w:ascii="宋体" w:hAnsi="宋体" w:cs="宋体"/>
                <w:kern w:val="0"/>
                <w:sz w:val="24"/>
              </w:rPr>
              <w:t>质保期内，供货商须自行付费，负责修理和替换任何由于货物自身的质量问题造成的损坏及故障。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26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r>
              <w:rPr>
                <w:rFonts w:hint="eastAsia" w:ascii="宋体" w:hAnsi="宋体"/>
                <w:sz w:val="24"/>
              </w:rPr>
              <w:t>售后技术服务要求</w:t>
            </w:r>
          </w:p>
        </w:tc>
        <w:tc>
          <w:tcPr>
            <w:tcW w:w="793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26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交货期和地点</w:t>
            </w:r>
          </w:p>
        </w:tc>
        <w:tc>
          <w:tcPr>
            <w:tcW w:w="793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交货期：合同签订后1、分二批供货。第一次：2022年8月20日之前提供不少于各校总数量50%的货物，并完成安装调试及验收；第二次：2022年10月20日之前提供剩余数量的供货并完成安装调试及验收（具体时间以合同为准）。</w:t>
            </w:r>
          </w:p>
          <w:p>
            <w:pPr>
              <w:widowControl/>
              <w:jc w:val="left"/>
              <w:rPr>
                <w:rFonts w:ascii="宋体" w:hAnsi="宋体" w:cs="宋体"/>
                <w:kern w:val="0"/>
                <w:sz w:val="24"/>
              </w:rPr>
            </w:pPr>
            <w:r>
              <w:rPr>
                <w:rFonts w:hint="eastAsia" w:ascii="宋体" w:hAnsi="宋体" w:cs="宋体"/>
                <w:kern w:val="0"/>
                <w:sz w:val="24"/>
              </w:rPr>
              <w:t>注：1、供应商需提供仓库用于课桌椅所需设备通风换气，设备需拆除包装分散摆放。二次搬运至学校的费用由供应商承担。</w:t>
            </w:r>
          </w:p>
          <w:p>
            <w:pPr>
              <w:widowControl/>
              <w:jc w:val="left"/>
              <w:rPr>
                <w:rFonts w:ascii="宋体" w:hAnsi="宋体" w:cs="宋体"/>
                <w:kern w:val="0"/>
                <w:sz w:val="24"/>
              </w:rPr>
            </w:pPr>
            <w:r>
              <w:rPr>
                <w:rFonts w:hint="eastAsia" w:ascii="宋体" w:hAnsi="宋体" w:cs="宋体"/>
                <w:kern w:val="0"/>
                <w:sz w:val="24"/>
              </w:rPr>
              <w:t>2、标项均分两次验收，第一次供货完成，学校进行验收，区教育局组织相关人员随机抽取5所学校进行综合验收；第二次供货完成，学校进行验收，区教育局组织相关人员随机抽取5所学校进行综合验收。</w:t>
            </w:r>
          </w:p>
          <w:p>
            <w:pPr>
              <w:widowControl/>
              <w:jc w:val="left"/>
              <w:rPr>
                <w:rFonts w:ascii="宋体" w:hAnsi="宋体" w:cs="宋体"/>
                <w:kern w:val="0"/>
                <w:sz w:val="24"/>
              </w:rPr>
            </w:pPr>
            <w:r>
              <w:rPr>
                <w:rFonts w:hint="eastAsia" w:ascii="宋体" w:hAnsi="宋体" w:cs="宋体"/>
                <w:kern w:val="0"/>
                <w:sz w:val="24"/>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226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color w:val="000000"/>
                <w:kern w:val="0"/>
                <w:sz w:val="24"/>
              </w:rPr>
            </w:pPr>
            <w:r>
              <w:rPr>
                <w:rFonts w:hint="eastAsia" w:ascii="宋体" w:hAnsi="宋体" w:cs="宋体"/>
                <w:bCs/>
                <w:color w:val="000000"/>
                <w:kern w:val="0"/>
                <w:sz w:val="24"/>
              </w:rPr>
              <w:t>履约保证金</w:t>
            </w:r>
          </w:p>
        </w:tc>
        <w:tc>
          <w:tcPr>
            <w:tcW w:w="793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kern w:val="0"/>
                <w:sz w:val="24"/>
              </w:rPr>
            </w:pPr>
            <w:r>
              <w:rPr>
                <w:rFonts w:hint="eastAsia" w:ascii="宋体" w:hAnsi="宋体" w:cs="宋体"/>
                <w:bCs/>
                <w:kern w:val="0"/>
                <w:sz w:val="24"/>
              </w:rPr>
              <w:t>履约保证金：按合同金额的 2.5%计收，中标供应商在签订合同前应向采购人交纳履约保证金，履约保证金至合同履行完毕后 5 个工作日内视履约情况返还（缴纳形式为现金，或银行、保险公司出具的保函）。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6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kern w:val="0"/>
                <w:sz w:val="24"/>
              </w:rPr>
            </w:pPr>
            <w:r>
              <w:rPr>
                <w:rFonts w:hint="eastAsia" w:ascii="宋体" w:hAnsi="宋体" w:cs="宋体"/>
                <w:bCs/>
                <w:kern w:val="0"/>
                <w:sz w:val="24"/>
              </w:rPr>
              <w:t>付款方式</w:t>
            </w:r>
          </w:p>
        </w:tc>
        <w:tc>
          <w:tcPr>
            <w:tcW w:w="793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kern w:val="0"/>
                <w:sz w:val="24"/>
              </w:rPr>
            </w:pPr>
            <w:r>
              <w:rPr>
                <w:rFonts w:hint="eastAsia" w:ascii="宋体" w:hAnsi="宋体" w:cs="宋体"/>
                <w:bCs/>
                <w:kern w:val="0"/>
                <w:sz w:val="24"/>
              </w:rPr>
              <w:t>▲根据《保障中小企业款项支付条例》、浙财采监【2022】3号要求要求,制定如以下付款方式:合同生效以及具备实施条件后7个工作日内，支付合同金额的40%，2022年8月20日之前第一次供货并安装调试完成，验收合格后，11月底前支付实际验收货物金额的100%;2022年10月20日前，第二次供货并安装调试完成，验收合格后，项目整体资料移交给甲方，付至合同的100%。</w:t>
            </w:r>
          </w:p>
          <w:p>
            <w:pPr>
              <w:widowControl/>
              <w:jc w:val="left"/>
              <w:rPr>
                <w:rFonts w:ascii="宋体" w:hAnsi="宋体" w:cs="宋体"/>
                <w:bCs/>
                <w:kern w:val="0"/>
                <w:sz w:val="24"/>
              </w:rPr>
            </w:pPr>
            <w:r>
              <w:rPr>
                <w:rFonts w:hint="eastAsia" w:ascii="宋体" w:hAnsi="宋体" w:cs="宋体"/>
                <w:bCs/>
                <w:kern w:val="0"/>
                <w:sz w:val="24"/>
              </w:rPr>
              <w:t xml:space="preserve">注：1）中标供应商在接到采购人通知后的七个工作日内将正规发票送达采购人，采购人在收到中标供应商发票后于 十五个工作日内以转账的方式支付给中标供应商； </w:t>
            </w:r>
          </w:p>
          <w:p>
            <w:pPr>
              <w:widowControl/>
              <w:jc w:val="left"/>
              <w:rPr>
                <w:rFonts w:ascii="宋体" w:hAnsi="宋体" w:cs="宋体"/>
                <w:bCs/>
                <w:kern w:val="0"/>
                <w:sz w:val="24"/>
              </w:rPr>
            </w:pPr>
            <w:r>
              <w:rPr>
                <w:rFonts w:hint="eastAsia" w:ascii="宋体" w:hAnsi="宋体" w:cs="宋体"/>
                <w:bCs/>
                <w:kern w:val="0"/>
                <w:sz w:val="24"/>
              </w:rPr>
              <w:t xml:space="preserve">2）税费：本服务执行中相关的一切税费均由中标供应商负担； </w:t>
            </w:r>
          </w:p>
          <w:p>
            <w:pPr>
              <w:widowControl/>
              <w:jc w:val="left"/>
              <w:rPr>
                <w:rFonts w:ascii="宋体" w:hAnsi="宋体" w:cs="宋体"/>
                <w:bCs/>
                <w:kern w:val="0"/>
                <w:sz w:val="24"/>
              </w:rPr>
            </w:pPr>
            <w:r>
              <w:rPr>
                <w:rFonts w:hint="eastAsia" w:ascii="宋体" w:hAnsi="宋体" w:cs="宋体"/>
                <w:bCs/>
                <w:kern w:val="0"/>
                <w:sz w:val="24"/>
              </w:rPr>
              <w:t>3）若中标供应商明确表示无需预付款或者主动要求降低预付款比例的，采购人可不适用前述规定。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6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kern w:val="0"/>
                <w:sz w:val="24"/>
              </w:rPr>
            </w:pPr>
            <w:r>
              <w:rPr>
                <w:rFonts w:hint="eastAsia" w:ascii="宋体" w:hAnsi="宋体" w:cs="宋体"/>
                <w:bCs/>
                <w:kern w:val="0"/>
                <w:sz w:val="24"/>
              </w:rPr>
              <w:t>培训要求</w:t>
            </w:r>
          </w:p>
        </w:tc>
        <w:tc>
          <w:tcPr>
            <w:tcW w:w="793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sz w:val="24"/>
              </w:rPr>
            </w:pPr>
            <w:r>
              <w:rPr>
                <w:rFonts w:hint="eastAsia" w:ascii="宋体" w:hAnsi="宋体"/>
                <w:b/>
                <w:sz w:val="24"/>
              </w:rPr>
              <w:t>其他要求</w:t>
            </w:r>
          </w:p>
        </w:tc>
        <w:tc>
          <w:tcPr>
            <w:tcW w:w="793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sz w:val="24"/>
              </w:rPr>
            </w:pPr>
            <w:r>
              <w:rPr>
                <w:rFonts w:hint="eastAsia" w:ascii="宋体" w:hAnsi="宋体"/>
                <w:b/>
                <w:sz w:val="24"/>
              </w:rPr>
              <w:t>▲如中标人为大型企业，</w:t>
            </w:r>
            <w:r>
              <w:rPr>
                <w:rFonts w:ascii="宋体" w:hAnsi="宋体"/>
                <w:b/>
                <w:sz w:val="24"/>
              </w:rPr>
              <w:t>合同金额的40%</w:t>
            </w:r>
            <w:r>
              <w:rPr>
                <w:rFonts w:hint="eastAsia" w:ascii="宋体" w:hAnsi="宋体"/>
                <w:b/>
                <w:sz w:val="24"/>
              </w:rPr>
              <w:t>必须分包</w:t>
            </w:r>
            <w:r>
              <w:rPr>
                <w:rFonts w:ascii="宋体" w:hAnsi="宋体"/>
                <w:b/>
                <w:sz w:val="24"/>
              </w:rPr>
              <w:t>给中小微企业</w:t>
            </w:r>
            <w:r>
              <w:rPr>
                <w:rFonts w:hint="eastAsia" w:ascii="宋体" w:hAnsi="宋体"/>
                <w:b/>
                <w:sz w:val="24"/>
              </w:rPr>
              <w:t>。</w:t>
            </w:r>
          </w:p>
        </w:tc>
      </w:tr>
    </w:tbl>
    <w:p>
      <w:pPr>
        <w:pStyle w:val="13"/>
        <w:spacing w:after="0" w:line="360" w:lineRule="auto"/>
        <w:rPr>
          <w:rFonts w:ascii="宋体" w:hAnsi="宋体" w:cs="宋体"/>
          <w:b/>
          <w:kern w:val="0"/>
          <w:sz w:val="24"/>
        </w:rPr>
      </w:pPr>
      <w:r>
        <w:rPr>
          <w:rFonts w:hint="eastAsia" w:ascii="宋体" w:hAnsi="宋体" w:cs="宋体"/>
          <w:b/>
          <w:kern w:val="0"/>
          <w:sz w:val="24"/>
          <w:szCs w:val="22"/>
        </w:rPr>
        <w:t>注：</w:t>
      </w:r>
      <w:r>
        <w:rPr>
          <w:rFonts w:hint="eastAsia" w:ascii="宋体" w:hAnsi="宋体" w:cs="宋体"/>
          <w:b/>
          <w:kern w:val="0"/>
          <w:sz w:val="24"/>
        </w:rPr>
        <w:t>▲1</w:t>
      </w:r>
      <w:r>
        <w:rPr>
          <w:rFonts w:hint="eastAsia" w:ascii="宋体" w:hAnsi="宋体" w:cs="宋体"/>
          <w:b/>
          <w:kern w:val="0"/>
          <w:sz w:val="24"/>
          <w:szCs w:val="22"/>
        </w:rPr>
        <w:t>、本项目</w:t>
      </w:r>
      <w:r>
        <w:rPr>
          <w:rFonts w:ascii="宋体" w:hAnsi="宋体" w:cs="宋体"/>
          <w:b/>
          <w:kern w:val="0"/>
          <w:sz w:val="24"/>
          <w:szCs w:val="22"/>
        </w:rPr>
        <w:t>采购标的对应的中小企业划分标准</w:t>
      </w:r>
      <w:r>
        <w:rPr>
          <w:rFonts w:hint="eastAsia" w:ascii="宋体" w:hAnsi="宋体" w:cs="宋体"/>
          <w:b/>
          <w:kern w:val="0"/>
          <w:sz w:val="24"/>
          <w:szCs w:val="22"/>
        </w:rPr>
        <w:t>（根据工信部联企业〔2011〕300 号确</w:t>
      </w:r>
      <w:r>
        <w:rPr>
          <w:rFonts w:hint="eastAsia" w:ascii="宋体" w:hAnsi="宋体" w:cs="宋体"/>
          <w:b/>
          <w:kern w:val="0"/>
          <w:sz w:val="24"/>
        </w:rPr>
        <w:t>定）所属行业为工业。</w:t>
      </w:r>
    </w:p>
    <w:p>
      <w:pPr>
        <w:pStyle w:val="13"/>
        <w:spacing w:after="0" w:line="360" w:lineRule="auto"/>
        <w:rPr>
          <w:rFonts w:ascii="宋体" w:hAnsi="宋体" w:cs="宋体"/>
          <w:b/>
          <w:kern w:val="0"/>
          <w:sz w:val="24"/>
        </w:rPr>
      </w:pPr>
      <w:r>
        <w:rPr>
          <w:rFonts w:hint="eastAsia" w:ascii="宋体" w:hAnsi="宋体" w:cs="宋体"/>
          <w:b/>
          <w:kern w:val="0"/>
          <w:sz w:val="24"/>
        </w:rPr>
        <w:t xml:space="preserve">   ▲2.依</w:t>
      </w:r>
      <w:r>
        <w:rPr>
          <w:rFonts w:ascii="宋体" w:hAnsi="宋体" w:cs="宋体"/>
          <w:b/>
          <w:kern w:val="0"/>
          <w:sz w:val="24"/>
        </w:rPr>
        <w:t>据《</w:t>
      </w:r>
      <w:r>
        <w:rPr>
          <w:rFonts w:hint="eastAsia" w:ascii="宋体" w:hAnsi="宋体" w:cs="宋体"/>
          <w:b/>
          <w:kern w:val="0"/>
          <w:sz w:val="24"/>
        </w:rPr>
        <w:t>政府采购促进中小企业发展管理办法</w:t>
      </w:r>
      <w:r>
        <w:rPr>
          <w:rFonts w:ascii="宋体" w:hAnsi="宋体" w:cs="宋体"/>
          <w:b/>
          <w:kern w:val="0"/>
          <w:sz w:val="24"/>
        </w:rPr>
        <w:t>》</w:t>
      </w:r>
      <w:r>
        <w:rPr>
          <w:rFonts w:hint="eastAsia" w:ascii="宋体" w:hAnsi="宋体" w:cs="宋体"/>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pPr>
        <w:snapToGrid w:val="0"/>
        <w:spacing w:line="360" w:lineRule="auto"/>
        <w:jc w:val="center"/>
        <w:rPr>
          <w:rFonts w:ascii="黑体" w:hAnsi="宋体" w:eastAsia="黑体"/>
          <w:sz w:val="30"/>
          <w:szCs w:val="30"/>
        </w:rPr>
      </w:pPr>
    </w:p>
    <w:p>
      <w:pPr>
        <w:snapToGrid w:val="0"/>
        <w:spacing w:line="360" w:lineRule="auto"/>
        <w:jc w:val="center"/>
        <w:rPr>
          <w:rFonts w:ascii="黑体" w:hAnsi="宋体" w:eastAsia="黑体"/>
          <w:sz w:val="30"/>
          <w:szCs w:val="30"/>
        </w:rPr>
      </w:pPr>
    </w:p>
    <w:p>
      <w:pPr>
        <w:snapToGrid w:val="0"/>
        <w:spacing w:line="360" w:lineRule="auto"/>
        <w:jc w:val="center"/>
        <w:rPr>
          <w:rFonts w:ascii="黑体" w:hAnsi="宋体" w:eastAsia="黑体"/>
          <w:sz w:val="30"/>
          <w:szCs w:val="30"/>
        </w:rPr>
      </w:pPr>
    </w:p>
    <w:p>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33"/>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项目名称：湖州市吴兴区中小学升降式课桌椅采购项目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.不论投标结果如何，投标人均应自行承担所有与投标有关的全部费用。3.本项目招标代理服务费收取2.本项目招标代理服务费收取:标项1人民币玖仟柒佰贰拾贰元整（￥9722 .00），标项2人民币玖仟柒佰贰拾贰元整（￥9722 .00），标项3人民币玖仟柒佰贰拾贰元整（￥9722 .00），标项4人民币玖仟柒佰贰拾贰元整（￥9722 .00），由中标人全额支付。在中标通知书发出后当日内一次性结清。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答疑与澄清：投标人如认为招标文件表述不清晰、存在歧视性、排他性或者其他违法内容的，应当于2022年7月5日17:00前，以书面形式要求招标采购单位作出书面解释、澄清或者向招标采购单位提出书面质疑；招标采购单位将于2022年7月7日前组织答疑；答疑内容是招标文件的组成部份，将在网上发布补充（答疑、澄清）文件，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投标文件份数：1、“电子加密投标文件”：在线上传递交、一份。2、 “备份投标文件”：一份。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。供应商应于2022年7月12日</w:t>
            </w:r>
            <w:r>
              <w:rPr>
                <w:rFonts w:hint="eastAsia" w:ascii="宋体" w:hAnsi="宋体"/>
                <w:sz w:val="24"/>
              </w:rPr>
              <w:fldChar w:fldCharType="end"/>
            </w:r>
            <w:r>
              <w:rPr>
                <w:rFonts w:hint="eastAsia" w:ascii="宋体" w:hAnsi="宋体"/>
                <w:sz w:val="24"/>
              </w:rPr>
              <w:t>17：00时前准时送达，拒绝到付。以收件人实际签收时间为准，逾期送达的将拒绝接收。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电子加密投标文件的解密和异常情况处理：</w:t>
            </w:r>
          </w:p>
          <w:p>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开标时间及地点：2022年7</w:t>
            </w:r>
            <w:r>
              <w:rPr>
                <w:rFonts w:hint="eastAsia" w:ascii="宋体" w:hAnsi="宋体" w:cs="仿宋"/>
                <w:sz w:val="24"/>
              </w:rPr>
              <w:t>月13日</w:t>
            </w:r>
            <w:r>
              <w:rPr>
                <w:rFonts w:hint="eastAsia" w:ascii="宋体" w:hAnsi="宋体"/>
                <w:sz w:val="24"/>
              </w:rPr>
              <w:t>9：00整</w:t>
            </w:r>
          </w:p>
          <w:p>
            <w:pPr>
              <w:widowControl/>
              <w:jc w:val="left"/>
              <w:rPr>
                <w:rFonts w:ascii="宋体" w:hAnsi="宋体"/>
                <w:sz w:val="24"/>
              </w:rPr>
            </w:pPr>
            <w:r>
              <w:rPr>
                <w:rFonts w:hint="eastAsia" w:ascii="宋体" w:hAnsi="宋体"/>
                <w:sz w:val="24"/>
              </w:rPr>
              <w:t>湖州市吴兴区公共资源交易中心（湖州市吴兴区区府路1188号总部自由港E幢4楼）401开标室，供应商应在响应截止时间前登入“政府采购云平台（www.zcygov.cn）”在线参与开标，并完成CA锁在线解密响应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中标公告：中标供应商确定后，中标公告于“浙江省政府采购网”(http://zfcg.czt.zj.gov.cn/)和吴兴区人民政府网http://www.wuxing.gov.cn/首页“吴兴区公共资源交易中心”专栏。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本项目的履约保证金为合同价的2.5%；履约保证金形式为：现金或银行、保险公司出具的保函；中标人应根据采购人要求汇入采购人指定账号或提供保函。项目终验合格后，退还履约保证金。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Arial"/>
                <w:sz w:val="24"/>
              </w:rPr>
            </w:pPr>
            <w:r>
              <w:rPr>
                <w:rFonts w:hint="eastAsia" w:ascii="宋体" w:hAnsi="宋体"/>
                <w:sz w:val="24"/>
              </w:rPr>
              <w:t xml:space="preserve">招标单位：湖州市吴兴区教育局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解释：本招标文件的解释权属于招标采购单位</w:t>
            </w:r>
          </w:p>
        </w:tc>
      </w:tr>
    </w:tbl>
    <w:p>
      <w:pPr>
        <w:pStyle w:val="18"/>
        <w:snapToGrid w:val="0"/>
        <w:spacing w:beforeLines="0" w:afterLines="0" w:line="360" w:lineRule="auto"/>
        <w:rPr>
          <w:rFonts w:hAnsi="宋体"/>
          <w:b/>
          <w:sz w:val="28"/>
          <w:szCs w:val="28"/>
        </w:rPr>
      </w:pPr>
      <w:r>
        <w:rPr>
          <w:rFonts w:hint="eastAsia" w:hAnsi="宋体"/>
          <w:b/>
          <w:sz w:val="28"/>
          <w:szCs w:val="28"/>
        </w:rPr>
        <w:t>一   总  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本招标文件适用于湖州市吴兴区教育局升降式课桌椅项目的招标、评标、定标、验收、合同履约、付款等（法律、法规另有规定的，从其规定）。</w:t>
      </w:r>
    </w:p>
    <w:p>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（湖州市吴兴区教育局）</w:t>
      </w:r>
      <w:r>
        <w:rPr>
          <w:rFonts w:ascii="宋体" w:hAnsi="宋体"/>
          <w:sz w:val="24"/>
        </w:rPr>
        <w:t>。</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pPr>
        <w:pStyle w:val="14"/>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sz w:val="24"/>
        </w:rPr>
      </w:pPr>
      <w:r>
        <w:rPr>
          <w:rFonts w:hint="eastAsia" w:ascii="宋体" w:hAnsi="宋体"/>
          <w:sz w:val="24"/>
        </w:rPr>
        <w:t>2.本项目招标代理服务费收取:标项1人民币玖仟柒佰贰拾贰元整（￥9722 .00），标项2人民币玖仟柒佰贰拾贰元整（￥9722 .00），标项3人民币玖仟柒佰贰拾贰元整（￥9722 .00），标项4人民币玖仟柒佰贰拾贰元整（￥9722 .00），由中标人全额支付。在</w:t>
      </w:r>
      <w:r>
        <w:rPr>
          <w:rFonts w:hint="eastAsia" w:ascii="宋体" w:hAnsi="宋体"/>
          <w:bCs/>
          <w:sz w:val="24"/>
        </w:rPr>
        <w:t>中标通知书发出后</w:t>
      </w:r>
      <w:r>
        <w:rPr>
          <w:rFonts w:hint="eastAsia" w:ascii="宋体" w:hAnsi="宋体"/>
          <w:sz w:val="24"/>
        </w:rPr>
        <w:t>当日内一次性结清。</w:t>
      </w:r>
    </w:p>
    <w:p>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pPr>
        <w:snapToGrid w:val="0"/>
        <w:spacing w:line="360" w:lineRule="auto"/>
        <w:ind w:firstLine="720" w:firstLineChars="300"/>
        <w:jc w:val="left"/>
        <w:rPr>
          <w:rFonts w:ascii="宋体" w:hAnsi="宋体" w:cs="Arial"/>
          <w:sz w:val="24"/>
        </w:rPr>
      </w:pPr>
      <w:r>
        <w:rPr>
          <w:rFonts w:hint="eastAsia" w:ascii="宋体" w:hAnsi="宋体" w:cs="Arial"/>
          <w:sz w:val="24"/>
        </w:rPr>
        <w:t>1.本项目接受联合体投标。</w:t>
      </w:r>
    </w:p>
    <w:p>
      <w:pPr>
        <w:snapToGrid w:val="0"/>
        <w:spacing w:line="360" w:lineRule="auto"/>
        <w:ind w:firstLine="720" w:firstLineChars="300"/>
        <w:jc w:val="left"/>
        <w:rPr>
          <w:rFonts w:ascii="宋体" w:hAnsi="宋体"/>
          <w:sz w:val="24"/>
        </w:rPr>
      </w:pPr>
      <w:r>
        <w:rPr>
          <w:rFonts w:hint="eastAsia" w:ascii="宋体" w:hAnsi="宋体"/>
          <w:sz w:val="24"/>
        </w:rPr>
        <w:t>2.由两个以上的投标人组成一个联合体以一个投标人身份共同投标时，应符合下列要求：</w:t>
      </w:r>
    </w:p>
    <w:p>
      <w:pPr>
        <w:snapToGrid w:val="0"/>
        <w:spacing w:line="360" w:lineRule="auto"/>
        <w:ind w:firstLine="470" w:firstLineChars="196"/>
        <w:rPr>
          <w:rFonts w:ascii="宋体" w:hAnsi="宋体"/>
          <w:sz w:val="24"/>
        </w:rPr>
      </w:pPr>
      <w:r>
        <w:rPr>
          <w:rFonts w:hint="eastAsia" w:ascii="宋体" w:hAnsi="宋体"/>
          <w:sz w:val="24"/>
        </w:rPr>
        <w:t>1）投标人的投标文件及中标后签署的合同对联合体各方均具有法律约束力；</w:t>
      </w:r>
    </w:p>
    <w:p>
      <w:pPr>
        <w:snapToGrid w:val="0"/>
        <w:spacing w:line="360" w:lineRule="auto"/>
        <w:ind w:firstLine="470" w:firstLineChars="196"/>
        <w:rPr>
          <w:rFonts w:ascii="宋体" w:hAnsi="宋体"/>
          <w:sz w:val="24"/>
        </w:rPr>
      </w:pPr>
      <w:r>
        <w:rPr>
          <w:rFonts w:hint="eastAsia" w:ascii="宋体" w:hAnsi="宋体"/>
          <w:sz w:val="24"/>
        </w:rPr>
        <w:t>2）联合体各方应签订共同投标协议，明确约定各方拟承担的工作和责任，并将该共同投标协议随投标文件一并提交采购人；</w:t>
      </w:r>
    </w:p>
    <w:p>
      <w:pPr>
        <w:snapToGrid w:val="0"/>
        <w:spacing w:line="360" w:lineRule="auto"/>
        <w:ind w:firstLine="470" w:firstLineChars="196"/>
        <w:rPr>
          <w:rFonts w:ascii="宋体" w:hAnsi="宋体"/>
          <w:sz w:val="24"/>
        </w:rPr>
      </w:pPr>
      <w:r>
        <w:rPr>
          <w:rFonts w:hint="eastAsia" w:ascii="宋体" w:hAnsi="宋体"/>
          <w:sz w:val="24"/>
        </w:rPr>
        <w:t>3）联合体中标后，联合体各方应当共同与采购人签订合同，为履行合同向采购人承担连带责任；</w:t>
      </w:r>
    </w:p>
    <w:p>
      <w:pPr>
        <w:snapToGrid w:val="0"/>
        <w:spacing w:line="360" w:lineRule="auto"/>
        <w:ind w:firstLine="470" w:firstLineChars="196"/>
        <w:rPr>
          <w:rFonts w:ascii="宋体" w:hAnsi="宋体"/>
          <w:sz w:val="24"/>
        </w:rPr>
      </w:pPr>
      <w:r>
        <w:rPr>
          <w:rFonts w:hint="eastAsia" w:ascii="宋体" w:hAnsi="宋体"/>
          <w:sz w:val="24"/>
        </w:rPr>
        <w:t>4）联合体的各方应共同推荐一名联合体主办人，由联合体各方各提交一份授权书，证明其主办人资格，该授权书作为投标文件的组成部分一并提交采购人；</w:t>
      </w:r>
    </w:p>
    <w:p>
      <w:pPr>
        <w:snapToGrid w:val="0"/>
        <w:spacing w:line="360" w:lineRule="auto"/>
        <w:ind w:firstLine="470" w:firstLineChars="196"/>
        <w:rPr>
          <w:rFonts w:ascii="宋体" w:hAnsi="宋体"/>
          <w:sz w:val="24"/>
        </w:rPr>
      </w:pPr>
      <w:r>
        <w:rPr>
          <w:rFonts w:hint="eastAsia" w:ascii="宋体" w:hAnsi="宋体"/>
          <w:sz w:val="24"/>
        </w:rPr>
        <w:t>5）除非另有规定或说明，本须知中“投标人”一词亦指联合体各方。</w:t>
      </w:r>
    </w:p>
    <w:p>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本项目可以分包</w:t>
      </w:r>
      <w:r>
        <w:rPr>
          <w:rFonts w:hint="eastAsia" w:ascii="宋体" w:hAnsi="宋体" w:cs="宋体"/>
          <w:kern w:val="0"/>
          <w:sz w:val="24"/>
        </w:rPr>
        <w:t>。</w:t>
      </w:r>
    </w:p>
    <w:p>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18"/>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pPr>
        <w:pStyle w:val="18"/>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pPr>
        <w:pStyle w:val="18"/>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且民事赔偿并不免除违法投标人的行政与刑事责任。</w:t>
      </w:r>
    </w:p>
    <w:p>
      <w:pPr>
        <w:pStyle w:val="18"/>
        <w:snapToGrid w:val="0"/>
        <w:spacing w:beforeLines="0" w:afterLines="0" w:line="360" w:lineRule="auto"/>
        <w:ind w:firstLine="472" w:firstLineChars="196"/>
        <w:outlineLvl w:val="1"/>
        <w:rPr>
          <w:rFonts w:hAnsi="宋体"/>
          <w:b/>
          <w:bCs/>
        </w:rPr>
      </w:pPr>
      <w:r>
        <w:rPr>
          <w:rFonts w:hAnsi="宋体"/>
          <w:b/>
          <w:bCs/>
        </w:rPr>
        <w:t>（九）质疑和投诉</w:t>
      </w:r>
    </w:p>
    <w:p>
      <w:pPr>
        <w:pStyle w:val="18"/>
        <w:snapToGrid w:val="0"/>
        <w:spacing w:beforeLines="0" w:afterLines="0" w:line="360" w:lineRule="auto"/>
        <w:ind w:left="2" w:leftChars="1" w:firstLine="480" w:firstLineChars="200"/>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int="eastAsia" w:hAnsi="宋体"/>
        </w:rPr>
        <w:t>，并电话联系代理公司，由代理公司书面回复“已知悉”，否则代理公司有权不予认可该质疑</w:t>
      </w:r>
      <w:r>
        <w:rPr>
          <w:rFonts w:hAnsi="宋体"/>
        </w:rPr>
        <w:t>。</w:t>
      </w:r>
    </w:p>
    <w:p>
      <w:pPr>
        <w:pStyle w:val="18"/>
        <w:snapToGrid w:val="0"/>
        <w:spacing w:beforeLines="0" w:afterLines="0" w:line="360" w:lineRule="auto"/>
        <w:ind w:left="2" w:leftChars="1" w:firstLine="480" w:firstLineChars="200"/>
        <w:rPr>
          <w:rFonts w:hAnsi="宋体"/>
        </w:rPr>
      </w:pPr>
      <w:r>
        <w:rPr>
          <w:rFonts w:hint="eastAsia" w:hAnsi="宋体"/>
        </w:rPr>
        <w:t>供应商在法定质疑期内一次性提出针对同一采购程序环节的质疑。</w:t>
      </w:r>
    </w:p>
    <w:p>
      <w:pPr>
        <w:pStyle w:val="18"/>
        <w:snapToGrid w:val="0"/>
        <w:spacing w:beforeLines="0" w:afterLines="0" w:line="360" w:lineRule="auto"/>
        <w:ind w:left="2" w:leftChars="1" w:firstLine="480" w:firstLineChars="200"/>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做出答复的，可以在答复期满后十五个工作日内向同级采购监管部门提起投诉。</w:t>
      </w:r>
    </w:p>
    <w:p>
      <w:pPr>
        <w:pStyle w:val="18"/>
        <w:snapToGrid w:val="0"/>
        <w:spacing w:beforeLines="0" w:afterLines="0" w:line="360" w:lineRule="auto"/>
        <w:ind w:left="2" w:leftChars="1" w:firstLine="480" w:firstLineChars="200"/>
        <w:rPr>
          <w:rFonts w:hAnsi="宋体"/>
        </w:rPr>
      </w:pPr>
      <w:r>
        <w:rPr>
          <w:rFonts w:hint="eastAsia" w:hAnsi="宋体"/>
        </w:rPr>
        <w:t>2.供应商提出质疑应当提交质疑函和必要的证明材料。质疑函应当包括下列内容：</w:t>
      </w:r>
    </w:p>
    <w:p>
      <w:pPr>
        <w:pStyle w:val="18"/>
        <w:snapToGrid w:val="0"/>
        <w:spacing w:beforeLines="0" w:afterLines="0" w:line="360" w:lineRule="auto"/>
        <w:ind w:left="2" w:leftChars="1" w:firstLine="480" w:firstLineChars="200"/>
        <w:rPr>
          <w:rFonts w:hAnsi="宋体"/>
        </w:rPr>
      </w:pPr>
      <w:r>
        <w:rPr>
          <w:rFonts w:hint="eastAsia" w:hAnsi="宋体"/>
        </w:rPr>
        <w:t>1）供应商的姓名或者名称、地址、邮编、联系人及联系电话；</w:t>
      </w:r>
    </w:p>
    <w:p>
      <w:pPr>
        <w:pStyle w:val="18"/>
        <w:snapToGrid w:val="0"/>
        <w:spacing w:beforeLines="0" w:afterLines="0" w:line="360" w:lineRule="auto"/>
        <w:ind w:left="2" w:leftChars="1" w:firstLine="480" w:firstLineChars="200"/>
        <w:rPr>
          <w:rFonts w:hAnsi="宋体"/>
        </w:rPr>
      </w:pPr>
      <w:r>
        <w:rPr>
          <w:rFonts w:hint="eastAsia" w:hAnsi="宋体"/>
        </w:rPr>
        <w:t>2）质疑项目的名称、编号；</w:t>
      </w:r>
    </w:p>
    <w:p>
      <w:pPr>
        <w:pStyle w:val="18"/>
        <w:snapToGrid w:val="0"/>
        <w:spacing w:beforeLines="0" w:afterLines="0" w:line="360" w:lineRule="auto"/>
        <w:ind w:left="2" w:leftChars="1" w:firstLine="480" w:firstLineChars="200"/>
        <w:rPr>
          <w:rFonts w:hAnsi="宋体"/>
        </w:rPr>
      </w:pPr>
      <w:r>
        <w:rPr>
          <w:rFonts w:hint="eastAsia" w:hAnsi="宋体"/>
        </w:rPr>
        <w:t>3）具体、明确的质疑事项和与质疑事项相关的请求；</w:t>
      </w:r>
    </w:p>
    <w:p>
      <w:pPr>
        <w:pStyle w:val="18"/>
        <w:snapToGrid w:val="0"/>
        <w:spacing w:beforeLines="0" w:afterLines="0" w:line="360" w:lineRule="auto"/>
        <w:ind w:left="2" w:leftChars="1" w:firstLine="480" w:firstLineChars="200"/>
        <w:rPr>
          <w:rFonts w:hAnsi="宋体"/>
        </w:rPr>
      </w:pPr>
      <w:r>
        <w:rPr>
          <w:rFonts w:hint="eastAsia" w:hAnsi="宋体"/>
        </w:rPr>
        <w:t>4）事实依据；</w:t>
      </w:r>
    </w:p>
    <w:p>
      <w:pPr>
        <w:pStyle w:val="18"/>
        <w:snapToGrid w:val="0"/>
        <w:spacing w:beforeLines="0" w:afterLines="0" w:line="360" w:lineRule="auto"/>
        <w:ind w:left="2" w:leftChars="1" w:firstLine="480" w:firstLineChars="200"/>
        <w:rPr>
          <w:rFonts w:hAnsi="宋体"/>
        </w:rPr>
      </w:pPr>
      <w:r>
        <w:rPr>
          <w:rFonts w:hint="eastAsia" w:hAnsi="宋体"/>
        </w:rPr>
        <w:t>5）必要的法律依据；</w:t>
      </w:r>
    </w:p>
    <w:p>
      <w:pPr>
        <w:pStyle w:val="18"/>
        <w:snapToGrid w:val="0"/>
        <w:spacing w:beforeLines="0" w:afterLines="0" w:line="360" w:lineRule="auto"/>
        <w:ind w:left="2" w:leftChars="1" w:firstLine="480" w:firstLineChars="200"/>
        <w:rPr>
          <w:rFonts w:hAnsi="宋体"/>
        </w:rPr>
      </w:pPr>
      <w:r>
        <w:rPr>
          <w:rFonts w:hint="eastAsia" w:hAnsi="宋体"/>
        </w:rPr>
        <w:t>6）提出质疑的日期。</w:t>
      </w:r>
    </w:p>
    <w:p>
      <w:pPr>
        <w:pStyle w:val="18"/>
        <w:snapToGrid w:val="0"/>
        <w:spacing w:beforeLines="0" w:afterLines="0" w:line="360" w:lineRule="auto"/>
        <w:ind w:left="2" w:leftChars="1" w:firstLine="480" w:firstLineChars="200"/>
        <w:rPr>
          <w:rFonts w:hAnsi="宋体"/>
        </w:rPr>
      </w:pPr>
      <w:r>
        <w:rPr>
          <w:rFonts w:hint="eastAsia" w:hAnsi="宋体"/>
        </w:rPr>
        <w:t>3.投诉人提起投诉应当符合下列条件：</w:t>
      </w:r>
    </w:p>
    <w:p>
      <w:pPr>
        <w:pStyle w:val="18"/>
        <w:snapToGrid w:val="0"/>
        <w:spacing w:beforeLines="0" w:afterLines="0" w:line="360" w:lineRule="auto"/>
        <w:ind w:left="2" w:leftChars="1" w:firstLine="480" w:firstLineChars="200"/>
        <w:rPr>
          <w:rFonts w:hAnsi="宋体"/>
        </w:rPr>
      </w:pPr>
      <w:r>
        <w:rPr>
          <w:rFonts w:hint="eastAsia" w:hAnsi="宋体"/>
        </w:rPr>
        <w:t>1）提起投诉前已依法进行质疑；</w:t>
      </w:r>
    </w:p>
    <w:p>
      <w:pPr>
        <w:pStyle w:val="18"/>
        <w:snapToGrid w:val="0"/>
        <w:spacing w:beforeLines="0" w:afterLines="0" w:line="360" w:lineRule="auto"/>
        <w:ind w:left="2" w:leftChars="1" w:firstLine="480" w:firstLineChars="200"/>
        <w:rPr>
          <w:rFonts w:hAnsi="宋体"/>
        </w:rPr>
      </w:pPr>
      <w:r>
        <w:rPr>
          <w:rFonts w:hint="eastAsia" w:hAnsi="宋体"/>
        </w:rPr>
        <w:t>2）投诉书内容符合本办法的规定；</w:t>
      </w:r>
    </w:p>
    <w:p>
      <w:pPr>
        <w:pStyle w:val="18"/>
        <w:snapToGrid w:val="0"/>
        <w:spacing w:beforeLines="0" w:afterLines="0" w:line="360" w:lineRule="auto"/>
        <w:ind w:left="2" w:leftChars="1" w:firstLine="480" w:firstLineChars="200"/>
        <w:rPr>
          <w:rFonts w:hAnsi="宋体"/>
        </w:rPr>
      </w:pPr>
      <w:r>
        <w:rPr>
          <w:rFonts w:hint="eastAsia" w:hAnsi="宋体"/>
        </w:rPr>
        <w:t>3）在投诉有效期限内提起投诉；</w:t>
      </w:r>
    </w:p>
    <w:p>
      <w:pPr>
        <w:pStyle w:val="18"/>
        <w:snapToGrid w:val="0"/>
        <w:spacing w:beforeLines="0" w:afterLines="0" w:line="360" w:lineRule="auto"/>
        <w:ind w:left="2" w:leftChars="1" w:firstLine="480" w:firstLineChars="200"/>
        <w:rPr>
          <w:rFonts w:hAnsi="宋体"/>
        </w:rPr>
      </w:pPr>
      <w:r>
        <w:rPr>
          <w:rFonts w:hint="eastAsia" w:hAnsi="宋体"/>
        </w:rPr>
        <w:t>4）同一投诉事项未经财政部门投诉处理；</w:t>
      </w:r>
    </w:p>
    <w:p>
      <w:pPr>
        <w:pStyle w:val="18"/>
        <w:snapToGrid w:val="0"/>
        <w:spacing w:beforeLines="0" w:afterLines="0" w:line="360" w:lineRule="auto"/>
        <w:ind w:left="2" w:leftChars="1" w:firstLine="480" w:firstLineChars="200"/>
        <w:rPr>
          <w:rFonts w:hAnsi="宋体"/>
        </w:rPr>
      </w:pPr>
      <w:r>
        <w:rPr>
          <w:rFonts w:hint="eastAsia" w:hAnsi="宋体"/>
        </w:rPr>
        <w:t>5）财政部规定的其他条件。</w:t>
      </w:r>
    </w:p>
    <w:p>
      <w:pPr>
        <w:pStyle w:val="18"/>
        <w:snapToGrid w:val="0"/>
        <w:spacing w:beforeLines="0" w:afterLines="0" w:line="360" w:lineRule="auto"/>
        <w:ind w:left="2" w:leftChars="1" w:firstLine="480" w:firstLineChars="200"/>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pPr>
        <w:pStyle w:val="18"/>
        <w:snapToGrid w:val="0"/>
        <w:spacing w:beforeLines="0" w:afterLines="0" w:line="360" w:lineRule="auto"/>
        <w:ind w:left="2" w:leftChars="1" w:firstLine="480" w:firstLineChars="200"/>
        <w:rPr>
          <w:rFonts w:hAnsi="宋体"/>
        </w:rPr>
      </w:pPr>
      <w:r>
        <w:rPr>
          <w:rFonts w:hint="eastAsia" w:hAnsi="宋体"/>
        </w:rPr>
        <w:t>1）投诉人和被投诉人的姓名或者名称、通讯地址、邮编、联系人及联系电话；</w:t>
      </w:r>
    </w:p>
    <w:p>
      <w:pPr>
        <w:pStyle w:val="18"/>
        <w:snapToGrid w:val="0"/>
        <w:spacing w:beforeLines="0" w:afterLines="0" w:line="360" w:lineRule="auto"/>
        <w:ind w:left="2" w:leftChars="1" w:firstLine="480" w:firstLineChars="200"/>
        <w:rPr>
          <w:rFonts w:hAnsi="宋体"/>
        </w:rPr>
      </w:pPr>
      <w:r>
        <w:rPr>
          <w:rFonts w:hint="eastAsia" w:hAnsi="宋体"/>
        </w:rPr>
        <w:t>2）质疑和质疑答复情况说明及相关证明材料；</w:t>
      </w:r>
    </w:p>
    <w:p>
      <w:pPr>
        <w:pStyle w:val="18"/>
        <w:snapToGrid w:val="0"/>
        <w:spacing w:beforeLines="0" w:afterLines="0" w:line="360" w:lineRule="auto"/>
        <w:ind w:left="2" w:leftChars="1" w:firstLine="480" w:firstLineChars="200"/>
        <w:rPr>
          <w:rFonts w:hAnsi="宋体"/>
        </w:rPr>
      </w:pPr>
      <w:r>
        <w:rPr>
          <w:rFonts w:hint="eastAsia" w:hAnsi="宋体"/>
        </w:rPr>
        <w:t>3）具体、明确的投诉事项和与投诉事项相关的投诉请求；</w:t>
      </w:r>
    </w:p>
    <w:p>
      <w:pPr>
        <w:pStyle w:val="18"/>
        <w:snapToGrid w:val="0"/>
        <w:spacing w:beforeLines="0" w:afterLines="0" w:line="360" w:lineRule="auto"/>
        <w:ind w:left="2" w:leftChars="1" w:firstLine="480" w:firstLineChars="200"/>
        <w:rPr>
          <w:rFonts w:hAnsi="宋体"/>
        </w:rPr>
      </w:pPr>
      <w:r>
        <w:rPr>
          <w:rFonts w:hint="eastAsia" w:hAnsi="宋体"/>
        </w:rPr>
        <w:t>4）事实依据；</w:t>
      </w:r>
    </w:p>
    <w:p>
      <w:pPr>
        <w:pStyle w:val="18"/>
        <w:snapToGrid w:val="0"/>
        <w:spacing w:beforeLines="0" w:afterLines="0" w:line="360" w:lineRule="auto"/>
        <w:ind w:left="2" w:leftChars="1" w:firstLine="480" w:firstLineChars="200"/>
        <w:rPr>
          <w:rFonts w:hAnsi="宋体"/>
        </w:rPr>
      </w:pPr>
      <w:r>
        <w:rPr>
          <w:rFonts w:hint="eastAsia" w:hAnsi="宋体"/>
        </w:rPr>
        <w:t>5）法律依据；</w:t>
      </w:r>
    </w:p>
    <w:p>
      <w:pPr>
        <w:pStyle w:val="18"/>
        <w:snapToGrid w:val="0"/>
        <w:spacing w:beforeLines="0" w:afterLines="0" w:line="360" w:lineRule="auto"/>
        <w:ind w:left="2" w:leftChars="1" w:firstLine="480" w:firstLineChars="200"/>
        <w:rPr>
          <w:rFonts w:hAnsi="宋体"/>
        </w:rPr>
      </w:pPr>
      <w:r>
        <w:rPr>
          <w:rFonts w:hint="eastAsia" w:hAnsi="宋体"/>
        </w:rPr>
        <w:t>6）提起投诉的日期。</w:t>
      </w:r>
    </w:p>
    <w:p>
      <w:pPr>
        <w:pStyle w:val="18"/>
        <w:snapToGrid w:val="0"/>
        <w:spacing w:beforeLines="0" w:afterLines="0" w:line="360" w:lineRule="auto"/>
        <w:ind w:left="2" w:leftChars="1" w:firstLine="480" w:firstLineChars="200"/>
        <w:rPr>
          <w:rFonts w:hAnsi="宋体"/>
        </w:rPr>
      </w:pPr>
      <w:r>
        <w:rPr>
          <w:rFonts w:hAnsi="宋体"/>
        </w:rPr>
        <w:t>质疑供应商对采购人、采购代理机构的答复不满意，或者采购人、采购代理机构未在规定时间内做出答复的，可以在答复期满后15个工作日内向本办法第六条规定的财政部门提起投诉。</w:t>
      </w:r>
    </w:p>
    <w:p>
      <w:pPr>
        <w:pStyle w:val="18"/>
        <w:snapToGrid w:val="0"/>
        <w:spacing w:beforeLines="0" w:afterLines="0" w:line="360" w:lineRule="auto"/>
        <w:ind w:left="2" w:leftChars="1" w:firstLine="480" w:firstLineChars="200"/>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18"/>
        <w:snapToGrid w:val="0"/>
        <w:spacing w:beforeLines="0" w:afterLines="0" w:line="360" w:lineRule="auto"/>
        <w:ind w:left="2" w:leftChars="1" w:firstLine="480" w:firstLineChars="200"/>
        <w:rPr>
          <w:rFonts w:hAnsi="宋体"/>
        </w:rPr>
      </w:pPr>
      <w:r>
        <w:rPr>
          <w:rFonts w:hint="eastAsia" w:hAnsi="宋体"/>
        </w:rPr>
        <w:t>5.质疑函须采用财政部发布的政府采购供应商质疑函范本（参考样式可从</w:t>
      </w:r>
      <w:r>
        <w:rPr>
          <w:rFonts w:hAnsi="宋体"/>
        </w:rPr>
        <w:t>浙江政府采购网下载专区下载</w:t>
      </w:r>
      <w:r>
        <w:rPr>
          <w:rFonts w:hint="eastAsia" w:hAnsi="宋体"/>
        </w:rPr>
        <w:t>），否则采购代理机构有权要求质疑供应商改正后重新提出。</w:t>
      </w:r>
    </w:p>
    <w:p>
      <w:pPr>
        <w:pStyle w:val="18"/>
        <w:snapToGrid w:val="0"/>
        <w:spacing w:beforeLines="0" w:afterLines="0" w:line="360" w:lineRule="auto"/>
        <w:ind w:firstLine="551" w:firstLineChars="196"/>
        <w:outlineLvl w:val="0"/>
        <w:rPr>
          <w:rFonts w:hAnsi="宋体"/>
          <w:b/>
          <w:sz w:val="28"/>
          <w:szCs w:val="28"/>
        </w:rPr>
      </w:pPr>
      <w:r>
        <w:rPr>
          <w:rFonts w:hAnsi="宋体"/>
          <w:b/>
          <w:sz w:val="28"/>
          <w:szCs w:val="28"/>
        </w:rPr>
        <w:t>二  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pPr>
        <w:pStyle w:val="26"/>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7"/>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u w:val="single"/>
        </w:rPr>
        <w:t>2022年</w:t>
      </w:r>
      <w:r>
        <w:rPr>
          <w:rFonts w:hint="eastAsia" w:hAnsi="宋体" w:cs="宋体"/>
          <w:bCs/>
        </w:rPr>
        <w:t>7月5日</w:t>
      </w:r>
      <w:r>
        <w:rPr>
          <w:rFonts w:hint="eastAsia" w:hAnsi="宋体"/>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pPr>
        <w:pStyle w:val="18"/>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8"/>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8"/>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szCs w:val="22"/>
        </w:rPr>
        <w:t>《</w:t>
      </w:r>
      <w:r>
        <w:rPr>
          <w:rFonts w:hint="eastAsia" w:ascii="宋体" w:hAnsi="宋体"/>
          <w:sz w:val="24"/>
        </w:rPr>
        <w:t>资格文件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技术/资信/商务文件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投标报价</w:t>
      </w:r>
      <w:r>
        <w:rPr>
          <w:rFonts w:hint="eastAsia" w:ascii="宋体" w:hAnsi="宋体" w:cs="宋体"/>
          <w:sz w:val="22"/>
          <w:szCs w:val="22"/>
        </w:rPr>
        <w:t>》</w:t>
      </w:r>
      <w:r>
        <w:rPr>
          <w:rFonts w:hint="eastAsia" w:ascii="宋体" w:hAnsi="宋体"/>
          <w:sz w:val="24"/>
        </w:rPr>
        <w:t>文件三部分组成。（电子投标文件中所盖公章均采用CA签章）。</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r>
        <w:rPr>
          <w:rFonts w:hint="eastAsia" w:ascii="宋体" w:hAnsi="宋体"/>
          <w:b/>
          <w:sz w:val="24"/>
        </w:rPr>
        <w:t>如</w:t>
      </w:r>
      <w:r>
        <w:rPr>
          <w:rFonts w:ascii="宋体" w:hAnsi="宋体"/>
          <w:b/>
          <w:sz w:val="24"/>
        </w:rPr>
        <w:t>组成联合体</w:t>
      </w:r>
      <w:r>
        <w:rPr>
          <w:rFonts w:hint="eastAsia" w:ascii="宋体" w:hAnsi="宋体"/>
          <w:b/>
          <w:sz w:val="24"/>
        </w:rPr>
        <w:t>投标</w:t>
      </w:r>
      <w:r>
        <w:rPr>
          <w:rFonts w:ascii="宋体" w:hAnsi="宋体"/>
          <w:b/>
          <w:sz w:val="24"/>
        </w:rPr>
        <w:t>的，</w:t>
      </w:r>
      <w:r>
        <w:rPr>
          <w:rFonts w:hint="eastAsia" w:ascii="宋体" w:hAnsi="宋体"/>
          <w:b/>
          <w:sz w:val="24"/>
        </w:rPr>
        <w:t>需提供</w:t>
      </w:r>
      <w:r>
        <w:rPr>
          <w:rFonts w:ascii="宋体" w:hAnsi="宋体"/>
          <w:b/>
          <w:sz w:val="24"/>
        </w:rPr>
        <w:t>联合体各方</w:t>
      </w:r>
      <w:r>
        <w:rPr>
          <w:rFonts w:hint="eastAsia" w:ascii="宋体" w:hAnsi="宋体"/>
          <w:b/>
          <w:sz w:val="24"/>
        </w:rPr>
        <w:t>资料)</w:t>
      </w:r>
    </w:p>
    <w:p>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pPr>
        <w:spacing w:line="360" w:lineRule="auto"/>
        <w:ind w:firstLine="470" w:firstLineChars="196"/>
        <w:jc w:val="left"/>
        <w:rPr>
          <w:rFonts w:ascii="宋体" w:hAnsi="宋体"/>
          <w:sz w:val="24"/>
        </w:rPr>
      </w:pPr>
      <w:r>
        <w:rPr>
          <w:rFonts w:hint="eastAsia" w:ascii="宋体" w:hAnsi="宋体"/>
          <w:sz w:val="24"/>
        </w:rPr>
        <w:t>（2）投标人基本情况介绍；</w:t>
      </w:r>
    </w:p>
    <w:p>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法定代表人授权委托书(格式见附件)及授权代理人社保证明复印件（社保机构出具的由本单位或分公司为其缴纳的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（如</w:t>
      </w:r>
      <w:r>
        <w:rPr>
          <w:rFonts w:ascii="Calibri" w:hAnsi="Calibri"/>
          <w:snapToGrid w:val="0"/>
          <w:sz w:val="24"/>
        </w:rPr>
        <w:t>组成联合体</w:t>
      </w:r>
      <w:r>
        <w:rPr>
          <w:rFonts w:hint="eastAsia"/>
          <w:snapToGrid w:val="0"/>
          <w:sz w:val="24"/>
        </w:rPr>
        <w:t>投标</w:t>
      </w:r>
      <w:r>
        <w:rPr>
          <w:rFonts w:ascii="Calibri" w:hAnsi="Calibri"/>
          <w:snapToGrid w:val="0"/>
          <w:sz w:val="24"/>
        </w:rPr>
        <w:t>的，</w:t>
      </w:r>
      <w:r>
        <w:rPr>
          <w:rFonts w:hint="eastAsia" w:ascii="宋体" w:hAnsi="宋体"/>
          <w:sz w:val="24"/>
        </w:rPr>
        <w:t>联合体各方各提交一份联合体主办人授权书）；</w:t>
      </w:r>
    </w:p>
    <w:p>
      <w:pPr>
        <w:snapToGrid w:val="0"/>
        <w:spacing w:line="360" w:lineRule="auto"/>
        <w:ind w:firstLine="480" w:firstLineChars="200"/>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（5）有效的营业执照副本（复印件各一份）；</w:t>
      </w:r>
    </w:p>
    <w:p>
      <w:pPr>
        <w:widowControl/>
        <w:spacing w:line="360" w:lineRule="auto"/>
        <w:ind w:right="60" w:firstLine="480" w:firstLineChars="200"/>
        <w:rPr>
          <w:rFonts w:ascii="宋体" w:hAnsi="宋体" w:cs="宋体"/>
          <w:sz w:val="24"/>
        </w:rPr>
      </w:pPr>
      <w:r>
        <w:rPr>
          <w:rFonts w:hint="eastAsia" w:ascii="宋体" w:hAnsi="宋体" w:cs="宋体"/>
          <w:sz w:val="24"/>
        </w:rPr>
        <w:t>（6）近二年度（2020,2021年）企业的财务状况报告或银行资信证明（复印件一份）；</w:t>
      </w:r>
    </w:p>
    <w:p>
      <w:pPr>
        <w:spacing w:line="360" w:lineRule="auto"/>
        <w:ind w:firstLine="470" w:firstLineChars="196"/>
        <w:jc w:val="left"/>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pPr>
        <w:spacing w:line="360" w:lineRule="auto"/>
        <w:ind w:firstLine="472" w:firstLineChars="196"/>
        <w:jc w:val="left"/>
        <w:rPr>
          <w:rFonts w:ascii="宋体" w:hAnsi="宋体"/>
          <w:b/>
          <w:sz w:val="24"/>
        </w:rPr>
      </w:pPr>
      <w:r>
        <w:rPr>
          <w:rFonts w:hint="eastAsia" w:ascii="宋体" w:hAnsi="宋体"/>
          <w:b/>
          <w:sz w:val="24"/>
        </w:rPr>
        <w:t>（8）符合政策要求的中小企业，相关企业（含联合体中的中小企业、签订分包意向协议的中小企业）需提供中小企业申明函(监狱企业视同小型、微型企业，提供由省级以上监狱管理局、戒毒管理局(含新疆生产建设兵团)出具的属于监狱企业的证明文件；残疾人福利性单位视同小型、微型企业，提供《残疾人福利性单位声明函》原件）；如大型企业投标，需提供联合体各方共同投标协议或分包意向协议（协议中</w:t>
      </w:r>
      <w:r>
        <w:rPr>
          <w:rFonts w:ascii="宋体" w:hAnsi="宋体"/>
          <w:b/>
          <w:sz w:val="24"/>
        </w:rPr>
        <w:t>合同金额的40%</w:t>
      </w:r>
      <w:r>
        <w:rPr>
          <w:rFonts w:hint="eastAsia" w:ascii="宋体" w:hAnsi="宋体"/>
          <w:b/>
          <w:sz w:val="24"/>
        </w:rPr>
        <w:t>必须分包</w:t>
      </w:r>
      <w:r>
        <w:rPr>
          <w:rFonts w:ascii="宋体" w:hAnsi="宋体"/>
          <w:b/>
          <w:sz w:val="24"/>
        </w:rPr>
        <w:t>给中小微企业</w:t>
      </w:r>
      <w:r>
        <w:rPr>
          <w:rFonts w:hint="eastAsia" w:ascii="宋体" w:hAnsi="宋体"/>
          <w:b/>
          <w:sz w:val="24"/>
        </w:rPr>
        <w:t>，格式自拟），如中小企业投标则无需提供。</w:t>
      </w:r>
    </w:p>
    <w:p>
      <w:pPr>
        <w:spacing w:line="360" w:lineRule="auto"/>
        <w:ind w:firstLine="472" w:firstLineChars="196"/>
        <w:jc w:val="left"/>
        <w:rPr>
          <w:rFonts w:ascii="宋体" w:hAnsi="宋体"/>
          <w:b/>
          <w:bCs/>
          <w:sz w:val="24"/>
        </w:rPr>
      </w:pPr>
      <w:r>
        <w:rPr>
          <w:rFonts w:hint="eastAsia" w:ascii="宋体" w:hAnsi="宋体"/>
          <w:b/>
          <w:sz w:val="24"/>
        </w:rPr>
        <w:t>2.</w:t>
      </w:r>
      <w:r>
        <w:rPr>
          <w:rFonts w:ascii="宋体" w:hAnsi="宋体"/>
          <w:b/>
          <w:bCs/>
          <w:sz w:val="24"/>
        </w:rPr>
        <w:t xml:space="preserve"> 技术文件</w:t>
      </w:r>
    </w:p>
    <w:p>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1）对本项目的总体理解</w:t>
      </w:r>
      <w:r>
        <w:rPr>
          <w:rFonts w:hint="eastAsia" w:ascii="宋体" w:hAnsi="宋体"/>
          <w:sz w:val="24"/>
        </w:rPr>
        <w:t>；</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确保供应货物质量的设施及措施；</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保证交货期的施工组织方案和措施</w:t>
      </w:r>
      <w:r>
        <w:rPr>
          <w:rFonts w:hint="eastAsia" w:ascii="宋体" w:hAnsi="宋体" w:cs="宋体"/>
          <w:kern w:val="0"/>
          <w:sz w:val="24"/>
        </w:rPr>
        <w:t>；</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安装、调试、验收的方案和措施</w:t>
      </w:r>
      <w:r>
        <w:rPr>
          <w:rFonts w:ascii="宋体" w:hAnsi="宋体"/>
          <w:sz w:val="24"/>
        </w:rPr>
        <w:t>；</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5）技术响应表；</w:t>
      </w:r>
    </w:p>
    <w:p>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）项目实施人员一览表</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）投标人对本项目的合理化建议和改进措施</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投标人需要说明的其他文件和说明（格式略）</w:t>
      </w:r>
      <w:r>
        <w:rPr>
          <w:rFonts w:hint="eastAsia" w:ascii="宋体" w:hAnsi="宋体"/>
          <w:sz w:val="24"/>
        </w:rPr>
        <w:t>；</w:t>
      </w:r>
    </w:p>
    <w:p>
      <w:pPr>
        <w:spacing w:line="360" w:lineRule="auto"/>
        <w:ind w:firstLine="472" w:firstLineChars="196"/>
        <w:jc w:val="left"/>
        <w:rPr>
          <w:rFonts w:ascii="宋体" w:hAnsi="宋体"/>
          <w:b/>
          <w:sz w:val="24"/>
        </w:rPr>
      </w:pPr>
      <w:r>
        <w:rPr>
          <w:rFonts w:ascii="宋体" w:hAnsi="宋体"/>
          <w:b/>
          <w:sz w:val="24"/>
        </w:rPr>
        <w:t>资信文件：</w:t>
      </w:r>
    </w:p>
    <w:p>
      <w:pPr>
        <w:numPr>
          <w:ilvl w:val="0"/>
          <w:numId w:val="3"/>
        </w:numPr>
        <w:spacing w:line="360" w:lineRule="auto"/>
        <w:ind w:firstLine="470" w:firstLineChars="196"/>
        <w:jc w:val="left"/>
        <w:rPr>
          <w:rFonts w:ascii="宋体" w:hAnsi="宋体"/>
          <w:sz w:val="24"/>
        </w:rPr>
      </w:pPr>
      <w:r>
        <w:rPr>
          <w:rFonts w:hint="eastAsia" w:ascii="宋体" w:hAnsi="宋体"/>
          <w:sz w:val="24"/>
        </w:rPr>
        <w:t>类似案例成功的业绩（投标人同类项目实施情况一览表、合同复印件）；</w:t>
      </w:r>
    </w:p>
    <w:p>
      <w:pPr>
        <w:numPr>
          <w:ilvl w:val="0"/>
          <w:numId w:val="3"/>
        </w:numPr>
        <w:spacing w:line="360" w:lineRule="auto"/>
        <w:ind w:firstLine="470" w:firstLineChars="196"/>
        <w:jc w:val="left"/>
        <w:rPr>
          <w:rFonts w:ascii="宋体" w:hAnsi="宋体"/>
          <w:sz w:val="24"/>
        </w:rPr>
      </w:pPr>
      <w:r>
        <w:rPr>
          <w:rFonts w:hint="eastAsia" w:ascii="宋体" w:hAnsi="宋体"/>
          <w:sz w:val="24"/>
        </w:rPr>
        <w:t>其他特殊资质证书</w:t>
      </w:r>
      <w:r>
        <w:rPr>
          <w:rFonts w:ascii="宋体" w:hAnsi="宋体"/>
          <w:sz w:val="24"/>
        </w:rPr>
        <w:t>（如</w:t>
      </w:r>
      <w:r>
        <w:rPr>
          <w:rFonts w:hint="eastAsia" w:ascii="宋体" w:hAnsi="宋体"/>
          <w:sz w:val="24"/>
        </w:rPr>
        <w:t>本地化服务能力等）；</w:t>
      </w:r>
    </w:p>
    <w:p>
      <w:pPr>
        <w:snapToGrid w:val="0"/>
        <w:spacing w:line="360" w:lineRule="auto"/>
        <w:ind w:firstLine="480" w:firstLineChars="200"/>
        <w:jc w:val="left"/>
        <w:rPr>
          <w:rFonts w:ascii="宋体" w:hAnsi="宋体"/>
          <w:sz w:val="24"/>
        </w:rPr>
      </w:pPr>
      <w:r>
        <w:rPr>
          <w:rFonts w:hint="eastAsia" w:ascii="宋体" w:hAnsi="宋体"/>
          <w:sz w:val="24"/>
        </w:rPr>
        <w:t>（11</w:t>
      </w:r>
      <w:r>
        <w:rPr>
          <w:rFonts w:ascii="宋体" w:hAnsi="宋体"/>
          <w:sz w:val="24"/>
        </w:rPr>
        <w:t>）权威认证证书（</w:t>
      </w:r>
      <w:r>
        <w:rPr>
          <w:rFonts w:hint="eastAsia" w:ascii="宋体" w:hAnsi="宋体"/>
          <w:sz w:val="24"/>
        </w:rPr>
        <w:t>如有）；</w:t>
      </w:r>
    </w:p>
    <w:p>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投标人认为可以证明其能力或业绩的其他材料；</w:t>
      </w:r>
    </w:p>
    <w:p>
      <w:pPr>
        <w:spacing w:line="360" w:lineRule="auto"/>
        <w:ind w:firstLine="472" w:firstLineChars="196"/>
        <w:jc w:val="left"/>
        <w:rPr>
          <w:rFonts w:ascii="宋体" w:hAnsi="宋体"/>
          <w:b/>
          <w:sz w:val="24"/>
        </w:rPr>
      </w:pPr>
      <w:r>
        <w:rPr>
          <w:rFonts w:ascii="宋体" w:hAnsi="宋体"/>
          <w:b/>
          <w:sz w:val="24"/>
        </w:rPr>
        <w:t>商务文件</w:t>
      </w:r>
    </w:p>
    <w:p>
      <w:pPr>
        <w:snapToGrid w:val="0"/>
        <w:spacing w:line="360" w:lineRule="auto"/>
        <w:ind w:firstLine="480" w:firstLineChars="200"/>
        <w:jc w:val="left"/>
        <w:rPr>
          <w:rFonts w:ascii="宋体" w:hAnsi="宋体"/>
          <w:sz w:val="24"/>
        </w:rPr>
      </w:pPr>
      <w:r>
        <w:rPr>
          <w:rFonts w:hint="eastAsia" w:ascii="宋体" w:hAnsi="宋体"/>
          <w:sz w:val="24"/>
        </w:rPr>
        <w:t>（13）商务响应表（格式见附件）；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（14）</w:t>
      </w:r>
      <w:r>
        <w:rPr>
          <w:rFonts w:ascii="宋体" w:hAnsi="宋体"/>
          <w:sz w:val="24"/>
        </w:rPr>
        <w:t>售后服务的内容和措施；</w:t>
      </w:r>
    </w:p>
    <w:p>
      <w:pPr>
        <w:snapToGrid w:val="0"/>
        <w:spacing w:line="360" w:lineRule="auto"/>
        <w:ind w:firstLine="480" w:firstLineChars="200"/>
        <w:jc w:val="left"/>
        <w:rPr>
          <w:rFonts w:ascii="宋体" w:hAnsi="宋体"/>
          <w:sz w:val="24"/>
        </w:rPr>
      </w:pPr>
      <w:r>
        <w:rPr>
          <w:rFonts w:hint="eastAsia" w:ascii="宋体" w:hAnsi="宋体"/>
          <w:sz w:val="24"/>
        </w:rPr>
        <w:t>（15）培训方案；</w:t>
      </w:r>
    </w:p>
    <w:p>
      <w:pPr>
        <w:snapToGrid w:val="0"/>
        <w:spacing w:line="360" w:lineRule="auto"/>
        <w:ind w:firstLine="480" w:firstLineChars="200"/>
        <w:jc w:val="left"/>
        <w:rPr>
          <w:rFonts w:ascii="宋体" w:hAnsi="宋体"/>
          <w:sz w:val="24"/>
        </w:rPr>
      </w:pPr>
      <w:r>
        <w:rPr>
          <w:rFonts w:hint="eastAsia" w:ascii="宋体" w:hAnsi="宋体"/>
          <w:sz w:val="24"/>
        </w:rPr>
        <w:t>（16</w:t>
      </w:r>
      <w:r>
        <w:rPr>
          <w:rFonts w:ascii="宋体" w:hAnsi="宋体"/>
          <w:sz w:val="24"/>
        </w:rPr>
        <w:t>）</w:t>
      </w:r>
      <w:r>
        <w:rPr>
          <w:rFonts w:hint="eastAsia" w:ascii="宋体" w:hAnsi="宋体"/>
          <w:sz w:val="24"/>
        </w:rPr>
        <w:t>响应时间</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信用承诺书；</w:t>
      </w:r>
    </w:p>
    <w:p>
      <w:pPr>
        <w:snapToGrid w:val="0"/>
        <w:spacing w:line="360" w:lineRule="auto"/>
        <w:ind w:firstLine="480" w:firstLineChars="200"/>
        <w:jc w:val="left"/>
        <w:rPr>
          <w:rFonts w:ascii="宋体" w:hAnsi="宋体"/>
          <w:sz w:val="24"/>
        </w:rPr>
      </w:pPr>
      <w:r>
        <w:rPr>
          <w:rFonts w:hint="eastAsia" w:ascii="宋体" w:hAnsi="宋体"/>
          <w:sz w:val="24"/>
        </w:rPr>
        <w:t>（18</w:t>
      </w:r>
      <w:r>
        <w:rPr>
          <w:rFonts w:ascii="宋体" w:hAnsi="宋体"/>
          <w:sz w:val="24"/>
        </w:rPr>
        <w:t>）</w:t>
      </w:r>
      <w:r>
        <w:rPr>
          <w:rFonts w:hint="eastAsia" w:ascii="宋体" w:hAnsi="宋体"/>
          <w:sz w:val="24"/>
        </w:rPr>
        <w:t>技术、商务、资信及其他分自评表。</w:t>
      </w:r>
    </w:p>
    <w:p>
      <w:pPr>
        <w:spacing w:line="360" w:lineRule="auto"/>
        <w:ind w:firstLine="472" w:firstLineChars="196"/>
        <w:jc w:val="left"/>
        <w:rPr>
          <w:rFonts w:ascii="宋体" w:hAnsi="宋体"/>
          <w:b/>
          <w:sz w:val="24"/>
        </w:rPr>
      </w:pPr>
      <w:r>
        <w:rPr>
          <w:rFonts w:hint="eastAsia" w:ascii="宋体" w:hAnsi="宋体"/>
          <w:b/>
          <w:sz w:val="24"/>
        </w:rPr>
        <w:t>4.</w:t>
      </w:r>
      <w:r>
        <w:rPr>
          <w:rFonts w:ascii="宋体" w:hAnsi="宋体"/>
          <w:b/>
          <w:sz w:val="24"/>
        </w:rPr>
        <w:t>报价文件：</w:t>
      </w:r>
    </w:p>
    <w:p>
      <w:pPr>
        <w:spacing w:line="360" w:lineRule="auto"/>
        <w:ind w:firstLine="470" w:firstLineChars="196"/>
        <w:jc w:val="left"/>
        <w:rPr>
          <w:rFonts w:ascii="宋体" w:hAnsi="宋体"/>
          <w:sz w:val="24"/>
        </w:rPr>
      </w:pPr>
      <w:r>
        <w:rPr>
          <w:rFonts w:hint="eastAsia" w:ascii="宋体" w:hAnsi="宋体"/>
          <w:sz w:val="24"/>
        </w:rPr>
        <w:t xml:space="preserve">（1）投标函（格式见附件）； </w:t>
      </w:r>
    </w:p>
    <w:p>
      <w:pPr>
        <w:spacing w:line="360" w:lineRule="auto"/>
        <w:ind w:firstLine="470" w:firstLineChars="196"/>
        <w:jc w:val="left"/>
        <w:rPr>
          <w:rFonts w:ascii="宋体" w:hAnsi="宋体"/>
          <w:sz w:val="24"/>
        </w:rPr>
      </w:pPr>
      <w:r>
        <w:rPr>
          <w:rFonts w:hint="eastAsia" w:ascii="宋体" w:hAnsi="宋体"/>
          <w:sz w:val="24"/>
        </w:rPr>
        <w:t>（2</w:t>
      </w:r>
      <w:r>
        <w:rPr>
          <w:rFonts w:ascii="宋体" w:hAnsi="宋体"/>
          <w:sz w:val="24"/>
        </w:rPr>
        <w:t>）投标报价明细表（格式见附件）；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招标代理费承诺函；</w:t>
      </w:r>
    </w:p>
    <w:p>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开标一览表（格式见附件）</w:t>
      </w:r>
      <w:r>
        <w:rPr>
          <w:rFonts w:hint="eastAsia" w:ascii="宋体" w:hAnsi="宋体"/>
          <w:sz w:val="24"/>
        </w:rPr>
        <w:t>。</w:t>
      </w:r>
    </w:p>
    <w:p>
      <w:pPr>
        <w:pStyle w:val="28"/>
        <w:widowControl w:val="0"/>
        <w:spacing w:before="0" w:afterLines="0" w:line="360" w:lineRule="auto"/>
        <w:ind w:firstLine="482" w:firstLineChars="200"/>
        <w:rPr>
          <w:b/>
          <w:bCs/>
          <w:color w:val="auto"/>
        </w:rPr>
      </w:pPr>
      <w:r>
        <w:rPr>
          <w:b/>
          <w:color w:val="auto"/>
        </w:rPr>
        <w:t>▲</w:t>
      </w:r>
      <w:r>
        <w:rPr>
          <w:b/>
          <w:bCs/>
          <w:color w:val="auto"/>
        </w:rPr>
        <w:t>注：法定代表人授权委托书、投标声明书、投标函、开标一览表必须由法定代表人签名并加盖单位公章。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pPr>
        <w:snapToGrid w:val="0"/>
        <w:spacing w:line="360" w:lineRule="auto"/>
        <w:ind w:firstLine="411" w:firstLineChars="196"/>
        <w:jc w:val="left"/>
        <w:outlineLvl w:val="0"/>
        <w:rPr>
          <w:rFonts w:ascii="宋体" w:hAnsi="宋体"/>
          <w:b/>
          <w:sz w:val="24"/>
        </w:rPr>
      </w:pPr>
      <w:r>
        <w:rPr>
          <w:rFonts w:hAnsi="宋体"/>
        </w:rPr>
        <w:t>▲</w:t>
      </w:r>
      <w:r>
        <w:rPr>
          <w:rFonts w:ascii="宋体" w:hAnsi="宋体"/>
          <w:sz w:val="24"/>
        </w:rPr>
        <w:t>1</w:t>
      </w:r>
      <w:r>
        <w:rPr>
          <w:rFonts w:hint="eastAsia" w:ascii="宋体" w:hAnsi="宋体"/>
          <w:sz w:val="24"/>
        </w:rPr>
        <w:t>.</w:t>
      </w:r>
      <w:r>
        <w:rPr>
          <w:rFonts w:ascii="宋体" w:hAnsi="宋体"/>
          <w:sz w:val="24"/>
        </w:rPr>
        <w:t>投标报价应按招标文件中相关附表格式填写。</w:t>
      </w:r>
      <w:r>
        <w:rPr>
          <w:rFonts w:hint="eastAsia" w:ascii="宋体" w:hAnsi="宋体"/>
          <w:sz w:val="24"/>
        </w:rPr>
        <w:t>投标人在填报投标项目报价明细表时必须按照采购需求货物清单内容逐项报价，不得随意更改序号、货物名称、单位、数量。否则作无效标处理。</w:t>
      </w:r>
    </w:p>
    <w:p>
      <w:pPr>
        <w:pStyle w:val="18"/>
        <w:snapToGrid w:val="0"/>
        <w:spacing w:beforeLines="0" w:afterLines="0" w:line="360" w:lineRule="auto"/>
        <w:ind w:firstLine="480" w:firstLineChars="200"/>
        <w:jc w:val="left"/>
        <w:rPr>
          <w:rFonts w:hAnsi="宋体"/>
        </w:rPr>
      </w:pPr>
      <w:r>
        <w:rPr>
          <w:rFonts w:hAnsi="宋体"/>
        </w:rPr>
        <w:t>▲2</w:t>
      </w:r>
      <w:r>
        <w:rPr>
          <w:rFonts w:hint="eastAsia" w:hAnsi="宋体"/>
        </w:rPr>
        <w:t>.</w:t>
      </w:r>
      <w:r>
        <w:rPr>
          <w:rFonts w:hAnsi="宋体"/>
        </w:rPr>
        <w:t>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pStyle w:val="7"/>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pPr>
        <w:pStyle w:val="7"/>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7"/>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pPr>
        <w:snapToGrid w:val="0"/>
        <w:spacing w:line="360" w:lineRule="auto"/>
        <w:ind w:firstLine="470" w:firstLineChars="196"/>
        <w:rPr>
          <w:rFonts w:ascii="宋体" w:hAnsi="宋体"/>
          <w:bCs/>
          <w:sz w:val="24"/>
        </w:rPr>
      </w:pPr>
      <w:r>
        <w:rPr>
          <w:rFonts w:hint="eastAsia" w:ascii="宋体" w:hAnsi="宋体"/>
          <w:bCs/>
          <w:sz w:val="24"/>
        </w:rPr>
        <w:t>（2</w:t>
      </w:r>
      <w:r>
        <w:rPr>
          <w:rFonts w:ascii="宋体" w:hAnsi="宋体"/>
          <w:bCs/>
          <w:sz w:val="24"/>
        </w:rPr>
        <w:t>）投标文件无法定代表人签字,或未</w:t>
      </w:r>
      <w:r>
        <w:rPr>
          <w:rFonts w:hint="eastAsia" w:ascii="宋体" w:hAnsi="宋体"/>
          <w:bCs/>
          <w:sz w:val="24"/>
        </w:rPr>
        <w:t>提供法定代表人授权委托书、投标声明书或者填写项目不齐全的；</w:t>
      </w:r>
    </w:p>
    <w:p>
      <w:pPr>
        <w:snapToGrid w:val="0"/>
        <w:spacing w:line="360" w:lineRule="auto"/>
        <w:ind w:firstLine="470" w:firstLineChars="196"/>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p>
    <w:p>
      <w:pPr>
        <w:pStyle w:val="14"/>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4</w:t>
      </w:r>
      <w:r>
        <w:rPr>
          <w:rFonts w:hAnsi="宋体"/>
          <w:bCs/>
          <w:spacing w:val="0"/>
          <w:sz w:val="24"/>
          <w:szCs w:val="24"/>
        </w:rPr>
        <w:t>）投标文件格式不规范、项目不齐全或者内容虚假的；</w:t>
      </w:r>
    </w:p>
    <w:p>
      <w:pPr>
        <w:pStyle w:val="14"/>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int="eastAsia" w:hAnsi="宋体"/>
          <w:bCs/>
          <w:spacing w:val="0"/>
          <w:sz w:val="24"/>
          <w:szCs w:val="24"/>
        </w:rPr>
        <w:t>并</w:t>
      </w:r>
      <w:r>
        <w:rPr>
          <w:rFonts w:hAnsi="宋体"/>
          <w:bCs/>
          <w:spacing w:val="0"/>
          <w:sz w:val="24"/>
          <w:szCs w:val="24"/>
        </w:rPr>
        <w:t>允许其当场更正的笔误除外）</w:t>
      </w:r>
      <w:r>
        <w:rPr>
          <w:rFonts w:hint="eastAsia" w:hAnsi="宋体"/>
          <w:bCs/>
          <w:spacing w:val="0"/>
          <w:sz w:val="24"/>
          <w:szCs w:val="24"/>
        </w:rPr>
        <w:t>；</w:t>
      </w:r>
    </w:p>
    <w:p>
      <w:pPr>
        <w:pStyle w:val="14"/>
        <w:snapToGrid w:val="0"/>
        <w:spacing w:line="360" w:lineRule="auto"/>
        <w:ind w:firstLine="470" w:firstLineChars="196"/>
        <w:rPr>
          <w:rFonts w:hAnsi="宋体"/>
          <w:bCs/>
          <w:spacing w:val="0"/>
          <w:sz w:val="24"/>
          <w:szCs w:val="24"/>
        </w:rPr>
      </w:pPr>
      <w:r>
        <w:rPr>
          <w:rFonts w:hAnsi="宋体"/>
          <w:bCs/>
          <w:spacing w:val="0"/>
          <w:sz w:val="24"/>
          <w:szCs w:val="24"/>
        </w:rPr>
        <w:t>（</w:t>
      </w:r>
      <w:r>
        <w:rPr>
          <w:rFonts w:hint="eastAsia" w:hAnsi="宋体"/>
          <w:bCs/>
          <w:spacing w:val="0"/>
          <w:sz w:val="24"/>
          <w:szCs w:val="24"/>
        </w:rPr>
        <w:t>6</w:t>
      </w:r>
      <w:r>
        <w:rPr>
          <w:rFonts w:hAnsi="宋体"/>
          <w:bCs/>
          <w:spacing w:val="0"/>
          <w:sz w:val="24"/>
          <w:szCs w:val="24"/>
        </w:rPr>
        <w:t>）投标有效期、</w:t>
      </w:r>
      <w:r>
        <w:rPr>
          <w:rFonts w:hint="eastAsia" w:hAnsi="宋体"/>
          <w:bCs/>
          <w:spacing w:val="0"/>
          <w:sz w:val="24"/>
          <w:szCs w:val="24"/>
        </w:rPr>
        <w:t>交货期</w:t>
      </w:r>
      <w:r>
        <w:rPr>
          <w:rFonts w:hAnsi="宋体"/>
          <w:bCs/>
          <w:spacing w:val="0"/>
          <w:sz w:val="24"/>
          <w:szCs w:val="24"/>
        </w:rPr>
        <w:t>、质保期等商务条款不能满足招标文件要求的；</w:t>
      </w:r>
    </w:p>
    <w:p>
      <w:pPr>
        <w:pStyle w:val="14"/>
        <w:snapToGrid w:val="0"/>
        <w:spacing w:line="360" w:lineRule="auto"/>
        <w:ind w:firstLine="457" w:firstLineChars="196"/>
        <w:rPr>
          <w:rFonts w:hAnsi="宋体"/>
          <w:b/>
          <w:bCs/>
          <w:sz w:val="24"/>
          <w:szCs w:val="24"/>
        </w:rPr>
      </w:pPr>
      <w:r>
        <w:rPr>
          <w:rFonts w:hAnsi="宋体"/>
          <w:b/>
          <w:bCs/>
          <w:sz w:val="24"/>
          <w:szCs w:val="24"/>
        </w:rPr>
        <w:t>2</w:t>
      </w:r>
      <w:r>
        <w:rPr>
          <w:rFonts w:hint="eastAsia" w:hAnsi="宋体"/>
          <w:b/>
          <w:bCs/>
          <w:sz w:val="24"/>
          <w:szCs w:val="24"/>
        </w:rPr>
        <w:t>.</w:t>
      </w:r>
      <w:r>
        <w:rPr>
          <w:rFonts w:hAnsi="宋体"/>
          <w:b/>
          <w:bCs/>
          <w:sz w:val="24"/>
          <w:szCs w:val="24"/>
        </w:rPr>
        <w:t>在技术评审时，如发现下列情形之一的，投标文件将被视为无效：</w:t>
      </w:r>
    </w:p>
    <w:p>
      <w:pPr>
        <w:pStyle w:val="14"/>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1）未提供或未如实提供投标货物的技术参数，或者投标文件标明的响应或偏离与事实不符或虚假投标的；</w:t>
      </w:r>
    </w:p>
    <w:p>
      <w:pPr>
        <w:pStyle w:val="14"/>
        <w:snapToGrid w:val="0"/>
        <w:spacing w:line="360" w:lineRule="auto"/>
        <w:ind w:firstLine="470" w:firstLineChars="196"/>
        <w:rPr>
          <w:rFonts w:hAnsi="Times New Roman"/>
          <w:spacing w:val="0"/>
          <w:sz w:val="24"/>
          <w:szCs w:val="24"/>
        </w:rPr>
      </w:pPr>
      <w:r>
        <w:rPr>
          <w:rFonts w:hAnsi="Times New Roman"/>
          <w:spacing w:val="0"/>
          <w:sz w:val="24"/>
          <w:szCs w:val="24"/>
        </w:rPr>
        <w:t>（2）明显不符合招标文件</w:t>
      </w:r>
      <w:r>
        <w:rPr>
          <w:rFonts w:hint="eastAsia" w:hAnsi="Times New Roman"/>
          <w:spacing w:val="0"/>
          <w:sz w:val="24"/>
          <w:szCs w:val="24"/>
        </w:rPr>
        <w:t>要求</w:t>
      </w:r>
      <w:r>
        <w:rPr>
          <w:rFonts w:hAnsi="Times New Roman"/>
          <w:spacing w:val="0"/>
          <w:sz w:val="24"/>
          <w:szCs w:val="24"/>
        </w:rPr>
        <w:t>的规格型号、质量标准，或者</w:t>
      </w:r>
      <w:r>
        <w:rPr>
          <w:rFonts w:hint="eastAsia" w:hAnsi="Times New Roman"/>
          <w:spacing w:val="0"/>
          <w:sz w:val="24"/>
          <w:szCs w:val="24"/>
        </w:rPr>
        <w:t>与</w:t>
      </w:r>
      <w:r>
        <w:rPr>
          <w:rFonts w:hAnsi="Times New Roman"/>
          <w:spacing w:val="0"/>
          <w:sz w:val="24"/>
          <w:szCs w:val="24"/>
        </w:rPr>
        <w:t>招标文件中标“▲”的技术指标、主要功能项目发生实质性偏离的；</w:t>
      </w:r>
    </w:p>
    <w:p>
      <w:pPr>
        <w:pStyle w:val="14"/>
        <w:snapToGrid w:val="0"/>
        <w:spacing w:line="360" w:lineRule="auto"/>
        <w:ind w:firstLine="470" w:firstLineChars="196"/>
        <w:rPr>
          <w:rFonts w:hAnsi="Times New Roman"/>
          <w:spacing w:val="0"/>
          <w:sz w:val="24"/>
          <w:szCs w:val="24"/>
        </w:rPr>
      </w:pPr>
      <w:r>
        <w:rPr>
          <w:rFonts w:hAnsi="Times New Roman"/>
          <w:spacing w:val="0"/>
          <w:sz w:val="24"/>
          <w:szCs w:val="24"/>
        </w:rPr>
        <w:t>（3）投标技术方案不明确，存在一个或一个以上备选（替代）投标方案的；</w:t>
      </w:r>
    </w:p>
    <w:p>
      <w:pPr>
        <w:pStyle w:val="14"/>
        <w:snapToGrid w:val="0"/>
        <w:spacing w:line="360" w:lineRule="auto"/>
        <w:ind w:firstLine="470" w:firstLineChars="196"/>
        <w:rPr>
          <w:rFonts w:hAnsi="Times New Roman"/>
          <w:spacing w:val="0"/>
          <w:sz w:val="24"/>
          <w:szCs w:val="24"/>
        </w:rPr>
      </w:pPr>
      <w:r>
        <w:rPr>
          <w:rFonts w:hAnsi="Times New Roman"/>
          <w:spacing w:val="0"/>
          <w:sz w:val="24"/>
          <w:szCs w:val="24"/>
        </w:rPr>
        <w:t>（4）</w:t>
      </w:r>
      <w:r>
        <w:rPr>
          <w:rFonts w:hint="eastAsia" w:hAnsi="Times New Roman"/>
          <w:spacing w:val="0"/>
          <w:sz w:val="24"/>
          <w:szCs w:val="24"/>
        </w:rPr>
        <w:t>与其他参加本次投标供应商的投标文件（技术文件）的文字表述内容相同连续20行以上或者差错相同2处以上的；</w:t>
      </w:r>
    </w:p>
    <w:p>
      <w:pPr>
        <w:pStyle w:val="14"/>
        <w:snapToGrid w:val="0"/>
        <w:spacing w:line="360" w:lineRule="auto"/>
        <w:ind w:firstLine="457" w:firstLineChars="196"/>
        <w:rPr>
          <w:rFonts w:hAnsi="宋体"/>
          <w:b/>
          <w:bCs/>
          <w:sz w:val="24"/>
          <w:szCs w:val="24"/>
        </w:rPr>
      </w:pPr>
      <w:r>
        <w:rPr>
          <w:rFonts w:hAnsi="宋体"/>
          <w:b/>
          <w:bCs/>
          <w:sz w:val="24"/>
          <w:szCs w:val="24"/>
        </w:rPr>
        <w:t>3</w:t>
      </w:r>
      <w:r>
        <w:rPr>
          <w:rFonts w:hint="eastAsia" w:hAnsi="宋体"/>
          <w:b/>
          <w:bCs/>
          <w:sz w:val="24"/>
          <w:szCs w:val="24"/>
        </w:rPr>
        <w:t>.</w:t>
      </w:r>
      <w:r>
        <w:rPr>
          <w:rFonts w:hAnsi="宋体"/>
          <w:b/>
          <w:bCs/>
          <w:sz w:val="24"/>
          <w:szCs w:val="24"/>
        </w:rPr>
        <w:t>在报价评审时，如发现下列情形之一的，投标文件将被视为无效：</w:t>
      </w:r>
    </w:p>
    <w:p>
      <w:pPr>
        <w:pStyle w:val="14"/>
        <w:snapToGrid w:val="0"/>
        <w:spacing w:line="360" w:lineRule="auto"/>
        <w:ind w:firstLine="457" w:firstLineChars="196"/>
        <w:rPr>
          <w:rFonts w:hAnsi="宋体"/>
          <w:sz w:val="24"/>
          <w:szCs w:val="24"/>
        </w:rPr>
      </w:pPr>
      <w:r>
        <w:rPr>
          <w:rFonts w:hAnsi="宋体"/>
          <w:b/>
          <w:sz w:val="24"/>
          <w:szCs w:val="24"/>
        </w:rPr>
        <w:t>（</w:t>
      </w:r>
      <w:r>
        <w:rPr>
          <w:rFonts w:hAnsi="宋体"/>
          <w:sz w:val="24"/>
          <w:szCs w:val="24"/>
        </w:rPr>
        <w:t>1）未采用人民币报价或者未按照招标文件标明的币种报价的；</w:t>
      </w:r>
    </w:p>
    <w:p>
      <w:pPr>
        <w:pStyle w:val="14"/>
        <w:snapToGrid w:val="0"/>
        <w:spacing w:line="360" w:lineRule="auto"/>
        <w:ind w:firstLine="457" w:firstLineChars="196"/>
        <w:rPr>
          <w:rFonts w:hAnsi="宋体"/>
          <w:sz w:val="24"/>
          <w:szCs w:val="24"/>
        </w:rPr>
      </w:pPr>
      <w:r>
        <w:rPr>
          <w:rFonts w:hAnsi="宋体"/>
          <w:b/>
          <w:sz w:val="24"/>
          <w:szCs w:val="24"/>
        </w:rPr>
        <w:t>（</w:t>
      </w:r>
      <w:r>
        <w:rPr>
          <w:rFonts w:hAnsi="宋体"/>
          <w:sz w:val="24"/>
          <w:szCs w:val="24"/>
        </w:rPr>
        <w:t>2）报价超出最高限价的</w:t>
      </w:r>
      <w:r>
        <w:rPr>
          <w:rFonts w:hint="eastAsia" w:hAnsi="宋体"/>
          <w:sz w:val="24"/>
          <w:szCs w:val="24"/>
        </w:rPr>
        <w:t>；</w:t>
      </w:r>
    </w:p>
    <w:p>
      <w:pPr>
        <w:pStyle w:val="14"/>
        <w:snapToGrid w:val="0"/>
        <w:spacing w:line="360" w:lineRule="auto"/>
        <w:ind w:firstLine="464" w:firstLineChars="200"/>
        <w:rPr>
          <w:rFonts w:hAnsi="宋体"/>
          <w:sz w:val="24"/>
          <w:szCs w:val="24"/>
        </w:rPr>
      </w:pPr>
      <w:r>
        <w:rPr>
          <w:rFonts w:hint="eastAsia" w:hAnsi="宋体"/>
          <w:sz w:val="24"/>
          <w:szCs w:val="24"/>
        </w:rPr>
        <w:t>（3） 投标报价具有选择性，或者开标价格与投标文件承诺的优惠（折扣）价格不一致的；</w:t>
      </w:r>
    </w:p>
    <w:p>
      <w:pPr>
        <w:pStyle w:val="14"/>
        <w:snapToGrid w:val="0"/>
        <w:spacing w:line="360" w:lineRule="auto"/>
        <w:ind w:firstLine="457" w:firstLineChars="196"/>
        <w:rPr>
          <w:rFonts w:hAnsi="宋体"/>
          <w:b/>
          <w:sz w:val="24"/>
          <w:szCs w:val="24"/>
        </w:rPr>
      </w:pPr>
      <w:r>
        <w:rPr>
          <w:rFonts w:hAnsi="宋体"/>
          <w:b/>
          <w:sz w:val="24"/>
          <w:szCs w:val="24"/>
        </w:rPr>
        <w:t>4</w:t>
      </w:r>
      <w:r>
        <w:rPr>
          <w:rFonts w:hint="eastAsia" w:hAnsi="宋体"/>
          <w:b/>
          <w:sz w:val="24"/>
          <w:szCs w:val="24"/>
        </w:rPr>
        <w:t>.</w:t>
      </w:r>
      <w:r>
        <w:rPr>
          <w:rFonts w:hAnsi="宋体"/>
          <w:b/>
          <w:sz w:val="24"/>
          <w:szCs w:val="24"/>
        </w:rPr>
        <w:t>被拒绝的投标文件为无效。</w:t>
      </w:r>
    </w:p>
    <w:p>
      <w:pPr>
        <w:pStyle w:val="14"/>
        <w:snapToGrid w:val="0"/>
        <w:spacing w:line="360" w:lineRule="auto"/>
        <w:ind w:firstLine="457" w:firstLineChars="196"/>
        <w:rPr>
          <w:rFonts w:hAnsi="宋体"/>
          <w:b/>
          <w:sz w:val="24"/>
          <w:szCs w:val="24"/>
        </w:rPr>
      </w:pPr>
      <w:r>
        <w:rPr>
          <w:rFonts w:hint="eastAsia" w:hAnsi="宋体"/>
          <w:b/>
          <w:sz w:val="24"/>
          <w:szCs w:val="24"/>
        </w:rPr>
        <w:t>5.仅提供备份投标文件的无效。</w:t>
      </w:r>
    </w:p>
    <w:p>
      <w:pPr>
        <w:pStyle w:val="14"/>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pPr>
        <w:pStyle w:val="14"/>
        <w:snapToGrid w:val="0"/>
        <w:spacing w:line="360" w:lineRule="auto"/>
        <w:ind w:firstLine="457" w:firstLineChars="196"/>
        <w:rPr>
          <w:rFonts w:hAnsi="宋体"/>
          <w:b/>
          <w:sz w:val="24"/>
          <w:szCs w:val="24"/>
        </w:rPr>
      </w:pPr>
      <w:r>
        <w:rPr>
          <w:rFonts w:hAnsi="宋体"/>
          <w:b/>
          <w:sz w:val="24"/>
          <w:szCs w:val="24"/>
        </w:rPr>
        <w:t>（一）开标准备</w:t>
      </w:r>
    </w:p>
    <w:p>
      <w:pPr>
        <w:pStyle w:val="14"/>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pPr>
        <w:pStyle w:val="14"/>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w:t>
      </w:r>
    </w:p>
    <w:p>
      <w:pPr>
        <w:pStyle w:val="14"/>
        <w:snapToGrid w:val="0"/>
        <w:spacing w:line="360" w:lineRule="auto"/>
        <w:ind w:firstLine="457" w:firstLineChars="196"/>
        <w:rPr>
          <w:rFonts w:hAnsi="宋体"/>
          <w:b/>
          <w:sz w:val="24"/>
          <w:szCs w:val="24"/>
        </w:rPr>
      </w:pPr>
      <w:r>
        <w:rPr>
          <w:rFonts w:hAnsi="宋体"/>
          <w:b/>
          <w:sz w:val="24"/>
          <w:szCs w:val="24"/>
        </w:rPr>
        <w:t>（二） 开标程序：</w:t>
      </w:r>
    </w:p>
    <w:p>
      <w:pPr>
        <w:pStyle w:val="14"/>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pPr>
        <w:pStyle w:val="14"/>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4"/>
        <w:snapToGrid w:val="0"/>
        <w:spacing w:line="360" w:lineRule="auto"/>
        <w:ind w:firstLine="457" w:firstLineChars="196"/>
        <w:rPr>
          <w:rFonts w:hAnsi="宋体"/>
          <w:b/>
          <w:sz w:val="24"/>
          <w:szCs w:val="24"/>
        </w:rPr>
      </w:pPr>
      <w:r>
        <w:rPr>
          <w:rFonts w:hint="eastAsia" w:hAnsi="宋体"/>
          <w:b/>
          <w:sz w:val="24"/>
          <w:szCs w:val="24"/>
        </w:rPr>
        <w:t>（三）开标流程</w:t>
      </w:r>
    </w:p>
    <w:p>
      <w:pPr>
        <w:pStyle w:val="14"/>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4"/>
        <w:snapToGrid w:val="0"/>
        <w:spacing w:line="360" w:lineRule="auto"/>
        <w:ind w:firstLine="454" w:firstLineChars="196"/>
        <w:rPr>
          <w:rFonts w:hAnsi="宋体"/>
          <w:sz w:val="24"/>
          <w:szCs w:val="24"/>
        </w:rPr>
      </w:pPr>
      <w:r>
        <w:rPr>
          <w:rFonts w:hint="eastAsia" w:hAnsi="宋体"/>
          <w:sz w:val="24"/>
          <w:szCs w:val="24"/>
        </w:rPr>
        <w:t>2.投标文件解密结束；</w:t>
      </w:r>
    </w:p>
    <w:p>
      <w:pPr>
        <w:pStyle w:val="14"/>
        <w:snapToGrid w:val="0"/>
        <w:spacing w:line="360" w:lineRule="auto"/>
        <w:ind w:firstLine="454" w:firstLineChars="196"/>
        <w:rPr>
          <w:rFonts w:hAnsi="宋体"/>
          <w:sz w:val="24"/>
          <w:szCs w:val="24"/>
        </w:rPr>
      </w:pPr>
      <w:r>
        <w:rPr>
          <w:rFonts w:hint="eastAsia" w:hAnsi="宋体"/>
          <w:sz w:val="24"/>
          <w:szCs w:val="24"/>
        </w:rPr>
        <w:t>3.开启投标文件，进入资格审查；</w:t>
      </w:r>
    </w:p>
    <w:p>
      <w:pPr>
        <w:pStyle w:val="14"/>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pPr>
        <w:pStyle w:val="14"/>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pPr>
        <w:pStyle w:val="14"/>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pPr>
        <w:pStyle w:val="14"/>
        <w:snapToGrid w:val="0"/>
        <w:spacing w:line="360" w:lineRule="auto"/>
        <w:ind w:firstLine="454" w:firstLineChars="196"/>
        <w:rPr>
          <w:rFonts w:hAnsi="宋体"/>
          <w:sz w:val="24"/>
          <w:szCs w:val="24"/>
        </w:rPr>
      </w:pPr>
      <w:r>
        <w:rPr>
          <w:rFonts w:hint="eastAsia" w:hAnsi="宋体"/>
          <w:sz w:val="24"/>
          <w:szCs w:val="24"/>
        </w:rPr>
        <w:t>3）公布报价部分得分情况；</w:t>
      </w:r>
    </w:p>
    <w:p>
      <w:pPr>
        <w:pStyle w:val="14"/>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pPr>
        <w:pStyle w:val="14"/>
        <w:snapToGrid w:val="0"/>
        <w:spacing w:line="360" w:lineRule="auto"/>
        <w:ind w:firstLine="454" w:firstLineChars="196"/>
        <w:rPr>
          <w:rFonts w:hAnsi="宋体"/>
          <w:sz w:val="24"/>
          <w:szCs w:val="24"/>
        </w:rPr>
      </w:pPr>
      <w:r>
        <w:rPr>
          <w:rFonts w:hint="eastAsia" w:hAnsi="宋体"/>
          <w:sz w:val="24"/>
          <w:szCs w:val="24"/>
        </w:rPr>
        <w:t>5）开标结束。</w:t>
      </w:r>
    </w:p>
    <w:p>
      <w:pPr>
        <w:pStyle w:val="14"/>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0" w:name="_Toc33194393"/>
      <w:bookmarkStart w:id="1" w:name="_Toc24550037"/>
    </w:p>
    <w:p>
      <w:pPr>
        <w:pStyle w:val="14"/>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0"/>
      <w:bookmarkEnd w:id="1"/>
    </w:p>
    <w:p>
      <w:pPr>
        <w:pStyle w:val="14"/>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8"/>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8"/>
        <w:snapToGrid w:val="0"/>
        <w:spacing w:beforeLines="0" w:afterLines="0" w:line="360" w:lineRule="auto"/>
        <w:ind w:firstLine="480" w:firstLineChars="200"/>
        <w:rPr>
          <w:rFonts w:hAnsi="宋体"/>
          <w:bCs/>
        </w:rPr>
      </w:pPr>
      <w:r>
        <w:rPr>
          <w:rFonts w:hint="eastAsia" w:hAnsi="宋体"/>
        </w:rPr>
        <w:t>3.单位负责人为同一人或者存在直接控股、管理关系的不同供应商参加同一合同项下的政府采购活动的，相关投标供应商均作资格无效处理。</w:t>
      </w:r>
    </w:p>
    <w:p>
      <w:pPr>
        <w:pStyle w:val="18"/>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pPr>
        <w:pStyle w:val="18"/>
        <w:snapToGrid w:val="0"/>
        <w:spacing w:beforeLines="0" w:afterLines="0" w:line="360" w:lineRule="auto"/>
        <w:ind w:left="720" w:leftChars="228" w:hanging="241" w:hangingChars="100"/>
        <w:rPr>
          <w:rFonts w:hAnsi="宋体"/>
          <w:b/>
        </w:rPr>
      </w:pPr>
      <w:r>
        <w:rPr>
          <w:rFonts w:hAnsi="宋体"/>
          <w:b/>
        </w:rPr>
        <w:t>（一）组建评标委员会</w:t>
      </w:r>
    </w:p>
    <w:p>
      <w:pPr>
        <w:pStyle w:val="18"/>
        <w:snapToGrid w:val="0"/>
        <w:spacing w:beforeLines="0" w:afterLines="0" w:line="360" w:lineRule="auto"/>
        <w:ind w:firstLine="480" w:firstLineChars="200"/>
        <w:rPr>
          <w:rFonts w:hAnsi="宋体"/>
        </w:rPr>
      </w:pPr>
      <w:r>
        <w:rPr>
          <w:rFonts w:hAnsi="宋体"/>
        </w:rPr>
        <w:t>本项目评标委员会由政府</w:t>
      </w:r>
      <w:r>
        <w:rPr>
          <w:rFonts w:hint="eastAsia" w:hAnsi="宋体"/>
        </w:rPr>
        <w:t>采购评审专家</w:t>
      </w:r>
      <w:r>
        <w:rPr>
          <w:rFonts w:hAnsi="宋体"/>
          <w:u w:val="single"/>
        </w:rPr>
        <w:t xml:space="preserve"> </w:t>
      </w:r>
      <w:r>
        <w:rPr>
          <w:rFonts w:hint="eastAsia" w:hAnsi="宋体"/>
          <w:u w:val="single"/>
        </w:rPr>
        <w:t>5</w:t>
      </w:r>
      <w:r>
        <w:rPr>
          <w:rFonts w:hAnsi="宋体"/>
          <w:u w:val="single"/>
        </w:rPr>
        <w:t xml:space="preserve"> </w:t>
      </w:r>
      <w:r>
        <w:rPr>
          <w:rFonts w:hint="eastAsia" w:hAnsi="宋体"/>
        </w:rPr>
        <w:t>人和采购人代表</w:t>
      </w:r>
      <w:r>
        <w:rPr>
          <w:rFonts w:hAnsi="宋体"/>
          <w:u w:val="single"/>
        </w:rPr>
        <w:t xml:space="preserve"> </w:t>
      </w:r>
      <w:r>
        <w:rPr>
          <w:rFonts w:hint="eastAsia" w:hAnsi="宋体"/>
          <w:u w:val="single"/>
        </w:rPr>
        <w:t>2</w:t>
      </w:r>
      <w:r>
        <w:rPr>
          <w:rFonts w:hint="eastAsia" w:hAnsi="宋体"/>
        </w:rPr>
        <w:t>人</w:t>
      </w:r>
      <w:r>
        <w:rPr>
          <w:rFonts w:hAnsi="宋体"/>
        </w:rPr>
        <w:t>,</w:t>
      </w:r>
      <w:r>
        <w:rPr>
          <w:rFonts w:hint="eastAsia" w:hAnsi="宋体"/>
        </w:rPr>
        <w:t>共</w:t>
      </w:r>
      <w:r>
        <w:rPr>
          <w:rFonts w:hAnsi="宋体"/>
          <w:u w:val="single"/>
        </w:rPr>
        <w:t xml:space="preserve"> </w:t>
      </w:r>
      <w:r>
        <w:rPr>
          <w:rFonts w:hint="eastAsia" w:hAnsi="宋体"/>
          <w:u w:val="single"/>
        </w:rPr>
        <w:t>7</w:t>
      </w:r>
      <w:r>
        <w:rPr>
          <w:rFonts w:hint="eastAsia" w:hAnsi="宋体"/>
        </w:rPr>
        <w:t>人组成。</w:t>
      </w:r>
    </w:p>
    <w:p>
      <w:pPr>
        <w:pStyle w:val="18"/>
        <w:snapToGrid w:val="0"/>
        <w:spacing w:beforeLines="0" w:afterLines="0" w:line="360" w:lineRule="auto"/>
        <w:ind w:firstLine="482" w:firstLineChars="200"/>
        <w:rPr>
          <w:rFonts w:hAnsi="宋体"/>
          <w:b/>
        </w:rPr>
      </w:pPr>
      <w:r>
        <w:rPr>
          <w:rFonts w:hAnsi="宋体"/>
          <w:b/>
        </w:rPr>
        <w:t>（二）评标的方式</w:t>
      </w:r>
    </w:p>
    <w:p>
      <w:pPr>
        <w:pStyle w:val="18"/>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pPr>
        <w:pStyle w:val="18"/>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pPr>
        <w:pStyle w:val="18"/>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pPr>
        <w:pStyle w:val="18"/>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18"/>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sz w:val="24"/>
        </w:rPr>
      </w:pPr>
      <w:r>
        <w:rPr>
          <w:rFonts w:hint="eastAsia" w:ascii="宋体" w:hAnsi="宋体"/>
          <w:b/>
          <w:sz w:val="24"/>
        </w:rPr>
        <w:t>（四）澄清问题的形式</w:t>
      </w:r>
    </w:p>
    <w:p>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b/>
          <w:sz w:val="24"/>
        </w:rPr>
      </w:pPr>
      <w:r>
        <w:rPr>
          <w:b/>
          <w:sz w:val="24"/>
        </w:rPr>
        <w:t>（五）错误修正</w:t>
      </w:r>
    </w:p>
    <w:p>
      <w:pPr>
        <w:pStyle w:val="18"/>
        <w:snapToGrid w:val="0"/>
        <w:spacing w:beforeLines="0" w:afterLines="0" w:line="360" w:lineRule="auto"/>
        <w:ind w:firstLine="470" w:firstLineChars="196"/>
      </w:pPr>
      <w:r>
        <w:t>投标文件如果出现计算或表达上的错误，修正错误的原则如下：</w:t>
      </w:r>
    </w:p>
    <w:p>
      <w:pPr>
        <w:pStyle w:val="18"/>
        <w:snapToGrid w:val="0"/>
        <w:spacing w:beforeLines="0" w:afterLines="0" w:line="360" w:lineRule="auto"/>
        <w:ind w:firstLine="470" w:firstLineChars="196"/>
      </w:pPr>
      <w:r>
        <w:t>1</w:t>
      </w:r>
      <w:r>
        <w:rPr>
          <w:rFonts w:hint="eastAsia"/>
        </w:rPr>
        <w:t>.开标一览表总价与投标报价明细表汇总数不一致的，以开标一览表为准；</w:t>
      </w:r>
    </w:p>
    <w:p>
      <w:pPr>
        <w:pStyle w:val="18"/>
        <w:snapToGrid w:val="0"/>
        <w:spacing w:beforeLines="0" w:afterLines="0" w:line="360" w:lineRule="auto"/>
        <w:ind w:firstLine="470" w:firstLineChars="196"/>
      </w:pPr>
      <w:r>
        <w:t>2</w:t>
      </w:r>
      <w:r>
        <w:rPr>
          <w:rFonts w:hint="eastAsia"/>
        </w:rPr>
        <w:t>.</w:t>
      </w:r>
      <w:r>
        <w:t>投标文件的大写金额和小写金额不一致的，以大写金额为准；</w:t>
      </w:r>
    </w:p>
    <w:p>
      <w:pPr>
        <w:pStyle w:val="18"/>
        <w:snapToGrid w:val="0"/>
        <w:spacing w:beforeLines="0" w:afterLines="0" w:line="360" w:lineRule="auto"/>
        <w:ind w:firstLine="470" w:firstLineChars="196"/>
      </w:pPr>
      <w:r>
        <w:t>3</w:t>
      </w:r>
      <w:r>
        <w:rPr>
          <w:rFonts w:hint="eastAsia"/>
        </w:rPr>
        <w:t>.</w:t>
      </w:r>
      <w:r>
        <w:t>总价金额与按单价汇总金额不一致的，以单价金额计算结果为准；</w:t>
      </w:r>
    </w:p>
    <w:p>
      <w:pPr>
        <w:pStyle w:val="18"/>
        <w:snapToGrid w:val="0"/>
        <w:spacing w:beforeLines="0" w:afterLines="0" w:line="360" w:lineRule="auto"/>
        <w:ind w:firstLine="470" w:firstLineChars="196"/>
      </w:pPr>
      <w:r>
        <w:t>4</w:t>
      </w:r>
      <w:r>
        <w:rPr>
          <w:rFonts w:hint="eastAsia"/>
        </w:rPr>
        <w:t>.</w:t>
      </w:r>
      <w:r>
        <w:t>对不同文字文本投标文件的解释发生异议的，以中文文本为准。</w:t>
      </w:r>
    </w:p>
    <w:p>
      <w:pPr>
        <w:pStyle w:val="18"/>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pPr>
        <w:pStyle w:val="18"/>
        <w:tabs>
          <w:tab w:val="left" w:pos="630"/>
        </w:tabs>
        <w:snapToGrid w:val="0"/>
        <w:spacing w:beforeLines="0" w:afterLines="0" w:line="360" w:lineRule="auto"/>
        <w:ind w:firstLine="472" w:firstLineChars="196"/>
        <w:rPr>
          <w:rFonts w:hAnsi="宋体"/>
          <w:b/>
        </w:rPr>
      </w:pPr>
      <w:r>
        <w:rPr>
          <w:rFonts w:hAnsi="宋体"/>
          <w:b/>
        </w:rPr>
        <w:t>（六）评标原则和评标办法</w:t>
      </w:r>
    </w:p>
    <w:p>
      <w:pPr>
        <w:pStyle w:val="18"/>
        <w:snapToGrid w:val="0"/>
        <w:spacing w:beforeLines="0" w:afterLines="0" w:line="360" w:lineRule="auto"/>
        <w:ind w:firstLine="470" w:firstLineChars="196"/>
      </w:pPr>
      <w:r>
        <w:t>1</w:t>
      </w:r>
      <w:r>
        <w:rPr>
          <w:rFonts w:hint="eastAsia"/>
        </w:rPr>
        <w:t>.</w:t>
      </w:r>
      <w: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beforeLines="0" w:afterLines="0" w:line="360" w:lineRule="auto"/>
        <w:ind w:firstLine="470" w:firstLineChars="196"/>
      </w:pPr>
      <w:r>
        <w:t>2</w:t>
      </w:r>
      <w:r>
        <w:rPr>
          <w:rFonts w:hint="eastAsia"/>
        </w:rPr>
        <w:t>.</w:t>
      </w:r>
      <w:r>
        <w:t>评标办法。本项目评标办法是本项目采取综合评分法，具体评标内容及评分标准等详见《第四章：评标办法及评分标准》。</w:t>
      </w:r>
    </w:p>
    <w:p>
      <w:pPr>
        <w:pStyle w:val="18"/>
        <w:snapToGrid w:val="0"/>
        <w:spacing w:beforeLines="0" w:afterLines="0" w:line="360" w:lineRule="auto"/>
        <w:ind w:firstLine="482" w:firstLineChars="200"/>
        <w:rPr>
          <w:rFonts w:hAnsi="宋体"/>
          <w:b/>
        </w:rPr>
      </w:pPr>
      <w:r>
        <w:rPr>
          <w:rFonts w:hint="eastAsia" w:hAnsi="宋体"/>
          <w:b/>
        </w:rPr>
        <w:t>（七）废标</w:t>
      </w:r>
    </w:p>
    <w:p>
      <w:pPr>
        <w:pStyle w:val="18"/>
        <w:snapToGrid w:val="0"/>
        <w:spacing w:beforeLines="0" w:afterLines="0" w:line="360" w:lineRule="auto"/>
        <w:ind w:firstLine="470" w:firstLineChars="196"/>
      </w:pPr>
      <w:r>
        <w:rPr>
          <w:rFonts w:hint="eastAsia"/>
        </w:rPr>
        <w:t>在采购中，出现下列情形之一的，应予废标：</w:t>
      </w:r>
    </w:p>
    <w:p>
      <w:pPr>
        <w:pStyle w:val="18"/>
        <w:snapToGrid w:val="0"/>
        <w:spacing w:beforeLines="0" w:afterLines="0" w:line="360" w:lineRule="auto"/>
        <w:ind w:firstLine="470" w:firstLineChars="196"/>
      </w:pPr>
      <w:r>
        <w:rPr>
          <w:rFonts w:hint="eastAsia"/>
        </w:rPr>
        <w:t>1.符合专业条件的供应商或者对招标文件作实质响应的供应商不足3家的；</w:t>
      </w:r>
    </w:p>
    <w:p>
      <w:pPr>
        <w:pStyle w:val="18"/>
        <w:snapToGrid w:val="0"/>
        <w:spacing w:beforeLines="0" w:afterLines="0" w:line="360" w:lineRule="auto"/>
        <w:ind w:firstLine="470" w:firstLineChars="196"/>
      </w:pPr>
      <w:r>
        <w:rPr>
          <w:rFonts w:hint="eastAsia"/>
        </w:rPr>
        <w:t>2.出现影响采购公正的违法、违规行为的；</w:t>
      </w:r>
    </w:p>
    <w:p>
      <w:pPr>
        <w:pStyle w:val="18"/>
        <w:snapToGrid w:val="0"/>
        <w:spacing w:beforeLines="0" w:afterLines="0" w:line="360" w:lineRule="auto"/>
        <w:ind w:firstLine="470" w:firstLineChars="196"/>
      </w:pPr>
      <w:r>
        <w:rPr>
          <w:rFonts w:hint="eastAsia"/>
        </w:rPr>
        <w:t>3.报价均超过预算，不能支付的；</w:t>
      </w:r>
    </w:p>
    <w:p>
      <w:pPr>
        <w:pStyle w:val="18"/>
        <w:snapToGrid w:val="0"/>
        <w:spacing w:beforeLines="0" w:afterLines="0" w:line="360" w:lineRule="auto"/>
        <w:ind w:firstLine="470" w:firstLineChars="196"/>
      </w:pPr>
      <w:r>
        <w:rPr>
          <w:rFonts w:hint="eastAsia"/>
        </w:rPr>
        <w:t>4.因重大变故，采购任务取消的。</w:t>
      </w:r>
    </w:p>
    <w:p>
      <w:pPr>
        <w:pStyle w:val="18"/>
        <w:snapToGrid w:val="0"/>
        <w:spacing w:beforeLines="0" w:afterLines="0" w:line="360" w:lineRule="auto"/>
        <w:ind w:firstLine="482" w:firstLineChars="200"/>
        <w:rPr>
          <w:rFonts w:hAnsi="宋体"/>
          <w:b/>
        </w:rPr>
      </w:pPr>
      <w:r>
        <w:rPr>
          <w:rFonts w:hint="eastAsia" w:hAnsi="宋体"/>
          <w:b/>
        </w:rPr>
        <w:t>（八）可中止电子交易活动的情形</w:t>
      </w:r>
    </w:p>
    <w:p>
      <w:pPr>
        <w:pStyle w:val="18"/>
        <w:snapToGrid w:val="0"/>
        <w:spacing w:beforeLines="0" w:afterLines="0" w:line="360" w:lineRule="auto"/>
        <w:ind w:firstLine="470" w:firstLineChars="196"/>
      </w:pPr>
      <w:r>
        <w:rPr>
          <w:rFonts w:hint="eastAsia"/>
        </w:rPr>
        <w:t>采购过程中出现以下情形，导致电子交易平台无法正常运行，或者无法保证电子交易的公平、公正和安全时，采购组织机构可中止电子交易活动：</w:t>
      </w:r>
    </w:p>
    <w:p>
      <w:pPr>
        <w:pStyle w:val="18"/>
        <w:snapToGrid w:val="0"/>
        <w:spacing w:beforeLines="0" w:afterLines="0" w:line="360" w:lineRule="auto"/>
        <w:ind w:firstLine="470" w:firstLineChars="196"/>
      </w:pPr>
      <w:r>
        <w:rPr>
          <w:rFonts w:hint="eastAsia"/>
        </w:rPr>
        <w:t>1、电子交易平台发生故障而无法登录访问的；</w:t>
      </w:r>
    </w:p>
    <w:p>
      <w:pPr>
        <w:pStyle w:val="18"/>
        <w:snapToGrid w:val="0"/>
        <w:spacing w:beforeLines="0" w:afterLines="0" w:line="360" w:lineRule="auto"/>
        <w:ind w:firstLine="470" w:firstLineChars="196"/>
      </w:pPr>
      <w:r>
        <w:rPr>
          <w:rFonts w:hint="eastAsia"/>
        </w:rPr>
        <w:t>2、电子交易平台应用或数据库出现错误，不能进行正常操作的；</w:t>
      </w:r>
    </w:p>
    <w:p>
      <w:pPr>
        <w:pStyle w:val="18"/>
        <w:snapToGrid w:val="0"/>
        <w:spacing w:beforeLines="0" w:afterLines="0" w:line="360" w:lineRule="auto"/>
        <w:ind w:firstLine="470" w:firstLineChars="196"/>
      </w:pPr>
      <w:r>
        <w:rPr>
          <w:rFonts w:hint="eastAsia"/>
        </w:rPr>
        <w:t>3、电子交易平台发现严重安全漏洞，有潜在泄密危险的；</w:t>
      </w:r>
    </w:p>
    <w:p>
      <w:pPr>
        <w:pStyle w:val="18"/>
        <w:snapToGrid w:val="0"/>
        <w:spacing w:beforeLines="0" w:afterLines="0" w:line="360" w:lineRule="auto"/>
        <w:ind w:firstLine="470" w:firstLineChars="196"/>
      </w:pPr>
      <w:r>
        <w:rPr>
          <w:rFonts w:hint="eastAsia"/>
        </w:rPr>
        <w:t>4、病毒发作导致不能进行正常操作的；</w:t>
      </w:r>
    </w:p>
    <w:p>
      <w:pPr>
        <w:pStyle w:val="18"/>
        <w:snapToGrid w:val="0"/>
        <w:spacing w:beforeLines="0" w:afterLines="0" w:line="360" w:lineRule="auto"/>
        <w:ind w:firstLine="470" w:firstLineChars="196"/>
      </w:pPr>
      <w:r>
        <w:rPr>
          <w:rFonts w:hint="eastAsia"/>
        </w:rPr>
        <w:t>5、其他无法保证电子交易的公平、公正和安全的情况。</w:t>
      </w:r>
    </w:p>
    <w:p>
      <w:pPr>
        <w:pStyle w:val="18"/>
        <w:snapToGrid w:val="0"/>
        <w:spacing w:beforeLines="0" w:afterLines="0" w:line="360" w:lineRule="auto"/>
        <w:ind w:firstLine="470" w:firstLineChars="196"/>
      </w:pPr>
      <w:r>
        <w:rPr>
          <w:rFonts w:hint="eastAsia"/>
        </w:rPr>
        <w:t>出现前款规定情形，不影响采购公平、公正性的，采购组织机构可以待上述情形消除后继续组织电子交易活动；影响或可能影响采购公平、公正性的，应当重新采购。</w:t>
      </w:r>
    </w:p>
    <w:p>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pPr>
        <w:pStyle w:val="18"/>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pPr>
        <w:pStyle w:val="18"/>
        <w:snapToGrid w:val="0"/>
        <w:spacing w:beforeLines="0" w:afterLines="0" w:line="360" w:lineRule="auto"/>
        <w:ind w:firstLine="470" w:firstLineChars="196"/>
      </w:pPr>
      <w:r>
        <w:rPr>
          <w:rFonts w:hint="eastAsia"/>
        </w:rPr>
        <w:t>1.采购人在收到评标报告后五个工作日内，依法确认中标供应商。</w:t>
      </w:r>
    </w:p>
    <w:p>
      <w:pPr>
        <w:pStyle w:val="18"/>
        <w:snapToGrid w:val="0"/>
        <w:spacing w:beforeLines="0" w:afterLines="0" w:line="360" w:lineRule="auto"/>
        <w:ind w:firstLine="470" w:firstLineChars="196"/>
      </w:pPr>
      <w:r>
        <w:rPr>
          <w:rFonts w:hint="eastAsia"/>
        </w:rPr>
        <w:t>2.中标供应商确定后，中标结果在财政部门指定的政府采购信息发布媒体上公告。</w:t>
      </w:r>
    </w:p>
    <w:p>
      <w:pPr>
        <w:pStyle w:val="18"/>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pPr>
        <w:pStyle w:val="18"/>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pPr>
        <w:pStyle w:val="18"/>
        <w:snapToGrid w:val="0"/>
        <w:spacing w:beforeLines="0" w:afterLines="0" w:line="360" w:lineRule="auto"/>
        <w:ind w:firstLine="470" w:firstLineChars="196"/>
      </w:pPr>
      <w:r>
        <w:rPr>
          <w:rFonts w:hint="eastAsia"/>
        </w:rPr>
        <w:t>5.中标通知书发出后，采购人改变中标结果，或者中标供应商放弃中标，应当承担相应的法律责任。</w:t>
      </w:r>
    </w:p>
    <w:p>
      <w:pPr>
        <w:pStyle w:val="18"/>
        <w:snapToGrid w:val="0"/>
        <w:spacing w:beforeLines="0" w:afterLines="0" w:line="360" w:lineRule="auto"/>
        <w:ind w:firstLine="470" w:firstLineChars="196"/>
      </w:pPr>
      <w:r>
        <w:rPr>
          <w:rFonts w:hint="eastAsia"/>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pPr>
        <w:pStyle w:val="18"/>
        <w:snapToGrid w:val="0"/>
        <w:spacing w:beforeLines="0" w:afterLines="0" w:line="360" w:lineRule="auto"/>
        <w:ind w:firstLine="472" w:firstLineChars="196"/>
        <w:rPr>
          <w:rFonts w:hAnsi="宋体"/>
          <w:b/>
        </w:rPr>
      </w:pPr>
      <w:r>
        <w:rPr>
          <w:rFonts w:hint="eastAsia" w:hAnsi="宋体"/>
          <w:b/>
        </w:rPr>
        <w:t>（二）中标通知书</w:t>
      </w:r>
    </w:p>
    <w:p>
      <w:pPr>
        <w:pStyle w:val="18"/>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pPr>
        <w:pStyle w:val="18"/>
        <w:snapToGrid w:val="0"/>
        <w:spacing w:beforeLines="0" w:afterLines="0" w:line="360" w:lineRule="auto"/>
        <w:ind w:firstLine="470" w:firstLineChars="196"/>
      </w:pPr>
      <w:r>
        <w:rPr>
          <w:rFonts w:hint="eastAsia"/>
        </w:rPr>
        <w:t>2.中标通知书为双方签订合同的依据。</w:t>
      </w:r>
    </w:p>
    <w:p>
      <w:pPr>
        <w:pStyle w:val="18"/>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18"/>
        <w:snapToGrid w:val="0"/>
        <w:spacing w:beforeLines="0" w:afterLines="0" w:line="360" w:lineRule="auto"/>
        <w:ind w:firstLine="472" w:firstLineChars="196"/>
        <w:rPr>
          <w:rFonts w:hAnsi="宋体"/>
          <w:b/>
        </w:rPr>
      </w:pPr>
      <w:r>
        <w:rPr>
          <w:rFonts w:hAnsi="宋体"/>
          <w:b/>
        </w:rPr>
        <w:t>（二）履约保证金</w:t>
      </w:r>
    </w:p>
    <w:p>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签订合同前，中标人应按采购代理机构根据招标文件确定的履约保证金的金额，向采购</w:t>
      </w:r>
      <w:r>
        <w:rPr>
          <w:rFonts w:hint="eastAsia" w:hAnsi="宋体"/>
        </w:rPr>
        <w:t>人</w:t>
      </w:r>
      <w:r>
        <w:rPr>
          <w:rFonts w:hAnsi="宋体"/>
        </w:rPr>
        <w:t>交纳履约保证金。</w:t>
      </w:r>
    </w:p>
    <w:p>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签订合同后，如中标人不按双方合同约定履约，则没收其全部履约保证金，履约保证金不足以赔偿损失的，按实际损失赔偿。</w:t>
      </w:r>
    </w:p>
    <w:p>
      <w:pPr>
        <w:pStyle w:val="18"/>
        <w:snapToGrid w:val="0"/>
        <w:spacing w:beforeLines="0" w:afterLines="0" w:line="360" w:lineRule="auto"/>
        <w:ind w:firstLine="470" w:firstLineChars="196"/>
        <w:outlineLvl w:val="1"/>
        <w:rPr>
          <w:rFonts w:hAnsi="宋体"/>
        </w:rPr>
      </w:pPr>
      <w:r>
        <w:rPr>
          <w:rFonts w:hAnsi="宋体"/>
        </w:rPr>
        <w:t>3</w:t>
      </w:r>
      <w:r>
        <w:rPr>
          <w:rFonts w:hint="eastAsia" w:hAnsi="宋体"/>
        </w:rPr>
        <w:t>. 本项目的履约保证金为合同价的2.5%；履约保证金形式为：现金或银行、保险公司出具的保函；中标人应根据采购人要求汇入采购人指定账号或提供保函。项目终验合格后，退还履约保证金。</w:t>
      </w:r>
    </w:p>
    <w:p>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(三)其他</w:t>
      </w:r>
    </w:p>
    <w:p>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（5）拒绝履行合同义务的；</w:t>
      </w:r>
    </w:p>
    <w:p>
      <w:pPr>
        <w:snapToGrid w:val="0"/>
        <w:spacing w:line="360" w:lineRule="auto"/>
        <w:ind w:firstLine="470" w:firstLineChars="196"/>
        <w:rPr>
          <w:rFonts w:ascii="宋体" w:hAnsi="宋体"/>
          <w:sz w:val="24"/>
        </w:rPr>
      </w:pPr>
      <w:r>
        <w:rPr>
          <w:rFonts w:hint="eastAsia" w:ascii="宋体" w:hAnsi="宋体"/>
          <w:sz w:val="24"/>
        </w:rPr>
        <w:t>（6）其他严重扰乱招投标程序的。</w:t>
      </w: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snapToGrid w:val="0"/>
        <w:spacing w:line="360" w:lineRule="auto"/>
        <w:ind w:firstLine="470" w:firstLineChars="196"/>
        <w:rPr>
          <w:rFonts w:ascii="宋体" w:hAnsi="宋体"/>
          <w:sz w:val="24"/>
        </w:rPr>
      </w:pPr>
    </w:p>
    <w:p>
      <w:pPr>
        <w:pStyle w:val="18"/>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湖州市吴兴区教育局升降式课桌椅项目</w:t>
      </w:r>
      <w:r>
        <w:rPr>
          <w:rFonts w:hint="eastAsia" w:ascii="宋体" w:hAnsi="宋体"/>
          <w:sz w:val="24"/>
        </w:rPr>
        <w:t>》</w:t>
      </w:r>
      <w:r>
        <w:rPr>
          <w:rFonts w:hint="eastAsia"/>
          <w:sz w:val="24"/>
        </w:rPr>
        <w:t>采购文件</w:t>
      </w:r>
      <w:r>
        <w:rPr>
          <w:rFonts w:hint="eastAsia" w:ascii="宋体" w:hAnsi="宋体"/>
          <w:sz w:val="24"/>
        </w:rPr>
        <w:t>规定，并结合本项目的实际，制定本办法。</w:t>
      </w:r>
    </w:p>
    <w:p>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湖州市吴兴区教育局升降式课桌椅项目</w:t>
      </w:r>
      <w:r>
        <w:rPr>
          <w:rFonts w:hint="eastAsia" w:ascii="宋体" w:hAnsi="宋体"/>
          <w:bCs/>
          <w:sz w:val="24"/>
          <w:szCs w:val="48"/>
        </w:rPr>
        <w:t>的评标。</w:t>
      </w:r>
    </w:p>
    <w:p>
      <w:pPr>
        <w:spacing w:line="360" w:lineRule="auto"/>
        <w:ind w:firstLine="551" w:firstLineChars="196"/>
        <w:rPr>
          <w:rFonts w:ascii="宋体" w:hAnsi="宋体"/>
          <w:b/>
          <w:sz w:val="28"/>
          <w:szCs w:val="28"/>
        </w:rPr>
      </w:pPr>
      <w:r>
        <w:rPr>
          <w:rFonts w:hint="eastAsia" w:ascii="宋体" w:hAnsi="宋体"/>
          <w:b/>
          <w:sz w:val="28"/>
          <w:szCs w:val="28"/>
        </w:rPr>
        <w:t>一、总则</w:t>
      </w:r>
    </w:p>
    <w:p>
      <w:pPr>
        <w:spacing w:line="360" w:lineRule="auto"/>
        <w:ind w:firstLine="480" w:firstLineChars="200"/>
        <w:rPr>
          <w:rFonts w:ascii="宋体" w:hAnsi="宋体"/>
          <w:sz w:val="24"/>
        </w:rPr>
      </w:pPr>
      <w:r>
        <w:rPr>
          <w:rFonts w:hint="eastAsia" w:ascii="宋体" w:hAnsi="宋体"/>
          <w:sz w:val="24"/>
        </w:rPr>
        <w:t>本次评标采用综合评分法，</w:t>
      </w:r>
      <w:r>
        <w:rPr>
          <w:rFonts w:hint="eastAsia" w:ascii="宋体" w:hAnsi="宋体"/>
          <w:b/>
          <w:sz w:val="24"/>
        </w:rPr>
        <w:t>总分为100分，包含：价格分（30分）、技术、商务、资信及其他分（70分）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w:t>
      </w:r>
      <w:r>
        <w:rPr>
          <w:rFonts w:hint="eastAsia" w:ascii="宋体" w:hAnsi="宋体"/>
          <w:sz w:val="24"/>
          <w:lang w:eastAsia="zh-CN"/>
        </w:rPr>
        <w:t>每个标项</w:t>
      </w:r>
      <w:r>
        <w:rPr>
          <w:rFonts w:hint="eastAsia" w:ascii="宋体" w:hAnsi="宋体"/>
          <w:sz w:val="24"/>
        </w:rPr>
        <w:t>排名第一的投标人为中标人。</w:t>
      </w:r>
      <w:r>
        <w:rPr>
          <w:rFonts w:hint="eastAsia" w:ascii="宋体" w:hAnsi="宋体"/>
          <w:bCs/>
          <w:sz w:val="24"/>
        </w:rPr>
        <w:t>评分过程中采用四舍五入法，并保留小数2位</w:t>
      </w:r>
      <w:r>
        <w:rPr>
          <w:rFonts w:hint="eastAsia" w:ascii="宋体" w:hAnsi="宋体"/>
          <w:b/>
          <w:bCs/>
          <w:sz w:val="24"/>
        </w:rPr>
        <w:t>（</w:t>
      </w:r>
      <w:r>
        <w:rPr>
          <w:rFonts w:hint="eastAsia" w:ascii="宋体" w:hAnsi="宋体" w:cs="宋体"/>
          <w:b/>
          <w:kern w:val="0"/>
          <w:sz w:val="24"/>
        </w:rPr>
        <w:t>本项目分为4个标项，投标人可根据自身能力选择一个或多个标项参与投标，且</w:t>
      </w:r>
      <w:r>
        <w:rPr>
          <w:rFonts w:hint="eastAsia" w:ascii="宋体" w:hAnsi="宋体" w:cs="宋体"/>
          <w:b/>
          <w:sz w:val="24"/>
        </w:rPr>
        <w:t>可以同时参与多个标项的评审，但一个</w:t>
      </w:r>
      <w:r>
        <w:rPr>
          <w:rFonts w:hint="eastAsia" w:ascii="宋体" w:hAnsi="宋体"/>
          <w:b/>
          <w:sz w:val="24"/>
        </w:rPr>
        <w:t>投标人</w:t>
      </w:r>
      <w:r>
        <w:rPr>
          <w:rFonts w:hint="eastAsia" w:ascii="宋体" w:hAnsi="宋体" w:cs="宋体"/>
          <w:b/>
          <w:sz w:val="24"/>
        </w:rPr>
        <w:t>只能中标一个标项；</w:t>
      </w:r>
      <w:r>
        <w:rPr>
          <w:rFonts w:hint="eastAsia" w:ascii="宋体" w:hAnsi="宋体"/>
          <w:b/>
          <w:bCs/>
          <w:sz w:val="24"/>
        </w:rPr>
        <w:t>按标项1，标项2，标项3，标项4的顺序确定中标人</w:t>
      </w:r>
      <w:r>
        <w:rPr>
          <w:rFonts w:hint="eastAsia" w:ascii="宋体" w:hAnsi="宋体" w:cs="宋体"/>
          <w:b/>
          <w:kern w:val="0"/>
          <w:sz w:val="24"/>
        </w:rPr>
        <w:t>，</w:t>
      </w:r>
      <w:r>
        <w:rPr>
          <w:rFonts w:hint="eastAsia" w:ascii="宋体" w:hAnsi="宋体" w:cs="宋体"/>
          <w:b/>
          <w:sz w:val="24"/>
        </w:rPr>
        <w:t>已中标的</w:t>
      </w:r>
      <w:r>
        <w:rPr>
          <w:rFonts w:hint="eastAsia" w:ascii="宋体" w:hAnsi="宋体"/>
          <w:b/>
          <w:sz w:val="24"/>
        </w:rPr>
        <w:t>投标人</w:t>
      </w:r>
      <w:r>
        <w:rPr>
          <w:rFonts w:hint="eastAsia" w:ascii="宋体" w:hAnsi="宋体" w:cs="宋体"/>
          <w:b/>
          <w:sz w:val="24"/>
        </w:rPr>
        <w:t>仍然进入下一标项的评审，但不再确定为中标人）</w:t>
      </w:r>
      <w:r>
        <w:rPr>
          <w:rFonts w:hint="eastAsia" w:ascii="宋体" w:hAnsi="宋体"/>
          <w:bCs/>
          <w:sz w:val="24"/>
        </w:rPr>
        <w:t>。</w:t>
      </w:r>
    </w:p>
    <w:p>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pPr>
        <w:spacing w:line="360" w:lineRule="auto"/>
        <w:ind w:firstLine="562" w:firstLineChars="200"/>
        <w:rPr>
          <w:rFonts w:ascii="宋体" w:hAnsi="宋体"/>
          <w:b/>
          <w:sz w:val="28"/>
          <w:szCs w:val="28"/>
        </w:rPr>
      </w:pPr>
      <w:r>
        <w:rPr>
          <w:rFonts w:hint="eastAsia" w:ascii="宋体" w:hAnsi="宋体"/>
          <w:b/>
          <w:sz w:val="28"/>
          <w:szCs w:val="28"/>
        </w:rPr>
        <w:t>二、评标内容及标准</w:t>
      </w:r>
    </w:p>
    <w:p>
      <w:pPr>
        <w:pStyle w:val="14"/>
        <w:spacing w:line="360" w:lineRule="auto"/>
        <w:ind w:firstLine="466" w:firstLineChars="200"/>
        <w:rPr>
          <w:rFonts w:hAnsi="宋体"/>
          <w:b/>
          <w:bCs/>
          <w:sz w:val="24"/>
        </w:rPr>
      </w:pPr>
      <w:r>
        <w:rPr>
          <w:rFonts w:hint="eastAsia" w:hAnsi="宋体"/>
          <w:b/>
          <w:sz w:val="24"/>
        </w:rPr>
        <w:t>（一）</w:t>
      </w:r>
      <w:r>
        <w:rPr>
          <w:rFonts w:hint="eastAsia" w:hAnsi="宋体"/>
          <w:b/>
          <w:bCs/>
          <w:sz w:val="24"/>
        </w:rPr>
        <w:t>价格分（30分）</w:t>
      </w:r>
    </w:p>
    <w:p>
      <w:pPr>
        <w:pStyle w:val="14"/>
        <w:spacing w:line="360" w:lineRule="auto"/>
        <w:ind w:firstLine="464"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pPr>
        <w:spacing w:line="360" w:lineRule="auto"/>
        <w:ind w:firstLine="480" w:firstLineChars="200"/>
        <w:rPr>
          <w:rFonts w:ascii="宋体" w:hAnsi="宋体"/>
          <w:sz w:val="24"/>
        </w:rPr>
      </w:pPr>
      <w:r>
        <w:rPr>
          <w:rFonts w:hint="eastAsia" w:ascii="宋体" w:hAnsi="宋体"/>
          <w:sz w:val="24"/>
        </w:rPr>
        <w:t>价格分=（评标基准价/投标报价）×30%×100</w:t>
      </w:r>
    </w:p>
    <w:p>
      <w:pPr>
        <w:spacing w:line="360" w:lineRule="auto"/>
        <w:ind w:firstLine="466" w:firstLineChars="200"/>
        <w:rPr>
          <w:rFonts w:ascii="宋体" w:hAnsi="宋体"/>
          <w:b/>
          <w:spacing w:val="-4"/>
          <w:sz w:val="24"/>
          <w:szCs w:val="20"/>
        </w:rPr>
      </w:pPr>
      <w:r>
        <w:rPr>
          <w:rFonts w:hint="eastAsia" w:ascii="宋体" w:hAnsi="宋体"/>
          <w:b/>
          <w:spacing w:val="-4"/>
          <w:sz w:val="24"/>
          <w:szCs w:val="20"/>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spacing w:line="360" w:lineRule="auto"/>
        <w:ind w:firstLine="466" w:firstLineChars="200"/>
        <w:rPr>
          <w:rFonts w:hAnsi="宋体"/>
          <w:b/>
          <w:sz w:val="24"/>
        </w:rPr>
      </w:pPr>
      <w:r>
        <w:rPr>
          <w:rFonts w:hint="eastAsia" w:hAnsi="宋体"/>
          <w:b/>
          <w:sz w:val="24"/>
        </w:rPr>
        <w:t>（二）技术、商务、资信及其他分(70分)</w:t>
      </w:r>
    </w:p>
    <w:tbl>
      <w:tblPr>
        <w:tblStyle w:val="33"/>
        <w:tblW w:w="10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Layout w:type="fixed"/>
        <w:tblCellMar>
          <w:top w:w="0" w:type="dxa"/>
          <w:left w:w="108" w:type="dxa"/>
          <w:bottom w:w="0" w:type="dxa"/>
          <w:right w:w="108" w:type="dxa"/>
        </w:tblCellMar>
      </w:tblPr>
      <w:tblGrid>
        <w:gridCol w:w="617"/>
        <w:gridCol w:w="1618"/>
        <w:gridCol w:w="7076"/>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c>
          <w:tcPr>
            <w:tcW w:w="617" w:type="dxa"/>
            <w:shd w:val="clear" w:color="auto" w:fill="auto"/>
            <w:vAlign w:val="center"/>
          </w:tcPr>
          <w:p>
            <w:pPr>
              <w:autoSpaceDE w:val="0"/>
              <w:autoSpaceDN w:val="0"/>
              <w:spacing w:after="120" w:line="369" w:lineRule="exact"/>
              <w:ind w:right="-69" w:rightChars="-33"/>
              <w:jc w:val="center"/>
              <w:rPr>
                <w:rFonts w:ascii="宋体" w:hAnsi="宋体" w:cs="仿宋"/>
                <w:b/>
                <w:color w:val="000000"/>
                <w:kern w:val="0"/>
                <w:sz w:val="24"/>
                <w:lang w:val="zh-CN" w:bidi="zh-CN"/>
              </w:rPr>
            </w:pPr>
            <w:r>
              <w:rPr>
                <w:rFonts w:hint="eastAsia" w:ascii="宋体" w:hAnsi="宋体" w:cs="仿宋"/>
                <w:b/>
                <w:color w:val="000000"/>
                <w:kern w:val="0"/>
                <w:sz w:val="24"/>
                <w:lang w:val="zh-CN" w:bidi="zh-CN"/>
              </w:rPr>
              <w:t>序号</w:t>
            </w:r>
          </w:p>
        </w:tc>
        <w:tc>
          <w:tcPr>
            <w:tcW w:w="1618" w:type="dxa"/>
            <w:shd w:val="clear" w:color="auto" w:fill="auto"/>
            <w:vAlign w:val="center"/>
          </w:tcPr>
          <w:p>
            <w:pPr>
              <w:autoSpaceDE w:val="0"/>
              <w:autoSpaceDN w:val="0"/>
              <w:spacing w:after="120" w:line="369" w:lineRule="exact"/>
              <w:ind w:right="-65" w:rightChars="-31"/>
              <w:jc w:val="center"/>
              <w:rPr>
                <w:rFonts w:ascii="宋体" w:hAnsi="宋体" w:cs="仿宋"/>
                <w:b/>
                <w:color w:val="000000"/>
                <w:kern w:val="0"/>
                <w:sz w:val="24"/>
                <w:lang w:val="zh-CN" w:bidi="zh-CN"/>
              </w:rPr>
            </w:pPr>
            <w:r>
              <w:rPr>
                <w:rFonts w:hint="eastAsia" w:ascii="宋体" w:hAnsi="宋体" w:cs="仿宋"/>
                <w:b/>
                <w:color w:val="000000"/>
                <w:kern w:val="0"/>
                <w:sz w:val="24"/>
                <w:lang w:val="zh-CN" w:bidi="zh-CN"/>
              </w:rPr>
              <w:t>评审内容</w:t>
            </w:r>
          </w:p>
        </w:tc>
        <w:tc>
          <w:tcPr>
            <w:tcW w:w="7076" w:type="dxa"/>
            <w:shd w:val="clear" w:color="auto" w:fill="auto"/>
            <w:vAlign w:val="center"/>
          </w:tcPr>
          <w:p>
            <w:pPr>
              <w:autoSpaceDE w:val="0"/>
              <w:autoSpaceDN w:val="0"/>
              <w:spacing w:after="120" w:line="369" w:lineRule="exact"/>
              <w:ind w:right="-250" w:rightChars="-119"/>
              <w:jc w:val="center"/>
              <w:rPr>
                <w:rFonts w:ascii="宋体" w:hAnsi="宋体" w:cs="仿宋"/>
                <w:b/>
                <w:color w:val="000000"/>
                <w:kern w:val="0"/>
                <w:sz w:val="24"/>
                <w:lang w:val="zh-CN" w:bidi="zh-CN"/>
              </w:rPr>
            </w:pPr>
            <w:r>
              <w:rPr>
                <w:rFonts w:hint="eastAsia" w:ascii="宋体" w:hAnsi="宋体" w:cs="仿宋"/>
                <w:b/>
                <w:color w:val="000000"/>
                <w:kern w:val="0"/>
                <w:sz w:val="24"/>
                <w:lang w:val="zh-CN" w:bidi="zh-CN"/>
              </w:rPr>
              <w:t>评分标准</w:t>
            </w:r>
          </w:p>
        </w:tc>
        <w:tc>
          <w:tcPr>
            <w:tcW w:w="990" w:type="dxa"/>
            <w:shd w:val="clear" w:color="auto" w:fill="auto"/>
            <w:vAlign w:val="center"/>
          </w:tcPr>
          <w:p>
            <w:pPr>
              <w:tabs>
                <w:tab w:val="left" w:pos="634"/>
              </w:tabs>
              <w:autoSpaceDE w:val="0"/>
              <w:autoSpaceDN w:val="0"/>
              <w:spacing w:after="120" w:line="369" w:lineRule="exact"/>
              <w:jc w:val="center"/>
              <w:rPr>
                <w:rFonts w:ascii="宋体" w:hAnsi="宋体" w:cs="仿宋"/>
                <w:b/>
                <w:color w:val="000000"/>
                <w:kern w:val="0"/>
                <w:sz w:val="24"/>
                <w:lang w:val="zh-CN" w:bidi="zh-CN"/>
              </w:rPr>
            </w:pPr>
            <w:r>
              <w:rPr>
                <w:rFonts w:hint="eastAsia" w:ascii="宋体" w:hAnsi="宋体" w:cs="仿宋"/>
                <w:b/>
                <w:color w:val="000000"/>
                <w:kern w:val="0"/>
                <w:sz w:val="24"/>
                <w:lang w:val="zh-CN" w:bidi="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500" w:hRule="atLeast"/>
        </w:trPr>
        <w:tc>
          <w:tcPr>
            <w:tcW w:w="617" w:type="dxa"/>
            <w:shd w:val="clear" w:color="auto" w:fill="auto"/>
            <w:vAlign w:val="center"/>
          </w:tcPr>
          <w:p>
            <w:pPr>
              <w:autoSpaceDE w:val="0"/>
              <w:autoSpaceDN w:val="0"/>
              <w:spacing w:after="120" w:line="369" w:lineRule="exact"/>
              <w:ind w:right="-21" w:rightChars="-10"/>
              <w:jc w:val="center"/>
              <w:rPr>
                <w:rFonts w:ascii="宋体" w:hAnsi="宋体" w:cs="仿宋"/>
                <w:b/>
                <w:color w:val="000000"/>
                <w:kern w:val="0"/>
                <w:sz w:val="24"/>
                <w:lang w:val="zh-CN" w:bidi="zh-CN"/>
              </w:rPr>
            </w:pPr>
          </w:p>
        </w:tc>
        <w:tc>
          <w:tcPr>
            <w:tcW w:w="8694" w:type="dxa"/>
            <w:gridSpan w:val="2"/>
            <w:shd w:val="clear" w:color="auto" w:fill="auto"/>
            <w:vAlign w:val="center"/>
          </w:tcPr>
          <w:p>
            <w:pPr>
              <w:autoSpaceDE w:val="0"/>
              <w:autoSpaceDN w:val="0"/>
              <w:spacing w:after="120" w:line="369" w:lineRule="exact"/>
              <w:ind w:right="1470" w:rightChars="700"/>
              <w:jc w:val="center"/>
              <w:rPr>
                <w:rFonts w:ascii="宋体" w:hAnsi="宋体" w:cs="仿宋"/>
                <w:b/>
                <w:color w:val="000000"/>
                <w:kern w:val="0"/>
                <w:sz w:val="24"/>
                <w:lang w:bidi="zh-CN"/>
              </w:rPr>
            </w:pPr>
            <w:r>
              <w:rPr>
                <w:rFonts w:hint="eastAsia" w:ascii="宋体" w:hAnsi="宋体" w:cs="仿宋"/>
                <w:b/>
                <w:color w:val="000000"/>
                <w:kern w:val="0"/>
                <w:sz w:val="24"/>
                <w:lang w:val="zh-CN" w:bidi="zh-CN"/>
              </w:rPr>
              <w:t>技术分</w:t>
            </w:r>
          </w:p>
        </w:tc>
        <w:tc>
          <w:tcPr>
            <w:tcW w:w="990" w:type="dxa"/>
            <w:shd w:val="clear" w:color="auto" w:fill="auto"/>
            <w:vAlign w:val="center"/>
          </w:tcPr>
          <w:p>
            <w:pPr>
              <w:autoSpaceDE w:val="0"/>
              <w:autoSpaceDN w:val="0"/>
              <w:spacing w:after="120" w:line="369" w:lineRule="exact"/>
              <w:ind w:firstLine="41" w:firstLineChars="17"/>
              <w:rPr>
                <w:rFonts w:ascii="宋体" w:hAnsi="宋体" w:cs="仿宋"/>
                <w:b/>
                <w:color w:val="000000"/>
                <w:kern w:val="0"/>
                <w:sz w:val="24"/>
                <w:lang w:val="zh-CN" w:bidi="zh-CN"/>
              </w:rPr>
            </w:pPr>
            <w:r>
              <w:rPr>
                <w:rFonts w:hint="eastAsia" w:ascii="宋体" w:hAnsi="宋体" w:cs="仿宋"/>
                <w:b/>
                <w:color w:val="000000"/>
                <w:kern w:val="0"/>
                <w:sz w:val="24"/>
                <w:lang w:val="zh-CN" w:bidi="zh-CN"/>
              </w:rPr>
              <w:t>5</w:t>
            </w:r>
            <w:r>
              <w:rPr>
                <w:rFonts w:hint="eastAsia" w:ascii="宋体" w:hAnsi="宋体" w:cs="仿宋"/>
                <w:b/>
                <w:color w:val="000000"/>
                <w:kern w:val="0"/>
                <w:sz w:val="24"/>
                <w:lang w:bidi="zh-CN"/>
              </w:rPr>
              <w:t>2</w:t>
            </w:r>
            <w:r>
              <w:rPr>
                <w:rFonts w:hint="eastAsia" w:ascii="宋体" w:hAnsi="宋体"/>
                <w:b/>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531"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1</w:t>
            </w:r>
          </w:p>
        </w:tc>
        <w:tc>
          <w:tcPr>
            <w:tcW w:w="1618" w:type="dxa"/>
            <w:shd w:val="clear" w:color="auto" w:fill="auto"/>
            <w:vAlign w:val="center"/>
          </w:tcPr>
          <w:p>
            <w:pPr>
              <w:widowControl/>
              <w:jc w:val="left"/>
              <w:rPr>
                <w:rFonts w:ascii="宋体" w:hAnsi="宋体"/>
                <w:color w:val="000000"/>
                <w:sz w:val="24"/>
              </w:rPr>
            </w:pPr>
            <w:r>
              <w:rPr>
                <w:rFonts w:hint="eastAsia" w:ascii="宋体" w:hAnsi="宋体"/>
                <w:color w:val="000000"/>
                <w:sz w:val="24"/>
              </w:rPr>
              <w:t>满足招标项目的性能及技术指标要求</w:t>
            </w:r>
          </w:p>
        </w:tc>
        <w:tc>
          <w:tcPr>
            <w:tcW w:w="7076" w:type="dxa"/>
            <w:shd w:val="clear" w:color="auto" w:fill="auto"/>
            <w:vAlign w:val="center"/>
          </w:tcPr>
          <w:p>
            <w:pPr>
              <w:widowControl/>
              <w:jc w:val="left"/>
              <w:rPr>
                <w:sz w:val="24"/>
              </w:rPr>
            </w:pPr>
            <w:r>
              <w:rPr>
                <w:rFonts w:hint="eastAsia" w:ascii="宋体" w:hAnsi="宋体"/>
                <w:color w:val="000000"/>
                <w:sz w:val="24"/>
              </w:rPr>
              <w:t>满足招标文件要求的</w:t>
            </w:r>
            <w:r>
              <w:rPr>
                <w:rFonts w:hint="eastAsia" w:ascii="宋体" w:hAnsi="宋体" w:cs="宋体"/>
                <w:color w:val="000000"/>
                <w:kern w:val="0"/>
                <w:sz w:val="24"/>
              </w:rPr>
              <w:t>部件整体性能、技术参数、技术规格、技术规范和技术要求的</w:t>
            </w:r>
            <w:r>
              <w:rPr>
                <w:rFonts w:hint="eastAsia" w:ascii="宋体" w:hAnsi="宋体"/>
                <w:color w:val="000000"/>
                <w:sz w:val="24"/>
              </w:rPr>
              <w:t>，得基本3分；</w:t>
            </w:r>
            <w:r>
              <w:rPr>
                <w:rFonts w:hint="eastAsia" w:ascii="宋体" w:hAnsi="宋体" w:cs="宋体"/>
                <w:color w:val="000000"/>
                <w:kern w:val="0"/>
                <w:sz w:val="24"/>
              </w:rPr>
              <w:t>优于招标文件要求的部件整体性能、技术参数、技术规格、技术规范和技术要求的，</w:t>
            </w:r>
            <w:r>
              <w:rPr>
                <w:rFonts w:hint="eastAsia" w:ascii="宋体" w:hAnsi="宋体" w:cs="宋体"/>
                <w:color w:val="000000"/>
                <w:kern w:val="0"/>
                <w:sz w:val="24"/>
                <w:lang w:bidi="ar"/>
              </w:rPr>
              <w:t>每优于一项加 1 分，</w:t>
            </w:r>
            <w:r>
              <w:rPr>
                <w:rFonts w:hint="eastAsia" w:ascii="宋体" w:hAnsi="宋体" w:cs="宋体"/>
                <w:color w:val="000000"/>
                <w:kern w:val="0"/>
                <w:sz w:val="24"/>
              </w:rPr>
              <w:t>总加分不得超过 7 分；低于招标文件要求的部件整体性能、技术参数、技术规格、技术规范和技术要求的</w:t>
            </w:r>
            <w:r>
              <w:rPr>
                <w:rFonts w:hint="eastAsia" w:ascii="宋体" w:hAnsi="宋体" w:cs="宋体"/>
                <w:color w:val="000000"/>
                <w:kern w:val="0"/>
                <w:sz w:val="24"/>
                <w:lang w:bidi="ar"/>
              </w:rPr>
              <w:t>，每低于一项扣 1 分</w:t>
            </w:r>
            <w:r>
              <w:rPr>
                <w:rFonts w:hint="eastAsia" w:ascii="宋体" w:hAnsi="宋体" w:cs="宋体"/>
                <w:color w:val="000000"/>
                <w:kern w:val="0"/>
                <w:sz w:val="24"/>
              </w:rPr>
              <w:t>；扣完为止。</w:t>
            </w:r>
          </w:p>
        </w:tc>
        <w:tc>
          <w:tcPr>
            <w:tcW w:w="990" w:type="dxa"/>
            <w:shd w:val="clear" w:color="auto" w:fill="auto"/>
            <w:vAlign w:val="center"/>
          </w:tcPr>
          <w:p>
            <w:pPr>
              <w:widowControl/>
              <w:jc w:val="left"/>
              <w:rPr>
                <w:rFonts w:ascii="宋体" w:hAnsi="宋体"/>
                <w:color w:val="000000"/>
                <w:sz w:val="24"/>
              </w:rPr>
            </w:pPr>
            <w:r>
              <w:rPr>
                <w:rFonts w:hint="eastAsia" w:ascii="宋体" w:hAnsi="宋体"/>
                <w:color w:val="000000"/>
                <w:sz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2</w:t>
            </w:r>
          </w:p>
        </w:tc>
        <w:tc>
          <w:tcPr>
            <w:tcW w:w="1618" w:type="dxa"/>
            <w:shd w:val="clear" w:color="auto" w:fill="auto"/>
            <w:vAlign w:val="center"/>
          </w:tcPr>
          <w:p>
            <w:pPr>
              <w:pStyle w:val="14"/>
              <w:spacing w:before="120" w:beforeLines="50" w:after="120" w:afterLines="50" w:line="240" w:lineRule="auto"/>
              <w:ind w:firstLine="0"/>
              <w:jc w:val="left"/>
              <w:rPr>
                <w:rFonts w:hAnsi="宋体"/>
                <w:spacing w:val="0"/>
                <w:sz w:val="24"/>
                <w:szCs w:val="24"/>
              </w:rPr>
            </w:pPr>
            <w:r>
              <w:rPr>
                <w:rFonts w:hint="eastAsia" w:hAnsi="宋体"/>
                <w:spacing w:val="0"/>
                <w:sz w:val="24"/>
                <w:szCs w:val="24"/>
              </w:rPr>
              <w:t>实施方案</w:t>
            </w:r>
          </w:p>
        </w:tc>
        <w:tc>
          <w:tcPr>
            <w:tcW w:w="7076" w:type="dxa"/>
            <w:shd w:val="clear" w:color="auto" w:fill="auto"/>
            <w:vAlign w:val="center"/>
          </w:tcPr>
          <w:p>
            <w:pPr>
              <w:adjustRightInd w:val="0"/>
              <w:spacing w:before="120" w:beforeLines="50" w:line="240" w:lineRule="atLeast"/>
              <w:jc w:val="left"/>
              <w:rPr>
                <w:rFonts w:ascii="宋体" w:hAnsi="宋体"/>
                <w:sz w:val="24"/>
              </w:rPr>
            </w:pPr>
            <w:r>
              <w:rPr>
                <w:rFonts w:hint="eastAsia" w:ascii="宋体" w:hAnsi="宋体"/>
                <w:sz w:val="24"/>
              </w:rPr>
              <w:t>对本项目的掌握程度，提供详细的解决方案。方案科学、合理、实用可靠，能完全满足招标人需求的得5分，方案中有不合理或不适合本项目开展的内容，每项扣0.5分，扣完为止。</w:t>
            </w:r>
          </w:p>
        </w:tc>
        <w:tc>
          <w:tcPr>
            <w:tcW w:w="990" w:type="dxa"/>
            <w:shd w:val="clear" w:color="auto" w:fill="auto"/>
            <w:vAlign w:val="center"/>
          </w:tcPr>
          <w:p>
            <w:pPr>
              <w:widowControl/>
              <w:spacing w:after="120"/>
              <w:jc w:val="left"/>
              <w:rPr>
                <w:rFonts w:ascii="宋体" w:hAnsi="宋体"/>
                <w:sz w:val="24"/>
              </w:rPr>
            </w:pPr>
            <w:r>
              <w:rPr>
                <w:rFonts w:hint="eastAsia" w:ascii="宋体" w:hAnsi="宋体"/>
                <w:sz w:val="24"/>
              </w:rPr>
              <w:t>5</w:t>
            </w:r>
            <w:r>
              <w:rPr>
                <w:rFonts w:ascii="宋体" w:hAnsi="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3</w:t>
            </w:r>
          </w:p>
        </w:tc>
        <w:tc>
          <w:tcPr>
            <w:tcW w:w="1618" w:type="dxa"/>
            <w:shd w:val="clear" w:color="auto" w:fill="auto"/>
            <w:vAlign w:val="center"/>
          </w:tcPr>
          <w:p>
            <w:pPr>
              <w:widowControl/>
              <w:jc w:val="left"/>
              <w:rPr>
                <w:rFonts w:ascii="宋体" w:hAnsi="宋体"/>
                <w:color w:val="000000"/>
                <w:sz w:val="24"/>
              </w:rPr>
            </w:pPr>
            <w:r>
              <w:rPr>
                <w:rFonts w:hint="eastAsia" w:ascii="宋体" w:hAnsi="宋体"/>
                <w:color w:val="000000"/>
                <w:sz w:val="24"/>
              </w:rPr>
              <w:t>确保供应货物质量的设施及措施</w:t>
            </w:r>
          </w:p>
        </w:tc>
        <w:tc>
          <w:tcPr>
            <w:tcW w:w="7076" w:type="dxa"/>
            <w:shd w:val="clear" w:color="auto" w:fill="auto"/>
            <w:vAlign w:val="center"/>
          </w:tcPr>
          <w:p>
            <w:pPr>
              <w:widowControl/>
              <w:jc w:val="left"/>
              <w:rPr>
                <w:rFonts w:ascii="宋体" w:hAnsi="宋体"/>
                <w:color w:val="000000"/>
                <w:sz w:val="24"/>
              </w:rPr>
            </w:pPr>
            <w:r>
              <w:rPr>
                <w:rFonts w:hint="eastAsia" w:ascii="宋体" w:hAnsi="宋体"/>
                <w:color w:val="000000"/>
                <w:sz w:val="24"/>
              </w:rPr>
              <w:t>根据采购项目的特点及要求保证货物产品质量的技术及措施，有严密的质量监控措施和先进的质量检测设施的得4分，质量监控措施和质量检测设施不完善的，每项扣0.5分，扣完该项得分为止；无质量控制措施的扣2分，无质量检测设施的扣2分。</w:t>
            </w:r>
          </w:p>
        </w:tc>
        <w:tc>
          <w:tcPr>
            <w:tcW w:w="990" w:type="dxa"/>
            <w:shd w:val="clear" w:color="auto" w:fill="auto"/>
            <w:vAlign w:val="center"/>
          </w:tcPr>
          <w:p>
            <w:pPr>
              <w:widowControl/>
              <w:jc w:val="left"/>
              <w:rPr>
                <w:rFonts w:ascii="宋体" w:hAnsi="宋体"/>
                <w:color w:val="000000"/>
                <w:sz w:val="24"/>
              </w:rPr>
            </w:pPr>
            <w:r>
              <w:rPr>
                <w:rFonts w:hint="eastAsia" w:ascii="宋体" w:hAnsi="宋体"/>
                <w:color w:val="000000"/>
                <w:sz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4</w:t>
            </w:r>
          </w:p>
        </w:tc>
        <w:tc>
          <w:tcPr>
            <w:tcW w:w="1618" w:type="dxa"/>
            <w:shd w:val="clear" w:color="auto" w:fill="auto"/>
            <w:vAlign w:val="center"/>
          </w:tcPr>
          <w:p>
            <w:pPr>
              <w:widowControl/>
              <w:jc w:val="left"/>
              <w:rPr>
                <w:rFonts w:ascii="宋体" w:hAnsi="宋体"/>
                <w:color w:val="000000"/>
                <w:sz w:val="24"/>
              </w:rPr>
            </w:pPr>
            <w:r>
              <w:rPr>
                <w:rFonts w:hint="eastAsia" w:ascii="宋体" w:hAnsi="宋体"/>
                <w:color w:val="000000"/>
                <w:sz w:val="24"/>
              </w:rPr>
              <w:t>保证交货期的施工组织方案和措施</w:t>
            </w:r>
          </w:p>
        </w:tc>
        <w:tc>
          <w:tcPr>
            <w:tcW w:w="7076" w:type="dxa"/>
            <w:shd w:val="clear" w:color="auto" w:fill="auto"/>
            <w:vAlign w:val="center"/>
          </w:tcPr>
          <w:p>
            <w:pPr>
              <w:widowControl/>
              <w:jc w:val="left"/>
              <w:rPr>
                <w:rFonts w:ascii="宋体" w:hAnsi="宋体"/>
                <w:color w:val="000000"/>
                <w:sz w:val="24"/>
              </w:rPr>
            </w:pPr>
            <w:r>
              <w:rPr>
                <w:rFonts w:hint="eastAsia" w:ascii="宋体" w:hAnsi="宋体"/>
                <w:color w:val="000000"/>
                <w:sz w:val="24"/>
              </w:rPr>
              <w:t>确保项目交货期，施工组织方案措施（包括：施工组织机构和分工安排；施工进度安排；工期控制措施；应急预案等）切实可行的得5分；方案措施不完善的，每项扣</w:t>
            </w:r>
            <w:r>
              <w:rPr>
                <w:rFonts w:ascii="宋体" w:hAnsi="宋体"/>
                <w:color w:val="000000"/>
                <w:sz w:val="24"/>
              </w:rPr>
              <w:t>0.5</w:t>
            </w:r>
            <w:r>
              <w:rPr>
                <w:rFonts w:hint="eastAsia" w:ascii="宋体" w:hAnsi="宋体"/>
                <w:color w:val="000000"/>
                <w:sz w:val="24"/>
              </w:rPr>
              <w:t>分，扣完该项得分为止；无方案无措施的不得分。</w:t>
            </w:r>
          </w:p>
        </w:tc>
        <w:tc>
          <w:tcPr>
            <w:tcW w:w="990" w:type="dxa"/>
            <w:shd w:val="clear" w:color="auto" w:fill="auto"/>
            <w:vAlign w:val="center"/>
          </w:tcPr>
          <w:p>
            <w:pPr>
              <w:widowControl/>
              <w:jc w:val="left"/>
              <w:rPr>
                <w:rFonts w:ascii="宋体" w:hAnsi="宋体"/>
                <w:color w:val="000000"/>
                <w:sz w:val="24"/>
              </w:rPr>
            </w:pPr>
            <w:r>
              <w:rPr>
                <w:rFonts w:hint="eastAsia" w:ascii="宋体" w:hAnsi="宋体"/>
                <w:color w:val="000000"/>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5</w:t>
            </w:r>
          </w:p>
        </w:tc>
        <w:tc>
          <w:tcPr>
            <w:tcW w:w="1618" w:type="dxa"/>
            <w:shd w:val="clear" w:color="auto" w:fill="auto"/>
            <w:vAlign w:val="center"/>
          </w:tcPr>
          <w:p>
            <w:pPr>
              <w:widowControl/>
              <w:jc w:val="left"/>
              <w:rPr>
                <w:rFonts w:ascii="宋体" w:hAnsi="宋体"/>
                <w:color w:val="000000"/>
                <w:sz w:val="24"/>
              </w:rPr>
            </w:pPr>
            <w:r>
              <w:rPr>
                <w:rFonts w:hint="eastAsia" w:ascii="宋体" w:hAnsi="宋体"/>
                <w:color w:val="000000"/>
                <w:sz w:val="24"/>
              </w:rPr>
              <w:t>安装、调试、验收的方案和措施</w:t>
            </w:r>
          </w:p>
        </w:tc>
        <w:tc>
          <w:tcPr>
            <w:tcW w:w="7076" w:type="dxa"/>
            <w:shd w:val="clear" w:color="auto" w:fill="auto"/>
            <w:vAlign w:val="center"/>
          </w:tcPr>
          <w:p>
            <w:pPr>
              <w:widowControl/>
              <w:jc w:val="left"/>
              <w:rPr>
                <w:rFonts w:ascii="宋体" w:hAnsi="宋体"/>
                <w:color w:val="000000"/>
                <w:sz w:val="24"/>
              </w:rPr>
            </w:pPr>
            <w:r>
              <w:rPr>
                <w:rFonts w:hint="eastAsia" w:ascii="宋体" w:hAnsi="宋体"/>
                <w:color w:val="000000"/>
                <w:sz w:val="24"/>
              </w:rPr>
              <w:t>安装、调试、验收各阶段的方案和措施能结合本项目特点，切实可行的，得5分；方案措施不完善的，每项扣</w:t>
            </w:r>
            <w:r>
              <w:rPr>
                <w:rFonts w:ascii="宋体" w:hAnsi="宋体"/>
                <w:color w:val="000000"/>
                <w:sz w:val="24"/>
              </w:rPr>
              <w:t>0.5</w:t>
            </w:r>
            <w:r>
              <w:rPr>
                <w:rFonts w:hint="eastAsia" w:ascii="宋体" w:hAnsi="宋体"/>
                <w:color w:val="000000"/>
                <w:sz w:val="24"/>
              </w:rPr>
              <w:t>分，扣完该项得分为止；无方案无措施的不得分。</w:t>
            </w:r>
          </w:p>
        </w:tc>
        <w:tc>
          <w:tcPr>
            <w:tcW w:w="990" w:type="dxa"/>
            <w:shd w:val="clear" w:color="auto" w:fill="auto"/>
            <w:vAlign w:val="center"/>
          </w:tcPr>
          <w:p>
            <w:pPr>
              <w:widowControl/>
              <w:jc w:val="left"/>
              <w:rPr>
                <w:rFonts w:ascii="宋体" w:hAnsi="宋体"/>
                <w:color w:val="000000"/>
                <w:sz w:val="24"/>
              </w:rPr>
            </w:pPr>
            <w:r>
              <w:rPr>
                <w:rFonts w:hint="eastAsia" w:ascii="宋体" w:hAnsi="宋体"/>
                <w:color w:val="000000"/>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6</w:t>
            </w:r>
          </w:p>
        </w:tc>
        <w:tc>
          <w:tcPr>
            <w:tcW w:w="1618" w:type="dxa"/>
            <w:shd w:val="clear" w:color="auto" w:fill="auto"/>
            <w:vAlign w:val="center"/>
          </w:tcPr>
          <w:p>
            <w:pPr>
              <w:widowControl/>
              <w:jc w:val="left"/>
              <w:rPr>
                <w:rFonts w:ascii="宋体" w:hAnsi="宋体"/>
                <w:sz w:val="24"/>
                <w:highlight w:val="yellow"/>
              </w:rPr>
            </w:pPr>
            <w:r>
              <w:rPr>
                <w:rFonts w:hint="eastAsia" w:ascii="宋体" w:hAnsi="宋体"/>
                <w:sz w:val="24"/>
              </w:rPr>
              <w:t>拟投入本项目设备</w:t>
            </w:r>
          </w:p>
        </w:tc>
        <w:tc>
          <w:tcPr>
            <w:tcW w:w="7076" w:type="dxa"/>
            <w:shd w:val="clear" w:color="auto" w:fill="auto"/>
            <w:vAlign w:val="center"/>
          </w:tcPr>
          <w:p>
            <w:pPr>
              <w:widowControl/>
              <w:jc w:val="left"/>
              <w:rPr>
                <w:rFonts w:ascii="宋体" w:hAnsi="宋体"/>
                <w:sz w:val="24"/>
                <w:highlight w:val="yellow"/>
              </w:rPr>
            </w:pPr>
            <w:r>
              <w:rPr>
                <w:rFonts w:hint="eastAsia" w:ascii="宋体" w:hAnsi="宋体" w:cs="宋体"/>
                <w:kern w:val="0"/>
                <w:sz w:val="24"/>
              </w:rPr>
              <w:t>投标人或产品（含部件）制造商提供的制造装备如开料机、封边机、冷（热）压机、涂装设备、切割设备、弯管机、焊接设备、抛光机、钻床，包括但并不限于以上所列举，所提供设备应符合本项目产品生产要求。每提供一项得 0.5 分，最高3分。</w:t>
            </w:r>
            <w:r>
              <w:rPr>
                <w:rFonts w:hint="eastAsia" w:ascii="宋体" w:hAnsi="宋体" w:cs="宋体"/>
                <w:b/>
                <w:bCs/>
                <w:kern w:val="0"/>
                <w:sz w:val="24"/>
              </w:rPr>
              <w:t>注：需提供设备购置发票或租赁合同的复印件（或扫描件）及设备照片，未提供发票或租赁合同复印件（或扫描件）及设备照片不得分。</w:t>
            </w:r>
          </w:p>
        </w:tc>
        <w:tc>
          <w:tcPr>
            <w:tcW w:w="990" w:type="dxa"/>
            <w:shd w:val="clear" w:color="auto" w:fill="auto"/>
            <w:vAlign w:val="center"/>
          </w:tcPr>
          <w:p>
            <w:pPr>
              <w:widowControl/>
              <w:jc w:val="left"/>
              <w:rPr>
                <w:rFonts w:ascii="宋体" w:hAnsi="宋体"/>
                <w:color w:val="000000"/>
                <w:sz w:val="24"/>
                <w:highlight w:val="yellow"/>
              </w:rPr>
            </w:pPr>
            <w:r>
              <w:rPr>
                <w:rFonts w:hint="eastAsia" w:ascii="宋体" w:hAnsi="宋体"/>
                <w:color w:val="000000"/>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7</w:t>
            </w:r>
          </w:p>
        </w:tc>
        <w:tc>
          <w:tcPr>
            <w:tcW w:w="1618" w:type="dxa"/>
            <w:shd w:val="clear" w:color="auto" w:fill="auto"/>
            <w:vAlign w:val="center"/>
          </w:tcPr>
          <w:p>
            <w:pPr>
              <w:widowControl/>
              <w:jc w:val="left"/>
              <w:rPr>
                <w:rFonts w:ascii="宋体" w:hAnsi="宋体"/>
                <w:color w:val="000000"/>
                <w:sz w:val="24"/>
              </w:rPr>
            </w:pPr>
            <w:r>
              <w:rPr>
                <w:rFonts w:hint="eastAsia" w:ascii="宋体" w:hAnsi="宋体" w:cs="宋体"/>
                <w:b/>
                <w:bCs/>
                <w:color w:val="000000"/>
                <w:kern w:val="0"/>
                <w:sz w:val="24"/>
              </w:rPr>
              <w:t>检测报告</w:t>
            </w:r>
          </w:p>
        </w:tc>
        <w:tc>
          <w:tcPr>
            <w:tcW w:w="7076" w:type="dxa"/>
            <w:shd w:val="clear" w:color="auto" w:fill="auto"/>
            <w:vAlign w:val="center"/>
          </w:tcPr>
          <w:p>
            <w:pPr>
              <w:widowControl/>
              <w:jc w:val="left"/>
              <w:rPr>
                <w:rFonts w:ascii="宋体" w:hAnsi="宋体"/>
                <w:sz w:val="24"/>
              </w:rPr>
            </w:pPr>
            <w:r>
              <w:rPr>
                <w:rFonts w:hint="eastAsia" w:ascii="宋体" w:hAnsi="宋体"/>
                <w:sz w:val="24"/>
              </w:rPr>
              <w:t xml:space="preserve">提供 2021 年 1 月 1 日至今由第三方检测机构对产品的检测（提供具有 CMA 或 CNAS 认证的检测机构出具的合格检测报告）： </w:t>
            </w:r>
          </w:p>
          <w:p>
            <w:pPr>
              <w:widowControl/>
              <w:jc w:val="left"/>
              <w:rPr>
                <w:rFonts w:ascii="宋体" w:hAnsi="宋体"/>
                <w:sz w:val="24"/>
              </w:rPr>
            </w:pPr>
            <w:r>
              <w:rPr>
                <w:rFonts w:hint="eastAsia" w:ascii="宋体" w:hAnsi="宋体"/>
                <w:sz w:val="24"/>
              </w:rPr>
              <w:t xml:space="preserve">1、成品合格的检测报告（0-2 分） </w:t>
            </w:r>
          </w:p>
          <w:p>
            <w:pPr>
              <w:widowControl/>
              <w:jc w:val="left"/>
              <w:rPr>
                <w:rFonts w:ascii="宋体" w:hAnsi="宋体"/>
                <w:sz w:val="24"/>
              </w:rPr>
            </w:pPr>
            <w:r>
              <w:rPr>
                <w:rFonts w:hint="eastAsia" w:ascii="宋体" w:hAnsi="宋体"/>
                <w:sz w:val="24"/>
              </w:rPr>
              <w:t xml:space="preserve">1.1手摇式“课桌、课椅”或手摇式“课桌椅”需经全项检测，符合QB/T4071–2021 标准，包括功能和甲醛释放量符合国家标准。检测报告需对应为本文件需求的产品，检测符合项目不少于 19 项，全部符合得 2 分，不符合要求或未提供不得分。 </w:t>
            </w:r>
          </w:p>
          <w:p>
            <w:pPr>
              <w:widowControl/>
              <w:jc w:val="left"/>
              <w:rPr>
                <w:rFonts w:ascii="宋体" w:hAnsi="宋体"/>
                <w:sz w:val="24"/>
              </w:rPr>
            </w:pPr>
            <w:r>
              <w:rPr>
                <w:rFonts w:hint="eastAsia" w:ascii="宋体" w:hAnsi="宋体"/>
                <w:sz w:val="24"/>
              </w:rPr>
              <w:t xml:space="preserve">2、主要原材料抽样检测报告（0-3分） </w:t>
            </w:r>
          </w:p>
          <w:p>
            <w:pPr>
              <w:widowControl/>
              <w:jc w:val="left"/>
              <w:rPr>
                <w:rFonts w:ascii="宋体" w:hAnsi="宋体"/>
                <w:sz w:val="24"/>
              </w:rPr>
            </w:pPr>
            <w:r>
              <w:rPr>
                <w:rFonts w:hint="eastAsia" w:ascii="宋体" w:hAnsi="宋体"/>
                <w:sz w:val="24"/>
              </w:rPr>
              <w:t>2.1“实木多层板”抽样检测合格报告，检测依据 GB18580-2017 《室内装饰装修材料 人造板及其制品中甲醛释放限量》、GB/T34722-2017《浸渍胶膜纸饰面胶合板和细木工板》、GB/T 17657-2013 《人造板及饰面人造板理化性能试验方法》标准，</w:t>
            </w:r>
            <w:r>
              <w:rPr>
                <w:rFonts w:hint="eastAsia" w:ascii="宋体" w:hAnsi="宋体" w:cs="宋体"/>
                <w:color w:val="000000"/>
                <w:kern w:val="0"/>
                <w:sz w:val="24"/>
              </w:rPr>
              <w:t>GB/T39600-2021《人造板及其制品甲醛释放量分级》甲醛释放量（≤0.050）标准。</w:t>
            </w:r>
            <w:r>
              <w:rPr>
                <w:rFonts w:hint="eastAsia" w:ascii="宋体" w:hAnsi="宋体"/>
                <w:sz w:val="24"/>
              </w:rPr>
              <w:t xml:space="preserve">符合要求得 1 分，不符合要求或未提供不得分。 </w:t>
            </w:r>
          </w:p>
          <w:p>
            <w:pPr>
              <w:widowControl/>
              <w:jc w:val="left"/>
              <w:rPr>
                <w:rFonts w:ascii="宋体" w:hAnsi="宋体"/>
                <w:sz w:val="24"/>
              </w:rPr>
            </w:pPr>
            <w:r>
              <w:rPr>
                <w:rFonts w:hint="eastAsia" w:ascii="宋体" w:hAnsi="宋体"/>
                <w:sz w:val="24"/>
              </w:rPr>
              <w:t>2.2“镀锌钢板”和“钢板（冷轧板）”抽样检测合格报告，检测依据 GB/T 3325- 2017《金属家具通用技术条件》标准，检测内容：对样品进行 400 小时</w:t>
            </w:r>
            <w:r>
              <w:rPr>
                <w:rFonts w:hint="eastAsia" w:ascii="宋体" w:hAnsi="宋体" w:cs="宋体"/>
                <w:color w:val="000000"/>
                <w:kern w:val="0"/>
                <w:sz w:val="24"/>
              </w:rPr>
              <w:t>以上</w:t>
            </w:r>
            <w:r>
              <w:rPr>
                <w:rFonts w:hint="eastAsia" w:ascii="宋体" w:hAnsi="宋体"/>
                <w:sz w:val="24"/>
              </w:rPr>
              <w:t xml:space="preserve">抗盐雾试验。符合要求每份得 1 分，共得 2 分，不符合要求或未提供不得分。 </w:t>
            </w:r>
          </w:p>
          <w:p>
            <w:pPr>
              <w:widowControl/>
              <w:jc w:val="left"/>
              <w:rPr>
                <w:rFonts w:ascii="宋体" w:hAnsi="宋体"/>
                <w:sz w:val="24"/>
              </w:rPr>
            </w:pPr>
            <w:r>
              <w:rPr>
                <w:rFonts w:hint="eastAsia" w:ascii="宋体" w:hAnsi="宋体"/>
                <w:sz w:val="24"/>
              </w:rPr>
              <w:t xml:space="preserve">注：以上检测内容需在同一份报告中体现，以上需提供检测报告复印件（或扫描件），投标文件中的检验报告材料必须清晰且完整，仅局部内容的检测报告视为无效。受检单位必须为投标人，并提供封面对应的防伪二维码。一旦发现提供虚假文件者，则取消其投标资格。 </w:t>
            </w:r>
          </w:p>
        </w:tc>
        <w:tc>
          <w:tcPr>
            <w:tcW w:w="990" w:type="dxa"/>
            <w:shd w:val="clear" w:color="auto" w:fill="auto"/>
            <w:vAlign w:val="center"/>
          </w:tcPr>
          <w:p>
            <w:pPr>
              <w:widowControl/>
              <w:jc w:val="left"/>
              <w:rPr>
                <w:rFonts w:ascii="宋体" w:hAnsi="宋体"/>
                <w:color w:val="000000"/>
                <w:sz w:val="24"/>
              </w:rPr>
            </w:pPr>
            <w:r>
              <w:rPr>
                <w:rFonts w:hint="eastAsia" w:ascii="宋体" w:hAnsi="宋体"/>
                <w:color w:val="000000"/>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8</w:t>
            </w:r>
          </w:p>
        </w:tc>
        <w:tc>
          <w:tcPr>
            <w:tcW w:w="1618" w:type="dxa"/>
            <w:shd w:val="clear" w:color="auto" w:fill="auto"/>
            <w:vAlign w:val="center"/>
          </w:tcPr>
          <w:p>
            <w:pPr>
              <w:pStyle w:val="14"/>
              <w:spacing w:before="120" w:beforeLines="50" w:after="120" w:afterLines="50" w:line="240" w:lineRule="auto"/>
              <w:ind w:firstLine="0"/>
              <w:jc w:val="left"/>
              <w:rPr>
                <w:rFonts w:hAnsi="宋体"/>
                <w:spacing w:val="0"/>
                <w:sz w:val="24"/>
                <w:szCs w:val="24"/>
              </w:rPr>
            </w:pPr>
            <w:r>
              <w:rPr>
                <w:rFonts w:hint="eastAsia" w:hAnsi="宋体"/>
                <w:spacing w:val="0"/>
                <w:sz w:val="24"/>
                <w:szCs w:val="24"/>
              </w:rPr>
              <w:t>对本项目有效的改进措施和合理化建议</w:t>
            </w:r>
          </w:p>
        </w:tc>
        <w:tc>
          <w:tcPr>
            <w:tcW w:w="7076" w:type="dxa"/>
            <w:shd w:val="clear" w:color="auto" w:fill="auto"/>
            <w:vAlign w:val="center"/>
          </w:tcPr>
          <w:p>
            <w:pPr>
              <w:pStyle w:val="14"/>
              <w:spacing w:before="120" w:beforeLines="50" w:after="120" w:afterLines="50" w:line="240" w:lineRule="auto"/>
              <w:ind w:firstLine="0"/>
              <w:jc w:val="left"/>
              <w:rPr>
                <w:rFonts w:hAnsi="宋体"/>
                <w:spacing w:val="0"/>
                <w:sz w:val="24"/>
                <w:szCs w:val="24"/>
              </w:rPr>
            </w:pPr>
            <w:r>
              <w:rPr>
                <w:rFonts w:hint="eastAsia" w:hAnsi="宋体"/>
                <w:spacing w:val="0"/>
                <w:sz w:val="24"/>
                <w:szCs w:val="24"/>
              </w:rPr>
              <w:t>有效建议和措施每项得1分，最高得3分，未提供的不得分。</w:t>
            </w:r>
          </w:p>
        </w:tc>
        <w:tc>
          <w:tcPr>
            <w:tcW w:w="990" w:type="dxa"/>
            <w:shd w:val="clear" w:color="auto" w:fill="auto"/>
            <w:vAlign w:val="center"/>
          </w:tcPr>
          <w:p>
            <w:pPr>
              <w:pStyle w:val="14"/>
              <w:spacing w:before="120" w:beforeLines="50" w:after="120" w:afterLines="50" w:line="240" w:lineRule="auto"/>
              <w:ind w:firstLine="0"/>
              <w:jc w:val="left"/>
              <w:rPr>
                <w:rFonts w:hAnsi="宋体"/>
                <w:spacing w:val="0"/>
                <w:sz w:val="24"/>
                <w:szCs w:val="24"/>
              </w:rPr>
            </w:pPr>
            <w:r>
              <w:rPr>
                <w:rFonts w:hint="eastAsia" w:hAnsi="宋体"/>
                <w:spacing w:val="0"/>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80"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9</w:t>
            </w:r>
          </w:p>
        </w:tc>
        <w:tc>
          <w:tcPr>
            <w:tcW w:w="1618" w:type="dxa"/>
            <w:shd w:val="clear" w:color="auto" w:fill="auto"/>
            <w:vAlign w:val="center"/>
          </w:tcPr>
          <w:p>
            <w:pPr>
              <w:widowControl/>
              <w:jc w:val="left"/>
              <w:rPr>
                <w:rFonts w:ascii="宋体" w:hAnsi="宋体"/>
                <w:color w:val="000000"/>
                <w:sz w:val="24"/>
              </w:rPr>
            </w:pPr>
            <w:r>
              <w:rPr>
                <w:rFonts w:hint="eastAsia" w:ascii="宋体" w:hAnsi="宋体"/>
                <w:color w:val="000000"/>
                <w:sz w:val="24"/>
              </w:rPr>
              <w:t>演示</w:t>
            </w:r>
          </w:p>
        </w:tc>
        <w:tc>
          <w:tcPr>
            <w:tcW w:w="7076" w:type="dxa"/>
            <w:shd w:val="clear" w:color="auto" w:fill="auto"/>
            <w:vAlign w:val="center"/>
          </w:tcPr>
          <w:p>
            <w:pPr>
              <w:widowControl/>
              <w:jc w:val="left"/>
              <w:rPr>
                <w:rFonts w:ascii="宋体" w:hAnsi="宋体"/>
                <w:sz w:val="24"/>
              </w:rPr>
            </w:pPr>
            <w:r>
              <w:rPr>
                <w:rFonts w:hint="eastAsia" w:ascii="宋体" w:hAnsi="宋体"/>
                <w:sz w:val="24"/>
              </w:rPr>
              <w:t xml:space="preserve">供应商需按照招标文件要求提供样品（注：手摇升降式课桌椅）整体在同一画面视频、展示图中展示。 </w:t>
            </w:r>
          </w:p>
          <w:p>
            <w:pPr>
              <w:widowControl/>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1、根据样品视频展示的板材工艺、焊接工艺、安全工艺等情况由评委打分（0-3 分）。</w:t>
            </w:r>
          </w:p>
          <w:p>
            <w:pPr>
              <w:widowControl/>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2、样品无明显划痕、色差，外表无鼓泡、龟裂、分层；金属涂层件光滑均匀、色泽一致，无流挂、疙瘩、皱皮、飞漆等缺陷，无漏喷、锈蚀情况由评委打分（0-3分）。</w:t>
            </w:r>
          </w:p>
          <w:p>
            <w:pPr>
              <w:widowControl/>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3、板材、钢管、五金等的材质、厚度、规格等指标符合招标文件要求的，由评委打分（0-3分）。</w:t>
            </w:r>
          </w:p>
          <w:p>
            <w:pPr>
              <w:widowControl/>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4、外观、尺寸、式样的创新、整体效果符合招标文件要求的，由评委打分（0-3分）。 </w:t>
            </w:r>
          </w:p>
          <w:p>
            <w:pPr>
              <w:widowControl/>
              <w:jc w:val="left"/>
              <w:rPr>
                <w:rFonts w:ascii="宋体" w:hAnsi="宋体"/>
                <w:b/>
                <w:sz w:val="24"/>
              </w:rPr>
            </w:pPr>
            <w:r>
              <w:rPr>
                <w:rFonts w:hint="eastAsia" w:ascii="宋体" w:hAnsi="宋体"/>
                <w:b/>
                <w:sz w:val="24"/>
              </w:rPr>
              <w:t xml:space="preserve">注：供应商无需派专人参加现场演示，根据演示分评分标准要求录制演示视频（mp4格式；时间控制在10分钟以内），演示视频电子文件用U盘拷贝，与备份投标文件一起邮寄。供应商必须采用真实用户系统环境演示录制成视频，采用 Demo和PPT的或未提供不得分。中标供应商在结果公告公示之日起 3 个工作日内将样品实样运至采购单位，以便采购单位封样。     </w:t>
            </w:r>
          </w:p>
        </w:tc>
        <w:tc>
          <w:tcPr>
            <w:tcW w:w="990" w:type="dxa"/>
            <w:shd w:val="clear" w:color="auto" w:fill="auto"/>
            <w:vAlign w:val="center"/>
          </w:tcPr>
          <w:p>
            <w:pPr>
              <w:widowControl/>
              <w:jc w:val="left"/>
              <w:rPr>
                <w:rFonts w:ascii="宋体" w:hAnsi="宋体"/>
                <w:color w:val="000000"/>
                <w:sz w:val="24"/>
              </w:rPr>
            </w:pPr>
            <w:r>
              <w:rPr>
                <w:rFonts w:hint="eastAsia" w:ascii="宋体" w:hAnsi="宋体"/>
                <w:color w:val="000000"/>
                <w:sz w:val="24"/>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c>
          <w:tcPr>
            <w:tcW w:w="617" w:type="dxa"/>
            <w:shd w:val="clear" w:color="auto" w:fill="auto"/>
            <w:vAlign w:val="center"/>
          </w:tcPr>
          <w:p>
            <w:pPr>
              <w:widowControl/>
              <w:jc w:val="left"/>
              <w:rPr>
                <w:rFonts w:ascii="宋体" w:hAnsi="宋体"/>
                <w:color w:val="000000"/>
                <w:sz w:val="24"/>
              </w:rPr>
            </w:pPr>
          </w:p>
        </w:tc>
        <w:tc>
          <w:tcPr>
            <w:tcW w:w="8694" w:type="dxa"/>
            <w:gridSpan w:val="2"/>
            <w:shd w:val="clear" w:color="auto" w:fill="auto"/>
            <w:vAlign w:val="center"/>
          </w:tcPr>
          <w:p>
            <w:pPr>
              <w:autoSpaceDE w:val="0"/>
              <w:autoSpaceDN w:val="0"/>
              <w:spacing w:after="120" w:line="369" w:lineRule="exact"/>
              <w:ind w:right="1470" w:rightChars="700"/>
              <w:jc w:val="center"/>
              <w:rPr>
                <w:rFonts w:ascii="宋体" w:hAnsi="宋体" w:cs="仿宋"/>
                <w:b/>
                <w:color w:val="000000"/>
                <w:kern w:val="0"/>
                <w:sz w:val="24"/>
                <w:lang w:val="zh-CN" w:bidi="zh-CN"/>
              </w:rPr>
            </w:pPr>
            <w:r>
              <w:rPr>
                <w:rFonts w:hint="eastAsia" w:ascii="宋体" w:hAnsi="宋体" w:cs="仿宋"/>
                <w:b/>
                <w:color w:val="000000"/>
                <w:kern w:val="0"/>
                <w:sz w:val="24"/>
                <w:lang w:val="zh-CN" w:bidi="zh-CN"/>
              </w:rPr>
              <w:t>商务分、资信及其他分</w:t>
            </w:r>
          </w:p>
        </w:tc>
        <w:tc>
          <w:tcPr>
            <w:tcW w:w="990" w:type="dxa"/>
            <w:shd w:val="clear" w:color="auto" w:fill="auto"/>
            <w:vAlign w:val="center"/>
          </w:tcPr>
          <w:p>
            <w:pPr>
              <w:widowControl/>
              <w:jc w:val="left"/>
              <w:rPr>
                <w:rFonts w:ascii="宋体" w:hAnsi="宋体"/>
                <w:b/>
                <w:color w:val="000000"/>
                <w:sz w:val="24"/>
              </w:rPr>
            </w:pPr>
            <w:r>
              <w:rPr>
                <w:rFonts w:hint="eastAsia" w:ascii="宋体" w:hAnsi="宋体"/>
                <w:b/>
                <w:color w:val="000000"/>
                <w:sz w:val="24"/>
              </w:rPr>
              <w:t>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c>
          <w:tcPr>
            <w:tcW w:w="617" w:type="dxa"/>
            <w:shd w:val="clear" w:color="auto" w:fill="auto"/>
            <w:vAlign w:val="center"/>
          </w:tcPr>
          <w:p>
            <w:pPr>
              <w:widowControl/>
              <w:jc w:val="left"/>
              <w:rPr>
                <w:rFonts w:ascii="宋体" w:hAnsi="宋体"/>
                <w:sz w:val="24"/>
              </w:rPr>
            </w:pPr>
            <w:r>
              <w:rPr>
                <w:rFonts w:hint="eastAsia" w:ascii="宋体" w:hAnsi="宋体"/>
                <w:sz w:val="24"/>
              </w:rPr>
              <w:t>1</w:t>
            </w:r>
          </w:p>
        </w:tc>
        <w:tc>
          <w:tcPr>
            <w:tcW w:w="1618" w:type="dxa"/>
            <w:shd w:val="clear" w:color="auto" w:fill="auto"/>
            <w:vAlign w:val="center"/>
          </w:tcPr>
          <w:p>
            <w:pPr>
              <w:widowControl/>
              <w:jc w:val="left"/>
              <w:rPr>
                <w:rFonts w:ascii="宋体" w:hAnsi="宋体"/>
                <w:color w:val="000000"/>
                <w:sz w:val="24"/>
              </w:rPr>
            </w:pPr>
            <w:r>
              <w:rPr>
                <w:rFonts w:hint="eastAsia" w:ascii="宋体" w:hAnsi="宋体"/>
                <w:color w:val="000000"/>
                <w:sz w:val="24"/>
              </w:rPr>
              <w:t>成功案例及业绩</w:t>
            </w:r>
          </w:p>
        </w:tc>
        <w:tc>
          <w:tcPr>
            <w:tcW w:w="7076" w:type="dxa"/>
            <w:shd w:val="clear" w:color="auto" w:fill="auto"/>
            <w:vAlign w:val="center"/>
          </w:tcPr>
          <w:p>
            <w:pPr>
              <w:pStyle w:val="14"/>
              <w:widowControl/>
              <w:spacing w:before="120" w:beforeLines="50" w:after="120" w:afterLines="50" w:line="240" w:lineRule="auto"/>
              <w:ind w:firstLine="0"/>
              <w:jc w:val="left"/>
              <w:rPr>
                <w:rFonts w:hAnsi="宋体"/>
                <w:color w:val="000000"/>
                <w:spacing w:val="0"/>
                <w:sz w:val="24"/>
                <w:szCs w:val="24"/>
              </w:rPr>
            </w:pPr>
            <w:r>
              <w:rPr>
                <w:rFonts w:hint="eastAsia" w:hAnsi="宋体"/>
                <w:color w:val="000000"/>
                <w:spacing w:val="0"/>
                <w:sz w:val="24"/>
                <w:szCs w:val="24"/>
              </w:rPr>
              <w:t>2019年1月1日至今，投标人具有类似项目业绩的，每提供1个业绩得1分，最高得3分（提供合同和中标通知书复印件，以合同时间为准）。</w:t>
            </w:r>
          </w:p>
        </w:tc>
        <w:tc>
          <w:tcPr>
            <w:tcW w:w="990" w:type="dxa"/>
            <w:shd w:val="clear" w:color="auto" w:fill="auto"/>
            <w:vAlign w:val="center"/>
          </w:tcPr>
          <w:p>
            <w:pPr>
              <w:widowControl/>
              <w:jc w:val="left"/>
              <w:rPr>
                <w:rFonts w:ascii="宋体" w:hAnsi="宋体"/>
                <w:sz w:val="24"/>
              </w:rPr>
            </w:pPr>
            <w:r>
              <w:rPr>
                <w:rFonts w:hint="eastAsia" w:ascii="宋体" w:hAnsi="宋体"/>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2</w:t>
            </w:r>
          </w:p>
        </w:tc>
        <w:tc>
          <w:tcPr>
            <w:tcW w:w="1618" w:type="dxa"/>
            <w:shd w:val="clear" w:color="auto" w:fill="auto"/>
            <w:vAlign w:val="center"/>
          </w:tcPr>
          <w:p>
            <w:pPr>
              <w:widowControl/>
              <w:jc w:val="left"/>
              <w:rPr>
                <w:rFonts w:ascii="宋体" w:hAnsi="宋体"/>
                <w:color w:val="000000"/>
                <w:sz w:val="24"/>
              </w:rPr>
            </w:pPr>
            <w:r>
              <w:rPr>
                <w:rFonts w:ascii="宋体" w:hAnsi="宋体"/>
                <w:color w:val="000000"/>
                <w:sz w:val="24"/>
              </w:rPr>
              <w:t>权威认证</w:t>
            </w:r>
          </w:p>
        </w:tc>
        <w:tc>
          <w:tcPr>
            <w:tcW w:w="7076" w:type="dxa"/>
            <w:shd w:val="clear" w:color="auto" w:fill="auto"/>
            <w:vAlign w:val="center"/>
          </w:tcPr>
          <w:p>
            <w:pPr>
              <w:widowControl/>
              <w:spacing w:before="120" w:beforeLines="50" w:after="120" w:afterLines="50"/>
              <w:jc w:val="left"/>
              <w:rPr>
                <w:rFonts w:ascii="宋体" w:hAnsi="宋体"/>
                <w:color w:val="000000"/>
                <w:sz w:val="24"/>
              </w:rPr>
            </w:pPr>
            <w:r>
              <w:rPr>
                <w:rFonts w:hint="eastAsia" w:ascii="宋体" w:hAnsi="宋体"/>
                <w:color w:val="000000"/>
                <w:sz w:val="24"/>
              </w:rPr>
              <w:t>1.投标人具有有效期内的质量管理体系认证证书、环境管理体系认证证书、职业健康安全管理体系认证证书，每提供一个证书得1分，最高得3分，</w:t>
            </w:r>
            <w:r>
              <w:rPr>
                <w:rFonts w:ascii="宋体" w:hAnsi="宋体"/>
                <w:color w:val="000000"/>
                <w:sz w:val="24"/>
              </w:rPr>
              <w:t>同时提供国家认证认可</w:t>
            </w:r>
            <w:r>
              <w:rPr>
                <w:rFonts w:hint="eastAsia" w:ascii="宋体" w:hAnsi="宋体"/>
                <w:color w:val="000000"/>
                <w:sz w:val="24"/>
              </w:rPr>
              <w:t>监督</w:t>
            </w:r>
            <w:r>
              <w:rPr>
                <w:rFonts w:ascii="宋体" w:hAnsi="宋体"/>
                <w:color w:val="000000"/>
                <w:sz w:val="24"/>
              </w:rPr>
              <w:t>管理委员会官网http://www.cnca.gov.cn/查询截图证明。</w:t>
            </w:r>
          </w:p>
          <w:p>
            <w:pPr>
              <w:widowControl/>
              <w:spacing w:before="120" w:beforeLines="50" w:after="120" w:afterLines="50"/>
              <w:jc w:val="left"/>
            </w:pPr>
            <w:r>
              <w:rPr>
                <w:rFonts w:hint="eastAsia" w:ascii="宋体" w:hAnsi="宋体"/>
                <w:color w:val="000000"/>
                <w:sz w:val="24"/>
              </w:rPr>
              <w:t>2.</w:t>
            </w:r>
            <w:r>
              <w:rPr>
                <w:rFonts w:hint="eastAsia" w:ascii="宋体" w:hAnsi="宋体" w:cs="宋体"/>
                <w:color w:val="000000"/>
                <w:kern w:val="0"/>
                <w:sz w:val="24"/>
              </w:rPr>
              <w:t>供应商具有“售后服务认证证书”，三星级及以下有效期内得 0.5 分，四星级及以上有效期内得 1 分。</w:t>
            </w:r>
          </w:p>
        </w:tc>
        <w:tc>
          <w:tcPr>
            <w:tcW w:w="990" w:type="dxa"/>
            <w:shd w:val="clear" w:color="auto" w:fill="auto"/>
            <w:vAlign w:val="center"/>
          </w:tcPr>
          <w:p>
            <w:pPr>
              <w:pStyle w:val="14"/>
              <w:tabs>
                <w:tab w:val="left" w:pos="0"/>
                <w:tab w:val="left" w:pos="993"/>
                <w:tab w:val="left" w:pos="1134"/>
              </w:tabs>
              <w:spacing w:line="400" w:lineRule="exact"/>
              <w:ind w:firstLine="0"/>
              <w:outlineLvl w:val="2"/>
              <w:rPr>
                <w:rFonts w:hAnsi="宋体" w:cs="宋体"/>
                <w:color w:val="000000"/>
                <w:sz w:val="24"/>
                <w:szCs w:val="24"/>
              </w:rPr>
            </w:pPr>
            <w:r>
              <w:rPr>
                <w:rFonts w:hint="eastAsia" w:hAnsi="宋体" w:cs="宋体"/>
                <w:color w:val="000000"/>
                <w:sz w:val="24"/>
                <w:szCs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4</w:t>
            </w:r>
          </w:p>
        </w:tc>
        <w:tc>
          <w:tcPr>
            <w:tcW w:w="1618" w:type="dxa"/>
            <w:shd w:val="clear" w:color="auto" w:fill="auto"/>
            <w:vAlign w:val="center"/>
          </w:tcPr>
          <w:p>
            <w:pPr>
              <w:widowControl/>
              <w:jc w:val="left"/>
              <w:rPr>
                <w:rFonts w:ascii="宋体" w:hAnsi="宋体"/>
                <w:color w:val="000000"/>
                <w:sz w:val="24"/>
              </w:rPr>
            </w:pPr>
            <w:r>
              <w:rPr>
                <w:rFonts w:hint="eastAsia" w:ascii="宋体" w:hAnsi="宋体" w:cs="宋体"/>
                <w:color w:val="000000"/>
                <w:kern w:val="0"/>
                <w:sz w:val="24"/>
              </w:rPr>
              <w:t>质保期</w:t>
            </w:r>
          </w:p>
        </w:tc>
        <w:tc>
          <w:tcPr>
            <w:tcW w:w="7076" w:type="dxa"/>
            <w:shd w:val="clear" w:color="auto" w:fill="auto"/>
            <w:vAlign w:val="center"/>
          </w:tcPr>
          <w:p>
            <w:pPr>
              <w:widowControl/>
              <w:spacing w:before="120" w:beforeLines="50" w:after="120" w:afterLines="50"/>
              <w:jc w:val="left"/>
              <w:rPr>
                <w:rFonts w:ascii="宋体" w:hAnsi="宋体"/>
                <w:color w:val="000000"/>
                <w:sz w:val="24"/>
              </w:rPr>
            </w:pPr>
            <w:r>
              <w:rPr>
                <w:rFonts w:hint="eastAsia" w:ascii="宋体" w:hAnsi="宋体" w:cs="宋体"/>
                <w:color w:val="000000"/>
                <w:kern w:val="0"/>
                <w:sz w:val="24"/>
              </w:rPr>
              <w:t>质保期要求3年，每增加 1 年加 1 分，最高加 4分。</w:t>
            </w:r>
          </w:p>
        </w:tc>
        <w:tc>
          <w:tcPr>
            <w:tcW w:w="990" w:type="dxa"/>
            <w:shd w:val="clear" w:color="auto" w:fill="auto"/>
            <w:vAlign w:val="center"/>
          </w:tcPr>
          <w:p>
            <w:pPr>
              <w:pStyle w:val="14"/>
              <w:tabs>
                <w:tab w:val="left" w:pos="0"/>
                <w:tab w:val="left" w:pos="993"/>
                <w:tab w:val="left" w:pos="1134"/>
              </w:tabs>
              <w:spacing w:line="400" w:lineRule="exact"/>
              <w:ind w:firstLine="0"/>
              <w:outlineLvl w:val="2"/>
              <w:rPr>
                <w:rFonts w:hAnsi="宋体" w:cs="宋体"/>
                <w:color w:val="000000"/>
                <w:sz w:val="24"/>
                <w:szCs w:val="24"/>
              </w:rPr>
            </w:pPr>
            <w:r>
              <w:rPr>
                <w:rFonts w:hint="eastAsia" w:hAnsi="宋体" w:cs="宋体"/>
                <w:color w:val="000000"/>
                <w:sz w:val="24"/>
                <w:szCs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17" w:type="dxa"/>
            <w:shd w:val="clear" w:color="auto" w:fill="auto"/>
            <w:vAlign w:val="center"/>
          </w:tcPr>
          <w:p>
            <w:pPr>
              <w:widowControl/>
              <w:jc w:val="left"/>
              <w:rPr>
                <w:rFonts w:ascii="宋体" w:hAnsi="宋体"/>
                <w:color w:val="000000"/>
                <w:sz w:val="24"/>
              </w:rPr>
            </w:pPr>
            <w:r>
              <w:rPr>
                <w:rFonts w:hint="eastAsia" w:ascii="宋体" w:hAnsi="宋体"/>
                <w:color w:val="000000"/>
                <w:sz w:val="24"/>
              </w:rPr>
              <w:t>5</w:t>
            </w:r>
          </w:p>
        </w:tc>
        <w:tc>
          <w:tcPr>
            <w:tcW w:w="1618" w:type="dxa"/>
            <w:shd w:val="clear" w:color="auto" w:fill="auto"/>
            <w:vAlign w:val="center"/>
          </w:tcPr>
          <w:p>
            <w:pPr>
              <w:widowControl/>
              <w:jc w:val="left"/>
              <w:rPr>
                <w:rFonts w:ascii="宋体" w:hAnsi="宋体"/>
                <w:color w:val="000000"/>
                <w:sz w:val="24"/>
              </w:rPr>
            </w:pPr>
            <w:r>
              <w:rPr>
                <w:rFonts w:hint="eastAsia" w:ascii="宋体" w:hAnsi="宋体"/>
                <w:color w:val="000000"/>
                <w:sz w:val="24"/>
              </w:rPr>
              <w:t>售后服务优惠承诺</w:t>
            </w:r>
          </w:p>
        </w:tc>
        <w:tc>
          <w:tcPr>
            <w:tcW w:w="7076" w:type="dxa"/>
            <w:shd w:val="clear" w:color="auto" w:fill="auto"/>
            <w:vAlign w:val="center"/>
          </w:tcPr>
          <w:p>
            <w:pPr>
              <w:widowControl/>
              <w:jc w:val="left"/>
              <w:rPr>
                <w:rFonts w:ascii="宋体" w:hAnsi="宋体"/>
                <w:color w:val="000000"/>
                <w:sz w:val="24"/>
              </w:rPr>
            </w:pPr>
            <w:r>
              <w:rPr>
                <w:rFonts w:hint="eastAsia" w:ascii="宋体" w:hAnsi="宋体"/>
                <w:color w:val="000000"/>
                <w:sz w:val="24"/>
              </w:rPr>
              <w:t>1.提供完整的售后服务方案（包括服务措施、服务内容、故障解决方案、产品质量保证、回访）、</w:t>
            </w:r>
            <w:r>
              <w:rPr>
                <w:rFonts w:hint="eastAsia" w:ascii="宋体" w:hAnsi="宋体" w:cs="宋体"/>
                <w:color w:val="000000"/>
                <w:kern w:val="0"/>
                <w:sz w:val="24"/>
              </w:rPr>
              <w:t>质保期后服务维修结算优惠承诺（需提供维修零配件成本费用清单）</w:t>
            </w:r>
            <w:r>
              <w:rPr>
                <w:rFonts w:hint="eastAsia" w:ascii="宋体" w:hAnsi="宋体"/>
                <w:color w:val="000000"/>
                <w:sz w:val="24"/>
              </w:rPr>
              <w:t>，售后人员安排合理，技术支持响应速度及时，满足采购单位的要求的，得2-3分；</w:t>
            </w:r>
            <w:r>
              <w:rPr>
                <w:rFonts w:ascii="宋体" w:hAnsi="宋体"/>
                <w:color w:val="000000"/>
                <w:sz w:val="24"/>
              </w:rPr>
              <w:t>售后服务方案不全面，落实保障措施和其他优惠承诺欠缺的得</w:t>
            </w:r>
            <w:r>
              <w:rPr>
                <w:rFonts w:hint="eastAsia" w:ascii="宋体" w:hAnsi="宋体"/>
                <w:color w:val="000000"/>
                <w:sz w:val="24"/>
              </w:rPr>
              <w:t>0-1</w:t>
            </w:r>
            <w:r>
              <w:rPr>
                <w:rFonts w:ascii="宋体" w:hAnsi="宋体"/>
                <w:color w:val="000000"/>
                <w:sz w:val="24"/>
              </w:rPr>
              <w:t>，除招标文件规定内容外无其他售后服务承诺的，该项不得分</w:t>
            </w:r>
            <w:r>
              <w:rPr>
                <w:rFonts w:hint="eastAsia" w:ascii="宋体" w:hAnsi="宋体"/>
                <w:color w:val="000000"/>
                <w:sz w:val="24"/>
              </w:rPr>
              <w:t>（0-3分）</w:t>
            </w:r>
            <w:r>
              <w:rPr>
                <w:rFonts w:ascii="宋体" w:hAnsi="宋体"/>
                <w:color w:val="000000"/>
                <w:sz w:val="24"/>
              </w:rPr>
              <w:t>。</w:t>
            </w:r>
          </w:p>
          <w:p>
            <w:pPr>
              <w:widowControl/>
              <w:jc w:val="left"/>
              <w:rPr>
                <w:rFonts w:ascii="宋体" w:hAnsi="宋体"/>
                <w:color w:val="000000"/>
                <w:sz w:val="24"/>
              </w:rPr>
            </w:pPr>
            <w:r>
              <w:rPr>
                <w:rFonts w:hint="eastAsia" w:ascii="宋体" w:hAnsi="宋体"/>
                <w:color w:val="000000"/>
                <w:sz w:val="24"/>
              </w:rPr>
              <w:t>2.</w:t>
            </w:r>
            <w:bookmarkStart w:id="2" w:name="_GoBack"/>
            <w:r>
              <w:rPr>
                <w:rFonts w:ascii="宋体" w:hAnsi="宋体"/>
                <w:color w:val="000000"/>
                <w:sz w:val="24"/>
              </w:rPr>
              <w:t>学校原有课桌椅搬至学校指定地点，如原有课桌椅已到报废年限，学校要求报废，中标单位提供回收服务，回收课桌椅数量以实际数量为准，所得收入作为固定资产残值收入。报价按每套计算，不低于市场价，报价最高者得4分，报价次高者得3分，报价第三高者得2分，报价第四高者得1分，其余不得分（0-4分）。</w:t>
            </w:r>
            <w:bookmarkEnd w:id="2"/>
          </w:p>
        </w:tc>
        <w:tc>
          <w:tcPr>
            <w:tcW w:w="990" w:type="dxa"/>
            <w:shd w:val="clear" w:color="auto" w:fill="auto"/>
            <w:vAlign w:val="center"/>
          </w:tcPr>
          <w:p>
            <w:pPr>
              <w:widowControl/>
              <w:jc w:val="left"/>
              <w:rPr>
                <w:rFonts w:ascii="宋体" w:hAnsi="宋体"/>
                <w:color w:val="000000"/>
                <w:sz w:val="24"/>
              </w:rPr>
            </w:pPr>
            <w:r>
              <w:rPr>
                <w:rFonts w:hint="eastAsia" w:ascii="宋体" w:hAnsi="宋体"/>
                <w:color w:val="000000"/>
                <w:sz w:val="24"/>
              </w:rPr>
              <w:t>7分</w:t>
            </w:r>
          </w:p>
        </w:tc>
      </w:tr>
    </w:tbl>
    <w:p>
      <w:pPr>
        <w:widowControl/>
        <w:jc w:val="left"/>
        <w:rPr>
          <w:rFonts w:ascii="宋体" w:hAnsi="宋体"/>
          <w:b/>
          <w:sz w:val="24"/>
        </w:rPr>
      </w:pPr>
    </w:p>
    <w:p>
      <w:pPr>
        <w:spacing w:before="120" w:beforeLines="50" w:after="120" w:afterLines="50" w:line="360" w:lineRule="auto"/>
        <w:rPr>
          <w:rFonts w:ascii="宋体" w:hAnsi="宋体"/>
          <w:b/>
          <w:bCs/>
          <w:sz w:val="24"/>
        </w:rPr>
      </w:pPr>
      <w:r>
        <w:rPr>
          <w:rFonts w:hint="eastAsia" w:ascii="宋体" w:hAnsi="宋体"/>
          <w:b/>
          <w:bCs/>
          <w:sz w:val="24"/>
        </w:rPr>
        <w:t xml:space="preserve"> (三)技术、商务、资信及其他分的计算</w:t>
      </w:r>
    </w:p>
    <w:p>
      <w:pPr>
        <w:spacing w:before="120" w:beforeLines="50" w:after="120" w:afterLines="50" w:line="360" w:lineRule="auto"/>
        <w:ind w:firstLine="480" w:firstLineChars="200"/>
        <w:rPr>
          <w:rFonts w:ascii="宋体" w:hAnsi="宋体"/>
          <w:sz w:val="24"/>
        </w:rPr>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pPr>
        <w:pStyle w:val="43"/>
      </w:pPr>
    </w:p>
    <w:p/>
    <w:p>
      <w:pPr>
        <w:pStyle w:val="13"/>
      </w:pPr>
    </w:p>
    <w:p>
      <w:pPr>
        <w:pStyle w:val="42"/>
        <w:rPr>
          <w:color w:val="auto"/>
        </w:rPr>
      </w:pPr>
    </w:p>
    <w:p>
      <w:pPr>
        <w:pStyle w:val="43"/>
      </w:pPr>
    </w:p>
    <w:p/>
    <w:p>
      <w:pPr>
        <w:pStyle w:val="13"/>
      </w:pPr>
    </w:p>
    <w:p/>
    <w:p>
      <w:pPr>
        <w:pStyle w:val="13"/>
      </w:pPr>
    </w:p>
    <w:p>
      <w:pPr>
        <w:pStyle w:val="42"/>
        <w:rPr>
          <w:color w:val="auto"/>
        </w:rPr>
      </w:pPr>
    </w:p>
    <w:p>
      <w:pPr>
        <w:pStyle w:val="42"/>
        <w:rPr>
          <w:color w:val="auto"/>
        </w:rPr>
      </w:pPr>
    </w:p>
    <w:p>
      <w:pPr>
        <w:pStyle w:val="43"/>
      </w:pPr>
    </w:p>
    <w:p/>
    <w:p>
      <w:pPr>
        <w:pStyle w:val="43"/>
      </w:pPr>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合同主要条款（供参考）</w:t>
      </w:r>
    </w:p>
    <w:p>
      <w:pPr>
        <w:snapToGrid w:val="0"/>
        <w:spacing w:line="360" w:lineRule="auto"/>
        <w:jc w:val="center"/>
        <w:outlineLvl w:val="0"/>
        <w:rPr>
          <w:rFonts w:ascii="宋体" w:hAnsi="宋体"/>
          <w:b/>
          <w:bCs/>
          <w:sz w:val="30"/>
          <w:szCs w:val="20"/>
        </w:rPr>
      </w:pPr>
      <w:r>
        <w:rPr>
          <w:rFonts w:hint="eastAsia" w:ascii="宋体" w:hAnsi="宋体"/>
          <w:b/>
          <w:sz w:val="30"/>
        </w:rPr>
        <w:t>浙江省政府采购合同指引</w:t>
      </w:r>
    </w:p>
    <w:p>
      <w:pPr>
        <w:pStyle w:val="18"/>
        <w:snapToGrid w:val="0"/>
        <w:spacing w:beforeLines="0" w:afterLines="0" w:line="360" w:lineRule="auto"/>
        <w:rPr>
          <w:rFonts w:hAnsi="宋体"/>
        </w:rPr>
      </w:pPr>
      <w:r>
        <w:rPr>
          <w:rFonts w:hAnsi="宋体"/>
        </w:rPr>
        <w:t>项目名称：                                       项目编号：</w:t>
      </w:r>
    </w:p>
    <w:p>
      <w:pPr>
        <w:pStyle w:val="18"/>
        <w:snapToGrid w:val="0"/>
        <w:spacing w:beforeLines="0" w:afterLines="0" w:line="360" w:lineRule="auto"/>
        <w:rPr>
          <w:rFonts w:hAnsi="宋体"/>
        </w:rPr>
      </w:pPr>
      <w:r>
        <w:rPr>
          <w:rFonts w:hAnsi="宋体"/>
        </w:rPr>
        <w:t>甲方：（买方）</w:t>
      </w:r>
    </w:p>
    <w:p>
      <w:pPr>
        <w:pStyle w:val="18"/>
        <w:snapToGrid w:val="0"/>
        <w:spacing w:beforeLines="0" w:afterLines="0" w:line="360" w:lineRule="auto"/>
        <w:rPr>
          <w:rFonts w:hAnsi="宋体"/>
        </w:rPr>
      </w:pPr>
      <w:r>
        <w:rPr>
          <w:rFonts w:hAnsi="宋体"/>
        </w:rPr>
        <w:t>乙方：（卖方）</w:t>
      </w:r>
    </w:p>
    <w:p>
      <w:pPr>
        <w:pStyle w:val="18"/>
        <w:snapToGrid w:val="0"/>
        <w:spacing w:beforeLines="0" w:afterLines="0" w:line="360" w:lineRule="auto"/>
        <w:ind w:firstLine="480" w:firstLineChars="200"/>
        <w:rPr>
          <w:rFonts w:hAnsi="宋体"/>
          <w:b/>
        </w:rPr>
      </w:pPr>
      <w:r>
        <w:rPr>
          <w:rFonts w:hAnsi="宋体"/>
        </w:rPr>
        <w:t>甲、乙双方根据</w:t>
      </w:r>
      <w:r>
        <w:rPr>
          <w:rFonts w:hint="eastAsia" w:hAnsi="宋体"/>
          <w:u w:val="single"/>
        </w:rPr>
        <w:t>浙江华耀建设咨询有限公司</w:t>
      </w:r>
      <w:r>
        <w:rPr>
          <w:rFonts w:hAnsi="宋体"/>
          <w:u w:val="single"/>
        </w:rPr>
        <w:t>关于</w:t>
      </w:r>
      <w:r>
        <w:rPr>
          <w:rFonts w:hint="eastAsia" w:hAnsi="宋体"/>
          <w:spacing w:val="-20"/>
          <w:u w:val="single"/>
        </w:rPr>
        <w:t>湖州市吴兴区教育局升降式课桌椅项目</w:t>
      </w:r>
      <w:r>
        <w:rPr>
          <w:rFonts w:hAnsi="宋体"/>
          <w:u w:val="single"/>
        </w:rPr>
        <w:t>公开招标  的</w:t>
      </w:r>
      <w:r>
        <w:rPr>
          <w:rFonts w:hAnsi="宋体"/>
        </w:rPr>
        <w:t>结果，签署本合同。</w:t>
      </w:r>
    </w:p>
    <w:p>
      <w:pPr>
        <w:pStyle w:val="18"/>
        <w:snapToGrid w:val="0"/>
        <w:spacing w:beforeLines="0" w:afterLines="0" w:line="360" w:lineRule="auto"/>
        <w:rPr>
          <w:rFonts w:hAnsi="宋体" w:cs="宋体"/>
        </w:rPr>
      </w:pPr>
      <w:r>
        <w:rPr>
          <w:rFonts w:hint="eastAsia" w:hAnsi="宋体" w:cs="宋体"/>
        </w:rPr>
        <w:t>项目名称：                                       项目编号：</w:t>
      </w:r>
    </w:p>
    <w:p>
      <w:pPr>
        <w:pStyle w:val="18"/>
        <w:snapToGrid w:val="0"/>
        <w:spacing w:beforeLines="0" w:afterLines="0" w:line="360" w:lineRule="auto"/>
        <w:rPr>
          <w:rFonts w:hAnsi="宋体" w:cs="宋体"/>
          <w:b/>
        </w:rPr>
      </w:pPr>
      <w:r>
        <w:rPr>
          <w:rFonts w:hint="eastAsia" w:hAnsi="宋体" w:cs="宋体"/>
          <w:b/>
        </w:rPr>
        <w:t>一、货物内容</w:t>
      </w:r>
    </w:p>
    <w:p>
      <w:pPr>
        <w:pStyle w:val="18"/>
        <w:snapToGrid w:val="0"/>
        <w:spacing w:beforeLines="0" w:afterLines="0" w:line="360" w:lineRule="auto"/>
        <w:rPr>
          <w:rFonts w:hAnsi="宋体" w:cs="宋体"/>
        </w:rPr>
      </w:pPr>
      <w:r>
        <w:rPr>
          <w:rFonts w:hint="eastAsia" w:hAnsi="宋体" w:cs="宋体"/>
        </w:rPr>
        <w:t>1. 货物名称：</w:t>
      </w:r>
    </w:p>
    <w:p>
      <w:pPr>
        <w:pStyle w:val="18"/>
        <w:snapToGrid w:val="0"/>
        <w:spacing w:beforeLines="0" w:afterLines="0" w:line="360" w:lineRule="auto"/>
        <w:rPr>
          <w:rFonts w:hAnsi="宋体" w:cs="宋体"/>
        </w:rPr>
      </w:pPr>
      <w:r>
        <w:rPr>
          <w:rFonts w:hint="eastAsia" w:hAnsi="宋体" w:cs="宋体"/>
        </w:rPr>
        <w:t>2. 型号规格：</w:t>
      </w:r>
    </w:p>
    <w:p>
      <w:pPr>
        <w:pStyle w:val="18"/>
        <w:snapToGrid w:val="0"/>
        <w:spacing w:beforeLines="0" w:afterLines="0" w:line="360" w:lineRule="auto"/>
        <w:rPr>
          <w:rFonts w:hAnsi="宋体" w:cs="宋体"/>
        </w:rPr>
      </w:pPr>
      <w:r>
        <w:rPr>
          <w:rFonts w:hint="eastAsia" w:hAnsi="宋体" w:cs="宋体"/>
        </w:rPr>
        <w:t>3. 技术参数：</w:t>
      </w:r>
    </w:p>
    <w:p>
      <w:pPr>
        <w:pStyle w:val="18"/>
        <w:snapToGrid w:val="0"/>
        <w:spacing w:beforeLines="0" w:afterLines="0" w:line="360" w:lineRule="auto"/>
        <w:rPr>
          <w:rFonts w:hAnsi="宋体" w:cs="宋体"/>
        </w:rPr>
      </w:pPr>
      <w:r>
        <w:rPr>
          <w:rFonts w:hint="eastAsia" w:hAnsi="宋体" w:cs="宋体"/>
        </w:rPr>
        <w:t>4. 数量（单位）：</w:t>
      </w:r>
    </w:p>
    <w:p>
      <w:pPr>
        <w:pStyle w:val="18"/>
        <w:snapToGrid w:val="0"/>
        <w:spacing w:beforeLines="0" w:afterLines="0" w:line="360" w:lineRule="auto"/>
        <w:rPr>
          <w:rFonts w:hAnsi="宋体" w:cs="宋体"/>
          <w:b/>
        </w:rPr>
      </w:pPr>
      <w:r>
        <w:rPr>
          <w:rFonts w:hint="eastAsia" w:hAnsi="宋体" w:cs="宋体"/>
          <w:b/>
        </w:rPr>
        <w:t>二、合同金额</w:t>
      </w:r>
    </w:p>
    <w:p>
      <w:pPr>
        <w:pStyle w:val="18"/>
        <w:snapToGrid w:val="0"/>
        <w:spacing w:beforeLines="0" w:afterLines="0" w:line="360" w:lineRule="auto"/>
        <w:ind w:left="410" w:hanging="410" w:hangingChars="171"/>
        <w:rPr>
          <w:rFonts w:hAnsi="宋体"/>
        </w:rPr>
      </w:pPr>
      <w:r>
        <w:rPr>
          <w:rFonts w:hAnsi="宋体"/>
        </w:rPr>
        <w:t xml:space="preserve"> 本合同金额为（大写）：____________________________________元（￥_______________元）人民币。</w:t>
      </w:r>
    </w:p>
    <w:p>
      <w:pPr>
        <w:pStyle w:val="18"/>
        <w:snapToGrid w:val="0"/>
        <w:spacing w:beforeLines="0" w:afterLines="0" w:line="360" w:lineRule="auto"/>
        <w:rPr>
          <w:rFonts w:hAnsi="宋体"/>
          <w:b/>
        </w:rPr>
      </w:pPr>
      <w:r>
        <w:rPr>
          <w:rFonts w:hAnsi="宋体"/>
          <w:b/>
        </w:rPr>
        <w:t>三、技术资料</w:t>
      </w:r>
    </w:p>
    <w:p>
      <w:pPr>
        <w:pStyle w:val="18"/>
        <w:snapToGrid w:val="0"/>
        <w:spacing w:beforeLines="0" w:afterLines="0" w:line="360" w:lineRule="auto"/>
        <w:ind w:left="410" w:hanging="410" w:hangingChars="171"/>
        <w:rPr>
          <w:rFonts w:hAnsi="宋体"/>
        </w:rPr>
      </w:pPr>
      <w:r>
        <w:rPr>
          <w:rFonts w:hAnsi="宋体"/>
        </w:rPr>
        <w:t>1</w:t>
      </w:r>
      <w:r>
        <w:rPr>
          <w:rFonts w:hint="eastAsia" w:hAnsi="宋体"/>
        </w:rPr>
        <w:t>.</w:t>
      </w:r>
      <w:r>
        <w:rPr>
          <w:rFonts w:hAnsi="宋体"/>
        </w:rPr>
        <w:t>乙方应按招标文件规定的时间向甲方提供使用货物的有关技术资料。</w:t>
      </w:r>
    </w:p>
    <w:p>
      <w:pPr>
        <w:pStyle w:val="18"/>
        <w:snapToGrid w:val="0"/>
        <w:spacing w:beforeLines="0" w:afterLines="0" w:line="360" w:lineRule="auto"/>
        <w:ind w:left="410" w:hanging="410" w:hangingChars="171"/>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Lines="0" w:afterLines="0" w:line="360" w:lineRule="auto"/>
        <w:ind w:left="412" w:hanging="412" w:hangingChars="171"/>
        <w:rPr>
          <w:rFonts w:hAnsi="宋体"/>
          <w:b/>
        </w:rPr>
      </w:pPr>
      <w:r>
        <w:rPr>
          <w:rFonts w:hAnsi="宋体"/>
          <w:b/>
        </w:rPr>
        <w:t>四、知识产权</w:t>
      </w:r>
    </w:p>
    <w:p>
      <w:pPr>
        <w:pStyle w:val="18"/>
        <w:snapToGrid w:val="0"/>
        <w:spacing w:beforeLines="0" w:afterLines="0" w:line="360" w:lineRule="auto"/>
        <w:rPr>
          <w:rFonts w:hAnsi="宋体"/>
          <w:bCs/>
        </w:rPr>
      </w:pPr>
      <w:r>
        <w:rPr>
          <w:rFonts w:hAnsi="宋体"/>
        </w:rPr>
        <w:t>乙方应保证所提供的货物或其任何一部分均不会侵犯任何第三方的知识产权</w:t>
      </w:r>
      <w:r>
        <w:rPr>
          <w:rFonts w:hAnsi="宋体"/>
          <w:bCs/>
        </w:rPr>
        <w:t>。</w:t>
      </w:r>
    </w:p>
    <w:p>
      <w:pPr>
        <w:pStyle w:val="18"/>
        <w:snapToGrid w:val="0"/>
        <w:spacing w:beforeLines="0" w:afterLines="0" w:line="360" w:lineRule="auto"/>
        <w:rPr>
          <w:rFonts w:hAnsi="宋体"/>
          <w:u w:val="single"/>
        </w:rPr>
      </w:pPr>
      <w:r>
        <w:rPr>
          <w:rFonts w:hAnsi="宋体"/>
          <w:b/>
        </w:rPr>
        <w:t>五、产权担保</w:t>
      </w:r>
    </w:p>
    <w:p>
      <w:pPr>
        <w:pStyle w:val="18"/>
        <w:snapToGrid w:val="0"/>
        <w:spacing w:beforeLines="0" w:afterLines="0" w:line="360" w:lineRule="auto"/>
        <w:ind w:left="408" w:hanging="408" w:hangingChars="170"/>
        <w:rPr>
          <w:rFonts w:hAnsi="宋体"/>
          <w:u w:val="single"/>
        </w:rPr>
      </w:pPr>
      <w:r>
        <w:rPr>
          <w:rFonts w:hAnsi="宋体"/>
        </w:rPr>
        <w:t>乙方保证所交付的货物的所有权完全属于乙方且无任何抵押、查封等产权瑕疵。</w:t>
      </w:r>
    </w:p>
    <w:p>
      <w:pPr>
        <w:pStyle w:val="18"/>
        <w:snapToGrid w:val="0"/>
        <w:spacing w:beforeLines="0" w:afterLines="0" w:line="360" w:lineRule="auto"/>
        <w:ind w:left="410" w:hanging="410" w:hangingChars="170"/>
        <w:rPr>
          <w:rFonts w:hAnsi="宋体"/>
          <w:b/>
        </w:rPr>
      </w:pPr>
      <w:r>
        <w:rPr>
          <w:rFonts w:hAnsi="宋体"/>
          <w:b/>
        </w:rPr>
        <w:t>六、履约保证金</w:t>
      </w:r>
    </w:p>
    <w:p>
      <w:pPr>
        <w:pStyle w:val="18"/>
        <w:snapToGrid w:val="0"/>
        <w:spacing w:beforeLines="0" w:afterLines="0" w:line="360" w:lineRule="auto"/>
        <w:ind w:left="1"/>
        <w:rPr>
          <w:rFonts w:hAnsi="宋体"/>
        </w:rPr>
      </w:pPr>
      <w:r>
        <w:rPr>
          <w:rFonts w:hint="eastAsia" w:hAnsi="宋体"/>
        </w:rPr>
        <w:t>本项目的履约保证金为合同价的2.5%；履约保证金形式为：现金或银行、保险公司出具的保函；中标人应根据采购人要求汇入采购人指定账号或提供保函。项目终验合格后，退还履约保证金。</w:t>
      </w:r>
    </w:p>
    <w:p>
      <w:pPr>
        <w:pStyle w:val="18"/>
        <w:snapToGrid w:val="0"/>
        <w:spacing w:beforeLines="0" w:afterLines="0" w:line="360" w:lineRule="auto"/>
        <w:ind w:left="1"/>
        <w:rPr>
          <w:rFonts w:hAnsi="宋体"/>
          <w:b/>
        </w:rPr>
      </w:pPr>
      <w:r>
        <w:rPr>
          <w:rFonts w:hint="eastAsia" w:hAnsi="宋体"/>
          <w:b/>
        </w:rPr>
        <w:t>七、转包或分包</w:t>
      </w:r>
    </w:p>
    <w:p>
      <w:pPr>
        <w:snapToGrid w:val="0"/>
        <w:spacing w:line="360" w:lineRule="auto"/>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pPr>
        <w:snapToGrid w:val="0"/>
        <w:spacing w:line="360" w:lineRule="auto"/>
        <w:rPr>
          <w:rFonts w:ascii="宋体" w:hAnsi="宋体"/>
          <w:sz w:val="24"/>
        </w:rPr>
      </w:pPr>
      <w:r>
        <w:rPr>
          <w:rFonts w:ascii="宋体" w:hAnsi="宋体"/>
          <w:sz w:val="24"/>
        </w:rPr>
        <w:t>2</w:t>
      </w:r>
      <w:r>
        <w:rPr>
          <w:rFonts w:hint="eastAsia" w:ascii="宋体" w:hAnsi="宋体"/>
          <w:sz w:val="24"/>
        </w:rPr>
        <w:t>.本项目允许分包；</w:t>
      </w:r>
      <w:r>
        <w:rPr>
          <w:rFonts w:hint="eastAsia" w:ascii="宋体" w:hAnsi="宋体"/>
          <w:b/>
          <w:color w:val="FF0000"/>
          <w:sz w:val="24"/>
        </w:rPr>
        <w:t>如中标人为大型企业，</w:t>
      </w:r>
      <w:r>
        <w:rPr>
          <w:rFonts w:ascii="宋体" w:hAnsi="宋体"/>
          <w:b/>
          <w:color w:val="FF0000"/>
          <w:sz w:val="24"/>
        </w:rPr>
        <w:t>合同金额的40%</w:t>
      </w:r>
      <w:r>
        <w:rPr>
          <w:rFonts w:hint="eastAsia" w:ascii="宋体" w:hAnsi="宋体"/>
          <w:b/>
          <w:color w:val="FF0000"/>
          <w:sz w:val="24"/>
        </w:rPr>
        <w:t>必须分包</w:t>
      </w:r>
      <w:r>
        <w:rPr>
          <w:rFonts w:ascii="宋体" w:hAnsi="宋体"/>
          <w:b/>
          <w:color w:val="FF0000"/>
          <w:sz w:val="24"/>
        </w:rPr>
        <w:t>给中小微企业。</w:t>
      </w:r>
    </w:p>
    <w:p>
      <w:pPr>
        <w:snapToGrid w:val="0"/>
        <w:spacing w:line="360" w:lineRule="auto"/>
        <w:rPr>
          <w:rFonts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18"/>
        <w:snapToGrid w:val="0"/>
        <w:spacing w:beforeLines="0" w:afterLines="0" w:line="360" w:lineRule="auto"/>
        <w:rPr>
          <w:rFonts w:hAnsi="宋体"/>
        </w:rPr>
      </w:pPr>
      <w:r>
        <w:rPr>
          <w:rFonts w:hAnsi="宋体"/>
          <w:b/>
        </w:rPr>
        <w:t>八、质保期</w:t>
      </w:r>
    </w:p>
    <w:p>
      <w:pPr>
        <w:pStyle w:val="18"/>
        <w:snapToGrid w:val="0"/>
        <w:spacing w:beforeLines="0" w:afterLines="0" w:line="360" w:lineRule="auto"/>
        <w:ind w:left="410" w:hanging="410" w:hangingChars="171"/>
        <w:rPr>
          <w:rFonts w:hAnsi="宋体"/>
        </w:rPr>
      </w:pPr>
      <w:r>
        <w:rPr>
          <w:rFonts w:hAnsi="宋体"/>
        </w:rPr>
        <w:t>1</w:t>
      </w:r>
      <w:r>
        <w:rPr>
          <w:rFonts w:hint="eastAsia" w:hAnsi="宋体"/>
        </w:rPr>
        <w:t>.</w:t>
      </w:r>
      <w:r>
        <w:rPr>
          <w:rFonts w:hAnsi="宋体"/>
        </w:rPr>
        <w:t xml:space="preserve"> 质保期</w:t>
      </w:r>
      <w:r>
        <w:rPr>
          <w:rFonts w:hint="eastAsia" w:hAnsi="宋体"/>
        </w:rPr>
        <w:t xml:space="preserve">： </w:t>
      </w:r>
      <w:r>
        <w:rPr>
          <w:rFonts w:hint="eastAsia"/>
        </w:rPr>
        <w:t>年</w:t>
      </w:r>
      <w:r>
        <w:rPr>
          <w:rFonts w:hAnsi="宋体"/>
        </w:rPr>
        <w:t>。（自验收合格之日起计）</w:t>
      </w:r>
    </w:p>
    <w:p>
      <w:pPr>
        <w:pStyle w:val="18"/>
        <w:snapToGrid w:val="0"/>
        <w:spacing w:beforeLines="0" w:afterLines="0" w:line="360" w:lineRule="auto"/>
        <w:rPr>
          <w:rFonts w:hAnsi="宋体"/>
          <w:b/>
        </w:rPr>
      </w:pPr>
      <w:r>
        <w:rPr>
          <w:rFonts w:hAnsi="宋体"/>
          <w:b/>
        </w:rPr>
        <w:t>九、交货期、交货方式及交货地点</w:t>
      </w:r>
    </w:p>
    <w:p>
      <w:pPr>
        <w:pStyle w:val="18"/>
        <w:snapToGrid w:val="0"/>
        <w:spacing w:beforeLines="0" w:afterLines="0" w:line="360" w:lineRule="auto"/>
        <w:ind w:left="410" w:hanging="410" w:hangingChars="171"/>
        <w:rPr>
          <w:rFonts w:hAnsi="宋体"/>
        </w:rPr>
      </w:pPr>
      <w:r>
        <w:rPr>
          <w:rFonts w:hAnsi="宋体"/>
        </w:rPr>
        <w:t>1</w:t>
      </w:r>
      <w:r>
        <w:rPr>
          <w:rFonts w:hint="eastAsia" w:hAnsi="宋体"/>
        </w:rPr>
        <w:t>.</w:t>
      </w:r>
      <w:r>
        <w:rPr>
          <w:rFonts w:hAnsi="宋体"/>
        </w:rPr>
        <w:t xml:space="preserve"> </w:t>
      </w:r>
      <w:r>
        <w:rPr>
          <w:rFonts w:hint="eastAsia" w:hAnsi="宋体"/>
        </w:rPr>
        <w:t>交货期：合同签订后分二批供货。第一次：2022年8月20日之前提供不少于各校总数量50%的货物，并完成安装调试及验收；第二次：2022年10月20日之前提供剩余数量的供货并完成安装调试及验收（具体时间以合同为准）。</w:t>
      </w:r>
    </w:p>
    <w:p>
      <w:pPr>
        <w:pStyle w:val="18"/>
        <w:snapToGrid w:val="0"/>
        <w:spacing w:beforeLines="0" w:afterLines="0" w:line="360" w:lineRule="auto"/>
        <w:ind w:left="410" w:hanging="410" w:hangingChars="171"/>
        <w:rPr>
          <w:rFonts w:hAnsi="宋体"/>
        </w:rPr>
      </w:pPr>
      <w:r>
        <w:rPr>
          <w:rFonts w:hint="eastAsia" w:hAnsi="宋体"/>
        </w:rPr>
        <w:t>2.地点：采购人指定地点</w:t>
      </w:r>
    </w:p>
    <w:p>
      <w:pPr>
        <w:pStyle w:val="18"/>
        <w:snapToGrid w:val="0"/>
        <w:spacing w:beforeLines="0" w:afterLines="0" w:line="360" w:lineRule="auto"/>
        <w:ind w:left="410" w:hanging="410" w:hangingChars="171"/>
        <w:rPr>
          <w:rFonts w:hAnsi="宋体"/>
        </w:rPr>
      </w:pPr>
      <w:r>
        <w:rPr>
          <w:rFonts w:hint="eastAsia" w:hAnsi="宋体"/>
        </w:rPr>
        <w:t>3.</w:t>
      </w:r>
      <w:r>
        <w:rPr>
          <w:rFonts w:hAnsi="宋体"/>
        </w:rPr>
        <w:t xml:space="preserve"> 交货方式：</w:t>
      </w:r>
      <w:r>
        <w:rPr>
          <w:rFonts w:hint="eastAsia" w:hAnsi="宋体"/>
        </w:rPr>
        <w:t>供应商需提供仓库用于课桌椅所需设备通风换气，设备需拆除包装分散摆放。二次搬运至学校的费用由供应商承担。</w:t>
      </w:r>
    </w:p>
    <w:p>
      <w:pPr>
        <w:pStyle w:val="18"/>
        <w:snapToGrid w:val="0"/>
        <w:spacing w:beforeLines="0" w:afterLines="0" w:line="360" w:lineRule="auto"/>
        <w:ind w:left="410" w:hanging="410" w:hangingChars="171"/>
        <w:rPr>
          <w:rFonts w:hAnsi="宋体"/>
        </w:rPr>
      </w:pPr>
      <w:r>
        <w:rPr>
          <w:rFonts w:hint="eastAsia" w:hAnsi="宋体"/>
        </w:rPr>
        <w:t>4.</w:t>
      </w:r>
      <w:r>
        <w:rPr>
          <w:rFonts w:hAnsi="宋体"/>
        </w:rPr>
        <w:t xml:space="preserve"> 交货地点：</w:t>
      </w:r>
      <w:r>
        <w:rPr>
          <w:rFonts w:hint="eastAsia" w:hAnsi="宋体"/>
        </w:rPr>
        <w:t>采购人指定</w:t>
      </w:r>
    </w:p>
    <w:p>
      <w:pPr>
        <w:pStyle w:val="18"/>
        <w:snapToGrid w:val="0"/>
        <w:spacing w:beforeLines="0" w:afterLines="0" w:line="360" w:lineRule="auto"/>
        <w:ind w:left="410" w:hanging="410" w:hangingChars="171"/>
        <w:rPr>
          <w:rFonts w:hAnsi="宋体"/>
        </w:rPr>
      </w:pPr>
      <w:r>
        <w:rPr>
          <w:rFonts w:hAnsi="宋体"/>
        </w:rPr>
        <w:t>十、货款支付</w:t>
      </w:r>
    </w:p>
    <w:p>
      <w:pPr>
        <w:pStyle w:val="18"/>
        <w:snapToGrid w:val="0"/>
        <w:spacing w:beforeLines="0" w:afterLines="0" w:line="360" w:lineRule="auto"/>
        <w:ind w:left="410" w:hanging="410" w:hangingChars="171"/>
        <w:rPr>
          <w:rFonts w:hAnsi="宋体"/>
        </w:rPr>
      </w:pPr>
      <w:r>
        <w:rPr>
          <w:rFonts w:hint="eastAsia" w:hAnsi="宋体"/>
        </w:rPr>
        <w:t xml:space="preserve">1. </w:t>
      </w:r>
      <w:r>
        <w:rPr>
          <w:rFonts w:hAnsi="宋体"/>
        </w:rPr>
        <w:t>根据《保障中小企业款项支付条例》、</w:t>
      </w:r>
      <w:r>
        <w:rPr>
          <w:rFonts w:hint="eastAsia" w:hAnsi="宋体"/>
        </w:rPr>
        <w:t>浙财采监【2022】3号要求</w:t>
      </w:r>
      <w:r>
        <w:rPr>
          <w:rFonts w:hAnsi="宋体"/>
        </w:rPr>
        <w:t>要求,制定如以下付款方式:</w:t>
      </w:r>
      <w:r>
        <w:rPr>
          <w:rFonts w:hint="eastAsia" w:hAnsi="宋体"/>
        </w:rPr>
        <w:t>合同生效以及具备实施条件后7个工作日内，支付合同金额的40%，2022年8月20日之前第一次供货并安装调试完成，验收合格后，11月底前支付实际验收货物金额的100%;2022年10月20日前，第二次供货并安装调试完成，验收合格后，项目整体资料移交给甲方，付至合同的100%。</w:t>
      </w:r>
    </w:p>
    <w:p>
      <w:pPr>
        <w:pStyle w:val="18"/>
        <w:snapToGrid w:val="0"/>
        <w:spacing w:beforeLines="0" w:afterLines="0" w:line="360" w:lineRule="auto"/>
        <w:ind w:left="410" w:hanging="410" w:hangingChars="171"/>
        <w:rPr>
          <w:rFonts w:hAnsi="宋体"/>
        </w:rPr>
      </w:pPr>
      <w:r>
        <w:rPr>
          <w:rFonts w:hint="eastAsia" w:hAnsi="宋体"/>
        </w:rPr>
        <w:t xml:space="preserve">注：1）中标供应商在接到采购人通知后的七个工作日内将正规发票送达采购人，采购人在收到中标供应商发票后于 十五个工作日内以转账的方式支付给中标供应商； </w:t>
      </w:r>
    </w:p>
    <w:p>
      <w:pPr>
        <w:pStyle w:val="18"/>
        <w:snapToGrid w:val="0"/>
        <w:spacing w:beforeLines="0" w:afterLines="0" w:line="360" w:lineRule="auto"/>
        <w:ind w:left="410" w:hanging="410" w:hangingChars="171"/>
        <w:rPr>
          <w:rFonts w:hAnsi="宋体"/>
        </w:rPr>
      </w:pPr>
      <w:r>
        <w:rPr>
          <w:rFonts w:hint="eastAsia" w:hAnsi="宋体"/>
        </w:rPr>
        <w:t xml:space="preserve">2）税费：本服务执行中相关的一切税费均由中标供应商负担； </w:t>
      </w:r>
    </w:p>
    <w:p>
      <w:pPr>
        <w:pStyle w:val="18"/>
        <w:snapToGrid w:val="0"/>
        <w:spacing w:beforeLines="0" w:afterLines="0" w:line="360" w:lineRule="auto"/>
        <w:ind w:left="410" w:hanging="410" w:hangingChars="171"/>
        <w:rPr>
          <w:rFonts w:hAnsi="宋体"/>
        </w:rPr>
      </w:pPr>
      <w:r>
        <w:rPr>
          <w:rFonts w:hint="eastAsia" w:hAnsi="宋体"/>
        </w:rPr>
        <w:t>3）若中标供应商明确表示无需预付款或者主动要求降低预付款比例的，采购人可不适用前述规定。</w:t>
      </w:r>
    </w:p>
    <w:p>
      <w:pPr>
        <w:pStyle w:val="18"/>
        <w:snapToGrid w:val="0"/>
        <w:spacing w:beforeLines="0" w:afterLines="0" w:line="360" w:lineRule="auto"/>
        <w:rPr>
          <w:rFonts w:hAnsi="宋体"/>
          <w:bCs/>
        </w:rPr>
      </w:pPr>
      <w:r>
        <w:rPr>
          <w:rFonts w:hAnsi="宋体"/>
          <w:bCs/>
        </w:rPr>
        <w:t>采购人应自收到供应商开具的发票后15日内将上述相关款项支付到合同约定的供应商账户。</w:t>
      </w:r>
    </w:p>
    <w:p>
      <w:pPr>
        <w:snapToGrid w:val="0"/>
        <w:spacing w:line="360" w:lineRule="auto"/>
        <w:rPr>
          <w:rFonts w:ascii="宋体" w:hAnsi="宋体"/>
          <w:bCs/>
          <w:sz w:val="24"/>
        </w:rPr>
      </w:pPr>
      <w:r>
        <w:rPr>
          <w:rFonts w:hint="eastAsia" w:ascii="宋体" w:hAnsi="宋体"/>
          <w:bCs/>
          <w:sz w:val="24"/>
        </w:rPr>
        <w:t>当采购数量与实际使用数量不一致时，乙方应根据实际使用量供货，合同的最终结算金额按实际使用量乘以成交单价进行计算。</w:t>
      </w:r>
    </w:p>
    <w:p>
      <w:pPr>
        <w:snapToGrid w:val="0"/>
        <w:spacing w:line="360" w:lineRule="auto"/>
        <w:rPr>
          <w:rFonts w:ascii="宋体" w:hAnsi="宋体"/>
          <w:b/>
          <w:sz w:val="24"/>
          <w:szCs w:val="20"/>
        </w:rPr>
      </w:pPr>
      <w:r>
        <w:rPr>
          <w:rFonts w:hint="eastAsia" w:ascii="宋体" w:hAnsi="宋体"/>
          <w:b/>
          <w:sz w:val="24"/>
        </w:rPr>
        <w:t>十一、税费</w:t>
      </w:r>
    </w:p>
    <w:p>
      <w:pPr>
        <w:snapToGrid w:val="0"/>
        <w:spacing w:line="360" w:lineRule="auto"/>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pStyle w:val="18"/>
        <w:snapToGrid w:val="0"/>
        <w:spacing w:beforeLines="0" w:afterLines="0" w:line="360" w:lineRule="auto"/>
        <w:ind w:left="412" w:hanging="412" w:hangingChars="171"/>
        <w:rPr>
          <w:rFonts w:hAnsi="宋体"/>
        </w:rPr>
      </w:pPr>
      <w:r>
        <w:rPr>
          <w:rFonts w:hAnsi="宋体"/>
          <w:b/>
        </w:rPr>
        <w:t>十二、质量保证及售后服务</w:t>
      </w:r>
    </w:p>
    <w:p>
      <w:pPr>
        <w:pStyle w:val="18"/>
        <w:snapToGrid w:val="0"/>
        <w:spacing w:beforeLines="0" w:afterLines="0" w:line="360" w:lineRule="auto"/>
        <w:ind w:left="410" w:hanging="410" w:hangingChars="171"/>
        <w:rPr>
          <w:rFonts w:hAnsi="宋体"/>
        </w:rPr>
      </w:pPr>
      <w:r>
        <w:rPr>
          <w:rFonts w:hAnsi="宋体"/>
        </w:rPr>
        <w:t>1</w:t>
      </w:r>
      <w:r>
        <w:rPr>
          <w:rFonts w:hint="eastAsia" w:hAnsi="宋体"/>
        </w:rPr>
        <w:t>.</w:t>
      </w:r>
      <w:r>
        <w:rPr>
          <w:rFonts w:hAnsi="宋体"/>
        </w:rPr>
        <w:t xml:space="preserve"> 乙方应按招标文件规定的货物性能、技术要求、质量标准向甲方提供未经使用的全新</w:t>
      </w:r>
      <w:r>
        <w:rPr>
          <w:rFonts w:hint="eastAsia" w:hAnsi="宋体"/>
        </w:rPr>
        <w:t>合格</w:t>
      </w:r>
      <w:r>
        <w:rPr>
          <w:rFonts w:hAnsi="宋体"/>
        </w:rPr>
        <w:t>产品。</w:t>
      </w:r>
    </w:p>
    <w:p>
      <w:pPr>
        <w:pStyle w:val="18"/>
        <w:snapToGrid w:val="0"/>
        <w:spacing w:beforeLines="0" w:afterLines="0" w:line="360" w:lineRule="auto"/>
        <w:ind w:left="480" w:hanging="480" w:hangingChars="200"/>
        <w:rPr>
          <w:rFonts w:hAnsi="宋体"/>
        </w:rPr>
      </w:pPr>
      <w:r>
        <w:rPr>
          <w:rFonts w:hAnsi="宋体"/>
        </w:rPr>
        <w:t>2</w:t>
      </w:r>
      <w:r>
        <w:rPr>
          <w:rFonts w:hint="eastAsia" w:hAnsi="宋体"/>
        </w:rPr>
        <w:t>.</w:t>
      </w:r>
      <w:r>
        <w:rPr>
          <w:rFonts w:hAnsi="宋体"/>
        </w:rPr>
        <w:t xml:space="preserve"> 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pPr>
        <w:pStyle w:val="18"/>
        <w:snapToGrid w:val="0"/>
        <w:spacing w:beforeLines="0" w:afterLines="0" w:line="360" w:lineRule="auto"/>
        <w:ind w:firstLine="420"/>
        <w:rPr>
          <w:rFonts w:hAnsi="宋体"/>
        </w:rPr>
      </w:pPr>
      <w:r>
        <w:rPr>
          <w:rFonts w:hAnsi="宋体"/>
        </w:rPr>
        <w:t>⑴更换：由乙方承担所发生的全部费用。</w:t>
      </w:r>
    </w:p>
    <w:p>
      <w:pPr>
        <w:pStyle w:val="18"/>
        <w:snapToGrid w:val="0"/>
        <w:spacing w:beforeLines="0" w:afterLines="0" w:line="360" w:lineRule="auto"/>
        <w:ind w:firstLine="420"/>
        <w:rPr>
          <w:rFonts w:hAnsi="宋体"/>
        </w:rPr>
      </w:pPr>
      <w:r>
        <w:rPr>
          <w:rFonts w:hAnsi="宋体"/>
        </w:rPr>
        <w:t>⑵贬值处理：由甲乙双方合议定价。</w:t>
      </w:r>
    </w:p>
    <w:p>
      <w:pPr>
        <w:pStyle w:val="18"/>
        <w:snapToGrid w:val="0"/>
        <w:spacing w:beforeLines="0" w:afterLines="0" w:line="360" w:lineRule="auto"/>
        <w:ind w:left="420" w:leftChars="200"/>
        <w:rPr>
          <w:rFonts w:hAnsi="宋体"/>
        </w:rPr>
      </w:pPr>
      <w:r>
        <w:rPr>
          <w:rFonts w:hAnsi="宋体"/>
        </w:rPr>
        <w:t>⑶退货处理：乙方应退还甲方支付的合同款，同时应承担该货物的直接费用（运输、保险、检验、货款利息及银行手续费等）。</w:t>
      </w:r>
    </w:p>
    <w:p>
      <w:pPr>
        <w:pStyle w:val="18"/>
        <w:snapToGrid w:val="0"/>
        <w:spacing w:beforeLines="0" w:afterLines="0" w:line="360" w:lineRule="auto"/>
        <w:rPr>
          <w:rFonts w:hAnsi="宋体"/>
        </w:rPr>
      </w:pPr>
      <w:r>
        <w:rPr>
          <w:rFonts w:hAnsi="宋体"/>
        </w:rPr>
        <w:t>3</w:t>
      </w:r>
      <w:r>
        <w:rPr>
          <w:rFonts w:hint="eastAsia" w:hAnsi="宋体"/>
        </w:rPr>
        <w:t>.</w:t>
      </w:r>
      <w:r>
        <w:rPr>
          <w:rFonts w:hAnsi="宋体"/>
        </w:rPr>
        <w:t xml:space="preserve"> 如在使用过程中发生质量问题，乙方在接到甲方通知后在△小时内到达甲方</w:t>
      </w:r>
    </w:p>
    <w:p>
      <w:pPr>
        <w:pStyle w:val="18"/>
        <w:snapToGrid w:val="0"/>
        <w:spacing w:beforeLines="0" w:afterLines="0" w:line="360" w:lineRule="auto"/>
        <w:ind w:firstLine="360" w:firstLineChars="150"/>
        <w:rPr>
          <w:rFonts w:hAnsi="宋体"/>
        </w:rPr>
      </w:pPr>
      <w:r>
        <w:rPr>
          <w:rFonts w:hAnsi="宋体"/>
        </w:rPr>
        <w:t>现场。</w:t>
      </w:r>
    </w:p>
    <w:p>
      <w:pPr>
        <w:pStyle w:val="18"/>
        <w:snapToGrid w:val="0"/>
        <w:spacing w:beforeLines="0" w:afterLines="0" w:line="360" w:lineRule="auto"/>
        <w:rPr>
          <w:rFonts w:hAnsi="宋体"/>
        </w:rPr>
      </w:pPr>
      <w:r>
        <w:rPr>
          <w:rFonts w:hAnsi="宋体"/>
        </w:rPr>
        <w:t>4</w:t>
      </w:r>
      <w:r>
        <w:rPr>
          <w:rFonts w:hint="eastAsia" w:hAnsi="宋体"/>
        </w:rPr>
        <w:t>.</w:t>
      </w:r>
      <w:r>
        <w:rPr>
          <w:rFonts w:hAnsi="宋体"/>
        </w:rPr>
        <w:t xml:space="preserve"> 在质保期内，乙方应对货物出现的质量及安全问题负责处理解决并承担一切</w:t>
      </w:r>
    </w:p>
    <w:p>
      <w:pPr>
        <w:pStyle w:val="18"/>
        <w:snapToGrid w:val="0"/>
        <w:spacing w:beforeLines="0" w:afterLines="0" w:line="360" w:lineRule="auto"/>
        <w:ind w:firstLine="360" w:firstLineChars="150"/>
        <w:rPr>
          <w:rFonts w:hAnsi="宋体"/>
        </w:rPr>
      </w:pPr>
      <w:r>
        <w:rPr>
          <w:rFonts w:hAnsi="宋体"/>
        </w:rPr>
        <w:t>费用。</w:t>
      </w:r>
    </w:p>
    <w:p>
      <w:pPr>
        <w:pStyle w:val="18"/>
        <w:snapToGrid w:val="0"/>
        <w:spacing w:beforeLines="0" w:afterLines="0" w:line="360" w:lineRule="auto"/>
        <w:rPr>
          <w:rFonts w:hAnsi="宋体"/>
        </w:rPr>
      </w:pPr>
      <w:r>
        <w:rPr>
          <w:rFonts w:hAnsi="宋体"/>
        </w:rPr>
        <w:t>5</w:t>
      </w:r>
      <w:r>
        <w:rPr>
          <w:rFonts w:hint="eastAsia" w:hAnsi="宋体"/>
        </w:rPr>
        <w:t>.</w:t>
      </w:r>
      <w:r>
        <w:rPr>
          <w:rFonts w:hAnsi="宋体"/>
        </w:rPr>
        <w:t>上述的货物免费保修期为</w:t>
      </w:r>
      <w:r>
        <w:rPr>
          <w:rFonts w:hint="eastAsia"/>
        </w:rPr>
        <w:t xml:space="preserve"> 年</w:t>
      </w:r>
      <w:r>
        <w:rPr>
          <w:rFonts w:hAnsi="宋体"/>
        </w:rPr>
        <w:t>，因人为因素出现的故障不在免费保修范围内。超过保修期的机器设备，终生维修，维修时只收部件成本费。</w:t>
      </w:r>
    </w:p>
    <w:p>
      <w:pPr>
        <w:pStyle w:val="18"/>
        <w:snapToGrid w:val="0"/>
        <w:spacing w:beforeLines="0" w:afterLines="0" w:line="360" w:lineRule="auto"/>
        <w:rPr>
          <w:rFonts w:hAnsi="宋体"/>
          <w:b/>
        </w:rPr>
      </w:pPr>
      <w:r>
        <w:rPr>
          <w:rFonts w:hAnsi="宋体"/>
          <w:b/>
        </w:rPr>
        <w:t>十三、调试和验收</w:t>
      </w:r>
    </w:p>
    <w:p>
      <w:pPr>
        <w:pStyle w:val="18"/>
        <w:snapToGrid w:val="0"/>
        <w:spacing w:beforeLines="0" w:afterLines="0" w:line="360" w:lineRule="auto"/>
        <w:jc w:val="left"/>
        <w:rPr>
          <w:rFonts w:hAnsi="宋体"/>
        </w:rPr>
      </w:pPr>
      <w:r>
        <w:rPr>
          <w:rFonts w:hAnsi="宋体"/>
        </w:rPr>
        <w:t>1</w:t>
      </w:r>
      <w:r>
        <w:rPr>
          <w:rFonts w:hint="eastAsia" w:hAnsi="宋体"/>
        </w:rPr>
        <w:t>.</w:t>
      </w:r>
      <w:r>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8"/>
        <w:snapToGrid w:val="0"/>
        <w:spacing w:beforeLines="0" w:afterLines="0" w:line="360" w:lineRule="auto"/>
        <w:rPr>
          <w:rFonts w:hAnsi="宋体"/>
        </w:rPr>
      </w:pPr>
      <w:r>
        <w:rPr>
          <w:rFonts w:hAnsi="宋体"/>
        </w:rPr>
        <w:t>2</w:t>
      </w:r>
      <w:r>
        <w:rPr>
          <w:rFonts w:hint="eastAsia" w:hAnsi="宋体"/>
        </w:rPr>
        <w:t>.</w:t>
      </w:r>
      <w:r>
        <w:rPr>
          <w:rFonts w:hAnsi="宋体"/>
        </w:rPr>
        <w:t xml:space="preserve"> 乙方交货前应对产品作出全面检查和对验收文件进行整理，并列出清单，作为甲方收货验收和使用的技术条件依据，检验的结果应随货物交甲方。</w:t>
      </w:r>
    </w:p>
    <w:p>
      <w:pPr>
        <w:pStyle w:val="18"/>
        <w:snapToGrid w:val="0"/>
        <w:spacing w:beforeLines="0" w:afterLines="0" w:line="360" w:lineRule="auto"/>
        <w:rPr>
          <w:rFonts w:hAnsi="宋体"/>
          <w:u w:val="single"/>
        </w:rPr>
      </w:pPr>
      <w:r>
        <w:rPr>
          <w:rFonts w:hAnsi="宋体"/>
        </w:rPr>
        <w:t>3</w:t>
      </w:r>
      <w:r>
        <w:rPr>
          <w:rFonts w:hint="eastAsia" w:hAnsi="宋体"/>
        </w:rPr>
        <w:t>.</w:t>
      </w:r>
      <w:r>
        <w:rPr>
          <w:rFonts w:hAnsi="宋体"/>
        </w:rPr>
        <w:t xml:space="preserve"> 甲方对乙方提供的货物在使用前进行调试时，乙方需负责安装并培训甲方的使用操作人员，并协助甲方一起调试，直到符合技术要求，甲方才做最终验收。</w:t>
      </w:r>
    </w:p>
    <w:p>
      <w:pPr>
        <w:pStyle w:val="18"/>
        <w:snapToGrid w:val="0"/>
        <w:spacing w:beforeLines="0" w:afterLines="0" w:line="360" w:lineRule="auto"/>
        <w:rPr>
          <w:rFonts w:hAnsi="宋体"/>
        </w:rPr>
      </w:pPr>
      <w:r>
        <w:rPr>
          <w:rFonts w:hAnsi="宋体"/>
        </w:rPr>
        <w:t>4</w:t>
      </w:r>
      <w:r>
        <w:rPr>
          <w:rFonts w:hint="eastAsia" w:hAnsi="宋体"/>
        </w:rPr>
        <w:t>.</w:t>
      </w:r>
      <w:r>
        <w:rPr>
          <w:rFonts w:hAnsi="宋体"/>
        </w:rPr>
        <w:t xml:space="preserve"> 对技术复杂的货物，甲方应请国家认可的专业检测机构参与初步验收及最终验收，并由其出具质量检测报告。</w:t>
      </w:r>
    </w:p>
    <w:p>
      <w:pPr>
        <w:pStyle w:val="18"/>
        <w:snapToGrid w:val="0"/>
        <w:spacing w:beforeLines="0" w:afterLines="0" w:line="360" w:lineRule="auto"/>
        <w:rPr>
          <w:rFonts w:hAnsi="宋体"/>
        </w:rPr>
      </w:pPr>
      <w:r>
        <w:rPr>
          <w:rFonts w:hAnsi="宋体"/>
        </w:rPr>
        <w:t>5</w:t>
      </w:r>
      <w:r>
        <w:rPr>
          <w:rFonts w:hint="eastAsia" w:hAnsi="宋体"/>
        </w:rPr>
        <w:t>.</w:t>
      </w:r>
      <w:r>
        <w:rPr>
          <w:rFonts w:hAnsi="宋体"/>
        </w:rPr>
        <w:t xml:space="preserve"> 验收时乙方必须在现场，验收完毕后作出验收结果报告；验收费用由乙方负责。</w:t>
      </w:r>
    </w:p>
    <w:p>
      <w:pPr>
        <w:pStyle w:val="18"/>
        <w:snapToGrid w:val="0"/>
        <w:spacing w:beforeLines="0" w:afterLines="0" w:line="360" w:lineRule="auto"/>
        <w:rPr>
          <w:rFonts w:hAnsi="宋体"/>
        </w:rPr>
      </w:pPr>
      <w:r>
        <w:rPr>
          <w:rFonts w:hint="eastAsia" w:hAnsi="宋体"/>
        </w:rPr>
        <w:t>6.</w:t>
      </w:r>
      <w:r>
        <w:rPr>
          <w:rFonts w:hint="eastAsia" w:hAnsi="宋体" w:cs="宋体"/>
        </w:rPr>
        <w:t>学校根据招标文件或合同进行验收，各标段均分两次验收，第一次供货完成，学校进行验收，区教育局组织相关人员随机抽取5所学校进行综合验收（货物的10%）。第二次供货完成，学校进行验收，区教育局组织相关人员随机抽取5所学校进行综合验收（货物的10%），资金按供货批次支付。</w:t>
      </w:r>
    </w:p>
    <w:p>
      <w:pPr>
        <w:pStyle w:val="18"/>
        <w:snapToGrid w:val="0"/>
        <w:spacing w:beforeLines="0" w:afterLines="0" w:line="360" w:lineRule="auto"/>
        <w:rPr>
          <w:rFonts w:hAnsi="宋体"/>
          <w:b/>
        </w:rPr>
      </w:pPr>
      <w:r>
        <w:rPr>
          <w:rFonts w:hAnsi="宋体"/>
          <w:b/>
        </w:rPr>
        <w:t>十四、货物包装、发运及运输</w:t>
      </w:r>
    </w:p>
    <w:p>
      <w:pPr>
        <w:pStyle w:val="18"/>
        <w:snapToGrid w:val="0"/>
        <w:spacing w:beforeLines="0" w:afterLines="0" w:line="360" w:lineRule="auto"/>
        <w:ind w:left="480" w:hanging="480" w:hangingChars="200"/>
        <w:rPr>
          <w:rFonts w:hAnsi="宋体"/>
        </w:rPr>
      </w:pPr>
      <w:r>
        <w:rPr>
          <w:rFonts w:hAnsi="宋体"/>
        </w:rPr>
        <w:t>1</w:t>
      </w:r>
      <w:r>
        <w:rPr>
          <w:rFonts w:hint="eastAsia" w:hAnsi="宋体"/>
        </w:rPr>
        <w:t>.</w:t>
      </w:r>
      <w:r>
        <w:rPr>
          <w:rFonts w:hAnsi="宋体"/>
        </w:rPr>
        <w:t xml:space="preserve"> 乙方应在货物发运前对其进行满足运输距离、防潮、防震、防锈和防破损装卸等要求包装，以保证货物安全运达甲方指定地点。</w:t>
      </w:r>
    </w:p>
    <w:p>
      <w:pPr>
        <w:pStyle w:val="18"/>
        <w:snapToGrid w:val="0"/>
        <w:spacing w:beforeLines="0" w:afterLines="0" w:line="360" w:lineRule="auto"/>
        <w:ind w:left="480" w:hanging="480" w:hangingChars="200"/>
        <w:rPr>
          <w:rFonts w:hAnsi="宋体"/>
        </w:rPr>
      </w:pPr>
      <w:r>
        <w:rPr>
          <w:rFonts w:hAnsi="宋体"/>
        </w:rPr>
        <w:t>2</w:t>
      </w:r>
      <w:r>
        <w:rPr>
          <w:rFonts w:hint="eastAsia" w:hAnsi="宋体"/>
        </w:rPr>
        <w:t>.</w:t>
      </w:r>
      <w:r>
        <w:rPr>
          <w:rFonts w:hAnsi="宋体"/>
        </w:rPr>
        <w:t xml:space="preserve"> 使用说明书、质量检验证明书、随配附件和工具以及清单一并附于货物内。</w:t>
      </w:r>
    </w:p>
    <w:p>
      <w:pPr>
        <w:pStyle w:val="18"/>
        <w:snapToGrid w:val="0"/>
        <w:spacing w:beforeLines="0" w:afterLines="0" w:line="360" w:lineRule="auto"/>
        <w:ind w:left="480" w:hanging="480" w:hangingChars="200"/>
        <w:rPr>
          <w:rFonts w:hAnsi="宋体"/>
        </w:rPr>
      </w:pPr>
      <w:r>
        <w:rPr>
          <w:rFonts w:hAnsi="宋体"/>
        </w:rPr>
        <w:t>3</w:t>
      </w:r>
      <w:r>
        <w:rPr>
          <w:rFonts w:hint="eastAsia" w:hAnsi="宋体"/>
        </w:rPr>
        <w:t>.</w:t>
      </w:r>
      <w:r>
        <w:rPr>
          <w:rFonts w:hAnsi="宋体"/>
        </w:rPr>
        <w:t xml:space="preserve"> 乙方在货物发运手续办理完毕后24小时内或货到甲方48小时前通知甲方，以准备接货。</w:t>
      </w:r>
    </w:p>
    <w:p>
      <w:pPr>
        <w:pStyle w:val="18"/>
        <w:snapToGrid w:val="0"/>
        <w:spacing w:beforeLines="0" w:afterLines="0" w:line="360" w:lineRule="auto"/>
        <w:ind w:left="480" w:hanging="480" w:hangingChars="200"/>
        <w:rPr>
          <w:rFonts w:hAnsi="宋体"/>
        </w:rPr>
      </w:pPr>
      <w:r>
        <w:rPr>
          <w:rFonts w:hAnsi="宋体"/>
        </w:rPr>
        <w:t>4</w:t>
      </w:r>
      <w:r>
        <w:rPr>
          <w:rFonts w:hint="eastAsia" w:hAnsi="宋体"/>
        </w:rPr>
        <w:t>.</w:t>
      </w:r>
      <w:r>
        <w:rPr>
          <w:rFonts w:hAnsi="宋体"/>
        </w:rPr>
        <w:t xml:space="preserve"> 货物在交付甲方前发生的风险均由乙方负责。</w:t>
      </w:r>
    </w:p>
    <w:p>
      <w:pPr>
        <w:pStyle w:val="18"/>
        <w:snapToGrid w:val="0"/>
        <w:spacing w:beforeLines="0" w:afterLines="0" w:line="360" w:lineRule="auto"/>
        <w:ind w:left="480" w:right="26" w:hanging="480" w:hangingChars="200"/>
        <w:rPr>
          <w:rFonts w:hAnsi="宋体"/>
        </w:rPr>
      </w:pPr>
      <w:r>
        <w:rPr>
          <w:rFonts w:hAnsi="宋体"/>
        </w:rPr>
        <w:t>5</w:t>
      </w:r>
      <w:r>
        <w:rPr>
          <w:rFonts w:hint="eastAsia" w:hAnsi="宋体"/>
        </w:rPr>
        <w:t>.</w:t>
      </w:r>
      <w:r>
        <w:rPr>
          <w:rFonts w:hAnsi="宋体"/>
        </w:rPr>
        <w:t xml:space="preserve"> 货物在规定的交付期限内由乙方送达甲方指定的地点视为交付，乙方同时需通知甲方货物已送达。</w:t>
      </w:r>
    </w:p>
    <w:p>
      <w:pPr>
        <w:pStyle w:val="18"/>
        <w:snapToGrid w:val="0"/>
        <w:spacing w:beforeLines="0" w:afterLines="0" w:line="360" w:lineRule="auto"/>
        <w:rPr>
          <w:rFonts w:hAnsi="宋体"/>
          <w:b/>
        </w:rPr>
      </w:pPr>
      <w:r>
        <w:rPr>
          <w:rFonts w:hAnsi="宋体"/>
          <w:b/>
        </w:rPr>
        <w:t>十五、违约责任</w:t>
      </w:r>
    </w:p>
    <w:p>
      <w:pPr>
        <w:pStyle w:val="18"/>
        <w:snapToGrid w:val="0"/>
        <w:spacing w:beforeLines="0" w:afterLines="0" w:line="360" w:lineRule="auto"/>
        <w:ind w:left="410" w:hanging="410" w:hangingChars="171"/>
        <w:rPr>
          <w:rFonts w:hAnsi="宋体"/>
        </w:rPr>
      </w:pPr>
      <w:r>
        <w:rPr>
          <w:rFonts w:hAnsi="宋体"/>
        </w:rPr>
        <w:t>1</w:t>
      </w:r>
      <w:r>
        <w:rPr>
          <w:rFonts w:hint="eastAsia" w:hAnsi="宋体"/>
        </w:rPr>
        <w:t>.</w:t>
      </w:r>
      <w:r>
        <w:rPr>
          <w:rFonts w:hAnsi="宋体"/>
        </w:rPr>
        <w:t xml:space="preserve"> 甲方无正当理由拒收货物的，甲方向乙方偿付拒收货款总值的百分之五违约金。</w:t>
      </w:r>
    </w:p>
    <w:p>
      <w:pPr>
        <w:pStyle w:val="18"/>
        <w:snapToGrid w:val="0"/>
        <w:spacing w:beforeLines="0" w:afterLines="0" w:line="360" w:lineRule="auto"/>
        <w:ind w:left="410" w:hanging="410" w:hangingChars="171"/>
        <w:rPr>
          <w:rFonts w:hAnsi="宋体"/>
        </w:rPr>
      </w:pPr>
      <w:r>
        <w:rPr>
          <w:rFonts w:hAnsi="宋体"/>
        </w:rPr>
        <w:t>2</w:t>
      </w:r>
      <w:r>
        <w:rPr>
          <w:rFonts w:hint="eastAsia" w:hAnsi="宋体"/>
        </w:rPr>
        <w:t>.</w:t>
      </w:r>
      <w:r>
        <w:rPr>
          <w:rFonts w:hAnsi="宋体"/>
        </w:rPr>
        <w:t xml:space="preserve"> 甲方无故逾期验收和办理货款支付手续的,甲方应按逾期付款总额每日万分之五向乙方支付违约金。</w:t>
      </w:r>
    </w:p>
    <w:p>
      <w:pPr>
        <w:pStyle w:val="18"/>
        <w:snapToGrid w:val="0"/>
        <w:spacing w:beforeLines="0" w:afterLines="0" w:line="360" w:lineRule="auto"/>
        <w:ind w:left="410" w:hanging="410" w:hangingChars="171"/>
        <w:rPr>
          <w:rFonts w:hAnsi="宋体"/>
        </w:rPr>
      </w:pPr>
      <w:r>
        <w:rPr>
          <w:rFonts w:hAnsi="宋体"/>
        </w:rPr>
        <w:t>3</w:t>
      </w:r>
      <w:r>
        <w:rPr>
          <w:rFonts w:hint="eastAsia" w:hAnsi="宋体"/>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8"/>
        <w:snapToGrid w:val="0"/>
        <w:spacing w:beforeLines="0" w:afterLines="0" w:line="360" w:lineRule="auto"/>
        <w:ind w:left="410" w:hanging="410" w:hangingChars="171"/>
        <w:rPr>
          <w:rFonts w:hAnsi="宋体"/>
        </w:rPr>
      </w:pPr>
      <w:r>
        <w:rPr>
          <w:rFonts w:hAnsi="宋体"/>
        </w:rPr>
        <w:t>4</w:t>
      </w:r>
      <w:r>
        <w:rPr>
          <w:rFonts w:hint="eastAsia" w:hAnsi="宋体"/>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8"/>
        <w:snapToGrid w:val="0"/>
        <w:spacing w:beforeLines="0" w:afterLines="0" w:line="360" w:lineRule="auto"/>
        <w:rPr>
          <w:rFonts w:hAnsi="宋体"/>
          <w:b/>
        </w:rPr>
      </w:pPr>
      <w:r>
        <w:rPr>
          <w:rFonts w:hAnsi="宋体"/>
          <w:b/>
        </w:rPr>
        <w:t>十六、不可抗力事件处理</w:t>
      </w:r>
    </w:p>
    <w:p>
      <w:pPr>
        <w:pStyle w:val="18"/>
        <w:snapToGrid w:val="0"/>
        <w:spacing w:beforeLines="0" w:afterLines="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18"/>
        <w:snapToGrid w:val="0"/>
        <w:spacing w:beforeLines="0" w:afterLines="0" w:line="360" w:lineRule="auto"/>
        <w:rPr>
          <w:rFonts w:hAnsi="宋体"/>
        </w:rPr>
      </w:pPr>
      <w:r>
        <w:rPr>
          <w:rFonts w:hAnsi="宋体"/>
        </w:rPr>
        <w:t>2</w:t>
      </w:r>
      <w:r>
        <w:rPr>
          <w:rFonts w:hint="eastAsia" w:hAnsi="宋体"/>
        </w:rPr>
        <w:t>.</w:t>
      </w:r>
      <w:r>
        <w:rPr>
          <w:rFonts w:hAnsi="宋体"/>
        </w:rPr>
        <w:t xml:space="preserve"> 不可抗力事件发生后，应立即通知对方，并寄送有关权威机构出具的证明。</w:t>
      </w:r>
    </w:p>
    <w:p>
      <w:pPr>
        <w:pStyle w:val="18"/>
        <w:snapToGrid w:val="0"/>
        <w:spacing w:beforeLines="0" w:afterLines="0" w:line="360" w:lineRule="auto"/>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18"/>
        <w:snapToGrid w:val="0"/>
        <w:spacing w:beforeLines="0" w:afterLines="0" w:line="360" w:lineRule="auto"/>
        <w:rPr>
          <w:rFonts w:hAnsi="宋体"/>
          <w:b/>
        </w:rPr>
      </w:pPr>
      <w:r>
        <w:rPr>
          <w:rFonts w:hAnsi="宋体"/>
          <w:b/>
        </w:rPr>
        <w:t>十七、诉讼</w:t>
      </w:r>
    </w:p>
    <w:p>
      <w:pPr>
        <w:pStyle w:val="18"/>
        <w:snapToGrid w:val="0"/>
        <w:spacing w:beforeLines="0" w:afterLines="0" w:line="360" w:lineRule="auto"/>
        <w:ind w:left="480" w:hanging="480" w:hangingChars="200"/>
        <w:rPr>
          <w:rFonts w:hAnsi="宋体"/>
        </w:rPr>
      </w:pPr>
      <w:r>
        <w:rPr>
          <w:rFonts w:hAnsi="宋体"/>
        </w:rPr>
        <w:t xml:space="preserve"> 双方在执行合同中所发生的一切争议，应通过协商解决。如协商不成，可向</w:t>
      </w:r>
      <w:r>
        <w:rPr>
          <w:rFonts w:hint="eastAsia" w:hAnsi="宋体"/>
        </w:rPr>
        <w:t>甲方所在</w:t>
      </w:r>
      <w:r>
        <w:rPr>
          <w:rFonts w:hAnsi="宋体"/>
        </w:rPr>
        <w:t>地法院起诉。</w:t>
      </w:r>
    </w:p>
    <w:p>
      <w:pPr>
        <w:pStyle w:val="18"/>
        <w:snapToGrid w:val="0"/>
        <w:spacing w:beforeLines="0" w:afterLines="0" w:line="360" w:lineRule="auto"/>
        <w:rPr>
          <w:rFonts w:hAnsi="宋体"/>
          <w:b/>
        </w:rPr>
      </w:pPr>
      <w:r>
        <w:rPr>
          <w:rFonts w:hAnsi="宋体"/>
          <w:b/>
        </w:rPr>
        <w:t>十八、合同生效及其它</w:t>
      </w:r>
    </w:p>
    <w:p>
      <w:pPr>
        <w:pStyle w:val="18"/>
        <w:snapToGrid w:val="0"/>
        <w:spacing w:beforeLines="0" w:afterLines="0" w:line="360" w:lineRule="auto"/>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18"/>
        <w:snapToGrid w:val="0"/>
        <w:spacing w:beforeLines="0" w:afterLines="0" w:line="360" w:lineRule="auto"/>
        <w:rPr>
          <w:rFonts w:hAnsi="宋体"/>
        </w:rPr>
      </w:pPr>
      <w:r>
        <w:rPr>
          <w:rFonts w:hAnsi="宋体"/>
        </w:rPr>
        <w:t>2</w:t>
      </w:r>
      <w:r>
        <w:rPr>
          <w:rFonts w:hint="eastAsia" w:hAnsi="宋体"/>
        </w:rPr>
        <w:t>.</w:t>
      </w:r>
      <w:r>
        <w:rPr>
          <w:rFonts w:hAnsi="宋体"/>
        </w:rPr>
        <w:t>合同执行中涉及采购资金和采购内容修改或补充的，须经财政部门审批，并签书面补充协议报政府采购监督管理部门备案，方可作为主合同不可分割的一部分。</w:t>
      </w:r>
    </w:p>
    <w:p>
      <w:pPr>
        <w:pStyle w:val="18"/>
        <w:snapToGrid w:val="0"/>
        <w:spacing w:beforeLines="0" w:afterLines="0" w:line="360" w:lineRule="auto"/>
        <w:ind w:left="480" w:hanging="480" w:hangingChars="200"/>
        <w:rPr>
          <w:rFonts w:hAnsi="宋体"/>
        </w:rPr>
      </w:pPr>
      <w:r>
        <w:rPr>
          <w:rFonts w:hAnsi="宋体"/>
        </w:rPr>
        <w:t>3</w:t>
      </w:r>
      <w:r>
        <w:rPr>
          <w:rFonts w:hint="eastAsia" w:hAnsi="宋体"/>
        </w:rPr>
        <w:t>.</w:t>
      </w:r>
      <w:r>
        <w:rPr>
          <w:rFonts w:hAnsi="宋体"/>
        </w:rPr>
        <w:t>本合同未尽事宜，遵照《</w:t>
      </w:r>
      <w:r>
        <w:rPr>
          <w:rFonts w:hint="eastAsia" w:hAnsi="宋体"/>
        </w:rPr>
        <w:t>中华人民共和国民法典</w:t>
      </w:r>
      <w:r>
        <w:rPr>
          <w:rFonts w:hAnsi="宋体"/>
        </w:rPr>
        <w:t>》有关条文执行。</w:t>
      </w:r>
    </w:p>
    <w:p>
      <w:pPr>
        <w:pStyle w:val="18"/>
        <w:snapToGrid w:val="0"/>
        <w:spacing w:beforeLines="0" w:afterLines="0" w:line="360" w:lineRule="auto"/>
        <w:ind w:left="480" w:hanging="480" w:hangingChars="200"/>
        <w:rPr>
          <w:rFonts w:hAnsi="宋体"/>
        </w:rPr>
      </w:pPr>
      <w:r>
        <w:rPr>
          <w:rFonts w:hAnsi="宋体"/>
        </w:rPr>
        <w:t>4</w:t>
      </w:r>
      <w:r>
        <w:rPr>
          <w:rFonts w:hint="eastAsia" w:hAnsi="宋体"/>
        </w:rPr>
        <w:t>.</w:t>
      </w:r>
      <w:r>
        <w:rPr>
          <w:rFonts w:hAnsi="宋体"/>
        </w:rPr>
        <w:t>本合同正本一式</w:t>
      </w:r>
      <w:r>
        <w:rPr>
          <w:rFonts w:hint="eastAsia" w:hAnsi="宋体"/>
        </w:rPr>
        <w:t>六</w:t>
      </w:r>
      <w:r>
        <w:rPr>
          <w:rFonts w:hAnsi="宋体"/>
        </w:rPr>
        <w:t>份，具有同等法律效力，甲</w:t>
      </w:r>
      <w:r>
        <w:rPr>
          <w:rFonts w:hint="eastAsia" w:hAnsi="宋体"/>
        </w:rPr>
        <w:t>方执三份，乙方执二份，采购代理机构执一份。</w:t>
      </w:r>
    </w:p>
    <w:p>
      <w:pPr>
        <w:pStyle w:val="18"/>
        <w:snapToGrid w:val="0"/>
        <w:spacing w:beforeLines="0" w:afterLines="0" w:line="360" w:lineRule="auto"/>
        <w:ind w:left="480" w:hanging="480" w:hangingChars="200"/>
        <w:rPr>
          <w:rFonts w:hAnsi="宋体"/>
        </w:rPr>
      </w:pPr>
      <w:r>
        <w:rPr>
          <w:rFonts w:hAnsi="宋体"/>
        </w:rPr>
        <w:t xml:space="preserve">  甲方：                               </w:t>
      </w:r>
      <w:r>
        <w:rPr>
          <w:rFonts w:hint="eastAsia" w:hAnsi="宋体"/>
        </w:rPr>
        <w:t xml:space="preserve">  </w:t>
      </w:r>
      <w:r>
        <w:rPr>
          <w:rFonts w:hAnsi="宋体"/>
        </w:rPr>
        <w:t xml:space="preserve">  乙方： </w:t>
      </w:r>
    </w:p>
    <w:p>
      <w:pPr>
        <w:pStyle w:val="18"/>
        <w:snapToGrid w:val="0"/>
        <w:spacing w:beforeLines="0" w:afterLines="0" w:line="360" w:lineRule="auto"/>
        <w:rPr>
          <w:rFonts w:hAnsi="宋体"/>
        </w:rPr>
      </w:pPr>
      <w:r>
        <w:rPr>
          <w:rFonts w:hAnsi="宋体"/>
        </w:rPr>
        <w:t xml:space="preserve">  地址：                                   地址： </w:t>
      </w:r>
    </w:p>
    <w:p>
      <w:pPr>
        <w:pStyle w:val="18"/>
        <w:snapToGrid w:val="0"/>
        <w:spacing w:beforeLines="0" w:afterLines="0" w:line="360" w:lineRule="auto"/>
        <w:rPr>
          <w:rFonts w:hAnsi="宋体"/>
        </w:rPr>
      </w:pPr>
      <w:r>
        <w:rPr>
          <w:rFonts w:hAnsi="宋体"/>
        </w:rPr>
        <w:t xml:space="preserve">  法定</w:t>
      </w:r>
      <w:r>
        <w:rPr>
          <w:rFonts w:hint="eastAsia" w:hAnsi="宋体"/>
        </w:rPr>
        <w:t>（授权）</w:t>
      </w:r>
      <w:r>
        <w:rPr>
          <w:rFonts w:hAnsi="宋体"/>
        </w:rPr>
        <w:t>代表人：                     法定</w:t>
      </w:r>
      <w:r>
        <w:rPr>
          <w:rFonts w:hint="eastAsia" w:hAnsi="宋体"/>
        </w:rPr>
        <w:t>（授权）</w:t>
      </w:r>
      <w:r>
        <w:rPr>
          <w:rFonts w:hAnsi="宋体"/>
        </w:rPr>
        <w:t>代表人：</w:t>
      </w:r>
    </w:p>
    <w:p>
      <w:pPr>
        <w:pStyle w:val="18"/>
        <w:snapToGrid w:val="0"/>
        <w:spacing w:beforeLines="0" w:afterLines="0" w:line="360" w:lineRule="auto"/>
        <w:rPr>
          <w:rFonts w:hAnsi="宋体"/>
        </w:rPr>
      </w:pPr>
      <w:r>
        <w:rPr>
          <w:rFonts w:hAnsi="宋体"/>
        </w:rPr>
        <w:t xml:space="preserve">  签</w:t>
      </w:r>
      <w:r>
        <w:rPr>
          <w:rFonts w:hint="eastAsia" w:hAnsi="宋体"/>
        </w:rPr>
        <w:t>字日期</w:t>
      </w:r>
      <w:r>
        <w:rPr>
          <w:rFonts w:hAnsi="宋体"/>
        </w:rPr>
        <w:t xml:space="preserve">：      年  月  日    </w:t>
      </w:r>
      <w:r>
        <w:rPr>
          <w:rFonts w:hint="eastAsia" w:hAnsi="宋体"/>
        </w:rPr>
        <w:t xml:space="preserve">           </w:t>
      </w:r>
      <w:r>
        <w:rPr>
          <w:rFonts w:hAnsi="宋体"/>
        </w:rPr>
        <w:t>签</w:t>
      </w:r>
      <w:r>
        <w:rPr>
          <w:rFonts w:hint="eastAsia" w:hAnsi="宋体"/>
        </w:rPr>
        <w:t>字</w:t>
      </w:r>
      <w:r>
        <w:rPr>
          <w:rFonts w:hAnsi="宋体"/>
        </w:rPr>
        <w:t>日期：      年  月  日</w:t>
      </w: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p>
    <w:p>
      <w:pPr>
        <w:snapToGrid w:val="0"/>
        <w:spacing w:line="360" w:lineRule="auto"/>
        <w:jc w:val="center"/>
        <w:rPr>
          <w:sz w:val="30"/>
          <w:szCs w:val="30"/>
        </w:rPr>
      </w:pPr>
      <w:r>
        <w:rPr>
          <w:rFonts w:hint="eastAsia"/>
          <w:sz w:val="30"/>
          <w:szCs w:val="30"/>
        </w:rPr>
        <w:t>第六章　投标文件格式</w:t>
      </w:r>
    </w:p>
    <w:p>
      <w:pPr>
        <w:snapToGrid w:val="0"/>
        <w:spacing w:line="360" w:lineRule="auto"/>
        <w:jc w:val="center"/>
        <w:outlineLvl w:val="1"/>
        <w:rPr>
          <w:rFonts w:ascii="宋体" w:hAnsi="宋体"/>
          <w:b/>
          <w:bCs/>
          <w:sz w:val="24"/>
        </w:rPr>
      </w:pPr>
      <w:r>
        <w:rPr>
          <w:rFonts w:hint="eastAsia" w:ascii="宋体" w:hAnsi="宋体"/>
          <w:b/>
          <w:bCs/>
          <w:sz w:val="24"/>
        </w:rPr>
        <w:t>一、资格文件格式</w:t>
      </w:r>
    </w:p>
    <w:p>
      <w:pPr>
        <w:snapToGrid w:val="0"/>
        <w:spacing w:line="360" w:lineRule="auto"/>
        <w:rPr>
          <w:rFonts w:ascii="宋体" w:hAnsi="宋体"/>
          <w:sz w:val="24"/>
          <w:szCs w:val="20"/>
        </w:rPr>
      </w:pPr>
      <w:r>
        <w:rPr>
          <w:rFonts w:hint="eastAsia" w:ascii="宋体" w:hAnsi="宋体"/>
          <w:sz w:val="24"/>
        </w:rPr>
        <w:t>1.资格文件封面格式：</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资 格 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湖州市吴兴区教育局升降式课桌椅项目</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HYHZ2022-80</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szCs w:val="20"/>
        </w:rPr>
      </w:pPr>
      <w:r>
        <w:rPr>
          <w:rFonts w:hint="eastAsia" w:ascii="宋体" w:hAnsi="宋体"/>
          <w:sz w:val="24"/>
        </w:rPr>
        <w:t>年月日</w:t>
      </w:r>
    </w:p>
    <w:p>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）投标人基本情况介绍————————</w:t>
      </w:r>
    </w:p>
    <w:p>
      <w:pPr>
        <w:snapToGrid w:val="0"/>
        <w:spacing w:line="360" w:lineRule="auto"/>
        <w:jc w:val="left"/>
        <w:rPr>
          <w:rFonts w:ascii="宋体" w:hAnsi="宋体"/>
          <w:sz w:val="24"/>
        </w:rPr>
      </w:pPr>
      <w:r>
        <w:rPr>
          <w:rFonts w:hint="eastAsia" w:ascii="宋体" w:hAnsi="宋体"/>
          <w:sz w:val="24"/>
        </w:rPr>
        <w:t>（3）</w:t>
      </w:r>
      <w:r>
        <w:rPr>
          <w:rFonts w:ascii="宋体" w:hAnsi="宋体"/>
          <w:sz w:val="24"/>
        </w:rPr>
        <w:t>法定代表人授权委托书</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（5）有效的营业执照副本复印件————————</w:t>
      </w:r>
    </w:p>
    <w:p>
      <w:pPr>
        <w:snapToGrid w:val="0"/>
        <w:spacing w:line="360" w:lineRule="auto"/>
        <w:jc w:val="left"/>
        <w:rPr>
          <w:rFonts w:ascii="宋体" w:hAnsi="宋体" w:cs="Arial"/>
          <w:kern w:val="0"/>
          <w:sz w:val="24"/>
        </w:rPr>
      </w:pPr>
      <w:r>
        <w:rPr>
          <w:rFonts w:hint="eastAsia" w:ascii="宋体" w:hAnsi="宋体" w:cs="Arial"/>
          <w:kern w:val="0"/>
          <w:sz w:val="24"/>
        </w:rPr>
        <w:t>（6）</w:t>
      </w:r>
      <w:r>
        <w:rPr>
          <w:rFonts w:hint="eastAsia" w:ascii="宋体" w:hAnsi="宋体" w:cs="宋体"/>
          <w:sz w:val="24"/>
        </w:rPr>
        <w:t>近二年度（2020,2021年）企业的财务状况报告或银行资信证明复印件</w:t>
      </w:r>
      <w:r>
        <w:rPr>
          <w:rFonts w:hint="eastAsia" w:ascii="宋体" w:hAnsi="宋体"/>
          <w:sz w:val="24"/>
        </w:rPr>
        <w:t>————————</w:t>
      </w:r>
    </w:p>
    <w:p>
      <w:pPr>
        <w:snapToGrid w:val="0"/>
        <w:spacing w:line="360" w:lineRule="auto"/>
        <w:jc w:val="left"/>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cs="Arial"/>
          <w:kern w:val="0"/>
          <w:sz w:val="24"/>
        </w:rPr>
      </w:pPr>
      <w:r>
        <w:rPr>
          <w:rFonts w:hint="eastAsia" w:ascii="宋体" w:hAnsi="宋体" w:cs="Arial"/>
          <w:kern w:val="0"/>
          <w:sz w:val="24"/>
        </w:rPr>
        <w:t>（8）</w:t>
      </w:r>
      <w:r>
        <w:rPr>
          <w:rFonts w:hint="eastAsia" w:ascii="宋体" w:hAnsi="宋体"/>
          <w:b/>
          <w:color w:val="FF0000"/>
          <w:sz w:val="24"/>
        </w:rPr>
        <w:t>符合政策要求的中小企业，相关企业（含联合体中的中小企业、签订分包意向协议的中小企业）需提供中小企业申明函(监狱企业视同小型、微型企业，提供由省级以上监狱管理局、戒毒管理局(含新疆生产建设兵团)出具的属于监狱企业的证明文件；残疾人福利性单位视同小型、微型企业，提供《残疾人福利性单位声明函》)；如大型企业投标，需提供联合体各方共同投标协议或分包意向协议（协议中</w:t>
      </w:r>
      <w:r>
        <w:rPr>
          <w:rFonts w:ascii="宋体" w:hAnsi="宋体"/>
          <w:b/>
          <w:color w:val="FF0000"/>
          <w:sz w:val="24"/>
        </w:rPr>
        <w:t>合同金额的40%</w:t>
      </w:r>
      <w:r>
        <w:rPr>
          <w:rFonts w:hint="eastAsia" w:ascii="宋体" w:hAnsi="宋体"/>
          <w:b/>
          <w:color w:val="FF0000"/>
          <w:sz w:val="24"/>
        </w:rPr>
        <w:t>必须分包</w:t>
      </w:r>
      <w:r>
        <w:rPr>
          <w:rFonts w:ascii="宋体" w:hAnsi="宋体"/>
          <w:b/>
          <w:color w:val="FF0000"/>
          <w:sz w:val="24"/>
        </w:rPr>
        <w:t>给中小微企业</w:t>
      </w:r>
      <w:r>
        <w:rPr>
          <w:rFonts w:hint="eastAsia" w:ascii="宋体" w:hAnsi="宋体"/>
          <w:b/>
          <w:color w:val="FF0000"/>
          <w:sz w:val="24"/>
        </w:rPr>
        <w:t>，格式自拟），如中小企业投标则无需提供</w:t>
      </w:r>
      <w:r>
        <w:rPr>
          <w:rFonts w:hint="eastAsia" w:ascii="宋体" w:hAnsi="宋体"/>
          <w:sz w:val="24"/>
        </w:rPr>
        <w:t>——————</w:t>
      </w:r>
    </w:p>
    <w:p>
      <w:pPr>
        <w:snapToGrid w:val="0"/>
        <w:spacing w:line="360" w:lineRule="auto"/>
        <w:jc w:val="left"/>
        <w:rPr>
          <w:rFonts w:ascii="宋体" w:hAnsi="宋体"/>
          <w:sz w:val="24"/>
          <w:szCs w:val="20"/>
        </w:rPr>
      </w:pPr>
      <w:r>
        <w:rPr>
          <w:rFonts w:hint="eastAsia" w:ascii="宋体" w:hAnsi="宋体"/>
        </w:rPr>
        <w:t>3</w:t>
      </w:r>
      <w:r>
        <w:rPr>
          <w:rFonts w:hint="eastAsia" w:ascii="宋体" w:hAnsi="宋体"/>
          <w:sz w:val="24"/>
        </w:rPr>
        <w:t>.投标声明书格式：</w:t>
      </w:r>
    </w:p>
    <w:p>
      <w:pPr>
        <w:snapToGrid w:val="0"/>
        <w:spacing w:line="360" w:lineRule="auto"/>
        <w:jc w:val="center"/>
        <w:rPr>
          <w:rFonts w:ascii="宋体" w:hAnsi="宋体"/>
          <w:sz w:val="24"/>
          <w:szCs w:val="20"/>
        </w:rPr>
      </w:pPr>
      <w:r>
        <w:rPr>
          <w:rFonts w:hint="eastAsia" w:ascii="宋体" w:hAnsi="宋体"/>
          <w:sz w:val="30"/>
        </w:rPr>
        <w:t>投标声明书</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我方此次向贵方提供的产品名称为：</w:t>
      </w:r>
      <w:r>
        <w:rPr>
          <w:rFonts w:hint="eastAsia" w:ascii="宋体" w:hAnsi="宋体"/>
          <w:sz w:val="24"/>
        </w:rPr>
        <w:t>；规格型号：；该型号产品我方有现货可供，并已于年月生产完工或向</w:t>
      </w:r>
      <w:r>
        <w:rPr>
          <w:rFonts w:hint="eastAsia" w:ascii="宋体" w:hAnsi="宋体"/>
          <w:sz w:val="24"/>
          <w:u w:val="single"/>
        </w:rPr>
        <w:t>　　</w:t>
      </w:r>
      <w:r>
        <w:rPr>
          <w:rFonts w:hint="eastAsia" w:ascii="宋体" w:hAnsi="宋体"/>
          <w:sz w:val="24"/>
        </w:rPr>
        <w:t>（原厂商名称）购进［</w:t>
      </w:r>
      <w:r>
        <w:rPr>
          <w:rFonts w:hint="eastAsia" w:ascii="宋体" w:hAnsi="宋体"/>
          <w:b/>
          <w:bCs/>
          <w:sz w:val="24"/>
        </w:rPr>
        <w:t>或</w:t>
      </w:r>
      <w:r>
        <w:rPr>
          <w:rFonts w:hint="eastAsia" w:ascii="宋体" w:hAnsi="宋体"/>
          <w:sz w:val="24"/>
        </w:rPr>
        <w:t>需在中标后向订购］。</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u w:val="single"/>
        </w:rPr>
        <w:t>　　　　　　　　　　　　　　　　　　　　　　　　　　　</w:t>
      </w:r>
    </w:p>
    <w:p>
      <w:pPr>
        <w:pStyle w:val="14"/>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rPr>
        <w:t>6.以上事项如有虚假或隐瞒，我方愿意承担一切后果，并不再寻求任何旨在减轻或免除法律责任的辩解。</w:t>
      </w:r>
    </w:p>
    <w:p>
      <w:pPr>
        <w:pStyle w:val="52"/>
        <w:snapToGrid w:val="0"/>
        <w:spacing w:line="360" w:lineRule="auto"/>
        <w:ind w:firstLine="200"/>
        <w:rPr>
          <w:rFonts w:ascii="宋体" w:hAnsi="宋体"/>
        </w:rPr>
      </w:pPr>
    </w:p>
    <w:p>
      <w:pPr>
        <w:snapToGrid w:val="0"/>
        <w:spacing w:line="360" w:lineRule="auto"/>
        <w:ind w:firstLine="200"/>
        <w:rPr>
          <w:rFonts w:ascii="宋体" w:hAnsi="宋体"/>
          <w:sz w:val="24"/>
          <w:szCs w:val="20"/>
          <w:u w:val="single"/>
        </w:rPr>
      </w:pPr>
      <w:r>
        <w:rPr>
          <w:rFonts w:hint="eastAsia" w:ascii="宋体" w:hAnsi="宋体"/>
          <w:sz w:val="24"/>
        </w:rPr>
        <w:t>法定代表人签字：</w:t>
      </w:r>
    </w:p>
    <w:p>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pPr>
        <w:pStyle w:val="13"/>
      </w:pPr>
    </w:p>
    <w:p>
      <w:pPr>
        <w:pStyle w:val="42"/>
        <w:rPr>
          <w:color w:val="auto"/>
        </w:rPr>
      </w:pPr>
    </w:p>
    <w:p>
      <w:pPr>
        <w:snapToGrid w:val="0"/>
        <w:spacing w:line="360" w:lineRule="auto"/>
        <w:rPr>
          <w:rFonts w:ascii="宋体" w:hAnsi="宋体"/>
          <w:sz w:val="24"/>
          <w:szCs w:val="20"/>
        </w:rPr>
      </w:pPr>
    </w:p>
    <w:p>
      <w:pPr>
        <w:snapToGrid w:val="0"/>
        <w:spacing w:line="360" w:lineRule="auto"/>
        <w:rPr>
          <w:rFonts w:ascii="宋体" w:hAnsi="宋体"/>
          <w:sz w:val="24"/>
        </w:rPr>
      </w:pPr>
      <w:r>
        <w:rPr>
          <w:rFonts w:hint="eastAsia" w:ascii="宋体" w:hAnsi="宋体"/>
          <w:sz w:val="24"/>
        </w:rPr>
        <w:t>4.投标人情况介绍（包括主要产品、技术力量、生产规模、经营业绩等，格式自拟）</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szCs w:val="20"/>
        </w:rPr>
      </w:pPr>
      <w:r>
        <w:rPr>
          <w:rFonts w:hint="eastAsia" w:ascii="宋体" w:hAnsi="宋体"/>
          <w:sz w:val="24"/>
        </w:rPr>
        <w:t>5.法定代表人授权委托书格式：</w:t>
      </w:r>
    </w:p>
    <w:p>
      <w:pPr>
        <w:snapToGrid w:val="0"/>
        <w:spacing w:line="360"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
          <w:bCs/>
          <w:sz w:val="24"/>
          <w:szCs w:val="20"/>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湖州市吴兴区教育局升降式课桌椅项目</w:t>
      </w:r>
      <w:r>
        <w:rPr>
          <w:rFonts w:hint="eastAsia" w:ascii="宋体" w:hAnsi="宋体"/>
          <w:sz w:val="24"/>
        </w:rPr>
        <w:t>的投标活动，并代表我方全权办理针对上述项目的投标、开标、评标、签约等具体事务和签署相关文件。</w:t>
      </w:r>
    </w:p>
    <w:p>
      <w:pPr>
        <w:snapToGrid w:val="0"/>
        <w:spacing w:line="360" w:lineRule="auto"/>
        <w:rPr>
          <w:rFonts w:ascii="宋体" w:hAnsi="宋体"/>
          <w:sz w:val="24"/>
          <w:szCs w:val="20"/>
        </w:rPr>
      </w:pPr>
      <w:r>
        <w:rPr>
          <w:rFonts w:hint="eastAsia" w:ascii="宋体" w:hAnsi="宋体"/>
          <w:sz w:val="24"/>
        </w:rPr>
        <w:t>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szCs w:val="20"/>
        </w:rPr>
      </w:pPr>
      <w:r>
        <w:rPr>
          <w:rFonts w:hint="eastAsia" w:ascii="宋体" w:hAnsi="宋体"/>
          <w:sz w:val="24"/>
        </w:rPr>
        <w:t>被授权人无转委托权，特此委托。</w:t>
      </w:r>
    </w:p>
    <w:p>
      <w:pPr>
        <w:snapToGrid w:val="0"/>
        <w:spacing w:line="360" w:lineRule="auto"/>
        <w:rPr>
          <w:rFonts w:ascii="宋体" w:hAnsi="宋体"/>
          <w:sz w:val="24"/>
          <w:szCs w:val="20"/>
        </w:rPr>
      </w:pPr>
    </w:p>
    <w:p>
      <w:pPr>
        <w:snapToGrid w:val="0"/>
        <w:spacing w:line="360" w:lineRule="auto"/>
        <w:rPr>
          <w:rFonts w:ascii="宋体" w:hAnsi="宋体"/>
          <w:sz w:val="24"/>
          <w:szCs w:val="20"/>
          <w:u w:val="single"/>
        </w:rPr>
      </w:pPr>
      <w:r>
        <w:rPr>
          <w:rFonts w:hint="eastAsia" w:ascii="宋体" w:hAnsi="宋体"/>
          <w:sz w:val="24"/>
        </w:rPr>
        <w:t>被授权人签名：法定代表人签名：</w:t>
      </w:r>
    </w:p>
    <w:p>
      <w:pPr>
        <w:snapToGrid w:val="0"/>
        <w:spacing w:line="360" w:lineRule="auto"/>
        <w:ind w:firstLine="960" w:firstLineChars="400"/>
        <w:rPr>
          <w:rFonts w:ascii="宋体" w:hAnsi="宋体"/>
          <w:sz w:val="24"/>
          <w:szCs w:val="20"/>
        </w:rPr>
      </w:pPr>
      <w:r>
        <w:rPr>
          <w:rFonts w:hint="eastAsia" w:ascii="宋体" w:hAnsi="宋体"/>
          <w:sz w:val="24"/>
        </w:rPr>
        <w:t>职务：职务：</w:t>
      </w:r>
    </w:p>
    <w:p>
      <w:pPr>
        <w:snapToGrid w:val="0"/>
        <w:spacing w:line="360" w:lineRule="auto"/>
        <w:rPr>
          <w:rFonts w:ascii="宋体" w:hAnsi="宋体"/>
          <w:sz w:val="24"/>
          <w:szCs w:val="20"/>
        </w:rPr>
      </w:pPr>
      <w:r>
        <w:rPr>
          <w:rFonts w:hint="eastAsia" w:ascii="宋体" w:hAnsi="宋体"/>
          <w:sz w:val="24"/>
        </w:rPr>
        <w:t>被授权人身份证号码：</w:t>
      </w:r>
    </w:p>
    <w:p>
      <w:pPr>
        <w:snapToGrid w:val="0"/>
        <w:spacing w:line="360" w:lineRule="auto"/>
        <w:rPr>
          <w:rFonts w:ascii="宋体" w:hAnsi="宋体"/>
          <w:sz w:val="24"/>
        </w:rPr>
      </w:pPr>
      <w:r>
        <w:rPr>
          <w:rFonts w:hint="eastAsia" w:ascii="宋体" w:hAnsi="宋体"/>
          <w:sz w:val="24"/>
        </w:rPr>
        <w:t>投标人公章：</w:t>
      </w:r>
    </w:p>
    <w:p>
      <w:pPr>
        <w:pStyle w:val="8"/>
        <w:spacing w:line="360" w:lineRule="auto"/>
        <w:ind w:firstLine="374" w:firstLineChars="156"/>
        <w:rPr>
          <w:rFonts w:ascii="宋体" w:hAnsi="宋体"/>
          <w:sz w:val="24"/>
          <w:szCs w:val="24"/>
        </w:rPr>
      </w:pPr>
      <w:r>
        <w:rPr>
          <w:rFonts w:hint="eastAsia" w:ascii="宋体" w:hAnsi="宋体"/>
          <w:sz w:val="24"/>
          <w:szCs w:val="24"/>
        </w:rPr>
        <w:t>————————————————————-----------</w:t>
      </w:r>
    </w:p>
    <w:p>
      <w:pPr>
        <w:pStyle w:val="8"/>
        <w:spacing w:line="360" w:lineRule="auto"/>
        <w:ind w:firstLine="374" w:firstLineChars="156"/>
        <w:jc w:val="center"/>
        <w:rPr>
          <w:rFonts w:ascii="宋体" w:hAnsi="宋体"/>
          <w:sz w:val="24"/>
          <w:szCs w:val="24"/>
        </w:rPr>
      </w:pPr>
    </w:p>
    <w:p>
      <w:pPr>
        <w:pStyle w:val="8"/>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jc w:val="center"/>
        <w:rPr>
          <w:rFonts w:ascii="宋体" w:hAnsi="宋体"/>
          <w:sz w:val="24"/>
        </w:rPr>
      </w:pPr>
      <w:r>
        <w:rPr>
          <w:rFonts w:hint="eastAsia" w:ascii="宋体" w:hAnsi="宋体"/>
          <w:sz w:val="24"/>
        </w:rPr>
        <w:t>年月日</w:t>
      </w:r>
    </w:p>
    <w:p>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pPr>
        <w:snapToGrid w:val="0"/>
        <w:spacing w:line="360" w:lineRule="auto"/>
        <w:rPr>
          <w:rFonts w:ascii="宋体" w:hAnsi="宋体"/>
        </w:rPr>
      </w:pPr>
    </w:p>
    <w:p>
      <w:pPr>
        <w:rPr>
          <w:rFonts w:ascii="宋体" w:hAnsi="宋体"/>
        </w:rPr>
      </w:pPr>
    </w:p>
    <w:p>
      <w:pPr>
        <w:snapToGrid w:val="0"/>
        <w:spacing w:line="360" w:lineRule="auto"/>
        <w:rPr>
          <w:rFonts w:ascii="宋体" w:hAnsi="宋体"/>
          <w:sz w:val="24"/>
        </w:rPr>
      </w:pPr>
    </w:p>
    <w:p>
      <w:pPr>
        <w:snapToGrid w:val="0"/>
        <w:spacing w:line="360" w:lineRule="auto"/>
        <w:rPr>
          <w:rFonts w:ascii="宋体" w:hAnsi="宋体"/>
        </w:rPr>
      </w:pPr>
    </w:p>
    <w:p>
      <w:pPr>
        <w:rPr>
          <w:rFonts w:ascii="宋体" w:hAnsi="宋体"/>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szCs w:val="20"/>
        </w:rPr>
      </w:pPr>
      <w:r>
        <w:rPr>
          <w:rFonts w:hint="eastAsia" w:ascii="宋体" w:hAnsi="宋体"/>
          <w:sz w:val="24"/>
        </w:rPr>
        <w:t>6. 近三个月依法缴纳税收和社保费的证明【税费凭证，或者依法缴纳税费或依法免缴税费的证明】</w:t>
      </w:r>
      <w:r>
        <w:rPr>
          <w:rFonts w:hint="eastAsia" w:ascii="宋体" w:hAnsi="宋体"/>
          <w:sz w:val="24"/>
          <w:szCs w:val="20"/>
        </w:rPr>
        <w:t>（格式自拟，</w:t>
      </w:r>
      <w:r>
        <w:rPr>
          <w:rFonts w:hint="eastAsia" w:ascii="宋体" w:hAnsi="宋体"/>
          <w:bCs/>
          <w:sz w:val="24"/>
        </w:rPr>
        <w:t>复印件各一份</w:t>
      </w:r>
      <w:r>
        <w:rPr>
          <w:rFonts w:hint="eastAsia" w:ascii="宋体" w:hAnsi="宋体"/>
          <w:sz w:val="24"/>
          <w:szCs w:val="20"/>
        </w:rPr>
        <w:t>），《依法纳税或依法免税证明》原件一年内均保持有效。</w:t>
      </w: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u w:val="single"/>
        </w:rPr>
      </w:pPr>
      <w:r>
        <w:rPr>
          <w:rFonts w:hint="eastAsia" w:ascii="宋体" w:hAnsi="宋体"/>
          <w:sz w:val="24"/>
        </w:rPr>
        <w:t>7.有效</w:t>
      </w:r>
      <w:r>
        <w:rPr>
          <w:rFonts w:hint="eastAsia" w:ascii="宋体" w:hAnsi="宋体" w:cs="宋体"/>
          <w:sz w:val="24"/>
        </w:rPr>
        <w:t>的营业执照副本</w:t>
      </w:r>
      <w:r>
        <w:rPr>
          <w:rFonts w:hint="eastAsia" w:ascii="宋体" w:hAnsi="宋体"/>
          <w:sz w:val="24"/>
        </w:rPr>
        <w:t>复印件</w:t>
      </w: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cs="宋体"/>
          <w:sz w:val="24"/>
        </w:rPr>
        <w:t>8.近二年度（2020,2021年）企业的财务状况报告或银行资信证明</w:t>
      </w:r>
      <w:r>
        <w:rPr>
          <w:rFonts w:hint="eastAsia" w:ascii="宋体" w:hAnsi="宋体"/>
          <w:sz w:val="24"/>
        </w:rPr>
        <w:t>复印件</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9. 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pStyle w:val="13"/>
      </w:pPr>
    </w:p>
    <w:p/>
    <w:p>
      <w:pPr>
        <w:widowControl/>
        <w:spacing w:line="360" w:lineRule="auto"/>
        <w:ind w:right="60"/>
        <w:rPr>
          <w:rFonts w:ascii="宋体" w:hAnsi="宋体" w:cs="Arial"/>
          <w:kern w:val="0"/>
          <w:sz w:val="24"/>
        </w:rPr>
      </w:pPr>
      <w:r>
        <w:rPr>
          <w:rFonts w:hint="eastAsia" w:ascii="宋体" w:hAnsi="宋体" w:cs="Arial"/>
          <w:kern w:val="0"/>
          <w:sz w:val="24"/>
        </w:rPr>
        <w:t>10.</w:t>
      </w:r>
      <w:r>
        <w:rPr>
          <w:rFonts w:hint="eastAsia" w:ascii="宋体" w:hAnsi="宋体"/>
          <w:b/>
          <w:color w:val="FF0000"/>
          <w:sz w:val="24"/>
        </w:rPr>
        <w:t xml:space="preserve"> 符合政策要求的中小企业，相关企业（含联合体中的中小企业、签订分包意向协议的中小企业）需提供中小企业申明函(监狱企业视同小型、微型企业，提供由省级以上监狱管理局、戒毒管理局(含新疆生产建设兵团)出具的属于监狱企业的证明文件；残疾人福利性单位视同小型、微型企业，提供《残疾人福利性单位声明函》)；如大型企业投标，需提供联合体各方共同投标协议或分包意向协议（协议中</w:t>
      </w:r>
      <w:r>
        <w:rPr>
          <w:rFonts w:ascii="宋体" w:hAnsi="宋体"/>
          <w:b/>
          <w:color w:val="FF0000"/>
          <w:sz w:val="24"/>
        </w:rPr>
        <w:t>合同金额的40%</w:t>
      </w:r>
      <w:r>
        <w:rPr>
          <w:rFonts w:hint="eastAsia" w:ascii="宋体" w:hAnsi="宋体"/>
          <w:b/>
          <w:color w:val="FF0000"/>
          <w:sz w:val="24"/>
        </w:rPr>
        <w:t>必须分包</w:t>
      </w:r>
      <w:r>
        <w:rPr>
          <w:rFonts w:ascii="宋体" w:hAnsi="宋体"/>
          <w:b/>
          <w:color w:val="FF0000"/>
          <w:sz w:val="24"/>
        </w:rPr>
        <w:t>给中小微企业</w:t>
      </w:r>
      <w:r>
        <w:rPr>
          <w:rFonts w:hint="eastAsia" w:ascii="宋体" w:hAnsi="宋体"/>
          <w:b/>
          <w:color w:val="FF0000"/>
          <w:sz w:val="24"/>
        </w:rPr>
        <w:t>，格式自拟），如中小企业投标则无需提供。</w:t>
      </w:r>
    </w:p>
    <w:p>
      <w:pPr>
        <w:spacing w:line="360" w:lineRule="auto"/>
        <w:jc w:val="center"/>
        <w:rPr>
          <w:rFonts w:ascii="宋体" w:hAnsi="宋体"/>
          <w:sz w:val="28"/>
          <w:szCs w:val="28"/>
        </w:rPr>
      </w:pPr>
      <w:r>
        <w:rPr>
          <w:rFonts w:hint="eastAsia" w:ascii="宋体" w:hAnsi="宋体"/>
          <w:b/>
          <w:sz w:val="28"/>
          <w:szCs w:val="28"/>
        </w:rPr>
        <w:t>中小企业声明函</w:t>
      </w:r>
    </w:p>
    <w:p>
      <w:pPr>
        <w:spacing w:line="360" w:lineRule="auto"/>
        <w:ind w:firstLine="480" w:firstLineChars="200"/>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rPr>
        <w:t>（标的名称），属于</w:t>
      </w:r>
      <w:r>
        <w:rPr>
          <w:rFonts w:hint="eastAsia" w:ascii="宋体" w:hAnsi="宋体" w:cs="仿宋"/>
          <w:kern w:val="0"/>
          <w:sz w:val="24"/>
          <w:u w:val="single"/>
        </w:rPr>
        <w:t>工业</w:t>
      </w:r>
      <w:r>
        <w:rPr>
          <w:rFonts w:hint="eastAsia" w:ascii="宋体" w:hAnsi="宋体" w:cs="仿宋"/>
          <w:kern w:val="0"/>
          <w:sz w:val="24"/>
        </w:rPr>
        <w:t>（采购文件中明确的所属行业）行业；制造商为（企业名称），从业人员人，营业收入为万元，资产总额为万元</w:t>
      </w:r>
      <w:r>
        <w:rPr>
          <w:rFonts w:hint="eastAsia" w:ascii="宋体" w:hAnsi="宋体" w:cs="TimesNewRomanPSMT"/>
          <w:kern w:val="0"/>
          <w:sz w:val="24"/>
        </w:rPr>
        <w:t>①</w:t>
      </w:r>
      <w:r>
        <w:rPr>
          <w:rFonts w:hint="eastAsia" w:ascii="宋体" w:hAnsi="宋体" w:cs="仿宋"/>
          <w:kern w:val="0"/>
          <w:sz w:val="24"/>
        </w:rPr>
        <w:t>，属于（中型企业、小型企业、微型企业）；</w:t>
      </w:r>
    </w:p>
    <w:p>
      <w:pPr>
        <w:spacing w:line="360" w:lineRule="auto"/>
        <w:ind w:firstLine="480" w:firstLineChars="200"/>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rPr>
        <w:t>（标的名称），属于</w:t>
      </w:r>
      <w:r>
        <w:rPr>
          <w:rFonts w:hint="eastAsia" w:ascii="宋体" w:hAnsi="宋体" w:cs="仿宋"/>
          <w:kern w:val="0"/>
          <w:sz w:val="24"/>
          <w:u w:val="single"/>
        </w:rPr>
        <w:t>工业</w:t>
      </w:r>
      <w:r>
        <w:rPr>
          <w:rFonts w:hint="eastAsia" w:ascii="宋体" w:hAnsi="宋体" w:cs="仿宋"/>
          <w:kern w:val="0"/>
          <w:sz w:val="24"/>
        </w:rPr>
        <w:t>（采购文件中明确的所属行业）行业；制造商为（企业名称），从业人员人，营业收入为万元，资产总额为万元，属于（中型企业、小型企业、微型企业）；</w:t>
      </w:r>
    </w:p>
    <w:p>
      <w:pPr>
        <w:spacing w:line="360" w:lineRule="auto"/>
        <w:ind w:firstLine="480" w:firstLineChars="200"/>
        <w:rPr>
          <w:rFonts w:ascii="宋体" w:hAnsi="宋体" w:cs="仿宋"/>
          <w:kern w:val="0"/>
          <w:sz w:val="24"/>
        </w:rPr>
      </w:pPr>
      <w:r>
        <w:rPr>
          <w:rFonts w:hint="eastAsia" w:ascii="宋体" w:hAnsi="宋体" w:cs="仿宋"/>
          <w:kern w:val="0"/>
          <w:sz w:val="24"/>
        </w:rPr>
        <w:t>……</w:t>
      </w:r>
    </w:p>
    <w:p>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spacing w:line="360" w:lineRule="auto"/>
        <w:ind w:firstLine="5640" w:firstLineChars="2350"/>
        <w:rPr>
          <w:rFonts w:ascii="宋体" w:hAnsi="宋体" w:cs="仿宋"/>
          <w:kern w:val="0"/>
          <w:sz w:val="24"/>
        </w:rPr>
      </w:pPr>
    </w:p>
    <w:p>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pPr>
        <w:spacing w:line="360" w:lineRule="auto"/>
        <w:ind w:firstLine="5640" w:firstLineChars="2350"/>
        <w:rPr>
          <w:rFonts w:ascii="宋体" w:hAnsi="宋体" w:cs="仿宋"/>
          <w:kern w:val="0"/>
          <w:sz w:val="24"/>
        </w:rPr>
      </w:pPr>
      <w:r>
        <w:rPr>
          <w:rFonts w:hint="eastAsia" w:ascii="宋体" w:hAnsi="宋体" w:cs="仿宋"/>
          <w:kern w:val="0"/>
          <w:sz w:val="24"/>
        </w:rPr>
        <w:t>日期：</w:t>
      </w:r>
    </w:p>
    <w:p>
      <w:pPr>
        <w:spacing w:line="360" w:lineRule="auto"/>
        <w:ind w:firstLine="5640" w:firstLineChars="2350"/>
        <w:rPr>
          <w:rFonts w:ascii="宋体" w:hAnsi="宋体"/>
          <w:bCs/>
          <w:sz w:val="24"/>
        </w:rPr>
      </w:pPr>
    </w:p>
    <w:p>
      <w:pPr>
        <w:numPr>
          <w:ilvl w:val="0"/>
          <w:numId w:val="4"/>
        </w:numPr>
        <w:snapToGrid w:val="0"/>
        <w:spacing w:before="50" w:after="50" w:line="360" w:lineRule="auto"/>
        <w:jc w:val="left"/>
        <w:rPr>
          <w:rFonts w:ascii="宋体" w:hAnsi="宋体" w:cs="仿宋"/>
          <w:sz w:val="24"/>
        </w:rPr>
      </w:pPr>
      <w:r>
        <w:rPr>
          <w:rFonts w:hint="eastAsia" w:ascii="宋体" w:cs="宋体"/>
          <w:kern w:val="0"/>
          <w:sz w:val="18"/>
          <w:szCs w:val="18"/>
        </w:rPr>
        <w:t>从业人员、营业收入、资产总额填报上一年度数据，无上一年度数据的新成立企业可不填报。</w:t>
      </w:r>
    </w:p>
    <w:p>
      <w:pPr>
        <w:snapToGrid w:val="0"/>
        <w:spacing w:line="360" w:lineRule="auto"/>
        <w:jc w:val="left"/>
        <w:rPr>
          <w:rFonts w:ascii="宋体" w:hAnsi="宋体"/>
          <w:sz w:val="24"/>
        </w:rPr>
      </w:pPr>
    </w:p>
    <w:p>
      <w:pPr>
        <w:pStyle w:val="13"/>
      </w:pPr>
    </w:p>
    <w:p>
      <w:pPr>
        <w:pStyle w:val="42"/>
        <w:rPr>
          <w:color w:val="auto"/>
        </w:rPr>
      </w:pPr>
    </w:p>
    <w:p>
      <w:pPr>
        <w:pStyle w:val="43"/>
      </w:pPr>
    </w:p>
    <w:p>
      <w:pPr>
        <w:spacing w:line="360" w:lineRule="auto"/>
        <w:jc w:val="left"/>
        <w:rPr>
          <w:rFonts w:ascii="宋体" w:hAnsi="宋体"/>
          <w:b/>
          <w:bCs/>
          <w:sz w:val="24"/>
        </w:rPr>
      </w:pPr>
    </w:p>
    <w:p>
      <w:pPr>
        <w:spacing w:line="360" w:lineRule="auto"/>
        <w:jc w:val="left"/>
        <w:rPr>
          <w:rFonts w:ascii="宋体" w:hAnsi="宋体"/>
          <w:b/>
          <w:bCs/>
          <w:sz w:val="24"/>
        </w:rPr>
      </w:pPr>
      <w:r>
        <w:rPr>
          <w:rFonts w:hint="eastAsia" w:ascii="宋体" w:hAnsi="宋体"/>
          <w:b/>
          <w:bCs/>
          <w:sz w:val="24"/>
        </w:rPr>
        <w:t>二、技术/资信/商务文件格式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11.技术/资信/商务文件封面格式：</w:t>
      </w:r>
    </w:p>
    <w:p>
      <w:pPr>
        <w:snapToGrid w:val="0"/>
        <w:spacing w:line="360" w:lineRule="auto"/>
        <w:rPr>
          <w:rFonts w:ascii="宋体" w:hAnsi="宋体"/>
          <w:b/>
          <w:bCs/>
          <w:sz w:val="32"/>
          <w:szCs w:val="20"/>
        </w:rPr>
      </w:pPr>
      <w:r>
        <w:rPr>
          <w:rFonts w:hint="eastAsia" w:ascii="宋体" w:hAnsi="宋体"/>
          <w:b/>
          <w:bCs/>
        </w:rPr>
        <w:t xml:space="preserve"> </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技术/资信/商务文件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湖州市吴兴区教育局升降式课桌椅项目（标项1、2、3或4）</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HYHZ2022-80</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8"/>
        <w:snapToGrid w:val="0"/>
        <w:spacing w:line="360" w:lineRule="auto"/>
        <w:ind w:firstLine="960" w:firstLineChars="400"/>
        <w:rPr>
          <w:rFonts w:ascii="宋体" w:hAnsi="宋体"/>
          <w:bCs/>
          <w:sz w:val="24"/>
          <w:szCs w:val="24"/>
        </w:rPr>
      </w:pPr>
    </w:p>
    <w:p>
      <w:pPr>
        <w:snapToGrid w:val="0"/>
        <w:spacing w:line="360" w:lineRule="auto"/>
        <w:ind w:firstLine="4080" w:firstLineChars="1700"/>
        <w:rPr>
          <w:rFonts w:ascii="宋体" w:hAnsi="宋体"/>
          <w:sz w:val="24"/>
          <w:szCs w:val="20"/>
        </w:rPr>
      </w:pPr>
    </w:p>
    <w:p>
      <w:pPr>
        <w:snapToGrid w:val="0"/>
        <w:spacing w:line="360" w:lineRule="auto"/>
        <w:ind w:firstLine="645"/>
        <w:jc w:val="center"/>
        <w:rPr>
          <w:rFonts w:ascii="宋体" w:hAnsi="宋体"/>
          <w:sz w:val="24"/>
        </w:rPr>
      </w:pPr>
      <w:r>
        <w:rPr>
          <w:rFonts w:hint="eastAsia" w:ascii="宋体" w:hAnsi="宋体"/>
          <w:sz w:val="24"/>
        </w:rPr>
        <w:t>年月日</w:t>
      </w:r>
    </w:p>
    <w:p>
      <w:pPr>
        <w:snapToGrid w:val="0"/>
        <w:spacing w:line="360" w:lineRule="auto"/>
        <w:ind w:firstLine="645"/>
        <w:jc w:val="center"/>
        <w:rPr>
          <w:rFonts w:ascii="宋体" w:hAnsi="宋体"/>
          <w:sz w:val="24"/>
        </w:rPr>
      </w:pPr>
    </w:p>
    <w:p>
      <w:pPr>
        <w:pStyle w:val="13"/>
      </w:pPr>
    </w:p>
    <w:p>
      <w:pPr>
        <w:snapToGrid w:val="0"/>
        <w:spacing w:line="360" w:lineRule="auto"/>
        <w:rPr>
          <w:rFonts w:ascii="宋体" w:hAnsi="宋体"/>
          <w:sz w:val="24"/>
        </w:rPr>
      </w:pPr>
      <w:r>
        <w:rPr>
          <w:rFonts w:hint="eastAsia" w:ascii="宋体" w:hAnsi="宋体"/>
          <w:sz w:val="24"/>
        </w:rPr>
        <w:t>12.</w:t>
      </w:r>
      <w:r>
        <w:rPr>
          <w:rFonts w:hint="eastAsia" w:ascii="宋体" w:hAnsi="宋体"/>
          <w:b/>
          <w:bCs/>
          <w:sz w:val="24"/>
        </w:rPr>
        <w:t>技术/资信/商务文件目录</w:t>
      </w:r>
    </w:p>
    <w:p>
      <w:pPr>
        <w:snapToGrid w:val="0"/>
        <w:spacing w:line="360" w:lineRule="auto"/>
        <w:rPr>
          <w:rFonts w:ascii="宋体" w:hAnsi="宋体"/>
          <w:sz w:val="24"/>
        </w:rPr>
      </w:pPr>
      <w:r>
        <w:rPr>
          <w:rFonts w:hint="eastAsia" w:ascii="宋体" w:hAnsi="宋体"/>
          <w:sz w:val="24"/>
        </w:rPr>
        <w:t>技术：</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）对本项目的总体理解————————（页码）</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）确保供应货物质量的设施及措施————————</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）保证交货期的施工组织方案和措施————</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）安装、调试、验收的方案和措施————————</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5</w:t>
      </w:r>
      <w:r>
        <w:rPr>
          <w:rFonts w:hint="eastAsia" w:ascii="宋体" w:hAnsi="宋体"/>
          <w:sz w:val="24"/>
        </w:rPr>
        <w:t>）技术响应表————————</w:t>
      </w:r>
    </w:p>
    <w:p>
      <w:pPr>
        <w:snapToGrid w:val="0"/>
        <w:spacing w:line="360" w:lineRule="auto"/>
        <w:jc w:val="left"/>
        <w:rPr>
          <w:rFonts w:ascii="宋体" w:hAnsi="宋体"/>
          <w:sz w:val="24"/>
          <w:szCs w:val="20"/>
        </w:rPr>
      </w:pPr>
      <w:r>
        <w:rPr>
          <w:rFonts w:hint="eastAsia" w:ascii="宋体" w:hAnsi="宋体"/>
          <w:sz w:val="24"/>
        </w:rPr>
        <w:t>（6）项目实施人员一览————————</w:t>
      </w:r>
    </w:p>
    <w:p>
      <w:pPr>
        <w:snapToGrid w:val="0"/>
        <w:spacing w:line="360" w:lineRule="auto"/>
        <w:jc w:val="left"/>
        <w:rPr>
          <w:rFonts w:ascii="宋体" w:hAnsi="宋体"/>
          <w:sz w:val="24"/>
        </w:rPr>
      </w:pPr>
      <w:r>
        <w:rPr>
          <w:rFonts w:hint="eastAsia" w:ascii="宋体" w:hAnsi="宋体"/>
          <w:sz w:val="24"/>
        </w:rPr>
        <w:t>（7）投标人对本项目的合理化建议和改进措施————————</w:t>
      </w:r>
    </w:p>
    <w:p>
      <w:pPr>
        <w:snapToGrid w:val="0"/>
        <w:spacing w:line="360" w:lineRule="auto"/>
        <w:jc w:val="left"/>
        <w:rPr>
          <w:rFonts w:ascii="宋体" w:hAnsi="宋体"/>
          <w:sz w:val="24"/>
        </w:rPr>
      </w:pPr>
      <w:r>
        <w:rPr>
          <w:rFonts w:hint="eastAsia" w:ascii="宋体" w:hAnsi="宋体"/>
          <w:sz w:val="24"/>
        </w:rPr>
        <w:t>（8）投标人需要说明的其他文件和说明————————</w:t>
      </w:r>
    </w:p>
    <w:p>
      <w:pPr>
        <w:snapToGrid w:val="0"/>
        <w:spacing w:line="360" w:lineRule="auto"/>
        <w:rPr>
          <w:rFonts w:ascii="宋体" w:hAnsi="宋体"/>
          <w:sz w:val="24"/>
        </w:rPr>
      </w:pPr>
      <w:r>
        <w:rPr>
          <w:rFonts w:hint="eastAsia" w:ascii="宋体" w:hAnsi="宋体"/>
          <w:sz w:val="24"/>
        </w:rPr>
        <w:t>资信：</w:t>
      </w:r>
    </w:p>
    <w:p>
      <w:pPr>
        <w:snapToGrid w:val="0"/>
        <w:spacing w:line="360" w:lineRule="auto"/>
        <w:jc w:val="left"/>
        <w:rPr>
          <w:rFonts w:ascii="宋体" w:hAnsi="宋体"/>
          <w:sz w:val="24"/>
          <w:szCs w:val="20"/>
        </w:rPr>
      </w:pPr>
      <w:r>
        <w:rPr>
          <w:rFonts w:hint="eastAsia" w:ascii="宋体" w:hAnsi="宋体"/>
          <w:sz w:val="24"/>
        </w:rPr>
        <w:t>（9）类似成功案例的业绩证明（投标人同类项目实施情况一览表、合同复印件）————————</w:t>
      </w:r>
    </w:p>
    <w:p>
      <w:pPr>
        <w:snapToGrid w:val="0"/>
        <w:spacing w:line="360" w:lineRule="auto"/>
        <w:jc w:val="left"/>
        <w:rPr>
          <w:rFonts w:ascii="宋体" w:hAnsi="宋体"/>
          <w:sz w:val="24"/>
        </w:rPr>
      </w:pPr>
      <w:r>
        <w:rPr>
          <w:rFonts w:hint="eastAsia" w:ascii="宋体" w:hAnsi="宋体"/>
          <w:sz w:val="24"/>
        </w:rPr>
        <w:t>（10）其他特殊资质证书</w:t>
      </w:r>
      <w:r>
        <w:rPr>
          <w:rFonts w:ascii="宋体" w:hAnsi="宋体"/>
          <w:sz w:val="24"/>
        </w:rPr>
        <w:t>（如</w:t>
      </w:r>
      <w:r>
        <w:rPr>
          <w:rFonts w:hint="eastAsia" w:ascii="宋体" w:hAnsi="宋体"/>
          <w:sz w:val="24"/>
        </w:rPr>
        <w:t>本地化服务能力等）（格式可自拟）—————</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1）</w:t>
      </w:r>
      <w:r>
        <w:rPr>
          <w:rFonts w:ascii="宋体" w:hAnsi="宋体"/>
          <w:sz w:val="24"/>
        </w:rPr>
        <w:t>权威认证证书（如有）</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2）投标人认为可以证明其能力或业绩的其他材料————————</w:t>
      </w:r>
    </w:p>
    <w:p>
      <w:pPr>
        <w:pStyle w:val="13"/>
      </w:pPr>
      <w:r>
        <w:rPr>
          <w:rFonts w:hint="eastAsia" w:ascii="宋体" w:hAnsi="宋体"/>
          <w:sz w:val="24"/>
        </w:rPr>
        <w:t>（</w:t>
      </w:r>
      <w:r>
        <w:rPr>
          <w:rFonts w:ascii="宋体" w:hAnsi="宋体"/>
          <w:sz w:val="24"/>
        </w:rPr>
        <w:t>1</w:t>
      </w:r>
      <w:r>
        <w:rPr>
          <w:rFonts w:hint="eastAsia" w:ascii="宋体" w:hAnsi="宋体"/>
          <w:sz w:val="24"/>
        </w:rPr>
        <w:t>3）投标人情况介绍————————</w:t>
      </w:r>
    </w:p>
    <w:p>
      <w:pPr>
        <w:snapToGrid w:val="0"/>
        <w:spacing w:line="360" w:lineRule="auto"/>
        <w:rPr>
          <w:rFonts w:ascii="宋体" w:hAnsi="宋体"/>
          <w:sz w:val="24"/>
        </w:rPr>
      </w:pPr>
      <w:r>
        <w:rPr>
          <w:rFonts w:hint="eastAsia" w:ascii="宋体" w:hAnsi="宋体"/>
          <w:sz w:val="24"/>
        </w:rPr>
        <w:t>商务：</w:t>
      </w:r>
    </w:p>
    <w:p>
      <w:pPr>
        <w:snapToGrid w:val="0"/>
        <w:spacing w:line="360" w:lineRule="auto"/>
        <w:jc w:val="left"/>
        <w:rPr>
          <w:rFonts w:ascii="宋体" w:hAnsi="宋体"/>
          <w:sz w:val="24"/>
        </w:rPr>
      </w:pPr>
      <w:r>
        <w:rPr>
          <w:rFonts w:hint="eastAsia" w:ascii="宋体" w:hAnsi="宋体"/>
          <w:sz w:val="24"/>
        </w:rPr>
        <w:t>（14）商务响应表————————</w:t>
      </w:r>
    </w:p>
    <w:p>
      <w:pPr>
        <w:snapToGrid w:val="0"/>
        <w:spacing w:line="360" w:lineRule="auto"/>
        <w:jc w:val="left"/>
        <w:rPr>
          <w:rFonts w:ascii="宋体" w:hAnsi="宋体"/>
          <w:sz w:val="24"/>
        </w:rPr>
      </w:pPr>
      <w:r>
        <w:rPr>
          <w:rFonts w:hint="eastAsia" w:ascii="宋体" w:hAnsi="宋体"/>
          <w:sz w:val="24"/>
        </w:rPr>
        <w:t>（15）</w:t>
      </w:r>
      <w:r>
        <w:rPr>
          <w:rFonts w:ascii="宋体" w:hAnsi="宋体"/>
          <w:sz w:val="24"/>
        </w:rPr>
        <w:t>售后服务的内容和措施</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（16）培训方案————————</w:t>
      </w:r>
    </w:p>
    <w:p>
      <w:pPr>
        <w:snapToGrid w:val="0"/>
        <w:spacing w:line="360" w:lineRule="auto"/>
        <w:jc w:val="left"/>
        <w:rPr>
          <w:rFonts w:ascii="宋体" w:hAnsi="宋体"/>
          <w:sz w:val="24"/>
        </w:rPr>
      </w:pPr>
      <w:r>
        <w:rPr>
          <w:rFonts w:hint="eastAsia" w:ascii="宋体" w:hAnsi="宋体"/>
          <w:sz w:val="24"/>
        </w:rPr>
        <w:t>（17）响应时间————————</w:t>
      </w:r>
    </w:p>
    <w:p>
      <w:pPr>
        <w:snapToGrid w:val="0"/>
        <w:spacing w:line="360" w:lineRule="auto"/>
        <w:rPr>
          <w:rFonts w:ascii="宋体" w:hAnsi="宋体"/>
          <w:sz w:val="24"/>
        </w:rPr>
      </w:pPr>
      <w:r>
        <w:rPr>
          <w:rFonts w:hint="eastAsia" w:ascii="宋体" w:hAnsi="宋体"/>
          <w:sz w:val="24"/>
        </w:rPr>
        <w:t>（18）信用承诺书————————</w:t>
      </w:r>
    </w:p>
    <w:p>
      <w:pPr>
        <w:spacing w:line="360" w:lineRule="auto"/>
        <w:rPr>
          <w:rFonts w:ascii="宋体" w:hAnsi="宋体"/>
          <w:sz w:val="24"/>
        </w:rPr>
      </w:pPr>
      <w:r>
        <w:rPr>
          <w:rFonts w:hint="eastAsia" w:ascii="宋体" w:hAnsi="宋体"/>
          <w:sz w:val="24"/>
        </w:rPr>
        <w:t>（19）技术、商务、资信及其他分自评表————————</w:t>
      </w:r>
    </w:p>
    <w:p>
      <w:pPr>
        <w:snapToGrid w:val="0"/>
        <w:spacing w:line="360" w:lineRule="auto"/>
        <w:jc w:val="left"/>
      </w:pPr>
    </w:p>
    <w:p>
      <w:pPr>
        <w:pStyle w:val="13"/>
      </w:pPr>
    </w:p>
    <w:p>
      <w:pPr>
        <w:pStyle w:val="42"/>
        <w:rPr>
          <w:color w:val="auto"/>
        </w:rPr>
      </w:pPr>
    </w:p>
    <w:p>
      <w:pPr>
        <w:pStyle w:val="42"/>
        <w:rPr>
          <w:color w:val="auto"/>
        </w:rPr>
      </w:pPr>
    </w:p>
    <w:p>
      <w:pPr>
        <w:snapToGrid w:val="0"/>
        <w:spacing w:line="360" w:lineRule="auto"/>
        <w:jc w:val="left"/>
        <w:rPr>
          <w:rFonts w:ascii="宋体" w:hAnsi="宋体"/>
          <w:sz w:val="24"/>
          <w:szCs w:val="20"/>
        </w:rPr>
      </w:pPr>
      <w:r>
        <w:rPr>
          <w:rFonts w:hint="eastAsia" w:ascii="宋体" w:hAnsi="宋体"/>
          <w:sz w:val="24"/>
        </w:rPr>
        <w:t>13.对本项目的总体理解（格式自拟）</w:t>
      </w: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14.确保供应货物质量的设施及措施（格式自拟）</w:t>
      </w:r>
    </w:p>
    <w:p>
      <w:pPr>
        <w:snapToGrid w:val="0"/>
        <w:spacing w:line="360" w:lineRule="auto"/>
        <w:jc w:val="left"/>
        <w:rPr>
          <w:rFonts w:ascii="宋体" w:hAnsi="宋体"/>
          <w:sz w:val="24"/>
          <w:szCs w:val="20"/>
        </w:rPr>
      </w:pPr>
    </w:p>
    <w:p>
      <w:pPr>
        <w:pStyle w:val="13"/>
      </w:pPr>
    </w:p>
    <w:p>
      <w:pPr>
        <w:snapToGrid w:val="0"/>
        <w:spacing w:line="360" w:lineRule="auto"/>
        <w:jc w:val="left"/>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15.保证交货期的施工组织方案和措施（格式自拟）</w:t>
      </w:r>
    </w:p>
    <w:p>
      <w:pPr>
        <w:pStyle w:val="13"/>
      </w:pPr>
    </w:p>
    <w:p>
      <w:pPr>
        <w:pStyle w:val="42"/>
        <w:rPr>
          <w:color w:val="auto"/>
        </w:rPr>
      </w:pPr>
    </w:p>
    <w:p>
      <w:pPr>
        <w:pStyle w:val="13"/>
      </w:pPr>
    </w:p>
    <w:p>
      <w:pPr>
        <w:spacing w:line="360" w:lineRule="auto"/>
        <w:jc w:val="left"/>
        <w:rPr>
          <w:rFonts w:ascii="宋体" w:hAnsi="宋体"/>
          <w:sz w:val="24"/>
        </w:rPr>
      </w:pPr>
      <w:r>
        <w:rPr>
          <w:rFonts w:hint="eastAsia" w:ascii="宋体" w:hAnsi="宋体"/>
          <w:sz w:val="24"/>
        </w:rPr>
        <w:t>16.安装、调试、验收的方案和措施（格式自拟）</w:t>
      </w:r>
    </w:p>
    <w:p>
      <w:pPr>
        <w:snapToGrid w:val="0"/>
        <w:spacing w:line="360" w:lineRule="auto"/>
        <w:jc w:val="left"/>
        <w:rPr>
          <w:rFonts w:ascii="宋体" w:hAnsi="宋体"/>
          <w:sz w:val="24"/>
          <w:szCs w:val="20"/>
        </w:rPr>
      </w:pPr>
    </w:p>
    <w:p>
      <w:pPr>
        <w:pStyle w:val="13"/>
      </w:pPr>
    </w:p>
    <w:p>
      <w:pPr>
        <w:pStyle w:val="42"/>
        <w:rPr>
          <w:color w:val="auto"/>
        </w:rPr>
      </w:pPr>
    </w:p>
    <w:p>
      <w:pPr>
        <w:snapToGrid w:val="0"/>
        <w:spacing w:line="360" w:lineRule="auto"/>
        <w:rPr>
          <w:rFonts w:ascii="宋体" w:hAnsi="宋体"/>
          <w:spacing w:val="20"/>
          <w:sz w:val="24"/>
          <w:u w:val="single"/>
        </w:rPr>
      </w:pPr>
    </w:p>
    <w:p>
      <w:pPr>
        <w:snapToGrid w:val="0"/>
        <w:spacing w:line="360" w:lineRule="auto"/>
        <w:rPr>
          <w:rFonts w:ascii="宋体" w:hAnsi="宋体"/>
          <w:spacing w:val="20"/>
          <w:sz w:val="24"/>
          <w:u w:val="single"/>
        </w:rPr>
      </w:pPr>
    </w:p>
    <w:p>
      <w:pPr>
        <w:snapToGrid w:val="0"/>
        <w:spacing w:line="360" w:lineRule="auto"/>
        <w:jc w:val="left"/>
        <w:rPr>
          <w:rFonts w:ascii="宋体" w:hAnsi="宋体"/>
          <w:sz w:val="24"/>
          <w:szCs w:val="20"/>
        </w:rPr>
      </w:pPr>
      <w:r>
        <w:rPr>
          <w:rFonts w:hint="eastAsia" w:ascii="宋体" w:hAnsi="宋体"/>
          <w:sz w:val="24"/>
        </w:rPr>
        <w:t>17.技术响应表格式：</w:t>
      </w:r>
    </w:p>
    <w:p>
      <w:pPr>
        <w:snapToGrid w:val="0"/>
        <w:spacing w:line="360" w:lineRule="auto"/>
        <w:jc w:val="left"/>
        <w:rPr>
          <w:rFonts w:ascii="宋体" w:hAnsi="宋体"/>
          <w:sz w:val="24"/>
          <w:szCs w:val="20"/>
        </w:rPr>
      </w:pPr>
      <w:r>
        <w:rPr>
          <w:rFonts w:hint="eastAsia" w:ascii="宋体" w:hAnsi="宋体"/>
        </w:rPr>
        <w:t>项目名称：</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720"/>
        <w:gridCol w:w="2361"/>
        <w:gridCol w:w="1976"/>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3909" w:type="dxa"/>
            <w:gridSpan w:val="3"/>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jc w:val="center"/>
              <w:outlineLvl w:val="0"/>
              <w:rPr>
                <w:rFonts w:hAnsi="宋体"/>
                <w:szCs w:val="21"/>
              </w:rPr>
            </w:pPr>
            <w:r>
              <w:rPr>
                <w:rFonts w:hAnsi="宋体"/>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jc w:val="center"/>
              <w:outlineLvl w:val="0"/>
              <w:rPr>
                <w:rFonts w:hAnsi="宋体"/>
                <w:szCs w:val="21"/>
              </w:rPr>
            </w:pPr>
            <w:r>
              <w:rPr>
                <w:rFonts w:hAnsi="宋体"/>
                <w:szCs w:val="21"/>
              </w:rPr>
              <w:t>投标文件响应</w:t>
            </w:r>
          </w:p>
        </w:tc>
        <w:tc>
          <w:tcPr>
            <w:tcW w:w="835" w:type="dxa"/>
            <w:vMerge w:val="restart"/>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jc w:val="center"/>
              <w:outlineLvl w:val="0"/>
              <w:rPr>
                <w:rFonts w:hAnsi="宋体"/>
                <w:szCs w:val="21"/>
              </w:rPr>
            </w:pPr>
            <w:r>
              <w:rPr>
                <w:rFonts w:hAnsi="宋体"/>
                <w:szCs w:val="21"/>
              </w:rPr>
              <w:t>项目</w:t>
            </w: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jc w:val="center"/>
              <w:outlineLvl w:val="0"/>
              <w:rPr>
                <w:rFonts w:hAnsi="宋体"/>
                <w:szCs w:val="21"/>
              </w:rPr>
            </w:pPr>
            <w:r>
              <w:rPr>
                <w:rFonts w:hAnsi="宋体"/>
                <w:szCs w:val="21"/>
              </w:rPr>
              <w:t>要求</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jc w:val="center"/>
              <w:outlineLvl w:val="0"/>
              <w:rPr>
                <w:rFonts w:hAnsi="宋体"/>
                <w:szCs w:val="21"/>
              </w:rPr>
            </w:pPr>
            <w:r>
              <w:rPr>
                <w:rFonts w:hAnsi="宋体"/>
                <w:szCs w:val="21"/>
              </w:rPr>
              <w:t>设备名称</w:t>
            </w: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jc w:val="center"/>
              <w:outlineLvl w:val="0"/>
              <w:rPr>
                <w:rFonts w:hAnsi="宋体"/>
                <w:szCs w:val="21"/>
              </w:rPr>
            </w:pPr>
            <w:r>
              <w:rPr>
                <w:rFonts w:hAnsi="宋体"/>
                <w:szCs w:val="21"/>
              </w:rPr>
              <w:t>性能及指标</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pStyle w:val="18"/>
              <w:snapToGrid w:val="0"/>
              <w:spacing w:beforeLines="0" w:afterLines="0" w:line="360" w:lineRule="auto"/>
              <w:outlineLvl w:val="0"/>
              <w:rPr>
                <w:rFonts w:hAnsi="宋体"/>
              </w:rPr>
            </w:pPr>
            <w:r>
              <w:rPr>
                <w:rFonts w:hint="eastAsia" w:hAnsi="宋体"/>
              </w:rPr>
              <w:t>一</w:t>
            </w:r>
            <w:r>
              <w:rPr>
                <w:rFonts w:hAnsi="宋体"/>
              </w:rPr>
              <w:t>、</w:t>
            </w:r>
          </w:p>
          <w:p>
            <w:pPr>
              <w:pStyle w:val="18"/>
              <w:snapToGrid w:val="0"/>
              <w:spacing w:beforeLines="0" w:afterLines="0" w:line="360" w:lineRule="auto"/>
              <w:outlineLvl w:val="0"/>
              <w:rPr>
                <w:rFonts w:hAnsi="宋体"/>
                <w:szCs w:val="21"/>
              </w:rPr>
            </w:pPr>
            <w:r>
              <w:rPr>
                <w:rFonts w:hAnsi="宋体"/>
              </w:rPr>
              <w:t>性能及技术指标</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18"/>
              <w:snapToGrid w:val="0"/>
              <w:spacing w:beforeLines="0" w:afterLines="0" w:line="360" w:lineRule="auto"/>
              <w:outlineLvl w:val="0"/>
              <w:rPr>
                <w:rFonts w:hAnsi="宋体"/>
                <w:szCs w:val="21"/>
              </w:rPr>
            </w:pPr>
            <w:r>
              <w:rPr>
                <w:rFonts w:hAnsi="宋体"/>
                <w:szCs w:val="21"/>
              </w:rPr>
              <w:t>主要技术指标</w:t>
            </w:r>
          </w:p>
        </w:tc>
        <w:tc>
          <w:tcPr>
            <w:tcW w:w="2361"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Lines="0" w:afterLines="0" w:line="360" w:lineRule="auto"/>
              <w:outlineLvl w:val="0"/>
              <w:rPr>
                <w:rFonts w:hAnsi="宋体"/>
                <w:szCs w:val="21"/>
              </w:rPr>
            </w:pPr>
            <w:r>
              <w:rPr>
                <w:rFonts w:hAnsi="宋体"/>
                <w:szCs w:val="21"/>
              </w:rPr>
              <w:t>1、</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Lines="0" w:afterLines="0" w:line="360" w:lineRule="auto"/>
              <w:rPr>
                <w:rFonts w:hAnsi="宋体"/>
                <w:szCs w:val="21"/>
              </w:rPr>
            </w:pPr>
            <w:r>
              <w:rPr>
                <w:rFonts w:hAnsi="宋体"/>
                <w:szCs w:val="21"/>
              </w:rPr>
              <w:t>2、</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Lines="0" w:afterLines="0" w:line="360" w:lineRule="auto"/>
              <w:outlineLvl w:val="0"/>
              <w:rPr>
                <w:rFonts w:hAnsi="宋体"/>
              </w:rPr>
            </w:pPr>
            <w:r>
              <w:rPr>
                <w:rFonts w:hAnsi="宋体"/>
              </w:rPr>
              <w:t>3、</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rPr>
                <w:rFonts w:hAnsi="宋体"/>
                <w:szCs w:val="21"/>
              </w:rPr>
            </w:pPr>
            <w:r>
              <w:rPr>
                <w:rFonts w:hAnsi="宋体"/>
                <w:szCs w:val="21"/>
              </w:rPr>
              <w:t>N</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restart"/>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szCs w:val="21"/>
              </w:rPr>
              <w:t>次要指标</w:t>
            </w: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szCs w:val="21"/>
              </w:rPr>
              <w:t>1</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1"/>
              </w:rPr>
            </w:pP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rPr>
              <w:t>二</w:t>
            </w:r>
            <w:r>
              <w:rPr>
                <w:rFonts w:hAnsi="宋体"/>
                <w:szCs w:val="21"/>
              </w:rPr>
              <w:t>、质量标准</w:t>
            </w: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szCs w:val="21"/>
              </w:rPr>
              <w:t>（国家标准、行业标准、地区标准等）</w:t>
            </w: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szCs w:val="21"/>
              </w:rPr>
            </w:pPr>
            <w:r>
              <w:rPr>
                <w:rFonts w:hAnsi="宋体"/>
                <w:szCs w:val="21"/>
              </w:rPr>
              <w:t>...</w:t>
            </w:r>
          </w:p>
        </w:tc>
        <w:tc>
          <w:tcPr>
            <w:tcW w:w="2361"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rPr>
            </w:pPr>
          </w:p>
        </w:tc>
        <w:tc>
          <w:tcPr>
            <w:tcW w:w="1976"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18"/>
              <w:snapToGrid w:val="0"/>
              <w:spacing w:beforeLines="0" w:afterLines="0" w:line="360" w:lineRule="auto"/>
              <w:outlineLvl w:val="0"/>
              <w:rPr>
                <w:rFonts w:hAnsi="宋体"/>
              </w:rPr>
            </w:pPr>
          </w:p>
        </w:tc>
      </w:tr>
    </w:tbl>
    <w:p>
      <w:pPr>
        <w:pStyle w:val="12"/>
        <w:spacing w:before="0" w:after="0" w:line="360" w:lineRule="auto"/>
        <w:rPr>
          <w:rFonts w:ascii="宋体" w:eastAsia="宋体"/>
          <w:spacing w:val="20"/>
        </w:rPr>
      </w:pPr>
      <w:r>
        <w:rPr>
          <w:rFonts w:hint="eastAsia" w:ascii="宋体" w:eastAsia="宋体"/>
        </w:rPr>
        <w:t>注：投标人应根据投标设备的性能指标、对照招标文件要求在“偏离情况”栏注明“正偏离”、“负偏离”或“无偏离”。</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z w:val="24"/>
          <w:szCs w:val="20"/>
        </w:rPr>
      </w:pPr>
      <w:r>
        <w:rPr>
          <w:rFonts w:hint="eastAsia" w:ascii="宋体" w:hAnsi="宋体"/>
          <w:spacing w:val="20"/>
          <w:sz w:val="24"/>
        </w:rPr>
        <w:t>投标人盖章：日 期：</w:t>
      </w:r>
    </w:p>
    <w:p>
      <w:pPr>
        <w:snapToGrid w:val="0"/>
        <w:spacing w:line="360" w:lineRule="auto"/>
        <w:jc w:val="left"/>
        <w:rPr>
          <w:rFonts w:ascii="宋体" w:hAnsi="宋体"/>
          <w:sz w:val="24"/>
          <w:szCs w:val="20"/>
        </w:rPr>
      </w:pPr>
    </w:p>
    <w:p>
      <w:pPr>
        <w:pStyle w:val="43"/>
      </w:pPr>
    </w:p>
    <w:p/>
    <w:p>
      <w:pPr>
        <w:pStyle w:val="13"/>
      </w:pPr>
    </w:p>
    <w:p>
      <w:pPr>
        <w:pStyle w:val="42"/>
        <w:rPr>
          <w:color w:val="auto"/>
        </w:rPr>
      </w:pPr>
    </w:p>
    <w:p>
      <w:pPr>
        <w:pStyle w:val="43"/>
      </w:pPr>
    </w:p>
    <w:p/>
    <w:p>
      <w:pPr>
        <w:pStyle w:val="13"/>
      </w:pPr>
    </w:p>
    <w:p>
      <w:pPr>
        <w:pStyle w:val="42"/>
        <w:rPr>
          <w:color w:val="auto"/>
        </w:rPr>
      </w:pPr>
    </w:p>
    <w:p>
      <w:pPr>
        <w:pStyle w:val="13"/>
      </w:pPr>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r>
        <w:rPr>
          <w:rFonts w:hint="eastAsia" w:ascii="宋体" w:hAnsi="宋体"/>
          <w:sz w:val="24"/>
        </w:rPr>
        <w:t>18. 项目实施人员一览表格式：</w:t>
      </w:r>
    </w:p>
    <w:p>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pPr>
        <w:snapToGrid w:val="0"/>
        <w:spacing w:line="360" w:lineRule="auto"/>
        <w:rPr>
          <w:rFonts w:ascii="宋体" w:hAnsi="宋体"/>
          <w:sz w:val="24"/>
          <w:szCs w:val="20"/>
        </w:rPr>
      </w:pPr>
      <w:r>
        <w:rPr>
          <w:rFonts w:hint="eastAsia" w:ascii="宋体" w:hAnsi="宋体"/>
        </w:rPr>
        <w:t>项目名称：</w:t>
      </w:r>
    </w:p>
    <w:tbl>
      <w:tblPr>
        <w:tblStyle w:val="3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pStyle w:val="19"/>
              <w:snapToGrid w:val="0"/>
              <w:spacing w:line="360" w:lineRule="auto"/>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r>
        <w:rPr>
          <w:rFonts w:hint="eastAsia" w:ascii="宋体" w:hAnsi="宋体"/>
          <w:sz w:val="24"/>
        </w:rPr>
        <w:t>19.投标人对本项目的合理化建议和改进措施（格式自拟）</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rPr>
          <w:rFonts w:ascii="宋体" w:hAnsi="宋体"/>
          <w:sz w:val="24"/>
          <w:szCs w:val="20"/>
        </w:rPr>
      </w:pPr>
    </w:p>
    <w:p>
      <w:pPr>
        <w:snapToGrid w:val="0"/>
        <w:spacing w:line="360" w:lineRule="auto"/>
        <w:jc w:val="left"/>
        <w:rPr>
          <w:rFonts w:ascii="宋体" w:hAnsi="宋体"/>
          <w:sz w:val="24"/>
          <w:szCs w:val="20"/>
        </w:rPr>
      </w:pPr>
      <w:r>
        <w:rPr>
          <w:rFonts w:hint="eastAsia" w:ascii="宋体" w:hAnsi="宋体"/>
          <w:sz w:val="24"/>
        </w:rPr>
        <w:t>20.投标人需要说明的其他文件和说明（格式自拟）</w:t>
      </w:r>
    </w:p>
    <w:p>
      <w:pPr>
        <w:snapToGrid w:val="0"/>
        <w:spacing w:line="360" w:lineRule="auto"/>
        <w:jc w:val="left"/>
        <w:rPr>
          <w:rFonts w:ascii="宋体" w:hAnsi="宋体"/>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pPr>
        <w:snapToGrid w:val="0"/>
        <w:spacing w:line="360" w:lineRule="auto"/>
        <w:jc w:val="left"/>
        <w:rPr>
          <w:rFonts w:ascii="宋体" w:hAnsi="宋体"/>
          <w:sz w:val="24"/>
        </w:rPr>
      </w:pPr>
      <w:r>
        <w:rPr>
          <w:rFonts w:hint="eastAsia" w:ascii="宋体" w:hAnsi="宋体"/>
          <w:sz w:val="24"/>
        </w:rPr>
        <w:t>21.投标人的类似成功案例的业绩证明文件：</w:t>
      </w:r>
    </w:p>
    <w:p>
      <w:pPr>
        <w:pStyle w:val="25"/>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w:t>
            </w:r>
          </w:p>
          <w:p>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p>
            <w:pPr>
              <w:snapToGrid w:val="0"/>
              <w:spacing w:line="360" w:lineRule="auto"/>
              <w:jc w:val="center"/>
              <w:rPr>
                <w:rFonts w:ascii="宋体" w:hAnsi="宋体"/>
                <w:sz w:val="18"/>
                <w:szCs w:val="20"/>
              </w:rPr>
            </w:pPr>
            <w:r>
              <w:rPr>
                <w:rFonts w:hint="eastAsia" w:ascii="宋体" w:hAnsi="宋体"/>
                <w:sz w:val="18"/>
              </w:rPr>
              <w:t>金额</w:t>
            </w:r>
          </w:p>
          <w:p>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采购单位联系人及</w:t>
            </w:r>
          </w:p>
          <w:p>
            <w:pPr>
              <w:snapToGrid w:val="0"/>
              <w:spacing w:line="360" w:lineRule="auto"/>
              <w:jc w:val="center"/>
              <w:rPr>
                <w:rFonts w:ascii="宋体" w:hAnsi="宋体"/>
                <w:sz w:val="18"/>
                <w:szCs w:val="20"/>
              </w:rPr>
            </w:pPr>
            <w:r>
              <w:rPr>
                <w:rFonts w:hint="eastAsia" w:ascii="宋体" w:hAnsi="宋体"/>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9"/>
        <w:snapToGrid w:val="0"/>
        <w:spacing w:before="0" w:after="0" w:line="360" w:lineRule="auto"/>
        <w:rPr>
          <w:rFonts w:ascii="宋体" w:hAnsi="宋体" w:eastAsia="宋体"/>
          <w:sz w:val="24"/>
        </w:rPr>
      </w:pPr>
    </w:p>
    <w:p>
      <w:pPr>
        <w:pStyle w:val="9"/>
        <w:snapToGrid w:val="0"/>
        <w:spacing w:before="0" w:after="0" w:line="360" w:lineRule="auto"/>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pPr>
        <w:snapToGrid w:val="0"/>
        <w:spacing w:line="360" w:lineRule="auto"/>
        <w:ind w:firstLine="480" w:firstLineChars="200"/>
        <w:jc w:val="left"/>
        <w:rPr>
          <w:rFonts w:ascii="宋体" w:hAnsi="宋体"/>
          <w:sz w:val="24"/>
        </w:rPr>
      </w:pPr>
      <w:r>
        <w:rPr>
          <w:rFonts w:hint="eastAsia" w:ascii="宋体" w:hAnsi="宋体"/>
          <w:sz w:val="24"/>
        </w:rPr>
        <w:t>投标人公章：年月日</w:t>
      </w:r>
    </w:p>
    <w:p>
      <w:pPr>
        <w:snapToGrid w:val="0"/>
        <w:spacing w:line="360" w:lineRule="auto"/>
        <w:ind w:firstLine="480" w:firstLineChars="200"/>
        <w:jc w:val="left"/>
        <w:rPr>
          <w:rFonts w:ascii="仿宋_GB2312" w:eastAsia="仿宋_GB2312"/>
          <w:sz w:val="24"/>
        </w:rPr>
      </w:pPr>
    </w:p>
    <w:p>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pPr>
        <w:snapToGrid w:val="0"/>
        <w:spacing w:line="360" w:lineRule="auto"/>
        <w:ind w:firstLine="480" w:firstLineChars="200"/>
        <w:jc w:val="left"/>
        <w:rPr>
          <w:rFonts w:ascii="宋体" w:hAnsi="宋体"/>
          <w:i/>
          <w:sz w:val="24"/>
        </w:rPr>
      </w:pPr>
      <w:r>
        <w:rPr>
          <w:rFonts w:hint="eastAsia" w:ascii="宋体" w:hAnsi="宋体"/>
          <w:sz w:val="24"/>
        </w:rPr>
        <w:t>22.距采购人最近或者能为本项目提供最优服务的网点情况表</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投标文件</w:t>
            </w:r>
          </w:p>
          <w:p>
            <w:pPr>
              <w:snapToGrid w:val="0"/>
              <w:spacing w:line="360" w:lineRule="auto"/>
              <w:jc w:val="center"/>
              <w:rPr>
                <w:rFonts w:ascii="宋体" w:hAnsi="宋体"/>
                <w:sz w:val="24"/>
                <w:szCs w:val="20"/>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9"/>
        <w:snapToGrid w:val="0"/>
        <w:spacing w:before="0" w:after="0"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pPr>
        <w:pStyle w:val="13"/>
        <w:snapToGrid w:val="0"/>
        <w:spacing w:after="0" w:line="360" w:lineRule="auto"/>
        <w:rPr>
          <w:rFonts w:ascii="宋体" w:hAnsi="宋体"/>
          <w:sz w:val="24"/>
        </w:rPr>
      </w:pPr>
      <w:r>
        <w:rPr>
          <w:rFonts w:hint="eastAsia" w:ascii="宋体" w:hAnsi="宋体"/>
          <w:sz w:val="24"/>
        </w:rPr>
        <w:t>投标人公章：　 年月　 日</w:t>
      </w:r>
    </w:p>
    <w:p>
      <w:pPr>
        <w:snapToGrid w:val="0"/>
        <w:spacing w:line="360" w:lineRule="auto"/>
        <w:ind w:firstLine="480" w:firstLineChars="200"/>
        <w:jc w:val="left"/>
        <w:rPr>
          <w:rFonts w:ascii="宋体" w:hAnsi="宋体"/>
          <w:sz w:val="24"/>
          <w:szCs w:val="20"/>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23.</w:t>
      </w:r>
      <w:r>
        <w:rPr>
          <w:rFonts w:ascii="宋体" w:hAnsi="宋体"/>
          <w:sz w:val="24"/>
        </w:rPr>
        <w:t>权威认证证书</w:t>
      </w:r>
      <w:r>
        <w:rPr>
          <w:rFonts w:hint="eastAsia" w:ascii="宋体" w:hAnsi="宋体"/>
          <w:sz w:val="24"/>
        </w:rPr>
        <w:t>复印件</w:t>
      </w:r>
    </w:p>
    <w:p>
      <w:pPr>
        <w:snapToGrid w:val="0"/>
        <w:spacing w:line="360" w:lineRule="auto"/>
        <w:jc w:val="left"/>
        <w:rPr>
          <w:rFonts w:ascii="宋体" w:hAnsi="宋体"/>
          <w:sz w:val="24"/>
        </w:rPr>
      </w:pPr>
    </w:p>
    <w:p>
      <w:pPr>
        <w:pStyle w:val="13"/>
      </w:pPr>
    </w:p>
    <w:p>
      <w:pPr>
        <w:pStyle w:val="13"/>
      </w:pPr>
    </w:p>
    <w:p>
      <w:pPr>
        <w:pStyle w:val="42"/>
        <w:rPr>
          <w:color w:val="auto"/>
        </w:rPr>
      </w:pPr>
    </w:p>
    <w:p>
      <w:pPr>
        <w:snapToGrid w:val="0"/>
        <w:spacing w:line="360" w:lineRule="auto"/>
        <w:jc w:val="left"/>
        <w:rPr>
          <w:rFonts w:ascii="宋体" w:hAnsi="宋体"/>
          <w:sz w:val="24"/>
        </w:rPr>
      </w:pPr>
      <w:r>
        <w:rPr>
          <w:rFonts w:hint="eastAsia" w:ascii="宋体" w:hAnsi="宋体"/>
          <w:sz w:val="24"/>
        </w:rPr>
        <w:t>24.投标人认为可以证明其能力或业绩的其他材料（格式自拟）</w:t>
      </w:r>
    </w:p>
    <w:p>
      <w:pPr>
        <w:pStyle w:val="13"/>
      </w:pPr>
    </w:p>
    <w:p>
      <w:pPr>
        <w:pStyle w:val="42"/>
        <w:rPr>
          <w:color w:val="auto"/>
        </w:rPr>
      </w:pPr>
    </w:p>
    <w:p>
      <w:pPr>
        <w:pStyle w:val="42"/>
        <w:rPr>
          <w:color w:val="auto"/>
        </w:rPr>
      </w:pPr>
    </w:p>
    <w:p>
      <w:pPr>
        <w:pStyle w:val="43"/>
      </w:pPr>
    </w:p>
    <w:p/>
    <w:p>
      <w:pPr>
        <w:snapToGrid w:val="0"/>
        <w:spacing w:line="360" w:lineRule="auto"/>
        <w:jc w:val="left"/>
        <w:rPr>
          <w:sz w:val="24"/>
        </w:rPr>
      </w:pPr>
      <w:r>
        <w:rPr>
          <w:rFonts w:hint="eastAsia" w:ascii="宋体" w:hAnsi="宋体"/>
          <w:sz w:val="24"/>
        </w:rPr>
        <w:t>25.投标人情况介绍</w:t>
      </w:r>
    </w:p>
    <w:p>
      <w:pPr>
        <w:pStyle w:val="13"/>
      </w:pPr>
    </w:p>
    <w:p/>
    <w:p>
      <w:pPr>
        <w:pStyle w:val="13"/>
      </w:pPr>
    </w:p>
    <w:p>
      <w:pPr>
        <w:pStyle w:val="42"/>
        <w:rPr>
          <w:color w:val="auto"/>
        </w:rPr>
      </w:pPr>
    </w:p>
    <w:p>
      <w:pPr>
        <w:pStyle w:val="13"/>
      </w:pPr>
    </w:p>
    <w:p>
      <w:pPr>
        <w:snapToGrid w:val="0"/>
        <w:spacing w:line="360" w:lineRule="auto"/>
        <w:jc w:val="left"/>
        <w:rPr>
          <w:rFonts w:ascii="宋体" w:hAnsi="宋体"/>
          <w:sz w:val="24"/>
          <w:szCs w:val="20"/>
        </w:rPr>
      </w:pPr>
      <w:r>
        <w:rPr>
          <w:rFonts w:hint="eastAsia" w:ascii="宋体" w:hAnsi="宋体"/>
          <w:sz w:val="24"/>
        </w:rPr>
        <w:t>26.商务响应表格式：</w:t>
      </w:r>
    </w:p>
    <w:p>
      <w:pPr>
        <w:snapToGrid w:val="0"/>
        <w:spacing w:line="360" w:lineRule="auto"/>
        <w:jc w:val="left"/>
        <w:rPr>
          <w:rFonts w:ascii="宋体" w:hAnsi="宋体"/>
          <w:sz w:val="24"/>
          <w:szCs w:val="20"/>
          <w:u w:val="single"/>
        </w:rPr>
      </w:pPr>
      <w:r>
        <w:rPr>
          <w:rFonts w:hint="eastAsia" w:ascii="宋体" w:hAnsi="宋体"/>
          <w:sz w:val="24"/>
        </w:rPr>
        <w:t>项目名称：</w:t>
      </w:r>
    </w:p>
    <w:tbl>
      <w:tblPr>
        <w:tblStyle w:val="33"/>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5386"/>
        <w:gridCol w:w="992"/>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项目</w:t>
            </w:r>
          </w:p>
        </w:tc>
        <w:tc>
          <w:tcPr>
            <w:tcW w:w="538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招标文件要求</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 w:val="24"/>
              </w:rPr>
            </w:pPr>
            <w:r>
              <w:rPr>
                <w:rFonts w:hint="eastAsia" w:ascii="宋体" w:hAnsi="宋体" w:cs="宋体"/>
                <w:b/>
                <w:bCs/>
                <w:kern w:val="0"/>
                <w:sz w:val="24"/>
              </w:rPr>
              <w:t>质保期</w:t>
            </w:r>
          </w:p>
        </w:tc>
        <w:tc>
          <w:tcPr>
            <w:tcW w:w="5386" w:type="dxa"/>
            <w:tcBorders>
              <w:top w:val="single" w:color="auto" w:sz="4" w:space="0"/>
              <w:left w:val="single" w:color="auto" w:sz="4" w:space="0"/>
              <w:bottom w:val="single" w:color="auto" w:sz="4" w:space="0"/>
              <w:right w:val="single" w:color="auto" w:sz="4" w:space="0"/>
            </w:tcBorders>
          </w:tcPr>
          <w:p>
            <w:pPr>
              <w:widowControl/>
              <w:jc w:val="left"/>
            </w:pPr>
            <w:r>
              <w:rPr>
                <w:rFonts w:hint="eastAsia" w:ascii="宋体" w:hAnsi="宋体"/>
                <w:b/>
                <w:sz w:val="24"/>
              </w:rPr>
              <w:t>▲</w:t>
            </w:r>
            <w:r>
              <w:rPr>
                <w:rFonts w:hint="eastAsia" w:ascii="宋体" w:hAnsi="宋体" w:cs="宋体"/>
                <w:kern w:val="0"/>
                <w:sz w:val="24"/>
              </w:rPr>
              <w:t xml:space="preserve">质保期为产品验收合格起不少于 3 年。 </w:t>
            </w:r>
          </w:p>
          <w:p>
            <w:pPr>
              <w:widowControl/>
              <w:jc w:val="left"/>
            </w:pPr>
            <w:r>
              <w:rPr>
                <w:rFonts w:hint="eastAsia" w:ascii="宋体" w:hAnsi="宋体" w:cs="宋体"/>
                <w:kern w:val="0"/>
                <w:sz w:val="24"/>
              </w:rPr>
              <w:t xml:space="preserve">在正常使用情况下，非人为因素是指没有超出招标文件和国家规定的技术指标的行为。 </w:t>
            </w:r>
          </w:p>
          <w:p>
            <w:pPr>
              <w:widowControl/>
              <w:jc w:val="left"/>
            </w:pPr>
            <w:r>
              <w:rPr>
                <w:rFonts w:hint="eastAsia" w:ascii="宋体" w:hAnsi="宋体" w:cs="宋体"/>
                <w:kern w:val="0"/>
                <w:sz w:val="24"/>
              </w:rPr>
              <w:t xml:space="preserve">质保期内，除不可抗力因素，因货物制造质量不良或非人为因素而产生损坏或不能正常使用，卖方应免费提供更换和维修，并承担业主的经济损失，对更换的货物其质保期重新计算。 </w:t>
            </w:r>
          </w:p>
          <w:p>
            <w:pPr>
              <w:widowControl/>
              <w:jc w:val="left"/>
              <w:rPr>
                <w:rFonts w:ascii="宋体" w:hAnsi="宋体"/>
                <w:sz w:val="24"/>
              </w:rPr>
            </w:pPr>
            <w:r>
              <w:rPr>
                <w:rFonts w:hint="eastAsia" w:ascii="宋体" w:hAnsi="宋体" w:cs="宋体"/>
                <w:kern w:val="0"/>
                <w:sz w:val="24"/>
              </w:rPr>
              <w:t>质保期内，供货商须自行付费，负责修理和替换任何由于货物自身的质量问题造成的损坏及故障。</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3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r>
              <w:rPr>
                <w:rFonts w:hint="eastAsia" w:ascii="宋体" w:hAnsi="宋体"/>
                <w:sz w:val="24"/>
              </w:rPr>
              <w:t>售后技术服务要求</w:t>
            </w:r>
          </w:p>
        </w:tc>
        <w:tc>
          <w:tcPr>
            <w:tcW w:w="538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交货期和地点</w:t>
            </w:r>
          </w:p>
        </w:tc>
        <w:tc>
          <w:tcPr>
            <w:tcW w:w="538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交货期：合同签订后1、分二批供货。第一次：2022年8月20日之前提供不少于各校总数量50%的货物，并完成安装调试及验收；第二次：2022年10月20日之前提供剩余数量的供货并完成安装调试及验收（具体时间以合同为准）。</w:t>
            </w:r>
          </w:p>
          <w:p>
            <w:pPr>
              <w:widowControl/>
              <w:jc w:val="left"/>
              <w:rPr>
                <w:rFonts w:ascii="宋体" w:hAnsi="宋体" w:cs="宋体"/>
                <w:kern w:val="0"/>
                <w:sz w:val="24"/>
              </w:rPr>
            </w:pPr>
            <w:r>
              <w:rPr>
                <w:rFonts w:hint="eastAsia" w:ascii="宋体" w:hAnsi="宋体" w:cs="宋体"/>
                <w:kern w:val="0"/>
                <w:sz w:val="24"/>
              </w:rPr>
              <w:t>注：1、供应商需提供仓库用于课桌椅所需设备通风换气，设备需拆除包装分散摆放。二次搬运至学校的费用由供应商承担。</w:t>
            </w:r>
          </w:p>
          <w:p>
            <w:pPr>
              <w:widowControl/>
              <w:jc w:val="left"/>
              <w:rPr>
                <w:rFonts w:ascii="宋体" w:hAnsi="宋体" w:cs="宋体"/>
                <w:kern w:val="0"/>
                <w:sz w:val="24"/>
              </w:rPr>
            </w:pPr>
            <w:r>
              <w:rPr>
                <w:rFonts w:hint="eastAsia" w:ascii="宋体" w:hAnsi="宋体" w:cs="宋体"/>
                <w:kern w:val="0"/>
                <w:sz w:val="24"/>
              </w:rPr>
              <w:t>2、标项均分两次验收，第一次供货完成，学校进行验收，区教育局组织相关人员随机抽取5所学校进行综合验收；第二次供货完成，学校进行验收，区教育局组织相关人员随机抽取5所学校进行综合验收。</w:t>
            </w:r>
          </w:p>
          <w:p>
            <w:pPr>
              <w:widowControl/>
              <w:jc w:val="left"/>
              <w:rPr>
                <w:rFonts w:ascii="宋体" w:hAnsi="宋体" w:cs="宋体"/>
                <w:kern w:val="0"/>
                <w:sz w:val="24"/>
              </w:rPr>
            </w:pPr>
            <w:r>
              <w:rPr>
                <w:rFonts w:hint="eastAsia" w:ascii="宋体" w:hAnsi="宋体" w:cs="宋体"/>
                <w:kern w:val="0"/>
                <w:sz w:val="24"/>
              </w:rPr>
              <w:t>地点：采购人指定地点。</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履约保证金</w:t>
            </w:r>
          </w:p>
        </w:tc>
        <w:tc>
          <w:tcPr>
            <w:tcW w:w="538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履约保证金：按合同金额的 2.5%计收，中标供应商在签订合同前应向采购人交纳履约保证金，履约保证金至合同履行完毕后 5 个工作日内视履约情况返还（缴纳形式为现金，或银行、保险公司出具的保函）。</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付款方式</w:t>
            </w:r>
          </w:p>
        </w:tc>
        <w:tc>
          <w:tcPr>
            <w:tcW w:w="538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根据《保障中小企业款项支付条例》、浙财采监【2022】3号要求要求,制定如以下付款方式:合同生效以及具备实施条件后7个工作日内，支付合同金额的40%，2022年8月20日之前第一次供货并安装调试完成，验收合格后，11月底前支付实际验收货物金额的100%;2022年10月20日前，第二次供货并安装调试完成，验收合格后，项目整体资料移交给甲方，付至合同的100%。</w:t>
            </w:r>
          </w:p>
          <w:p>
            <w:pPr>
              <w:widowControl/>
              <w:jc w:val="left"/>
              <w:rPr>
                <w:rFonts w:ascii="宋体" w:hAnsi="宋体" w:cs="宋体"/>
                <w:kern w:val="0"/>
                <w:sz w:val="24"/>
              </w:rPr>
            </w:pPr>
            <w:r>
              <w:rPr>
                <w:rFonts w:hint="eastAsia" w:ascii="宋体" w:hAnsi="宋体" w:cs="宋体"/>
                <w:kern w:val="0"/>
                <w:sz w:val="24"/>
              </w:rPr>
              <w:t xml:space="preserve">注：1）中标供应商在接到采购人通知后的七个工作日内将正规发票送达采购人，采购人在收到中标供应商发票后于 十五个工作日内以转账的方式支付给中标供应商； </w:t>
            </w:r>
          </w:p>
          <w:p>
            <w:pPr>
              <w:widowControl/>
              <w:jc w:val="left"/>
              <w:rPr>
                <w:rFonts w:ascii="宋体" w:hAnsi="宋体" w:cs="宋体"/>
                <w:kern w:val="0"/>
                <w:sz w:val="24"/>
              </w:rPr>
            </w:pPr>
            <w:r>
              <w:rPr>
                <w:rFonts w:hint="eastAsia" w:ascii="宋体" w:hAnsi="宋体" w:cs="宋体"/>
                <w:kern w:val="0"/>
                <w:sz w:val="24"/>
              </w:rPr>
              <w:t xml:space="preserve">2）税费：本服务执行中相关的一切税费均由中标供应商负担； </w:t>
            </w:r>
          </w:p>
          <w:p>
            <w:pPr>
              <w:widowControl/>
              <w:jc w:val="left"/>
              <w:rPr>
                <w:rFonts w:ascii="宋体" w:hAnsi="宋体" w:cs="宋体"/>
                <w:kern w:val="0"/>
                <w:sz w:val="24"/>
              </w:rPr>
            </w:pPr>
            <w:r>
              <w:rPr>
                <w:rFonts w:hint="eastAsia" w:ascii="宋体" w:hAnsi="宋体" w:cs="宋体"/>
                <w:kern w:val="0"/>
                <w:sz w:val="24"/>
              </w:rPr>
              <w:t>3）若中标供应商明确表示无需预付款或者主动要求降低预付款比例的，采购人可不适用前述规定。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color w:val="000000"/>
                <w:kern w:val="0"/>
                <w:sz w:val="24"/>
              </w:rPr>
            </w:pPr>
            <w:r>
              <w:rPr>
                <w:rFonts w:hint="eastAsia" w:ascii="宋体" w:hAnsi="宋体" w:cs="宋体"/>
                <w:bCs/>
                <w:color w:val="000000"/>
                <w:kern w:val="0"/>
                <w:sz w:val="24"/>
              </w:rPr>
              <w:t>培训要求</w:t>
            </w:r>
          </w:p>
        </w:tc>
        <w:tc>
          <w:tcPr>
            <w:tcW w:w="538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Cs/>
                <w:color w:val="000000"/>
                <w:kern w:val="0"/>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sz w:val="24"/>
              </w:rPr>
            </w:pPr>
            <w:r>
              <w:rPr>
                <w:rFonts w:hint="eastAsia" w:ascii="宋体" w:hAnsi="宋体"/>
                <w:b/>
                <w:color w:val="000000"/>
                <w:sz w:val="24"/>
              </w:rPr>
              <w:t>其他要求</w:t>
            </w:r>
          </w:p>
        </w:tc>
        <w:tc>
          <w:tcPr>
            <w:tcW w:w="538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FF0000"/>
                <w:sz w:val="24"/>
              </w:rPr>
            </w:pPr>
            <w:r>
              <w:rPr>
                <w:rFonts w:hint="eastAsia" w:ascii="宋体" w:hAnsi="宋体"/>
                <w:b/>
                <w:color w:val="FF0000"/>
                <w:sz w:val="24"/>
              </w:rPr>
              <w:t>▲如中标人为大型企业，</w:t>
            </w:r>
            <w:r>
              <w:rPr>
                <w:rFonts w:ascii="宋体" w:hAnsi="宋体"/>
                <w:b/>
                <w:color w:val="FF0000"/>
                <w:sz w:val="24"/>
              </w:rPr>
              <w:t>合同金额的40%</w:t>
            </w:r>
            <w:r>
              <w:rPr>
                <w:rFonts w:hint="eastAsia" w:ascii="宋体" w:hAnsi="宋体"/>
                <w:b/>
                <w:color w:val="FF0000"/>
                <w:sz w:val="24"/>
              </w:rPr>
              <w:t>必须分包</w:t>
            </w:r>
            <w:r>
              <w:rPr>
                <w:rFonts w:ascii="宋体" w:hAnsi="宋体"/>
                <w:b/>
                <w:color w:val="FF0000"/>
                <w:sz w:val="24"/>
              </w:rPr>
              <w:t>给中小微企业</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pStyle w:val="42"/>
        <w:rPr>
          <w:color w:val="auto"/>
        </w:rPr>
      </w:pPr>
    </w:p>
    <w:p>
      <w:pPr>
        <w:pStyle w:val="42"/>
        <w:rPr>
          <w:color w:val="auto"/>
        </w:rPr>
      </w:pPr>
    </w:p>
    <w:p>
      <w:pPr>
        <w:snapToGrid w:val="0"/>
        <w:spacing w:line="360" w:lineRule="auto"/>
        <w:jc w:val="left"/>
      </w:pPr>
      <w:r>
        <w:rPr>
          <w:rFonts w:hint="eastAsia" w:ascii="宋体" w:hAnsi="宋体"/>
          <w:bCs/>
          <w:sz w:val="24"/>
        </w:rPr>
        <w:t>27.</w:t>
      </w:r>
      <w:r>
        <w:rPr>
          <w:rFonts w:ascii="宋体" w:hAnsi="宋体"/>
          <w:sz w:val="24"/>
        </w:rPr>
        <w:t>售后服务的内容和措施</w:t>
      </w:r>
      <w:r>
        <w:rPr>
          <w:rFonts w:hint="eastAsia" w:ascii="宋体" w:hAnsi="宋体"/>
          <w:sz w:val="24"/>
        </w:rPr>
        <w:t>（格式自拟）</w:t>
      </w:r>
    </w:p>
    <w:p>
      <w:pPr>
        <w:pStyle w:val="42"/>
        <w:rPr>
          <w:color w:val="auto"/>
        </w:rPr>
      </w:pPr>
    </w:p>
    <w:p>
      <w:pPr>
        <w:pStyle w:val="43"/>
      </w:pPr>
    </w:p>
    <w:p>
      <w:pPr>
        <w:pStyle w:val="43"/>
      </w:pPr>
    </w:p>
    <w:p>
      <w:pPr>
        <w:pStyle w:val="43"/>
      </w:pPr>
    </w:p>
    <w:p/>
    <w:p>
      <w:pPr>
        <w:pStyle w:val="13"/>
      </w:pPr>
      <w:r>
        <w:rPr>
          <w:rFonts w:hint="eastAsia" w:ascii="宋体" w:hAnsi="宋体"/>
          <w:sz w:val="24"/>
        </w:rPr>
        <w:t>28.</w:t>
      </w:r>
      <w:r>
        <w:rPr>
          <w:rFonts w:ascii="宋体" w:hAnsi="宋体"/>
          <w:sz w:val="24"/>
        </w:rPr>
        <w:t xml:space="preserve"> </w:t>
      </w:r>
      <w:r>
        <w:rPr>
          <w:rFonts w:hint="eastAsia" w:ascii="宋体" w:hAnsi="宋体"/>
          <w:sz w:val="24"/>
        </w:rPr>
        <w:t>培训方案（格式自拟）</w:t>
      </w:r>
    </w:p>
    <w:p>
      <w:pPr>
        <w:pStyle w:val="42"/>
        <w:rPr>
          <w:color w:val="auto"/>
        </w:rPr>
      </w:pPr>
    </w:p>
    <w:p>
      <w:pPr>
        <w:pStyle w:val="43"/>
      </w:pPr>
    </w:p>
    <w:p/>
    <w:p/>
    <w:p>
      <w:pPr>
        <w:pStyle w:val="13"/>
        <w:rPr>
          <w:rFonts w:ascii="宋体" w:hAnsi="宋体"/>
          <w:sz w:val="24"/>
        </w:rPr>
      </w:pPr>
    </w:p>
    <w:p>
      <w:pPr>
        <w:pStyle w:val="13"/>
        <w:rPr>
          <w:rFonts w:ascii="宋体" w:hAnsi="宋体"/>
          <w:sz w:val="24"/>
        </w:rPr>
      </w:pPr>
    </w:p>
    <w:p>
      <w:pPr>
        <w:pStyle w:val="13"/>
        <w:rPr>
          <w:rFonts w:ascii="宋体" w:hAnsi="宋体"/>
          <w:sz w:val="24"/>
        </w:rPr>
      </w:pPr>
      <w:r>
        <w:rPr>
          <w:rFonts w:hint="eastAsia" w:ascii="宋体" w:hAnsi="宋体"/>
          <w:sz w:val="24"/>
        </w:rPr>
        <w:t>29.响应时间（格式自拟）</w:t>
      </w:r>
    </w:p>
    <w:p>
      <w:pPr>
        <w:pStyle w:val="42"/>
        <w:rPr>
          <w:color w:val="auto"/>
        </w:rPr>
      </w:pPr>
    </w:p>
    <w:p>
      <w:pPr>
        <w:pStyle w:val="43"/>
      </w:pPr>
    </w:p>
    <w:p/>
    <w:p/>
    <w:p/>
    <w:p/>
    <w:p/>
    <w:p/>
    <w:p/>
    <w:p/>
    <w:p/>
    <w:p/>
    <w:p/>
    <w:p/>
    <w:p/>
    <w:p/>
    <w:p>
      <w:pPr>
        <w:pStyle w:val="43"/>
      </w:pPr>
    </w:p>
    <w:p>
      <w:pPr>
        <w:pStyle w:val="43"/>
      </w:pPr>
    </w:p>
    <w:p>
      <w:pPr>
        <w:snapToGrid w:val="0"/>
        <w:spacing w:line="360" w:lineRule="auto"/>
        <w:jc w:val="left"/>
        <w:rPr>
          <w:rFonts w:ascii="宋体" w:hAnsi="宋体"/>
          <w:sz w:val="24"/>
        </w:rPr>
      </w:pPr>
      <w:r>
        <w:rPr>
          <w:rFonts w:hint="eastAsia" w:ascii="宋体" w:hAnsi="宋体"/>
          <w:sz w:val="24"/>
        </w:rPr>
        <w:t>30.信用承诺书</w:t>
      </w:r>
    </w:p>
    <w:p>
      <w:pPr>
        <w:tabs>
          <w:tab w:val="left" w:pos="1650"/>
        </w:tabs>
        <w:spacing w:line="360" w:lineRule="auto"/>
        <w:jc w:val="center"/>
        <w:rPr>
          <w:rFonts w:ascii="宋体" w:hAnsi="宋体"/>
          <w:sz w:val="44"/>
          <w:szCs w:val="44"/>
        </w:rPr>
      </w:pPr>
      <w:r>
        <w:rPr>
          <w:rFonts w:hint="eastAsia" w:ascii="宋体" w:hAnsi="宋体"/>
          <w:sz w:val="44"/>
          <w:szCs w:val="44"/>
        </w:rPr>
        <w:t>信用承诺书</w:t>
      </w:r>
    </w:p>
    <w:p>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59"/>
        <w:spacing w:before="0" w:beforeAutospacing="0" w:after="0" w:afterAutospacing="0" w:line="360" w:lineRule="auto"/>
        <w:ind w:firstLine="600" w:firstLineChars="250"/>
        <w:rPr>
          <w:rFonts w:cs="Times New Roman"/>
          <w:spacing w:val="-7"/>
        </w:rPr>
      </w:pPr>
      <w:r>
        <w:rPr>
          <w:rFonts w:hint="eastAsia" w:cs="Times New Roman"/>
          <w:kern w:val="2"/>
        </w:rPr>
        <w:t>统一社会信用代码：</w:t>
      </w:r>
    </w:p>
    <w:p>
      <w:pPr>
        <w:pStyle w:val="59"/>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2022年</w:t>
      </w:r>
      <w:r>
        <w:rPr>
          <w:rFonts w:hint="eastAsia" w:ascii="宋体" w:hAnsi="宋体"/>
          <w:sz w:val="24"/>
        </w:rPr>
        <w:t xml:space="preserve"> 月 日</w:t>
      </w:r>
    </w:p>
    <w:p>
      <w:pPr>
        <w:pStyle w:val="13"/>
      </w:pPr>
    </w:p>
    <w:p>
      <w:pPr>
        <w:pStyle w:val="43"/>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sz w:val="24"/>
        </w:rPr>
      </w:pPr>
      <w:r>
        <w:rPr>
          <w:rFonts w:hint="eastAsia" w:ascii="宋体" w:hAnsi="宋体"/>
          <w:bCs/>
          <w:sz w:val="24"/>
        </w:rPr>
        <w:t>31.</w:t>
      </w:r>
      <w:r>
        <w:rPr>
          <w:rFonts w:hint="eastAsia" w:ascii="宋体" w:hAnsi="宋体"/>
          <w:sz w:val="24"/>
        </w:rPr>
        <w:t xml:space="preserve">技术、商务、资信及其他分自评表  </w:t>
      </w:r>
    </w:p>
    <w:p>
      <w:pPr>
        <w:pStyle w:val="14"/>
        <w:spacing w:line="360" w:lineRule="auto"/>
        <w:ind w:firstLine="300" w:firstLineChars="129"/>
        <w:rPr>
          <w:rFonts w:hAnsi="宋体"/>
          <w:b/>
          <w:sz w:val="24"/>
        </w:rPr>
      </w:pPr>
      <w:r>
        <w:rPr>
          <w:rFonts w:hint="eastAsia" w:hAnsi="宋体"/>
          <w:b/>
          <w:sz w:val="24"/>
        </w:rPr>
        <w:t>投标人名称</w:t>
      </w:r>
    </w:p>
    <w:tbl>
      <w:tblPr>
        <w:tblStyle w:val="33"/>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pPr>
              <w:spacing w:line="360" w:lineRule="auto"/>
              <w:jc w:val="center"/>
              <w:rPr>
                <w:rFonts w:ascii="宋体" w:hAnsi="宋体"/>
                <w:sz w:val="24"/>
              </w:rPr>
            </w:pPr>
            <w:r>
              <w:rPr>
                <w:rFonts w:hint="eastAsia" w:ascii="宋体" w:hAnsi="宋体"/>
                <w:sz w:val="24"/>
              </w:rPr>
              <w:t>评分项目</w:t>
            </w:r>
          </w:p>
        </w:tc>
        <w:tc>
          <w:tcPr>
            <w:tcW w:w="2268" w:type="dxa"/>
            <w:vAlign w:val="center"/>
          </w:tcPr>
          <w:p>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pPr>
              <w:snapToGrid w:val="0"/>
              <w:spacing w:line="360" w:lineRule="auto"/>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pPr>
              <w:spacing w:line="360" w:lineRule="auto"/>
              <w:jc w:val="center"/>
              <w:rPr>
                <w:rFonts w:ascii="宋体" w:hAnsi="宋体"/>
                <w:sz w:val="24"/>
              </w:rPr>
            </w:pPr>
            <w:r>
              <w:rPr>
                <w:rFonts w:hint="eastAsia" w:ascii="宋体" w:hAnsi="宋体"/>
                <w:sz w:val="24"/>
              </w:rPr>
              <w:t>技</w:t>
            </w:r>
          </w:p>
          <w:p>
            <w:pPr>
              <w:spacing w:line="360" w:lineRule="auto"/>
              <w:jc w:val="center"/>
              <w:rPr>
                <w:rFonts w:ascii="宋体" w:hAnsi="宋体"/>
                <w:sz w:val="24"/>
              </w:rPr>
            </w:pPr>
            <w:r>
              <w:rPr>
                <w:rFonts w:hint="eastAsia" w:ascii="宋体" w:hAnsi="宋体"/>
                <w:sz w:val="24"/>
              </w:rPr>
              <w:t>术</w:t>
            </w:r>
          </w:p>
          <w:p>
            <w:pPr>
              <w:spacing w:line="360" w:lineRule="auto"/>
              <w:jc w:val="center"/>
              <w:rPr>
                <w:rFonts w:ascii="宋体" w:hAnsi="宋体"/>
                <w:sz w:val="24"/>
              </w:rPr>
            </w:pPr>
            <w:r>
              <w:rPr>
                <w:rFonts w:hint="eastAsia" w:ascii="宋体" w:hAnsi="宋体"/>
                <w:sz w:val="24"/>
              </w:rPr>
              <w:t xml:space="preserve">分 </w:t>
            </w:r>
          </w:p>
          <w:p>
            <w:pPr>
              <w:spacing w:line="360" w:lineRule="auto"/>
              <w:jc w:val="center"/>
              <w:rPr>
                <w:rFonts w:ascii="宋体" w:hAnsi="宋体"/>
                <w:sz w:val="24"/>
              </w:rPr>
            </w:pPr>
            <w:r>
              <w:rPr>
                <w:rFonts w:hint="eastAsia" w:ascii="宋体" w:hAnsi="宋体"/>
                <w:sz w:val="24"/>
              </w:rPr>
              <w:t>52</w:t>
            </w:r>
          </w:p>
          <w:p>
            <w:pPr>
              <w:spacing w:line="360" w:lineRule="auto"/>
              <w:jc w:val="center"/>
              <w:rPr>
                <w:rFonts w:ascii="宋体" w:hAnsi="宋体"/>
                <w:sz w:val="24"/>
              </w:rPr>
            </w:pPr>
            <w:r>
              <w:rPr>
                <w:rFonts w:hint="eastAsia" w:ascii="宋体" w:hAnsi="宋体"/>
                <w:sz w:val="24"/>
              </w:rPr>
              <w:t>分</w:t>
            </w: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pPr>
              <w:spacing w:line="360" w:lineRule="auto"/>
              <w:jc w:val="center"/>
              <w:rPr>
                <w:rFonts w:ascii="宋体" w:hAnsi="宋体"/>
                <w:sz w:val="24"/>
              </w:rPr>
            </w:pPr>
            <w:r>
              <w:rPr>
                <w:rFonts w:hint="eastAsia" w:ascii="宋体" w:hAnsi="宋体"/>
                <w:sz w:val="24"/>
              </w:rPr>
              <w:t xml:space="preserve">商务、资信及其他18 </w:t>
            </w:r>
          </w:p>
          <w:p>
            <w:pPr>
              <w:spacing w:line="360" w:lineRule="auto"/>
              <w:jc w:val="center"/>
              <w:rPr>
                <w:rFonts w:ascii="宋体" w:hAnsi="宋体"/>
                <w:sz w:val="24"/>
              </w:rPr>
            </w:pPr>
            <w:r>
              <w:rPr>
                <w:rFonts w:hint="eastAsia" w:ascii="宋体" w:hAnsi="宋体"/>
                <w:sz w:val="24"/>
              </w:rPr>
              <w:t>分</w:t>
            </w: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pPr>
              <w:spacing w:line="360" w:lineRule="auto"/>
              <w:jc w:val="center"/>
              <w:rPr>
                <w:rFonts w:ascii="宋体" w:hAnsi="宋体"/>
                <w:sz w:val="24"/>
                <w:highlight w:val="yellow"/>
              </w:rPr>
            </w:pPr>
            <w:r>
              <w:rPr>
                <w:rFonts w:hint="eastAsia" w:ascii="宋体" w:hAnsi="宋体"/>
                <w:sz w:val="24"/>
              </w:rPr>
              <w:t>总分</w:t>
            </w:r>
          </w:p>
        </w:tc>
        <w:tc>
          <w:tcPr>
            <w:tcW w:w="2268" w:type="dxa"/>
          </w:tcPr>
          <w:p>
            <w:pPr>
              <w:spacing w:line="360" w:lineRule="auto"/>
              <w:rPr>
                <w:rFonts w:ascii="宋体" w:hAnsi="宋体"/>
                <w:sz w:val="24"/>
                <w:highlight w:val="yellow"/>
              </w:rPr>
            </w:pPr>
          </w:p>
        </w:tc>
        <w:tc>
          <w:tcPr>
            <w:tcW w:w="2977" w:type="dxa"/>
            <w:gridSpan w:val="2"/>
          </w:tcPr>
          <w:p>
            <w:pPr>
              <w:spacing w:line="360" w:lineRule="auto"/>
              <w:rPr>
                <w:rFonts w:ascii="宋体" w:hAnsi="宋体"/>
                <w:sz w:val="24"/>
                <w:highlight w:val="yellow"/>
              </w:rPr>
            </w:pPr>
          </w:p>
        </w:tc>
      </w:tr>
    </w:tbl>
    <w:p>
      <w:pPr>
        <w:pStyle w:val="14"/>
        <w:spacing w:line="360" w:lineRule="auto"/>
        <w:ind w:firstLine="221" w:firstLineChars="129"/>
      </w:pPr>
    </w:p>
    <w:p>
      <w:pPr>
        <w:snapToGrid w:val="0"/>
        <w:spacing w:line="360" w:lineRule="auto"/>
        <w:jc w:val="center"/>
        <w:rPr>
          <w:rFonts w:ascii="宋体" w:hAnsi="宋体"/>
          <w:sz w:val="24"/>
        </w:rPr>
      </w:pPr>
    </w:p>
    <w:p>
      <w:pPr>
        <w:spacing w:line="360" w:lineRule="auto"/>
        <w:rPr>
          <w:rFonts w:hAnsi="宋体"/>
          <w:b/>
          <w:sz w:val="24"/>
        </w:rPr>
      </w:pPr>
    </w:p>
    <w:p>
      <w:pPr>
        <w:spacing w:line="360" w:lineRule="auto"/>
        <w:rPr>
          <w:rFonts w:hAnsi="宋体"/>
          <w:b/>
          <w:sz w:val="24"/>
        </w:rPr>
      </w:pPr>
    </w:p>
    <w:p>
      <w:pPr>
        <w:spacing w:line="360" w:lineRule="auto"/>
        <w:rPr>
          <w:rFonts w:hAnsi="宋体"/>
          <w:b/>
          <w:sz w:val="24"/>
        </w:rPr>
      </w:pPr>
    </w:p>
    <w:p>
      <w:pPr>
        <w:pStyle w:val="13"/>
      </w:pPr>
    </w:p>
    <w:p>
      <w:pPr>
        <w:pStyle w:val="42"/>
        <w:rPr>
          <w:color w:val="auto"/>
        </w:rPr>
      </w:pPr>
    </w:p>
    <w:p>
      <w:pPr>
        <w:pStyle w:val="43"/>
      </w:pPr>
    </w:p>
    <w:p/>
    <w:p>
      <w:pPr>
        <w:pStyle w:val="13"/>
      </w:pPr>
    </w:p>
    <w:p>
      <w:pPr>
        <w:pStyle w:val="42"/>
        <w:rPr>
          <w:color w:val="auto"/>
        </w:rPr>
      </w:pPr>
    </w:p>
    <w:p>
      <w:pPr>
        <w:pStyle w:val="43"/>
      </w:pPr>
    </w:p>
    <w:p>
      <w:pPr>
        <w:snapToGrid w:val="0"/>
        <w:spacing w:line="360" w:lineRule="auto"/>
        <w:jc w:val="center"/>
        <w:rPr>
          <w:rFonts w:ascii="宋体" w:hAnsi="宋体"/>
          <w:sz w:val="24"/>
        </w:rPr>
      </w:pPr>
    </w:p>
    <w:p>
      <w:pPr>
        <w:snapToGrid w:val="0"/>
        <w:spacing w:line="360" w:lineRule="auto"/>
        <w:jc w:val="center"/>
        <w:rPr>
          <w:rFonts w:ascii="宋体" w:hAnsi="宋体"/>
          <w:sz w:val="30"/>
          <w:szCs w:val="20"/>
        </w:rPr>
      </w:pPr>
      <w:r>
        <w:rPr>
          <w:rFonts w:hint="eastAsia" w:ascii="宋体" w:hAnsi="宋体"/>
          <w:sz w:val="24"/>
        </w:rPr>
        <w:t>三、报价文件格式</w:t>
      </w:r>
    </w:p>
    <w:p>
      <w:pPr>
        <w:snapToGrid w:val="0"/>
        <w:spacing w:line="360" w:lineRule="auto"/>
        <w:rPr>
          <w:rFonts w:ascii="宋体" w:hAnsi="宋体"/>
          <w:sz w:val="24"/>
          <w:szCs w:val="20"/>
        </w:rPr>
      </w:pPr>
      <w:r>
        <w:rPr>
          <w:rFonts w:hint="eastAsia" w:ascii="宋体" w:hAnsi="宋体"/>
          <w:sz w:val="24"/>
        </w:rPr>
        <w:t>32.报价文件封面格式：</w:t>
      </w:r>
    </w:p>
    <w:p>
      <w:pPr>
        <w:snapToGrid w:val="0"/>
        <w:spacing w:line="360" w:lineRule="auto"/>
        <w:rPr>
          <w:rFonts w:ascii="宋体" w:hAnsi="宋体"/>
          <w:sz w:val="24"/>
          <w:szCs w:val="20"/>
        </w:rPr>
      </w:pP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报价文件</w:t>
      </w:r>
    </w:p>
    <w:p>
      <w:pPr>
        <w:snapToGrid w:val="0"/>
        <w:spacing w:line="360" w:lineRule="auto"/>
        <w:rPr>
          <w:rFonts w:ascii="宋体" w:hAnsi="宋体"/>
          <w:bCs/>
          <w:sz w:val="24"/>
          <w:szCs w:val="20"/>
        </w:rPr>
      </w:pPr>
    </w:p>
    <w:p>
      <w:pPr>
        <w:snapToGrid w:val="0"/>
        <w:spacing w:line="360" w:lineRule="auto"/>
        <w:ind w:firstLine="960" w:firstLineChars="400"/>
        <w:rPr>
          <w:rFonts w:ascii="宋体" w:hAnsi="宋体"/>
          <w:bCs/>
          <w:sz w:val="24"/>
        </w:rPr>
      </w:pPr>
      <w:r>
        <w:rPr>
          <w:rFonts w:hint="eastAsia" w:ascii="宋体" w:hAnsi="宋体"/>
          <w:bCs/>
          <w:sz w:val="24"/>
        </w:rPr>
        <w:t>项目名称：</w:t>
      </w:r>
      <w:r>
        <w:rPr>
          <w:rFonts w:hint="eastAsia" w:ascii="宋体" w:hAnsi="宋体"/>
          <w:spacing w:val="-20"/>
          <w:sz w:val="24"/>
        </w:rPr>
        <w:t>湖州市吴兴区教育局升降式课桌椅项目（标项1、2、3或4）</w:t>
      </w:r>
    </w:p>
    <w:p>
      <w:pPr>
        <w:snapToGrid w:val="0"/>
        <w:spacing w:line="360" w:lineRule="auto"/>
        <w:ind w:firstLine="1080" w:firstLineChars="450"/>
        <w:jc w:val="left"/>
        <w:rPr>
          <w:rFonts w:ascii="宋体" w:hAnsi="宋体"/>
          <w:sz w:val="24"/>
        </w:rPr>
      </w:pPr>
      <w:r>
        <w:rPr>
          <w:rFonts w:hint="eastAsia" w:ascii="宋体" w:hAnsi="宋体"/>
          <w:bCs/>
          <w:sz w:val="24"/>
        </w:rPr>
        <w:t>项目编号：HYHZ2022-80</w:t>
      </w:r>
    </w:p>
    <w:p>
      <w:pPr>
        <w:snapToGrid w:val="0"/>
        <w:spacing w:line="360" w:lineRule="auto"/>
        <w:ind w:firstLine="840" w:firstLineChars="350"/>
        <w:rPr>
          <w:sz w:val="24"/>
        </w:rPr>
      </w:pPr>
      <w:r>
        <w:rPr>
          <w:rFonts w:hint="eastAsia"/>
          <w:sz w:val="24"/>
        </w:rPr>
        <w:t xml:space="preserve"> 投标人名称：</w:t>
      </w:r>
    </w:p>
    <w:p>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8"/>
        <w:snapToGrid w:val="0"/>
        <w:spacing w:line="360" w:lineRule="auto"/>
        <w:ind w:firstLine="960" w:firstLineChars="400"/>
        <w:rPr>
          <w:rFonts w:ascii="宋体" w:hAnsi="宋体"/>
          <w:bCs/>
          <w:sz w:val="24"/>
          <w:szCs w:val="24"/>
        </w:rPr>
      </w:pPr>
    </w:p>
    <w:p>
      <w:pPr>
        <w:pStyle w:val="8"/>
        <w:snapToGrid w:val="0"/>
        <w:spacing w:line="360" w:lineRule="auto"/>
        <w:ind w:firstLine="1497" w:firstLineChars="416"/>
        <w:rPr>
          <w:rFonts w:ascii="宋体" w:hAnsi="宋体"/>
          <w:sz w:val="36"/>
        </w:rPr>
      </w:pPr>
    </w:p>
    <w:p>
      <w:pPr>
        <w:snapToGrid w:val="0"/>
        <w:spacing w:line="360" w:lineRule="auto"/>
        <w:ind w:firstLine="4080" w:firstLineChars="1700"/>
        <w:rPr>
          <w:rFonts w:ascii="宋体" w:hAnsi="宋体"/>
          <w:sz w:val="24"/>
          <w:szCs w:val="20"/>
        </w:rPr>
      </w:pPr>
    </w:p>
    <w:p>
      <w:pPr>
        <w:snapToGrid w:val="0"/>
        <w:spacing w:line="360" w:lineRule="auto"/>
        <w:jc w:val="center"/>
        <w:rPr>
          <w:rFonts w:ascii="宋体" w:hAnsi="宋体"/>
          <w:sz w:val="30"/>
          <w:szCs w:val="20"/>
        </w:rPr>
      </w:pPr>
      <w:r>
        <w:rPr>
          <w:rFonts w:hint="eastAsia" w:ascii="宋体" w:hAnsi="宋体"/>
          <w:sz w:val="24"/>
        </w:rPr>
        <w:t>年月日</w:t>
      </w:r>
    </w:p>
    <w:p>
      <w:pPr>
        <w:snapToGrid w:val="0"/>
        <w:spacing w:line="360" w:lineRule="auto"/>
        <w:jc w:val="center"/>
        <w:rPr>
          <w:rFonts w:ascii="宋体" w:hAnsi="宋体"/>
          <w:sz w:val="30"/>
          <w:szCs w:val="20"/>
        </w:rPr>
      </w:pPr>
    </w:p>
    <w:p>
      <w:pPr>
        <w:snapToGrid w:val="0"/>
        <w:spacing w:line="360" w:lineRule="auto"/>
        <w:rPr>
          <w:rFonts w:ascii="宋体" w:hAnsi="宋体"/>
          <w:sz w:val="24"/>
          <w:szCs w:val="20"/>
        </w:rPr>
      </w:pPr>
      <w:r>
        <w:rPr>
          <w:rFonts w:ascii="宋体" w:hAnsi="宋体"/>
        </w:rPr>
        <w:br w:type="page"/>
      </w:r>
      <w:r>
        <w:rPr>
          <w:rFonts w:hint="eastAsia" w:ascii="宋体" w:hAnsi="宋体"/>
          <w:sz w:val="24"/>
        </w:rPr>
        <w:t>33.投标函格式：</w:t>
      </w:r>
    </w:p>
    <w:p>
      <w:pPr>
        <w:snapToGrid w:val="0"/>
        <w:spacing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投标报价文件一份。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开户银行：银行账号：</w:t>
      </w:r>
    </w:p>
    <w:p>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18"/>
        <w:snapToGrid w:val="0"/>
        <w:spacing w:beforeLines="0" w:afterLines="0" w:line="360" w:lineRule="auto"/>
        <w:rPr>
          <w:rFonts w:hAnsi="宋体"/>
        </w:rPr>
      </w:pPr>
    </w:p>
    <w:p>
      <w:pPr>
        <w:snapToGrid w:val="0"/>
        <w:spacing w:line="360" w:lineRule="auto"/>
        <w:jc w:val="left"/>
        <w:rPr>
          <w:rFonts w:hAnsi="宋体" w:cs="仿宋"/>
        </w:rPr>
      </w:pPr>
      <w:r>
        <w:rPr>
          <w:rFonts w:hAnsi="宋体"/>
        </w:rPr>
        <w:br w:type="page"/>
      </w:r>
    </w:p>
    <w:p>
      <w:pPr>
        <w:pStyle w:val="18"/>
        <w:snapToGrid w:val="0"/>
        <w:spacing w:beforeLines="0" w:afterLines="0" w:line="360" w:lineRule="auto"/>
        <w:rPr>
          <w:rFonts w:hAnsi="宋体"/>
        </w:rPr>
      </w:pPr>
      <w:r>
        <w:rPr>
          <w:rFonts w:hint="eastAsia" w:hAnsi="宋体" w:cs="仿宋"/>
        </w:rPr>
        <w:t>34.</w:t>
      </w:r>
      <w:r>
        <w:rPr>
          <w:rFonts w:hAnsi="宋体"/>
        </w:rPr>
        <w:t xml:space="preserve">投标报价明细表格式：       </w:t>
      </w:r>
    </w:p>
    <w:p>
      <w:pPr>
        <w:pStyle w:val="18"/>
        <w:snapToGrid w:val="0"/>
        <w:spacing w:beforeLines="0" w:afterLines="0" w:line="360" w:lineRule="auto"/>
        <w:jc w:val="center"/>
        <w:rPr>
          <w:rFonts w:hAnsi="宋体"/>
        </w:rPr>
      </w:pPr>
      <w:r>
        <w:rPr>
          <w:rFonts w:hAnsi="宋体"/>
        </w:rPr>
        <w:t>投标报价明细表</w:t>
      </w:r>
    </w:p>
    <w:p>
      <w:pPr>
        <w:pStyle w:val="18"/>
        <w:snapToGrid w:val="0"/>
        <w:spacing w:beforeLines="0" w:afterLines="0" w:line="360" w:lineRule="auto"/>
        <w:rPr>
          <w:rFonts w:hAnsi="宋体"/>
          <w:sz w:val="30"/>
        </w:rPr>
      </w:pPr>
      <w:r>
        <w:rPr>
          <w:rFonts w:hAnsi="宋体"/>
        </w:rPr>
        <w:t>项目名称：</w:t>
      </w:r>
      <w:r>
        <w:rPr>
          <w:rFonts w:hAnsi="宋体"/>
          <w:szCs w:val="21"/>
        </w:rPr>
        <w:t>金额单位：人民币（元）</w:t>
      </w:r>
    </w:p>
    <w:tbl>
      <w:tblPr>
        <w:tblStyle w:val="33"/>
        <w:tblW w:w="104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8"/>
        <w:gridCol w:w="1612"/>
        <w:gridCol w:w="1260"/>
        <w:gridCol w:w="144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46"/>
              <w:snapToGrid w:val="0"/>
              <w:rPr>
                <w:rFonts w:ascii="宋体" w:hAnsi="宋体" w:eastAsia="宋体"/>
              </w:rPr>
            </w:pPr>
            <w:r>
              <w:rPr>
                <w:rFonts w:ascii="宋体" w:hAnsi="宋体" w:eastAsia="宋体"/>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pacing w:val="20"/>
                <w:sz w:val="24"/>
                <w:szCs w:val="20"/>
              </w:rPr>
            </w:pPr>
            <w:r>
              <w:rPr>
                <w:rFonts w:hint="eastAsia" w:ascii="宋体" w:hAnsi="宋体"/>
                <w:sz w:val="24"/>
              </w:rPr>
              <w:t>金额</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微软雅黑" w:hAnsi="微软雅黑" w:eastAsia="微软雅黑" w:cs="微软雅黑"/>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微软雅黑" w:hAnsi="微软雅黑" w:eastAsia="微软雅黑" w:cs="微软雅黑"/>
                <w:kern w:val="0"/>
                <w:sz w:val="18"/>
                <w:szCs w:val="1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投标费用及利润</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52"/>
              <w:tabs>
                <w:tab w:val="left" w:pos="1418"/>
              </w:tabs>
              <w:snapToGrid w:val="0"/>
              <w:spacing w:line="360" w:lineRule="auto"/>
              <w:rPr>
                <w:rFonts w:ascii="宋体" w:hAnsi="宋体"/>
                <w:spacing w:val="20"/>
                <w:szCs w:val="24"/>
              </w:rPr>
            </w:pPr>
            <w:r>
              <w:rPr>
                <w:rFonts w:hint="eastAsia" w:ascii="宋体" w:hAnsi="宋体"/>
                <w:spacing w:val="20"/>
                <w:szCs w:val="24"/>
              </w:rPr>
              <w:t>运输费、安装调试费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52"/>
              <w:tabs>
                <w:tab w:val="left" w:pos="1418"/>
              </w:tabs>
              <w:snapToGrid w:val="0"/>
              <w:spacing w:line="360" w:lineRule="auto"/>
              <w:rPr>
                <w:rFonts w:ascii="宋体" w:hAnsi="宋体"/>
                <w:spacing w:val="20"/>
                <w:szCs w:val="24"/>
              </w:rPr>
            </w:pPr>
            <w:r>
              <w:rPr>
                <w:rFonts w:hint="eastAsia" w:ascii="宋体" w:hAnsi="宋体"/>
                <w:spacing w:val="20"/>
                <w:szCs w:val="24"/>
              </w:rPr>
              <w:t>代理费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pPr>
              <w:pStyle w:val="52"/>
              <w:tabs>
                <w:tab w:val="left" w:pos="1418"/>
              </w:tabs>
              <w:snapToGrid w:val="0"/>
              <w:spacing w:line="360" w:lineRule="auto"/>
              <w:rPr>
                <w:rFonts w:ascii="宋体" w:hAnsi="宋体"/>
                <w:spacing w:val="20"/>
                <w:szCs w:val="24"/>
              </w:rPr>
            </w:pPr>
            <w:r>
              <w:rPr>
                <w:rFonts w:hint="eastAsia" w:ascii="宋体" w:hAnsi="宋体"/>
                <w:spacing w:val="20"/>
                <w:szCs w:val="24"/>
              </w:rPr>
              <w:t>其他：</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rPr>
                <w:rFonts w:ascii="宋体" w:hAnsi="宋体"/>
                <w:spacing w:val="20"/>
                <w:sz w:val="24"/>
                <w:szCs w:val="20"/>
              </w:rPr>
            </w:pPr>
            <w:r>
              <w:rPr>
                <w:rFonts w:hint="eastAsia" w:ascii="宋体" w:hAnsi="宋体"/>
                <w:spacing w:val="20"/>
                <w:sz w:val="24"/>
              </w:rPr>
              <w:t>税费及附加</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税费率</w:t>
            </w:r>
            <w:r>
              <w:rPr>
                <w:rFonts w:ascii="宋体" w:hAnsi="宋体"/>
                <w:spacing w:val="20"/>
                <w:sz w:val="24"/>
              </w:rPr>
              <w:t>: %</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rPr>
                <w:rFonts w:ascii="宋体" w:hAnsi="宋体"/>
                <w:spacing w:val="20"/>
                <w:sz w:val="24"/>
                <w:szCs w:val="20"/>
              </w:rPr>
            </w:pPr>
            <w:r>
              <w:rPr>
                <w:rFonts w:hint="eastAsia" w:ascii="宋体" w:hAnsi="宋体"/>
                <w:spacing w:val="20"/>
                <w:sz w:val="24"/>
              </w:rPr>
              <w:t>项目毛利</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毛利率：</w:t>
            </w:r>
            <w:r>
              <w:rPr>
                <w:rFonts w:ascii="宋体" w:hAnsi="宋体"/>
                <w:spacing w:val="20"/>
                <w:sz w:val="24"/>
              </w:rPr>
              <w:t>%</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 标 总价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宋体" w:hAnsi="宋体"/>
                <w:spacing w:val="20"/>
                <w:sz w:val="24"/>
                <w:szCs w:val="20"/>
              </w:rPr>
            </w:pPr>
          </w:p>
        </w:tc>
      </w:tr>
    </w:tbl>
    <w:p>
      <w:pPr>
        <w:tabs>
          <w:tab w:val="left" w:pos="1418"/>
        </w:tabs>
        <w:snapToGrid w:val="0"/>
        <w:spacing w:line="360" w:lineRule="auto"/>
        <w:ind w:left="1418" w:hanging="567"/>
        <w:jc w:val="center"/>
        <w:rPr>
          <w:rFonts w:ascii="宋体" w:hAnsi="宋体"/>
          <w:spacing w:val="20"/>
          <w:sz w:val="24"/>
          <w:szCs w:val="20"/>
          <w:u w:val="single"/>
        </w:rPr>
      </w:pP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u w:val="single"/>
        </w:rPr>
      </w:pPr>
      <w:r>
        <w:rPr>
          <w:rFonts w:hint="eastAsia" w:ascii="宋体" w:hAnsi="宋体"/>
          <w:spacing w:val="20"/>
          <w:sz w:val="24"/>
        </w:rPr>
        <w:t>投标人盖章：日期：</w:t>
      </w:r>
    </w:p>
    <w:p>
      <w:pPr>
        <w:pStyle w:val="13"/>
      </w:pPr>
    </w:p>
    <w:p>
      <w:pPr>
        <w:spacing w:line="360" w:lineRule="auto"/>
      </w:pPr>
    </w:p>
    <w:p>
      <w:pPr>
        <w:spacing w:line="360" w:lineRule="auto"/>
        <w:rPr>
          <w:sz w:val="24"/>
        </w:rPr>
      </w:pPr>
      <w:r>
        <w:rPr>
          <w:rFonts w:hint="eastAsia"/>
          <w:sz w:val="24"/>
        </w:rPr>
        <w:t>35. 招标代理服务费承诺函</w:t>
      </w:r>
    </w:p>
    <w:p>
      <w:pPr>
        <w:spacing w:line="360" w:lineRule="auto"/>
        <w:jc w:val="center"/>
        <w:rPr>
          <w:b/>
          <w:sz w:val="32"/>
        </w:rPr>
      </w:pPr>
    </w:p>
    <w:p>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8"/>
        <w:spacing w:line="360" w:lineRule="auto"/>
        <w:ind w:firstLine="1454" w:firstLineChars="606"/>
        <w:rPr>
          <w:rFonts w:ascii="宋体" w:hAnsi="宋体"/>
          <w:sz w:val="24"/>
          <w:szCs w:val="24"/>
        </w:rPr>
      </w:pPr>
      <w:r>
        <w:rPr>
          <w:rFonts w:hint="eastAsia" w:ascii="宋体" w:hAnsi="宋体"/>
          <w:sz w:val="24"/>
          <w:szCs w:val="24"/>
        </w:rPr>
        <w:t>投标人：（盖章）</w:t>
      </w:r>
    </w:p>
    <w:p>
      <w:pPr>
        <w:pStyle w:val="8"/>
        <w:spacing w:line="360" w:lineRule="auto"/>
        <w:ind w:firstLine="374" w:firstLineChars="156"/>
        <w:rPr>
          <w:rFonts w:ascii="宋体" w:hAnsi="宋体"/>
          <w:sz w:val="24"/>
          <w:szCs w:val="24"/>
        </w:rPr>
      </w:pPr>
    </w:p>
    <w:p>
      <w:pPr>
        <w:pStyle w:val="8"/>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pPr>
        <w:pStyle w:val="8"/>
        <w:spacing w:line="360" w:lineRule="auto"/>
        <w:ind w:firstLine="374" w:firstLineChars="156"/>
        <w:jc w:val="center"/>
        <w:rPr>
          <w:rFonts w:ascii="宋体" w:hAnsi="宋体"/>
          <w:sz w:val="24"/>
          <w:szCs w:val="24"/>
        </w:rPr>
      </w:pPr>
    </w:p>
    <w:p>
      <w:pPr>
        <w:pStyle w:val="8"/>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pPr>
        <w:pStyle w:val="18"/>
        <w:snapToGrid w:val="0"/>
        <w:spacing w:beforeLines="0" w:afterLines="0" w:line="360" w:lineRule="auto"/>
      </w:pPr>
    </w:p>
    <w:p>
      <w:pPr>
        <w:pStyle w:val="8"/>
        <w:spacing w:line="500" w:lineRule="exact"/>
        <w:ind w:firstLine="0"/>
        <w:jc w:val="left"/>
        <w:rPr>
          <w:rFonts w:ascii="宋体" w:hAnsi="宋体"/>
          <w:sz w:val="24"/>
          <w:szCs w:val="24"/>
          <w:u w:val="single"/>
        </w:rPr>
      </w:pPr>
    </w:p>
    <w:p>
      <w:pPr>
        <w:pStyle w:val="8"/>
        <w:spacing w:line="500" w:lineRule="exact"/>
        <w:ind w:firstLine="0"/>
        <w:jc w:val="left"/>
        <w:rPr>
          <w:rFonts w:ascii="宋体" w:hAnsi="宋体"/>
          <w:sz w:val="24"/>
          <w:szCs w:val="24"/>
        </w:rPr>
      </w:pPr>
      <w:r>
        <w:rPr>
          <w:rFonts w:hint="eastAsia" w:ascii="宋体" w:hAnsi="宋体"/>
          <w:sz w:val="24"/>
          <w:szCs w:val="24"/>
        </w:rPr>
        <w:t>____________________________________________________________________________</w:t>
      </w:r>
    </w:p>
    <w:p>
      <w:pPr>
        <w:pStyle w:val="8"/>
        <w:spacing w:line="500" w:lineRule="exact"/>
        <w:ind w:firstLine="0"/>
        <w:jc w:val="left"/>
        <w:rPr>
          <w:rFonts w:ascii="宋体" w:hAnsi="宋体"/>
          <w:sz w:val="24"/>
          <w:szCs w:val="24"/>
        </w:rPr>
      </w:pPr>
      <w:r>
        <w:rPr>
          <w:rFonts w:hint="eastAsia" w:ascii="宋体" w:hAnsi="宋体"/>
          <w:sz w:val="24"/>
          <w:szCs w:val="24"/>
        </w:rPr>
        <w:t>代理费汇款账号：</w:t>
      </w:r>
    </w:p>
    <w:p>
      <w:pPr>
        <w:snapToGrid w:val="0"/>
        <w:jc w:val="left"/>
        <w:rPr>
          <w:rFonts w:ascii="宋体" w:hAnsi="宋体"/>
          <w:sz w:val="24"/>
        </w:rPr>
      </w:pPr>
    </w:p>
    <w:p>
      <w:pPr>
        <w:snapToGrid w:val="0"/>
        <w:jc w:val="left"/>
        <w:rPr>
          <w:rFonts w:ascii="宋体" w:hAnsi="宋体"/>
          <w:sz w:val="24"/>
        </w:rPr>
      </w:pPr>
    </w:p>
    <w:p>
      <w:pPr>
        <w:snapToGrid w:val="0"/>
        <w:rPr>
          <w:rFonts w:ascii="宋体" w:hAnsi="宋体"/>
          <w:sz w:val="24"/>
        </w:rPr>
      </w:pPr>
      <w:r>
        <w:rPr>
          <w:rFonts w:hint="eastAsia" w:ascii="宋体" w:hAnsi="宋体"/>
          <w:sz w:val="24"/>
        </w:rPr>
        <w:t>单位名称：浙江华耀建设咨询有限公司龙溪北路分公司</w:t>
      </w:r>
    </w:p>
    <w:p>
      <w:pPr>
        <w:snapToGrid w:val="0"/>
        <w:rPr>
          <w:rFonts w:ascii="宋体" w:hAnsi="宋体"/>
          <w:sz w:val="24"/>
        </w:rPr>
      </w:pPr>
      <w:r>
        <w:rPr>
          <w:rFonts w:hint="eastAsia" w:ascii="宋体" w:hAnsi="宋体"/>
          <w:sz w:val="24"/>
        </w:rPr>
        <w:t>开户银行：中国工商银行股份有限公司湖州经济开发区支行</w:t>
      </w:r>
    </w:p>
    <w:p>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pPr>
        <w:pStyle w:val="18"/>
        <w:snapToGrid w:val="0"/>
        <w:spacing w:beforeLines="0" w:afterLines="0" w:line="360" w:lineRule="auto"/>
      </w:pPr>
    </w:p>
    <w:p>
      <w:pPr>
        <w:tabs>
          <w:tab w:val="left" w:pos="1418"/>
        </w:tabs>
        <w:snapToGrid w:val="0"/>
        <w:spacing w:line="360" w:lineRule="auto"/>
        <w:ind w:left="1418" w:hanging="567"/>
        <w:jc w:val="center"/>
        <w:rPr>
          <w:rFonts w:ascii="宋体" w:hAnsi="宋体"/>
          <w:spacing w:val="20"/>
          <w:sz w:val="24"/>
          <w:szCs w:val="20"/>
          <w:u w:val="single"/>
        </w:rPr>
        <w:sectPr>
          <w:headerReference r:id="rId7" w:type="first"/>
          <w:footerReference r:id="rId10" w:type="first"/>
          <w:headerReference r:id="rId6" w:type="default"/>
          <w:footerReference r:id="rId8" w:type="default"/>
          <w:footerReference r:id="rId9" w:type="even"/>
          <w:pgSz w:w="11906" w:h="16838"/>
          <w:pgMar w:top="1361" w:right="1361" w:bottom="1361" w:left="1361" w:header="851" w:footer="851" w:gutter="0"/>
          <w:cols w:space="720" w:num="1"/>
          <w:docGrid w:linePitch="312" w:charSpace="0"/>
        </w:sectPr>
      </w:pPr>
    </w:p>
    <w:p>
      <w:pPr>
        <w:snapToGrid w:val="0"/>
        <w:spacing w:line="360" w:lineRule="auto"/>
        <w:rPr>
          <w:rFonts w:ascii="宋体" w:hAnsi="宋体"/>
          <w:b/>
          <w:sz w:val="24"/>
          <w:szCs w:val="20"/>
        </w:rPr>
      </w:pPr>
      <w:r>
        <w:rPr>
          <w:rFonts w:hint="eastAsia" w:ascii="宋体" w:hAnsi="宋体"/>
          <w:sz w:val="24"/>
        </w:rPr>
        <w:t>36.</w:t>
      </w:r>
      <w:r>
        <w:rPr>
          <w:rFonts w:hint="eastAsia" w:ascii="宋体" w:hAnsi="宋体"/>
          <w:b/>
          <w:sz w:val="24"/>
        </w:rPr>
        <w:t xml:space="preserve">开标一览表 </w:t>
      </w:r>
    </w:p>
    <w:p>
      <w:pPr>
        <w:snapToGrid w:val="0"/>
        <w:spacing w:line="360" w:lineRule="auto"/>
        <w:jc w:val="center"/>
        <w:rPr>
          <w:rFonts w:ascii="宋体" w:hAnsi="宋体"/>
          <w:b/>
          <w:sz w:val="30"/>
          <w:szCs w:val="20"/>
        </w:rPr>
      </w:pPr>
      <w:r>
        <w:rPr>
          <w:rFonts w:hint="eastAsia" w:ascii="宋体" w:hAnsi="宋体"/>
          <w:b/>
          <w:sz w:val="30"/>
        </w:rPr>
        <w:t>开标一览表</w:t>
      </w:r>
    </w:p>
    <w:p>
      <w:pPr>
        <w:snapToGrid w:val="0"/>
        <w:spacing w:line="360" w:lineRule="auto"/>
        <w:rPr>
          <w:rFonts w:ascii="宋体" w:hAnsi="宋体"/>
          <w:sz w:val="24"/>
          <w:szCs w:val="20"/>
        </w:rPr>
      </w:pPr>
      <w:r>
        <w:rPr>
          <w:rFonts w:hint="eastAsia" w:ascii="宋体" w:hAnsi="宋体"/>
          <w:sz w:val="24"/>
        </w:rPr>
        <w:t>招标编号：项目名称：投标人名称：单位：元</w:t>
      </w:r>
    </w:p>
    <w:tbl>
      <w:tblPr>
        <w:tblStyle w:val="33"/>
        <w:tblW w:w="11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603"/>
        <w:gridCol w:w="810"/>
        <w:gridCol w:w="1003"/>
        <w:gridCol w:w="3071"/>
        <w:gridCol w:w="1978"/>
        <w:gridCol w:w="1079"/>
        <w:gridCol w:w="15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货物名称</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数量</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产地</w:t>
            </w: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品牌及厂家</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规格型号</w:t>
            </w: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单价</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30"/>
              </w:rPr>
            </w:pPr>
            <w:r>
              <w:rPr>
                <w:rFonts w:hint="eastAsia" w:ascii="宋体" w:hAnsi="宋体"/>
                <w:b/>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0"/>
              </w:rPr>
            </w:pPr>
          </w:p>
          <w:p>
            <w:pPr>
              <w:snapToGrid w:val="0"/>
              <w:spacing w:line="360" w:lineRule="auto"/>
              <w:jc w:val="center"/>
              <w:rPr>
                <w:rFonts w:ascii="宋体" w:hAnsi="宋体"/>
                <w:sz w:val="32"/>
                <w:szCs w:val="20"/>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32"/>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24"/>
                <w:szCs w:val="20"/>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20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r>
              <w:rPr>
                <w:rFonts w:hint="eastAsia" w:ascii="宋体" w:hAnsi="宋体"/>
                <w:sz w:val="24"/>
                <w:szCs w:val="21"/>
              </w:rPr>
              <w:t>投标费用及利润</w:t>
            </w:r>
          </w:p>
        </w:tc>
        <w:tc>
          <w:tcPr>
            <w:tcW w:w="10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180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1"/>
                <w:u w:val="single"/>
              </w:rPr>
            </w:pPr>
            <w:r>
              <w:rPr>
                <w:rFonts w:hint="eastAsia" w:ascii="宋体" w:hAnsi="宋体"/>
                <w:sz w:val="24"/>
                <w:szCs w:val="21"/>
              </w:rPr>
              <w:t>合计金额大写：￥</w:t>
            </w:r>
          </w:p>
        </w:tc>
      </w:tr>
    </w:tbl>
    <w:p>
      <w:pPr>
        <w:snapToGrid w:val="0"/>
        <w:spacing w:line="360" w:lineRule="auto"/>
        <w:jc w:val="left"/>
        <w:rPr>
          <w:rFonts w:ascii="宋体" w:hAnsi="宋体"/>
          <w:sz w:val="24"/>
          <w:szCs w:val="20"/>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、凡需用专用耗材的专用设备类采购项目，应按招标文件规定的耗材量或按耗材的常规试用量提供报价。</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、投标费用包括项目实施所需的人工费、服务费、运输费、安装调试费、购买及制作标书费、税费及其他一切费用。</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、以上报价应与“投标设备报价明细表”中的“投标总价”相一致。</w:t>
      </w:r>
    </w:p>
    <w:p>
      <w:pPr>
        <w:snapToGrid w:val="0"/>
        <w:spacing w:line="360" w:lineRule="auto"/>
        <w:ind w:left="-2" w:right="-817" w:rightChars="-389"/>
        <w:rPr>
          <w:rFonts w:ascii="宋体" w:hAnsi="宋体"/>
          <w:sz w:val="24"/>
          <w:szCs w:val="20"/>
        </w:rPr>
      </w:pPr>
      <w:r>
        <w:rPr>
          <w:rFonts w:hint="eastAsia" w:ascii="宋体" w:hAnsi="宋体"/>
          <w:sz w:val="24"/>
        </w:rPr>
        <w:t>法定代表人签字：</w:t>
      </w:r>
    </w:p>
    <w:p>
      <w:pPr>
        <w:snapToGrid w:val="0"/>
        <w:spacing w:line="360" w:lineRule="auto"/>
        <w:ind w:right="-817" w:rightChars="-389"/>
        <w:rPr>
          <w:rFonts w:ascii="宋体" w:hAnsi="宋体"/>
          <w:sz w:val="24"/>
        </w:rPr>
      </w:pPr>
      <w:r>
        <w:rPr>
          <w:rFonts w:hint="eastAsia" w:ascii="宋体" w:hAnsi="宋体"/>
          <w:sz w:val="24"/>
        </w:rPr>
        <w:t>投标人名称（盖章）：日期：年月日</w:t>
      </w:r>
    </w:p>
    <w:p>
      <w:pPr>
        <w:spacing w:line="360" w:lineRule="auto"/>
      </w:pPr>
    </w:p>
    <w:p>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pPr>
        <w:numPr>
          <w:ilvl w:val="0"/>
          <w:numId w:val="5"/>
        </w:numPr>
        <w:spacing w:line="360" w:lineRule="auto"/>
        <w:rPr>
          <w:sz w:val="28"/>
          <w:szCs w:val="28"/>
        </w:rPr>
      </w:pPr>
      <w:r>
        <w:rPr>
          <w:rFonts w:hint="eastAsia"/>
          <w:sz w:val="28"/>
          <w:szCs w:val="28"/>
        </w:rPr>
        <w:t>承诺书：</w:t>
      </w:r>
    </w:p>
    <w:p>
      <w:pPr>
        <w:spacing w:line="360" w:lineRule="auto"/>
        <w:rPr>
          <w:sz w:val="28"/>
          <w:szCs w:val="28"/>
        </w:rPr>
      </w:pPr>
    </w:p>
    <w:p>
      <w:pPr>
        <w:spacing w:line="360" w:lineRule="auto"/>
        <w:ind w:firstLine="900" w:firstLineChars="300"/>
        <w:rPr>
          <w:rFonts w:ascii="宋体" w:hAnsi="宋体" w:cs="宋体"/>
          <w:sz w:val="30"/>
          <w:szCs w:val="30"/>
        </w:rPr>
      </w:pPr>
      <w:r>
        <w:rPr>
          <w:rFonts w:hint="eastAsia" w:ascii="宋体" w:hAnsi="宋体" w:cs="宋体"/>
          <w:sz w:val="30"/>
          <w:szCs w:val="30"/>
        </w:rPr>
        <w:t>本单位一旦中标，</w:t>
      </w:r>
      <w:r>
        <w:rPr>
          <w:rFonts w:ascii="宋体" w:hAnsi="宋体" w:cs="宋体"/>
          <w:sz w:val="30"/>
          <w:szCs w:val="30"/>
        </w:rPr>
        <w:t>如原有课桌椅已到报废年限，学校要求报废，</w:t>
      </w:r>
      <w:r>
        <w:rPr>
          <w:rFonts w:hint="eastAsia" w:ascii="宋体" w:hAnsi="宋体" w:cs="宋体"/>
          <w:sz w:val="30"/>
          <w:szCs w:val="30"/>
        </w:rPr>
        <w:t>自愿提供</w:t>
      </w:r>
      <w:r>
        <w:rPr>
          <w:rFonts w:ascii="宋体" w:hAnsi="宋体" w:cs="宋体"/>
          <w:sz w:val="30"/>
          <w:szCs w:val="30"/>
        </w:rPr>
        <w:t>回收</w:t>
      </w:r>
      <w:r>
        <w:rPr>
          <w:rFonts w:hint="eastAsia" w:ascii="宋体" w:hAnsi="宋体" w:cs="宋体"/>
          <w:sz w:val="30"/>
          <w:szCs w:val="30"/>
        </w:rPr>
        <w:t>服务，</w:t>
      </w:r>
      <w:r>
        <w:rPr>
          <w:rFonts w:ascii="宋体" w:hAnsi="宋体" w:cs="宋体"/>
          <w:sz w:val="30"/>
          <w:szCs w:val="30"/>
        </w:rPr>
        <w:t>所得收入作为</w:t>
      </w:r>
      <w:r>
        <w:rPr>
          <w:rFonts w:hint="eastAsia" w:ascii="宋体" w:hAnsi="宋体" w:cs="宋体"/>
          <w:sz w:val="30"/>
          <w:szCs w:val="30"/>
        </w:rPr>
        <w:t>吴兴区教育局</w:t>
      </w:r>
      <w:r>
        <w:rPr>
          <w:rFonts w:ascii="宋体" w:hAnsi="宋体" w:cs="宋体"/>
          <w:sz w:val="30"/>
          <w:szCs w:val="30"/>
        </w:rPr>
        <w:t>固定资产残值收入</w:t>
      </w:r>
      <w:r>
        <w:rPr>
          <w:rFonts w:hint="eastAsia" w:ascii="宋体" w:hAnsi="宋体" w:cs="宋体"/>
          <w:sz w:val="30"/>
          <w:szCs w:val="30"/>
        </w:rPr>
        <w:t>。承诺报价按每套计算，报价为</w:t>
      </w:r>
      <w:r>
        <w:rPr>
          <w:rFonts w:hint="eastAsia" w:ascii="宋体" w:hAnsi="宋体" w:cs="宋体"/>
          <w:sz w:val="30"/>
          <w:szCs w:val="30"/>
          <w:u w:val="single"/>
        </w:rPr>
        <w:t xml:space="preserve">  </w:t>
      </w:r>
      <w:r>
        <w:rPr>
          <w:rFonts w:hint="eastAsia" w:ascii="宋体" w:hAnsi="宋体" w:cs="宋体"/>
          <w:sz w:val="30"/>
          <w:szCs w:val="30"/>
        </w:rPr>
        <w:t>元/套。</w:t>
      </w:r>
    </w:p>
    <w:p>
      <w:pPr>
        <w:spacing w:line="360" w:lineRule="auto"/>
        <w:ind w:firstLine="600" w:firstLineChars="200"/>
        <w:rPr>
          <w:rFonts w:ascii="宋体" w:hAnsi="宋体" w:cs="宋体"/>
          <w:sz w:val="30"/>
          <w:szCs w:val="30"/>
        </w:rPr>
      </w:pPr>
    </w:p>
    <w:p>
      <w:pPr>
        <w:spacing w:line="360" w:lineRule="auto"/>
        <w:ind w:firstLine="600" w:firstLineChars="200"/>
        <w:rPr>
          <w:rFonts w:ascii="宋体" w:hAnsi="宋体" w:cs="宋体"/>
          <w:sz w:val="30"/>
          <w:szCs w:val="30"/>
        </w:rPr>
      </w:pPr>
    </w:p>
    <w:p>
      <w:pPr>
        <w:spacing w:line="360" w:lineRule="auto"/>
        <w:ind w:firstLine="600" w:firstLineChars="200"/>
        <w:rPr>
          <w:rFonts w:ascii="宋体" w:hAnsi="宋体" w:cs="宋体"/>
          <w:sz w:val="30"/>
          <w:szCs w:val="30"/>
        </w:rPr>
      </w:pPr>
    </w:p>
    <w:p>
      <w:pPr>
        <w:spacing w:line="360" w:lineRule="auto"/>
        <w:ind w:firstLine="600" w:firstLineChars="200"/>
        <w:rPr>
          <w:rFonts w:ascii="宋体" w:hAnsi="宋体" w:cs="宋体"/>
          <w:sz w:val="30"/>
          <w:szCs w:val="30"/>
        </w:rPr>
      </w:pPr>
    </w:p>
    <w:p>
      <w:pPr>
        <w:spacing w:line="360" w:lineRule="auto"/>
        <w:ind w:firstLine="600" w:firstLineChars="200"/>
        <w:jc w:val="center"/>
        <w:rPr>
          <w:rFonts w:ascii="宋体" w:hAnsi="宋体" w:cs="宋体"/>
          <w:sz w:val="30"/>
          <w:szCs w:val="30"/>
        </w:rPr>
      </w:pPr>
      <w:r>
        <w:rPr>
          <w:rFonts w:hint="eastAsia" w:ascii="宋体" w:hAnsi="宋体" w:cs="宋体"/>
          <w:sz w:val="30"/>
          <w:szCs w:val="30"/>
        </w:rPr>
        <w:t xml:space="preserve">                                                    投标单位（盖章）：</w:t>
      </w:r>
    </w:p>
    <w:p>
      <w:pPr>
        <w:spacing w:line="360" w:lineRule="auto"/>
        <w:ind w:firstLine="600" w:firstLineChars="200"/>
        <w:jc w:val="center"/>
        <w:rPr>
          <w:rFonts w:ascii="宋体" w:hAnsi="宋体" w:cs="宋体"/>
          <w:sz w:val="30"/>
          <w:szCs w:val="30"/>
        </w:rPr>
      </w:pPr>
      <w:r>
        <w:rPr>
          <w:rFonts w:hint="eastAsia" w:ascii="宋体" w:hAnsi="宋体" w:cs="宋体"/>
          <w:sz w:val="30"/>
          <w:szCs w:val="30"/>
        </w:rPr>
        <w:t xml:space="preserve">                                        日期：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i/>
          <w:sz w:val="28"/>
          <w:szCs w:val="28"/>
        </w:rPr>
      </w:pPr>
      <w:r>
        <w:drawing>
          <wp:inline distT="0" distB="0" distL="0" distR="0">
            <wp:extent cx="4467225" cy="7572375"/>
            <wp:effectExtent l="9525"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rot="5400000">
                      <a:off x="0" y="0"/>
                      <a:ext cx="4467225" cy="7572375"/>
                    </a:xfrm>
                    <a:prstGeom prst="rect">
                      <a:avLst/>
                    </a:prstGeom>
                    <a:noFill/>
                    <a:ln>
                      <a:noFill/>
                    </a:ln>
                  </pic:spPr>
                </pic:pic>
              </a:graphicData>
            </a:graphic>
          </wp:inline>
        </w:drawing>
      </w:r>
    </w:p>
    <w:p>
      <w:pPr>
        <w:spacing w:line="360" w:lineRule="auto"/>
      </w:pPr>
      <w:r>
        <w:drawing>
          <wp:inline distT="0" distB="0" distL="0" distR="0">
            <wp:extent cx="4543425" cy="7229475"/>
            <wp:effectExtent l="9525"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rot="5400000">
                      <a:off x="0" y="0"/>
                      <a:ext cx="4543425" cy="7229475"/>
                    </a:xfrm>
                    <a:prstGeom prst="rect">
                      <a:avLst/>
                    </a:prstGeom>
                    <a:noFill/>
                    <a:ln>
                      <a:noFill/>
                    </a:ln>
                  </pic:spPr>
                </pic:pic>
              </a:graphicData>
            </a:graphic>
          </wp:inline>
        </w:drawing>
      </w:r>
    </w:p>
    <w:sectPr>
      <w:pgSz w:w="16838" w:h="11906" w:orient="landscape"/>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长城粗隶书">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创艺简标宋">
    <w:altName w:val="微软雅黑"/>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7"/>
        <w:rFonts w:ascii="宋体" w:hAnsi="宋体"/>
        <w:sz w:val="28"/>
        <w:szCs w:val="28"/>
      </w:rPr>
    </w:pPr>
  </w:p>
  <w:p>
    <w:pPr>
      <w:pStyle w:val="50"/>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19</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7"/>
      </w:rPr>
    </w:pPr>
    <w:r>
      <w:fldChar w:fldCharType="begin"/>
    </w:r>
    <w:r>
      <w:rPr>
        <w:rStyle w:val="37"/>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7"/>
        <w:rFonts w:ascii="宋体" w:hAnsi="宋体"/>
        <w:sz w:val="28"/>
        <w:szCs w:val="28"/>
      </w:rPr>
    </w:pPr>
  </w:p>
  <w:p>
    <w:pPr>
      <w:pStyle w:val="22"/>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64</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7"/>
      </w:rPr>
    </w:pPr>
    <w:r>
      <w:fldChar w:fldCharType="begin"/>
    </w:r>
    <w:r>
      <w:rPr>
        <w:rStyle w:val="37"/>
      </w:rPr>
      <w:instrText xml:space="preserve">PAGE  </w:instrText>
    </w:r>
    <w:r>
      <w:fldChar w:fldCharType="end"/>
    </w:r>
  </w:p>
  <w:p>
    <w:pPr>
      <w:pStyle w:val="2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val="0"/>
      <w:spacing w:beforeLines="0" w:afterLines="0" w:line="360" w:lineRule="auto"/>
      <w:rPr>
        <w:rFonts w:hAnsi="宋体"/>
        <w:sz w:val="21"/>
        <w:szCs w:val="21"/>
        <w:u w:val="single"/>
      </w:rPr>
    </w:pPr>
    <w:r>
      <w:rPr>
        <w:rFonts w:hint="eastAsia" w:cs="Arial"/>
        <w:sz w:val="21"/>
        <w:szCs w:val="21"/>
        <w:u w:val="single"/>
      </w:rPr>
      <w:t xml:space="preserve">湖州市吴兴区中小学升降式课桌椅采购项目                                          </w:t>
    </w:r>
    <w:r>
      <w:rPr>
        <w:rFonts w:hint="eastAsia" w:hAnsi="宋体" w:cs="Arial"/>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val="0"/>
      <w:spacing w:beforeLines="0" w:afterLines="0" w:line="360" w:lineRule="auto"/>
      <w:rPr>
        <w:rFonts w:hAnsi="宋体"/>
        <w:sz w:val="21"/>
        <w:szCs w:val="21"/>
        <w:u w:val="single"/>
      </w:rPr>
    </w:pPr>
    <w:r>
      <w:rPr>
        <w:rFonts w:hint="eastAsia" w:cs="Arial"/>
        <w:sz w:val="21"/>
        <w:szCs w:val="21"/>
        <w:u w:val="single"/>
      </w:rPr>
      <w:t>湖州市吴兴区中小学升降式课桌椅采购项目                         招标文</w:t>
    </w:r>
    <w:r>
      <w:rPr>
        <w:rFonts w:hint="eastAsia" w:hAnsi="宋体" w:cs="Arial"/>
        <w:sz w:val="21"/>
        <w:szCs w:val="21"/>
        <w:u w:val="singl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175B"/>
    <w:multiLevelType w:val="singleLevel"/>
    <w:tmpl w:val="8CA3175B"/>
    <w:lvl w:ilvl="0" w:tentative="0">
      <w:start w:val="6"/>
      <w:numFmt w:val="decimal"/>
      <w:lvlText w:val="%1."/>
      <w:lvlJc w:val="left"/>
      <w:pPr>
        <w:tabs>
          <w:tab w:val="left" w:pos="312"/>
        </w:tabs>
      </w:pPr>
    </w:lvl>
  </w:abstractNum>
  <w:abstractNum w:abstractNumId="1">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23F271F5"/>
    <w:multiLevelType w:val="singleLevel"/>
    <w:tmpl w:val="23F271F5"/>
    <w:lvl w:ilvl="0" w:tentative="0">
      <w:start w:val="9"/>
      <w:numFmt w:val="decimal"/>
      <w:suff w:val="nothing"/>
      <w:lvlText w:val="（%1）"/>
      <w:lvlJc w:val="left"/>
    </w:lvl>
  </w:abstractNum>
  <w:abstractNum w:abstractNumId="3">
    <w:nsid w:val="39AFF656"/>
    <w:multiLevelType w:val="singleLevel"/>
    <w:tmpl w:val="39AFF656"/>
    <w:lvl w:ilvl="0" w:tentative="0">
      <w:start w:val="37"/>
      <w:numFmt w:val="decimal"/>
      <w:suff w:val="nothing"/>
      <w:lvlText w:val="%1、"/>
      <w:lvlJc w:val="left"/>
    </w:lvl>
  </w:abstractNum>
  <w:abstractNum w:abstractNumId="4">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00E216D2"/>
    <w:rsid w:val="00003DB4"/>
    <w:rsid w:val="000054CE"/>
    <w:rsid w:val="00006875"/>
    <w:rsid w:val="00007F5D"/>
    <w:rsid w:val="00015EE0"/>
    <w:rsid w:val="00016215"/>
    <w:rsid w:val="00020C09"/>
    <w:rsid w:val="00026FE3"/>
    <w:rsid w:val="0003640D"/>
    <w:rsid w:val="00037012"/>
    <w:rsid w:val="00042F41"/>
    <w:rsid w:val="00043B25"/>
    <w:rsid w:val="0005257F"/>
    <w:rsid w:val="000557D7"/>
    <w:rsid w:val="000638AD"/>
    <w:rsid w:val="000653F4"/>
    <w:rsid w:val="0007383A"/>
    <w:rsid w:val="000838D9"/>
    <w:rsid w:val="00096A14"/>
    <w:rsid w:val="000C1D6C"/>
    <w:rsid w:val="000C7B51"/>
    <w:rsid w:val="000D06C8"/>
    <w:rsid w:val="000D2B64"/>
    <w:rsid w:val="000E0B62"/>
    <w:rsid w:val="000E3D09"/>
    <w:rsid w:val="000E6032"/>
    <w:rsid w:val="000F2C2D"/>
    <w:rsid w:val="000F6B93"/>
    <w:rsid w:val="001018C4"/>
    <w:rsid w:val="00104556"/>
    <w:rsid w:val="00105F97"/>
    <w:rsid w:val="00113C02"/>
    <w:rsid w:val="0012332A"/>
    <w:rsid w:val="00123D9D"/>
    <w:rsid w:val="001426CC"/>
    <w:rsid w:val="001476E5"/>
    <w:rsid w:val="00153FF2"/>
    <w:rsid w:val="0015486A"/>
    <w:rsid w:val="001567D4"/>
    <w:rsid w:val="0016025A"/>
    <w:rsid w:val="00160BD5"/>
    <w:rsid w:val="001702B1"/>
    <w:rsid w:val="0017130C"/>
    <w:rsid w:val="0017145A"/>
    <w:rsid w:val="00183105"/>
    <w:rsid w:val="001855A1"/>
    <w:rsid w:val="00187A2F"/>
    <w:rsid w:val="00191172"/>
    <w:rsid w:val="00194D1F"/>
    <w:rsid w:val="001B0C84"/>
    <w:rsid w:val="001B21FF"/>
    <w:rsid w:val="001C0120"/>
    <w:rsid w:val="001C2796"/>
    <w:rsid w:val="001C316C"/>
    <w:rsid w:val="001C5338"/>
    <w:rsid w:val="001D5214"/>
    <w:rsid w:val="001E160A"/>
    <w:rsid w:val="001E2355"/>
    <w:rsid w:val="001E30D9"/>
    <w:rsid w:val="001E3A82"/>
    <w:rsid w:val="001F0873"/>
    <w:rsid w:val="001F4F64"/>
    <w:rsid w:val="001F6179"/>
    <w:rsid w:val="001F68F8"/>
    <w:rsid w:val="001F783D"/>
    <w:rsid w:val="0021600C"/>
    <w:rsid w:val="00225466"/>
    <w:rsid w:val="00232729"/>
    <w:rsid w:val="002420C7"/>
    <w:rsid w:val="0024624E"/>
    <w:rsid w:val="00253DD2"/>
    <w:rsid w:val="00256527"/>
    <w:rsid w:val="00262933"/>
    <w:rsid w:val="00265A96"/>
    <w:rsid w:val="00287835"/>
    <w:rsid w:val="002908E3"/>
    <w:rsid w:val="00294B8B"/>
    <w:rsid w:val="002A4134"/>
    <w:rsid w:val="002A62F1"/>
    <w:rsid w:val="002B50B7"/>
    <w:rsid w:val="002C13AE"/>
    <w:rsid w:val="002C417E"/>
    <w:rsid w:val="002C47F8"/>
    <w:rsid w:val="002C492F"/>
    <w:rsid w:val="002C715B"/>
    <w:rsid w:val="002D3B03"/>
    <w:rsid w:val="002E7EA6"/>
    <w:rsid w:val="002F154A"/>
    <w:rsid w:val="002F62AB"/>
    <w:rsid w:val="003018CC"/>
    <w:rsid w:val="003024D9"/>
    <w:rsid w:val="00311C3D"/>
    <w:rsid w:val="003179F5"/>
    <w:rsid w:val="0032642F"/>
    <w:rsid w:val="00331BE2"/>
    <w:rsid w:val="0033310C"/>
    <w:rsid w:val="003567A3"/>
    <w:rsid w:val="00356D69"/>
    <w:rsid w:val="003653FC"/>
    <w:rsid w:val="00365ABD"/>
    <w:rsid w:val="00384D62"/>
    <w:rsid w:val="0039198F"/>
    <w:rsid w:val="003960B1"/>
    <w:rsid w:val="003978FD"/>
    <w:rsid w:val="003A373E"/>
    <w:rsid w:val="003A5548"/>
    <w:rsid w:val="003D5ABD"/>
    <w:rsid w:val="003D7C3B"/>
    <w:rsid w:val="003E12C9"/>
    <w:rsid w:val="003F0BA0"/>
    <w:rsid w:val="003F3529"/>
    <w:rsid w:val="003F4BDE"/>
    <w:rsid w:val="003F52F5"/>
    <w:rsid w:val="00403057"/>
    <w:rsid w:val="00407158"/>
    <w:rsid w:val="00421A42"/>
    <w:rsid w:val="00423C81"/>
    <w:rsid w:val="0042432C"/>
    <w:rsid w:val="00433FE7"/>
    <w:rsid w:val="004403F8"/>
    <w:rsid w:val="00442004"/>
    <w:rsid w:val="00453F20"/>
    <w:rsid w:val="00463816"/>
    <w:rsid w:val="004701DD"/>
    <w:rsid w:val="00481987"/>
    <w:rsid w:val="00481DA0"/>
    <w:rsid w:val="00483CB9"/>
    <w:rsid w:val="0048599D"/>
    <w:rsid w:val="004947BB"/>
    <w:rsid w:val="004A6F84"/>
    <w:rsid w:val="004B474D"/>
    <w:rsid w:val="004C26B9"/>
    <w:rsid w:val="004C5DF4"/>
    <w:rsid w:val="004D017D"/>
    <w:rsid w:val="004E4B73"/>
    <w:rsid w:val="004E7F97"/>
    <w:rsid w:val="004F050E"/>
    <w:rsid w:val="004F35A7"/>
    <w:rsid w:val="004F4685"/>
    <w:rsid w:val="004F7094"/>
    <w:rsid w:val="004F7C2A"/>
    <w:rsid w:val="00500B89"/>
    <w:rsid w:val="00505480"/>
    <w:rsid w:val="00506F4E"/>
    <w:rsid w:val="0051160F"/>
    <w:rsid w:val="00513532"/>
    <w:rsid w:val="00514702"/>
    <w:rsid w:val="00522170"/>
    <w:rsid w:val="0052270B"/>
    <w:rsid w:val="00530800"/>
    <w:rsid w:val="00531988"/>
    <w:rsid w:val="005515E9"/>
    <w:rsid w:val="00571363"/>
    <w:rsid w:val="00586293"/>
    <w:rsid w:val="00594FA3"/>
    <w:rsid w:val="00595C36"/>
    <w:rsid w:val="005A1DB2"/>
    <w:rsid w:val="005A3100"/>
    <w:rsid w:val="005A52D9"/>
    <w:rsid w:val="005B0939"/>
    <w:rsid w:val="005B0B2F"/>
    <w:rsid w:val="005B423B"/>
    <w:rsid w:val="005C3F22"/>
    <w:rsid w:val="005C66A5"/>
    <w:rsid w:val="005D37A0"/>
    <w:rsid w:val="005D3A52"/>
    <w:rsid w:val="005D73D9"/>
    <w:rsid w:val="005E0DA0"/>
    <w:rsid w:val="005E142C"/>
    <w:rsid w:val="005E2DEC"/>
    <w:rsid w:val="005E3FD0"/>
    <w:rsid w:val="005E5401"/>
    <w:rsid w:val="005F1681"/>
    <w:rsid w:val="005F181A"/>
    <w:rsid w:val="005F27F1"/>
    <w:rsid w:val="005F295B"/>
    <w:rsid w:val="005F3FEF"/>
    <w:rsid w:val="00602B51"/>
    <w:rsid w:val="006075FF"/>
    <w:rsid w:val="00616138"/>
    <w:rsid w:val="0061765C"/>
    <w:rsid w:val="0062250A"/>
    <w:rsid w:val="00624AC4"/>
    <w:rsid w:val="00631FAB"/>
    <w:rsid w:val="00635D84"/>
    <w:rsid w:val="006412EF"/>
    <w:rsid w:val="0066690D"/>
    <w:rsid w:val="006704CB"/>
    <w:rsid w:val="00674B27"/>
    <w:rsid w:val="00676B31"/>
    <w:rsid w:val="00694E86"/>
    <w:rsid w:val="00697A09"/>
    <w:rsid w:val="006A03D1"/>
    <w:rsid w:val="006A5D6B"/>
    <w:rsid w:val="006B2D75"/>
    <w:rsid w:val="006C0F83"/>
    <w:rsid w:val="006C3C28"/>
    <w:rsid w:val="006C78D9"/>
    <w:rsid w:val="006D25B5"/>
    <w:rsid w:val="006D48E1"/>
    <w:rsid w:val="006D5E0D"/>
    <w:rsid w:val="006E0BF7"/>
    <w:rsid w:val="006E3759"/>
    <w:rsid w:val="006E5049"/>
    <w:rsid w:val="006E5746"/>
    <w:rsid w:val="006E5951"/>
    <w:rsid w:val="006F382A"/>
    <w:rsid w:val="006F76DC"/>
    <w:rsid w:val="00711446"/>
    <w:rsid w:val="00724862"/>
    <w:rsid w:val="007417F1"/>
    <w:rsid w:val="00741BDA"/>
    <w:rsid w:val="007435DF"/>
    <w:rsid w:val="00747C09"/>
    <w:rsid w:val="00760B51"/>
    <w:rsid w:val="0076588E"/>
    <w:rsid w:val="00767DB0"/>
    <w:rsid w:val="00772289"/>
    <w:rsid w:val="00786CA7"/>
    <w:rsid w:val="007913E5"/>
    <w:rsid w:val="007C17E8"/>
    <w:rsid w:val="007C62F1"/>
    <w:rsid w:val="007C7850"/>
    <w:rsid w:val="007D7BF0"/>
    <w:rsid w:val="007E2D17"/>
    <w:rsid w:val="007F0892"/>
    <w:rsid w:val="007F0BEF"/>
    <w:rsid w:val="007F27CB"/>
    <w:rsid w:val="008038D4"/>
    <w:rsid w:val="008119E5"/>
    <w:rsid w:val="00812CCB"/>
    <w:rsid w:val="00812F7C"/>
    <w:rsid w:val="008152E6"/>
    <w:rsid w:val="00825491"/>
    <w:rsid w:val="00826DCA"/>
    <w:rsid w:val="00827520"/>
    <w:rsid w:val="008430DB"/>
    <w:rsid w:val="008511BC"/>
    <w:rsid w:val="0085425C"/>
    <w:rsid w:val="00854A37"/>
    <w:rsid w:val="008660B6"/>
    <w:rsid w:val="008725B8"/>
    <w:rsid w:val="00882632"/>
    <w:rsid w:val="00892B92"/>
    <w:rsid w:val="008A1B2D"/>
    <w:rsid w:val="008A286D"/>
    <w:rsid w:val="008A3907"/>
    <w:rsid w:val="008B4D85"/>
    <w:rsid w:val="008C1B4B"/>
    <w:rsid w:val="008C7472"/>
    <w:rsid w:val="008C7670"/>
    <w:rsid w:val="008D02EF"/>
    <w:rsid w:val="008D5CDB"/>
    <w:rsid w:val="008E0091"/>
    <w:rsid w:val="008E0AFA"/>
    <w:rsid w:val="008F39F0"/>
    <w:rsid w:val="008F3FEB"/>
    <w:rsid w:val="009114FB"/>
    <w:rsid w:val="00915093"/>
    <w:rsid w:val="00921156"/>
    <w:rsid w:val="0092637E"/>
    <w:rsid w:val="00926FEF"/>
    <w:rsid w:val="00946605"/>
    <w:rsid w:val="009563C6"/>
    <w:rsid w:val="00960703"/>
    <w:rsid w:val="009731A8"/>
    <w:rsid w:val="00982149"/>
    <w:rsid w:val="00982C68"/>
    <w:rsid w:val="0098575E"/>
    <w:rsid w:val="00987D18"/>
    <w:rsid w:val="0099488D"/>
    <w:rsid w:val="00996C44"/>
    <w:rsid w:val="00996EBE"/>
    <w:rsid w:val="009A5529"/>
    <w:rsid w:val="009A57D5"/>
    <w:rsid w:val="009B1A59"/>
    <w:rsid w:val="009B51D8"/>
    <w:rsid w:val="009D4C57"/>
    <w:rsid w:val="009F3A33"/>
    <w:rsid w:val="009F76FE"/>
    <w:rsid w:val="00A05342"/>
    <w:rsid w:val="00A16048"/>
    <w:rsid w:val="00A27E8C"/>
    <w:rsid w:val="00A43FAD"/>
    <w:rsid w:val="00A5294D"/>
    <w:rsid w:val="00A73097"/>
    <w:rsid w:val="00A77487"/>
    <w:rsid w:val="00A81BF8"/>
    <w:rsid w:val="00A83463"/>
    <w:rsid w:val="00A84310"/>
    <w:rsid w:val="00A95A3E"/>
    <w:rsid w:val="00AA1588"/>
    <w:rsid w:val="00AA7652"/>
    <w:rsid w:val="00AD5AD3"/>
    <w:rsid w:val="00AD5DBF"/>
    <w:rsid w:val="00AD6F71"/>
    <w:rsid w:val="00AE12E6"/>
    <w:rsid w:val="00AE3E42"/>
    <w:rsid w:val="00AF365D"/>
    <w:rsid w:val="00AF3E19"/>
    <w:rsid w:val="00B10DC2"/>
    <w:rsid w:val="00B355ED"/>
    <w:rsid w:val="00B429D3"/>
    <w:rsid w:val="00B603AE"/>
    <w:rsid w:val="00B674E9"/>
    <w:rsid w:val="00B72605"/>
    <w:rsid w:val="00B8253D"/>
    <w:rsid w:val="00B867F5"/>
    <w:rsid w:val="00B94268"/>
    <w:rsid w:val="00B95BF9"/>
    <w:rsid w:val="00BA615A"/>
    <w:rsid w:val="00BC0727"/>
    <w:rsid w:val="00BC60B1"/>
    <w:rsid w:val="00BC6D58"/>
    <w:rsid w:val="00BD1A83"/>
    <w:rsid w:val="00BE4CCA"/>
    <w:rsid w:val="00BE6E91"/>
    <w:rsid w:val="00BF2457"/>
    <w:rsid w:val="00BF3D1E"/>
    <w:rsid w:val="00BF6B7B"/>
    <w:rsid w:val="00C02EE4"/>
    <w:rsid w:val="00C21872"/>
    <w:rsid w:val="00C22869"/>
    <w:rsid w:val="00C27749"/>
    <w:rsid w:val="00C30015"/>
    <w:rsid w:val="00C32302"/>
    <w:rsid w:val="00C32EA5"/>
    <w:rsid w:val="00C33C92"/>
    <w:rsid w:val="00C45315"/>
    <w:rsid w:val="00C47875"/>
    <w:rsid w:val="00C51053"/>
    <w:rsid w:val="00C516D0"/>
    <w:rsid w:val="00C52524"/>
    <w:rsid w:val="00C54EC7"/>
    <w:rsid w:val="00C55028"/>
    <w:rsid w:val="00C55E6A"/>
    <w:rsid w:val="00C6087D"/>
    <w:rsid w:val="00C70F49"/>
    <w:rsid w:val="00C73A23"/>
    <w:rsid w:val="00C87F05"/>
    <w:rsid w:val="00C93BAF"/>
    <w:rsid w:val="00C9419F"/>
    <w:rsid w:val="00C943DA"/>
    <w:rsid w:val="00CC210E"/>
    <w:rsid w:val="00CC3B92"/>
    <w:rsid w:val="00CC5295"/>
    <w:rsid w:val="00CF2C1E"/>
    <w:rsid w:val="00CF54BC"/>
    <w:rsid w:val="00CF5AD4"/>
    <w:rsid w:val="00CF6492"/>
    <w:rsid w:val="00CF6DF4"/>
    <w:rsid w:val="00D123D5"/>
    <w:rsid w:val="00D12D8E"/>
    <w:rsid w:val="00D25711"/>
    <w:rsid w:val="00D26005"/>
    <w:rsid w:val="00D3313A"/>
    <w:rsid w:val="00D40438"/>
    <w:rsid w:val="00D450C8"/>
    <w:rsid w:val="00D51CFA"/>
    <w:rsid w:val="00D52F74"/>
    <w:rsid w:val="00D53692"/>
    <w:rsid w:val="00D752F5"/>
    <w:rsid w:val="00D82CDC"/>
    <w:rsid w:val="00D96037"/>
    <w:rsid w:val="00DA5ED4"/>
    <w:rsid w:val="00DB4168"/>
    <w:rsid w:val="00DC3E6D"/>
    <w:rsid w:val="00DD0C21"/>
    <w:rsid w:val="00DD378E"/>
    <w:rsid w:val="00DE12DF"/>
    <w:rsid w:val="00DE6F2B"/>
    <w:rsid w:val="00DF179B"/>
    <w:rsid w:val="00DF3F4C"/>
    <w:rsid w:val="00DF5593"/>
    <w:rsid w:val="00E0069B"/>
    <w:rsid w:val="00E02913"/>
    <w:rsid w:val="00E066AD"/>
    <w:rsid w:val="00E07136"/>
    <w:rsid w:val="00E103D6"/>
    <w:rsid w:val="00E121CE"/>
    <w:rsid w:val="00E15AFE"/>
    <w:rsid w:val="00E216D2"/>
    <w:rsid w:val="00E22911"/>
    <w:rsid w:val="00E23F77"/>
    <w:rsid w:val="00E33016"/>
    <w:rsid w:val="00E331D9"/>
    <w:rsid w:val="00E333D3"/>
    <w:rsid w:val="00E33567"/>
    <w:rsid w:val="00E335C7"/>
    <w:rsid w:val="00E34591"/>
    <w:rsid w:val="00E3786A"/>
    <w:rsid w:val="00E4589B"/>
    <w:rsid w:val="00E474C4"/>
    <w:rsid w:val="00E52520"/>
    <w:rsid w:val="00E525B2"/>
    <w:rsid w:val="00E60145"/>
    <w:rsid w:val="00E7087D"/>
    <w:rsid w:val="00E727E0"/>
    <w:rsid w:val="00E766C5"/>
    <w:rsid w:val="00E80B9C"/>
    <w:rsid w:val="00E80D20"/>
    <w:rsid w:val="00E91E0A"/>
    <w:rsid w:val="00EA4924"/>
    <w:rsid w:val="00EA7EBD"/>
    <w:rsid w:val="00EB03DD"/>
    <w:rsid w:val="00EC0727"/>
    <w:rsid w:val="00EC5723"/>
    <w:rsid w:val="00EC7A1B"/>
    <w:rsid w:val="00ED15A2"/>
    <w:rsid w:val="00ED2A0B"/>
    <w:rsid w:val="00ED615F"/>
    <w:rsid w:val="00EE7505"/>
    <w:rsid w:val="00EF2C7F"/>
    <w:rsid w:val="00EF5275"/>
    <w:rsid w:val="00EF6893"/>
    <w:rsid w:val="00F1281D"/>
    <w:rsid w:val="00F14113"/>
    <w:rsid w:val="00F211DF"/>
    <w:rsid w:val="00F21AC3"/>
    <w:rsid w:val="00F30652"/>
    <w:rsid w:val="00F32C1A"/>
    <w:rsid w:val="00F33EB8"/>
    <w:rsid w:val="00F36780"/>
    <w:rsid w:val="00F37BF1"/>
    <w:rsid w:val="00F416CA"/>
    <w:rsid w:val="00F62C40"/>
    <w:rsid w:val="00F703E5"/>
    <w:rsid w:val="00F75710"/>
    <w:rsid w:val="00F763B6"/>
    <w:rsid w:val="00F94165"/>
    <w:rsid w:val="00F95A61"/>
    <w:rsid w:val="00FC2942"/>
    <w:rsid w:val="00FC404B"/>
    <w:rsid w:val="00FC672D"/>
    <w:rsid w:val="00FC6A98"/>
    <w:rsid w:val="00FE2EF8"/>
    <w:rsid w:val="016D19EC"/>
    <w:rsid w:val="021533E7"/>
    <w:rsid w:val="0224187C"/>
    <w:rsid w:val="022C0227"/>
    <w:rsid w:val="02380E83"/>
    <w:rsid w:val="02D04510"/>
    <w:rsid w:val="0593722F"/>
    <w:rsid w:val="06081927"/>
    <w:rsid w:val="089A5583"/>
    <w:rsid w:val="096939B2"/>
    <w:rsid w:val="0A613428"/>
    <w:rsid w:val="0A9F717D"/>
    <w:rsid w:val="0BE62FA6"/>
    <w:rsid w:val="0C0B7F2B"/>
    <w:rsid w:val="0D375B3C"/>
    <w:rsid w:val="0D8A33CB"/>
    <w:rsid w:val="0DD85D82"/>
    <w:rsid w:val="0F7D25CB"/>
    <w:rsid w:val="11360C84"/>
    <w:rsid w:val="12C30A10"/>
    <w:rsid w:val="12CA75BB"/>
    <w:rsid w:val="13066731"/>
    <w:rsid w:val="131C20FB"/>
    <w:rsid w:val="16AC3085"/>
    <w:rsid w:val="16FF3FC3"/>
    <w:rsid w:val="18067837"/>
    <w:rsid w:val="19647905"/>
    <w:rsid w:val="1A6C660A"/>
    <w:rsid w:val="1B1C70FB"/>
    <w:rsid w:val="1B791E45"/>
    <w:rsid w:val="1DBC62BE"/>
    <w:rsid w:val="1ECE074D"/>
    <w:rsid w:val="1EFF71ED"/>
    <w:rsid w:val="1F1E6A80"/>
    <w:rsid w:val="1F444AA3"/>
    <w:rsid w:val="1F5960F0"/>
    <w:rsid w:val="1F923E71"/>
    <w:rsid w:val="1FA3607E"/>
    <w:rsid w:val="1FC87893"/>
    <w:rsid w:val="1FE875CB"/>
    <w:rsid w:val="204F3608"/>
    <w:rsid w:val="21991E43"/>
    <w:rsid w:val="21EC6A02"/>
    <w:rsid w:val="22F132C7"/>
    <w:rsid w:val="230E5458"/>
    <w:rsid w:val="259B2D08"/>
    <w:rsid w:val="27AC6415"/>
    <w:rsid w:val="28AC6119"/>
    <w:rsid w:val="28FF67FA"/>
    <w:rsid w:val="298805BC"/>
    <w:rsid w:val="29D60DFE"/>
    <w:rsid w:val="29DE7921"/>
    <w:rsid w:val="2AB51E3C"/>
    <w:rsid w:val="2AE928C2"/>
    <w:rsid w:val="2B9351F9"/>
    <w:rsid w:val="2C74733E"/>
    <w:rsid w:val="2CBB5258"/>
    <w:rsid w:val="2D8D569D"/>
    <w:rsid w:val="2DC0339E"/>
    <w:rsid w:val="2EA046D5"/>
    <w:rsid w:val="2F6915FF"/>
    <w:rsid w:val="2FBB77BF"/>
    <w:rsid w:val="2FDE1236"/>
    <w:rsid w:val="303F594F"/>
    <w:rsid w:val="305E4463"/>
    <w:rsid w:val="31332A1E"/>
    <w:rsid w:val="3175242D"/>
    <w:rsid w:val="318555E4"/>
    <w:rsid w:val="31F02DD5"/>
    <w:rsid w:val="3244401F"/>
    <w:rsid w:val="32AE7142"/>
    <w:rsid w:val="35386E11"/>
    <w:rsid w:val="353E2BBC"/>
    <w:rsid w:val="35986C99"/>
    <w:rsid w:val="35A63B43"/>
    <w:rsid w:val="3657378D"/>
    <w:rsid w:val="36DD2E97"/>
    <w:rsid w:val="377D66C8"/>
    <w:rsid w:val="382A2230"/>
    <w:rsid w:val="384241E9"/>
    <w:rsid w:val="3AE5730C"/>
    <w:rsid w:val="3AFB51FF"/>
    <w:rsid w:val="3B354E78"/>
    <w:rsid w:val="3BED6985"/>
    <w:rsid w:val="3C3976F6"/>
    <w:rsid w:val="3C5D3593"/>
    <w:rsid w:val="3D4D1558"/>
    <w:rsid w:val="3E6C0B47"/>
    <w:rsid w:val="3EC935E4"/>
    <w:rsid w:val="3EE2221C"/>
    <w:rsid w:val="3F155876"/>
    <w:rsid w:val="402442F5"/>
    <w:rsid w:val="410B7187"/>
    <w:rsid w:val="417C47B6"/>
    <w:rsid w:val="424B486E"/>
    <w:rsid w:val="44511C84"/>
    <w:rsid w:val="449515A0"/>
    <w:rsid w:val="45187D8B"/>
    <w:rsid w:val="453E1BA6"/>
    <w:rsid w:val="46F74CD8"/>
    <w:rsid w:val="491C277B"/>
    <w:rsid w:val="49A25C2B"/>
    <w:rsid w:val="49AA20C0"/>
    <w:rsid w:val="4B3A7B6A"/>
    <w:rsid w:val="4CEE0089"/>
    <w:rsid w:val="4D3D6C05"/>
    <w:rsid w:val="4D55429F"/>
    <w:rsid w:val="4D826A23"/>
    <w:rsid w:val="4E5C54C6"/>
    <w:rsid w:val="4EEB547B"/>
    <w:rsid w:val="4F060C78"/>
    <w:rsid w:val="4F7B2A3B"/>
    <w:rsid w:val="4FB0014A"/>
    <w:rsid w:val="4FDA46FB"/>
    <w:rsid w:val="500B3F42"/>
    <w:rsid w:val="50CC248F"/>
    <w:rsid w:val="5186674D"/>
    <w:rsid w:val="531D4F96"/>
    <w:rsid w:val="535B4061"/>
    <w:rsid w:val="558E5D68"/>
    <w:rsid w:val="55EA1D8B"/>
    <w:rsid w:val="58502ABA"/>
    <w:rsid w:val="58DA4B30"/>
    <w:rsid w:val="599A5C9D"/>
    <w:rsid w:val="59CF2E66"/>
    <w:rsid w:val="5A177392"/>
    <w:rsid w:val="5AD32765"/>
    <w:rsid w:val="5B6245B1"/>
    <w:rsid w:val="5D6A6CD1"/>
    <w:rsid w:val="5E257683"/>
    <w:rsid w:val="5E435D5B"/>
    <w:rsid w:val="5F530220"/>
    <w:rsid w:val="5F7D704B"/>
    <w:rsid w:val="5FBE7D8F"/>
    <w:rsid w:val="61F93300"/>
    <w:rsid w:val="62A45EB6"/>
    <w:rsid w:val="63EA5349"/>
    <w:rsid w:val="63FA510E"/>
    <w:rsid w:val="66247E7D"/>
    <w:rsid w:val="66A53A75"/>
    <w:rsid w:val="66D439BA"/>
    <w:rsid w:val="66EF4CD2"/>
    <w:rsid w:val="66F51102"/>
    <w:rsid w:val="673D3C8F"/>
    <w:rsid w:val="683A5F02"/>
    <w:rsid w:val="6C6611A8"/>
    <w:rsid w:val="6CD244C3"/>
    <w:rsid w:val="6CEB2C42"/>
    <w:rsid w:val="6D55144C"/>
    <w:rsid w:val="6D6369CC"/>
    <w:rsid w:val="6D731CF4"/>
    <w:rsid w:val="6DB93902"/>
    <w:rsid w:val="6E04220E"/>
    <w:rsid w:val="6EC01A90"/>
    <w:rsid w:val="6F4141C7"/>
    <w:rsid w:val="6F866FD6"/>
    <w:rsid w:val="6FCF279B"/>
    <w:rsid w:val="712E1E5A"/>
    <w:rsid w:val="716A2B09"/>
    <w:rsid w:val="723D4B43"/>
    <w:rsid w:val="732B47E1"/>
    <w:rsid w:val="767501D9"/>
    <w:rsid w:val="77700A86"/>
    <w:rsid w:val="789E0B94"/>
    <w:rsid w:val="78A11538"/>
    <w:rsid w:val="795E3E9C"/>
    <w:rsid w:val="7C321FB6"/>
    <w:rsid w:val="7C6333F8"/>
    <w:rsid w:val="7D3D4EC3"/>
    <w:rsid w:val="7DD87E16"/>
    <w:rsid w:val="7E443393"/>
    <w:rsid w:val="7ED35778"/>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3">
    <w:name w:val="heading 2"/>
    <w:basedOn w:val="1"/>
    <w:next w:val="1"/>
    <w:link w:val="66"/>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Cambria" w:hAnsi="Cambria"/>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link w:val="70"/>
    <w:qFormat/>
    <w:uiPriority w:val="0"/>
    <w:pPr>
      <w:jc w:val="center"/>
    </w:pPr>
    <w:rPr>
      <w:rFonts w:ascii="time new roman" w:hAnsi="time new roman" w:eastAsia="长城粗隶书"/>
    </w:rPr>
  </w:style>
  <w:style w:type="paragraph" w:styleId="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8">
    <w:name w:val="Normal Indent"/>
    <w:basedOn w:val="1"/>
    <w:link w:val="7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72"/>
    <w:qFormat/>
    <w:uiPriority w:val="0"/>
    <w:pPr>
      <w:shd w:val="clear" w:color="auto" w:fill="000080"/>
    </w:pPr>
  </w:style>
  <w:style w:type="paragraph" w:styleId="11">
    <w:name w:val="annotation text"/>
    <w:basedOn w:val="1"/>
    <w:link w:val="73"/>
    <w:qFormat/>
    <w:uiPriority w:val="0"/>
    <w:pPr>
      <w:jc w:val="left"/>
    </w:pPr>
  </w:style>
  <w:style w:type="paragraph" w:styleId="12">
    <w:name w:val="Body Text 3"/>
    <w:basedOn w:val="1"/>
    <w:link w:val="74"/>
    <w:qFormat/>
    <w:uiPriority w:val="0"/>
    <w:pPr>
      <w:snapToGrid w:val="0"/>
      <w:spacing w:before="50" w:after="50"/>
    </w:pPr>
    <w:rPr>
      <w:rFonts w:hAnsi="宋体" w:eastAsia="仿宋_GB2312"/>
      <w:b/>
      <w:bCs/>
      <w:sz w:val="24"/>
      <w:szCs w:val="20"/>
    </w:rPr>
  </w:style>
  <w:style w:type="paragraph" w:styleId="13">
    <w:name w:val="Body Text"/>
    <w:basedOn w:val="1"/>
    <w:link w:val="69"/>
    <w:qFormat/>
    <w:uiPriority w:val="0"/>
    <w:pPr>
      <w:spacing w:after="120"/>
    </w:pPr>
    <w:rPr>
      <w:sz w:val="28"/>
    </w:rPr>
  </w:style>
  <w:style w:type="paragraph" w:styleId="14">
    <w:name w:val="Body Text Indent"/>
    <w:basedOn w:val="1"/>
    <w:link w:val="75"/>
    <w:qFormat/>
    <w:uiPriority w:val="0"/>
    <w:pPr>
      <w:spacing w:line="200" w:lineRule="exact"/>
      <w:ind w:firstLine="301"/>
    </w:pPr>
    <w:rPr>
      <w:rFonts w:ascii="宋体" w:hAnsi="Courier New"/>
      <w:spacing w:val="-4"/>
      <w:sz w:val="18"/>
      <w:szCs w:val="20"/>
    </w:rPr>
  </w:style>
  <w:style w:type="paragraph" w:styleId="15">
    <w:name w:val="List Number 3"/>
    <w:basedOn w:val="1"/>
    <w:qFormat/>
    <w:uiPriority w:val="0"/>
    <w:pPr>
      <w:tabs>
        <w:tab w:val="left" w:pos="1200"/>
      </w:tabs>
      <w:ind w:left="1200" w:hanging="360"/>
    </w:pPr>
  </w:style>
  <w:style w:type="paragraph" w:styleId="16">
    <w:name w:val="List 2"/>
    <w:basedOn w:val="1"/>
    <w:qFormat/>
    <w:uiPriority w:val="0"/>
    <w:pPr>
      <w:ind w:left="100" w:leftChars="200" w:hanging="200" w:hangingChars="200"/>
    </w:pPr>
    <w:rPr>
      <w:sz w:val="28"/>
    </w:rPr>
  </w:style>
  <w:style w:type="paragraph" w:styleId="17">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18">
    <w:name w:val="Plain Text"/>
    <w:basedOn w:val="1"/>
    <w:link w:val="77"/>
    <w:qFormat/>
    <w:uiPriority w:val="0"/>
    <w:pPr>
      <w:spacing w:beforeLines="50" w:afterLines="50" w:line="400" w:lineRule="exact"/>
    </w:pPr>
    <w:rPr>
      <w:rFonts w:ascii="宋体" w:hAnsi="Courier New"/>
      <w:sz w:val="24"/>
    </w:rPr>
  </w:style>
  <w:style w:type="paragraph" w:styleId="19">
    <w:name w:val="Date"/>
    <w:basedOn w:val="1"/>
    <w:next w:val="1"/>
    <w:link w:val="78"/>
    <w:qFormat/>
    <w:uiPriority w:val="0"/>
    <w:pPr>
      <w:ind w:left="2500" w:leftChars="2500"/>
    </w:pPr>
    <w:rPr>
      <w:rFonts w:eastAsia="楷体_GB2312"/>
      <w:sz w:val="32"/>
      <w:szCs w:val="20"/>
    </w:rPr>
  </w:style>
  <w:style w:type="paragraph" w:styleId="20">
    <w:name w:val="Body Text Indent 2"/>
    <w:basedOn w:val="1"/>
    <w:link w:val="79"/>
    <w:qFormat/>
    <w:uiPriority w:val="0"/>
    <w:pPr>
      <w:snapToGrid w:val="0"/>
      <w:ind w:firstLine="542" w:firstLineChars="225"/>
    </w:pPr>
    <w:rPr>
      <w:rFonts w:ascii="仿宋_GB2312" w:hAnsi="宋体" w:cs="Arial"/>
      <w:b/>
      <w:bCs/>
      <w:color w:val="000000"/>
      <w:sz w:val="24"/>
    </w:rPr>
  </w:style>
  <w:style w:type="paragraph" w:styleId="21">
    <w:name w:val="Balloon Text"/>
    <w:basedOn w:val="1"/>
    <w:link w:val="80"/>
    <w:qFormat/>
    <w:uiPriority w:val="0"/>
    <w:rPr>
      <w:rFonts w:ascii="time new roman" w:hAnsi="time new roman" w:eastAsia="长城粗隶书" w:cs="Courier New"/>
      <w:sz w:val="18"/>
      <w:szCs w:val="18"/>
    </w:rPr>
  </w:style>
  <w:style w:type="paragraph" w:styleId="22">
    <w:name w:val="footer"/>
    <w:basedOn w:val="1"/>
    <w:link w:val="64"/>
    <w:unhideWhenUsed/>
    <w:qFormat/>
    <w:uiPriority w:val="99"/>
    <w:pPr>
      <w:tabs>
        <w:tab w:val="center" w:pos="4153"/>
        <w:tab w:val="right" w:pos="8306"/>
      </w:tabs>
      <w:snapToGrid w:val="0"/>
      <w:jc w:val="left"/>
    </w:pPr>
    <w:rPr>
      <w:sz w:val="18"/>
      <w:szCs w:val="18"/>
    </w:rPr>
  </w:style>
  <w:style w:type="paragraph" w:styleId="23">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rPr>
      <w:sz w:val="28"/>
    </w:rPr>
  </w:style>
  <w:style w:type="paragraph" w:styleId="26">
    <w:name w:val="Body Text Indent 3"/>
    <w:basedOn w:val="1"/>
    <w:link w:val="81"/>
    <w:qFormat/>
    <w:uiPriority w:val="0"/>
    <w:pPr>
      <w:snapToGrid w:val="0"/>
      <w:ind w:firstLine="480" w:firstLineChars="200"/>
      <w:jc w:val="left"/>
    </w:pPr>
    <w:rPr>
      <w:rFonts w:ascii="仿宋_GB2312" w:hAnsi="宋体" w:eastAsia="仿宋_GB2312"/>
      <w:color w:val="000000"/>
      <w:sz w:val="24"/>
    </w:rPr>
  </w:style>
  <w:style w:type="paragraph" w:styleId="27">
    <w:name w:val="index 7"/>
    <w:basedOn w:val="1"/>
    <w:next w:val="1"/>
    <w:qFormat/>
    <w:uiPriority w:val="0"/>
    <w:pPr>
      <w:ind w:left="1200" w:leftChars="1200"/>
    </w:pPr>
  </w:style>
  <w:style w:type="paragraph" w:styleId="28">
    <w:name w:val="Body Text 2"/>
    <w:basedOn w:val="1"/>
    <w:link w:val="82"/>
    <w:qFormat/>
    <w:uiPriority w:val="0"/>
    <w:pPr>
      <w:widowControl/>
      <w:snapToGrid w:val="0"/>
      <w:spacing w:before="50" w:afterLines="50" w:line="400" w:lineRule="exact"/>
      <w:jc w:val="left"/>
    </w:pPr>
    <w:rPr>
      <w:rFonts w:ascii="宋体" w:hAnsi="宋体"/>
      <w:color w:val="000000"/>
      <w:sz w:val="24"/>
    </w:rPr>
  </w:style>
  <w:style w:type="paragraph" w:styleId="29">
    <w:name w:val="Normal (Web)"/>
    <w:basedOn w:val="1"/>
    <w:qFormat/>
    <w:uiPriority w:val="0"/>
    <w:pPr>
      <w:widowControl/>
      <w:spacing w:line="300" w:lineRule="atLeast"/>
      <w:jc w:val="left"/>
    </w:pPr>
    <w:rPr>
      <w:rFonts w:ascii="宋体" w:hAnsi="宋体" w:cs="宋体"/>
      <w:kern w:val="0"/>
      <w:sz w:val="24"/>
    </w:rPr>
  </w:style>
  <w:style w:type="paragraph" w:styleId="30">
    <w:name w:val="Title"/>
    <w:basedOn w:val="1"/>
    <w:next w:val="1"/>
    <w:link w:val="83"/>
    <w:qFormat/>
    <w:uiPriority w:val="0"/>
    <w:pPr>
      <w:spacing w:before="240" w:after="60" w:line="480" w:lineRule="exact"/>
      <w:jc w:val="center"/>
      <w:outlineLvl w:val="0"/>
    </w:pPr>
    <w:rPr>
      <w:rFonts w:ascii="Cambria" w:hAnsi="Cambria"/>
      <w:b/>
      <w:bCs/>
      <w:sz w:val="32"/>
      <w:szCs w:val="32"/>
    </w:rPr>
  </w:style>
  <w:style w:type="paragraph" w:styleId="31">
    <w:name w:val="annotation subject"/>
    <w:basedOn w:val="11"/>
    <w:next w:val="11"/>
    <w:link w:val="84"/>
    <w:qFormat/>
    <w:uiPriority w:val="0"/>
    <w:rPr>
      <w:b/>
      <w:bCs/>
    </w:rPr>
  </w:style>
  <w:style w:type="paragraph" w:styleId="32">
    <w:name w:val="Body Text First Indent"/>
    <w:basedOn w:val="13"/>
    <w:link w:val="85"/>
    <w:qFormat/>
    <w:uiPriority w:val="0"/>
    <w:pPr>
      <w:spacing w:line="390" w:lineRule="atLeast"/>
      <w:ind w:firstLine="420" w:firstLineChars="100"/>
    </w:pPr>
    <w:rPr>
      <w:rFonts w:ascii="Calibri" w:hAnsi="Calibri"/>
    </w:rPr>
  </w:style>
  <w:style w:type="table" w:styleId="34">
    <w:name w:val="Table Grid"/>
    <w:basedOn w:val="3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basedOn w:val="35"/>
    <w:qFormat/>
    <w:uiPriority w:val="20"/>
    <w:rPr>
      <w:i/>
      <w:iCs/>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Default"/>
    <w:next w:val="43"/>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3">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
    <w:name w:val="列出段落1"/>
    <w:basedOn w:val="1"/>
    <w:link w:val="95"/>
    <w:qFormat/>
    <w:uiPriority w:val="34"/>
    <w:pPr>
      <w:ind w:firstLine="420" w:firstLineChars="200"/>
    </w:pPr>
    <w:rPr>
      <w:rFonts w:ascii="Calibri" w:hAnsi="Calibri" w:cs="黑体"/>
      <w:szCs w:val="22"/>
    </w:rPr>
  </w:style>
  <w:style w:type="paragraph" w:customStyle="1" w:styleId="45">
    <w:name w:val="正文2"/>
    <w:basedOn w:val="1"/>
    <w:qFormat/>
    <w:uiPriority w:val="0"/>
    <w:pPr>
      <w:spacing w:before="156" w:line="360" w:lineRule="auto"/>
      <w:ind w:firstLine="510" w:firstLineChars="200"/>
    </w:pPr>
    <w:rPr>
      <w:sz w:val="24"/>
      <w:szCs w:val="20"/>
    </w:rPr>
  </w:style>
  <w:style w:type="paragraph" w:customStyle="1" w:styleId="4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7">
    <w:name w:val="正文段"/>
    <w:basedOn w:val="1"/>
    <w:qFormat/>
    <w:uiPriority w:val="0"/>
    <w:pPr>
      <w:widowControl/>
      <w:snapToGrid w:val="0"/>
      <w:spacing w:afterLines="50"/>
      <w:ind w:firstLine="200" w:firstLineChars="200"/>
    </w:pPr>
    <w:rPr>
      <w:kern w:val="0"/>
      <w:sz w:val="24"/>
      <w:szCs w:val="20"/>
    </w:rPr>
  </w:style>
  <w:style w:type="paragraph" w:customStyle="1" w:styleId="48">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0">
    <w:name w:val="Char"/>
    <w:basedOn w:val="1"/>
    <w:qFormat/>
    <w:uiPriority w:val="0"/>
    <w:pPr>
      <w:ind w:firstLine="640" w:firstLineChars="200"/>
    </w:pPr>
    <w:rPr>
      <w:rFonts w:ascii="宋体" w:hAnsi="宋体" w:cs="宋体"/>
      <w:color w:val="000000"/>
      <w:kern w:val="0"/>
      <w:szCs w:val="21"/>
    </w:rPr>
  </w:style>
  <w:style w:type="paragraph" w:customStyle="1" w:styleId="5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paragraph" w:customStyle="1" w:styleId="5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p0"/>
    <w:next w:val="27"/>
    <w:qFormat/>
    <w:uiPriority w:val="0"/>
    <w:pPr>
      <w:snapToGrid w:val="0"/>
    </w:pPr>
    <w:rPr>
      <w:rFonts w:ascii="Times New Roman" w:hAnsi="Times New Roman" w:eastAsia="宋体" w:cs="Times New Roman"/>
      <w:sz w:val="21"/>
      <w:szCs w:val="21"/>
      <w:lang w:val="en-US" w:eastAsia="zh-CN" w:bidi="ar-SA"/>
    </w:rPr>
  </w:style>
  <w:style w:type="paragraph" w:customStyle="1" w:styleId="5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57">
    <w:name w:val="Char2"/>
    <w:basedOn w:val="10"/>
    <w:next w:val="1"/>
    <w:qFormat/>
    <w:uiPriority w:val="0"/>
    <w:rPr>
      <w:rFonts w:ascii="宋体" w:hAnsi="宋体"/>
    </w:rPr>
  </w:style>
  <w:style w:type="paragraph" w:customStyle="1" w:styleId="58">
    <w:name w:val="Char Char Char"/>
    <w:basedOn w:val="10"/>
    <w:qFormat/>
    <w:uiPriority w:val="0"/>
    <w:rPr>
      <w:rFonts w:ascii="Tahoma" w:hAnsi="Tahoma"/>
      <w:sz w:val="24"/>
    </w:r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Char1"/>
    <w:basedOn w:val="1"/>
    <w:qFormat/>
    <w:uiPriority w:val="0"/>
    <w:rPr>
      <w:rFonts w:ascii="Tahoma" w:hAnsi="Tahoma"/>
      <w:sz w:val="24"/>
    </w:rPr>
  </w:style>
  <w:style w:type="paragraph" w:customStyle="1" w:styleId="61">
    <w:name w:val="正文文字"/>
    <w:basedOn w:val="1"/>
    <w:qFormat/>
    <w:uiPriority w:val="0"/>
    <w:pPr>
      <w:spacing w:line="360" w:lineRule="auto"/>
      <w:ind w:firstLine="420"/>
    </w:pPr>
    <w:rPr>
      <w:sz w:val="24"/>
    </w:rPr>
  </w:style>
  <w:style w:type="paragraph" w:customStyle="1" w:styleId="6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63">
    <w:name w:val="页眉 Char"/>
    <w:basedOn w:val="35"/>
    <w:link w:val="23"/>
    <w:qFormat/>
    <w:uiPriority w:val="99"/>
    <w:rPr>
      <w:sz w:val="18"/>
      <w:szCs w:val="18"/>
    </w:rPr>
  </w:style>
  <w:style w:type="character" w:customStyle="1" w:styleId="64">
    <w:name w:val="页脚 Char"/>
    <w:basedOn w:val="35"/>
    <w:link w:val="22"/>
    <w:semiHidden/>
    <w:qFormat/>
    <w:uiPriority w:val="99"/>
    <w:rPr>
      <w:sz w:val="18"/>
      <w:szCs w:val="18"/>
    </w:rPr>
  </w:style>
  <w:style w:type="character" w:customStyle="1" w:styleId="65">
    <w:name w:val="标题 1 Char"/>
    <w:basedOn w:val="35"/>
    <w:link w:val="2"/>
    <w:qFormat/>
    <w:uiPriority w:val="0"/>
    <w:rPr>
      <w:rFonts w:ascii="time new roman" w:hAnsi="time new roman" w:eastAsia="长城粗隶书" w:cs="Courier New"/>
      <w:b/>
      <w:bCs/>
      <w:kern w:val="44"/>
      <w:sz w:val="44"/>
      <w:szCs w:val="44"/>
    </w:rPr>
  </w:style>
  <w:style w:type="character" w:customStyle="1" w:styleId="66">
    <w:name w:val="标题 2 Char"/>
    <w:basedOn w:val="35"/>
    <w:link w:val="3"/>
    <w:qFormat/>
    <w:uiPriority w:val="9"/>
    <w:rPr>
      <w:rFonts w:ascii="Arial" w:hAnsi="Arial" w:eastAsia="黑体" w:cs="Times New Roman"/>
      <w:b/>
      <w:bCs/>
      <w:sz w:val="32"/>
      <w:szCs w:val="32"/>
    </w:rPr>
  </w:style>
  <w:style w:type="character" w:customStyle="1" w:styleId="67">
    <w:name w:val="标题 3 Char"/>
    <w:basedOn w:val="35"/>
    <w:link w:val="4"/>
    <w:qFormat/>
    <w:uiPriority w:val="0"/>
    <w:rPr>
      <w:rFonts w:ascii="Times New Roman" w:hAnsi="Times New Roman" w:eastAsia="宋体" w:cs="Times New Roman"/>
      <w:b/>
      <w:bCs/>
      <w:sz w:val="32"/>
      <w:szCs w:val="32"/>
    </w:rPr>
  </w:style>
  <w:style w:type="character" w:customStyle="1" w:styleId="68">
    <w:name w:val="标题 4 Char"/>
    <w:basedOn w:val="35"/>
    <w:link w:val="5"/>
    <w:qFormat/>
    <w:uiPriority w:val="0"/>
    <w:rPr>
      <w:rFonts w:ascii="Cambria" w:hAnsi="Cambria" w:eastAsia="宋体" w:cs="Times New Roman"/>
      <w:b/>
      <w:bCs/>
      <w:sz w:val="28"/>
      <w:szCs w:val="28"/>
    </w:rPr>
  </w:style>
  <w:style w:type="character" w:customStyle="1" w:styleId="69">
    <w:name w:val="正文文本 Char"/>
    <w:basedOn w:val="35"/>
    <w:link w:val="13"/>
    <w:qFormat/>
    <w:uiPriority w:val="0"/>
    <w:rPr>
      <w:rFonts w:ascii="Times New Roman" w:hAnsi="Times New Roman" w:eastAsia="宋体" w:cs="Times New Roman"/>
      <w:sz w:val="28"/>
      <w:szCs w:val="24"/>
    </w:rPr>
  </w:style>
  <w:style w:type="character" w:customStyle="1" w:styleId="70">
    <w:name w:val="注释标题 Char"/>
    <w:basedOn w:val="35"/>
    <w:link w:val="6"/>
    <w:qFormat/>
    <w:uiPriority w:val="0"/>
    <w:rPr>
      <w:rFonts w:ascii="time new roman" w:hAnsi="time new roman" w:eastAsia="长城粗隶书" w:cs="Times New Roman"/>
      <w:szCs w:val="24"/>
    </w:rPr>
  </w:style>
  <w:style w:type="character" w:customStyle="1" w:styleId="71">
    <w:name w:val="正文缩进 Char"/>
    <w:link w:val="8"/>
    <w:qFormat/>
    <w:uiPriority w:val="0"/>
    <w:rPr>
      <w:rFonts w:ascii="Times New Roman" w:hAnsi="Times New Roman" w:eastAsia="宋体" w:cs="Times New Roman"/>
      <w:szCs w:val="20"/>
    </w:rPr>
  </w:style>
  <w:style w:type="character" w:customStyle="1" w:styleId="72">
    <w:name w:val="文档结构图 Char"/>
    <w:basedOn w:val="35"/>
    <w:link w:val="10"/>
    <w:qFormat/>
    <w:uiPriority w:val="0"/>
    <w:rPr>
      <w:rFonts w:ascii="Times New Roman" w:hAnsi="Times New Roman" w:eastAsia="宋体" w:cs="Times New Roman"/>
      <w:szCs w:val="24"/>
      <w:shd w:val="clear" w:color="auto" w:fill="000080"/>
    </w:rPr>
  </w:style>
  <w:style w:type="character" w:customStyle="1" w:styleId="73">
    <w:name w:val="批注文字 Char"/>
    <w:basedOn w:val="35"/>
    <w:link w:val="11"/>
    <w:qFormat/>
    <w:uiPriority w:val="0"/>
    <w:rPr>
      <w:rFonts w:ascii="Times New Roman" w:hAnsi="Times New Roman" w:eastAsia="宋体" w:cs="Times New Roman"/>
      <w:szCs w:val="24"/>
    </w:rPr>
  </w:style>
  <w:style w:type="character" w:customStyle="1" w:styleId="74">
    <w:name w:val="正文文本 3 Char"/>
    <w:basedOn w:val="35"/>
    <w:link w:val="12"/>
    <w:qFormat/>
    <w:uiPriority w:val="0"/>
    <w:rPr>
      <w:rFonts w:ascii="Times New Roman" w:hAnsi="宋体" w:eastAsia="仿宋_GB2312" w:cs="Times New Roman"/>
      <w:b/>
      <w:bCs/>
      <w:sz w:val="24"/>
      <w:szCs w:val="20"/>
    </w:rPr>
  </w:style>
  <w:style w:type="character" w:customStyle="1" w:styleId="75">
    <w:name w:val="正文文本缩进 Char"/>
    <w:basedOn w:val="35"/>
    <w:link w:val="14"/>
    <w:qFormat/>
    <w:uiPriority w:val="0"/>
    <w:rPr>
      <w:rFonts w:ascii="宋体" w:hAnsi="Courier New" w:eastAsia="宋体" w:cs="Times New Roman"/>
      <w:spacing w:val="-4"/>
      <w:sz w:val="18"/>
      <w:szCs w:val="20"/>
    </w:rPr>
  </w:style>
  <w:style w:type="character" w:customStyle="1" w:styleId="76">
    <w:name w:val="纯文本 Char"/>
    <w:basedOn w:val="35"/>
    <w:qFormat/>
    <w:uiPriority w:val="0"/>
    <w:rPr>
      <w:rFonts w:ascii="宋体" w:hAnsi="Courier New" w:eastAsia="宋体" w:cs="Courier New"/>
      <w:szCs w:val="21"/>
    </w:rPr>
  </w:style>
  <w:style w:type="character" w:customStyle="1" w:styleId="77">
    <w:name w:val="纯文本 Char1"/>
    <w:link w:val="18"/>
    <w:qFormat/>
    <w:uiPriority w:val="0"/>
    <w:rPr>
      <w:rFonts w:ascii="宋体" w:hAnsi="Courier New" w:eastAsia="宋体" w:cs="Times New Roman"/>
      <w:sz w:val="24"/>
      <w:szCs w:val="24"/>
    </w:rPr>
  </w:style>
  <w:style w:type="character" w:customStyle="1" w:styleId="78">
    <w:name w:val="日期 Char"/>
    <w:basedOn w:val="35"/>
    <w:link w:val="19"/>
    <w:qFormat/>
    <w:uiPriority w:val="0"/>
    <w:rPr>
      <w:rFonts w:ascii="Times New Roman" w:hAnsi="Times New Roman" w:eastAsia="楷体_GB2312" w:cs="Times New Roman"/>
      <w:sz w:val="32"/>
      <w:szCs w:val="20"/>
    </w:rPr>
  </w:style>
  <w:style w:type="character" w:customStyle="1" w:styleId="79">
    <w:name w:val="正文文本缩进 2 Char"/>
    <w:basedOn w:val="35"/>
    <w:link w:val="20"/>
    <w:qFormat/>
    <w:uiPriority w:val="0"/>
    <w:rPr>
      <w:rFonts w:ascii="仿宋_GB2312" w:hAnsi="宋体" w:eastAsia="宋体" w:cs="Arial"/>
      <w:b/>
      <w:bCs/>
      <w:color w:val="000000"/>
      <w:sz w:val="24"/>
      <w:szCs w:val="24"/>
    </w:rPr>
  </w:style>
  <w:style w:type="character" w:customStyle="1" w:styleId="80">
    <w:name w:val="批注框文本 Char"/>
    <w:basedOn w:val="35"/>
    <w:link w:val="21"/>
    <w:qFormat/>
    <w:uiPriority w:val="0"/>
    <w:rPr>
      <w:rFonts w:ascii="time new roman" w:hAnsi="time new roman" w:eastAsia="长城粗隶书" w:cs="Courier New"/>
      <w:sz w:val="18"/>
      <w:szCs w:val="18"/>
    </w:rPr>
  </w:style>
  <w:style w:type="character" w:customStyle="1" w:styleId="81">
    <w:name w:val="正文文本缩进 3 Char"/>
    <w:basedOn w:val="35"/>
    <w:link w:val="26"/>
    <w:qFormat/>
    <w:uiPriority w:val="0"/>
    <w:rPr>
      <w:rFonts w:ascii="仿宋_GB2312" w:hAnsi="宋体" w:eastAsia="仿宋_GB2312" w:cs="Times New Roman"/>
      <w:color w:val="000000"/>
      <w:sz w:val="24"/>
      <w:szCs w:val="24"/>
    </w:rPr>
  </w:style>
  <w:style w:type="character" w:customStyle="1" w:styleId="82">
    <w:name w:val="正文文本 2 Char"/>
    <w:basedOn w:val="35"/>
    <w:link w:val="28"/>
    <w:qFormat/>
    <w:uiPriority w:val="0"/>
    <w:rPr>
      <w:rFonts w:ascii="宋体" w:hAnsi="宋体" w:eastAsia="宋体" w:cs="Times New Roman"/>
      <w:color w:val="000000"/>
      <w:sz w:val="24"/>
      <w:szCs w:val="24"/>
    </w:rPr>
  </w:style>
  <w:style w:type="character" w:customStyle="1" w:styleId="83">
    <w:name w:val="标题 Char"/>
    <w:basedOn w:val="35"/>
    <w:link w:val="30"/>
    <w:qFormat/>
    <w:uiPriority w:val="0"/>
    <w:rPr>
      <w:rFonts w:ascii="Cambria" w:hAnsi="Cambria" w:eastAsia="宋体" w:cs="Times New Roman"/>
      <w:b/>
      <w:bCs/>
      <w:sz w:val="32"/>
      <w:szCs w:val="32"/>
    </w:rPr>
  </w:style>
  <w:style w:type="character" w:customStyle="1" w:styleId="84">
    <w:name w:val="批注主题 Char"/>
    <w:basedOn w:val="73"/>
    <w:link w:val="31"/>
    <w:qFormat/>
    <w:uiPriority w:val="0"/>
    <w:rPr>
      <w:rFonts w:ascii="Times New Roman" w:hAnsi="Times New Roman" w:eastAsia="宋体" w:cs="Times New Roman"/>
      <w:b/>
      <w:bCs/>
      <w:szCs w:val="24"/>
    </w:rPr>
  </w:style>
  <w:style w:type="character" w:customStyle="1" w:styleId="85">
    <w:name w:val="正文首行缩进 Char"/>
    <w:basedOn w:val="69"/>
    <w:link w:val="32"/>
    <w:qFormat/>
    <w:uiPriority w:val="0"/>
    <w:rPr>
      <w:rFonts w:ascii="Calibri" w:hAnsi="Calibri" w:eastAsia="宋体" w:cs="Times New Roman"/>
      <w:sz w:val="28"/>
      <w:szCs w:val="24"/>
    </w:rPr>
  </w:style>
  <w:style w:type="character" w:customStyle="1" w:styleId="86">
    <w:name w:val="font51"/>
    <w:qFormat/>
    <w:uiPriority w:val="0"/>
    <w:rPr>
      <w:rFonts w:hint="eastAsia" w:ascii="宋体" w:hAnsi="宋体" w:eastAsia="宋体" w:cs="宋体"/>
      <w:color w:val="000000"/>
      <w:sz w:val="22"/>
      <w:szCs w:val="22"/>
      <w:u w:val="none"/>
    </w:rPr>
  </w:style>
  <w:style w:type="character" w:customStyle="1" w:styleId="87">
    <w:name w:val="font21"/>
    <w:qFormat/>
    <w:uiPriority w:val="0"/>
    <w:rPr>
      <w:rFonts w:hint="eastAsia" w:ascii="宋体" w:hAnsi="宋体" w:eastAsia="宋体" w:cs="宋体"/>
      <w:color w:val="000000"/>
      <w:sz w:val="22"/>
      <w:szCs w:val="22"/>
      <w:u w:val="none"/>
    </w:rPr>
  </w:style>
  <w:style w:type="character" w:customStyle="1" w:styleId="88">
    <w:name w:val="font11"/>
    <w:qFormat/>
    <w:uiPriority w:val="0"/>
    <w:rPr>
      <w:rFonts w:hint="default" w:ascii="Times New Roman" w:hAnsi="Times New Roman" w:cs="Times New Roman"/>
      <w:color w:val="000000"/>
      <w:sz w:val="21"/>
      <w:szCs w:val="21"/>
      <w:u w:val="none"/>
    </w:rPr>
  </w:style>
  <w:style w:type="character" w:customStyle="1" w:styleId="89">
    <w:name w:val="纯文本 Char3"/>
    <w:qFormat/>
    <w:uiPriority w:val="0"/>
    <w:rPr>
      <w:rFonts w:ascii="宋体" w:hAnsi="Courier New" w:eastAsia="宋体"/>
      <w:kern w:val="2"/>
      <w:sz w:val="24"/>
      <w:szCs w:val="24"/>
      <w:lang w:val="en-US" w:eastAsia="zh-CN" w:bidi="ar-SA"/>
    </w:rPr>
  </w:style>
  <w:style w:type="character" w:customStyle="1" w:styleId="90">
    <w:name w:val="font01"/>
    <w:qFormat/>
    <w:uiPriority w:val="0"/>
    <w:rPr>
      <w:rFonts w:hint="eastAsia" w:ascii="长城粗隶书" w:eastAsia="长城粗隶书"/>
      <w:color w:val="000000"/>
      <w:sz w:val="21"/>
      <w:szCs w:val="21"/>
      <w:u w:val="none"/>
    </w:rPr>
  </w:style>
  <w:style w:type="character" w:customStyle="1" w:styleId="91">
    <w:name w:val="ca-22"/>
    <w:qFormat/>
    <w:uiPriority w:val="0"/>
  </w:style>
  <w:style w:type="character" w:customStyle="1" w:styleId="92">
    <w:name w:val="apple-converted-space"/>
    <w:qFormat/>
    <w:uiPriority w:val="0"/>
  </w:style>
  <w:style w:type="character" w:customStyle="1" w:styleId="93">
    <w:name w:val="style8"/>
    <w:qFormat/>
    <w:uiPriority w:val="0"/>
  </w:style>
  <w:style w:type="character" w:customStyle="1" w:styleId="94">
    <w:name w:val="apple-style-span"/>
    <w:qFormat/>
    <w:uiPriority w:val="0"/>
  </w:style>
  <w:style w:type="character" w:customStyle="1" w:styleId="95">
    <w:name w:val="列出段落 Char"/>
    <w:link w:val="44"/>
    <w:qFormat/>
    <w:uiPriority w:val="34"/>
    <w:rPr>
      <w:rFonts w:ascii="Calibri" w:hAnsi="Calibri"/>
    </w:rPr>
  </w:style>
  <w:style w:type="character" w:customStyle="1" w:styleId="96">
    <w:name w:val="普通文字 Char1"/>
    <w:qFormat/>
    <w:uiPriority w:val="0"/>
    <w:rPr>
      <w:rFonts w:ascii="宋体" w:hAnsi="Courier New" w:eastAsia="宋体"/>
      <w:kern w:val="2"/>
      <w:sz w:val="21"/>
      <w:szCs w:val="24"/>
      <w:lang w:val="en-US" w:eastAsia="zh-CN" w:bidi="ar-SA"/>
    </w:rPr>
  </w:style>
  <w:style w:type="character" w:customStyle="1" w:styleId="97">
    <w:name w:val="unnamed11"/>
    <w:qFormat/>
    <w:uiPriority w:val="0"/>
    <w:rPr>
      <w:color w:val="000000"/>
      <w:sz w:val="20"/>
      <w:szCs w:val="20"/>
    </w:rPr>
  </w:style>
  <w:style w:type="character" w:customStyle="1" w:styleId="98">
    <w:name w:val="font81"/>
    <w:basedOn w:val="35"/>
    <w:qFormat/>
    <w:uiPriority w:val="0"/>
    <w:rPr>
      <w:rFonts w:hint="eastAsia" w:ascii="宋体" w:hAnsi="宋体" w:eastAsia="宋体" w:cs="宋体"/>
      <w:color w:val="000000"/>
      <w:sz w:val="20"/>
      <w:szCs w:val="20"/>
      <w:u w:val="none"/>
      <w:vertAlign w:val="superscript"/>
    </w:rPr>
  </w:style>
  <w:style w:type="character" w:customStyle="1" w:styleId="99">
    <w:name w:val="font91"/>
    <w:basedOn w:val="35"/>
    <w:qFormat/>
    <w:uiPriority w:val="0"/>
    <w:rPr>
      <w:rFonts w:hint="eastAsia" w:ascii="宋体" w:hAnsi="宋体" w:eastAsia="宋体" w:cs="宋体"/>
      <w:color w:val="000000"/>
      <w:sz w:val="20"/>
      <w:szCs w:val="20"/>
      <w:u w:val="none"/>
      <w:vertAlign w:val="superscript"/>
    </w:rPr>
  </w:style>
  <w:style w:type="character" w:customStyle="1" w:styleId="100">
    <w:name w:val="font161"/>
    <w:basedOn w:val="35"/>
    <w:qFormat/>
    <w:uiPriority w:val="0"/>
    <w:rPr>
      <w:rFonts w:hint="eastAsia" w:ascii="宋体" w:hAnsi="宋体" w:eastAsia="宋体" w:cs="宋体"/>
      <w:color w:val="000000"/>
      <w:sz w:val="22"/>
      <w:szCs w:val="22"/>
      <w:u w:val="none"/>
      <w:vertAlign w:val="superscript"/>
    </w:rPr>
  </w:style>
  <w:style w:type="character" w:customStyle="1" w:styleId="101">
    <w:name w:val="font61"/>
    <w:basedOn w:val="35"/>
    <w:qFormat/>
    <w:uiPriority w:val="0"/>
    <w:rPr>
      <w:rFonts w:hint="eastAsia" w:ascii="宋体" w:hAnsi="宋体" w:eastAsia="宋体" w:cs="宋体"/>
      <w:color w:val="000000"/>
      <w:sz w:val="20"/>
      <w:szCs w:val="20"/>
      <w:u w:val="none"/>
    </w:rPr>
  </w:style>
  <w:style w:type="character" w:customStyle="1" w:styleId="102">
    <w:name w:val="font71"/>
    <w:basedOn w:val="35"/>
    <w:qFormat/>
    <w:uiPriority w:val="0"/>
    <w:rPr>
      <w:rFonts w:hint="eastAsia" w:ascii="宋体" w:hAnsi="宋体" w:eastAsia="宋体" w:cs="宋体"/>
      <w:color w:val="000000"/>
      <w:sz w:val="20"/>
      <w:szCs w:val="20"/>
      <w:u w:val="none"/>
    </w:rPr>
  </w:style>
  <w:style w:type="character" w:customStyle="1" w:styleId="103">
    <w:name w:val="font141"/>
    <w:basedOn w:val="35"/>
    <w:qFormat/>
    <w:uiPriority w:val="0"/>
    <w:rPr>
      <w:rFonts w:hint="default" w:ascii="Times New Roman" w:hAnsi="Times New Roman" w:cs="Times New Roman"/>
      <w:color w:val="000000"/>
      <w:sz w:val="20"/>
      <w:szCs w:val="20"/>
      <w:u w:val="none"/>
    </w:rPr>
  </w:style>
  <w:style w:type="character" w:customStyle="1" w:styleId="104">
    <w:name w:val="font131"/>
    <w:basedOn w:val="35"/>
    <w:qFormat/>
    <w:uiPriority w:val="0"/>
    <w:rPr>
      <w:rFonts w:hint="default" w:ascii="Times New Roman" w:hAnsi="Times New Roman" w:cs="Times New Roman"/>
      <w:color w:val="000000"/>
      <w:sz w:val="20"/>
      <w:szCs w:val="20"/>
      <w:u w:val="none"/>
    </w:rPr>
  </w:style>
  <w:style w:type="character" w:customStyle="1" w:styleId="105">
    <w:name w:val="font122"/>
    <w:basedOn w:val="35"/>
    <w:qFormat/>
    <w:uiPriority w:val="0"/>
    <w:rPr>
      <w:rFonts w:hint="eastAsia" w:ascii="宋体" w:hAnsi="宋体" w:eastAsia="宋体" w:cs="宋体"/>
      <w:color w:val="FF0000"/>
      <w:sz w:val="20"/>
      <w:szCs w:val="20"/>
      <w:u w:val="none"/>
    </w:rPr>
  </w:style>
  <w:style w:type="character" w:customStyle="1" w:styleId="106">
    <w:name w:val="font171"/>
    <w:basedOn w:val="35"/>
    <w:qFormat/>
    <w:uiPriority w:val="0"/>
    <w:rPr>
      <w:rFonts w:hint="eastAsia" w:ascii="宋体" w:hAnsi="宋体" w:eastAsia="宋体" w:cs="宋体"/>
      <w:color w:val="000000"/>
      <w:sz w:val="22"/>
      <w:szCs w:val="22"/>
      <w:u w:val="none"/>
    </w:rPr>
  </w:style>
  <w:style w:type="character" w:customStyle="1" w:styleId="107">
    <w:name w:val="font111"/>
    <w:basedOn w:val="35"/>
    <w:qFormat/>
    <w:uiPriority w:val="0"/>
    <w:rPr>
      <w:rFonts w:ascii="Calibri" w:hAnsi="Calibri" w:cs="Calibri"/>
      <w:color w:val="000000"/>
      <w:sz w:val="22"/>
      <w:szCs w:val="22"/>
      <w:u w:val="none"/>
    </w:rPr>
  </w:style>
  <w:style w:type="character" w:customStyle="1" w:styleId="108">
    <w:name w:val="font12"/>
    <w:basedOn w:val="3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64</Pages>
  <Words>33286</Words>
  <Characters>36553</Characters>
  <Lines>287</Lines>
  <Paragraphs>80</Paragraphs>
  <TotalTime>131</TotalTime>
  <ScaleCrop>false</ScaleCrop>
  <LinksUpToDate>false</LinksUpToDate>
  <CharactersWithSpaces>37996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2021-11-25T08:30:00Z</dcterms:created>
  <dc:creator>NTKO</dc:creator>
  <cp:lastModifiedBy>NTKO</cp:lastModifiedBy>
  <dcterms:modified xsi:type="dcterms:W3CDTF">2022-06-23T02:15:37Z</dcterms:modified>
  <dc:title>湖州市吴兴区教育局升降式课桌椅项目</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16B4CAE32E964FE19CA4465221180379</vt:lpwstr>
  </property>
</Properties>
</file>