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宋体" w:eastAsia="仿宋_GB2312"/>
          <w:b/>
          <w:sz w:val="52"/>
          <w:szCs w:val="52"/>
        </w:rPr>
      </w:pPr>
    </w:p>
    <w:p>
      <w:pPr>
        <w:pStyle w:val="18"/>
        <w:snapToGrid w:val="0"/>
        <w:spacing w:beforeLines="0" w:afterLines="0" w:line="360" w:lineRule="auto"/>
        <w:ind w:left="2783" w:leftChars="282" w:hanging="2191" w:hangingChars="496"/>
        <w:rPr>
          <w:rFonts w:hAnsi="宋体"/>
          <w:b/>
          <w:sz w:val="44"/>
          <w:szCs w:val="44"/>
        </w:rPr>
      </w:pPr>
      <w:r>
        <w:rPr>
          <w:rFonts w:hint="eastAsia" w:hAnsi="宋体"/>
          <w:b/>
          <w:sz w:val="44"/>
          <w:szCs w:val="44"/>
        </w:rPr>
        <w:t>湖州市吴兴区中小学升降式课桌椅采购项目</w:t>
      </w:r>
    </w:p>
    <w:p>
      <w:pPr>
        <w:spacing w:line="360" w:lineRule="auto"/>
        <w:rPr>
          <w:rFonts w:ascii="宋体" w:hAnsi="宋体"/>
          <w:b/>
          <w:sz w:val="28"/>
          <w:szCs w:val="28"/>
        </w:rPr>
      </w:pPr>
    </w:p>
    <w:p>
      <w:pPr>
        <w:snapToGrid w:val="0"/>
        <w:spacing w:line="360" w:lineRule="auto"/>
        <w:jc w:val="center"/>
        <w:rPr>
          <w:rFonts w:ascii="宋体" w:hAnsi="宋体"/>
          <w:b/>
          <w:sz w:val="28"/>
          <w:szCs w:val="28"/>
        </w:rPr>
      </w:pPr>
      <w:r>
        <w:rPr>
          <w:rFonts w:hint="eastAsia" w:ascii="宋体" w:hAnsi="宋体"/>
          <w:b/>
          <w:sz w:val="28"/>
          <w:szCs w:val="28"/>
        </w:rPr>
        <w:t>（财政审批编号：吴兴财采确临[2022]6228号）</w:t>
      </w:r>
    </w:p>
    <w:p>
      <w:pPr>
        <w:snapToGrid w:val="0"/>
        <w:spacing w:before="120" w:beforeLines="50" w:line="360" w:lineRule="auto"/>
        <w:jc w:val="center"/>
        <w:rPr>
          <w:rFonts w:ascii="隶书" w:hAnsi="Arial Narrow" w:eastAsia="楷体_GB2312"/>
          <w:sz w:val="30"/>
          <w:szCs w:val="72"/>
        </w:rPr>
      </w:pPr>
      <w:r>
        <w:rPr>
          <w:rFonts w:hint="eastAsia" w:ascii="宋体" w:hAnsi="宋体" w:cs="宋体"/>
          <w:b/>
          <w:sz w:val="52"/>
          <w:szCs w:val="52"/>
        </w:rPr>
        <w:t>（电子招投标）</w:t>
      </w:r>
    </w:p>
    <w:p>
      <w:pPr>
        <w:snapToGrid w:val="0"/>
        <w:spacing w:before="120" w:beforeLines="50" w:line="360" w:lineRule="auto"/>
        <w:rPr>
          <w:rFonts w:ascii="隶书" w:hAnsi="Arial Narrow" w:eastAsia="楷体_GB2312"/>
          <w:sz w:val="30"/>
          <w:szCs w:val="72"/>
        </w:rPr>
      </w:pPr>
    </w:p>
    <w:p>
      <w:pPr>
        <w:spacing w:before="120" w:beforeLines="50"/>
        <w:jc w:val="center"/>
        <w:rPr>
          <w:rFonts w:ascii="宋体" w:hAnsi="宋体"/>
          <w:sz w:val="72"/>
          <w:szCs w:val="72"/>
        </w:rPr>
      </w:pPr>
      <w:r>
        <w:rPr>
          <w:rFonts w:hint="eastAsia" w:ascii="宋体" w:hAnsi="宋体"/>
          <w:sz w:val="72"/>
          <w:szCs w:val="72"/>
        </w:rPr>
        <w:t>公开招标采购文件</w:t>
      </w:r>
    </w:p>
    <w:p>
      <w:pPr>
        <w:snapToGrid w:val="0"/>
        <w:spacing w:line="360" w:lineRule="auto"/>
        <w:rPr>
          <w:rFonts w:ascii="宋体" w:hAnsi="宋体"/>
          <w:sz w:val="30"/>
          <w:szCs w:val="72"/>
        </w:rPr>
      </w:pPr>
    </w:p>
    <w:p>
      <w:pPr>
        <w:snapToGrid w:val="0"/>
        <w:spacing w:line="360" w:lineRule="auto"/>
        <w:rPr>
          <w:rFonts w:ascii="宋体" w:hAnsi="宋体"/>
          <w:sz w:val="30"/>
          <w:szCs w:val="72"/>
        </w:rPr>
      </w:pPr>
    </w:p>
    <w:p>
      <w:pPr>
        <w:snapToGrid w:val="0"/>
        <w:spacing w:line="360" w:lineRule="auto"/>
        <w:rPr>
          <w:rFonts w:ascii="宋体" w:hAnsi="宋体"/>
          <w:sz w:val="30"/>
          <w:szCs w:val="72"/>
        </w:rPr>
      </w:pPr>
    </w:p>
    <w:p>
      <w:pPr>
        <w:pStyle w:val="18"/>
        <w:snapToGrid w:val="0"/>
        <w:spacing w:beforeLines="0" w:afterLines="0" w:line="360" w:lineRule="auto"/>
        <w:ind w:firstLine="596" w:firstLineChars="198"/>
        <w:rPr>
          <w:rFonts w:hAnsi="宋体"/>
          <w:b/>
          <w:sz w:val="30"/>
          <w:szCs w:val="30"/>
        </w:rPr>
      </w:pPr>
      <w:r>
        <w:rPr>
          <w:rFonts w:hAnsi="宋体"/>
          <w:b/>
          <w:sz w:val="30"/>
          <w:szCs w:val="30"/>
        </w:rPr>
        <w:t>项目编号：</w:t>
      </w:r>
      <w:r>
        <w:rPr>
          <w:rFonts w:hint="eastAsia" w:hAnsi="宋体"/>
          <w:b/>
          <w:sz w:val="30"/>
          <w:szCs w:val="30"/>
        </w:rPr>
        <w:t>HYHZ2022-80</w:t>
      </w:r>
    </w:p>
    <w:p>
      <w:pPr>
        <w:pStyle w:val="18"/>
        <w:snapToGrid w:val="0"/>
        <w:spacing w:beforeLines="0" w:afterLines="0" w:line="360" w:lineRule="auto"/>
        <w:ind w:left="2086" w:leftChars="282" w:hanging="1494" w:hangingChars="496"/>
        <w:rPr>
          <w:rFonts w:hAnsi="宋体"/>
          <w:b/>
          <w:sz w:val="30"/>
          <w:szCs w:val="30"/>
        </w:rPr>
      </w:pPr>
      <w:r>
        <w:rPr>
          <w:rFonts w:hint="eastAsia" w:hAnsi="宋体"/>
          <w:b/>
          <w:sz w:val="30"/>
          <w:szCs w:val="30"/>
        </w:rPr>
        <w:t>项目名称：湖州市吴兴区中小学升降式课桌椅采购项目</w:t>
      </w:r>
    </w:p>
    <w:p>
      <w:pPr>
        <w:pStyle w:val="18"/>
        <w:snapToGrid w:val="0"/>
        <w:spacing w:beforeLines="0" w:afterLines="0" w:line="360" w:lineRule="auto"/>
        <w:ind w:left="2087" w:leftChars="284" w:hanging="1491" w:hangingChars="495"/>
        <w:rPr>
          <w:rFonts w:hAnsi="宋体"/>
          <w:b/>
          <w:sz w:val="30"/>
          <w:szCs w:val="30"/>
        </w:rPr>
      </w:pPr>
      <w:r>
        <w:rPr>
          <w:rFonts w:hAnsi="宋体"/>
          <w:b/>
          <w:sz w:val="30"/>
          <w:szCs w:val="30"/>
        </w:rPr>
        <w:t>采购单位：</w:t>
      </w:r>
      <w:r>
        <w:rPr>
          <w:rFonts w:hint="eastAsia" w:hAnsi="宋体"/>
          <w:b/>
          <w:sz w:val="30"/>
          <w:szCs w:val="30"/>
        </w:rPr>
        <w:t>湖州市吴兴区教育局</w:t>
      </w:r>
    </w:p>
    <w:p>
      <w:pPr>
        <w:pStyle w:val="18"/>
        <w:snapToGrid w:val="0"/>
        <w:spacing w:beforeLines="0" w:afterLines="0" w:line="360" w:lineRule="auto"/>
        <w:ind w:firstLine="590" w:firstLineChars="196"/>
        <w:rPr>
          <w:rFonts w:hAnsi="宋体"/>
          <w:b/>
          <w:sz w:val="30"/>
          <w:szCs w:val="30"/>
        </w:rPr>
      </w:pPr>
      <w:r>
        <w:rPr>
          <w:rFonts w:hAnsi="宋体"/>
          <w:b/>
          <w:sz w:val="30"/>
          <w:szCs w:val="30"/>
        </w:rPr>
        <w:t>代理机构：</w:t>
      </w:r>
      <w:r>
        <w:rPr>
          <w:rFonts w:hint="eastAsia" w:hAnsi="宋体"/>
          <w:b/>
          <w:sz w:val="30"/>
          <w:szCs w:val="30"/>
        </w:rPr>
        <w:t>浙江华耀建设咨询有限公司</w:t>
      </w:r>
    </w:p>
    <w:p>
      <w:pPr>
        <w:pStyle w:val="18"/>
        <w:snapToGrid w:val="0"/>
        <w:spacing w:beforeLines="0" w:afterLines="0" w:line="360" w:lineRule="auto"/>
        <w:ind w:firstLine="590" w:firstLineChars="196"/>
        <w:rPr>
          <w:rFonts w:hAnsi="宋体"/>
          <w:b/>
          <w:sz w:val="30"/>
          <w:szCs w:val="30"/>
        </w:rPr>
      </w:pPr>
    </w:p>
    <w:p>
      <w:pPr>
        <w:snapToGrid w:val="0"/>
        <w:spacing w:line="360" w:lineRule="auto"/>
        <w:jc w:val="center"/>
        <w:rPr>
          <w:rFonts w:ascii="宋体" w:hAnsi="宋体"/>
          <w:b/>
          <w:bCs/>
          <w:w w:val="95"/>
          <w:sz w:val="30"/>
          <w:szCs w:val="30"/>
        </w:rPr>
      </w:pPr>
      <w:r>
        <w:rPr>
          <w:rFonts w:hint="eastAsia" w:ascii="宋体" w:hAnsi="宋体"/>
          <w:b/>
          <w:bCs/>
          <w:w w:val="95"/>
          <w:sz w:val="30"/>
          <w:szCs w:val="30"/>
        </w:rPr>
        <w:t xml:space="preserve">                      2022年6月23日</w:t>
      </w:r>
    </w:p>
    <w:p>
      <w:pPr>
        <w:pStyle w:val="18"/>
        <w:spacing w:beforeLines="0" w:afterLines="0" w:line="360" w:lineRule="auto"/>
        <w:jc w:val="center"/>
        <w:rPr>
          <w:rFonts w:ascii="创艺简标宋" w:hAnsi="宋体" w:eastAsia="创艺简标宋"/>
          <w:b/>
          <w:sz w:val="44"/>
          <w:szCs w:val="44"/>
        </w:rPr>
      </w:pPr>
    </w:p>
    <w:p>
      <w:pPr>
        <w:pStyle w:val="18"/>
        <w:spacing w:beforeLines="0" w:afterLines="0" w:line="360" w:lineRule="auto"/>
        <w:jc w:val="center"/>
        <w:rPr>
          <w:rFonts w:ascii="创艺简标宋" w:hAnsi="宋体" w:eastAsia="创艺简标宋"/>
          <w:b/>
          <w:sz w:val="44"/>
          <w:szCs w:val="44"/>
        </w:rPr>
      </w:pPr>
    </w:p>
    <w:p>
      <w:pPr>
        <w:pStyle w:val="18"/>
        <w:spacing w:beforeLines="0" w:afterLines="0" w:line="360" w:lineRule="auto"/>
        <w:jc w:val="center"/>
        <w:rPr>
          <w:rFonts w:ascii="创艺简标宋" w:hAnsi="宋体" w:eastAsia="创艺简标宋"/>
          <w:b/>
          <w:sz w:val="44"/>
          <w:szCs w:val="44"/>
        </w:rPr>
      </w:pPr>
    </w:p>
    <w:p>
      <w:pPr>
        <w:pStyle w:val="18"/>
        <w:spacing w:beforeLines="0" w:afterLines="0" w:line="360" w:lineRule="auto"/>
        <w:jc w:val="center"/>
        <w:rPr>
          <w:rFonts w:ascii="创艺简标宋" w:hAnsi="宋体" w:eastAsia="创艺简标宋"/>
          <w:b/>
          <w:sz w:val="44"/>
          <w:szCs w:val="44"/>
        </w:rPr>
      </w:pPr>
    </w:p>
    <w:p>
      <w:pPr>
        <w:pStyle w:val="18"/>
        <w:spacing w:beforeLines="0" w:afterLines="0" w:line="360" w:lineRule="auto"/>
        <w:jc w:val="center"/>
        <w:rPr>
          <w:rFonts w:ascii="创艺简标宋" w:hAnsi="宋体" w:eastAsia="创艺简标宋"/>
          <w:b/>
          <w:sz w:val="44"/>
          <w:szCs w:val="44"/>
        </w:rPr>
      </w:pPr>
      <w:r>
        <w:rPr>
          <w:rFonts w:hint="eastAsia" w:ascii="创艺简标宋" w:hAnsi="宋体" w:eastAsia="创艺简标宋"/>
          <w:b/>
          <w:sz w:val="44"/>
          <w:szCs w:val="44"/>
        </w:rPr>
        <w:t>目    录</w:t>
      </w:r>
    </w:p>
    <w:p>
      <w:pPr>
        <w:pStyle w:val="18"/>
        <w:spacing w:beforeLines="0" w:afterLines="0" w:line="360" w:lineRule="auto"/>
        <w:jc w:val="center"/>
        <w:rPr>
          <w:rFonts w:ascii="创艺简标宋" w:hAnsi="宋体" w:eastAsia="创艺简标宋"/>
          <w:b/>
          <w:sz w:val="44"/>
          <w:szCs w:val="44"/>
        </w:rPr>
      </w:pPr>
    </w:p>
    <w:p>
      <w:pPr>
        <w:numPr>
          <w:ilvl w:val="0"/>
          <w:numId w:val="1"/>
        </w:numPr>
        <w:spacing w:line="360" w:lineRule="auto"/>
        <w:rPr>
          <w:rFonts w:ascii="宋体" w:hAnsi="宋体"/>
          <w:sz w:val="30"/>
          <w:szCs w:val="20"/>
        </w:rPr>
      </w:pPr>
      <w:r>
        <w:rPr>
          <w:rFonts w:hint="eastAsia" w:ascii="宋体" w:hAnsi="宋体"/>
          <w:sz w:val="30"/>
        </w:rPr>
        <w:t>公开招标采购公告   -------------------------3</w:t>
      </w:r>
    </w:p>
    <w:p>
      <w:pPr>
        <w:numPr>
          <w:ilvl w:val="0"/>
          <w:numId w:val="1"/>
        </w:numPr>
        <w:spacing w:line="360" w:lineRule="auto"/>
        <w:rPr>
          <w:rFonts w:ascii="宋体" w:hAnsi="宋体"/>
          <w:sz w:val="30"/>
          <w:szCs w:val="20"/>
        </w:rPr>
      </w:pPr>
      <w:r>
        <w:rPr>
          <w:rFonts w:hint="eastAsia" w:ascii="宋体" w:hAnsi="宋体"/>
          <w:sz w:val="30"/>
        </w:rPr>
        <w:t>招标需求   ---------------------------------8</w:t>
      </w:r>
    </w:p>
    <w:p>
      <w:pPr>
        <w:numPr>
          <w:ilvl w:val="0"/>
          <w:numId w:val="1"/>
        </w:numPr>
        <w:spacing w:line="360" w:lineRule="auto"/>
        <w:rPr>
          <w:sz w:val="30"/>
          <w:szCs w:val="30"/>
        </w:rPr>
      </w:pPr>
      <w:r>
        <w:rPr>
          <w:rFonts w:hint="eastAsia" w:ascii="宋体" w:hAnsi="宋体"/>
          <w:sz w:val="30"/>
        </w:rPr>
        <w:t>投标人须知   ------------------------------17</w:t>
      </w:r>
    </w:p>
    <w:p>
      <w:pPr>
        <w:spacing w:line="360" w:lineRule="auto"/>
        <w:ind w:firstLine="1350" w:firstLineChars="450"/>
        <w:rPr>
          <w:rFonts w:ascii="宋体" w:hAnsi="宋体"/>
          <w:sz w:val="30"/>
        </w:rPr>
      </w:pPr>
      <w:r>
        <w:rPr>
          <w:rFonts w:hint="eastAsia"/>
          <w:sz w:val="30"/>
          <w:szCs w:val="30"/>
        </w:rPr>
        <w:t>一、总则</w:t>
      </w:r>
      <w:r>
        <w:rPr>
          <w:sz w:val="30"/>
          <w:szCs w:val="30"/>
        </w:rPr>
        <w:t xml:space="preserve">    </w:t>
      </w:r>
      <w:r>
        <w:rPr>
          <w:rFonts w:hint="eastAsia" w:ascii="宋体" w:hAnsi="宋体"/>
          <w:sz w:val="30"/>
        </w:rPr>
        <w:t>--------------------------------18</w:t>
      </w:r>
    </w:p>
    <w:p>
      <w:pPr>
        <w:spacing w:line="360" w:lineRule="auto"/>
        <w:ind w:firstLine="1350" w:firstLineChars="450"/>
        <w:rPr>
          <w:rFonts w:ascii="宋体" w:hAnsi="宋体"/>
          <w:sz w:val="30"/>
        </w:rPr>
      </w:pPr>
      <w:r>
        <w:rPr>
          <w:rFonts w:hint="eastAsia"/>
          <w:sz w:val="30"/>
          <w:szCs w:val="30"/>
        </w:rPr>
        <w:t>二、招标文件</w:t>
      </w:r>
      <w:r>
        <w:rPr>
          <w:sz w:val="30"/>
          <w:szCs w:val="30"/>
        </w:rPr>
        <w:t xml:space="preserve">    </w:t>
      </w:r>
      <w:r>
        <w:rPr>
          <w:rFonts w:hint="eastAsia" w:ascii="宋体" w:hAnsi="宋体"/>
          <w:sz w:val="30"/>
        </w:rPr>
        <w:t>----------------------------21</w:t>
      </w:r>
    </w:p>
    <w:p>
      <w:pPr>
        <w:spacing w:line="360" w:lineRule="auto"/>
        <w:ind w:firstLine="1350" w:firstLineChars="450"/>
        <w:rPr>
          <w:rFonts w:ascii="宋体" w:hAnsi="宋体"/>
          <w:sz w:val="30"/>
        </w:rPr>
      </w:pPr>
      <w:r>
        <w:rPr>
          <w:rFonts w:hint="eastAsia"/>
          <w:sz w:val="30"/>
          <w:szCs w:val="30"/>
        </w:rPr>
        <w:t>三、投标文件的编制</w:t>
      </w:r>
      <w:r>
        <w:rPr>
          <w:sz w:val="30"/>
          <w:szCs w:val="30"/>
        </w:rPr>
        <w:t xml:space="preserve">     </w:t>
      </w:r>
      <w:r>
        <w:rPr>
          <w:rFonts w:hint="eastAsia" w:ascii="宋体" w:hAnsi="宋体"/>
          <w:sz w:val="30"/>
        </w:rPr>
        <w:t>---------------------22</w:t>
      </w:r>
    </w:p>
    <w:p>
      <w:pPr>
        <w:spacing w:line="360" w:lineRule="auto"/>
        <w:ind w:firstLine="1350" w:firstLineChars="450"/>
        <w:rPr>
          <w:rFonts w:ascii="宋体" w:hAnsi="宋体"/>
          <w:sz w:val="30"/>
        </w:rPr>
      </w:pPr>
      <w:r>
        <w:rPr>
          <w:rFonts w:hint="eastAsia"/>
          <w:sz w:val="30"/>
          <w:szCs w:val="30"/>
        </w:rPr>
        <w:t>四、开标</w:t>
      </w:r>
      <w:r>
        <w:rPr>
          <w:sz w:val="30"/>
          <w:szCs w:val="30"/>
        </w:rPr>
        <w:t xml:space="preserve">   </w:t>
      </w:r>
      <w:r>
        <w:rPr>
          <w:rFonts w:hint="eastAsia" w:ascii="宋体" w:hAnsi="宋体"/>
          <w:sz w:val="30"/>
        </w:rPr>
        <w:t>---------------------------------27</w:t>
      </w:r>
    </w:p>
    <w:p>
      <w:pPr>
        <w:spacing w:line="360" w:lineRule="auto"/>
        <w:ind w:firstLine="1350" w:firstLineChars="450"/>
        <w:rPr>
          <w:rFonts w:ascii="宋体" w:hAnsi="宋体"/>
          <w:sz w:val="30"/>
        </w:rPr>
      </w:pPr>
      <w:r>
        <w:rPr>
          <w:rFonts w:hint="eastAsia"/>
          <w:sz w:val="30"/>
          <w:szCs w:val="30"/>
        </w:rPr>
        <w:t>五、评标</w:t>
      </w:r>
      <w:r>
        <w:rPr>
          <w:sz w:val="30"/>
          <w:szCs w:val="30"/>
        </w:rPr>
        <w:t xml:space="preserve">   </w:t>
      </w:r>
      <w:r>
        <w:rPr>
          <w:rFonts w:hint="eastAsia" w:ascii="宋体" w:hAnsi="宋体"/>
          <w:sz w:val="30"/>
        </w:rPr>
        <w:t>---------------------------------28</w:t>
      </w:r>
    </w:p>
    <w:p>
      <w:pPr>
        <w:spacing w:line="360" w:lineRule="auto"/>
        <w:ind w:firstLine="1350" w:firstLineChars="450"/>
        <w:rPr>
          <w:rFonts w:ascii="宋体" w:hAnsi="宋体"/>
          <w:sz w:val="30"/>
        </w:rPr>
      </w:pPr>
      <w:r>
        <w:rPr>
          <w:rFonts w:hint="eastAsia"/>
          <w:sz w:val="30"/>
          <w:szCs w:val="30"/>
        </w:rPr>
        <w:t>六、定标</w:t>
      </w:r>
      <w:r>
        <w:rPr>
          <w:sz w:val="30"/>
          <w:szCs w:val="30"/>
        </w:rPr>
        <w:t xml:space="preserve">   </w:t>
      </w:r>
      <w:r>
        <w:rPr>
          <w:rFonts w:hint="eastAsia" w:ascii="宋体" w:hAnsi="宋体"/>
          <w:sz w:val="30"/>
        </w:rPr>
        <w:t>---------------------------------30</w:t>
      </w:r>
    </w:p>
    <w:p>
      <w:pPr>
        <w:spacing w:line="360" w:lineRule="auto"/>
        <w:ind w:firstLine="1350" w:firstLineChars="450"/>
        <w:rPr>
          <w:sz w:val="30"/>
          <w:szCs w:val="30"/>
        </w:rPr>
      </w:pPr>
      <w:r>
        <w:rPr>
          <w:rFonts w:hint="eastAsia"/>
          <w:sz w:val="30"/>
          <w:szCs w:val="30"/>
        </w:rPr>
        <w:t>七、合同授予</w:t>
      </w:r>
      <w:r>
        <w:rPr>
          <w:sz w:val="30"/>
          <w:szCs w:val="30"/>
        </w:rPr>
        <w:t xml:space="preserve">   </w:t>
      </w:r>
      <w:r>
        <w:rPr>
          <w:rFonts w:hint="eastAsia" w:ascii="宋体" w:hAnsi="宋体"/>
          <w:sz w:val="30"/>
        </w:rPr>
        <w:t>-----------------------------31</w:t>
      </w:r>
    </w:p>
    <w:p>
      <w:pPr>
        <w:numPr>
          <w:ilvl w:val="0"/>
          <w:numId w:val="1"/>
        </w:numPr>
        <w:spacing w:line="360" w:lineRule="auto"/>
        <w:rPr>
          <w:rFonts w:ascii="宋体" w:hAnsi="宋体"/>
          <w:sz w:val="30"/>
          <w:szCs w:val="20"/>
        </w:rPr>
      </w:pPr>
      <w:r>
        <w:rPr>
          <w:rFonts w:hint="eastAsia" w:ascii="宋体" w:hAnsi="宋体"/>
          <w:sz w:val="30"/>
        </w:rPr>
        <w:t>评标办法及评分标准 ------------------------32</w:t>
      </w:r>
    </w:p>
    <w:p>
      <w:pPr>
        <w:numPr>
          <w:ilvl w:val="0"/>
          <w:numId w:val="1"/>
        </w:numPr>
        <w:spacing w:line="360" w:lineRule="auto"/>
        <w:rPr>
          <w:rFonts w:ascii="宋体" w:hAnsi="宋体"/>
          <w:sz w:val="30"/>
          <w:szCs w:val="20"/>
        </w:rPr>
      </w:pPr>
      <w:r>
        <w:rPr>
          <w:rFonts w:hint="eastAsia" w:ascii="宋体" w:hAnsi="宋体"/>
          <w:sz w:val="30"/>
        </w:rPr>
        <w:t>政府采购合同主要条款-----------------------36</w:t>
      </w:r>
    </w:p>
    <w:p>
      <w:pPr>
        <w:numPr>
          <w:ilvl w:val="0"/>
          <w:numId w:val="1"/>
        </w:numPr>
        <w:spacing w:line="360" w:lineRule="auto"/>
        <w:rPr>
          <w:rFonts w:ascii="宋体" w:hAnsi="宋体"/>
          <w:sz w:val="30"/>
          <w:szCs w:val="20"/>
        </w:rPr>
      </w:pPr>
      <w:r>
        <w:rPr>
          <w:rFonts w:hint="eastAsia" w:ascii="宋体" w:hAnsi="宋体"/>
          <w:sz w:val="30"/>
        </w:rPr>
        <w:t>投标文件格式    ---------------------------41</w:t>
      </w:r>
    </w:p>
    <w:p>
      <w:pPr>
        <w:spacing w:line="360" w:lineRule="auto"/>
        <w:rPr>
          <w:rFonts w:ascii="宋体" w:hAnsi="宋体"/>
          <w:sz w:val="30"/>
          <w:szCs w:val="20"/>
        </w:rPr>
      </w:pPr>
    </w:p>
    <w:p>
      <w:pPr>
        <w:pStyle w:val="18"/>
        <w:snapToGrid w:val="0"/>
        <w:spacing w:beforeLines="0" w:afterLines="0" w:line="360" w:lineRule="auto"/>
        <w:jc w:val="center"/>
        <w:outlineLvl w:val="0"/>
        <w:rPr>
          <w:rFonts w:ascii="黑体" w:hAnsi="宋体" w:eastAsia="黑体"/>
          <w:sz w:val="30"/>
          <w:szCs w:val="30"/>
        </w:rPr>
      </w:pPr>
      <w:r>
        <w:rPr>
          <w:rFonts w:hAnsi="宋体"/>
        </w:rPr>
        <w:br w:type="page"/>
      </w:r>
      <w:r>
        <w:rPr>
          <w:rFonts w:hint="eastAsia" w:ascii="黑体" w:hAnsi="宋体" w:eastAsia="黑体"/>
          <w:sz w:val="30"/>
          <w:szCs w:val="30"/>
        </w:rPr>
        <w:t>第一章  公开招标采购公告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sz w:val="24"/>
        </w:rPr>
      </w:pPr>
      <w:r>
        <w:rPr>
          <w:rFonts w:hint="eastAsia" w:ascii="宋体" w:hAnsi="宋体"/>
          <w:sz w:val="24"/>
        </w:rPr>
        <w:t>湖州市吴兴区中小学升降式课桌椅采购项目的潜在投标人应在浙江政府采购网（http://zfcg.czt.zj.gov.cn/) 获取招标文件，并于2022年7月13日9：00（北京时间）前递交投标文件。</w:t>
      </w:r>
    </w:p>
    <w:p>
      <w:pPr>
        <w:snapToGrid w:val="0"/>
        <w:spacing w:line="360" w:lineRule="auto"/>
        <w:rPr>
          <w:rFonts w:ascii="宋体" w:hAnsi="宋体"/>
          <w:sz w:val="24"/>
        </w:rPr>
      </w:pPr>
      <w:r>
        <w:rPr>
          <w:rFonts w:hint="eastAsia" w:ascii="宋体" w:hAnsi="宋体" w:cs="Arial"/>
          <w:b/>
          <w:sz w:val="24"/>
        </w:rPr>
        <w:t>一、项目基本情况</w:t>
      </w:r>
    </w:p>
    <w:p>
      <w:pPr>
        <w:spacing w:line="360" w:lineRule="auto"/>
        <w:ind w:firstLine="480" w:firstLineChars="200"/>
        <w:rPr>
          <w:rFonts w:ascii="宋体" w:hAnsi="宋体"/>
          <w:sz w:val="24"/>
        </w:rPr>
      </w:pPr>
      <w:r>
        <w:rPr>
          <w:rFonts w:hint="eastAsia" w:ascii="宋体" w:hAnsi="宋体"/>
          <w:sz w:val="24"/>
        </w:rPr>
        <w:t>项目编号：HYHZ2022-80(吴兴财采确临[2022]6228号)</w:t>
      </w:r>
    </w:p>
    <w:p>
      <w:pPr>
        <w:spacing w:line="360" w:lineRule="auto"/>
        <w:ind w:left="479" w:leftChars="228"/>
        <w:rPr>
          <w:rFonts w:ascii="宋体" w:hAnsi="宋体"/>
          <w:sz w:val="24"/>
        </w:rPr>
      </w:pPr>
      <w:r>
        <w:rPr>
          <w:rFonts w:hint="eastAsia" w:ascii="宋体" w:hAnsi="宋体"/>
          <w:sz w:val="24"/>
        </w:rPr>
        <w:t>项目名称：湖州市吴兴区中小学升降式课桌椅采购项目</w:t>
      </w:r>
    </w:p>
    <w:p>
      <w:pPr>
        <w:spacing w:line="360" w:lineRule="auto"/>
        <w:ind w:left="479" w:leftChars="228"/>
        <w:rPr>
          <w:rFonts w:ascii="宋体" w:hAnsi="宋体" w:cs="Arial"/>
          <w:b/>
          <w:sz w:val="24"/>
        </w:rPr>
      </w:pPr>
      <w:r>
        <w:rPr>
          <w:rFonts w:hint="eastAsia" w:ascii="宋体" w:hAnsi="宋体" w:cs="Arial"/>
          <w:b/>
          <w:sz w:val="24"/>
        </w:rPr>
        <w:t>预算金额：1849.7250万元；最高限价：1664.04万元</w:t>
      </w:r>
    </w:p>
    <w:p>
      <w:pPr>
        <w:spacing w:line="360" w:lineRule="auto"/>
        <w:ind w:left="479" w:leftChars="228"/>
        <w:rPr>
          <w:rFonts w:ascii="宋体" w:hAnsi="宋体" w:cs="Arial"/>
          <w:b/>
          <w:sz w:val="24"/>
        </w:rPr>
      </w:pPr>
      <w:r>
        <w:rPr>
          <w:rFonts w:hint="eastAsia" w:ascii="宋体" w:hAnsi="宋体" w:cs="Arial"/>
          <w:b/>
          <w:sz w:val="24"/>
        </w:rPr>
        <w:t>采购需求：吴兴区教育局所属40所中小学(校区）采购39620套升降式课桌椅（其中小学生升降式课桌椅：25020套、中学生升降式课桌椅：14600套）</w:t>
      </w:r>
    </w:p>
    <w:p>
      <w:pPr>
        <w:widowControl/>
        <w:spacing w:line="360" w:lineRule="auto"/>
        <w:ind w:firstLine="482" w:firstLineChars="200"/>
        <w:jc w:val="left"/>
        <w:rPr>
          <w:rFonts w:ascii="宋体" w:hAnsi="宋体"/>
          <w:b/>
          <w:sz w:val="24"/>
        </w:rPr>
      </w:pPr>
      <w:r>
        <w:rPr>
          <w:rFonts w:hint="eastAsia" w:ascii="宋体" w:hAnsi="宋体"/>
          <w:b/>
          <w:sz w:val="24"/>
        </w:rPr>
        <w:t>标项1：升降式课桌椅项目标项1</w:t>
      </w:r>
    </w:p>
    <w:p>
      <w:pPr>
        <w:widowControl/>
        <w:spacing w:line="360" w:lineRule="auto"/>
        <w:ind w:firstLine="482" w:firstLineChars="200"/>
        <w:jc w:val="left"/>
        <w:rPr>
          <w:rFonts w:ascii="宋体" w:hAnsi="宋体"/>
          <w:b/>
          <w:sz w:val="24"/>
        </w:rPr>
      </w:pPr>
      <w:r>
        <w:rPr>
          <w:rFonts w:hint="eastAsia" w:ascii="宋体" w:hAnsi="宋体"/>
          <w:b/>
          <w:sz w:val="24"/>
        </w:rPr>
        <w:t>预算：人民币460.35</w:t>
      </w:r>
      <w:r>
        <w:rPr>
          <w:rFonts w:ascii="宋体" w:hAnsi="宋体"/>
          <w:b/>
          <w:sz w:val="24"/>
        </w:rPr>
        <w:t>万元</w:t>
      </w:r>
      <w:r>
        <w:rPr>
          <w:rFonts w:hint="eastAsia" w:ascii="宋体" w:hAnsi="宋体"/>
          <w:b/>
          <w:sz w:val="24"/>
        </w:rPr>
        <w:t xml:space="preserve">   最高限价：人民币429.66</w:t>
      </w:r>
      <w:r>
        <w:rPr>
          <w:rFonts w:ascii="宋体" w:hAnsi="宋体"/>
          <w:b/>
          <w:sz w:val="24"/>
        </w:rPr>
        <w:t>万元</w:t>
      </w:r>
    </w:p>
    <w:p>
      <w:pPr>
        <w:widowControl/>
        <w:spacing w:line="360" w:lineRule="auto"/>
        <w:ind w:firstLine="482" w:firstLineChars="200"/>
        <w:jc w:val="left"/>
        <w:rPr>
          <w:rFonts w:ascii="宋体" w:hAnsi="宋体"/>
          <w:b/>
          <w:sz w:val="24"/>
        </w:rPr>
      </w:pPr>
      <w:r>
        <w:rPr>
          <w:rFonts w:hint="eastAsia" w:ascii="宋体" w:hAnsi="宋体"/>
          <w:b/>
          <w:sz w:val="24"/>
        </w:rPr>
        <w:t xml:space="preserve">标项2：升降式课桌椅项目标项2     </w:t>
      </w:r>
    </w:p>
    <w:p>
      <w:pPr>
        <w:widowControl/>
        <w:spacing w:line="360" w:lineRule="auto"/>
        <w:ind w:firstLine="482" w:firstLineChars="200"/>
        <w:jc w:val="left"/>
        <w:rPr>
          <w:rFonts w:ascii="宋体" w:hAnsi="宋体"/>
          <w:b/>
          <w:sz w:val="24"/>
        </w:rPr>
      </w:pPr>
      <w:r>
        <w:rPr>
          <w:rFonts w:hint="eastAsia" w:ascii="宋体" w:hAnsi="宋体"/>
          <w:b/>
          <w:sz w:val="24"/>
        </w:rPr>
        <w:t xml:space="preserve">预算：人民币470.025 </w:t>
      </w:r>
      <w:r>
        <w:rPr>
          <w:rFonts w:ascii="宋体" w:hAnsi="宋体"/>
          <w:b/>
          <w:sz w:val="24"/>
        </w:rPr>
        <w:t>万元</w:t>
      </w:r>
      <w:r>
        <w:rPr>
          <w:rFonts w:hint="eastAsia" w:ascii="宋体" w:hAnsi="宋体"/>
          <w:b/>
          <w:sz w:val="24"/>
        </w:rPr>
        <w:t xml:space="preserve">   最高限价：人民币426.09 </w:t>
      </w:r>
      <w:r>
        <w:rPr>
          <w:rFonts w:ascii="宋体" w:hAnsi="宋体"/>
          <w:b/>
          <w:sz w:val="24"/>
        </w:rPr>
        <w:t>万元</w:t>
      </w:r>
    </w:p>
    <w:p>
      <w:pPr>
        <w:widowControl/>
        <w:spacing w:line="360" w:lineRule="auto"/>
        <w:ind w:firstLine="482" w:firstLineChars="200"/>
        <w:jc w:val="left"/>
        <w:rPr>
          <w:rFonts w:ascii="宋体" w:hAnsi="宋体"/>
          <w:b/>
          <w:sz w:val="24"/>
        </w:rPr>
      </w:pPr>
      <w:r>
        <w:rPr>
          <w:rFonts w:hint="eastAsia" w:ascii="宋体" w:hAnsi="宋体"/>
          <w:b/>
          <w:sz w:val="24"/>
        </w:rPr>
        <w:t>标项3：升降式课桌椅项目标项3</w:t>
      </w:r>
    </w:p>
    <w:p>
      <w:pPr>
        <w:widowControl/>
        <w:spacing w:line="360" w:lineRule="auto"/>
        <w:ind w:firstLine="482" w:firstLineChars="200"/>
        <w:jc w:val="left"/>
        <w:rPr>
          <w:rFonts w:ascii="宋体" w:hAnsi="宋体"/>
          <w:b/>
          <w:sz w:val="24"/>
        </w:rPr>
      </w:pPr>
      <w:r>
        <w:rPr>
          <w:rFonts w:hint="eastAsia" w:ascii="宋体" w:hAnsi="宋体"/>
          <w:b/>
          <w:sz w:val="24"/>
        </w:rPr>
        <w:t xml:space="preserve">预算：人民币450.225 </w:t>
      </w:r>
      <w:r>
        <w:rPr>
          <w:rFonts w:ascii="宋体" w:hAnsi="宋体"/>
          <w:b/>
          <w:sz w:val="24"/>
        </w:rPr>
        <w:t>万元</w:t>
      </w:r>
      <w:r>
        <w:rPr>
          <w:rFonts w:hint="eastAsia" w:ascii="宋体" w:hAnsi="宋体"/>
          <w:b/>
          <w:sz w:val="24"/>
        </w:rPr>
        <w:t xml:space="preserve">   最高限价：人民币405.72</w:t>
      </w:r>
      <w:r>
        <w:rPr>
          <w:rFonts w:ascii="宋体" w:hAnsi="宋体"/>
          <w:b/>
          <w:sz w:val="24"/>
        </w:rPr>
        <w:t>万元</w:t>
      </w:r>
    </w:p>
    <w:p>
      <w:pPr>
        <w:widowControl/>
        <w:spacing w:line="360" w:lineRule="auto"/>
        <w:ind w:firstLine="482" w:firstLineChars="200"/>
        <w:jc w:val="left"/>
        <w:rPr>
          <w:rFonts w:ascii="宋体" w:hAnsi="宋体"/>
          <w:b/>
          <w:sz w:val="24"/>
        </w:rPr>
      </w:pPr>
      <w:r>
        <w:rPr>
          <w:rFonts w:hint="eastAsia" w:ascii="宋体" w:hAnsi="宋体"/>
          <w:b/>
          <w:sz w:val="24"/>
        </w:rPr>
        <w:t>标项4：升降式课桌椅项目标项4</w:t>
      </w:r>
    </w:p>
    <w:p>
      <w:pPr>
        <w:widowControl/>
        <w:spacing w:line="360" w:lineRule="auto"/>
        <w:ind w:firstLine="482" w:firstLineChars="200"/>
        <w:jc w:val="left"/>
        <w:rPr>
          <w:rFonts w:ascii="宋体" w:hAnsi="宋体"/>
          <w:b/>
          <w:sz w:val="24"/>
          <w:highlight w:val="yellow"/>
        </w:rPr>
      </w:pPr>
      <w:r>
        <w:rPr>
          <w:rFonts w:hint="eastAsia" w:ascii="宋体" w:hAnsi="宋体"/>
          <w:b/>
          <w:sz w:val="24"/>
        </w:rPr>
        <w:t>预算：人民币469.125</w:t>
      </w:r>
      <w:r>
        <w:rPr>
          <w:rFonts w:ascii="宋体" w:hAnsi="宋体"/>
          <w:b/>
          <w:sz w:val="24"/>
        </w:rPr>
        <w:t>万元</w:t>
      </w:r>
      <w:r>
        <w:rPr>
          <w:rFonts w:hint="eastAsia" w:ascii="宋体" w:hAnsi="宋体"/>
          <w:b/>
          <w:sz w:val="24"/>
        </w:rPr>
        <w:t xml:space="preserve">   最高限价：人民币402.57</w:t>
      </w:r>
      <w:r>
        <w:rPr>
          <w:rFonts w:ascii="宋体" w:hAnsi="宋体"/>
          <w:b/>
          <w:sz w:val="24"/>
        </w:rPr>
        <w:t>万元</w:t>
      </w:r>
    </w:p>
    <w:p>
      <w:pPr>
        <w:snapToGrid w:val="0"/>
        <w:spacing w:line="360" w:lineRule="auto"/>
        <w:ind w:firstLine="472" w:firstLineChars="196"/>
        <w:rPr>
          <w:rFonts w:ascii="宋体" w:hAnsi="宋体"/>
          <w:b/>
          <w:bCs/>
          <w:sz w:val="24"/>
          <w:shd w:val="pct10" w:color="auto" w:fill="FFFFFF"/>
        </w:rPr>
      </w:pPr>
      <w:r>
        <w:rPr>
          <w:rFonts w:hint="eastAsia" w:ascii="宋体" w:hAnsi="宋体" w:cs="宋体"/>
          <w:b/>
          <w:kern w:val="0"/>
          <w:sz w:val="24"/>
        </w:rPr>
        <w:t>注：本项目分为4个标项，投标人可根据自身能力选择一个或多个标项参与投标，且</w:t>
      </w:r>
      <w:r>
        <w:rPr>
          <w:rFonts w:hint="eastAsia" w:ascii="宋体" w:hAnsi="宋体" w:cs="宋体"/>
          <w:b/>
          <w:sz w:val="24"/>
        </w:rPr>
        <w:t>可以同时参与多个标项的评审，但一个</w:t>
      </w:r>
      <w:r>
        <w:rPr>
          <w:rFonts w:hint="eastAsia" w:ascii="宋体" w:hAnsi="宋体"/>
          <w:b/>
          <w:sz w:val="24"/>
        </w:rPr>
        <w:t>投标人</w:t>
      </w:r>
      <w:r>
        <w:rPr>
          <w:rFonts w:hint="eastAsia" w:ascii="宋体" w:hAnsi="宋体" w:cs="宋体"/>
          <w:b/>
          <w:sz w:val="24"/>
        </w:rPr>
        <w:t>只能中标一个标项；</w:t>
      </w:r>
      <w:r>
        <w:rPr>
          <w:rFonts w:hint="eastAsia" w:ascii="宋体" w:hAnsi="宋体"/>
          <w:b/>
          <w:bCs/>
          <w:sz w:val="24"/>
        </w:rPr>
        <w:t>按标项1，标项2，标项3，标项4的顺序确定中标人</w:t>
      </w:r>
      <w:r>
        <w:rPr>
          <w:rFonts w:hint="eastAsia" w:ascii="宋体" w:hAnsi="宋体" w:cs="宋体"/>
          <w:b/>
          <w:kern w:val="0"/>
          <w:sz w:val="24"/>
        </w:rPr>
        <w:t>，</w:t>
      </w:r>
      <w:r>
        <w:rPr>
          <w:rFonts w:hint="eastAsia" w:ascii="宋体" w:hAnsi="宋体" w:cs="宋体"/>
          <w:b/>
          <w:sz w:val="24"/>
        </w:rPr>
        <w:t>已中标的</w:t>
      </w:r>
      <w:r>
        <w:rPr>
          <w:rFonts w:hint="eastAsia" w:ascii="宋体" w:hAnsi="宋体"/>
          <w:b/>
          <w:sz w:val="24"/>
        </w:rPr>
        <w:t>投标人</w:t>
      </w:r>
      <w:r>
        <w:rPr>
          <w:rFonts w:hint="eastAsia" w:ascii="宋体" w:hAnsi="宋体" w:cs="宋体"/>
          <w:b/>
          <w:sz w:val="24"/>
        </w:rPr>
        <w:t>仍然进入下一标项的评审，但不再确定为中标人。</w:t>
      </w:r>
    </w:p>
    <w:p>
      <w:pPr>
        <w:snapToGrid w:val="0"/>
        <w:spacing w:line="360" w:lineRule="auto"/>
        <w:ind w:firstLine="480" w:firstLineChars="200"/>
        <w:rPr>
          <w:rFonts w:ascii="宋体" w:hAnsi="宋体"/>
          <w:sz w:val="24"/>
        </w:rPr>
      </w:pPr>
      <w:r>
        <w:rPr>
          <w:rFonts w:hint="eastAsia" w:ascii="宋体" w:hAnsi="宋体"/>
          <w:sz w:val="24"/>
        </w:rPr>
        <w:t>详</w:t>
      </w:r>
      <w:r>
        <w:rPr>
          <w:rFonts w:hint="eastAsia" w:ascii="宋体" w:hAnsi="宋体" w:cs="仿宋"/>
          <w:sz w:val="24"/>
        </w:rPr>
        <w:t>见招标文件第二章采购需求</w:t>
      </w:r>
    </w:p>
    <w:p>
      <w:pPr>
        <w:snapToGrid w:val="0"/>
        <w:spacing w:line="360" w:lineRule="auto"/>
        <w:ind w:firstLine="470" w:firstLineChars="196"/>
        <w:rPr>
          <w:rFonts w:ascii="宋体" w:hAnsi="宋体" w:cs="仿宋"/>
          <w:sz w:val="24"/>
        </w:rPr>
      </w:pPr>
      <w:r>
        <w:rPr>
          <w:rFonts w:hint="eastAsia" w:ascii="宋体" w:hAnsi="宋体" w:cs="仿宋"/>
          <w:sz w:val="24"/>
        </w:rPr>
        <w:t>合同履行期限：见招标文件第二章采购需求</w:t>
      </w:r>
    </w:p>
    <w:p>
      <w:pPr>
        <w:snapToGrid w:val="0"/>
        <w:spacing w:line="360" w:lineRule="auto"/>
        <w:ind w:firstLine="470" w:firstLineChars="196"/>
        <w:rPr>
          <w:rFonts w:ascii="宋体" w:hAnsi="宋体" w:cs="仿宋"/>
          <w:sz w:val="24"/>
        </w:rPr>
      </w:pPr>
      <w:r>
        <w:rPr>
          <w:rFonts w:hint="eastAsia" w:ascii="宋体" w:hAnsi="宋体" w:cs="仿宋"/>
          <w:sz w:val="24"/>
        </w:rPr>
        <w:t>本项目（是）接受联合体投标。</w:t>
      </w:r>
    </w:p>
    <w:p>
      <w:pPr>
        <w:snapToGrid w:val="0"/>
        <w:spacing w:line="360" w:lineRule="auto"/>
        <w:rPr>
          <w:rFonts w:ascii="宋体" w:hAnsi="宋体" w:cs="Arial"/>
          <w:b/>
          <w:sz w:val="24"/>
        </w:rPr>
      </w:pPr>
      <w:r>
        <w:rPr>
          <w:rFonts w:hint="eastAsia" w:ascii="宋体" w:hAnsi="宋体" w:cs="Arial"/>
          <w:b/>
          <w:sz w:val="24"/>
        </w:rPr>
        <w:t>二、申请人的资格要求：</w:t>
      </w:r>
    </w:p>
    <w:p>
      <w:pPr>
        <w:snapToGrid w:val="0"/>
        <w:spacing w:line="360" w:lineRule="auto"/>
        <w:ind w:firstLine="480" w:firstLineChars="200"/>
        <w:rPr>
          <w:rFonts w:ascii="宋体" w:hAnsi="宋体" w:cs="Arial"/>
          <w:sz w:val="24"/>
        </w:rPr>
      </w:pPr>
      <w:r>
        <w:rPr>
          <w:rFonts w:hint="eastAsia" w:ascii="宋体" w:hAnsi="宋体" w:cs="仿宋"/>
          <w:sz w:val="24"/>
        </w:rPr>
        <w:t>1.满足《中华人民共和国政府采购法》第二十二条规定；</w:t>
      </w:r>
      <w:r>
        <w:rPr>
          <w:rFonts w:hint="eastAsia" w:ascii="宋体" w:hAnsi="宋体"/>
          <w:sz w:val="24"/>
        </w:rPr>
        <w:t>且未被“信用中国”（www.creditchina.gov.cn）、中国政府采购网（www.ccgp.gov.cn）列入失信被执行人、重大税收违法案件当事人名单、政府采购严重违法失信行为记录名单。</w:t>
      </w:r>
    </w:p>
    <w:p>
      <w:pPr>
        <w:snapToGrid w:val="0"/>
        <w:spacing w:line="360" w:lineRule="auto"/>
        <w:ind w:firstLine="482" w:firstLineChars="200"/>
        <w:rPr>
          <w:rFonts w:ascii="宋体" w:hAnsi="宋体"/>
          <w:b/>
          <w:color w:val="FF0000"/>
          <w:sz w:val="24"/>
        </w:rPr>
      </w:pPr>
      <w:r>
        <w:rPr>
          <w:rFonts w:hint="eastAsia" w:ascii="宋体" w:hAnsi="宋体"/>
          <w:b/>
          <w:color w:val="FF0000"/>
          <w:sz w:val="24"/>
        </w:rPr>
        <w:t>2.落实政府采购政策需满足的资格要求：</w:t>
      </w:r>
      <w:r>
        <w:rPr>
          <w:rFonts w:ascii="宋体" w:hAnsi="宋体"/>
          <w:b/>
          <w:color w:val="FF0000"/>
          <w:sz w:val="24"/>
        </w:rPr>
        <w:t>本项目属于面向中小企业预留采购份额项目，预留份额通过采购合同的供应商将采购项目中的一定比例分包给一家或者多家中小企业进行，分包意向协议中预留给中小企业的金额应当不低于总金额的</w:t>
      </w:r>
      <w:r>
        <w:rPr>
          <w:rFonts w:hint="eastAsia" w:ascii="宋体" w:hAnsi="宋体"/>
          <w:b/>
          <w:color w:val="FF0000"/>
          <w:sz w:val="24"/>
        </w:rPr>
        <w:t>4</w:t>
      </w:r>
      <w:r>
        <w:rPr>
          <w:rFonts w:ascii="宋体" w:hAnsi="宋体"/>
          <w:b/>
          <w:color w:val="FF0000"/>
          <w:sz w:val="24"/>
        </w:rPr>
        <w:t>0%。接受分包合同的中小企业和分包企业之间不得存在直接控股、管理关系。提供明确以上事项的《分包意向协议》和《中小企业声明函》（监狱企业视同小型、微型企业，提供由省级以上监狱管理局、戒毒管理局(含新疆生产建设兵团)出具的属于监狱企业的证明文件；残疾人福利性单位视同小型、微型企业，提供《残疾人福利性单位声明函》）。</w:t>
      </w:r>
    </w:p>
    <w:p>
      <w:pPr>
        <w:snapToGrid w:val="0"/>
        <w:spacing w:line="360" w:lineRule="auto"/>
        <w:ind w:firstLine="482" w:firstLineChars="200"/>
        <w:rPr>
          <w:rFonts w:ascii="宋体" w:hAnsi="宋体"/>
          <w:b/>
          <w:color w:val="FF0000"/>
          <w:sz w:val="24"/>
        </w:rPr>
      </w:pPr>
      <w:r>
        <w:rPr>
          <w:rFonts w:ascii="宋体" w:hAnsi="宋体"/>
          <w:b/>
          <w:color w:val="FF0000"/>
          <w:sz w:val="24"/>
        </w:rPr>
        <w:t>如果供应商本身提供所有标的均由中小企业制造、承建或承接，视同符合本条资格条件，无需再进行分包。提供明确以上事项的《中小企业声明函》（监狱企业视同小型、微型企业，提供由省级以上监狱管理局、戒毒管理局(含新疆生产建设兵团)出具的属于监狱企业的证明文件；残疾人福利性单位视同小型、微型企业，提供《残疾人福利性单位声明函》）。</w:t>
      </w:r>
    </w:p>
    <w:p>
      <w:pPr>
        <w:spacing w:line="360" w:lineRule="auto"/>
        <w:ind w:firstLine="480" w:firstLineChars="200"/>
        <w:rPr>
          <w:rFonts w:ascii="宋体" w:hAnsi="宋体" w:cs="宋体"/>
          <w:sz w:val="24"/>
        </w:rPr>
      </w:pPr>
      <w:r>
        <w:rPr>
          <w:rFonts w:hint="eastAsia" w:ascii="宋体" w:hAnsi="宋体" w:cs="仿宋"/>
          <w:sz w:val="24"/>
        </w:rPr>
        <w:t>3.本项目的特定资格要求：无</w:t>
      </w:r>
      <w:r>
        <w:rPr>
          <w:rFonts w:hint="eastAsia" w:ascii="宋体" w:hAnsi="宋体" w:cs="宋体"/>
          <w:sz w:val="24"/>
        </w:rPr>
        <w:t>；</w:t>
      </w:r>
    </w:p>
    <w:p>
      <w:pPr>
        <w:spacing w:line="360" w:lineRule="auto"/>
        <w:ind w:firstLine="480" w:firstLineChars="200"/>
        <w:rPr>
          <w:rFonts w:ascii="宋体" w:hAnsi="宋体" w:cs="仿宋"/>
          <w:sz w:val="24"/>
        </w:rPr>
      </w:pPr>
      <w:r>
        <w:rPr>
          <w:rFonts w:hint="eastAsia" w:ascii="宋体" w:hAnsi="宋体" w:cs="宋体"/>
          <w:color w:val="000000"/>
          <w:kern w:val="0"/>
          <w:sz w:val="24"/>
        </w:rPr>
        <w:t>4.本项目接受联合体投标。</w:t>
      </w:r>
    </w:p>
    <w:p>
      <w:pPr>
        <w:snapToGrid w:val="0"/>
        <w:spacing w:line="360" w:lineRule="auto"/>
        <w:rPr>
          <w:rFonts w:ascii="宋体" w:hAnsi="宋体" w:cs="Arial"/>
          <w:b/>
          <w:sz w:val="24"/>
        </w:rPr>
      </w:pPr>
      <w:r>
        <w:rPr>
          <w:rFonts w:hint="eastAsia" w:ascii="宋体" w:hAnsi="宋体" w:cs="Arial"/>
          <w:b/>
          <w:sz w:val="24"/>
        </w:rPr>
        <w:t>三、获取招标文件：</w:t>
      </w:r>
    </w:p>
    <w:p>
      <w:pPr>
        <w:snapToGrid w:val="0"/>
        <w:spacing w:line="360" w:lineRule="auto"/>
        <w:ind w:firstLine="480" w:firstLineChars="200"/>
        <w:rPr>
          <w:rFonts w:ascii="宋体" w:hAnsi="宋体" w:cs="仿宋"/>
          <w:sz w:val="24"/>
        </w:rPr>
      </w:pPr>
      <w:r>
        <w:rPr>
          <w:rFonts w:hint="eastAsia" w:ascii="宋体" w:hAnsi="宋体" w:cs="仿宋"/>
          <w:sz w:val="24"/>
        </w:rPr>
        <w:t>时间：2022年6月23日至2022年</w:t>
      </w:r>
      <w:r>
        <w:rPr>
          <w:rFonts w:hint="eastAsia" w:ascii="宋体" w:hAnsi="宋体"/>
          <w:sz w:val="24"/>
        </w:rPr>
        <w:t>7</w:t>
      </w:r>
      <w:r>
        <w:rPr>
          <w:rFonts w:hint="eastAsia" w:ascii="宋体" w:hAnsi="宋体" w:cs="仿宋"/>
          <w:sz w:val="24"/>
        </w:rPr>
        <w:t>月13日</w:t>
      </w:r>
    </w:p>
    <w:p>
      <w:pPr>
        <w:snapToGrid w:val="0"/>
        <w:spacing w:line="360" w:lineRule="auto"/>
        <w:ind w:firstLine="480" w:firstLineChars="200"/>
        <w:rPr>
          <w:rFonts w:ascii="宋体" w:hAnsi="宋体" w:cs="仿宋"/>
          <w:sz w:val="24"/>
        </w:rPr>
      </w:pPr>
      <w:r>
        <w:rPr>
          <w:rFonts w:hint="eastAsia" w:ascii="宋体" w:hAnsi="宋体" w:cs="仿宋"/>
          <w:sz w:val="24"/>
        </w:rPr>
        <w:t>地点：本次招标文件实行网上获取，不接受供应商现场报名，供应商须登录浙江政府采购网（http://zfcg.czt.zj.gov.cn/）进入政采云系统“项目采购”模块“获取采购文件”菜单，进行网上获取招标文件（“政采云”注册账号、密码登录系统后获取招标文件）</w:t>
      </w:r>
    </w:p>
    <w:p>
      <w:pPr>
        <w:snapToGrid w:val="0"/>
        <w:spacing w:line="360" w:lineRule="auto"/>
        <w:ind w:firstLine="480" w:firstLineChars="200"/>
        <w:rPr>
          <w:rFonts w:ascii="宋体" w:hAnsi="宋体" w:cs="仿宋"/>
          <w:sz w:val="24"/>
        </w:rPr>
      </w:pPr>
      <w:r>
        <w:rPr>
          <w:rFonts w:hint="eastAsia" w:ascii="宋体" w:hAnsi="宋体" w:cs="仿宋"/>
          <w:sz w:val="24"/>
        </w:rPr>
        <w:t>方式：本次招标文件实行网上获取，不接受供应商现场报名。</w:t>
      </w:r>
    </w:p>
    <w:p>
      <w:pPr>
        <w:snapToGrid w:val="0"/>
        <w:spacing w:line="360" w:lineRule="auto"/>
        <w:ind w:firstLine="480" w:firstLineChars="200"/>
        <w:rPr>
          <w:rFonts w:ascii="宋体" w:hAnsi="宋体" w:cs="仿宋"/>
          <w:sz w:val="24"/>
        </w:rPr>
      </w:pPr>
      <w:r>
        <w:rPr>
          <w:rFonts w:hint="eastAsia" w:ascii="宋体" w:hAnsi="宋体" w:cs="仿宋"/>
          <w:sz w:val="24"/>
        </w:rPr>
        <w:t>售价：0</w:t>
      </w:r>
    </w:p>
    <w:p>
      <w:pPr>
        <w:snapToGrid w:val="0"/>
        <w:spacing w:line="360" w:lineRule="auto"/>
        <w:rPr>
          <w:rFonts w:ascii="宋体" w:hAnsi="宋体" w:cs="Arial"/>
          <w:b/>
          <w:sz w:val="24"/>
        </w:rPr>
      </w:pPr>
      <w:r>
        <w:rPr>
          <w:rFonts w:hint="eastAsia" w:ascii="宋体" w:hAnsi="宋体" w:cs="Arial"/>
          <w:b/>
          <w:sz w:val="24"/>
        </w:rPr>
        <w:t>四、提交投标文件截止时间、开标时间和地点：</w:t>
      </w:r>
    </w:p>
    <w:p>
      <w:pPr>
        <w:snapToGrid w:val="0"/>
        <w:spacing w:line="360" w:lineRule="auto"/>
        <w:ind w:firstLine="600" w:firstLineChars="250"/>
        <w:rPr>
          <w:rFonts w:ascii="宋体" w:hAnsi="宋体" w:cs="仿宋"/>
          <w:bCs/>
          <w:sz w:val="24"/>
        </w:rPr>
      </w:pPr>
      <w:r>
        <w:rPr>
          <w:rFonts w:hint="eastAsia" w:ascii="宋体" w:hAnsi="宋体" w:cs="仿宋"/>
          <w:sz w:val="24"/>
        </w:rPr>
        <w:t>2022年</w:t>
      </w:r>
      <w:r>
        <w:rPr>
          <w:rFonts w:hint="eastAsia" w:ascii="宋体" w:hAnsi="宋体"/>
          <w:sz w:val="24"/>
        </w:rPr>
        <w:t>7</w:t>
      </w:r>
      <w:r>
        <w:rPr>
          <w:rFonts w:hint="eastAsia" w:ascii="宋体" w:hAnsi="宋体" w:cs="仿宋"/>
          <w:sz w:val="24"/>
        </w:rPr>
        <w:t>月13日</w:t>
      </w:r>
      <w:r>
        <w:rPr>
          <w:rFonts w:hint="eastAsia" w:ascii="宋体" w:hAnsi="宋体"/>
          <w:sz w:val="24"/>
        </w:rPr>
        <w:t>9：00（北京时间）</w:t>
      </w:r>
    </w:p>
    <w:p>
      <w:pPr>
        <w:snapToGrid w:val="0"/>
        <w:spacing w:line="360" w:lineRule="auto"/>
        <w:ind w:firstLine="600" w:firstLineChars="250"/>
        <w:rPr>
          <w:rFonts w:ascii="宋体" w:hAnsi="宋体" w:cs="仿宋"/>
          <w:bCs/>
          <w:sz w:val="24"/>
          <w:u w:val="single"/>
        </w:rPr>
      </w:pPr>
      <w:r>
        <w:rPr>
          <w:rFonts w:hint="eastAsia" w:ascii="宋体" w:hAnsi="宋体" w:cs="仿宋"/>
          <w:sz w:val="24"/>
        </w:rPr>
        <w:t>地点：</w:t>
      </w:r>
      <w:r>
        <w:rPr>
          <w:rFonts w:hint="eastAsia" w:ascii="宋体" w:hAnsi="宋体" w:cs="宋体"/>
          <w:kern w:val="0"/>
          <w:sz w:val="24"/>
        </w:rPr>
        <w:t>湖州市吴兴区公共资源交易中心（湖州市吴兴区区府路1188号总部自由港E幢4楼）401开标室（</w:t>
      </w:r>
      <w:r>
        <w:rPr>
          <w:rFonts w:hint="eastAsia" w:ascii="宋体" w:hAnsi="宋体" w:cs="仿宋"/>
          <w:sz w:val="24"/>
        </w:rPr>
        <w:t>通过“政府采购云平台（http://www.zcygov.cn）”实行在线投标及开标）。</w:t>
      </w:r>
    </w:p>
    <w:p>
      <w:pPr>
        <w:snapToGrid w:val="0"/>
        <w:spacing w:line="360" w:lineRule="auto"/>
        <w:rPr>
          <w:rFonts w:ascii="宋体" w:hAnsi="宋体" w:cs="Arial"/>
          <w:b/>
          <w:sz w:val="24"/>
        </w:rPr>
      </w:pPr>
      <w:r>
        <w:rPr>
          <w:rFonts w:hint="eastAsia" w:ascii="宋体" w:hAnsi="宋体" w:cs="Arial"/>
          <w:b/>
          <w:sz w:val="24"/>
        </w:rPr>
        <w:t>五、公告期限</w:t>
      </w:r>
    </w:p>
    <w:p>
      <w:pPr>
        <w:snapToGrid w:val="0"/>
        <w:spacing w:line="360" w:lineRule="auto"/>
        <w:ind w:firstLine="480" w:firstLineChars="200"/>
        <w:rPr>
          <w:rFonts w:ascii="宋体" w:hAnsi="宋体" w:cs="仿宋"/>
          <w:kern w:val="0"/>
          <w:sz w:val="24"/>
        </w:rPr>
      </w:pPr>
      <w:r>
        <w:rPr>
          <w:rFonts w:hint="eastAsia" w:ascii="宋体" w:hAnsi="宋体" w:cs="仿宋"/>
          <w:kern w:val="0"/>
          <w:sz w:val="24"/>
        </w:rPr>
        <w:t>自本公告发布之日起5个工作日。</w:t>
      </w:r>
    </w:p>
    <w:p>
      <w:pPr>
        <w:spacing w:line="360" w:lineRule="auto"/>
        <w:rPr>
          <w:rFonts w:ascii="宋体" w:hAnsi="宋体" w:cs="仿宋"/>
          <w:b/>
          <w:sz w:val="24"/>
        </w:rPr>
      </w:pPr>
      <w:r>
        <w:rPr>
          <w:rFonts w:hint="eastAsia" w:ascii="宋体" w:hAnsi="宋体" w:cs="仿宋"/>
          <w:b/>
          <w:kern w:val="0"/>
          <w:sz w:val="24"/>
        </w:rPr>
        <w:t>六、</w:t>
      </w:r>
      <w:r>
        <w:rPr>
          <w:rFonts w:hint="eastAsia" w:ascii="宋体" w:hAnsi="宋体" w:cs="仿宋"/>
          <w:b/>
          <w:sz w:val="24"/>
        </w:rPr>
        <w:t>其他补充事宜</w:t>
      </w:r>
    </w:p>
    <w:p>
      <w:pPr>
        <w:spacing w:line="360" w:lineRule="auto"/>
        <w:ind w:firstLine="480" w:firstLineChars="200"/>
        <w:rPr>
          <w:rFonts w:ascii="宋体" w:hAnsi="宋体" w:cs="仿宋"/>
          <w:kern w:val="0"/>
          <w:sz w:val="24"/>
        </w:rPr>
      </w:pPr>
      <w:r>
        <w:rPr>
          <w:rFonts w:hint="eastAsia" w:ascii="宋体" w:hAnsi="宋体" w:cs="仿宋"/>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做出答复的，可以在答复期满后十五个工作日内向同级政府采购监督管理部门投诉。质疑函范本、投诉书范本请到浙江政府采购网下载专区下载。</w:t>
      </w:r>
    </w:p>
    <w:p>
      <w:pPr>
        <w:spacing w:line="360" w:lineRule="auto"/>
        <w:ind w:firstLine="360" w:firstLineChars="150"/>
        <w:rPr>
          <w:rFonts w:ascii="宋体" w:hAnsi="宋体" w:cs="仿宋"/>
          <w:kern w:val="0"/>
          <w:sz w:val="24"/>
        </w:rPr>
      </w:pPr>
      <w:r>
        <w:rPr>
          <w:rFonts w:hint="eastAsia" w:ascii="宋体" w:hAnsi="宋体" w:cs="仿宋"/>
          <w:sz w:val="24"/>
        </w:rPr>
        <w:t>2、根据《中华人民共和国财政部令第94号-政府采购质疑和投诉办法》规定，供应商在法定质疑期内须一次性提出针对同一采购程序环节的质疑。质疑供应商对采购人、采购代理机构的答复不满意或者采购人、采购代理机构未在规定的时间内做出答复的，可以在答复期满后十五个工作日内向同级政府采购监督管理部门投诉。</w:t>
      </w:r>
    </w:p>
    <w:p>
      <w:pPr>
        <w:spacing w:line="360" w:lineRule="auto"/>
        <w:ind w:firstLine="360" w:firstLineChars="150"/>
        <w:rPr>
          <w:rFonts w:ascii="宋体" w:hAnsi="宋体" w:cs="仿宋"/>
          <w:kern w:val="0"/>
          <w:sz w:val="24"/>
        </w:rPr>
      </w:pPr>
      <w:r>
        <w:rPr>
          <w:rFonts w:hint="eastAsia" w:ascii="宋体" w:hAnsi="宋体" w:cs="仿宋"/>
          <w:sz w:val="24"/>
        </w:rPr>
        <w:t>3、潜在供应商已依法获取（依法获取指：供应商按本项目招标公告要求在政采云系统上获取并报名成功）其可质疑的招标文件，可以对该文件提出质疑。未按照规定方式依法获取招标文件的，不得对招标文件提起质疑投诉。</w:t>
      </w:r>
    </w:p>
    <w:p>
      <w:pPr>
        <w:spacing w:line="360" w:lineRule="auto"/>
        <w:ind w:firstLine="360" w:firstLineChars="150"/>
        <w:rPr>
          <w:rFonts w:ascii="宋体" w:hAnsi="宋体" w:cs="仿宋"/>
          <w:kern w:val="0"/>
          <w:sz w:val="24"/>
        </w:rPr>
      </w:pPr>
      <w:r>
        <w:rPr>
          <w:rFonts w:hint="eastAsia" w:ascii="宋体" w:hAnsi="宋体" w:cs="仿宋"/>
          <w:sz w:val="24"/>
        </w:rPr>
        <w:t>4、答疑内容是招标文件的组成部分，并将在网上发布补充（答疑、澄清）文件，潜在供应商应自行关注网站公告，采购人不再一一通知，供应商因自身贻误行为导致投标失效的，责任自负。</w:t>
      </w:r>
    </w:p>
    <w:p>
      <w:pPr>
        <w:spacing w:line="360" w:lineRule="auto"/>
        <w:ind w:firstLine="360" w:firstLineChars="150"/>
        <w:rPr>
          <w:rFonts w:ascii="宋体" w:hAnsi="宋体" w:cs="仿宋"/>
          <w:sz w:val="24"/>
        </w:rPr>
      </w:pPr>
      <w:r>
        <w:rPr>
          <w:rFonts w:hint="eastAsia" w:ascii="宋体" w:hAnsi="宋体" w:cs="仿宋"/>
          <w:sz w:val="24"/>
        </w:rPr>
        <w:t>5、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pPr>
        <w:snapToGrid w:val="0"/>
        <w:spacing w:line="360" w:lineRule="auto"/>
        <w:ind w:firstLine="480" w:firstLineChars="200"/>
        <w:rPr>
          <w:rFonts w:ascii="宋体" w:hAnsi="宋体" w:cs="Arial"/>
          <w:b/>
          <w:sz w:val="24"/>
        </w:rPr>
      </w:pPr>
      <w:r>
        <w:rPr>
          <w:rFonts w:hint="eastAsia" w:ascii="宋体" w:hAnsi="宋体" w:cs="宋体"/>
          <w:sz w:val="24"/>
        </w:rPr>
        <w:t>6</w:t>
      </w:r>
      <w:r>
        <w:rPr>
          <w:rFonts w:ascii="宋体" w:hAnsi="宋体" w:cs="宋体"/>
          <w:sz w:val="24"/>
        </w:rPr>
        <w:t>、根据《政府采购促进中小企业发展管理办法》，本项目是否专门面向中小企业采购：</w:t>
      </w:r>
      <w:r>
        <w:rPr>
          <w:rFonts w:hint="eastAsia" w:ascii="宋体" w:hAnsi="宋体" w:cs="宋体"/>
          <w:sz w:val="24"/>
        </w:rPr>
        <w:t>否</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仿宋"/>
          <w:sz w:val="24"/>
        </w:rPr>
        <w:t>7、本项目公告发布网站：</w:t>
      </w:r>
      <w:r>
        <w:rPr>
          <w:rFonts w:hint="eastAsia" w:ascii="宋体" w:hAnsi="宋体" w:cs="宋体"/>
          <w:kern w:val="0"/>
          <w:sz w:val="24"/>
        </w:rPr>
        <w:t>“浙江省政府采购网”(http://zfcg.czt.zj.gov.cn/)和吴兴区人民政府网http://www.wuxing.gov.cn/首页“吴兴区公共资源交易中心”专栏。</w:t>
      </w:r>
    </w:p>
    <w:p>
      <w:pPr>
        <w:snapToGrid w:val="0"/>
        <w:spacing w:line="360" w:lineRule="auto"/>
        <w:ind w:firstLine="480" w:firstLineChars="200"/>
        <w:rPr>
          <w:rFonts w:ascii="宋体" w:hAnsi="宋体" w:cs="仿宋"/>
          <w:kern w:val="0"/>
          <w:sz w:val="24"/>
        </w:rPr>
      </w:pPr>
      <w:r>
        <w:rPr>
          <w:rFonts w:hint="eastAsia" w:ascii="宋体" w:hAnsi="宋体" w:cs="仿宋"/>
          <w:sz w:val="24"/>
        </w:rPr>
        <w:t>8、投标事项：</w:t>
      </w:r>
    </w:p>
    <w:p>
      <w:pPr>
        <w:spacing w:line="360" w:lineRule="auto"/>
        <w:rPr>
          <w:rFonts w:ascii="宋体" w:hAnsi="宋体" w:cs="仿宋"/>
          <w:kern w:val="0"/>
          <w:sz w:val="24"/>
        </w:rPr>
      </w:pPr>
      <w:r>
        <w:rPr>
          <w:rFonts w:hint="eastAsia" w:ascii="宋体" w:hAnsi="宋体" w:cs="仿宋"/>
          <w:sz w:val="24"/>
        </w:rPr>
        <w:t>（1）本项目为电子招投标项目，实行网上招投标，应按照本招标文件及政采云平台的要求编制、加密，要求供应商通过政采云系统在线投标响应，投标截止时间前须完成电子投标文件的上传，供应商在使用系统进行投标的过程中遇到涉及平台使用的任何问题，可致电政采云平台技术支持热线咨询，联系方式：400-881-7190。</w:t>
      </w:r>
    </w:p>
    <w:p>
      <w:pPr>
        <w:spacing w:line="360" w:lineRule="auto"/>
        <w:rPr>
          <w:rFonts w:ascii="宋体" w:hAnsi="宋体" w:cs="仿宋"/>
          <w:sz w:val="24"/>
        </w:rPr>
      </w:pPr>
      <w:r>
        <w:rPr>
          <w:rFonts w:hint="eastAsia" w:ascii="宋体" w:hAnsi="宋体" w:cs="仿宋"/>
          <w:sz w:val="24"/>
        </w:rPr>
        <w:t>（2）参与政府采购项目的注册供应商，需登录浙江政府采购云平台（http://www.zcygov.cn）进行网上报名，尚未注册的供应商应当先在浙江政府采购云平台上申请注册。</w:t>
      </w:r>
    </w:p>
    <w:p>
      <w:pPr>
        <w:spacing w:line="360" w:lineRule="auto"/>
        <w:rPr>
          <w:rFonts w:ascii="宋体" w:hAnsi="宋体" w:cs="仿宋"/>
          <w:kern w:val="0"/>
          <w:sz w:val="24"/>
        </w:rPr>
      </w:pPr>
      <w:r>
        <w:rPr>
          <w:rFonts w:hint="eastAsia" w:ascii="宋体" w:hAnsi="宋体" w:cs="仿宋"/>
          <w:sz w:val="24"/>
        </w:rPr>
        <w:t>（3）政府采购项目电子交易操作指南：</w:t>
      </w:r>
      <w:r>
        <w:t>https://service.zcygov.cn/#/knowledges/CW1EtGwBFdiHxlNd6I3m/6IMVAG0BFdiHxlNdQ8Na</w:t>
      </w:r>
    </w:p>
    <w:p>
      <w:pPr>
        <w:spacing w:line="360" w:lineRule="auto"/>
        <w:rPr>
          <w:rFonts w:ascii="宋体" w:hAnsi="宋体" w:cs="仿宋"/>
          <w:kern w:val="0"/>
          <w:sz w:val="24"/>
        </w:rPr>
      </w:pPr>
      <w:r>
        <w:rPr>
          <w:rFonts w:hint="eastAsia" w:ascii="宋体" w:hAnsi="宋体" w:cs="仿宋"/>
          <w:sz w:val="24"/>
        </w:rPr>
        <w:t>（4）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完成CA数字证书办理预计一周左右，建议各投标人自行把握时间），申领流程请自行前往“浙江政府采购网-下载专区-电子交易客户端-CA驱动和申领流程”进行查阅。办理流程详见http://zfcg.czt.zj.gov.cn/bidClientTemplate/2019-05-27/12945.html，并登录“浙江政府采购网”（http://zfcg.czt.zj.gov.cn/），进入“下载专区”下载“政采云电子交易客户端”，制作投标文件。</w:t>
      </w:r>
    </w:p>
    <w:p>
      <w:pPr>
        <w:spacing w:line="360" w:lineRule="auto"/>
        <w:rPr>
          <w:rFonts w:ascii="宋体" w:hAnsi="宋体" w:cs="仿宋"/>
          <w:sz w:val="24"/>
        </w:rPr>
      </w:pPr>
      <w:r>
        <w:rPr>
          <w:rFonts w:hint="eastAsia" w:ascii="宋体" w:hAnsi="宋体" w:cs="仿宋"/>
          <w:sz w:val="24"/>
        </w:rPr>
        <w:t>（5）投标供应商应当在投标截止时间前，将生成的“电子加密投标文件”上传递交至“政府采购云平台”。投标截止时间以后上传递交的投标文件将被“政府采购云平台”拒收。</w:t>
      </w:r>
    </w:p>
    <w:p>
      <w:pPr>
        <w:spacing w:line="360" w:lineRule="auto"/>
        <w:rPr>
          <w:rFonts w:ascii="宋体" w:hAnsi="宋体" w:cs="宋体"/>
          <w:kern w:val="0"/>
          <w:sz w:val="24"/>
        </w:rPr>
      </w:pPr>
      <w:r>
        <w:rPr>
          <w:rFonts w:hint="eastAsia" w:ascii="宋体" w:hAnsi="宋体" w:cs="宋体"/>
          <w:kern w:val="0"/>
          <w:sz w:val="24"/>
        </w:rPr>
        <w:t>（6）备</w:t>
      </w:r>
      <w:r>
        <w:rPr>
          <w:rFonts w:hint="eastAsia" w:ascii="宋体" w:hAnsi="宋体"/>
          <w:sz w:val="24"/>
        </w:rPr>
        <w:t>份</w:t>
      </w:r>
      <w:r>
        <w:rPr>
          <w:rFonts w:hint="eastAsia" w:ascii="宋体" w:hAnsi="宋体" w:cs="宋体"/>
          <w:kern w:val="0"/>
          <w:sz w:val="24"/>
        </w:rPr>
        <w:t>投标文件</w:t>
      </w:r>
      <w:r>
        <w:rPr>
          <w:rFonts w:hint="eastAsia" w:ascii="宋体" w:hAnsi="宋体"/>
          <w:sz w:val="24"/>
        </w:rPr>
        <w:t>：根据“浙江省政府采购项目电子交易管理暂行办法”第二十条规定，本次招标允许供应商递交备份</w:t>
      </w:r>
      <w:r>
        <w:rPr>
          <w:rFonts w:hint="eastAsia" w:ascii="宋体" w:hAnsi="宋体" w:cs="宋体"/>
          <w:kern w:val="0"/>
          <w:sz w:val="24"/>
        </w:rPr>
        <w:t>投标文件</w:t>
      </w:r>
      <w:r>
        <w:rPr>
          <w:rFonts w:hint="eastAsia" w:ascii="宋体" w:hAnsi="宋体"/>
          <w:sz w:val="24"/>
        </w:rPr>
        <w:t>，仅提交备份</w:t>
      </w:r>
      <w:r>
        <w:rPr>
          <w:rFonts w:hint="eastAsia" w:ascii="宋体" w:hAnsi="宋体" w:cs="宋体"/>
          <w:kern w:val="0"/>
          <w:sz w:val="24"/>
        </w:rPr>
        <w:t>投标文件</w:t>
      </w:r>
      <w:r>
        <w:rPr>
          <w:rFonts w:hint="eastAsia" w:ascii="宋体" w:hAnsi="宋体"/>
          <w:sz w:val="24"/>
        </w:rPr>
        <w:t>的，</w:t>
      </w:r>
      <w:r>
        <w:rPr>
          <w:rFonts w:hint="eastAsia" w:ascii="宋体" w:hAnsi="宋体" w:cs="宋体"/>
          <w:kern w:val="0"/>
          <w:sz w:val="24"/>
        </w:rPr>
        <w:t>投标</w:t>
      </w:r>
      <w:r>
        <w:rPr>
          <w:rFonts w:hint="eastAsia" w:ascii="宋体" w:hAnsi="宋体"/>
          <w:sz w:val="24"/>
        </w:rPr>
        <w:t>无效。本项目不强制要求供应商提交备份</w:t>
      </w:r>
      <w:r>
        <w:rPr>
          <w:rFonts w:hint="eastAsia" w:ascii="宋体" w:hAnsi="宋体" w:cs="宋体"/>
          <w:kern w:val="0"/>
          <w:sz w:val="24"/>
        </w:rPr>
        <w:t>投标文件</w:t>
      </w:r>
      <w:r>
        <w:rPr>
          <w:rFonts w:hint="eastAsia" w:ascii="宋体" w:hAnsi="宋体"/>
          <w:sz w:val="24"/>
        </w:rPr>
        <w:t>，但由于未提交备份</w:t>
      </w:r>
      <w:r>
        <w:rPr>
          <w:rFonts w:hint="eastAsia" w:ascii="宋体" w:hAnsi="宋体" w:cs="宋体"/>
          <w:kern w:val="0"/>
          <w:sz w:val="24"/>
        </w:rPr>
        <w:t>投标文件</w:t>
      </w:r>
      <w:r>
        <w:rPr>
          <w:rFonts w:hint="eastAsia" w:ascii="宋体" w:hAnsi="宋体"/>
          <w:sz w:val="24"/>
        </w:rPr>
        <w:t>而造成项目开评标活动无法进行下去的，</w:t>
      </w:r>
      <w:r>
        <w:rPr>
          <w:rFonts w:hint="eastAsia" w:ascii="宋体" w:hAnsi="宋体" w:cs="宋体"/>
          <w:kern w:val="0"/>
          <w:sz w:val="24"/>
        </w:rPr>
        <w:t>投标</w:t>
      </w:r>
      <w:r>
        <w:rPr>
          <w:rFonts w:hint="eastAsia" w:ascii="宋体" w:hAnsi="宋体"/>
          <w:sz w:val="24"/>
        </w:rPr>
        <w:t>无效的，相关风险由供应</w:t>
      </w:r>
      <w:r>
        <w:rPr>
          <w:rFonts w:hint="eastAsia" w:ascii="宋体" w:hAnsi="宋体" w:cs="宋体"/>
          <w:kern w:val="0"/>
          <w:sz w:val="24"/>
        </w:rPr>
        <w:t>商自行承担。</w:t>
      </w:r>
      <w:r>
        <w:rPr>
          <w:rFonts w:ascii="宋体" w:hAnsi="宋体" w:cs="宋体"/>
          <w:kern w:val="0"/>
          <w:sz w:val="24"/>
        </w:rPr>
        <w:t>备份</w:t>
      </w:r>
      <w:r>
        <w:rPr>
          <w:rFonts w:hint="eastAsia" w:ascii="宋体" w:hAnsi="宋体" w:cs="宋体"/>
          <w:kern w:val="0"/>
          <w:sz w:val="24"/>
        </w:rPr>
        <w:t>投标文件</w:t>
      </w:r>
      <w:r>
        <w:rPr>
          <w:rFonts w:ascii="宋体" w:hAnsi="宋体" w:cs="宋体"/>
          <w:kern w:val="0"/>
          <w:sz w:val="24"/>
        </w:rPr>
        <w:t>:</w:t>
      </w:r>
      <w:r>
        <w:rPr>
          <w:rFonts w:hint="eastAsia" w:ascii="宋体" w:hAnsi="宋体" w:cs="宋体"/>
          <w:kern w:val="0"/>
          <w:sz w:val="24"/>
        </w:rPr>
        <w:t>1份。</w:t>
      </w:r>
      <w:r>
        <w:rPr>
          <w:rFonts w:ascii="宋体" w:hAnsi="宋体" w:cs="宋体"/>
          <w:kern w:val="0"/>
          <w:sz w:val="24"/>
        </w:rPr>
        <w:t>以介质存储的数据电文形式的备份</w:t>
      </w:r>
      <w:r>
        <w:rPr>
          <w:rFonts w:hint="eastAsia" w:ascii="宋体" w:hAnsi="宋体" w:cs="宋体"/>
          <w:kern w:val="0"/>
          <w:sz w:val="24"/>
        </w:rPr>
        <w:t>投标文件</w:t>
      </w:r>
      <w:r>
        <w:rPr>
          <w:rFonts w:ascii="宋体" w:hAnsi="宋体" w:cs="宋体"/>
          <w:kern w:val="0"/>
          <w:sz w:val="24"/>
        </w:rPr>
        <w:t>(BFBS格式)，按政采云平台项目采购-电子交易操作指南中上传的电子</w:t>
      </w:r>
      <w:r>
        <w:rPr>
          <w:rFonts w:hint="eastAsia" w:ascii="宋体" w:hAnsi="宋体" w:cs="宋体"/>
          <w:kern w:val="0"/>
          <w:sz w:val="24"/>
        </w:rPr>
        <w:t>投标文件</w:t>
      </w:r>
      <w:r>
        <w:rPr>
          <w:rFonts w:ascii="宋体" w:hAnsi="宋体" w:cs="宋体"/>
          <w:kern w:val="0"/>
          <w:sz w:val="24"/>
        </w:rPr>
        <w:t>格式，以U盘形式存储提供)。U盘盘面上粘贴标签，标注单位名称，装入一个外包封袋中进行邮寄.邮寄时，总的外包封袋上可不注明单位名称，但应注明单位的联系人、联系电话及项目名称</w:t>
      </w:r>
      <w:r>
        <w:rPr>
          <w:rFonts w:hint="eastAsia" w:ascii="宋体" w:hAnsi="宋体" w:cs="宋体"/>
          <w:kern w:val="0"/>
          <w:sz w:val="24"/>
        </w:rPr>
        <w:t>。邮寄地址为：浙江华耀建设咨询有限公司（湖州市静江公寓1单元1101室），联系人：张治中，联系电话：0572-2198738</w:t>
      </w:r>
      <w:r>
        <w:fldChar w:fldCharType="begin"/>
      </w:r>
      <w:r>
        <w:instrText xml:space="preserve"> HYPERLINK "mailto:huayaohz@163.com。供应商应于2020年9月" </w:instrText>
      </w:r>
      <w:r>
        <w:fldChar w:fldCharType="separate"/>
      </w:r>
      <w:r>
        <w:rPr>
          <w:rFonts w:hint="eastAsia" w:ascii="宋体" w:hAnsi="宋体" w:cs="宋体"/>
          <w:kern w:val="0"/>
          <w:sz w:val="24"/>
        </w:rPr>
        <w:t>，</w:t>
      </w:r>
      <w:r>
        <w:rPr>
          <w:rFonts w:hint="eastAsia" w:ascii="宋体" w:hAnsi="宋体" w:cs="宋体"/>
          <w:kern w:val="0"/>
          <w:sz w:val="24"/>
        </w:rPr>
        <w:fldChar w:fldCharType="end"/>
      </w:r>
      <w:r>
        <w:rPr>
          <w:rFonts w:hint="eastAsia" w:ascii="宋体" w:hAnsi="宋体" w:cs="宋体"/>
          <w:kern w:val="0"/>
          <w:sz w:val="24"/>
        </w:rPr>
        <w:t>拒绝到付。以收件人实际签收时间为准，逾期送达的将拒绝接收。</w:t>
      </w:r>
    </w:p>
    <w:p>
      <w:pPr>
        <w:spacing w:line="360" w:lineRule="auto"/>
        <w:rPr>
          <w:rFonts w:ascii="宋体" w:hAnsi="宋体"/>
          <w:sz w:val="24"/>
        </w:rPr>
      </w:pPr>
      <w:r>
        <w:rPr>
          <w:rFonts w:hint="eastAsia" w:ascii="宋体" w:hAnsi="宋体" w:cs="宋体"/>
          <w:kern w:val="0"/>
          <w:sz w:val="24"/>
        </w:rPr>
        <w:t>（7）本项目开评标会议通过政采云电子交易系统在线完成，</w:t>
      </w:r>
      <w:r>
        <w:rPr>
          <w:rFonts w:hint="eastAsia" w:ascii="宋体" w:hAnsi="宋体"/>
          <w:sz w:val="24"/>
        </w:rPr>
        <w:t>请潜在供应商代表自行准备联网的计算机设备、“政府采购云平台”CA数字证书。开评标会议开始后，应全程关注政采云电子交易系统的各类通知：在线询标等，及时澄清、响应，避免逾期无效等情况的发生。</w:t>
      </w:r>
    </w:p>
    <w:p>
      <w:pPr>
        <w:spacing w:line="360" w:lineRule="auto"/>
        <w:ind w:firstLine="361" w:firstLineChars="150"/>
        <w:rPr>
          <w:rFonts w:ascii="宋体" w:hAnsi="宋体" w:cs="宋体"/>
          <w:kern w:val="0"/>
          <w:sz w:val="24"/>
        </w:rPr>
      </w:pPr>
      <w:r>
        <w:rPr>
          <w:rFonts w:hint="eastAsia" w:ascii="宋体" w:hAnsi="宋体" w:cs="仿宋"/>
          <w:b/>
          <w:sz w:val="24"/>
        </w:rPr>
        <w:t>9.告知事项：</w:t>
      </w:r>
      <w:r>
        <w:rPr>
          <w:rFonts w:hint="eastAsia" w:ascii="宋体" w:hAnsi="宋体" w:cs="宋体"/>
          <w:kern w:val="0"/>
          <w:sz w:val="24"/>
        </w:rPr>
        <w:t>为贯彻落实新型冠状病毒感染的肺炎疫情防控工作要求，按照《财政部办公厅关于疫情防控采购便利化的通知》（财办库〔2020〕23 号）、《浙江省财政厅关于做好新型冠状病毒感染的肺炎疫情防控期间政府采购管理工作的通知》（浙财采监[2020]1 号）、《浙江省政府采购中心关于新型冠状病毒感染的肺炎疫情防控期间开评标管理暂行办法》，按照“不见面、少接触”的原则，疫情防控期采购过程实行邮寄投标文件模式，供应商通过邮寄快递方式送达响应文件，采购公告发布之日至开启响应文件的时间延长，给供应商留足响应文件邮寄时间，采购人或代理机构做好响应文件签收记录并及时告知供应商；采购组织机构接收响应文件至现场开启响应文件全过程应接受监控；采购单位派出工作人员进行现场监督的同时，采购组织机构积极创造条件让供应商远程参与监督；评审中需要供应商对投标、响应文件作出澄清、说明或者补正的，评审小组可要求供应商在合理期限内（不少于半小时）通过电子邮件、传真等书面形式作出。</w:t>
      </w:r>
    </w:p>
    <w:p>
      <w:pPr>
        <w:snapToGrid w:val="0"/>
        <w:spacing w:line="360" w:lineRule="auto"/>
        <w:ind w:firstLine="542" w:firstLineChars="225"/>
        <w:rPr>
          <w:rFonts w:ascii="宋体" w:hAnsi="宋体" w:cs="Arial"/>
          <w:b/>
          <w:sz w:val="24"/>
        </w:rPr>
      </w:pPr>
      <w:r>
        <w:rPr>
          <w:rFonts w:hint="eastAsia" w:ascii="宋体" w:hAnsi="宋体" w:cs="Arial"/>
          <w:b/>
          <w:sz w:val="24"/>
        </w:rPr>
        <w:t>十三、业务咨询：</w:t>
      </w:r>
    </w:p>
    <w:p>
      <w:pPr>
        <w:snapToGrid w:val="0"/>
        <w:spacing w:line="360" w:lineRule="auto"/>
        <w:ind w:firstLine="470" w:firstLineChars="196"/>
        <w:rPr>
          <w:rFonts w:ascii="宋体" w:hAnsi="宋体" w:cs="Arial"/>
          <w:b/>
          <w:sz w:val="24"/>
        </w:rPr>
      </w:pPr>
      <w:r>
        <w:rPr>
          <w:rFonts w:hint="eastAsia" w:ascii="宋体" w:hAnsi="宋体"/>
          <w:sz w:val="24"/>
        </w:rPr>
        <w:t>1.采购代理机构名称：浙江华耀建设咨询有限公司</w:t>
      </w:r>
    </w:p>
    <w:p>
      <w:pPr>
        <w:snapToGrid w:val="0"/>
        <w:spacing w:line="360" w:lineRule="auto"/>
        <w:ind w:firstLine="480" w:firstLineChars="200"/>
        <w:rPr>
          <w:rFonts w:ascii="宋体" w:hAnsi="宋体"/>
          <w:sz w:val="24"/>
        </w:rPr>
      </w:pPr>
      <w:r>
        <w:rPr>
          <w:rFonts w:hint="eastAsia" w:ascii="宋体" w:hAnsi="宋体"/>
          <w:sz w:val="24"/>
        </w:rPr>
        <w:t>地址：</w:t>
      </w:r>
      <w:r>
        <w:rPr>
          <w:rFonts w:hint="eastAsia" w:ascii="宋体" w:hAnsi="宋体" w:cs="宋体"/>
          <w:kern w:val="0"/>
          <w:sz w:val="24"/>
        </w:rPr>
        <w:t>浙江省湖州市静江公寓1单元1101室</w:t>
      </w:r>
    </w:p>
    <w:p>
      <w:pPr>
        <w:snapToGrid w:val="0"/>
        <w:spacing w:line="360" w:lineRule="auto"/>
        <w:ind w:firstLine="470" w:firstLineChars="196"/>
        <w:rPr>
          <w:rFonts w:ascii="宋体" w:hAnsi="宋体"/>
          <w:sz w:val="24"/>
        </w:rPr>
      </w:pPr>
      <w:r>
        <w:rPr>
          <w:rFonts w:hint="eastAsia" w:ascii="宋体" w:hAnsi="宋体"/>
          <w:sz w:val="24"/>
        </w:rPr>
        <w:t>联系人：小张；联系电话：0572-2198738；传真：0572-2198739</w:t>
      </w:r>
    </w:p>
    <w:p>
      <w:pPr>
        <w:snapToGrid w:val="0"/>
        <w:spacing w:line="360" w:lineRule="auto"/>
        <w:ind w:firstLine="470" w:firstLineChars="196"/>
        <w:rPr>
          <w:rFonts w:ascii="宋体" w:hAnsi="宋体"/>
          <w:sz w:val="24"/>
        </w:rPr>
      </w:pPr>
      <w:r>
        <w:rPr>
          <w:rFonts w:hint="eastAsia" w:ascii="宋体" w:hAnsi="宋体"/>
          <w:sz w:val="24"/>
        </w:rPr>
        <w:t>供应商质疑函接收人：何女士   联系电话：0572-2371910</w:t>
      </w:r>
    </w:p>
    <w:p>
      <w:pPr>
        <w:snapToGrid w:val="0"/>
        <w:spacing w:line="360" w:lineRule="auto"/>
        <w:ind w:firstLine="470" w:firstLineChars="196"/>
      </w:pPr>
      <w:r>
        <w:rPr>
          <w:rFonts w:hint="eastAsia" w:ascii="宋体" w:hAnsi="宋体"/>
          <w:sz w:val="24"/>
        </w:rPr>
        <w:t>电子邮箱：</w:t>
      </w:r>
      <w:r>
        <w:fldChar w:fldCharType="begin"/>
      </w:r>
      <w:r>
        <w:instrText xml:space="preserve"> HYPERLINK "mailto:huayaohz@163.com。" </w:instrText>
      </w:r>
      <w:r>
        <w:fldChar w:fldCharType="separate"/>
      </w:r>
      <w:r>
        <w:rPr>
          <w:rFonts w:hint="eastAsia" w:ascii="宋体" w:hAnsi="宋体"/>
          <w:sz w:val="24"/>
        </w:rPr>
        <w:t>huayaohz@163.com</w:t>
      </w:r>
      <w:r>
        <w:rPr>
          <w:rFonts w:hint="eastAsia" w:ascii="宋体" w:hAnsi="宋体"/>
          <w:sz w:val="24"/>
        </w:rPr>
        <w:fldChar w:fldCharType="end"/>
      </w:r>
    </w:p>
    <w:p>
      <w:pPr>
        <w:snapToGrid w:val="0"/>
        <w:spacing w:line="360" w:lineRule="auto"/>
        <w:ind w:firstLine="470" w:firstLineChars="196"/>
        <w:rPr>
          <w:rFonts w:ascii="宋体" w:hAnsi="宋体" w:cs="Arial"/>
          <w:sz w:val="24"/>
        </w:rPr>
      </w:pPr>
    </w:p>
    <w:p>
      <w:pPr>
        <w:snapToGrid w:val="0"/>
        <w:spacing w:line="360" w:lineRule="auto"/>
        <w:ind w:firstLine="470" w:firstLineChars="196"/>
        <w:rPr>
          <w:rFonts w:ascii="宋体" w:hAnsi="宋体"/>
          <w:sz w:val="24"/>
        </w:rPr>
      </w:pPr>
      <w:r>
        <w:rPr>
          <w:rFonts w:hint="eastAsia" w:ascii="宋体" w:hAnsi="宋体" w:cs="Arial"/>
          <w:sz w:val="24"/>
        </w:rPr>
        <w:t>2.采购人名称：</w:t>
      </w:r>
      <w:r>
        <w:rPr>
          <w:rFonts w:hint="eastAsia" w:ascii="宋体" w:hAnsi="宋体"/>
          <w:sz w:val="24"/>
        </w:rPr>
        <w:t xml:space="preserve">湖州市吴兴区教育局 </w:t>
      </w:r>
    </w:p>
    <w:p>
      <w:pPr>
        <w:snapToGrid w:val="0"/>
        <w:spacing w:line="360" w:lineRule="auto"/>
        <w:ind w:firstLine="480" w:firstLineChars="200"/>
        <w:rPr>
          <w:rFonts w:ascii="宋体" w:hAnsi="宋体" w:cs="Arial"/>
          <w:sz w:val="24"/>
        </w:rPr>
      </w:pPr>
      <w:r>
        <w:rPr>
          <w:rFonts w:hint="eastAsia" w:ascii="宋体" w:hAnsi="宋体"/>
          <w:sz w:val="24"/>
        </w:rPr>
        <w:t>地址：</w:t>
      </w:r>
      <w:r>
        <w:rPr>
          <w:rFonts w:ascii="宋体" w:hAnsi="宋体"/>
          <w:sz w:val="24"/>
        </w:rPr>
        <w:t>湖州市吴兴区</w:t>
      </w:r>
      <w:r>
        <w:rPr>
          <w:rFonts w:hint="eastAsia" w:ascii="宋体" w:hAnsi="宋体" w:cs="Arial"/>
          <w:sz w:val="24"/>
        </w:rPr>
        <w:t>吴兴大道1号</w:t>
      </w:r>
    </w:p>
    <w:p>
      <w:pPr>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联系人：</w:t>
      </w:r>
      <w:r>
        <w:rPr>
          <w:rFonts w:ascii="宋体" w:hAnsi="宋体" w:cs="宋体"/>
          <w:color w:val="000000" w:themeColor="text1"/>
          <w:sz w:val="24"/>
          <w14:textFill>
            <w14:solidFill>
              <w14:schemeClr w14:val="tx1"/>
            </w14:solidFill>
          </w14:textFill>
        </w:rPr>
        <w:t>屠</w:t>
      </w:r>
      <w:r>
        <w:rPr>
          <w:rFonts w:hint="eastAsia" w:ascii="宋体" w:hAnsi="宋体" w:cs="宋体"/>
          <w:color w:val="000000" w:themeColor="text1"/>
          <w:sz w:val="24"/>
          <w14:textFill>
            <w14:solidFill>
              <w14:schemeClr w14:val="tx1"/>
            </w14:solidFill>
          </w14:textFill>
        </w:rPr>
        <w:t>老师</w:t>
      </w:r>
      <w:r>
        <w:rPr>
          <w:rFonts w:hint="eastAsia" w:ascii="宋体" w:hAnsi="宋体" w:cs="Arial"/>
          <w:color w:val="000000" w:themeColor="text1"/>
          <w:sz w:val="24"/>
          <w14:textFill>
            <w14:solidFill>
              <w14:schemeClr w14:val="tx1"/>
            </w14:solidFill>
          </w14:textFill>
        </w:rPr>
        <w:t xml:space="preserve"> </w:t>
      </w:r>
      <w:r>
        <w:rPr>
          <w:rFonts w:ascii="宋体" w:hAnsi="宋体"/>
          <w:color w:val="000000" w:themeColor="text1"/>
          <w:kern w:val="0"/>
          <w:sz w:val="24"/>
          <w14:textFill>
            <w14:solidFill>
              <w14:schemeClr w14:val="tx1"/>
            </w14:solidFill>
          </w14:textFill>
        </w:rPr>
        <w:t>  </w:t>
      </w:r>
      <w:r>
        <w:rPr>
          <w:rFonts w:hint="eastAsia" w:ascii="宋体" w:hAnsi="宋体"/>
          <w:color w:val="000000" w:themeColor="text1"/>
          <w:kern w:val="0"/>
          <w:sz w:val="24"/>
          <w14:textFill>
            <w14:solidFill>
              <w14:schemeClr w14:val="tx1"/>
            </w14:solidFill>
          </w14:textFill>
        </w:rPr>
        <w:t xml:space="preserve">            </w:t>
      </w:r>
      <w:r>
        <w:rPr>
          <w:rFonts w:ascii="宋体" w:hAnsi="宋体"/>
          <w:color w:val="000000" w:themeColor="text1"/>
          <w:kern w:val="0"/>
          <w:sz w:val="24"/>
          <w14:textFill>
            <w14:solidFill>
              <w14:schemeClr w14:val="tx1"/>
            </w14:solidFill>
          </w14:textFill>
        </w:rPr>
        <w:t>联系方式：</w:t>
      </w:r>
      <w:r>
        <w:rPr>
          <w:rFonts w:ascii="宋体" w:hAnsi="宋体" w:cs="宋体"/>
          <w:color w:val="000000" w:themeColor="text1"/>
          <w:sz w:val="24"/>
          <w14:textFill>
            <w14:solidFill>
              <w14:schemeClr w14:val="tx1"/>
            </w14:solidFill>
          </w14:textFill>
        </w:rPr>
        <w:t>0572-2289279</w:t>
      </w:r>
      <w:r>
        <w:rPr>
          <w:rFonts w:hint="eastAsia" w:ascii="宋体" w:hAnsi="宋体"/>
          <w:color w:val="000000" w:themeColor="text1"/>
          <w:sz w:val="24"/>
          <w14:textFill>
            <w14:solidFill>
              <w14:schemeClr w14:val="tx1"/>
            </w14:solidFill>
          </w14:textFill>
        </w:rPr>
        <w:t xml:space="preserve">  </w:t>
      </w:r>
    </w:p>
    <w:p>
      <w:pPr>
        <w:snapToGrid w:val="0"/>
        <w:spacing w:line="360" w:lineRule="auto"/>
        <w:ind w:firstLine="480" w:firstLineChars="200"/>
        <w:rPr>
          <w:rFonts w:ascii="宋体" w:hAnsi="宋体"/>
          <w:color w:val="FF0000"/>
          <w:sz w:val="24"/>
        </w:rPr>
      </w:pPr>
      <w:r>
        <w:rPr>
          <w:rFonts w:hint="eastAsia" w:ascii="宋体" w:hAnsi="宋体"/>
          <w:color w:val="000000" w:themeColor="text1"/>
          <w:sz w:val="24"/>
          <w14:textFill>
            <w14:solidFill>
              <w14:schemeClr w14:val="tx1"/>
            </w14:solidFill>
          </w14:textFill>
        </w:rPr>
        <w:t>采购人质疑联系人：</w:t>
      </w:r>
      <w:r>
        <w:rPr>
          <w:rFonts w:ascii="宋体" w:hAnsi="宋体" w:cs="宋体"/>
          <w:color w:val="000000" w:themeColor="text1"/>
          <w:sz w:val="24"/>
          <w14:textFill>
            <w14:solidFill>
              <w14:schemeClr w14:val="tx1"/>
            </w14:solidFill>
          </w14:textFill>
        </w:rPr>
        <w:t>邬</w:t>
      </w:r>
      <w:r>
        <w:rPr>
          <w:rFonts w:hint="eastAsia" w:ascii="宋体" w:hAnsi="宋体" w:cs="宋体"/>
          <w:color w:val="000000" w:themeColor="text1"/>
          <w:sz w:val="24"/>
          <w14:textFill>
            <w14:solidFill>
              <w14:schemeClr w14:val="tx1"/>
            </w14:solidFill>
          </w14:textFill>
        </w:rPr>
        <w:t>老师</w:t>
      </w:r>
      <w:r>
        <w:rPr>
          <w:rFonts w:hint="eastAsia" w:ascii="宋体" w:hAnsi="宋体"/>
          <w:color w:val="000000" w:themeColor="text1"/>
          <w:sz w:val="24"/>
          <w14:textFill>
            <w14:solidFill>
              <w14:schemeClr w14:val="tx1"/>
            </w14:solidFill>
          </w14:textFill>
        </w:rPr>
        <w:t xml:space="preserve">       采购人质疑联系电话：</w:t>
      </w:r>
      <w:r>
        <w:rPr>
          <w:rFonts w:ascii="宋体" w:hAnsi="宋体" w:cs="宋体"/>
          <w:color w:val="000000" w:themeColor="text1"/>
          <w:sz w:val="24"/>
          <w14:textFill>
            <w14:solidFill>
              <w14:schemeClr w14:val="tx1"/>
            </w14:solidFill>
          </w14:textFill>
        </w:rPr>
        <w:t>0572-228927</w:t>
      </w:r>
      <w:r>
        <w:rPr>
          <w:rFonts w:ascii="宋体" w:hAnsi="宋体" w:cs="宋体"/>
          <w:sz w:val="24"/>
        </w:rPr>
        <w:t>9</w:t>
      </w:r>
      <w:r>
        <w:rPr>
          <w:rFonts w:hint="eastAsia" w:ascii="宋体" w:hAnsi="宋体"/>
          <w:color w:val="FF0000"/>
          <w:sz w:val="24"/>
        </w:rPr>
        <w:t xml:space="preserve">  </w:t>
      </w: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cs="宋体"/>
          <w:sz w:val="24"/>
        </w:rPr>
      </w:pPr>
      <w:r>
        <w:rPr>
          <w:rFonts w:hint="eastAsia" w:ascii="宋体" w:hAnsi="宋体" w:cs="Arial"/>
          <w:sz w:val="24"/>
        </w:rPr>
        <w:t>3.同级政府采购监督管理部门名称：</w:t>
      </w:r>
      <w:r>
        <w:rPr>
          <w:rFonts w:hint="eastAsia" w:ascii="宋体" w:hAnsi="宋体" w:cs="宋体"/>
          <w:sz w:val="24"/>
        </w:rPr>
        <w:t>湖州市吴兴区财政局政府采购监管科</w:t>
      </w:r>
    </w:p>
    <w:p>
      <w:pPr>
        <w:snapToGrid w:val="0"/>
        <w:spacing w:line="360" w:lineRule="auto"/>
        <w:ind w:firstLine="480" w:firstLineChars="200"/>
        <w:rPr>
          <w:rFonts w:ascii="宋体" w:hAnsi="宋体" w:cs="Arial"/>
          <w:sz w:val="24"/>
        </w:rPr>
      </w:pPr>
      <w:r>
        <w:rPr>
          <w:rFonts w:hint="eastAsia" w:ascii="宋体" w:hAnsi="宋体" w:cs="Arial"/>
          <w:sz w:val="24"/>
        </w:rPr>
        <w:t>地址：湖州市</w:t>
      </w:r>
      <w:r>
        <w:rPr>
          <w:rFonts w:ascii="宋体" w:hAnsi="宋体"/>
          <w:sz w:val="24"/>
        </w:rPr>
        <w:t>吴兴区</w:t>
      </w:r>
      <w:r>
        <w:rPr>
          <w:rFonts w:hint="eastAsia" w:ascii="宋体" w:hAnsi="宋体" w:cs="Arial"/>
          <w:sz w:val="24"/>
        </w:rPr>
        <w:t>吴兴大道1号</w:t>
      </w:r>
    </w:p>
    <w:p>
      <w:pPr>
        <w:snapToGrid w:val="0"/>
        <w:spacing w:line="360" w:lineRule="auto"/>
        <w:ind w:firstLine="480" w:firstLineChars="200"/>
        <w:rPr>
          <w:rFonts w:ascii="宋体" w:hAnsi="宋体" w:cs="Arial"/>
          <w:sz w:val="24"/>
        </w:rPr>
      </w:pPr>
      <w:r>
        <w:rPr>
          <w:rFonts w:hint="eastAsia" w:ascii="宋体" w:hAnsi="宋体" w:cs="Arial"/>
          <w:sz w:val="24"/>
        </w:rPr>
        <w:t xml:space="preserve">联系人：沈先生；监督投诉电话：0572-2289702 </w:t>
      </w:r>
    </w:p>
    <w:p>
      <w:pPr>
        <w:snapToGrid w:val="0"/>
        <w:spacing w:line="360" w:lineRule="auto"/>
        <w:ind w:left="238"/>
        <w:rPr>
          <w:rFonts w:ascii="宋体" w:hAnsi="宋体"/>
          <w:sz w:val="24"/>
        </w:rPr>
      </w:pPr>
      <w:r>
        <w:rPr>
          <w:rFonts w:hint="eastAsia" w:ascii="宋体" w:hAnsi="宋体" w:cs="Arial"/>
          <w:sz w:val="24"/>
        </w:rPr>
        <w:t xml:space="preserve">                                                      湖州市吴兴区教育局</w:t>
      </w:r>
    </w:p>
    <w:p>
      <w:pPr>
        <w:snapToGrid w:val="0"/>
        <w:spacing w:line="360" w:lineRule="auto"/>
        <w:ind w:left="238"/>
        <w:jc w:val="center"/>
        <w:rPr>
          <w:rFonts w:ascii="宋体" w:hAnsi="宋体"/>
          <w:sz w:val="24"/>
        </w:rPr>
      </w:pPr>
      <w:r>
        <w:rPr>
          <w:rFonts w:hint="eastAsia" w:ascii="宋体" w:hAnsi="宋体"/>
          <w:sz w:val="24"/>
        </w:rPr>
        <w:t xml:space="preserve">                                                    浙江华耀建设咨询有限公司</w:t>
      </w:r>
    </w:p>
    <w:p>
      <w:pPr>
        <w:snapToGrid w:val="0"/>
        <w:spacing w:line="360" w:lineRule="auto"/>
        <w:ind w:left="238"/>
        <w:jc w:val="center"/>
        <w:rPr>
          <w:rFonts w:ascii="宋体" w:hAnsi="宋体"/>
          <w:sz w:val="24"/>
        </w:rPr>
      </w:pPr>
      <w:r>
        <w:rPr>
          <w:rFonts w:hint="eastAsia" w:ascii="宋体" w:hAnsi="宋体"/>
          <w:sz w:val="24"/>
        </w:rPr>
        <w:t xml:space="preserve">                                                  2022年6月23日</w:t>
      </w:r>
    </w:p>
    <w:p>
      <w:pPr>
        <w:jc w:val="left"/>
        <w:rPr>
          <w:rFonts w:ascii="宋体" w:hAnsi="宋体" w:cs="仿宋"/>
          <w:b/>
          <w:sz w:val="24"/>
        </w:rPr>
      </w:pPr>
      <w:r>
        <w:rPr>
          <w:rFonts w:hint="eastAsia" w:ascii="宋体" w:hAnsi="宋体" w:cs="仿宋"/>
          <w:b/>
          <w:sz w:val="24"/>
        </w:rPr>
        <w:t>若对项目采购电子交易系统操作有疑问，可登录政采云（https://www.zcygov.cn/），点击右侧咨询小采，获取采小蜜智能服务管家帮助，或拨打政采云服务热线400-881-7190获取热线服务帮助。</w:t>
      </w:r>
    </w:p>
    <w:p>
      <w:pPr>
        <w:rPr>
          <w:rFonts w:ascii="宋体" w:hAnsi="宋体" w:cs="仿宋"/>
          <w:b/>
          <w:sz w:val="24"/>
        </w:rPr>
      </w:pPr>
      <w:r>
        <w:rPr>
          <w:rFonts w:hint="eastAsia" w:ascii="宋体" w:hAnsi="宋体" w:cs="仿宋"/>
          <w:b/>
          <w:sz w:val="24"/>
        </w:rPr>
        <w:t>CA问题联系电话（人工）：汇信CA 400-888-4636；天谷CA 400-087-8198。</w:t>
      </w:r>
    </w:p>
    <w:p>
      <w:pPr>
        <w:rPr>
          <w:rFonts w:ascii="宋体" w:hAnsi="宋体" w:cs="仿宋"/>
          <w:b/>
          <w:sz w:val="24"/>
        </w:rPr>
      </w:pPr>
    </w:p>
    <w:p>
      <w:pPr>
        <w:rPr>
          <w:rFonts w:ascii="宋体" w:hAnsi="宋体" w:cs="仿宋"/>
          <w:b/>
          <w:sz w:val="24"/>
        </w:rPr>
      </w:pPr>
    </w:p>
    <w:p>
      <w:pPr>
        <w:snapToGrid w:val="0"/>
        <w:spacing w:line="360" w:lineRule="auto"/>
        <w:ind w:left="238"/>
        <w:jc w:val="center"/>
        <w:rPr>
          <w:rFonts w:ascii="黑体" w:hAnsi="宋体" w:eastAsia="黑体"/>
          <w:sz w:val="30"/>
          <w:szCs w:val="30"/>
        </w:rPr>
      </w:pPr>
      <w:r>
        <w:rPr>
          <w:rFonts w:hint="eastAsia" w:ascii="黑体" w:hAnsi="宋体" w:eastAsia="黑体"/>
          <w:sz w:val="30"/>
          <w:szCs w:val="30"/>
        </w:rPr>
        <w:t>第二章  招标需求</w:t>
      </w:r>
    </w:p>
    <w:p>
      <w:pPr>
        <w:widowControl/>
        <w:spacing w:line="360" w:lineRule="auto"/>
        <w:jc w:val="left"/>
        <w:rPr>
          <w:rFonts w:ascii="宋体" w:hAnsi="宋体"/>
          <w:sz w:val="24"/>
        </w:rPr>
      </w:pPr>
      <w:r>
        <w:rPr>
          <w:rFonts w:hint="eastAsia" w:ascii="宋体" w:hAnsi="宋体"/>
          <w:b/>
          <w:sz w:val="24"/>
        </w:rPr>
        <w:t>一、采购项目名称：湖州市吴兴区教育局升降式课桌椅项目</w:t>
      </w:r>
    </w:p>
    <w:p>
      <w:pPr>
        <w:widowControl/>
        <w:spacing w:line="360" w:lineRule="auto"/>
        <w:jc w:val="left"/>
        <w:rPr>
          <w:rFonts w:ascii="宋体" w:hAnsi="宋体"/>
          <w:b/>
          <w:sz w:val="24"/>
        </w:rPr>
      </w:pPr>
      <w:r>
        <w:rPr>
          <w:rFonts w:hint="eastAsia" w:ascii="宋体" w:hAnsi="宋体"/>
          <w:b/>
          <w:sz w:val="24"/>
        </w:rPr>
        <w:t>二、采购项目编号：HYHZ2022-80</w:t>
      </w:r>
    </w:p>
    <w:p>
      <w:pPr>
        <w:widowControl/>
        <w:spacing w:line="360" w:lineRule="auto"/>
        <w:jc w:val="left"/>
        <w:rPr>
          <w:rFonts w:ascii="宋体" w:hAnsi="宋体" w:cs="宋体"/>
          <w:kern w:val="0"/>
          <w:sz w:val="24"/>
        </w:rPr>
      </w:pPr>
      <w:r>
        <w:rPr>
          <w:rFonts w:hint="eastAsia" w:ascii="宋体" w:hAnsi="宋体"/>
          <w:b/>
          <w:sz w:val="24"/>
        </w:rPr>
        <w:t>三、采购项目预算：</w:t>
      </w:r>
      <w:r>
        <w:rPr>
          <w:rFonts w:hint="eastAsia" w:ascii="宋体" w:hAnsi="宋体" w:cs="Arial"/>
          <w:b/>
          <w:sz w:val="24"/>
        </w:rPr>
        <w:t>1849.7250万元；最高限价：</w:t>
      </w:r>
      <w:r>
        <w:rPr>
          <w:rFonts w:hint="eastAsia" w:ascii="宋体" w:hAnsi="宋体"/>
          <w:b/>
          <w:sz w:val="24"/>
        </w:rPr>
        <w:t>1707.51万元。</w:t>
      </w:r>
    </w:p>
    <w:p>
      <w:pPr>
        <w:widowControl/>
        <w:spacing w:line="360" w:lineRule="auto"/>
        <w:jc w:val="left"/>
        <w:rPr>
          <w:rFonts w:ascii="宋体" w:hAnsi="宋体"/>
          <w:b/>
          <w:sz w:val="24"/>
        </w:rPr>
      </w:pPr>
      <w:r>
        <w:rPr>
          <w:rFonts w:hint="eastAsia" w:ascii="宋体" w:hAnsi="宋体"/>
          <w:b/>
          <w:sz w:val="24"/>
        </w:rPr>
        <w:t>四、采购项目实施地点：湖州市吴兴区教育局</w:t>
      </w:r>
    </w:p>
    <w:p>
      <w:pPr>
        <w:widowControl/>
        <w:spacing w:line="360" w:lineRule="auto"/>
        <w:jc w:val="left"/>
        <w:rPr>
          <w:rFonts w:ascii="宋体" w:hAnsi="宋体"/>
          <w:b/>
          <w:bCs/>
          <w:sz w:val="24"/>
        </w:rPr>
      </w:pPr>
      <w:r>
        <w:rPr>
          <w:rFonts w:hint="eastAsia" w:ascii="宋体" w:hAnsi="宋体"/>
          <w:b/>
          <w:bCs/>
          <w:sz w:val="24"/>
        </w:rPr>
        <w:t>五、采购项目采购清单和技术</w:t>
      </w:r>
      <w:r>
        <w:rPr>
          <w:rFonts w:ascii="宋体" w:hAnsi="宋体"/>
          <w:b/>
          <w:bCs/>
          <w:sz w:val="24"/>
        </w:rPr>
        <w:t>参数：</w:t>
      </w:r>
    </w:p>
    <w:p>
      <w:pPr>
        <w:widowControl/>
        <w:spacing w:line="360" w:lineRule="auto"/>
        <w:jc w:val="left"/>
        <w:rPr>
          <w:rFonts w:ascii="宋体" w:hAnsi="宋体" w:cs="Arial"/>
          <w:b/>
          <w:sz w:val="24"/>
        </w:rPr>
      </w:pPr>
      <w:r>
        <w:rPr>
          <w:rFonts w:hint="eastAsia" w:ascii="宋体" w:hAnsi="宋体"/>
          <w:b/>
          <w:sz w:val="24"/>
        </w:rPr>
        <w:t>1.采购清单：</w:t>
      </w:r>
      <w:r>
        <w:rPr>
          <w:rFonts w:hint="eastAsia" w:ascii="宋体" w:hAnsi="宋体" w:cs="Arial"/>
          <w:b/>
          <w:sz w:val="24"/>
        </w:rPr>
        <w:t>吴兴区教育局所属40所中小学(校区）采购39620套升降式课桌椅（其中小学生升降式套课桌椅：25020套、中学生升降式套课桌椅：14600套）</w:t>
      </w:r>
    </w:p>
    <w:p>
      <w:pPr>
        <w:widowControl/>
        <w:spacing w:line="360" w:lineRule="auto"/>
        <w:ind w:firstLine="482" w:firstLineChars="200"/>
        <w:jc w:val="left"/>
        <w:rPr>
          <w:rFonts w:ascii="宋体" w:hAnsi="宋体"/>
          <w:b/>
          <w:sz w:val="24"/>
        </w:rPr>
      </w:pPr>
      <w:r>
        <w:rPr>
          <w:rFonts w:hint="eastAsia" w:ascii="宋体" w:hAnsi="宋体"/>
          <w:b/>
          <w:sz w:val="24"/>
        </w:rPr>
        <w:t>标项1：升降式课桌椅项目标项1</w:t>
      </w:r>
    </w:p>
    <w:p>
      <w:pPr>
        <w:widowControl/>
        <w:spacing w:line="360" w:lineRule="auto"/>
        <w:ind w:firstLine="482" w:firstLineChars="200"/>
        <w:jc w:val="left"/>
        <w:rPr>
          <w:rFonts w:asciiTheme="majorEastAsia" w:hAnsiTheme="majorEastAsia" w:eastAsiaTheme="majorEastAsia"/>
          <w:b/>
          <w:sz w:val="24"/>
        </w:rPr>
      </w:pPr>
      <w:r>
        <w:rPr>
          <w:rFonts w:hint="eastAsia" w:ascii="宋体" w:hAnsi="宋体"/>
          <w:b/>
          <w:sz w:val="24"/>
        </w:rPr>
        <w:t>预算：人民币460.35</w:t>
      </w:r>
      <w:r>
        <w:rPr>
          <w:rFonts w:ascii="宋体" w:hAnsi="宋体"/>
          <w:b/>
          <w:sz w:val="24"/>
        </w:rPr>
        <w:t>万元</w:t>
      </w:r>
      <w:r>
        <w:rPr>
          <w:rFonts w:hint="eastAsia" w:ascii="宋体" w:hAnsi="宋体"/>
          <w:b/>
          <w:sz w:val="24"/>
        </w:rPr>
        <w:t xml:space="preserve">   最高限价：人民币429.66万元</w:t>
      </w:r>
    </w:p>
    <w:tbl>
      <w:tblPr>
        <w:tblStyle w:val="33"/>
        <w:tblW w:w="9654" w:type="dxa"/>
        <w:tblInd w:w="93" w:type="dxa"/>
        <w:tblLayout w:type="autofit"/>
        <w:tblCellMar>
          <w:top w:w="0" w:type="dxa"/>
          <w:left w:w="108" w:type="dxa"/>
          <w:bottom w:w="0" w:type="dxa"/>
          <w:right w:w="108" w:type="dxa"/>
        </w:tblCellMar>
      </w:tblPr>
      <w:tblGrid>
        <w:gridCol w:w="480"/>
        <w:gridCol w:w="2229"/>
        <w:gridCol w:w="1275"/>
        <w:gridCol w:w="709"/>
        <w:gridCol w:w="1134"/>
        <w:gridCol w:w="992"/>
        <w:gridCol w:w="851"/>
        <w:gridCol w:w="992"/>
        <w:gridCol w:w="992"/>
      </w:tblGrid>
      <w:tr>
        <w:tblPrEx>
          <w:tblCellMar>
            <w:top w:w="0" w:type="dxa"/>
            <w:left w:w="108" w:type="dxa"/>
            <w:bottom w:w="0" w:type="dxa"/>
            <w:right w:w="108" w:type="dxa"/>
          </w:tblCellMar>
        </w:tblPrEx>
        <w:trPr>
          <w:trHeight w:val="1020" w:hRule="atLeast"/>
        </w:trPr>
        <w:tc>
          <w:tcPr>
            <w:tcW w:w="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序号</w:t>
            </w:r>
          </w:p>
        </w:tc>
        <w:tc>
          <w:tcPr>
            <w:tcW w:w="22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学校名称</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学校类别</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校区</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需要增配的课桌椅（班级数）</w:t>
            </w:r>
          </w:p>
        </w:tc>
        <w:tc>
          <w:tcPr>
            <w:tcW w:w="28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增配数量</w:t>
            </w:r>
          </w:p>
        </w:tc>
        <w:tc>
          <w:tcPr>
            <w:tcW w:w="992" w:type="dxa"/>
            <w:vMerge w:val="restart"/>
            <w:tcBorders>
              <w:top w:val="single" w:color="auto" w:sz="4" w:space="0"/>
              <w:left w:val="single" w:color="auto" w:sz="4" w:space="0"/>
              <w:right w:val="single" w:color="000000"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实际回收课桌椅数量</w:t>
            </w:r>
          </w:p>
        </w:tc>
      </w:tr>
      <w:tr>
        <w:tblPrEx>
          <w:tblCellMar>
            <w:top w:w="0" w:type="dxa"/>
            <w:left w:w="108" w:type="dxa"/>
            <w:bottom w:w="0" w:type="dxa"/>
            <w:right w:w="108" w:type="dxa"/>
          </w:tblCellMar>
        </w:tblPrEx>
        <w:trPr>
          <w:trHeight w:val="270" w:hRule="atLeast"/>
        </w:trPr>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仿宋_GB2312" w:asciiTheme="majorEastAsia" w:hAnsiTheme="majorEastAsia" w:eastAsiaTheme="majorEastAsia"/>
                <w:kern w:val="0"/>
                <w:sz w:val="24"/>
                <w:lang w:bidi="ar"/>
              </w:rPr>
            </w:pPr>
          </w:p>
        </w:tc>
        <w:tc>
          <w:tcPr>
            <w:tcW w:w="2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仿宋_GB2312" w:asciiTheme="majorEastAsia" w:hAnsiTheme="majorEastAsia" w:eastAsiaTheme="majorEastAsia"/>
                <w:kern w:val="0"/>
                <w:sz w:val="24"/>
                <w:lang w:bidi="ar"/>
              </w:rPr>
            </w:pPr>
          </w:p>
        </w:tc>
        <w:tc>
          <w:tcPr>
            <w:tcW w:w="1275"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cs="仿宋_GB2312" w:asciiTheme="majorEastAsia" w:hAnsiTheme="majorEastAsia" w:eastAsiaTheme="majorEastAsia"/>
                <w:kern w:val="0"/>
                <w:sz w:val="24"/>
                <w:lang w:bidi="ar"/>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仿宋_GB2312" w:asciiTheme="majorEastAsia" w:hAnsiTheme="majorEastAsia" w:eastAsiaTheme="majorEastAsia"/>
                <w:kern w:val="0"/>
                <w:sz w:val="24"/>
                <w:lang w:bidi="ar"/>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cs="仿宋_GB2312" w:asciiTheme="majorEastAsia" w:hAnsiTheme="majorEastAsia" w:eastAsiaTheme="majorEastAsia"/>
                <w:kern w:val="0"/>
                <w:sz w:val="24"/>
                <w:lang w:bidi="ar"/>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初中</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小学</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合计</w:t>
            </w:r>
          </w:p>
        </w:tc>
        <w:tc>
          <w:tcPr>
            <w:tcW w:w="992"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湖州市爱山小学教育集团</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仁皇校区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38</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1710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1710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1680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w:t>
            </w:r>
          </w:p>
        </w:tc>
        <w:tc>
          <w:tcPr>
            <w:tcW w:w="222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湖州市文苑小学</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720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720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500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3</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湖州市织里镇中学</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初中</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48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2400</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2400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1500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4</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湖州市织里镇轧村中学</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初中</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1200</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1200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595</w:t>
            </w:r>
          </w:p>
        </w:tc>
      </w:tr>
      <w:tr>
        <w:tblPrEx>
          <w:tblCellMar>
            <w:top w:w="0" w:type="dxa"/>
            <w:left w:w="108" w:type="dxa"/>
            <w:bottom w:w="0" w:type="dxa"/>
            <w:right w:w="108" w:type="dxa"/>
          </w:tblCellMar>
        </w:tblPrEx>
        <w:trPr>
          <w:trHeight w:val="54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5</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湖州市织里镇漾西学校</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九年一贯制</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600</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600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370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6</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湖州市织里镇晟舍小学</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29</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1305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1305</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1305</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7</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湖州市织里镇轧村小学</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15</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675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675</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500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8</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湖州市仁皇山小学</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36</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1620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1620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1350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218</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4200</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6030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10230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7800</w:t>
            </w:r>
          </w:p>
        </w:tc>
      </w:tr>
    </w:tbl>
    <w:p>
      <w:pPr>
        <w:widowControl/>
        <w:jc w:val="center"/>
        <w:textAlignment w:val="center"/>
        <w:rPr>
          <w:rFonts w:cs="仿宋_GB2312" w:asciiTheme="majorEastAsia" w:hAnsiTheme="majorEastAsia" w:eastAsiaTheme="majorEastAsia"/>
          <w:kern w:val="0"/>
          <w:sz w:val="24"/>
          <w:lang w:bidi="ar"/>
        </w:rPr>
      </w:pPr>
    </w:p>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 xml:space="preserve">标项2：升降式课桌椅项目标项2     </w:t>
      </w:r>
    </w:p>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预算：人民币470.025</w:t>
      </w:r>
      <w:r>
        <w:rPr>
          <w:rFonts w:cs="仿宋_GB2312" w:asciiTheme="majorEastAsia" w:hAnsiTheme="majorEastAsia" w:eastAsiaTheme="majorEastAsia"/>
          <w:kern w:val="0"/>
          <w:sz w:val="24"/>
          <w:lang w:bidi="ar"/>
        </w:rPr>
        <w:t>万元</w:t>
      </w:r>
      <w:r>
        <w:rPr>
          <w:rFonts w:hint="eastAsia" w:cs="仿宋_GB2312" w:asciiTheme="majorEastAsia" w:hAnsiTheme="majorEastAsia" w:eastAsiaTheme="majorEastAsia"/>
          <w:kern w:val="0"/>
          <w:sz w:val="24"/>
          <w:lang w:bidi="ar"/>
        </w:rPr>
        <w:t xml:space="preserve">   最高限价：人民币426.09</w:t>
      </w:r>
      <w:r>
        <w:rPr>
          <w:rFonts w:cs="仿宋_GB2312" w:asciiTheme="majorEastAsia" w:hAnsiTheme="majorEastAsia" w:eastAsiaTheme="majorEastAsia"/>
          <w:kern w:val="0"/>
          <w:sz w:val="24"/>
          <w:lang w:bidi="ar"/>
        </w:rPr>
        <w:t>万元</w:t>
      </w:r>
    </w:p>
    <w:tbl>
      <w:tblPr>
        <w:tblStyle w:val="33"/>
        <w:tblW w:w="9654" w:type="dxa"/>
        <w:tblInd w:w="93" w:type="dxa"/>
        <w:tblLayout w:type="autofit"/>
        <w:tblCellMar>
          <w:top w:w="0" w:type="dxa"/>
          <w:left w:w="108" w:type="dxa"/>
          <w:bottom w:w="0" w:type="dxa"/>
          <w:right w:w="108" w:type="dxa"/>
        </w:tblCellMar>
      </w:tblPr>
      <w:tblGrid>
        <w:gridCol w:w="480"/>
        <w:gridCol w:w="2229"/>
        <w:gridCol w:w="1275"/>
        <w:gridCol w:w="709"/>
        <w:gridCol w:w="1134"/>
        <w:gridCol w:w="992"/>
        <w:gridCol w:w="851"/>
        <w:gridCol w:w="992"/>
        <w:gridCol w:w="992"/>
      </w:tblGrid>
      <w:tr>
        <w:tblPrEx>
          <w:tblCellMar>
            <w:top w:w="0" w:type="dxa"/>
            <w:left w:w="108" w:type="dxa"/>
            <w:bottom w:w="0" w:type="dxa"/>
            <w:right w:w="108" w:type="dxa"/>
          </w:tblCellMar>
        </w:tblPrEx>
        <w:trPr>
          <w:trHeight w:val="1020" w:hRule="atLeast"/>
        </w:trPr>
        <w:tc>
          <w:tcPr>
            <w:tcW w:w="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序号</w:t>
            </w:r>
          </w:p>
        </w:tc>
        <w:tc>
          <w:tcPr>
            <w:tcW w:w="22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学校名称</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学校类别</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校区</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需要增配的课桌椅（班级数）</w:t>
            </w:r>
          </w:p>
        </w:tc>
        <w:tc>
          <w:tcPr>
            <w:tcW w:w="28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增配数量</w:t>
            </w:r>
          </w:p>
        </w:tc>
        <w:tc>
          <w:tcPr>
            <w:tcW w:w="992" w:type="dxa"/>
            <w:vMerge w:val="restart"/>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实际回收课桌椅数量</w:t>
            </w:r>
          </w:p>
        </w:tc>
      </w:tr>
      <w:tr>
        <w:tblPrEx>
          <w:tblCellMar>
            <w:top w:w="0" w:type="dxa"/>
            <w:left w:w="108" w:type="dxa"/>
            <w:bottom w:w="0" w:type="dxa"/>
            <w:right w:w="108" w:type="dxa"/>
          </w:tblCellMar>
        </w:tblPrEx>
        <w:trPr>
          <w:trHeight w:val="270" w:hRule="atLeast"/>
        </w:trPr>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仿宋_GB2312" w:asciiTheme="majorEastAsia" w:hAnsiTheme="majorEastAsia" w:eastAsiaTheme="majorEastAsia"/>
                <w:kern w:val="0"/>
                <w:sz w:val="24"/>
                <w:lang w:bidi="ar"/>
              </w:rPr>
            </w:pPr>
          </w:p>
        </w:tc>
        <w:tc>
          <w:tcPr>
            <w:tcW w:w="2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仿宋_GB2312" w:asciiTheme="majorEastAsia" w:hAnsiTheme="majorEastAsia" w:eastAsiaTheme="majorEastAsia"/>
                <w:kern w:val="0"/>
                <w:sz w:val="24"/>
                <w:lang w:bidi="ar"/>
              </w:rPr>
            </w:pPr>
          </w:p>
        </w:tc>
        <w:tc>
          <w:tcPr>
            <w:tcW w:w="1275"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cs="仿宋_GB2312" w:asciiTheme="majorEastAsia" w:hAnsiTheme="majorEastAsia" w:eastAsiaTheme="majorEastAsia"/>
                <w:kern w:val="0"/>
                <w:sz w:val="24"/>
                <w:lang w:bidi="ar"/>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仿宋_GB2312" w:asciiTheme="majorEastAsia" w:hAnsiTheme="majorEastAsia" w:eastAsiaTheme="majorEastAsia"/>
                <w:kern w:val="0"/>
                <w:sz w:val="24"/>
                <w:lang w:bidi="ar"/>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cs="仿宋_GB2312" w:asciiTheme="majorEastAsia" w:hAnsiTheme="majorEastAsia" w:eastAsiaTheme="majorEastAsia"/>
                <w:kern w:val="0"/>
                <w:sz w:val="24"/>
                <w:lang w:bidi="ar"/>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初中</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小学</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合计</w:t>
            </w:r>
          </w:p>
        </w:tc>
        <w:tc>
          <w:tcPr>
            <w:tcW w:w="992"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湖州市第四中学教育集团</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初中</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白鱼潭校区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36</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1800</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1800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1641</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w:t>
            </w:r>
          </w:p>
        </w:tc>
        <w:tc>
          <w:tcPr>
            <w:tcW w:w="222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湖州市第四中学教育集团</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初中</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西山漾校区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36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1800</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1800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1800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3</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湖州市月河小学教育集团</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吉山校区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17</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765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765</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1300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4</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湖州市月河小学教育集团</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浮玉校区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36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1620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1620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0</w:t>
            </w:r>
          </w:p>
        </w:tc>
      </w:tr>
      <w:tr>
        <w:tblPrEx>
          <w:tblCellMar>
            <w:top w:w="0" w:type="dxa"/>
            <w:left w:w="108" w:type="dxa"/>
            <w:bottom w:w="0" w:type="dxa"/>
            <w:right w:w="108" w:type="dxa"/>
          </w:tblCellMar>
        </w:tblPrEx>
        <w:trPr>
          <w:trHeight w:val="54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5</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湖州市吴兴区戴山学校</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九年一贯制</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100</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100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6</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湖州市吴兴区太湖小学</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45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45</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7</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湖州市环渚学校</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九年一贯制</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1000</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1000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500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8</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湖州市东林镇第二小学</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3</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135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135</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0</w:t>
            </w:r>
          </w:p>
        </w:tc>
      </w:tr>
      <w:tr>
        <w:tblPrEx>
          <w:tblCellMar>
            <w:top w:w="0" w:type="dxa"/>
            <w:left w:w="108" w:type="dxa"/>
            <w:bottom w:w="0" w:type="dxa"/>
            <w:right w:w="108" w:type="dxa"/>
          </w:tblCellMar>
        </w:tblPrEx>
        <w:trPr>
          <w:trHeight w:val="270" w:hRule="atLeast"/>
        </w:trPr>
        <w:tc>
          <w:tcPr>
            <w:tcW w:w="4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9</w:t>
            </w:r>
          </w:p>
        </w:tc>
        <w:tc>
          <w:tcPr>
            <w:tcW w:w="2229"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湖州市龙泉小学</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14</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630</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630</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550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10</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湖州市新风实验小学教育集团</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清河校区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50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2250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2250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2280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215</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4700</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5445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10145</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8071</w:t>
            </w:r>
          </w:p>
        </w:tc>
      </w:tr>
    </w:tbl>
    <w:p>
      <w:pPr>
        <w:widowControl/>
        <w:jc w:val="center"/>
        <w:textAlignment w:val="center"/>
        <w:rPr>
          <w:rFonts w:cs="仿宋_GB2312" w:asciiTheme="majorEastAsia" w:hAnsiTheme="majorEastAsia" w:eastAsiaTheme="majorEastAsia"/>
          <w:kern w:val="0"/>
          <w:sz w:val="24"/>
          <w:lang w:bidi="ar"/>
        </w:rPr>
      </w:pPr>
    </w:p>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标项3：升降式课桌椅项目标项3</w:t>
      </w:r>
    </w:p>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 xml:space="preserve">预算：人民币450.225 </w:t>
      </w:r>
      <w:r>
        <w:rPr>
          <w:rFonts w:cs="仿宋_GB2312" w:asciiTheme="majorEastAsia" w:hAnsiTheme="majorEastAsia" w:eastAsiaTheme="majorEastAsia"/>
          <w:kern w:val="0"/>
          <w:sz w:val="24"/>
          <w:lang w:bidi="ar"/>
        </w:rPr>
        <w:t>万元</w:t>
      </w:r>
      <w:r>
        <w:rPr>
          <w:rFonts w:hint="eastAsia" w:cs="仿宋_GB2312" w:asciiTheme="majorEastAsia" w:hAnsiTheme="majorEastAsia" w:eastAsiaTheme="majorEastAsia"/>
          <w:kern w:val="0"/>
          <w:sz w:val="24"/>
          <w:lang w:bidi="ar"/>
        </w:rPr>
        <w:t xml:space="preserve">   最高限价：人民币405.72万元</w:t>
      </w:r>
    </w:p>
    <w:tbl>
      <w:tblPr>
        <w:tblStyle w:val="33"/>
        <w:tblW w:w="9654" w:type="dxa"/>
        <w:tblInd w:w="93" w:type="dxa"/>
        <w:tblLayout w:type="autofit"/>
        <w:tblCellMar>
          <w:top w:w="0" w:type="dxa"/>
          <w:left w:w="108" w:type="dxa"/>
          <w:bottom w:w="0" w:type="dxa"/>
          <w:right w:w="108" w:type="dxa"/>
        </w:tblCellMar>
      </w:tblPr>
      <w:tblGrid>
        <w:gridCol w:w="480"/>
        <w:gridCol w:w="2229"/>
        <w:gridCol w:w="1275"/>
        <w:gridCol w:w="709"/>
        <w:gridCol w:w="1134"/>
        <w:gridCol w:w="992"/>
        <w:gridCol w:w="851"/>
        <w:gridCol w:w="992"/>
        <w:gridCol w:w="992"/>
      </w:tblGrid>
      <w:tr>
        <w:tblPrEx>
          <w:tblCellMar>
            <w:top w:w="0" w:type="dxa"/>
            <w:left w:w="108" w:type="dxa"/>
            <w:bottom w:w="0" w:type="dxa"/>
            <w:right w:w="108" w:type="dxa"/>
          </w:tblCellMar>
        </w:tblPrEx>
        <w:trPr>
          <w:trHeight w:val="1020" w:hRule="atLeast"/>
        </w:trPr>
        <w:tc>
          <w:tcPr>
            <w:tcW w:w="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序号</w:t>
            </w:r>
          </w:p>
        </w:tc>
        <w:tc>
          <w:tcPr>
            <w:tcW w:w="22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学校名称</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学校类别</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校区</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需要增配的课桌椅（班级数）</w:t>
            </w:r>
          </w:p>
        </w:tc>
        <w:tc>
          <w:tcPr>
            <w:tcW w:w="28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增配数量</w:t>
            </w:r>
          </w:p>
        </w:tc>
        <w:tc>
          <w:tcPr>
            <w:tcW w:w="99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实际回收课桌椅数量</w:t>
            </w:r>
          </w:p>
        </w:tc>
      </w:tr>
      <w:tr>
        <w:tblPrEx>
          <w:tblCellMar>
            <w:top w:w="0" w:type="dxa"/>
            <w:left w:w="108" w:type="dxa"/>
            <w:bottom w:w="0" w:type="dxa"/>
            <w:right w:w="108" w:type="dxa"/>
          </w:tblCellMar>
        </w:tblPrEx>
        <w:trPr>
          <w:trHeight w:val="270" w:hRule="atLeast"/>
        </w:trPr>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仿宋_GB2312" w:asciiTheme="majorEastAsia" w:hAnsiTheme="majorEastAsia" w:eastAsiaTheme="majorEastAsia"/>
                <w:kern w:val="0"/>
                <w:sz w:val="24"/>
                <w:lang w:bidi="ar"/>
              </w:rPr>
            </w:pPr>
          </w:p>
        </w:tc>
        <w:tc>
          <w:tcPr>
            <w:tcW w:w="22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仿宋_GB2312" w:asciiTheme="majorEastAsia" w:hAnsiTheme="majorEastAsia" w:eastAsiaTheme="majorEastAsia"/>
                <w:kern w:val="0"/>
                <w:sz w:val="24"/>
                <w:lang w:bidi="ar"/>
              </w:rPr>
            </w:pPr>
          </w:p>
        </w:tc>
        <w:tc>
          <w:tcPr>
            <w:tcW w:w="1275"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cs="仿宋_GB2312" w:asciiTheme="majorEastAsia" w:hAnsiTheme="majorEastAsia" w:eastAsiaTheme="majorEastAsia"/>
                <w:kern w:val="0"/>
                <w:sz w:val="24"/>
                <w:lang w:bidi="ar"/>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仿宋_GB2312" w:asciiTheme="majorEastAsia" w:hAnsiTheme="majorEastAsia" w:eastAsiaTheme="majorEastAsia"/>
                <w:kern w:val="0"/>
                <w:sz w:val="24"/>
                <w:lang w:bidi="ar"/>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cs="仿宋_GB2312" w:asciiTheme="majorEastAsia" w:hAnsiTheme="majorEastAsia" w:eastAsiaTheme="majorEastAsia"/>
                <w:kern w:val="0"/>
                <w:sz w:val="24"/>
                <w:lang w:bidi="ar"/>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初中</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小学</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合计</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湖州市第十一中学</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初中</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500</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500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230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w:t>
            </w:r>
          </w:p>
        </w:tc>
        <w:tc>
          <w:tcPr>
            <w:tcW w:w="222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湖州市第十二中学</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初中</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19</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950</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950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774</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3</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湖州市东风小学教育集团</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建设路校区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810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810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810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4</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湖州市东风小学教育集团</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南华路校区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24</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1080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1080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0</w:t>
            </w:r>
          </w:p>
        </w:tc>
      </w:tr>
      <w:tr>
        <w:tblPrEx>
          <w:tblCellMar>
            <w:top w:w="0" w:type="dxa"/>
            <w:left w:w="108" w:type="dxa"/>
            <w:bottom w:w="0" w:type="dxa"/>
            <w:right w:w="108" w:type="dxa"/>
          </w:tblCellMar>
        </w:tblPrEx>
        <w:trPr>
          <w:trHeight w:val="54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5</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湖州市新风实验小学教育集团</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下塘校区</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36</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1620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1620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1620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6</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湖州市吴兴区八里店镇常路学校</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九年一贯制</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14</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700</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700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550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7</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湖州市吴兴区第一小学</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12</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540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540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1127</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8</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湖州市东林镇东林中学</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初中</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4</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200</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200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9</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湖州市东林镇东林小学</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18</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810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810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595</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10</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湖州市飞英小学</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9</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405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405</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270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11</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湖州市凤凰小学</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小学</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21</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945</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945</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400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12</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湖州市吴兴区妙西学校</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九年一贯制</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w:t>
            </w:r>
            <w:r>
              <w:rPr>
                <w:rFonts w:hint="eastAsia" w:cs="仿宋_GB2312" w:asciiTheme="majorEastAsia" w:hAnsiTheme="majorEastAsia" w:eastAsiaTheme="majorEastAsia"/>
                <w:kern w:val="0"/>
                <w:sz w:val="24"/>
                <w:lang w:bidi="ar"/>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1100</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1100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796</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222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小计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2</w:t>
            </w:r>
            <w:r>
              <w:rPr>
                <w:rFonts w:hint="eastAsia" w:cs="仿宋_GB2312" w:asciiTheme="majorEastAsia" w:hAnsiTheme="majorEastAsia" w:eastAsiaTheme="majorEastAsia"/>
                <w:kern w:val="0"/>
                <w:sz w:val="24"/>
                <w:lang w:bidi="ar"/>
              </w:rPr>
              <w:t>07</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3</w:t>
            </w:r>
            <w:r>
              <w:rPr>
                <w:rFonts w:hint="eastAsia" w:cs="仿宋_GB2312" w:asciiTheme="majorEastAsia" w:hAnsiTheme="majorEastAsia" w:eastAsiaTheme="majorEastAsia"/>
                <w:kern w:val="0"/>
                <w:sz w:val="24"/>
                <w:lang w:bidi="ar"/>
              </w:rPr>
              <w:t>450</w:t>
            </w:r>
          </w:p>
        </w:tc>
        <w:tc>
          <w:tcPr>
            <w:tcW w:w="85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6210</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仿宋_GB2312" w:asciiTheme="majorEastAsia" w:hAnsiTheme="majorEastAsia" w:eastAsiaTheme="majorEastAsia"/>
                <w:kern w:val="0"/>
                <w:sz w:val="24"/>
                <w:lang w:bidi="ar"/>
              </w:rPr>
            </w:pPr>
            <w:r>
              <w:rPr>
                <w:rFonts w:cs="仿宋_GB2312" w:asciiTheme="majorEastAsia" w:hAnsiTheme="majorEastAsia" w:eastAsiaTheme="majorEastAsia"/>
                <w:kern w:val="0"/>
                <w:sz w:val="24"/>
                <w:lang w:bidi="ar"/>
              </w:rPr>
              <w:t>9</w:t>
            </w:r>
            <w:r>
              <w:rPr>
                <w:rFonts w:hint="eastAsia" w:cs="仿宋_GB2312" w:asciiTheme="majorEastAsia" w:hAnsiTheme="majorEastAsia" w:eastAsiaTheme="majorEastAsia"/>
                <w:kern w:val="0"/>
                <w:sz w:val="24"/>
                <w:lang w:bidi="ar"/>
              </w:rPr>
              <w:t>660</w:t>
            </w:r>
          </w:p>
        </w:tc>
        <w:tc>
          <w:tcPr>
            <w:tcW w:w="99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7172</w:t>
            </w:r>
          </w:p>
        </w:tc>
      </w:tr>
    </w:tbl>
    <w:p>
      <w:pPr>
        <w:widowControl/>
        <w:jc w:val="center"/>
        <w:textAlignment w:val="center"/>
        <w:rPr>
          <w:rFonts w:cs="仿宋_GB2312" w:asciiTheme="majorEastAsia" w:hAnsiTheme="majorEastAsia" w:eastAsiaTheme="majorEastAsia"/>
          <w:kern w:val="0"/>
          <w:sz w:val="24"/>
          <w:lang w:bidi="ar"/>
        </w:rPr>
      </w:pPr>
    </w:p>
    <w:p>
      <w:pPr>
        <w:widowControl/>
        <w:jc w:val="center"/>
        <w:textAlignment w:val="center"/>
        <w:rPr>
          <w:rFonts w:cs="仿宋_GB2312" w:asciiTheme="majorEastAsia" w:hAnsiTheme="majorEastAsia" w:eastAsiaTheme="majorEastAsia"/>
          <w:kern w:val="0"/>
          <w:sz w:val="24"/>
          <w:lang w:bidi="ar"/>
        </w:rPr>
      </w:pPr>
      <w:r>
        <w:rPr>
          <w:rFonts w:hint="eastAsia" w:cs="仿宋_GB2312" w:asciiTheme="majorEastAsia" w:hAnsiTheme="majorEastAsia" w:eastAsiaTheme="majorEastAsia"/>
          <w:kern w:val="0"/>
          <w:sz w:val="24"/>
          <w:lang w:bidi="ar"/>
        </w:rPr>
        <w:t>标项4：升降式课桌椅项目标项4</w:t>
      </w:r>
    </w:p>
    <w:p>
      <w:pPr>
        <w:widowControl/>
        <w:jc w:val="center"/>
        <w:textAlignment w:val="center"/>
        <w:rPr>
          <w:rFonts w:asciiTheme="majorEastAsia" w:hAnsiTheme="majorEastAsia" w:eastAsiaTheme="majorEastAsia"/>
          <w:b/>
          <w:sz w:val="24"/>
        </w:rPr>
      </w:pPr>
      <w:r>
        <w:rPr>
          <w:rFonts w:hint="eastAsia" w:cs="仿宋_GB2312" w:asciiTheme="majorEastAsia" w:hAnsiTheme="majorEastAsia" w:eastAsiaTheme="majorEastAsia"/>
          <w:kern w:val="0"/>
          <w:sz w:val="24"/>
          <w:lang w:bidi="ar"/>
        </w:rPr>
        <w:t>预算：人民币469.125</w:t>
      </w:r>
      <w:r>
        <w:rPr>
          <w:rFonts w:cs="仿宋_GB2312" w:asciiTheme="majorEastAsia" w:hAnsiTheme="majorEastAsia" w:eastAsiaTheme="majorEastAsia"/>
          <w:kern w:val="0"/>
          <w:sz w:val="24"/>
          <w:lang w:bidi="ar"/>
        </w:rPr>
        <w:t>万元</w:t>
      </w:r>
      <w:r>
        <w:rPr>
          <w:rFonts w:hint="eastAsia" w:cs="仿宋_GB2312" w:asciiTheme="majorEastAsia" w:hAnsiTheme="majorEastAsia" w:eastAsiaTheme="majorEastAsia"/>
          <w:kern w:val="0"/>
          <w:sz w:val="24"/>
          <w:lang w:bidi="ar"/>
        </w:rPr>
        <w:t xml:space="preserve">   最高限价：人民币402.57万元</w:t>
      </w:r>
    </w:p>
    <w:tbl>
      <w:tblPr>
        <w:tblStyle w:val="33"/>
        <w:tblW w:w="9654" w:type="dxa"/>
        <w:tblInd w:w="93" w:type="dxa"/>
        <w:tblLayout w:type="autofit"/>
        <w:tblCellMar>
          <w:top w:w="0" w:type="dxa"/>
          <w:left w:w="108" w:type="dxa"/>
          <w:bottom w:w="0" w:type="dxa"/>
          <w:right w:w="108" w:type="dxa"/>
        </w:tblCellMar>
      </w:tblPr>
      <w:tblGrid>
        <w:gridCol w:w="480"/>
        <w:gridCol w:w="2229"/>
        <w:gridCol w:w="1275"/>
        <w:gridCol w:w="709"/>
        <w:gridCol w:w="1134"/>
        <w:gridCol w:w="992"/>
        <w:gridCol w:w="851"/>
        <w:gridCol w:w="992"/>
        <w:gridCol w:w="992"/>
      </w:tblGrid>
      <w:tr>
        <w:tblPrEx>
          <w:tblCellMar>
            <w:top w:w="0" w:type="dxa"/>
            <w:left w:w="108" w:type="dxa"/>
            <w:bottom w:w="0" w:type="dxa"/>
            <w:right w:w="108" w:type="dxa"/>
          </w:tblCellMar>
        </w:tblPrEx>
        <w:trPr>
          <w:trHeight w:val="1020" w:hRule="atLeast"/>
        </w:trPr>
        <w:tc>
          <w:tcPr>
            <w:tcW w:w="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序号</w:t>
            </w:r>
          </w:p>
        </w:tc>
        <w:tc>
          <w:tcPr>
            <w:tcW w:w="22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学校名称</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学校类别</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校区</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需要增配的课桌椅（班级数）</w:t>
            </w:r>
          </w:p>
        </w:tc>
        <w:tc>
          <w:tcPr>
            <w:tcW w:w="28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增配数量</w:t>
            </w:r>
          </w:p>
        </w:tc>
        <w:tc>
          <w:tcPr>
            <w:tcW w:w="992" w:type="dxa"/>
            <w:vMerge w:val="restart"/>
            <w:tcBorders>
              <w:top w:val="single" w:color="auto" w:sz="4" w:space="0"/>
              <w:left w:val="single" w:color="auto" w:sz="4" w:space="0"/>
              <w:right w:val="single" w:color="000000"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实际回收课桌椅数量</w:t>
            </w:r>
          </w:p>
        </w:tc>
      </w:tr>
      <w:tr>
        <w:tblPrEx>
          <w:tblCellMar>
            <w:top w:w="0" w:type="dxa"/>
            <w:left w:w="108" w:type="dxa"/>
            <w:bottom w:w="0" w:type="dxa"/>
            <w:right w:w="108" w:type="dxa"/>
          </w:tblCellMar>
        </w:tblPrEx>
        <w:trPr>
          <w:trHeight w:val="270" w:hRule="atLeast"/>
        </w:trPr>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b/>
                <w:bCs/>
                <w:kern w:val="0"/>
                <w:sz w:val="24"/>
              </w:rPr>
            </w:pPr>
          </w:p>
        </w:tc>
        <w:tc>
          <w:tcPr>
            <w:tcW w:w="22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b/>
                <w:bCs/>
                <w:kern w:val="0"/>
                <w:sz w:val="24"/>
              </w:rPr>
            </w:pPr>
          </w:p>
        </w:tc>
        <w:tc>
          <w:tcPr>
            <w:tcW w:w="127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b/>
                <w:bCs/>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b/>
                <w:bCs/>
                <w:kern w:val="0"/>
                <w:sz w:val="24"/>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b/>
                <w:bCs/>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初中</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小学</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bCs/>
                <w:kern w:val="0"/>
                <w:sz w:val="24"/>
              </w:rPr>
            </w:pPr>
            <w:r>
              <w:rPr>
                <w:rFonts w:hint="eastAsia" w:cs="宋体" w:asciiTheme="majorEastAsia" w:hAnsiTheme="majorEastAsia" w:eastAsiaTheme="majorEastAsia"/>
                <w:b/>
                <w:bCs/>
                <w:kern w:val="0"/>
                <w:sz w:val="24"/>
              </w:rPr>
              <w:t>合计</w:t>
            </w:r>
          </w:p>
        </w:tc>
        <w:tc>
          <w:tcPr>
            <w:tcW w:w="992" w:type="dxa"/>
            <w:vMerge w:val="continue"/>
            <w:tcBorders>
              <w:left w:val="single" w:color="auto" w:sz="4" w:space="0"/>
              <w:bottom w:val="single" w:color="auto" w:sz="4" w:space="0"/>
              <w:right w:val="single" w:color="000000" w:sz="4" w:space="0"/>
            </w:tcBorders>
            <w:shd w:val="clear" w:color="auto" w:fill="auto"/>
            <w:vAlign w:val="center"/>
          </w:tcPr>
          <w:p>
            <w:pPr>
              <w:widowControl/>
              <w:jc w:val="center"/>
              <w:rPr>
                <w:rFonts w:cs="宋体" w:asciiTheme="majorEastAsia" w:hAnsiTheme="majorEastAsia" w:eastAsiaTheme="majorEastAsia"/>
                <w:b/>
                <w:bCs/>
                <w:kern w:val="0"/>
                <w:sz w:val="24"/>
              </w:rPr>
            </w:pP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w:t>
            </w:r>
          </w:p>
        </w:tc>
        <w:tc>
          <w:tcPr>
            <w:tcW w:w="22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湖州市湖师附小教育集团</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小学</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幸福里校区</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51</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2295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2295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1545</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2</w:t>
            </w:r>
          </w:p>
        </w:tc>
        <w:tc>
          <w:tcPr>
            <w:tcW w:w="2229"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湖州市湖师附小教育集团</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小学</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余家漾校区</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30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1350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1350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967</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3</w:t>
            </w:r>
          </w:p>
        </w:tc>
        <w:tc>
          <w:tcPr>
            <w:tcW w:w="22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湖州市湖师附小教育集团</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小学</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西山漾校区</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49</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2205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2205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1340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4</w:t>
            </w:r>
          </w:p>
        </w:tc>
        <w:tc>
          <w:tcPr>
            <w:tcW w:w="22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湖州市吴兴区塘甸小学</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小学</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4</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180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180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0</w:t>
            </w:r>
          </w:p>
        </w:tc>
      </w:tr>
      <w:tr>
        <w:tblPrEx>
          <w:tblCellMar>
            <w:top w:w="0" w:type="dxa"/>
            <w:left w:w="108" w:type="dxa"/>
            <w:bottom w:w="0" w:type="dxa"/>
            <w:right w:w="108" w:type="dxa"/>
          </w:tblCellMar>
        </w:tblPrEx>
        <w:trPr>
          <w:trHeight w:val="54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5</w:t>
            </w:r>
          </w:p>
        </w:tc>
        <w:tc>
          <w:tcPr>
            <w:tcW w:w="22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湖州市织里实验小学教育集团</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小学</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东校区</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450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450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6</w:t>
            </w:r>
          </w:p>
        </w:tc>
        <w:tc>
          <w:tcPr>
            <w:tcW w:w="22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湖州市吴兴区城南实验学校</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九年一贯制</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13</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650</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650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580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7</w:t>
            </w:r>
          </w:p>
        </w:tc>
        <w:tc>
          <w:tcPr>
            <w:tcW w:w="22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湖州市埭溪镇上强中学</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初中</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18</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900</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900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900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8</w:t>
            </w:r>
          </w:p>
        </w:tc>
        <w:tc>
          <w:tcPr>
            <w:tcW w:w="22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湖州市埭溪镇上强小学</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小学</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225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225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350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9</w:t>
            </w:r>
          </w:p>
        </w:tc>
        <w:tc>
          <w:tcPr>
            <w:tcW w:w="22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湖州市弁南中学</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初中</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14</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700</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700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10</w:t>
            </w:r>
          </w:p>
        </w:tc>
        <w:tc>
          <w:tcPr>
            <w:tcW w:w="22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湖州市弁南小学</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小学</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14</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630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630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320</w:t>
            </w:r>
          </w:p>
        </w:tc>
      </w:tr>
      <w:tr>
        <w:tblPrEx>
          <w:tblCellMar>
            <w:top w:w="0" w:type="dxa"/>
            <w:left w:w="108" w:type="dxa"/>
            <w:bottom w:w="0" w:type="dxa"/>
            <w:right w:w="108" w:type="dxa"/>
          </w:tblCellMar>
        </w:tblPrEx>
        <w:trPr>
          <w:trHeight w:val="270" w:hRule="atLeast"/>
        </w:trPr>
        <w:tc>
          <w:tcPr>
            <w:tcW w:w="4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22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小计</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　</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208</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2250</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7335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9585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6002</w:t>
            </w:r>
          </w:p>
        </w:tc>
      </w:tr>
    </w:tbl>
    <w:p>
      <w:pPr>
        <w:jc w:val="center"/>
        <w:rPr>
          <w:rFonts w:asciiTheme="majorEastAsia" w:hAnsiTheme="majorEastAsia" w:eastAsiaTheme="majorEastAsia"/>
          <w:sz w:val="24"/>
        </w:rPr>
      </w:pPr>
    </w:p>
    <w:p>
      <w:pPr>
        <w:jc w:val="center"/>
        <w:rPr>
          <w:rFonts w:ascii="宋体" w:hAnsi="宋体"/>
          <w:b/>
          <w:bCs/>
          <w:sz w:val="24"/>
        </w:rPr>
      </w:pPr>
      <w:r>
        <w:rPr>
          <w:rFonts w:hint="eastAsia" w:asciiTheme="majorEastAsia" w:hAnsiTheme="majorEastAsia" w:eastAsiaTheme="majorEastAsia"/>
          <w:sz w:val="24"/>
        </w:rPr>
        <w:t>2. 技术参数</w:t>
      </w:r>
    </w:p>
    <w:tbl>
      <w:tblPr>
        <w:tblStyle w:val="3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533"/>
        <w:gridCol w:w="1673"/>
        <w:gridCol w:w="5487"/>
        <w:gridCol w:w="737"/>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dxa"/>
          </w:tcPr>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序</w:t>
            </w:r>
          </w:p>
          <w:p>
            <w:pPr>
              <w:widowControl/>
              <w:spacing w:line="360" w:lineRule="auto"/>
              <w:jc w:val="left"/>
              <w:rPr>
                <w:rFonts w:ascii="宋体" w:hAnsi="宋体" w:eastAsia="Times New Roman" w:cs="宋体"/>
                <w:b/>
                <w:bCs/>
                <w:color w:val="000000"/>
                <w:kern w:val="0"/>
                <w:sz w:val="24"/>
              </w:rPr>
            </w:pPr>
            <w:r>
              <w:rPr>
                <w:rFonts w:hint="eastAsia" w:ascii="宋体" w:hAnsi="宋体" w:eastAsia="Times New Roman" w:cs="宋体"/>
                <w:color w:val="000000"/>
                <w:kern w:val="0"/>
                <w:sz w:val="24"/>
              </w:rPr>
              <w:t>号</w:t>
            </w:r>
          </w:p>
        </w:tc>
        <w:tc>
          <w:tcPr>
            <w:tcW w:w="533" w:type="dxa"/>
          </w:tcPr>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名</w:t>
            </w:r>
          </w:p>
          <w:p>
            <w:pPr>
              <w:widowControl/>
              <w:spacing w:line="360" w:lineRule="auto"/>
              <w:jc w:val="left"/>
              <w:rPr>
                <w:rFonts w:ascii="宋体" w:hAnsi="宋体" w:eastAsia="Times New Roman" w:cs="宋体"/>
                <w:b/>
                <w:bCs/>
                <w:color w:val="000000"/>
                <w:kern w:val="0"/>
                <w:sz w:val="24"/>
              </w:rPr>
            </w:pPr>
            <w:r>
              <w:rPr>
                <w:rFonts w:hint="eastAsia" w:ascii="宋体" w:hAnsi="宋体" w:eastAsia="Times New Roman" w:cs="宋体"/>
                <w:color w:val="000000"/>
                <w:kern w:val="0"/>
                <w:sz w:val="24"/>
              </w:rPr>
              <w:t>称</w:t>
            </w:r>
          </w:p>
        </w:tc>
        <w:tc>
          <w:tcPr>
            <w:tcW w:w="1673" w:type="dxa"/>
          </w:tcPr>
          <w:p>
            <w:pPr>
              <w:widowControl/>
              <w:spacing w:line="360" w:lineRule="auto"/>
              <w:jc w:val="left"/>
              <w:rPr>
                <w:rFonts w:ascii="宋体" w:hAnsi="宋体" w:eastAsia="Times New Roman" w:cs="宋体"/>
                <w:b/>
                <w:bCs/>
                <w:color w:val="000000"/>
                <w:kern w:val="0"/>
                <w:sz w:val="24"/>
              </w:rPr>
            </w:pPr>
            <w:r>
              <w:rPr>
                <w:rFonts w:hint="eastAsia" w:ascii="宋体" w:hAnsi="宋体" w:eastAsia="Times New Roman" w:cs="宋体"/>
                <w:color w:val="000000"/>
                <w:kern w:val="0"/>
                <w:sz w:val="24"/>
              </w:rPr>
              <w:t>产品参考图片</w:t>
            </w:r>
          </w:p>
        </w:tc>
        <w:tc>
          <w:tcPr>
            <w:tcW w:w="5487" w:type="dxa"/>
          </w:tcPr>
          <w:p>
            <w:pPr>
              <w:widowControl/>
              <w:spacing w:line="360" w:lineRule="auto"/>
              <w:jc w:val="left"/>
              <w:rPr>
                <w:rFonts w:ascii="宋体" w:hAnsi="宋体" w:eastAsia="Times New Roman" w:cs="宋体"/>
                <w:b/>
                <w:bCs/>
                <w:color w:val="000000"/>
                <w:kern w:val="0"/>
                <w:sz w:val="24"/>
              </w:rPr>
            </w:pPr>
            <w:r>
              <w:rPr>
                <w:rFonts w:hint="eastAsia" w:ascii="宋体" w:hAnsi="宋体" w:eastAsia="Times New Roman" w:cs="宋体"/>
                <w:color w:val="000000"/>
                <w:kern w:val="0"/>
                <w:sz w:val="24"/>
              </w:rPr>
              <w:t>规格材质</w:t>
            </w:r>
          </w:p>
        </w:tc>
        <w:tc>
          <w:tcPr>
            <w:tcW w:w="737" w:type="dxa"/>
          </w:tcPr>
          <w:p>
            <w:pPr>
              <w:widowControl/>
              <w:spacing w:line="360" w:lineRule="auto"/>
              <w:jc w:val="left"/>
              <w:rPr>
                <w:rFonts w:ascii="宋体" w:hAnsi="宋体" w:eastAsia="Times New Roman" w:cs="宋体"/>
                <w:b/>
                <w:bCs/>
                <w:color w:val="000000"/>
                <w:kern w:val="0"/>
                <w:sz w:val="24"/>
              </w:rPr>
            </w:pPr>
            <w:r>
              <w:rPr>
                <w:rFonts w:hint="eastAsia" w:ascii="宋体" w:hAnsi="宋体" w:eastAsia="Times New Roman" w:cs="宋体"/>
                <w:color w:val="000000"/>
                <w:kern w:val="0"/>
                <w:sz w:val="24"/>
              </w:rPr>
              <w:t>单位</w:t>
            </w:r>
          </w:p>
        </w:tc>
        <w:tc>
          <w:tcPr>
            <w:tcW w:w="696" w:type="dxa"/>
          </w:tcPr>
          <w:p>
            <w:pPr>
              <w:widowControl/>
              <w:spacing w:line="360" w:lineRule="auto"/>
              <w:jc w:val="left"/>
              <w:rPr>
                <w:rFonts w:ascii="宋体" w:hAnsi="宋体" w:eastAsia="Times New Roman" w:cs="宋体"/>
                <w:b/>
                <w:bCs/>
                <w:color w:val="000000"/>
                <w:kern w:val="0"/>
                <w:sz w:val="24"/>
              </w:rPr>
            </w:pPr>
            <w:r>
              <w:rPr>
                <w:rFonts w:hint="eastAsia" w:ascii="宋体" w:hAnsi="宋体" w:eastAsia="Times New Roman" w:cs="宋体"/>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dxa"/>
          </w:tcPr>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1</w:t>
            </w:r>
          </w:p>
          <w:p>
            <w:pPr>
              <w:widowControl/>
              <w:spacing w:line="360" w:lineRule="auto"/>
              <w:jc w:val="left"/>
              <w:rPr>
                <w:rFonts w:ascii="宋体" w:hAnsi="宋体" w:eastAsia="Times New Roman" w:cs="宋体"/>
                <w:b/>
                <w:bCs/>
                <w:color w:val="000000"/>
                <w:kern w:val="0"/>
                <w:sz w:val="24"/>
              </w:rPr>
            </w:pPr>
          </w:p>
        </w:tc>
        <w:tc>
          <w:tcPr>
            <w:tcW w:w="533" w:type="dxa"/>
          </w:tcPr>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手</w:t>
            </w:r>
          </w:p>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摇</w:t>
            </w:r>
          </w:p>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升</w:t>
            </w:r>
          </w:p>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降</w:t>
            </w:r>
          </w:p>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式</w:t>
            </w:r>
          </w:p>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课</w:t>
            </w:r>
          </w:p>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桌</w:t>
            </w:r>
          </w:p>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椅</w:t>
            </w:r>
          </w:p>
          <w:p>
            <w:pPr>
              <w:widowControl/>
              <w:spacing w:line="360" w:lineRule="auto"/>
              <w:jc w:val="left"/>
              <w:rPr>
                <w:rFonts w:ascii="宋体" w:hAnsi="宋体" w:eastAsia="Times New Roman" w:cs="宋体"/>
                <w:b/>
                <w:bCs/>
                <w:color w:val="000000"/>
                <w:kern w:val="0"/>
                <w:sz w:val="24"/>
              </w:rPr>
            </w:pPr>
          </w:p>
        </w:tc>
        <w:tc>
          <w:tcPr>
            <w:tcW w:w="1673" w:type="dxa"/>
          </w:tcPr>
          <w:p>
            <w:pPr>
              <w:widowControl/>
              <w:spacing w:line="360" w:lineRule="auto"/>
              <w:jc w:val="center"/>
              <w:rPr>
                <w:rFonts w:ascii="宋体" w:hAnsi="宋体" w:eastAsia="Times New Roman" w:cs="宋体"/>
                <w:b/>
                <w:bCs/>
                <w:szCs w:val="21"/>
              </w:rPr>
            </w:pPr>
          </w:p>
          <w:p>
            <w:pPr>
              <w:widowControl/>
              <w:spacing w:line="360" w:lineRule="auto"/>
              <w:jc w:val="center"/>
              <w:rPr>
                <w:rFonts w:ascii="宋体" w:hAnsi="宋体" w:eastAsia="Times New Roman" w:cs="宋体"/>
                <w:b/>
                <w:bCs/>
                <w:szCs w:val="21"/>
              </w:rPr>
            </w:pPr>
          </w:p>
          <w:p>
            <w:pPr>
              <w:widowControl/>
              <w:spacing w:line="360" w:lineRule="auto"/>
              <w:jc w:val="center"/>
              <w:rPr>
                <w:rFonts w:ascii="宋体" w:hAnsi="宋体" w:eastAsia="Times New Roman" w:cs="宋体"/>
                <w:sz w:val="24"/>
              </w:rPr>
            </w:pPr>
            <w:r>
              <w:rPr>
                <w:rFonts w:ascii="宋体" w:hAnsi="宋体" w:eastAsia="Times New Roman" w:cs="宋体"/>
                <w:sz w:val="24"/>
              </w:rPr>
              <w:drawing>
                <wp:inline distT="0" distB="0" distL="0" distR="0">
                  <wp:extent cx="1181735" cy="1095375"/>
                  <wp:effectExtent l="0" t="0" r="0" b="9525"/>
                  <wp:docPr id="6" name="图片 6" descr="C:\Users\Administrator\AppData\Local\Temp\WeChat Files\5bd3b1353e48dda1fb0e1315f91d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AppData\Local\Temp\WeChat Files\5bd3b1353e48dda1fb0e1315f91d6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81761" cy="1095555"/>
                          </a:xfrm>
                          <a:prstGeom prst="rect">
                            <a:avLst/>
                          </a:prstGeom>
                          <a:noFill/>
                          <a:ln>
                            <a:noFill/>
                          </a:ln>
                        </pic:spPr>
                      </pic:pic>
                    </a:graphicData>
                  </a:graphic>
                </wp:inline>
              </w:drawing>
            </w:r>
          </w:p>
          <w:p>
            <w:pPr>
              <w:widowControl/>
              <w:spacing w:line="360" w:lineRule="auto"/>
              <w:jc w:val="center"/>
              <w:rPr>
                <w:rFonts w:ascii="宋体" w:hAnsi="宋体" w:eastAsia="Times New Roman" w:cs="宋体"/>
                <w:b/>
                <w:bCs/>
                <w:szCs w:val="21"/>
              </w:rPr>
            </w:pPr>
            <w:r>
              <w:rPr>
                <w:rFonts w:hint="eastAsia" w:ascii="宋体" w:hAnsi="宋体" w:eastAsia="Times New Roman" w:cs="宋体"/>
                <w:b/>
                <w:bCs/>
                <w:color w:val="000000"/>
                <w:kern w:val="0"/>
                <w:szCs w:val="21"/>
              </w:rPr>
              <w:t>小学生</w:t>
            </w:r>
            <w:r>
              <w:rPr>
                <w:rFonts w:hint="eastAsia" w:ascii="宋体" w:hAnsi="宋体" w:eastAsia="Times New Roman" w:cs="宋体"/>
                <w:b/>
                <w:bCs/>
                <w:szCs w:val="21"/>
              </w:rPr>
              <w:t>适用</w:t>
            </w:r>
          </w:p>
          <w:p>
            <w:pPr>
              <w:widowControl/>
              <w:spacing w:line="360" w:lineRule="auto"/>
              <w:jc w:val="center"/>
              <w:rPr>
                <w:rFonts w:ascii="宋体" w:hAnsi="宋体" w:eastAsia="Times New Roman" w:cs="宋体"/>
                <w:sz w:val="24"/>
              </w:rPr>
            </w:pPr>
          </w:p>
        </w:tc>
        <w:tc>
          <w:tcPr>
            <w:tcW w:w="5487" w:type="dxa"/>
          </w:tcPr>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 xml:space="preserve">一、课桌 </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1.桌面高度：660—750mm 可调节，调节后能满足国标GB/T3976-2014中1号课桌的桌面高度要求。</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 xml:space="preserve">2.桌面尺寸：600×400×18mm。桌面材质：采用18mm 厚环保双面饰多层板，甲醛释放量符合国标 E1（释放量≤ 1.5mg/L），四周截面采用 PP 材料。优质塑料一次注塑成型封边带笔槽，前鸭嘴后直边，桌面四角为圆角，封边结实、严密包边不起翘，耐磕碰， 塑料材质不易开裂、老化。 </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 xml:space="preserve">3.桌斗尺寸：450×300×150mm，钢板厚度≥ 0.8mm。桌斗材质：采用优质冷轧板冲压一次成 型冲孔，整体光滑无毛刺。 </w:t>
            </w:r>
          </w:p>
          <w:p>
            <w:pPr>
              <w:widowControl/>
              <w:spacing w:line="360" w:lineRule="auto"/>
              <w:jc w:val="left"/>
              <w:rPr>
                <w:rFonts w:ascii="宋体" w:hAnsi="宋体" w:eastAsia="Times New Roman" w:cs="宋体"/>
                <w:kern w:val="0"/>
                <w:sz w:val="24"/>
              </w:rPr>
            </w:pPr>
            <w:r>
              <w:rPr>
                <w:rFonts w:hint="eastAsia" w:ascii="宋体" w:hAnsi="宋体" w:eastAsia="Times New Roman" w:cs="宋体"/>
                <w:kern w:val="0"/>
                <w:sz w:val="24"/>
              </w:rPr>
              <w:t>4.桌架材质：脚立管 70×30×1.2mm 的椭圆管，脚 立管 55×25×1.2mm 的椭圆管，横脚管 60×30× 1.2mm 的D形管。</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5.焊接光滑平整无毛刺、无气孔、焊瘤、焊丝咬 边和飞溅，经脱脂、酸洗、水洗、磷化成膜、电 泳，自动恒温喷涂。</w:t>
            </w:r>
          </w:p>
          <w:p>
            <w:pPr>
              <w:widowControl/>
              <w:numPr>
                <w:ilvl w:val="0"/>
                <w:numId w:val="2"/>
              </w:numPr>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 xml:space="preserve">桌椅脚套采用高级橡胶 ABS 脚套（成形横脚 套），耐磨、移位无声。采用国标镀锌螺丝固定脚套，做到外观美观，安装牢固，紧固紧齐。 </w:t>
            </w:r>
          </w:p>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7.课桌左右两侧须各有一挂钩配置、挂钩材质为 PA 塑料挂钩。不得采用螺丝锁附方式配置挂钩、在静止状态下可以承载 30KG 或以上的挂物承 重。</w:t>
            </w:r>
          </w:p>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 xml:space="preserve">二、课椅 </w:t>
            </w:r>
          </w:p>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1. 座面高：360—440mm 可调节，调节后能满足 国标 GB/T3976-2014 中 1 号课椅的座面高度要 求。</w:t>
            </w:r>
          </w:p>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 xml:space="preserve">2.座面尺寸：380×383mm，厚度≥20mm。材质工艺：采用环保 PP 材料中空吹塑成型。 </w:t>
            </w:r>
          </w:p>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 xml:space="preserve">3.靠背尺寸：405×250mm，厚度≥20mm。材质工艺：采用环保 ABS 材料中空吹塑一次成型。 </w:t>
            </w:r>
          </w:p>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4.椅架材质：脚立管 70×30×1.2mm 的椭圆管，脚立管 55×25×1.2mm 的椭圆管，横脚管 60×30× 1.2mm 的D形管，座靠管采用 40×20×1.2mm 的椭圆管。</w:t>
            </w:r>
          </w:p>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 xml:space="preserve">5.焊接光滑平整无毛刺、无气孔、焊瘤、焊丝咬边和飞溅，经脱脂、酸洗、水洗、磷化成膜、电泳，自动恒温喷涂。 </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 xml:space="preserve">6.脚套采用高级橡胶 ABS 脚套（成形横脚套）， 耐磨、移位无声。采用国标镀锌螺丝固定脚套，做到外观美观，安装牢固， 紧固紧齐。 </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三、升降方式</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手摇式升降:左右脚架各加装一组高低自动升降调节器，升降传动齿轮采用合金压铸，升降螺杆采用中碳刚T型螺纹传动，暗藏保护装置，防止碰撞弯曲,配戴外六角杆手摇工具。</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四、尺规刻度要求</w:t>
            </w:r>
          </w:p>
          <w:p>
            <w:pPr>
              <w:widowControl/>
              <w:spacing w:line="360" w:lineRule="auto"/>
              <w:jc w:val="left"/>
              <w:rPr>
                <w:rFonts w:ascii="宋体" w:hAnsi="宋体" w:eastAsia="Times New Roman" w:cs="宋体"/>
                <w:b/>
                <w:bCs/>
                <w:color w:val="000000"/>
                <w:kern w:val="0"/>
                <w:sz w:val="24"/>
              </w:rPr>
            </w:pPr>
            <w:r>
              <w:rPr>
                <w:rFonts w:hint="eastAsia" w:ascii="宋体" w:hAnsi="宋体" w:eastAsia="Times New Roman" w:cs="宋体"/>
                <w:color w:val="000000"/>
                <w:kern w:val="0"/>
                <w:sz w:val="24"/>
              </w:rPr>
              <w:t>桌椅侧钢管上标示升降高度                                                      注：课桌椅提供3种及以上颜色（课桌包括但不限于浅蓝色、浅绿色、浅木纹色；课椅包括但不限于浅蓝色、浅绿色、浅灰色），具体颜色由采购人（学校）确定。</w:t>
            </w:r>
          </w:p>
        </w:tc>
        <w:tc>
          <w:tcPr>
            <w:tcW w:w="737" w:type="dxa"/>
          </w:tcPr>
          <w:p>
            <w:pPr>
              <w:widowControl/>
              <w:spacing w:line="360" w:lineRule="auto"/>
              <w:jc w:val="left"/>
              <w:rPr>
                <w:rFonts w:ascii="宋体" w:hAnsi="宋体" w:eastAsia="Times New Roman" w:cs="宋体"/>
              </w:rPr>
            </w:pPr>
            <w:r>
              <w:rPr>
                <w:rFonts w:hint="eastAsia" w:ascii="宋体" w:hAnsi="宋体" w:eastAsia="Times New Roman" w:cs="宋体"/>
                <w:color w:val="000000"/>
                <w:kern w:val="0"/>
                <w:sz w:val="24"/>
              </w:rPr>
              <w:t>套</w:t>
            </w:r>
          </w:p>
          <w:p>
            <w:pPr>
              <w:widowControl/>
              <w:spacing w:line="360" w:lineRule="auto"/>
              <w:jc w:val="left"/>
              <w:rPr>
                <w:rFonts w:ascii="宋体" w:hAnsi="宋体" w:eastAsia="Times New Roman" w:cs="宋体"/>
                <w:b/>
                <w:bCs/>
                <w:color w:val="000000"/>
                <w:kern w:val="0"/>
                <w:sz w:val="24"/>
              </w:rPr>
            </w:pPr>
          </w:p>
        </w:tc>
        <w:tc>
          <w:tcPr>
            <w:tcW w:w="696" w:type="dxa"/>
          </w:tcPr>
          <w:p>
            <w:pPr>
              <w:widowControl/>
              <w:spacing w:line="360" w:lineRule="auto"/>
              <w:jc w:val="left"/>
              <w:rPr>
                <w:rFonts w:ascii="宋体" w:hAnsi="宋体" w:eastAsia="Times New Roman"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 w:type="dxa"/>
            <w:vAlign w:val="center"/>
          </w:tcPr>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1</w:t>
            </w:r>
          </w:p>
        </w:tc>
        <w:tc>
          <w:tcPr>
            <w:tcW w:w="533" w:type="dxa"/>
            <w:vAlign w:val="center"/>
          </w:tcPr>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 xml:space="preserve"> 课桌椅</w:t>
            </w:r>
          </w:p>
        </w:tc>
        <w:tc>
          <w:tcPr>
            <w:tcW w:w="1673" w:type="dxa"/>
            <w:vAlign w:val="center"/>
          </w:tcPr>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drawing>
                <wp:inline distT="0" distB="0" distL="0" distR="0">
                  <wp:extent cx="965835" cy="1250315"/>
                  <wp:effectExtent l="0" t="0" r="5715" b="6985"/>
                  <wp:docPr id="9" name="图片 9" descr="C:\Users\Administrator\AppData\Local\Temp\WeChat Files\f97fe4b8c0a0c969fae8963d0a527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AppData\Local\Temp\WeChat Files\f97fe4b8c0a0c969fae8963d0a527e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71976" cy="1258060"/>
                          </a:xfrm>
                          <a:prstGeom prst="rect">
                            <a:avLst/>
                          </a:prstGeom>
                          <a:noFill/>
                          <a:ln>
                            <a:noFill/>
                          </a:ln>
                        </pic:spPr>
                      </pic:pic>
                    </a:graphicData>
                  </a:graphic>
                </wp:inline>
              </w:drawing>
            </w:r>
          </w:p>
          <w:p>
            <w:pPr>
              <w:widowControl/>
              <w:spacing w:line="360" w:lineRule="auto"/>
              <w:jc w:val="left"/>
              <w:rPr>
                <w:rFonts w:ascii="宋体" w:hAnsi="宋体" w:eastAsia="Times New Roman" w:cs="宋体"/>
                <w:color w:val="000000"/>
                <w:kern w:val="0"/>
                <w:sz w:val="24"/>
              </w:rPr>
            </w:pP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中学生适用</w:t>
            </w:r>
          </w:p>
          <w:p>
            <w:pPr>
              <w:widowControl/>
              <w:spacing w:line="360" w:lineRule="auto"/>
              <w:jc w:val="left"/>
              <w:rPr>
                <w:rFonts w:ascii="宋体" w:hAnsi="宋体" w:eastAsia="Times New Roman" w:cs="宋体"/>
                <w:color w:val="000000"/>
                <w:kern w:val="0"/>
                <w:sz w:val="24"/>
              </w:rPr>
            </w:pPr>
          </w:p>
        </w:tc>
        <w:tc>
          <w:tcPr>
            <w:tcW w:w="5487" w:type="dxa"/>
            <w:vAlign w:val="center"/>
          </w:tcPr>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一、课桌</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1.桌面高度：670—790mm可调节，调节后能满足国标GB/T3976-2014中0号课桌的桌面高度要求。桌面尺寸：600×445×18mm。</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2.桌面材质：采用18mm厚环保双面饰多层板，甲醛释放量符合国标E1（释放量≤ 1.5mg/L），四周截面采用PP材料。优质塑料一次注塑成型封边无笔槽，前鸭嘴后直边,桌面四角为圆角，封边结实、严密包边不起翘，耐磕碰，塑料材质不易开裂、老化。</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3.桌斗尺寸：480×300×180mm，钢板厚度≥0.8mm。桌斗材质：采用优质冷轧板冲压一次成型，整体光滑无毛刺。</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4.底管30X60X1.2mmD形管，立管30X70X1.2mm椭圆管，内套管25X54X1.2mm椭圆管。采用两根20X40X1.2mm椭圆管加固。</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5.焊接采用全机器人自动焊接，光滑平整无毛刺、无气孔、焊瘤、焊丝咬边和飞溅，经脱脂、酸洗、水洗、磷化成膜、电泳，自动恒温喷涂，颜色（可选色），确保6年无自然生锈掉色。</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6.脚套为PA环保塑料，耐磨、移位无声。采用国标镀锌螺丝固定脚套，做到外观美观，安装牢固，紧固紧齐。</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7.课桌左右两侧须各有一挂钩配置、挂钩材质为PA塑料挂钩。不得采用螺丝锁附方式配置挂钩、在静止状态下可以承载30KG或以上的挂物承重</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二、课椅</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1.座面高：360—460mm可调节，调节后能满足国标GB/T3976-2014中0号课椅的座面高度要求。座面尺寸：380×383mm，厚度≥40mm。材质工艺：采用环保PP材料中空吹塑成型。</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2.靠背尺寸：405×250mm，厚度≥20mm。材质工艺：采用环保PP材料中空吹塑成型。</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3.椅架材质：底管30X60X1.2mm椭圆管；立柱30X70X1.2mm椭圆管；内套管25X54X1.2mm椭圆管。</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靠背管采用20x40x1.2mm椭圆管。</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5.焊接采用全机器人自动焊接，光滑平整无毛刺、无气孔、焊瘤、焊丝咬边和飞溅，经脱脂、酸洗、水洗、磷化成膜、电泳，自动恒温喷涂，颜色（可选色），确保6年无自然生锈掉色。</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6.脚套为PA环保塑料，耐磨、移位无声。采用国标镀锌螺丝固定脚套，做到外观美观，安装牢固，紧固紧齐。</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三、升降方式</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手摇式升降:左右脚架各加装一组高低自动升降调节器，升降传动齿轮采用合金压铸，升降螺杆采用中碳刚T型螺纹传动，暗藏保护装置，防止碰撞弯曲,配戴外六角杆手摇工具。</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四、尺规刻度要求</w:t>
            </w: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桌椅侧钢管上标示升降高度                                                      注：课桌椅提供3种及以上颜色（课桌包括但不限于浅蓝色、浅绿色、浅木纹色；课椅包括但不限于浅蓝色、浅绿色、浅灰色），具体颜色由采购人（学校）确定。</w:t>
            </w:r>
          </w:p>
        </w:tc>
        <w:tc>
          <w:tcPr>
            <w:tcW w:w="737" w:type="dxa"/>
            <w:vAlign w:val="center"/>
          </w:tcPr>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套</w:t>
            </w:r>
          </w:p>
        </w:tc>
        <w:tc>
          <w:tcPr>
            <w:tcW w:w="696" w:type="dxa"/>
            <w:vAlign w:val="center"/>
          </w:tcPr>
          <w:p>
            <w:pPr>
              <w:widowControl/>
              <w:spacing w:line="360" w:lineRule="auto"/>
              <w:jc w:val="left"/>
              <w:rPr>
                <w:rFonts w:ascii="宋体" w:hAnsi="宋体" w:eastAsia="Times New Roman" w:cs="宋体"/>
                <w:color w:val="000000"/>
                <w:kern w:val="0"/>
                <w:sz w:val="24"/>
              </w:rPr>
            </w:pPr>
          </w:p>
        </w:tc>
      </w:tr>
    </w:tbl>
    <w:p>
      <w:pPr>
        <w:widowControl/>
        <w:spacing w:line="360" w:lineRule="auto"/>
        <w:jc w:val="left"/>
        <w:rPr>
          <w:rFonts w:ascii="宋体" w:hAnsi="宋体" w:eastAsia="Times New Roman" w:cs="宋体"/>
          <w:color w:val="000000"/>
          <w:kern w:val="0"/>
          <w:sz w:val="24"/>
        </w:rPr>
      </w:pPr>
    </w:p>
    <w:p>
      <w:pPr>
        <w:widowControl/>
        <w:spacing w:line="360" w:lineRule="auto"/>
        <w:jc w:val="left"/>
        <w:rPr>
          <w:rFonts w:ascii="宋体" w:hAnsi="宋体" w:eastAsia="Times New Roman" w:cs="宋体"/>
          <w:color w:val="000000"/>
          <w:kern w:val="0"/>
          <w:sz w:val="24"/>
        </w:rPr>
      </w:pPr>
      <w:r>
        <w:rPr>
          <w:rFonts w:hint="eastAsia" w:ascii="宋体" w:hAnsi="宋体" w:eastAsia="Times New Roman" w:cs="宋体"/>
          <w:color w:val="000000"/>
          <w:kern w:val="0"/>
          <w:sz w:val="24"/>
        </w:rPr>
        <w:t>注：1、分二批供货。第一次：2022年8月20日之前提供不少于各校总数量50%的货物，并完成安装调试及验收；第二次：2022年10月20日之前提供剩余数量的供货并完成安装调试及验收（具体时间以合同为准）。</w:t>
      </w:r>
    </w:p>
    <w:p>
      <w:pPr>
        <w:widowControl/>
        <w:spacing w:line="360" w:lineRule="auto"/>
        <w:jc w:val="left"/>
      </w:pPr>
      <w:r>
        <w:rPr>
          <w:rFonts w:hint="eastAsia" w:ascii="宋体" w:hAnsi="宋体" w:eastAsia="Times New Roman" w:cs="宋体"/>
          <w:color w:val="000000"/>
          <w:kern w:val="0"/>
          <w:sz w:val="24"/>
        </w:rPr>
        <w:t>2、实际供货数量以采购人发出的订单为准。采购人提供的图片为</w:t>
      </w:r>
      <w:r>
        <w:rPr>
          <w:rFonts w:hint="eastAsia" w:ascii="宋体" w:hAnsi="宋体" w:cs="宋体"/>
          <w:color w:val="000000"/>
          <w:kern w:val="0"/>
          <w:sz w:val="24"/>
        </w:rPr>
        <w:t xml:space="preserve">参考式样和颜色，供应商提供所投产品的彩色图片。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3、中标人须根据采购单位的要求及时供货，具体数量按实调整。</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4、每个批次由采购人随机抽取课桌椅成品送第三方检测机构检测，若不合格则该批次全部更换。抽取时间和形式由采购人指定，中标人无条件服从。</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4、采购人根据实际情况可能将对供应商的供货进行环保检测，检测费用由中标人承担，如不合格免费更换产品。 </w:t>
      </w:r>
    </w:p>
    <w:p>
      <w:pPr>
        <w:widowControl/>
        <w:spacing w:line="360" w:lineRule="auto"/>
        <w:ind w:firstLine="480" w:firstLineChars="200"/>
        <w:jc w:val="left"/>
      </w:pPr>
      <w:r>
        <w:rPr>
          <w:rFonts w:hint="eastAsia" w:ascii="宋体" w:hAnsi="宋体" w:cs="宋体"/>
          <w:color w:val="000000"/>
          <w:kern w:val="0"/>
          <w:sz w:val="24"/>
        </w:rPr>
        <w:t xml:space="preserve">5、全费用单价包含人工、制造、材料、设备、运输、装卸、安装、机械、售后服务、保险、规费、利润、税金、风险费及其他等一切费用。 </w:t>
      </w:r>
    </w:p>
    <w:p>
      <w:pPr>
        <w:widowControl/>
        <w:spacing w:line="360" w:lineRule="auto"/>
        <w:jc w:val="left"/>
      </w:pPr>
      <w:r>
        <w:rPr>
          <w:rFonts w:hint="eastAsia" w:ascii="宋体" w:hAnsi="宋体" w:cs="宋体"/>
          <w:b/>
          <w:bCs/>
          <w:color w:val="000000"/>
          <w:kern w:val="0"/>
          <w:sz w:val="24"/>
        </w:rPr>
        <w:t xml:space="preserve">二、其他要求 </w:t>
      </w:r>
    </w:p>
    <w:p>
      <w:pPr>
        <w:widowControl/>
        <w:spacing w:line="360" w:lineRule="auto"/>
        <w:ind w:firstLine="480" w:firstLineChars="200"/>
        <w:jc w:val="left"/>
      </w:pPr>
      <w:r>
        <w:rPr>
          <w:color w:val="000000"/>
          <w:kern w:val="0"/>
          <w:sz w:val="24"/>
        </w:rPr>
        <w:t>1</w:t>
      </w:r>
      <w:r>
        <w:rPr>
          <w:rFonts w:hint="eastAsia" w:ascii="宋体" w:hAnsi="宋体" w:cs="宋体"/>
          <w:color w:val="000000"/>
          <w:kern w:val="0"/>
          <w:sz w:val="24"/>
        </w:rPr>
        <w:t xml:space="preserve">、 交货前的采购人查验 </w:t>
      </w:r>
    </w:p>
    <w:p>
      <w:pPr>
        <w:widowControl/>
        <w:spacing w:line="360" w:lineRule="auto"/>
        <w:ind w:firstLine="480" w:firstLineChars="200"/>
        <w:jc w:val="left"/>
      </w:pPr>
      <w:r>
        <w:rPr>
          <w:rFonts w:hint="eastAsia" w:ascii="宋体" w:hAnsi="宋体" w:cs="宋体"/>
          <w:color w:val="000000"/>
          <w:kern w:val="0"/>
          <w:sz w:val="24"/>
        </w:rPr>
        <w:t xml:space="preserve">采购人有权在产品制造期间到中标供应商的生产现场查验产品及其部件，有权查看试验结果，采购人也可指派员或代理履行这种工厂查验，但这并不免除中标供应商应按合同履行其义务的责任。 </w:t>
      </w:r>
    </w:p>
    <w:p>
      <w:pPr>
        <w:widowControl/>
        <w:spacing w:line="360" w:lineRule="auto"/>
        <w:ind w:firstLine="480" w:firstLineChars="200"/>
        <w:jc w:val="left"/>
      </w:pPr>
      <w:r>
        <w:rPr>
          <w:color w:val="000000"/>
          <w:kern w:val="0"/>
          <w:sz w:val="24"/>
        </w:rPr>
        <w:t>2</w:t>
      </w:r>
      <w:r>
        <w:rPr>
          <w:rFonts w:hint="eastAsia" w:ascii="宋体" w:hAnsi="宋体" w:cs="宋体"/>
          <w:color w:val="000000"/>
          <w:kern w:val="0"/>
          <w:sz w:val="24"/>
        </w:rPr>
        <w:t xml:space="preserve">、安装、调试 </w:t>
      </w:r>
    </w:p>
    <w:p>
      <w:pPr>
        <w:widowControl/>
        <w:spacing w:line="360" w:lineRule="auto"/>
        <w:ind w:firstLine="480" w:firstLineChars="200"/>
        <w:jc w:val="left"/>
      </w:pPr>
      <w:r>
        <w:rPr>
          <w:rFonts w:hint="eastAsia" w:ascii="宋体" w:hAnsi="宋体" w:cs="宋体"/>
          <w:color w:val="000000"/>
          <w:kern w:val="0"/>
          <w:sz w:val="24"/>
        </w:rPr>
        <w:t xml:space="preserve">中标供应商须派有相当工作经验的技术人员进行安装、调试，并负责现场安装过程中产品保护。 </w:t>
      </w:r>
    </w:p>
    <w:p>
      <w:pPr>
        <w:widowControl/>
        <w:spacing w:line="360" w:lineRule="auto"/>
        <w:ind w:firstLine="480" w:firstLineChars="200"/>
        <w:jc w:val="left"/>
      </w:pPr>
      <w:r>
        <w:rPr>
          <w:color w:val="000000"/>
          <w:kern w:val="0"/>
          <w:sz w:val="24"/>
        </w:rPr>
        <w:t>3</w:t>
      </w:r>
      <w:r>
        <w:rPr>
          <w:rFonts w:hint="eastAsia" w:ascii="宋体" w:hAnsi="宋体" w:cs="宋体"/>
          <w:color w:val="000000"/>
          <w:kern w:val="0"/>
          <w:sz w:val="24"/>
        </w:rPr>
        <w:t xml:space="preserve">、验收、交付 </w:t>
      </w:r>
    </w:p>
    <w:p>
      <w:pPr>
        <w:widowControl/>
        <w:spacing w:line="360" w:lineRule="auto"/>
        <w:ind w:firstLine="480" w:firstLineChars="200"/>
        <w:jc w:val="left"/>
      </w:pPr>
      <w:r>
        <w:rPr>
          <w:rFonts w:hint="eastAsia" w:ascii="宋体" w:hAnsi="宋体" w:cs="宋体"/>
          <w:color w:val="000000"/>
          <w:kern w:val="0"/>
          <w:sz w:val="24"/>
        </w:rPr>
        <w:t xml:space="preserve">货物安装完成后，中标供应商须负责对全部货物的保护和清洁工作，直至货物验收合格交付使用为止。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学校根据招标文件或合同进行验收，各标项均分两次验收，第一次供货完成，学校进行初验，初验完成后由区教育局组织相关人员随机抽取5所学校进行综合验收；第二次供货完成，学校进行初验，初验完成后由区教育局组织相关人员随机抽取5所学校进行综合验收。资金按供货批次支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采购人与中标供应商双方按照招标货物的技术要求及规范对全部货物进行验收。货物验收前，中标供应商应事先准备好验收文件并获采购人的确认，如验收合格，双方代表人在验收文件上签字完成终交验收手续，正式交付使用。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如第一次验收未合格，中标供应商应找出原因进行更正，并应在第一次验收结束后 </w:t>
      </w:r>
      <w:r>
        <w:rPr>
          <w:rFonts w:ascii="宋体" w:hAnsi="宋体" w:cs="宋体"/>
          <w:kern w:val="0"/>
          <w:sz w:val="24"/>
        </w:rPr>
        <w:t xml:space="preserve">7 </w:t>
      </w:r>
      <w:r>
        <w:rPr>
          <w:rFonts w:hint="eastAsia" w:ascii="宋体" w:hAnsi="宋体" w:cs="宋体"/>
          <w:kern w:val="0"/>
          <w:sz w:val="24"/>
        </w:rPr>
        <w:t xml:space="preserve">个工作日内进行再次验收，中标供应商应承担由此而产生的全部费用。如第二次验收仍不能符合合格条件，采购人可拒绝接受全部货物，中标供应商负责赔偿一切损失。 </w:t>
      </w:r>
    </w:p>
    <w:p>
      <w:pPr>
        <w:widowControl/>
        <w:spacing w:line="360" w:lineRule="auto"/>
        <w:ind w:firstLine="480" w:firstLineChars="200"/>
        <w:jc w:val="left"/>
        <w:rPr>
          <w:rFonts w:ascii="宋体" w:hAnsi="宋体" w:cs="宋体"/>
          <w:color w:val="000000"/>
          <w:kern w:val="0"/>
          <w:sz w:val="24"/>
        </w:rPr>
      </w:pPr>
      <w:r>
        <w:rPr>
          <w:color w:val="000000"/>
          <w:kern w:val="0"/>
          <w:sz w:val="24"/>
        </w:rPr>
        <w:t>4</w:t>
      </w:r>
      <w:r>
        <w:rPr>
          <w:rFonts w:hint="eastAsia" w:ascii="宋体" w:hAnsi="宋体" w:cs="宋体"/>
          <w:color w:val="000000"/>
          <w:kern w:val="0"/>
          <w:sz w:val="24"/>
        </w:rPr>
        <w:t xml:space="preserve">、备品备件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中标供应商须对所供的货物提供足够的备件、附件和易损件，以满足货物正常使用的需要。中标供应商随货物所带的备品备件，其价格应包含在货物投标价内。</w:t>
      </w:r>
    </w:p>
    <w:p>
      <w:pPr>
        <w:widowControl/>
        <w:spacing w:line="360" w:lineRule="auto"/>
        <w:ind w:firstLine="480" w:firstLineChars="200"/>
        <w:jc w:val="left"/>
      </w:pPr>
      <w:r>
        <w:rPr>
          <w:rFonts w:hint="eastAsia" w:ascii="宋体" w:hAnsi="宋体" w:cs="宋体"/>
          <w:color w:val="000000"/>
          <w:kern w:val="0"/>
          <w:sz w:val="24"/>
        </w:rPr>
        <w:t>中标供应商须保证在货物质保期后维修所需的备品备件价格不高于本次投标报价。</w:t>
      </w:r>
    </w:p>
    <w:p>
      <w:pPr>
        <w:widowControl/>
        <w:spacing w:line="360" w:lineRule="auto"/>
        <w:jc w:val="left"/>
        <w:rPr>
          <w:rFonts w:ascii="宋体" w:hAnsi="宋体"/>
          <w:b/>
          <w:bCs/>
          <w:sz w:val="24"/>
        </w:rPr>
      </w:pPr>
    </w:p>
    <w:p>
      <w:pPr>
        <w:widowControl/>
        <w:spacing w:line="360" w:lineRule="auto"/>
        <w:jc w:val="left"/>
        <w:rPr>
          <w:rFonts w:hAnsi="宋体"/>
          <w:b/>
        </w:rPr>
      </w:pPr>
      <w:r>
        <w:rPr>
          <w:rFonts w:hint="eastAsia" w:hAnsi="宋体"/>
          <w:b/>
        </w:rPr>
        <w:t>六、</w:t>
      </w:r>
      <w:r>
        <w:rPr>
          <w:rFonts w:hAnsi="宋体"/>
          <w:b/>
        </w:rPr>
        <w:t>商务要求</w:t>
      </w:r>
    </w:p>
    <w:tbl>
      <w:tblPr>
        <w:tblStyle w:val="33"/>
        <w:tblW w:w="10207"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9"/>
        <w:gridCol w:w="79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226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sz w:val="24"/>
              </w:rPr>
            </w:pPr>
            <w:r>
              <w:rPr>
                <w:rFonts w:hint="eastAsia" w:ascii="宋体" w:hAnsi="宋体" w:cs="宋体"/>
                <w:b/>
                <w:bCs/>
                <w:kern w:val="0"/>
                <w:sz w:val="24"/>
              </w:rPr>
              <w:t>质保期</w:t>
            </w:r>
          </w:p>
        </w:tc>
        <w:tc>
          <w:tcPr>
            <w:tcW w:w="7938" w:type="dxa"/>
            <w:tcBorders>
              <w:top w:val="single" w:color="auto" w:sz="4" w:space="0"/>
              <w:left w:val="single" w:color="auto" w:sz="4" w:space="0"/>
              <w:bottom w:val="single" w:color="auto" w:sz="4" w:space="0"/>
              <w:right w:val="single" w:color="auto" w:sz="4" w:space="0"/>
            </w:tcBorders>
          </w:tcPr>
          <w:p>
            <w:pPr>
              <w:widowControl/>
              <w:jc w:val="left"/>
            </w:pPr>
            <w:r>
              <w:rPr>
                <w:rFonts w:hint="eastAsia" w:ascii="宋体" w:hAnsi="宋体"/>
                <w:b/>
                <w:sz w:val="24"/>
              </w:rPr>
              <w:t>▲</w:t>
            </w:r>
            <w:r>
              <w:rPr>
                <w:rFonts w:hint="eastAsia" w:ascii="宋体" w:hAnsi="宋体" w:cs="宋体"/>
                <w:kern w:val="0"/>
                <w:sz w:val="24"/>
              </w:rPr>
              <w:t xml:space="preserve">质保期为产品验收合格起不少于 3 年。 </w:t>
            </w:r>
          </w:p>
          <w:p>
            <w:pPr>
              <w:widowControl/>
              <w:jc w:val="left"/>
            </w:pPr>
            <w:r>
              <w:rPr>
                <w:rFonts w:hint="eastAsia" w:ascii="宋体" w:hAnsi="宋体" w:cs="宋体"/>
                <w:kern w:val="0"/>
                <w:sz w:val="24"/>
              </w:rPr>
              <w:t xml:space="preserve">在正常使用情况下，非人为因素是指没有超出招标文件和国家规定的技术指标的行为。 </w:t>
            </w:r>
          </w:p>
          <w:p>
            <w:pPr>
              <w:widowControl/>
              <w:jc w:val="left"/>
            </w:pPr>
            <w:r>
              <w:rPr>
                <w:rFonts w:hint="eastAsia" w:ascii="宋体" w:hAnsi="宋体" w:cs="宋体"/>
                <w:kern w:val="0"/>
                <w:sz w:val="24"/>
              </w:rPr>
              <w:t xml:space="preserve">质保期内，除不可抗力因素，因货物制造质量不良或非人为因素而产生损坏或不能正常使用，卖方应免费提供更换和维修，并承担业主的经济损失，对更换的货物其质保期重新计算。 </w:t>
            </w:r>
          </w:p>
          <w:p>
            <w:pPr>
              <w:widowControl/>
              <w:jc w:val="left"/>
              <w:rPr>
                <w:rFonts w:ascii="宋体" w:hAnsi="宋体"/>
                <w:sz w:val="24"/>
              </w:rPr>
            </w:pPr>
            <w:r>
              <w:rPr>
                <w:rFonts w:hint="eastAsia" w:ascii="宋体" w:hAnsi="宋体" w:cs="宋体"/>
                <w:kern w:val="0"/>
                <w:sz w:val="24"/>
              </w:rPr>
              <w:t>质保期内，供货商须自行付费，负责修理和替换任何由于货物自身的质量问题造成的损坏及故障。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2269"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sz w:val="24"/>
              </w:rPr>
            </w:pPr>
            <w:r>
              <w:rPr>
                <w:rFonts w:hint="eastAsia" w:ascii="宋体" w:hAnsi="宋体"/>
                <w:sz w:val="24"/>
              </w:rPr>
              <w:t>售后技术服务要求</w:t>
            </w:r>
          </w:p>
        </w:tc>
        <w:tc>
          <w:tcPr>
            <w:tcW w:w="793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226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交货期和地点</w:t>
            </w:r>
          </w:p>
        </w:tc>
        <w:tc>
          <w:tcPr>
            <w:tcW w:w="793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交货期：合同签订后1、分二批供货。第一次：2022年8月20日之前提供不少于各校总数量50%的货物，并完成安装调试及验收；第二次：2022年10月20日之前提供剩余数量的供货并完成安装调试及验收（具体时间以合同为准）。</w:t>
            </w:r>
          </w:p>
          <w:p>
            <w:pPr>
              <w:widowControl/>
              <w:jc w:val="left"/>
              <w:rPr>
                <w:rFonts w:ascii="宋体" w:hAnsi="宋体" w:cs="宋体"/>
                <w:kern w:val="0"/>
                <w:sz w:val="24"/>
              </w:rPr>
            </w:pPr>
            <w:r>
              <w:rPr>
                <w:rFonts w:hint="eastAsia" w:ascii="宋体" w:hAnsi="宋体" w:cs="宋体"/>
                <w:kern w:val="0"/>
                <w:sz w:val="24"/>
              </w:rPr>
              <w:t>注：1、供应商需提供仓库用于课桌椅所需设备通风换气，设备需拆除包装分散摆放。二次搬运至学校的费用由供应商承担。</w:t>
            </w:r>
          </w:p>
          <w:p>
            <w:pPr>
              <w:widowControl/>
              <w:jc w:val="left"/>
              <w:rPr>
                <w:rFonts w:ascii="宋体" w:hAnsi="宋体" w:cs="宋体"/>
                <w:kern w:val="0"/>
                <w:sz w:val="24"/>
              </w:rPr>
            </w:pPr>
            <w:r>
              <w:rPr>
                <w:rFonts w:hint="eastAsia" w:ascii="宋体" w:hAnsi="宋体" w:cs="宋体"/>
                <w:kern w:val="0"/>
                <w:sz w:val="24"/>
              </w:rPr>
              <w:t>2、标项均分两次验收，第一次供货完成，学校进行验收，区教育局组织相关人员随机抽取5所学校进行综合验收；第二次供货完成，学校进行验收，区教育局组织相关人员随机抽取5所学校进行综合验收。</w:t>
            </w:r>
          </w:p>
          <w:p>
            <w:pPr>
              <w:widowControl/>
              <w:jc w:val="left"/>
              <w:rPr>
                <w:rFonts w:ascii="宋体" w:hAnsi="宋体" w:cs="宋体"/>
                <w:kern w:val="0"/>
                <w:sz w:val="24"/>
              </w:rPr>
            </w:pPr>
            <w:r>
              <w:rPr>
                <w:rFonts w:hint="eastAsia" w:ascii="宋体" w:hAnsi="宋体" w:cs="宋体"/>
                <w:kern w:val="0"/>
                <w:sz w:val="24"/>
              </w:rPr>
              <w:t>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226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Cs/>
                <w:color w:val="000000"/>
                <w:kern w:val="0"/>
                <w:sz w:val="24"/>
              </w:rPr>
            </w:pPr>
            <w:r>
              <w:rPr>
                <w:rFonts w:hint="eastAsia" w:ascii="宋体" w:hAnsi="宋体" w:cs="宋体"/>
                <w:bCs/>
                <w:color w:val="000000"/>
                <w:kern w:val="0"/>
                <w:sz w:val="24"/>
              </w:rPr>
              <w:t>履约保证金</w:t>
            </w:r>
          </w:p>
        </w:tc>
        <w:tc>
          <w:tcPr>
            <w:tcW w:w="793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Cs/>
                <w:kern w:val="0"/>
                <w:sz w:val="24"/>
              </w:rPr>
            </w:pPr>
            <w:r>
              <w:rPr>
                <w:rFonts w:hint="eastAsia" w:ascii="宋体" w:hAnsi="宋体" w:cs="宋体"/>
                <w:bCs/>
                <w:kern w:val="0"/>
                <w:sz w:val="24"/>
              </w:rPr>
              <w:t>履约保证金：按合同金额的 2.5%计收，中标供应商在签订合同前应向采购人交纳履约保证金，履约保证金至合同履行完毕后 5 个工作日内视履约情况返还（缴纳形式为现金，或银行、保险公司出具的保函）。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26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Cs/>
                <w:kern w:val="0"/>
                <w:sz w:val="24"/>
              </w:rPr>
            </w:pPr>
            <w:r>
              <w:rPr>
                <w:rFonts w:hint="eastAsia" w:ascii="宋体" w:hAnsi="宋体" w:cs="宋体"/>
                <w:bCs/>
                <w:kern w:val="0"/>
                <w:sz w:val="24"/>
              </w:rPr>
              <w:t>付款方式</w:t>
            </w:r>
          </w:p>
        </w:tc>
        <w:tc>
          <w:tcPr>
            <w:tcW w:w="793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Cs/>
                <w:kern w:val="0"/>
                <w:sz w:val="24"/>
              </w:rPr>
            </w:pPr>
            <w:r>
              <w:rPr>
                <w:rFonts w:hint="eastAsia" w:ascii="宋体" w:hAnsi="宋体" w:cs="宋体"/>
                <w:bCs/>
                <w:kern w:val="0"/>
                <w:sz w:val="24"/>
              </w:rPr>
              <w:t>▲根据《保障中小企业款项支付条例》、浙财采监【2022】3号要求要求,制定如以下付款方式:合同生效以及具备实施条件后7个工作日内，支付合同金额的40%，2022年8月20日之前第一次供货并安装调试完成，验收合格后，11月底前支付实际验收货物金额的100%;2022年10月20日前，第二次供货并安装调试完成，验收合格后，项目整体资料移交给甲方，付至合同的100%。</w:t>
            </w:r>
          </w:p>
          <w:p>
            <w:pPr>
              <w:widowControl/>
              <w:jc w:val="left"/>
              <w:rPr>
                <w:rFonts w:ascii="宋体" w:hAnsi="宋体" w:cs="宋体"/>
                <w:bCs/>
                <w:kern w:val="0"/>
                <w:sz w:val="24"/>
              </w:rPr>
            </w:pPr>
            <w:r>
              <w:rPr>
                <w:rFonts w:hint="eastAsia" w:ascii="宋体" w:hAnsi="宋体" w:cs="宋体"/>
                <w:bCs/>
                <w:kern w:val="0"/>
                <w:sz w:val="24"/>
              </w:rPr>
              <w:t xml:space="preserve">注：1）中标供应商在接到采购人通知后的七个工作日内将正规发票送达采购人，采购人在收到中标供应商发票后于 十五个工作日内以转账的方式支付给中标供应商； </w:t>
            </w:r>
          </w:p>
          <w:p>
            <w:pPr>
              <w:widowControl/>
              <w:jc w:val="left"/>
              <w:rPr>
                <w:rFonts w:ascii="宋体" w:hAnsi="宋体" w:cs="宋体"/>
                <w:bCs/>
                <w:kern w:val="0"/>
                <w:sz w:val="24"/>
              </w:rPr>
            </w:pPr>
            <w:r>
              <w:rPr>
                <w:rFonts w:hint="eastAsia" w:ascii="宋体" w:hAnsi="宋体" w:cs="宋体"/>
                <w:bCs/>
                <w:kern w:val="0"/>
                <w:sz w:val="24"/>
              </w:rPr>
              <w:t xml:space="preserve">2）税费：本服务执行中相关的一切税费均由中标供应商负担； </w:t>
            </w:r>
          </w:p>
          <w:p>
            <w:pPr>
              <w:widowControl/>
              <w:jc w:val="left"/>
              <w:rPr>
                <w:rFonts w:ascii="宋体" w:hAnsi="宋体" w:cs="宋体"/>
                <w:bCs/>
                <w:kern w:val="0"/>
                <w:sz w:val="24"/>
              </w:rPr>
            </w:pPr>
            <w:r>
              <w:rPr>
                <w:rFonts w:hint="eastAsia" w:ascii="宋体" w:hAnsi="宋体" w:cs="宋体"/>
                <w:bCs/>
                <w:kern w:val="0"/>
                <w:sz w:val="24"/>
              </w:rPr>
              <w:t>3）若中标供应商明确表示无需预付款或者主动要求降低预付款比例的，采购人可不适用前述规定。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26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Cs/>
                <w:kern w:val="0"/>
                <w:sz w:val="24"/>
              </w:rPr>
            </w:pPr>
            <w:r>
              <w:rPr>
                <w:rFonts w:hint="eastAsia" w:ascii="宋体" w:hAnsi="宋体" w:cs="宋体"/>
                <w:bCs/>
                <w:kern w:val="0"/>
                <w:sz w:val="24"/>
              </w:rPr>
              <w:t>培训要求</w:t>
            </w:r>
          </w:p>
        </w:tc>
        <w:tc>
          <w:tcPr>
            <w:tcW w:w="793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9"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b/>
                <w:sz w:val="24"/>
              </w:rPr>
            </w:pPr>
            <w:r>
              <w:rPr>
                <w:rFonts w:hint="eastAsia" w:ascii="宋体" w:hAnsi="宋体"/>
                <w:b/>
                <w:sz w:val="24"/>
              </w:rPr>
              <w:t>其他要求</w:t>
            </w:r>
          </w:p>
        </w:tc>
        <w:tc>
          <w:tcPr>
            <w:tcW w:w="793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b/>
                <w:sz w:val="24"/>
              </w:rPr>
            </w:pPr>
            <w:r>
              <w:rPr>
                <w:rFonts w:hint="eastAsia" w:ascii="宋体" w:hAnsi="宋体"/>
                <w:b/>
                <w:sz w:val="24"/>
              </w:rPr>
              <w:t>▲如中标人为大型企业，</w:t>
            </w:r>
            <w:r>
              <w:rPr>
                <w:rFonts w:ascii="宋体" w:hAnsi="宋体"/>
                <w:b/>
                <w:sz w:val="24"/>
              </w:rPr>
              <w:t>合同金额的40%</w:t>
            </w:r>
            <w:r>
              <w:rPr>
                <w:rFonts w:hint="eastAsia" w:ascii="宋体" w:hAnsi="宋体"/>
                <w:b/>
                <w:sz w:val="24"/>
              </w:rPr>
              <w:t>必须分包</w:t>
            </w:r>
            <w:r>
              <w:rPr>
                <w:rFonts w:ascii="宋体" w:hAnsi="宋体"/>
                <w:b/>
                <w:sz w:val="24"/>
              </w:rPr>
              <w:t>给中小微企业</w:t>
            </w:r>
            <w:r>
              <w:rPr>
                <w:rFonts w:hint="eastAsia" w:ascii="宋体" w:hAnsi="宋体"/>
                <w:b/>
                <w:sz w:val="24"/>
              </w:rPr>
              <w:t>。</w:t>
            </w:r>
          </w:p>
        </w:tc>
      </w:tr>
    </w:tbl>
    <w:p>
      <w:pPr>
        <w:pStyle w:val="13"/>
        <w:spacing w:after="0" w:line="360" w:lineRule="auto"/>
        <w:rPr>
          <w:rFonts w:ascii="宋体" w:hAnsi="宋体" w:cs="宋体"/>
          <w:b/>
          <w:kern w:val="0"/>
          <w:sz w:val="24"/>
        </w:rPr>
      </w:pPr>
      <w:r>
        <w:rPr>
          <w:rFonts w:hint="eastAsia" w:ascii="宋体" w:hAnsi="宋体" w:cs="宋体"/>
          <w:b/>
          <w:kern w:val="0"/>
          <w:sz w:val="24"/>
          <w:szCs w:val="22"/>
        </w:rPr>
        <w:t>注：</w:t>
      </w:r>
      <w:r>
        <w:rPr>
          <w:rFonts w:hint="eastAsia" w:ascii="宋体" w:hAnsi="宋体" w:cs="宋体"/>
          <w:b/>
          <w:kern w:val="0"/>
          <w:sz w:val="24"/>
        </w:rPr>
        <w:t>▲1</w:t>
      </w:r>
      <w:r>
        <w:rPr>
          <w:rFonts w:hint="eastAsia" w:ascii="宋体" w:hAnsi="宋体" w:cs="宋体"/>
          <w:b/>
          <w:kern w:val="0"/>
          <w:sz w:val="24"/>
          <w:szCs w:val="22"/>
        </w:rPr>
        <w:t>、本项目</w:t>
      </w:r>
      <w:r>
        <w:rPr>
          <w:rFonts w:ascii="宋体" w:hAnsi="宋体" w:cs="宋体"/>
          <w:b/>
          <w:kern w:val="0"/>
          <w:sz w:val="24"/>
          <w:szCs w:val="22"/>
        </w:rPr>
        <w:t>采购标的对应的中小企业划分标准</w:t>
      </w:r>
      <w:r>
        <w:rPr>
          <w:rFonts w:hint="eastAsia" w:ascii="宋体" w:hAnsi="宋体" w:cs="宋体"/>
          <w:b/>
          <w:kern w:val="0"/>
          <w:sz w:val="24"/>
          <w:szCs w:val="22"/>
        </w:rPr>
        <w:t>（根据工信部联企业〔2011〕300 号确</w:t>
      </w:r>
      <w:r>
        <w:rPr>
          <w:rFonts w:hint="eastAsia" w:ascii="宋体" w:hAnsi="宋体" w:cs="宋体"/>
          <w:b/>
          <w:kern w:val="0"/>
          <w:sz w:val="24"/>
        </w:rPr>
        <w:t>定）所属行业为工业。</w:t>
      </w:r>
    </w:p>
    <w:p>
      <w:pPr>
        <w:pStyle w:val="13"/>
        <w:spacing w:after="0" w:line="360" w:lineRule="auto"/>
        <w:rPr>
          <w:rFonts w:ascii="宋体" w:hAnsi="宋体" w:cs="宋体"/>
          <w:b/>
          <w:kern w:val="0"/>
          <w:sz w:val="24"/>
        </w:rPr>
      </w:pPr>
      <w:r>
        <w:rPr>
          <w:rFonts w:hint="eastAsia" w:ascii="宋体" w:hAnsi="宋体" w:cs="宋体"/>
          <w:b/>
          <w:kern w:val="0"/>
          <w:sz w:val="24"/>
        </w:rPr>
        <w:t xml:space="preserve">   ▲2.依</w:t>
      </w:r>
      <w:r>
        <w:rPr>
          <w:rFonts w:ascii="宋体" w:hAnsi="宋体" w:cs="宋体"/>
          <w:b/>
          <w:kern w:val="0"/>
          <w:sz w:val="24"/>
        </w:rPr>
        <w:t>据《</w:t>
      </w:r>
      <w:r>
        <w:rPr>
          <w:rFonts w:hint="eastAsia" w:ascii="宋体" w:hAnsi="宋体" w:cs="宋体"/>
          <w:b/>
          <w:kern w:val="0"/>
          <w:sz w:val="24"/>
        </w:rPr>
        <w:t>政府采购促进中小企业发展管理办法</w:t>
      </w:r>
      <w:r>
        <w:rPr>
          <w:rFonts w:ascii="宋体" w:hAnsi="宋体" w:cs="宋体"/>
          <w:b/>
          <w:kern w:val="0"/>
          <w:sz w:val="24"/>
        </w:rPr>
        <w:t>》</w:t>
      </w:r>
      <w:r>
        <w:rPr>
          <w:rFonts w:hint="eastAsia" w:ascii="宋体" w:hAnsi="宋体" w:cs="宋体"/>
          <w:b/>
          <w:kern w:val="0"/>
          <w:sz w:val="24"/>
        </w:rPr>
        <w:t>（财库【2020】46号）</w:t>
      </w:r>
      <w:r>
        <w:rPr>
          <w:rFonts w:ascii="宋体" w:hAnsi="宋体" w:cs="宋体"/>
          <w:b/>
          <w:kern w:val="0"/>
          <w:sz w:val="24"/>
        </w:rPr>
        <w:t xml:space="preserve">规定享受扶持政策获得政府采购合同的，小微企业不得将合同分包给大中型企业，中型企业不得将合同分包给大型企业。 </w:t>
      </w:r>
    </w:p>
    <w:p>
      <w:pPr>
        <w:snapToGrid w:val="0"/>
        <w:spacing w:line="360" w:lineRule="auto"/>
        <w:jc w:val="center"/>
        <w:rPr>
          <w:rFonts w:ascii="黑体" w:hAnsi="宋体" w:eastAsia="黑体"/>
          <w:sz w:val="30"/>
          <w:szCs w:val="30"/>
        </w:rPr>
      </w:pPr>
    </w:p>
    <w:p>
      <w:pPr>
        <w:snapToGrid w:val="0"/>
        <w:spacing w:line="360" w:lineRule="auto"/>
        <w:jc w:val="center"/>
        <w:rPr>
          <w:rFonts w:ascii="黑体" w:hAnsi="宋体" w:eastAsia="黑体"/>
          <w:sz w:val="30"/>
          <w:szCs w:val="30"/>
        </w:rPr>
      </w:pPr>
    </w:p>
    <w:p>
      <w:pPr>
        <w:snapToGrid w:val="0"/>
        <w:spacing w:line="360" w:lineRule="auto"/>
        <w:jc w:val="center"/>
        <w:rPr>
          <w:rFonts w:ascii="黑体" w:hAnsi="宋体" w:eastAsia="黑体"/>
          <w:sz w:val="30"/>
          <w:szCs w:val="30"/>
        </w:rPr>
      </w:pPr>
    </w:p>
    <w:p>
      <w:pPr>
        <w:snapToGrid w:val="0"/>
        <w:spacing w:line="360" w:lineRule="auto"/>
        <w:jc w:val="center"/>
        <w:rPr>
          <w:rFonts w:ascii="黑体" w:hAnsi="宋体" w:eastAsia="黑体"/>
          <w:sz w:val="30"/>
          <w:szCs w:val="30"/>
        </w:rPr>
      </w:pPr>
      <w:r>
        <w:rPr>
          <w:rFonts w:hint="eastAsia" w:ascii="黑体" w:hAnsi="宋体" w:eastAsia="黑体"/>
          <w:sz w:val="30"/>
          <w:szCs w:val="30"/>
        </w:rPr>
        <w:t>第三章  投标人须知</w:t>
      </w:r>
    </w:p>
    <w:p>
      <w:pPr>
        <w:snapToGrid w:val="0"/>
        <w:spacing w:line="360" w:lineRule="auto"/>
        <w:ind w:left="238"/>
        <w:jc w:val="center"/>
        <w:outlineLvl w:val="1"/>
        <w:rPr>
          <w:rFonts w:ascii="宋体" w:hAnsi="宋体"/>
          <w:b/>
          <w:sz w:val="30"/>
          <w:szCs w:val="30"/>
        </w:rPr>
      </w:pPr>
      <w:r>
        <w:rPr>
          <w:rFonts w:hint="eastAsia" w:ascii="宋体" w:hAnsi="宋体"/>
          <w:b/>
          <w:sz w:val="30"/>
          <w:szCs w:val="30"/>
        </w:rPr>
        <w:t>前附表</w:t>
      </w:r>
    </w:p>
    <w:tbl>
      <w:tblPr>
        <w:tblStyle w:val="33"/>
        <w:tblW w:w="9956"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90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序号</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项目名称：湖州市吴兴区中小学升降式课桌椅采购项目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2</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采购数量及单位：详见招标文件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3</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投标报价及费用：</w:t>
            </w:r>
            <w:r>
              <w:rPr>
                <w:rFonts w:ascii="宋体" w:hAnsi="宋体"/>
                <w:sz w:val="24"/>
              </w:rPr>
              <w:t>1</w:t>
            </w:r>
            <w:r>
              <w:rPr>
                <w:rFonts w:hint="eastAsia" w:ascii="宋体" w:hAnsi="宋体"/>
                <w:sz w:val="24"/>
              </w:rPr>
              <w:t>.本项目投标应以人民币报价；</w:t>
            </w:r>
            <w:r>
              <w:rPr>
                <w:rFonts w:ascii="宋体" w:hAnsi="宋体"/>
                <w:sz w:val="24"/>
              </w:rPr>
              <w:t>2</w:t>
            </w:r>
            <w:r>
              <w:rPr>
                <w:rFonts w:hint="eastAsia" w:ascii="宋体" w:hAnsi="宋体"/>
                <w:sz w:val="24"/>
              </w:rPr>
              <w:t>.不论投标结果如何，投标人均应自行承担所有与投标有关的全部费用。3.本项目招标代理服务费收取2.本项目招标代理服务费收取:标项1人民币玖仟柒佰贰拾贰元整（￥9722 .00），标项2人民币玖仟柒佰贰拾贰元整（￥9722 .00），标项3人民币玖仟柒佰贰拾贰元整（￥9722 .00），标项4人民币玖仟柒佰贰拾贰元整（￥9722 .00），由中标人全额支付。在中标通知书发出后当日内一次性结清。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4</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投标保证金：不缴纳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5</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现场踏勘：不组织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2"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szCs w:val="20"/>
              </w:rPr>
              <w:t>6</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答疑与澄清：投标人如认为招标文件表述不清晰、存在歧视性、排他性或者其他违法内容的，应当于2022年7月5日17:00前，以书面形式要求招标采购单位作出书面解释、澄清或者向招标采购单位提出书面质疑；招标采购单位将于2022年7月7日前组织答疑；答疑内容是招标文件的组成部份，将在网上发布补充（答疑、澄清）文件，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2"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7</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投标文件组成：1、电子投标文件（包括“电子加密投标文件”和“备份投标文件”，在投标文件编制完成后同时生成）</w:t>
            </w:r>
          </w:p>
          <w:p>
            <w:pPr>
              <w:widowControl/>
              <w:jc w:val="left"/>
              <w:rPr>
                <w:rFonts w:ascii="宋体" w:hAnsi="宋体"/>
                <w:sz w:val="24"/>
              </w:rPr>
            </w:pPr>
            <w:r>
              <w:rPr>
                <w:rFonts w:hint="eastAsia" w:ascii="宋体" w:hAnsi="宋体"/>
                <w:sz w:val="24"/>
              </w:rPr>
              <w:t>（1）“电子加密投标文件”是指通过“政采云电子交易客户端”完成投标文件编制后生成并加密的数据电文形式的投标文件。</w:t>
            </w:r>
          </w:p>
          <w:p>
            <w:pPr>
              <w:widowControl/>
              <w:jc w:val="left"/>
              <w:rPr>
                <w:rFonts w:ascii="宋体" w:hAnsi="宋体"/>
                <w:sz w:val="24"/>
              </w:rPr>
            </w:pPr>
            <w:r>
              <w:rPr>
                <w:rFonts w:hint="eastAsia" w:ascii="宋体" w:hAnsi="宋体"/>
                <w:sz w:val="24"/>
              </w:rPr>
              <w:t>（2）“备份投标文件”是指与“电子加密投标文件”同时生成的数据电文形式的电子文件（备份标书），其他方式编制的备份投标文件视为无效备份投标文件。仅在出现解密异常情况下使用。</w:t>
            </w:r>
          </w:p>
          <w:p>
            <w:pPr>
              <w:widowControl/>
              <w:autoSpaceDE w:val="0"/>
              <w:autoSpaceDN w:val="0"/>
              <w:jc w:val="left"/>
              <w:textAlignment w:val="bottom"/>
              <w:rPr>
                <w:rFonts w:ascii="宋体" w:hAnsi="宋体"/>
                <w:sz w:val="24"/>
              </w:rPr>
            </w:pPr>
            <w:r>
              <w:rPr>
                <w:rFonts w:hint="eastAsia" w:ascii="宋体" w:hAnsi="宋体"/>
                <w:sz w:val="24"/>
              </w:rPr>
              <w:t>2、中标后，中标单位需在领取中标通知书时，向招标代理机构提交与投标时电子投标文件一致的纸质版本一式三份（按照招标文件要求签字盖章）。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2"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rPr>
            </w:pPr>
            <w:r>
              <w:rPr>
                <w:rFonts w:hint="eastAsia" w:ascii="宋体" w:hAnsi="宋体"/>
                <w:sz w:val="24"/>
              </w:rPr>
              <w:t>8</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投标文件份数：1、“电子加密投标文件”：在线上传递交、一份。2、 “备份投标文件”：一份。</w:t>
            </w:r>
            <w:r>
              <w:rPr>
                <w:rFonts w:ascii="宋体" w:hAnsi="宋体"/>
                <w:sz w:val="24"/>
              </w:rPr>
              <w:t>以介质存储的数据电文形式的备份</w:t>
            </w:r>
            <w:r>
              <w:rPr>
                <w:rFonts w:hint="eastAsia" w:ascii="宋体" w:hAnsi="宋体"/>
                <w:sz w:val="24"/>
              </w:rPr>
              <w:t>投标</w:t>
            </w:r>
            <w:r>
              <w:rPr>
                <w:rFonts w:ascii="宋体" w:hAnsi="宋体"/>
                <w:sz w:val="24"/>
              </w:rPr>
              <w:t>文件(BFBS格式)，按政采云平台项目采购-电子交易操作指南中上传的电子</w:t>
            </w:r>
            <w:r>
              <w:rPr>
                <w:rFonts w:hint="eastAsia" w:ascii="宋体" w:hAnsi="宋体"/>
                <w:sz w:val="24"/>
              </w:rPr>
              <w:t>投标</w:t>
            </w:r>
            <w:r>
              <w:rPr>
                <w:rFonts w:ascii="宋体" w:hAnsi="宋体"/>
                <w:sz w:val="24"/>
              </w:rPr>
              <w:t>文件格式，以U盘形式存储提供)。U盘盘面上粘贴标签，标注单位名称，装入一个外包封袋中进行邮寄.邮寄时，总的外包封袋上可不注明单位名称，但应注明单位的联系人、联系电话及项目名称</w:t>
            </w:r>
            <w:r>
              <w:rPr>
                <w:rFonts w:hint="eastAsia" w:ascii="宋体" w:hAnsi="宋体"/>
                <w:sz w:val="24"/>
              </w:rPr>
              <w:t>。邮寄地址为：浙江华耀建设咨询有限公司（湖州市静江公寓1单元1101室），联系人：张治中，联系电话：0572-2198738</w:t>
            </w:r>
            <w:r>
              <w:fldChar w:fldCharType="begin"/>
            </w:r>
            <w:r>
              <w:instrText xml:space="preserve"> HYPERLINK "mailto:huayaohz@163.com。供应商应于2020年9月" </w:instrText>
            </w:r>
            <w:r>
              <w:fldChar w:fldCharType="separate"/>
            </w:r>
            <w:r>
              <w:rPr>
                <w:rFonts w:hint="eastAsia" w:ascii="宋体" w:hAnsi="宋体"/>
                <w:sz w:val="24"/>
              </w:rPr>
              <w:t>。供应商应于2022年7月12日</w:t>
            </w:r>
            <w:r>
              <w:rPr>
                <w:rFonts w:hint="eastAsia" w:ascii="宋体" w:hAnsi="宋体"/>
                <w:sz w:val="24"/>
              </w:rPr>
              <w:fldChar w:fldCharType="end"/>
            </w:r>
            <w:r>
              <w:rPr>
                <w:rFonts w:hint="eastAsia" w:ascii="宋体" w:hAnsi="宋体"/>
                <w:sz w:val="24"/>
              </w:rPr>
              <w:t>17：00时前准时送达，拒绝到付。以收件人实际签收时间为准，逾期送达的将拒绝接收。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szCs w:val="20"/>
              </w:rPr>
              <w:t>9</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电子加密投标文件的解密和异常情况处理：</w:t>
            </w:r>
          </w:p>
          <w:p>
            <w:pPr>
              <w:widowControl/>
              <w:jc w:val="left"/>
              <w:rPr>
                <w:rFonts w:ascii="宋体" w:hAnsi="宋体"/>
                <w:sz w:val="24"/>
              </w:rPr>
            </w:pPr>
            <w:r>
              <w:rPr>
                <w:rFonts w:hint="eastAsia" w:ascii="宋体" w:hAnsi="宋体"/>
                <w:sz w:val="24"/>
              </w:rPr>
              <w:t>（1）开标后，采购组织机构将向各投标供应商发出“电子加密投标文件”的解密通知，各投标供应商代表应当在接到解密通知后30分钟内自行完成“电子加密投标文件”的在线解密。</w:t>
            </w:r>
          </w:p>
          <w:p>
            <w:pPr>
              <w:widowControl/>
              <w:jc w:val="left"/>
              <w:rPr>
                <w:rFonts w:ascii="宋体" w:hAnsi="宋体"/>
                <w:sz w:val="24"/>
              </w:rPr>
            </w:pPr>
            <w:r>
              <w:rPr>
                <w:rFonts w:hint="eastAsia" w:ascii="宋体" w:hAnsi="宋体"/>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widowControl/>
              <w:jc w:val="left"/>
              <w:rPr>
                <w:rFonts w:ascii="宋体" w:hAnsi="宋体"/>
                <w:sz w:val="24"/>
              </w:rPr>
            </w:pPr>
            <w:r>
              <w:rPr>
                <w:rFonts w:hint="eastAsia" w:ascii="宋体" w:hAnsi="宋体"/>
                <w:sz w:val="24"/>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rPr>
              <w:t>10</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开标时间及地点：2022年7</w:t>
            </w:r>
            <w:r>
              <w:rPr>
                <w:rFonts w:hint="eastAsia" w:ascii="宋体" w:hAnsi="宋体" w:cs="仿宋"/>
                <w:sz w:val="24"/>
              </w:rPr>
              <w:t>月13日</w:t>
            </w:r>
            <w:r>
              <w:rPr>
                <w:rFonts w:hint="eastAsia" w:ascii="宋体" w:hAnsi="宋体"/>
                <w:sz w:val="24"/>
              </w:rPr>
              <w:t>9：00整</w:t>
            </w:r>
          </w:p>
          <w:p>
            <w:pPr>
              <w:widowControl/>
              <w:jc w:val="left"/>
              <w:rPr>
                <w:rFonts w:ascii="宋体" w:hAnsi="宋体"/>
                <w:sz w:val="24"/>
              </w:rPr>
            </w:pPr>
            <w:r>
              <w:rPr>
                <w:rFonts w:hint="eastAsia" w:ascii="宋体" w:hAnsi="宋体"/>
                <w:sz w:val="24"/>
              </w:rPr>
              <w:t>湖州市吴兴区公共资源交易中心（湖州市吴兴区区府路1188号总部自由港E幢4楼）401开标室，供应商应在响应截止时间前登入“政府采购云平台（www.zcygov.cn）”在线参与开标，并完成CA锁在线解密响应文件等相关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10</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评标办法及评分标准：详见招标文件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11</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中标公告：中标供应商确定后，中标公告于“浙江省政府采购网”(http://zfcg.czt.zj.gov.cn/)和吴兴区人民政府网http://www.wuxing.gov.cn/首页“吴兴区公共资源交易中心”专栏。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12</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13</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本项目的履约保证金为合同价的2.5%；履约保证金形式为：现金或银行、保险公司出具的保函；中标人应根据采购人要求汇入采购人指定账号或提供保函。项目终验合格后，退还履约保证金。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14</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ascii="宋体" w:hAnsi="宋体"/>
                <w:sz w:val="24"/>
              </w:rPr>
              <w:t>15</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付款方式：采购人自行支付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rPr>
            </w:pPr>
            <w:r>
              <w:rPr>
                <w:rFonts w:ascii="宋体" w:hAnsi="宋体"/>
                <w:sz w:val="24"/>
              </w:rPr>
              <w:t>16</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投标文件有效期：120天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szCs w:val="20"/>
              </w:rPr>
              <w:t>17</w:t>
            </w:r>
          </w:p>
        </w:tc>
        <w:tc>
          <w:tcPr>
            <w:tcW w:w="905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Arial"/>
                <w:sz w:val="24"/>
              </w:rPr>
            </w:pPr>
            <w:r>
              <w:rPr>
                <w:rFonts w:hint="eastAsia" w:ascii="宋体" w:hAnsi="宋体"/>
                <w:sz w:val="24"/>
              </w:rPr>
              <w:t xml:space="preserve">招标单位：湖州市吴兴区教育局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0"/>
              </w:rPr>
            </w:pPr>
            <w:r>
              <w:rPr>
                <w:rFonts w:hint="eastAsia" w:ascii="宋体" w:hAnsi="宋体"/>
                <w:sz w:val="24"/>
                <w:szCs w:val="20"/>
              </w:rPr>
              <w:t>18</w:t>
            </w:r>
          </w:p>
        </w:tc>
        <w:tc>
          <w:tcPr>
            <w:tcW w:w="905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r>
              <w:rPr>
                <w:rFonts w:hint="eastAsia" w:ascii="宋体" w:hAnsi="宋体"/>
                <w:sz w:val="24"/>
              </w:rPr>
              <w:t>解释：本招标文件的解释权属于招标采购单位</w:t>
            </w:r>
          </w:p>
        </w:tc>
      </w:tr>
    </w:tbl>
    <w:p>
      <w:pPr>
        <w:pStyle w:val="18"/>
        <w:snapToGrid w:val="0"/>
        <w:spacing w:beforeLines="0" w:afterLines="0" w:line="360" w:lineRule="auto"/>
        <w:rPr>
          <w:rFonts w:hAnsi="宋体"/>
          <w:b/>
          <w:sz w:val="28"/>
          <w:szCs w:val="28"/>
        </w:rPr>
      </w:pPr>
      <w:r>
        <w:rPr>
          <w:rFonts w:hint="eastAsia" w:hAnsi="宋体"/>
          <w:b/>
          <w:sz w:val="28"/>
          <w:szCs w:val="28"/>
        </w:rPr>
        <w:t>一   总  则</w:t>
      </w:r>
    </w:p>
    <w:p>
      <w:pPr>
        <w:snapToGrid w:val="0"/>
        <w:spacing w:line="360" w:lineRule="auto"/>
        <w:ind w:firstLine="472" w:firstLineChars="196"/>
        <w:jc w:val="left"/>
        <w:outlineLvl w:val="1"/>
        <w:rPr>
          <w:rFonts w:ascii="宋体" w:hAnsi="宋体"/>
          <w:b/>
          <w:sz w:val="24"/>
          <w:szCs w:val="20"/>
        </w:rPr>
      </w:pPr>
      <w:r>
        <w:rPr>
          <w:rFonts w:hint="eastAsia" w:ascii="宋体" w:hAnsi="宋体"/>
          <w:b/>
          <w:sz w:val="24"/>
        </w:rPr>
        <w:t>（一）</w:t>
      </w:r>
      <w:r>
        <w:rPr>
          <w:rFonts w:ascii="宋体" w:hAnsi="宋体"/>
          <w:b/>
          <w:sz w:val="24"/>
        </w:rPr>
        <w:t xml:space="preserve"> 适用范围</w:t>
      </w:r>
    </w:p>
    <w:p>
      <w:pPr>
        <w:snapToGrid w:val="0"/>
        <w:spacing w:line="360" w:lineRule="auto"/>
        <w:ind w:firstLine="480" w:firstLineChars="200"/>
        <w:jc w:val="left"/>
        <w:rPr>
          <w:rFonts w:ascii="宋体" w:hAnsi="宋体"/>
          <w:sz w:val="24"/>
        </w:rPr>
      </w:pPr>
      <w:r>
        <w:rPr>
          <w:rFonts w:hint="eastAsia" w:ascii="宋体" w:hAnsi="宋体"/>
          <w:sz w:val="24"/>
        </w:rPr>
        <w:t>本招标文件适用于湖州市吴兴区教育局升降式课桌椅项目的招标、评标、定标、验收、合同履约、付款等（法律、法规另有规定的，从其规定）。</w:t>
      </w:r>
    </w:p>
    <w:p>
      <w:pPr>
        <w:snapToGrid w:val="0"/>
        <w:spacing w:line="360" w:lineRule="auto"/>
        <w:ind w:firstLine="354" w:firstLineChars="147"/>
        <w:jc w:val="left"/>
        <w:outlineLvl w:val="1"/>
        <w:rPr>
          <w:rFonts w:ascii="宋体" w:hAnsi="宋体"/>
          <w:b/>
          <w:sz w:val="24"/>
          <w:szCs w:val="20"/>
        </w:rPr>
      </w:pPr>
      <w:r>
        <w:rPr>
          <w:rFonts w:hint="eastAsia" w:ascii="宋体" w:hAnsi="宋体"/>
          <w:b/>
          <w:sz w:val="24"/>
        </w:rPr>
        <w:t>（二）定义</w:t>
      </w:r>
    </w:p>
    <w:p>
      <w:pPr>
        <w:snapToGrid w:val="0"/>
        <w:spacing w:line="360" w:lineRule="auto"/>
        <w:ind w:firstLine="480" w:firstLineChars="200"/>
        <w:jc w:val="left"/>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招标采购单位系指组织本次招标的代理机构和采购单位</w:t>
      </w:r>
      <w:r>
        <w:rPr>
          <w:rFonts w:hint="eastAsia" w:ascii="宋体" w:hAnsi="宋体"/>
          <w:sz w:val="24"/>
        </w:rPr>
        <w:t>（湖州市吴兴区教育局）</w:t>
      </w:r>
      <w:r>
        <w:rPr>
          <w:rFonts w:ascii="宋体" w:hAnsi="宋体"/>
          <w:sz w:val="24"/>
        </w:rPr>
        <w:t>。</w:t>
      </w:r>
    </w:p>
    <w:p>
      <w:pPr>
        <w:snapToGrid w:val="0"/>
        <w:spacing w:line="360" w:lineRule="auto"/>
        <w:ind w:firstLine="480" w:firstLineChars="200"/>
        <w:jc w:val="left"/>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投标人”系指向招标方提交投标文件的单位或个人。</w:t>
      </w:r>
    </w:p>
    <w:p>
      <w:pPr>
        <w:snapToGrid w:val="0"/>
        <w:spacing w:line="360" w:lineRule="auto"/>
        <w:ind w:firstLine="480" w:firstLineChars="200"/>
        <w:jc w:val="left"/>
        <w:rPr>
          <w:rFonts w:ascii="宋体" w:hAnsi="宋体"/>
          <w:sz w:val="24"/>
          <w:szCs w:val="20"/>
        </w:rPr>
      </w:pPr>
      <w:r>
        <w:rPr>
          <w:rFonts w:ascii="宋体" w:hAnsi="宋体"/>
          <w:sz w:val="24"/>
        </w:rPr>
        <w:t>3</w:t>
      </w:r>
      <w:r>
        <w:rPr>
          <w:rFonts w:hint="eastAsia" w:ascii="宋体" w:hAnsi="宋体"/>
          <w:sz w:val="24"/>
        </w:rPr>
        <w:t>.</w:t>
      </w:r>
      <w:r>
        <w:rPr>
          <w:rFonts w:ascii="宋体" w:hAnsi="宋体"/>
          <w:sz w:val="24"/>
        </w:rPr>
        <w:t>“产品”系指供方按招标文件规定，须向采购人提供的一切设备、保险、税金、备品备件、工具、手册及其它有关技术资料和材料。</w:t>
      </w:r>
    </w:p>
    <w:p>
      <w:pPr>
        <w:snapToGrid w:val="0"/>
        <w:spacing w:line="360" w:lineRule="auto"/>
        <w:ind w:firstLine="480" w:firstLineChars="200"/>
        <w:jc w:val="left"/>
        <w:rPr>
          <w:rFonts w:ascii="宋体" w:hAnsi="宋体"/>
          <w:sz w:val="24"/>
          <w:szCs w:val="20"/>
        </w:rPr>
      </w:pPr>
      <w:r>
        <w:rPr>
          <w:rFonts w:ascii="宋体" w:hAnsi="宋体"/>
          <w:sz w:val="24"/>
        </w:rPr>
        <w:t>4</w:t>
      </w:r>
      <w:r>
        <w:rPr>
          <w:rFonts w:hint="eastAsia" w:ascii="宋体" w:hAnsi="宋体"/>
          <w:sz w:val="24"/>
        </w:rPr>
        <w:t>.</w:t>
      </w:r>
      <w:r>
        <w:rPr>
          <w:rFonts w:ascii="宋体" w:hAnsi="宋体"/>
          <w:sz w:val="24"/>
        </w:rPr>
        <w:t>“服务”系指招标文件规定投标人须承担的安装、调试、技术协助、校准、培训、技术指导以及其他类似的义务。</w:t>
      </w:r>
    </w:p>
    <w:p>
      <w:pPr>
        <w:snapToGrid w:val="0"/>
        <w:spacing w:line="360" w:lineRule="auto"/>
        <w:ind w:firstLine="480" w:firstLineChars="200"/>
        <w:jc w:val="left"/>
        <w:rPr>
          <w:rFonts w:ascii="宋体" w:hAnsi="宋体"/>
          <w:sz w:val="24"/>
          <w:szCs w:val="20"/>
        </w:rPr>
      </w:pPr>
      <w:r>
        <w:rPr>
          <w:rFonts w:ascii="宋体" w:hAnsi="宋体"/>
          <w:sz w:val="24"/>
        </w:rPr>
        <w:t>5</w:t>
      </w:r>
      <w:r>
        <w:rPr>
          <w:rFonts w:hint="eastAsia" w:ascii="宋体" w:hAnsi="宋体"/>
          <w:sz w:val="24"/>
        </w:rPr>
        <w:t>.</w:t>
      </w:r>
      <w:r>
        <w:rPr>
          <w:rFonts w:ascii="宋体" w:hAnsi="宋体"/>
          <w:sz w:val="24"/>
        </w:rPr>
        <w:t>“项目”系指投标人按招标文件规定向采购人提供的产品和服务。</w:t>
      </w:r>
    </w:p>
    <w:p>
      <w:pPr>
        <w:snapToGrid w:val="0"/>
        <w:spacing w:line="360" w:lineRule="auto"/>
        <w:ind w:firstLine="480" w:firstLineChars="200"/>
        <w:jc w:val="left"/>
        <w:rPr>
          <w:rFonts w:ascii="宋体" w:hAnsi="宋体"/>
          <w:sz w:val="24"/>
          <w:szCs w:val="20"/>
        </w:rPr>
      </w:pPr>
      <w:r>
        <w:rPr>
          <w:rFonts w:ascii="宋体" w:hAnsi="宋体"/>
          <w:sz w:val="24"/>
        </w:rPr>
        <w:t>6</w:t>
      </w:r>
      <w:r>
        <w:rPr>
          <w:rFonts w:hint="eastAsia" w:ascii="宋体" w:hAnsi="宋体"/>
          <w:sz w:val="24"/>
        </w:rPr>
        <w:t>.</w:t>
      </w:r>
      <w:r>
        <w:rPr>
          <w:rFonts w:ascii="宋体" w:hAnsi="宋体"/>
          <w:sz w:val="24"/>
        </w:rPr>
        <w:t>“书面形式”包括信函、传真、电报等。</w:t>
      </w:r>
    </w:p>
    <w:p>
      <w:pPr>
        <w:snapToGrid w:val="0"/>
        <w:spacing w:line="360" w:lineRule="auto"/>
        <w:ind w:firstLine="480" w:firstLineChars="200"/>
        <w:jc w:val="left"/>
        <w:rPr>
          <w:rFonts w:ascii="宋体" w:hAnsi="宋体"/>
          <w:sz w:val="24"/>
          <w:szCs w:val="20"/>
        </w:rPr>
      </w:pPr>
      <w:r>
        <w:rPr>
          <w:rFonts w:ascii="宋体" w:hAnsi="宋体"/>
          <w:sz w:val="24"/>
        </w:rPr>
        <w:t>7</w:t>
      </w:r>
      <w:r>
        <w:rPr>
          <w:rFonts w:hint="eastAsia" w:ascii="宋体" w:hAnsi="宋体"/>
          <w:sz w:val="24"/>
        </w:rPr>
        <w:t>.</w:t>
      </w:r>
      <w:r>
        <w:rPr>
          <w:rFonts w:ascii="宋体" w:hAnsi="宋体"/>
          <w:sz w:val="24"/>
        </w:rPr>
        <w:t>“▲”系指实质性要求条款。</w:t>
      </w:r>
    </w:p>
    <w:p>
      <w:pPr>
        <w:snapToGrid w:val="0"/>
        <w:spacing w:line="360" w:lineRule="auto"/>
        <w:ind w:firstLine="472" w:firstLineChars="196"/>
        <w:jc w:val="left"/>
        <w:outlineLvl w:val="1"/>
        <w:rPr>
          <w:rFonts w:ascii="宋体" w:hAnsi="宋体"/>
          <w:b/>
          <w:sz w:val="24"/>
          <w:szCs w:val="20"/>
        </w:rPr>
      </w:pPr>
      <w:r>
        <w:rPr>
          <w:rFonts w:hint="eastAsia" w:ascii="宋体" w:hAnsi="宋体"/>
          <w:b/>
          <w:sz w:val="24"/>
        </w:rPr>
        <w:t>（三）招标方式</w:t>
      </w:r>
    </w:p>
    <w:p>
      <w:pPr>
        <w:snapToGrid w:val="0"/>
        <w:spacing w:line="360" w:lineRule="auto"/>
        <w:ind w:firstLine="480" w:firstLineChars="200"/>
        <w:jc w:val="left"/>
        <w:rPr>
          <w:rFonts w:ascii="宋体" w:hAnsi="宋体"/>
          <w:sz w:val="24"/>
          <w:szCs w:val="20"/>
        </w:rPr>
      </w:pPr>
      <w:r>
        <w:rPr>
          <w:rFonts w:ascii="宋体" w:hAnsi="宋体"/>
          <w:sz w:val="24"/>
        </w:rPr>
        <w:t>本次招标采用公开招标方式进行。</w:t>
      </w:r>
    </w:p>
    <w:p>
      <w:pPr>
        <w:snapToGrid w:val="0"/>
        <w:spacing w:line="360" w:lineRule="auto"/>
        <w:ind w:firstLine="472" w:firstLineChars="196"/>
        <w:jc w:val="left"/>
        <w:outlineLvl w:val="1"/>
        <w:rPr>
          <w:rFonts w:ascii="宋体" w:hAnsi="宋体"/>
          <w:b/>
          <w:sz w:val="24"/>
          <w:szCs w:val="20"/>
        </w:rPr>
      </w:pPr>
      <w:r>
        <w:rPr>
          <w:rFonts w:hint="eastAsia" w:ascii="宋体" w:hAnsi="宋体"/>
          <w:b/>
          <w:sz w:val="24"/>
        </w:rPr>
        <w:t>（四）投标委托</w:t>
      </w:r>
    </w:p>
    <w:p>
      <w:pPr>
        <w:pStyle w:val="14"/>
        <w:snapToGrid w:val="0"/>
        <w:spacing w:line="360" w:lineRule="auto"/>
        <w:ind w:firstLine="580" w:firstLineChars="250"/>
        <w:jc w:val="left"/>
        <w:rPr>
          <w:rFonts w:hAnsi="宋体"/>
          <w:sz w:val="24"/>
          <w:szCs w:val="24"/>
        </w:rPr>
      </w:pPr>
      <w:r>
        <w:rPr>
          <w:rFonts w:hAnsi="宋体"/>
          <w:sz w:val="24"/>
          <w:szCs w:val="24"/>
        </w:rPr>
        <w:t>投标人代表须携带</w:t>
      </w:r>
      <w:r>
        <w:rPr>
          <w:rFonts w:hint="eastAsia" w:hAnsi="宋体"/>
          <w:sz w:val="24"/>
          <w:szCs w:val="24"/>
        </w:rPr>
        <w:t>有效</w:t>
      </w:r>
      <w:r>
        <w:rPr>
          <w:rFonts w:hAnsi="宋体"/>
          <w:sz w:val="24"/>
          <w:szCs w:val="24"/>
        </w:rPr>
        <w:t>身份证</w:t>
      </w:r>
      <w:r>
        <w:rPr>
          <w:rFonts w:hint="eastAsia" w:hAnsi="宋体"/>
          <w:sz w:val="24"/>
          <w:szCs w:val="24"/>
        </w:rPr>
        <w:t>件</w:t>
      </w:r>
      <w:r>
        <w:rPr>
          <w:rFonts w:hAnsi="宋体"/>
          <w:sz w:val="24"/>
          <w:szCs w:val="24"/>
        </w:rPr>
        <w:t>。如投标人代表不是法定代表人，须有法定代表人出具的授权委托书</w:t>
      </w:r>
      <w:r>
        <w:rPr>
          <w:rFonts w:hint="eastAsia" w:hAnsi="宋体"/>
          <w:sz w:val="24"/>
          <w:szCs w:val="24"/>
        </w:rPr>
        <w:t>及近1个月的社保证明复印件加盖公章</w:t>
      </w:r>
      <w:r>
        <w:rPr>
          <w:rFonts w:hAnsi="宋体"/>
          <w:sz w:val="24"/>
          <w:szCs w:val="24"/>
        </w:rPr>
        <w:t>（格式见第四部分）。</w:t>
      </w:r>
    </w:p>
    <w:p>
      <w:pPr>
        <w:snapToGrid w:val="0"/>
        <w:spacing w:line="360" w:lineRule="auto"/>
        <w:ind w:firstLine="472" w:firstLineChars="196"/>
        <w:jc w:val="left"/>
        <w:outlineLvl w:val="1"/>
        <w:rPr>
          <w:rFonts w:ascii="宋体" w:hAnsi="宋体"/>
          <w:b/>
          <w:sz w:val="24"/>
          <w:szCs w:val="20"/>
        </w:rPr>
      </w:pPr>
      <w:r>
        <w:rPr>
          <w:rFonts w:hint="eastAsia" w:ascii="宋体" w:hAnsi="宋体"/>
          <w:b/>
          <w:sz w:val="24"/>
        </w:rPr>
        <w:t>（五）投标费用</w:t>
      </w:r>
    </w:p>
    <w:p>
      <w:pPr>
        <w:snapToGrid w:val="0"/>
        <w:spacing w:line="360" w:lineRule="auto"/>
        <w:ind w:firstLine="600" w:firstLineChars="250"/>
        <w:jc w:val="left"/>
        <w:rPr>
          <w:rFonts w:ascii="宋体" w:hAnsi="宋体"/>
          <w:sz w:val="24"/>
        </w:rPr>
      </w:pPr>
      <w:r>
        <w:rPr>
          <w:rFonts w:hint="eastAsia" w:ascii="宋体" w:hAnsi="宋体"/>
          <w:sz w:val="24"/>
        </w:rPr>
        <w:t>1.不论投标结果如何，投标人均应自行承担所有与投标有关的全部费用（招标文件有相反规定除外）。</w:t>
      </w:r>
    </w:p>
    <w:p>
      <w:pPr>
        <w:snapToGrid w:val="0"/>
        <w:spacing w:line="360" w:lineRule="auto"/>
        <w:ind w:firstLine="600" w:firstLineChars="250"/>
        <w:jc w:val="left"/>
        <w:rPr>
          <w:rFonts w:ascii="宋体" w:hAnsi="宋体"/>
          <w:sz w:val="24"/>
        </w:rPr>
      </w:pPr>
      <w:r>
        <w:rPr>
          <w:rFonts w:hint="eastAsia" w:ascii="宋体" w:hAnsi="宋体"/>
          <w:sz w:val="24"/>
        </w:rPr>
        <w:t>2.本项目招标代理服务费收取:标项1人民币玖仟柒佰贰拾贰元整（￥9722 .00），标项2人民币玖仟柒佰贰拾贰元整（￥9722 .00），标项3人民币玖仟柒佰贰拾贰元整（￥9722 .00），标项4人民币玖仟柒佰贰拾贰元整（￥9722 .00），由中标人全额支付。在</w:t>
      </w:r>
      <w:r>
        <w:rPr>
          <w:rFonts w:hint="eastAsia" w:ascii="宋体" w:hAnsi="宋体"/>
          <w:bCs/>
          <w:sz w:val="24"/>
        </w:rPr>
        <w:t>中标通知书发出后</w:t>
      </w:r>
      <w:r>
        <w:rPr>
          <w:rFonts w:hint="eastAsia" w:ascii="宋体" w:hAnsi="宋体"/>
          <w:sz w:val="24"/>
        </w:rPr>
        <w:t>当日内一次性结清。</w:t>
      </w:r>
    </w:p>
    <w:p>
      <w:pPr>
        <w:snapToGrid w:val="0"/>
        <w:spacing w:line="360" w:lineRule="auto"/>
        <w:ind w:firstLine="482" w:firstLineChars="200"/>
        <w:jc w:val="left"/>
        <w:rPr>
          <w:rFonts w:ascii="宋体" w:hAnsi="宋体"/>
          <w:b/>
          <w:sz w:val="24"/>
          <w:szCs w:val="20"/>
        </w:rPr>
      </w:pPr>
      <w:r>
        <w:rPr>
          <w:rFonts w:hint="eastAsia" w:ascii="宋体" w:hAnsi="宋体"/>
          <w:b/>
          <w:sz w:val="24"/>
        </w:rPr>
        <w:t>（六）联合体投标</w:t>
      </w:r>
    </w:p>
    <w:p>
      <w:pPr>
        <w:snapToGrid w:val="0"/>
        <w:spacing w:line="360" w:lineRule="auto"/>
        <w:ind w:firstLine="720" w:firstLineChars="300"/>
        <w:jc w:val="left"/>
        <w:rPr>
          <w:rFonts w:ascii="宋体" w:hAnsi="宋体" w:cs="Arial"/>
          <w:sz w:val="24"/>
        </w:rPr>
      </w:pPr>
      <w:r>
        <w:rPr>
          <w:rFonts w:hint="eastAsia" w:ascii="宋体" w:hAnsi="宋体" w:cs="Arial"/>
          <w:sz w:val="24"/>
        </w:rPr>
        <w:t>1.本项目接受联合体投标。</w:t>
      </w:r>
    </w:p>
    <w:p>
      <w:pPr>
        <w:snapToGrid w:val="0"/>
        <w:spacing w:line="360" w:lineRule="auto"/>
        <w:ind w:firstLine="720" w:firstLineChars="300"/>
        <w:jc w:val="left"/>
        <w:rPr>
          <w:rFonts w:ascii="宋体" w:hAnsi="宋体"/>
          <w:sz w:val="24"/>
        </w:rPr>
      </w:pPr>
      <w:r>
        <w:rPr>
          <w:rFonts w:hint="eastAsia" w:ascii="宋体" w:hAnsi="宋体"/>
          <w:sz w:val="24"/>
        </w:rPr>
        <w:t>2.由两个以上的投标人组成一个联合体以一个投标人身份共同投标时，应符合下列要求：</w:t>
      </w:r>
    </w:p>
    <w:p>
      <w:pPr>
        <w:snapToGrid w:val="0"/>
        <w:spacing w:line="360" w:lineRule="auto"/>
        <w:ind w:firstLine="470" w:firstLineChars="196"/>
        <w:rPr>
          <w:rFonts w:ascii="宋体" w:hAnsi="宋体"/>
          <w:sz w:val="24"/>
        </w:rPr>
      </w:pPr>
      <w:r>
        <w:rPr>
          <w:rFonts w:hint="eastAsia" w:ascii="宋体" w:hAnsi="宋体"/>
          <w:sz w:val="24"/>
        </w:rPr>
        <w:t>1）投标人的投标文件及中标后签署的合同对联合体各方均具有法律约束力；</w:t>
      </w:r>
    </w:p>
    <w:p>
      <w:pPr>
        <w:snapToGrid w:val="0"/>
        <w:spacing w:line="360" w:lineRule="auto"/>
        <w:ind w:firstLine="470" w:firstLineChars="196"/>
        <w:rPr>
          <w:rFonts w:ascii="宋体" w:hAnsi="宋体"/>
          <w:sz w:val="24"/>
        </w:rPr>
      </w:pPr>
      <w:r>
        <w:rPr>
          <w:rFonts w:hint="eastAsia" w:ascii="宋体" w:hAnsi="宋体"/>
          <w:sz w:val="24"/>
        </w:rPr>
        <w:t>2）联合体各方应签订共同投标协议，明确约定各方拟承担的工作和责任，并将该共同投标协议随投标文件一并提交采购人；</w:t>
      </w:r>
    </w:p>
    <w:p>
      <w:pPr>
        <w:snapToGrid w:val="0"/>
        <w:spacing w:line="360" w:lineRule="auto"/>
        <w:ind w:firstLine="470" w:firstLineChars="196"/>
        <w:rPr>
          <w:rFonts w:ascii="宋体" w:hAnsi="宋体"/>
          <w:sz w:val="24"/>
        </w:rPr>
      </w:pPr>
      <w:r>
        <w:rPr>
          <w:rFonts w:hint="eastAsia" w:ascii="宋体" w:hAnsi="宋体"/>
          <w:sz w:val="24"/>
        </w:rPr>
        <w:t>3）联合体中标后，联合体各方应当共同与采购人签订合同，为履行合同向采购人承担连带责任；</w:t>
      </w:r>
    </w:p>
    <w:p>
      <w:pPr>
        <w:snapToGrid w:val="0"/>
        <w:spacing w:line="360" w:lineRule="auto"/>
        <w:ind w:firstLine="470" w:firstLineChars="196"/>
        <w:rPr>
          <w:rFonts w:ascii="宋体" w:hAnsi="宋体"/>
          <w:sz w:val="24"/>
        </w:rPr>
      </w:pPr>
      <w:r>
        <w:rPr>
          <w:rFonts w:hint="eastAsia" w:ascii="宋体" w:hAnsi="宋体"/>
          <w:sz w:val="24"/>
        </w:rPr>
        <w:t>4）联合体的各方应共同推荐一名联合体主办人，由联合体各方各提交一份授权书，证明其主办人资格，该授权书作为投标文件的组成部分一并提交采购人；</w:t>
      </w:r>
    </w:p>
    <w:p>
      <w:pPr>
        <w:snapToGrid w:val="0"/>
        <w:spacing w:line="360" w:lineRule="auto"/>
        <w:ind w:firstLine="470" w:firstLineChars="196"/>
        <w:rPr>
          <w:rFonts w:ascii="宋体" w:hAnsi="宋体"/>
          <w:sz w:val="24"/>
        </w:rPr>
      </w:pPr>
      <w:r>
        <w:rPr>
          <w:rFonts w:hint="eastAsia" w:ascii="宋体" w:hAnsi="宋体"/>
          <w:sz w:val="24"/>
        </w:rPr>
        <w:t>5）除非另有规定或说明，本须知中“投标人”一词亦指联合体各方。</w:t>
      </w:r>
    </w:p>
    <w:p>
      <w:pPr>
        <w:snapToGrid w:val="0"/>
        <w:spacing w:line="360" w:lineRule="auto"/>
        <w:ind w:firstLine="472" w:firstLineChars="196"/>
        <w:rPr>
          <w:rFonts w:ascii="宋体" w:hAnsi="宋体" w:cs="宋体"/>
          <w:b/>
          <w:kern w:val="0"/>
          <w:sz w:val="24"/>
          <w:szCs w:val="20"/>
        </w:rPr>
      </w:pPr>
      <w:r>
        <w:rPr>
          <w:rFonts w:hint="eastAsia" w:ascii="宋体" w:hAnsi="宋体"/>
          <w:b/>
          <w:sz w:val="24"/>
        </w:rPr>
        <w:t>（七）</w:t>
      </w:r>
      <w:r>
        <w:rPr>
          <w:rFonts w:hint="eastAsia" w:ascii="宋体" w:hAnsi="宋体" w:cs="宋体"/>
          <w:b/>
          <w:kern w:val="0"/>
          <w:sz w:val="24"/>
        </w:rPr>
        <w:t>转包与分包</w:t>
      </w:r>
    </w:p>
    <w:p>
      <w:pPr>
        <w:snapToGrid w:val="0"/>
        <w:spacing w:line="360" w:lineRule="auto"/>
        <w:ind w:firstLine="480" w:firstLineChars="200"/>
        <w:rPr>
          <w:rFonts w:ascii="宋体" w:hAnsi="宋体" w:cs="宋体"/>
          <w:kern w:val="0"/>
          <w:sz w:val="24"/>
          <w:szCs w:val="20"/>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本项目不允许转包。</w:t>
      </w:r>
    </w:p>
    <w:p>
      <w:pPr>
        <w:snapToGrid w:val="0"/>
        <w:spacing w:line="360" w:lineRule="auto"/>
        <w:ind w:firstLine="480" w:firstLineChars="200"/>
        <w:rPr>
          <w:rFonts w:ascii="宋体" w:hAnsi="宋体"/>
          <w:sz w:val="24"/>
          <w:szCs w:val="20"/>
        </w:rPr>
      </w:pPr>
      <w:r>
        <w:rPr>
          <w:rFonts w:ascii="宋体" w:hAnsi="宋体" w:cs="宋体"/>
          <w:kern w:val="0"/>
          <w:sz w:val="24"/>
        </w:rPr>
        <w:t>2</w:t>
      </w:r>
      <w:r>
        <w:rPr>
          <w:rFonts w:hint="eastAsia" w:ascii="宋体" w:hAnsi="宋体" w:cs="宋体"/>
          <w:kern w:val="0"/>
          <w:sz w:val="24"/>
        </w:rPr>
        <w:t>.</w:t>
      </w:r>
      <w:r>
        <w:rPr>
          <w:rFonts w:ascii="宋体" w:hAnsi="宋体" w:cs="宋体"/>
          <w:kern w:val="0"/>
          <w:sz w:val="24"/>
        </w:rPr>
        <w:t>本项目可以分包</w:t>
      </w:r>
      <w:r>
        <w:rPr>
          <w:rFonts w:hint="eastAsia" w:ascii="宋体" w:hAnsi="宋体" w:cs="宋体"/>
          <w:kern w:val="0"/>
          <w:sz w:val="24"/>
        </w:rPr>
        <w:t>。</w:t>
      </w:r>
    </w:p>
    <w:p>
      <w:pPr>
        <w:snapToGrid w:val="0"/>
        <w:spacing w:line="360" w:lineRule="auto"/>
        <w:ind w:firstLine="472" w:firstLineChars="196"/>
        <w:jc w:val="left"/>
        <w:outlineLvl w:val="1"/>
        <w:rPr>
          <w:rFonts w:ascii="宋体" w:hAnsi="宋体"/>
          <w:b/>
          <w:sz w:val="24"/>
        </w:rPr>
      </w:pPr>
      <w:r>
        <w:rPr>
          <w:rFonts w:hint="eastAsia" w:ascii="宋体" w:hAnsi="宋体"/>
          <w:b/>
          <w:sz w:val="24"/>
        </w:rPr>
        <w:t>（八）特别说明：</w:t>
      </w:r>
    </w:p>
    <w:p>
      <w:pPr>
        <w:widowControl/>
        <w:spacing w:line="360" w:lineRule="auto"/>
        <w:ind w:firstLine="480" w:firstLineChars="200"/>
        <w:jc w:val="left"/>
        <w:rPr>
          <w:rFonts w:ascii="宋体" w:hAnsi="宋体"/>
          <w:sz w:val="24"/>
        </w:rPr>
      </w:pPr>
      <w:r>
        <w:rPr>
          <w:rFonts w:ascii="宋体" w:hAnsi="宋体"/>
          <w:sz w:val="24"/>
        </w:rPr>
        <w:t>▲</w:t>
      </w:r>
      <w:r>
        <w:rPr>
          <w:rFonts w:hint="eastAsia" w:ascii="宋体" w:hAnsi="宋体"/>
          <w:sz w:val="24"/>
        </w:rPr>
        <w:t>1.提供相同品牌产品且通过资格审查、符合性审查的不同投标人参加本项目投标的，按一家投标人计算，评审后得分最高的同品牌投标人获得中标人推荐资格;评审得分相同的，由采购人或者采购人委托评标委员会确定报价最低的投标人获得中标人资格；当报价相同时，采取随机抽取方式确定，其他同品牌投标人不作为中标人。</w:t>
      </w:r>
    </w:p>
    <w:p>
      <w:pPr>
        <w:pStyle w:val="18"/>
        <w:snapToGrid w:val="0"/>
        <w:spacing w:beforeLines="0" w:afterLines="0" w:line="360" w:lineRule="auto"/>
        <w:ind w:left="2" w:leftChars="1" w:firstLine="480" w:firstLineChars="200"/>
        <w:rPr>
          <w:rFonts w:hAnsi="宋体"/>
        </w:rPr>
      </w:pPr>
      <w:r>
        <w:rPr>
          <w:rFonts w:hAnsi="宋体"/>
        </w:rPr>
        <w:t>▲</w:t>
      </w:r>
      <w:r>
        <w:rPr>
          <w:rFonts w:hint="eastAsia" w:hAnsi="宋体"/>
        </w:rPr>
        <w:t>2.</w:t>
      </w:r>
      <w:r>
        <w:rPr>
          <w:rFonts w:hAnsi="宋体"/>
        </w:rPr>
        <w:t>投标人投标所使用的资格、信誉、荣誉、业绩与企业认证必须为本法人所拥有。投标人投标所使用的采购项目实施人员必须为本法人员工（或必须为本法人或控股公司正式员工）。</w:t>
      </w:r>
    </w:p>
    <w:p>
      <w:pPr>
        <w:pStyle w:val="18"/>
        <w:snapToGrid w:val="0"/>
        <w:spacing w:beforeLines="0" w:afterLines="0" w:line="360" w:lineRule="auto"/>
        <w:ind w:left="2" w:leftChars="1" w:firstLine="480" w:firstLineChars="200"/>
        <w:rPr>
          <w:rFonts w:hAnsi="宋体"/>
        </w:rPr>
      </w:pPr>
      <w:r>
        <w:rPr>
          <w:rFonts w:hAnsi="宋体"/>
        </w:rPr>
        <w:t>▲</w:t>
      </w:r>
      <w:r>
        <w:rPr>
          <w:rFonts w:hint="eastAsia" w:hAnsi="宋体"/>
        </w:rPr>
        <w:t>3.</w:t>
      </w:r>
      <w:r>
        <w:rPr>
          <w:rFonts w:hAnsi="宋体"/>
        </w:rPr>
        <w:t>投标人应仔细阅读招标文件的所有内容，按照招标文件的要求提交投标文件，并对所提供的全部资料的真实性承担法律责任。</w:t>
      </w:r>
    </w:p>
    <w:p>
      <w:pPr>
        <w:pStyle w:val="18"/>
        <w:snapToGrid w:val="0"/>
        <w:spacing w:beforeLines="0" w:afterLines="0" w:line="360" w:lineRule="auto"/>
        <w:ind w:left="2" w:leftChars="1" w:firstLine="480" w:firstLineChars="200"/>
        <w:rPr>
          <w:rFonts w:hAnsi="宋体"/>
          <w:b/>
        </w:rPr>
      </w:pPr>
      <w:r>
        <w:rPr>
          <w:rFonts w:hAnsi="宋体"/>
        </w:rPr>
        <w:t>▲</w:t>
      </w:r>
      <w:r>
        <w:rPr>
          <w:rFonts w:hint="eastAsia" w:hAnsi="宋体"/>
        </w:rPr>
        <w:t>4.</w:t>
      </w:r>
      <w:r>
        <w:rPr>
          <w:rFonts w:hAnsi="宋体"/>
        </w:rPr>
        <w:t>投标人在投标活动中提供任何虚假材料,其投标无效，并报监管部门查处；中标后发现的,中标人须依照《中华人民共和国消费者权益保护法》第49条之规定双倍赔偿采购人</w:t>
      </w:r>
      <w:r>
        <w:rPr>
          <w:rFonts w:hint="eastAsia" w:hAnsi="宋体"/>
        </w:rPr>
        <w:t>，</w:t>
      </w:r>
      <w:r>
        <w:rPr>
          <w:rFonts w:hAnsi="宋体"/>
        </w:rPr>
        <w:t>且民事赔偿并不免除违法投标人的行政与刑事责任。</w:t>
      </w:r>
    </w:p>
    <w:p>
      <w:pPr>
        <w:pStyle w:val="18"/>
        <w:snapToGrid w:val="0"/>
        <w:spacing w:beforeLines="0" w:afterLines="0" w:line="360" w:lineRule="auto"/>
        <w:ind w:firstLine="472" w:firstLineChars="196"/>
        <w:outlineLvl w:val="1"/>
        <w:rPr>
          <w:rFonts w:hAnsi="宋体"/>
          <w:b/>
          <w:bCs/>
        </w:rPr>
      </w:pPr>
      <w:r>
        <w:rPr>
          <w:rFonts w:hAnsi="宋体"/>
          <w:b/>
          <w:bCs/>
        </w:rPr>
        <w:t>（九）质疑和投诉</w:t>
      </w:r>
    </w:p>
    <w:p>
      <w:pPr>
        <w:pStyle w:val="18"/>
        <w:snapToGrid w:val="0"/>
        <w:spacing w:beforeLines="0" w:afterLines="0" w:line="360" w:lineRule="auto"/>
        <w:ind w:left="2" w:leftChars="1" w:firstLine="480" w:firstLineChars="200"/>
        <w:rPr>
          <w:rFonts w:hAnsi="宋体"/>
        </w:rPr>
      </w:pPr>
      <w:r>
        <w:rPr>
          <w:rFonts w:hint="eastAsia" w:hAnsi="宋体"/>
        </w:rPr>
        <w:t>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w:t>
      </w:r>
      <w:r>
        <w:rPr>
          <w:rFonts w:hAnsi="宋体"/>
        </w:rPr>
        <w:t>以书面形式向采购人、采购代理机构提出质疑</w:t>
      </w:r>
      <w:r>
        <w:rPr>
          <w:rFonts w:hint="eastAsia" w:hAnsi="宋体"/>
        </w:rPr>
        <w:t>，并电话联系代理公司，由代理公司书面回复“已知悉”，否则代理公司有权不予认可该质疑</w:t>
      </w:r>
      <w:r>
        <w:rPr>
          <w:rFonts w:hAnsi="宋体"/>
        </w:rPr>
        <w:t>。</w:t>
      </w:r>
    </w:p>
    <w:p>
      <w:pPr>
        <w:pStyle w:val="18"/>
        <w:snapToGrid w:val="0"/>
        <w:spacing w:beforeLines="0" w:afterLines="0" w:line="360" w:lineRule="auto"/>
        <w:ind w:left="2" w:leftChars="1" w:firstLine="480" w:firstLineChars="200"/>
        <w:rPr>
          <w:rFonts w:hAnsi="宋体"/>
        </w:rPr>
      </w:pPr>
      <w:r>
        <w:rPr>
          <w:rFonts w:hint="eastAsia" w:hAnsi="宋体"/>
        </w:rPr>
        <w:t>供应商在法定质疑期内一次性提出针对同一采购程序环节的质疑。</w:t>
      </w:r>
    </w:p>
    <w:p>
      <w:pPr>
        <w:pStyle w:val="18"/>
        <w:snapToGrid w:val="0"/>
        <w:spacing w:beforeLines="0" w:afterLines="0" w:line="360" w:lineRule="auto"/>
        <w:ind w:left="2" w:leftChars="1" w:firstLine="480" w:firstLineChars="200"/>
        <w:rPr>
          <w:rFonts w:hAnsi="宋体"/>
        </w:rPr>
      </w:pPr>
      <w:r>
        <w:rPr>
          <w:rFonts w:hint="eastAsia" w:hAnsi="宋体"/>
        </w:rPr>
        <w:t>1.供应商认为采购文件、采购过程、中标或者成交结果使自己的权益受到损害的，可以在知道或者应知其权益受到损害之日起7个工作日内，以书面形式向采购人、采购代理机构提出质疑。供应商对招标采购单位的质疑答复不满意或者招标采购单位未在规定时间内做出答复的，可以在答复期满后十五个工作日内向同级采购监管部门提起投诉。</w:t>
      </w:r>
    </w:p>
    <w:p>
      <w:pPr>
        <w:pStyle w:val="18"/>
        <w:snapToGrid w:val="0"/>
        <w:spacing w:beforeLines="0" w:afterLines="0" w:line="360" w:lineRule="auto"/>
        <w:ind w:left="2" w:leftChars="1" w:firstLine="480" w:firstLineChars="200"/>
        <w:rPr>
          <w:rFonts w:hAnsi="宋体"/>
        </w:rPr>
      </w:pPr>
      <w:r>
        <w:rPr>
          <w:rFonts w:hint="eastAsia" w:hAnsi="宋体"/>
        </w:rPr>
        <w:t>2.供应商提出质疑应当提交质疑函和必要的证明材料。质疑函应当包括下列内容：</w:t>
      </w:r>
    </w:p>
    <w:p>
      <w:pPr>
        <w:pStyle w:val="18"/>
        <w:snapToGrid w:val="0"/>
        <w:spacing w:beforeLines="0" w:afterLines="0" w:line="360" w:lineRule="auto"/>
        <w:ind w:left="2" w:leftChars="1" w:firstLine="480" w:firstLineChars="200"/>
        <w:rPr>
          <w:rFonts w:hAnsi="宋体"/>
        </w:rPr>
      </w:pPr>
      <w:r>
        <w:rPr>
          <w:rFonts w:hint="eastAsia" w:hAnsi="宋体"/>
        </w:rPr>
        <w:t>1）供应商的姓名或者名称、地址、邮编、联系人及联系电话；</w:t>
      </w:r>
    </w:p>
    <w:p>
      <w:pPr>
        <w:pStyle w:val="18"/>
        <w:snapToGrid w:val="0"/>
        <w:spacing w:beforeLines="0" w:afterLines="0" w:line="360" w:lineRule="auto"/>
        <w:ind w:left="2" w:leftChars="1" w:firstLine="480" w:firstLineChars="200"/>
        <w:rPr>
          <w:rFonts w:hAnsi="宋体"/>
        </w:rPr>
      </w:pPr>
      <w:r>
        <w:rPr>
          <w:rFonts w:hint="eastAsia" w:hAnsi="宋体"/>
        </w:rPr>
        <w:t>2）质疑项目的名称、编号；</w:t>
      </w:r>
    </w:p>
    <w:p>
      <w:pPr>
        <w:pStyle w:val="18"/>
        <w:snapToGrid w:val="0"/>
        <w:spacing w:beforeLines="0" w:afterLines="0" w:line="360" w:lineRule="auto"/>
        <w:ind w:left="2" w:leftChars="1" w:firstLine="480" w:firstLineChars="200"/>
        <w:rPr>
          <w:rFonts w:hAnsi="宋体"/>
        </w:rPr>
      </w:pPr>
      <w:r>
        <w:rPr>
          <w:rFonts w:hint="eastAsia" w:hAnsi="宋体"/>
        </w:rPr>
        <w:t>3）具体、明确的质疑事项和与质疑事项相关的请求；</w:t>
      </w:r>
    </w:p>
    <w:p>
      <w:pPr>
        <w:pStyle w:val="18"/>
        <w:snapToGrid w:val="0"/>
        <w:spacing w:beforeLines="0" w:afterLines="0" w:line="360" w:lineRule="auto"/>
        <w:ind w:left="2" w:leftChars="1" w:firstLine="480" w:firstLineChars="200"/>
        <w:rPr>
          <w:rFonts w:hAnsi="宋体"/>
        </w:rPr>
      </w:pPr>
      <w:r>
        <w:rPr>
          <w:rFonts w:hint="eastAsia" w:hAnsi="宋体"/>
        </w:rPr>
        <w:t>4）事实依据；</w:t>
      </w:r>
    </w:p>
    <w:p>
      <w:pPr>
        <w:pStyle w:val="18"/>
        <w:snapToGrid w:val="0"/>
        <w:spacing w:beforeLines="0" w:afterLines="0" w:line="360" w:lineRule="auto"/>
        <w:ind w:left="2" w:leftChars="1" w:firstLine="480" w:firstLineChars="200"/>
        <w:rPr>
          <w:rFonts w:hAnsi="宋体"/>
        </w:rPr>
      </w:pPr>
      <w:r>
        <w:rPr>
          <w:rFonts w:hint="eastAsia" w:hAnsi="宋体"/>
        </w:rPr>
        <w:t>5）必要的法律依据；</w:t>
      </w:r>
    </w:p>
    <w:p>
      <w:pPr>
        <w:pStyle w:val="18"/>
        <w:snapToGrid w:val="0"/>
        <w:spacing w:beforeLines="0" w:afterLines="0" w:line="360" w:lineRule="auto"/>
        <w:ind w:left="2" w:leftChars="1" w:firstLine="480" w:firstLineChars="200"/>
        <w:rPr>
          <w:rFonts w:hAnsi="宋体"/>
        </w:rPr>
      </w:pPr>
      <w:r>
        <w:rPr>
          <w:rFonts w:hint="eastAsia" w:hAnsi="宋体"/>
        </w:rPr>
        <w:t>6）提出质疑的日期。</w:t>
      </w:r>
    </w:p>
    <w:p>
      <w:pPr>
        <w:pStyle w:val="18"/>
        <w:snapToGrid w:val="0"/>
        <w:spacing w:beforeLines="0" w:afterLines="0" w:line="360" w:lineRule="auto"/>
        <w:ind w:left="2" w:leftChars="1" w:firstLine="480" w:firstLineChars="200"/>
        <w:rPr>
          <w:rFonts w:hAnsi="宋体"/>
        </w:rPr>
      </w:pPr>
      <w:r>
        <w:rPr>
          <w:rFonts w:hint="eastAsia" w:hAnsi="宋体"/>
        </w:rPr>
        <w:t>3.投诉人提起投诉应当符合下列条件：</w:t>
      </w:r>
    </w:p>
    <w:p>
      <w:pPr>
        <w:pStyle w:val="18"/>
        <w:snapToGrid w:val="0"/>
        <w:spacing w:beforeLines="0" w:afterLines="0" w:line="360" w:lineRule="auto"/>
        <w:ind w:left="2" w:leftChars="1" w:firstLine="480" w:firstLineChars="200"/>
        <w:rPr>
          <w:rFonts w:hAnsi="宋体"/>
        </w:rPr>
      </w:pPr>
      <w:r>
        <w:rPr>
          <w:rFonts w:hint="eastAsia" w:hAnsi="宋体"/>
        </w:rPr>
        <w:t>1）提起投诉前已依法进行质疑；</w:t>
      </w:r>
    </w:p>
    <w:p>
      <w:pPr>
        <w:pStyle w:val="18"/>
        <w:snapToGrid w:val="0"/>
        <w:spacing w:beforeLines="0" w:afterLines="0" w:line="360" w:lineRule="auto"/>
        <w:ind w:left="2" w:leftChars="1" w:firstLine="480" w:firstLineChars="200"/>
        <w:rPr>
          <w:rFonts w:hAnsi="宋体"/>
        </w:rPr>
      </w:pPr>
      <w:r>
        <w:rPr>
          <w:rFonts w:hint="eastAsia" w:hAnsi="宋体"/>
        </w:rPr>
        <w:t>2）投诉书内容符合本办法的规定；</w:t>
      </w:r>
    </w:p>
    <w:p>
      <w:pPr>
        <w:pStyle w:val="18"/>
        <w:snapToGrid w:val="0"/>
        <w:spacing w:beforeLines="0" w:afterLines="0" w:line="360" w:lineRule="auto"/>
        <w:ind w:left="2" w:leftChars="1" w:firstLine="480" w:firstLineChars="200"/>
        <w:rPr>
          <w:rFonts w:hAnsi="宋体"/>
        </w:rPr>
      </w:pPr>
      <w:r>
        <w:rPr>
          <w:rFonts w:hint="eastAsia" w:hAnsi="宋体"/>
        </w:rPr>
        <w:t>3）在投诉有效期限内提起投诉；</w:t>
      </w:r>
    </w:p>
    <w:p>
      <w:pPr>
        <w:pStyle w:val="18"/>
        <w:snapToGrid w:val="0"/>
        <w:spacing w:beforeLines="0" w:afterLines="0" w:line="360" w:lineRule="auto"/>
        <w:ind w:left="2" w:leftChars="1" w:firstLine="480" w:firstLineChars="200"/>
        <w:rPr>
          <w:rFonts w:hAnsi="宋体"/>
        </w:rPr>
      </w:pPr>
      <w:r>
        <w:rPr>
          <w:rFonts w:hint="eastAsia" w:hAnsi="宋体"/>
        </w:rPr>
        <w:t>4）同一投诉事项未经财政部门投诉处理；</w:t>
      </w:r>
    </w:p>
    <w:p>
      <w:pPr>
        <w:pStyle w:val="18"/>
        <w:snapToGrid w:val="0"/>
        <w:spacing w:beforeLines="0" w:afterLines="0" w:line="360" w:lineRule="auto"/>
        <w:ind w:left="2" w:leftChars="1" w:firstLine="480" w:firstLineChars="200"/>
        <w:rPr>
          <w:rFonts w:hAnsi="宋体"/>
        </w:rPr>
      </w:pPr>
      <w:r>
        <w:rPr>
          <w:rFonts w:hint="eastAsia" w:hAnsi="宋体"/>
        </w:rPr>
        <w:t>5）财政部规定的其他条件。</w:t>
      </w:r>
    </w:p>
    <w:p>
      <w:pPr>
        <w:pStyle w:val="18"/>
        <w:snapToGrid w:val="0"/>
        <w:spacing w:beforeLines="0" w:afterLines="0" w:line="360" w:lineRule="auto"/>
        <w:ind w:left="2" w:leftChars="1" w:firstLine="480" w:firstLineChars="200"/>
        <w:rPr>
          <w:rFonts w:hAnsi="宋体"/>
        </w:rPr>
      </w:pPr>
      <w:r>
        <w:rPr>
          <w:rFonts w:hint="eastAsia" w:hAnsi="宋体"/>
        </w:rPr>
        <w:t>4.投诉人投诉时,应当提交投诉书和必要的证明材料，并按照被投诉采购人、采购代理机构和与投诉事项有关的供应商数量提供投诉书的副本。投诉书应当包括下列内容：</w:t>
      </w:r>
    </w:p>
    <w:p>
      <w:pPr>
        <w:pStyle w:val="18"/>
        <w:snapToGrid w:val="0"/>
        <w:spacing w:beforeLines="0" w:afterLines="0" w:line="360" w:lineRule="auto"/>
        <w:ind w:left="2" w:leftChars="1" w:firstLine="480" w:firstLineChars="200"/>
        <w:rPr>
          <w:rFonts w:hAnsi="宋体"/>
        </w:rPr>
      </w:pPr>
      <w:r>
        <w:rPr>
          <w:rFonts w:hint="eastAsia" w:hAnsi="宋体"/>
        </w:rPr>
        <w:t>1）投诉人和被投诉人的姓名或者名称、通讯地址、邮编、联系人及联系电话；</w:t>
      </w:r>
    </w:p>
    <w:p>
      <w:pPr>
        <w:pStyle w:val="18"/>
        <w:snapToGrid w:val="0"/>
        <w:spacing w:beforeLines="0" w:afterLines="0" w:line="360" w:lineRule="auto"/>
        <w:ind w:left="2" w:leftChars="1" w:firstLine="480" w:firstLineChars="200"/>
        <w:rPr>
          <w:rFonts w:hAnsi="宋体"/>
        </w:rPr>
      </w:pPr>
      <w:r>
        <w:rPr>
          <w:rFonts w:hint="eastAsia" w:hAnsi="宋体"/>
        </w:rPr>
        <w:t>2）质疑和质疑答复情况说明及相关证明材料；</w:t>
      </w:r>
    </w:p>
    <w:p>
      <w:pPr>
        <w:pStyle w:val="18"/>
        <w:snapToGrid w:val="0"/>
        <w:spacing w:beforeLines="0" w:afterLines="0" w:line="360" w:lineRule="auto"/>
        <w:ind w:left="2" w:leftChars="1" w:firstLine="480" w:firstLineChars="200"/>
        <w:rPr>
          <w:rFonts w:hAnsi="宋体"/>
        </w:rPr>
      </w:pPr>
      <w:r>
        <w:rPr>
          <w:rFonts w:hint="eastAsia" w:hAnsi="宋体"/>
        </w:rPr>
        <w:t>3）具体、明确的投诉事项和与投诉事项相关的投诉请求；</w:t>
      </w:r>
    </w:p>
    <w:p>
      <w:pPr>
        <w:pStyle w:val="18"/>
        <w:snapToGrid w:val="0"/>
        <w:spacing w:beforeLines="0" w:afterLines="0" w:line="360" w:lineRule="auto"/>
        <w:ind w:left="2" w:leftChars="1" w:firstLine="480" w:firstLineChars="200"/>
        <w:rPr>
          <w:rFonts w:hAnsi="宋体"/>
        </w:rPr>
      </w:pPr>
      <w:r>
        <w:rPr>
          <w:rFonts w:hint="eastAsia" w:hAnsi="宋体"/>
        </w:rPr>
        <w:t>4）事实依据；</w:t>
      </w:r>
    </w:p>
    <w:p>
      <w:pPr>
        <w:pStyle w:val="18"/>
        <w:snapToGrid w:val="0"/>
        <w:spacing w:beforeLines="0" w:afterLines="0" w:line="360" w:lineRule="auto"/>
        <w:ind w:left="2" w:leftChars="1" w:firstLine="480" w:firstLineChars="200"/>
        <w:rPr>
          <w:rFonts w:hAnsi="宋体"/>
        </w:rPr>
      </w:pPr>
      <w:r>
        <w:rPr>
          <w:rFonts w:hint="eastAsia" w:hAnsi="宋体"/>
        </w:rPr>
        <w:t>5）法律依据；</w:t>
      </w:r>
    </w:p>
    <w:p>
      <w:pPr>
        <w:pStyle w:val="18"/>
        <w:snapToGrid w:val="0"/>
        <w:spacing w:beforeLines="0" w:afterLines="0" w:line="360" w:lineRule="auto"/>
        <w:ind w:left="2" w:leftChars="1" w:firstLine="480" w:firstLineChars="200"/>
        <w:rPr>
          <w:rFonts w:hAnsi="宋体"/>
        </w:rPr>
      </w:pPr>
      <w:r>
        <w:rPr>
          <w:rFonts w:hint="eastAsia" w:hAnsi="宋体"/>
        </w:rPr>
        <w:t>6）提起投诉的日期。</w:t>
      </w:r>
    </w:p>
    <w:p>
      <w:pPr>
        <w:pStyle w:val="18"/>
        <w:snapToGrid w:val="0"/>
        <w:spacing w:beforeLines="0" w:afterLines="0" w:line="360" w:lineRule="auto"/>
        <w:ind w:left="2" w:leftChars="1" w:firstLine="480" w:firstLineChars="200"/>
        <w:rPr>
          <w:rFonts w:hAnsi="宋体"/>
        </w:rPr>
      </w:pPr>
      <w:r>
        <w:rPr>
          <w:rFonts w:hAnsi="宋体"/>
        </w:rPr>
        <w:t>质疑供应商对采购人、采购代理机构的答复不满意，或者采购人、采购代理机构未在规定时间内做出答复的，可以在答复期满后15个工作日内向本办法第六条规定的财政部门提起投诉。</w:t>
      </w:r>
    </w:p>
    <w:p>
      <w:pPr>
        <w:pStyle w:val="18"/>
        <w:snapToGrid w:val="0"/>
        <w:spacing w:beforeLines="0" w:afterLines="0" w:line="360" w:lineRule="auto"/>
        <w:ind w:left="2" w:leftChars="1" w:firstLine="480" w:firstLineChars="200"/>
        <w:rPr>
          <w:rFonts w:hAnsi="宋体"/>
        </w:rPr>
      </w:pPr>
      <w:r>
        <w:rPr>
          <w:rFonts w:hint="eastAsia" w:hAnsi="宋体"/>
        </w:rPr>
        <w:t>供应商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 ，供应商明确表示需要邮寄的除外。</w:t>
      </w:r>
    </w:p>
    <w:p>
      <w:pPr>
        <w:pStyle w:val="18"/>
        <w:snapToGrid w:val="0"/>
        <w:spacing w:beforeLines="0" w:afterLines="0" w:line="360" w:lineRule="auto"/>
        <w:ind w:left="2" w:leftChars="1" w:firstLine="480" w:firstLineChars="200"/>
        <w:rPr>
          <w:rFonts w:hAnsi="宋体"/>
        </w:rPr>
      </w:pPr>
      <w:r>
        <w:rPr>
          <w:rFonts w:hint="eastAsia" w:hAnsi="宋体"/>
        </w:rPr>
        <w:t>5.质疑函须采用财政部发布的政府采购供应商质疑函范本（参考样式可从</w:t>
      </w:r>
      <w:r>
        <w:rPr>
          <w:rFonts w:hAnsi="宋体"/>
        </w:rPr>
        <w:t>浙江政府采购网下载专区下载</w:t>
      </w:r>
      <w:r>
        <w:rPr>
          <w:rFonts w:hint="eastAsia" w:hAnsi="宋体"/>
        </w:rPr>
        <w:t>），否则采购代理机构有权要求质疑供应商改正后重新提出。</w:t>
      </w:r>
    </w:p>
    <w:p>
      <w:pPr>
        <w:pStyle w:val="18"/>
        <w:snapToGrid w:val="0"/>
        <w:spacing w:beforeLines="0" w:afterLines="0" w:line="360" w:lineRule="auto"/>
        <w:ind w:firstLine="551" w:firstLineChars="196"/>
        <w:outlineLvl w:val="0"/>
        <w:rPr>
          <w:rFonts w:hAnsi="宋体"/>
          <w:b/>
          <w:sz w:val="28"/>
          <w:szCs w:val="28"/>
        </w:rPr>
      </w:pPr>
      <w:r>
        <w:rPr>
          <w:rFonts w:hAnsi="宋体"/>
          <w:b/>
          <w:sz w:val="28"/>
          <w:szCs w:val="28"/>
        </w:rPr>
        <w:t>二  招标文件</w:t>
      </w:r>
    </w:p>
    <w:p>
      <w:pPr>
        <w:snapToGrid w:val="0"/>
        <w:spacing w:line="360" w:lineRule="auto"/>
        <w:ind w:firstLine="472" w:firstLineChars="196"/>
        <w:jc w:val="left"/>
        <w:rPr>
          <w:rFonts w:ascii="宋体" w:hAnsi="宋体"/>
          <w:b/>
          <w:sz w:val="24"/>
          <w:szCs w:val="20"/>
        </w:rPr>
      </w:pPr>
      <w:r>
        <w:rPr>
          <w:rFonts w:hint="eastAsia" w:ascii="宋体" w:hAnsi="宋体"/>
          <w:b/>
          <w:sz w:val="24"/>
        </w:rPr>
        <w:t>（一）招标文件的构成。本招标文件由以下部份组成：</w:t>
      </w:r>
    </w:p>
    <w:p>
      <w:pPr>
        <w:snapToGrid w:val="0"/>
        <w:spacing w:line="360" w:lineRule="auto"/>
        <w:ind w:firstLine="480" w:firstLineChars="200"/>
        <w:jc w:val="left"/>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招标公告</w:t>
      </w:r>
    </w:p>
    <w:p>
      <w:pPr>
        <w:snapToGrid w:val="0"/>
        <w:spacing w:line="360" w:lineRule="auto"/>
        <w:ind w:firstLine="480" w:firstLineChars="200"/>
        <w:jc w:val="left"/>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招标需求</w:t>
      </w:r>
    </w:p>
    <w:p>
      <w:pPr>
        <w:snapToGrid w:val="0"/>
        <w:spacing w:line="360" w:lineRule="auto"/>
        <w:ind w:firstLine="480" w:firstLineChars="200"/>
        <w:jc w:val="left"/>
        <w:rPr>
          <w:rFonts w:ascii="宋体" w:hAnsi="宋体"/>
          <w:sz w:val="24"/>
          <w:szCs w:val="20"/>
        </w:rPr>
      </w:pPr>
      <w:r>
        <w:rPr>
          <w:rFonts w:ascii="宋体" w:hAnsi="宋体"/>
          <w:sz w:val="24"/>
        </w:rPr>
        <w:t>3</w:t>
      </w:r>
      <w:r>
        <w:rPr>
          <w:rFonts w:hint="eastAsia" w:ascii="宋体" w:hAnsi="宋体"/>
          <w:sz w:val="24"/>
        </w:rPr>
        <w:t>.</w:t>
      </w:r>
      <w:r>
        <w:rPr>
          <w:rFonts w:ascii="宋体" w:hAnsi="宋体"/>
          <w:sz w:val="24"/>
        </w:rPr>
        <w:t>投标人须知</w:t>
      </w:r>
    </w:p>
    <w:p>
      <w:pPr>
        <w:snapToGrid w:val="0"/>
        <w:spacing w:line="360" w:lineRule="auto"/>
        <w:ind w:firstLine="480" w:firstLineChars="200"/>
        <w:jc w:val="left"/>
        <w:rPr>
          <w:rFonts w:ascii="宋体" w:hAnsi="宋体"/>
          <w:sz w:val="24"/>
          <w:szCs w:val="20"/>
        </w:rPr>
      </w:pPr>
      <w:r>
        <w:rPr>
          <w:rFonts w:ascii="宋体" w:hAnsi="宋体"/>
          <w:sz w:val="24"/>
        </w:rPr>
        <w:t>4</w:t>
      </w:r>
      <w:r>
        <w:rPr>
          <w:rFonts w:hint="eastAsia" w:ascii="宋体" w:hAnsi="宋体"/>
          <w:sz w:val="24"/>
        </w:rPr>
        <w:t>.</w:t>
      </w:r>
      <w:r>
        <w:rPr>
          <w:rFonts w:ascii="宋体" w:hAnsi="宋体"/>
          <w:sz w:val="24"/>
        </w:rPr>
        <w:t>评标办法及标准</w:t>
      </w:r>
    </w:p>
    <w:p>
      <w:pPr>
        <w:snapToGrid w:val="0"/>
        <w:spacing w:line="360" w:lineRule="auto"/>
        <w:ind w:firstLine="480" w:firstLineChars="200"/>
        <w:jc w:val="left"/>
        <w:rPr>
          <w:rFonts w:ascii="宋体" w:hAnsi="宋体"/>
          <w:sz w:val="24"/>
          <w:szCs w:val="20"/>
        </w:rPr>
      </w:pPr>
      <w:r>
        <w:rPr>
          <w:rFonts w:ascii="宋体" w:hAnsi="宋体"/>
          <w:sz w:val="24"/>
        </w:rPr>
        <w:t>5</w:t>
      </w:r>
      <w:r>
        <w:rPr>
          <w:rFonts w:hint="eastAsia" w:ascii="宋体" w:hAnsi="宋体"/>
          <w:sz w:val="24"/>
        </w:rPr>
        <w:t>.</w:t>
      </w:r>
      <w:r>
        <w:rPr>
          <w:rFonts w:ascii="宋体" w:hAnsi="宋体"/>
          <w:sz w:val="24"/>
        </w:rPr>
        <w:t>合同主要条款</w:t>
      </w:r>
    </w:p>
    <w:p>
      <w:pPr>
        <w:snapToGrid w:val="0"/>
        <w:spacing w:line="360" w:lineRule="auto"/>
        <w:ind w:firstLine="480" w:firstLineChars="200"/>
        <w:jc w:val="left"/>
        <w:rPr>
          <w:rFonts w:ascii="宋体" w:hAnsi="宋体"/>
          <w:sz w:val="24"/>
        </w:rPr>
      </w:pPr>
      <w:r>
        <w:rPr>
          <w:rFonts w:ascii="宋体" w:hAnsi="宋体"/>
          <w:sz w:val="24"/>
        </w:rPr>
        <w:t>6</w:t>
      </w:r>
      <w:r>
        <w:rPr>
          <w:rFonts w:hint="eastAsia" w:ascii="宋体" w:hAnsi="宋体"/>
          <w:sz w:val="24"/>
        </w:rPr>
        <w:t>.</w:t>
      </w:r>
      <w:r>
        <w:rPr>
          <w:rFonts w:ascii="宋体" w:hAnsi="宋体"/>
          <w:sz w:val="24"/>
        </w:rPr>
        <w:t>投标文件格式</w:t>
      </w:r>
    </w:p>
    <w:p>
      <w:pPr>
        <w:snapToGrid w:val="0"/>
        <w:spacing w:line="360" w:lineRule="auto"/>
        <w:ind w:firstLine="480" w:firstLineChars="200"/>
        <w:jc w:val="left"/>
        <w:rPr>
          <w:rFonts w:ascii="宋体" w:hAnsi="宋体"/>
          <w:sz w:val="24"/>
          <w:szCs w:val="20"/>
        </w:rPr>
      </w:pPr>
      <w:r>
        <w:rPr>
          <w:rFonts w:hint="eastAsia" w:ascii="宋体" w:hAnsi="宋体"/>
          <w:sz w:val="24"/>
        </w:rPr>
        <w:t>7.本项目</w:t>
      </w:r>
      <w:r>
        <w:rPr>
          <w:rFonts w:ascii="宋体" w:hAnsi="宋体"/>
          <w:sz w:val="24"/>
        </w:rPr>
        <w:t>招标文件</w:t>
      </w:r>
      <w:r>
        <w:rPr>
          <w:rFonts w:hint="eastAsia" w:ascii="宋体" w:hAnsi="宋体"/>
          <w:sz w:val="24"/>
        </w:rPr>
        <w:t>的</w:t>
      </w:r>
      <w:r>
        <w:rPr>
          <w:rFonts w:ascii="宋体" w:hAnsi="宋体"/>
          <w:sz w:val="24"/>
        </w:rPr>
        <w:t>澄清、答复、修改、补充的内容</w:t>
      </w:r>
    </w:p>
    <w:p>
      <w:pPr>
        <w:snapToGrid w:val="0"/>
        <w:spacing w:line="360" w:lineRule="auto"/>
        <w:ind w:firstLine="472" w:firstLineChars="196"/>
        <w:jc w:val="left"/>
        <w:rPr>
          <w:rFonts w:ascii="宋体" w:hAnsi="宋体"/>
          <w:b/>
          <w:sz w:val="24"/>
          <w:szCs w:val="20"/>
        </w:rPr>
      </w:pPr>
      <w:r>
        <w:rPr>
          <w:rFonts w:hint="eastAsia" w:ascii="宋体" w:hAnsi="宋体"/>
          <w:b/>
          <w:sz w:val="24"/>
        </w:rPr>
        <w:t>（二）投标人的风险</w:t>
      </w:r>
    </w:p>
    <w:p>
      <w:pPr>
        <w:pStyle w:val="26"/>
        <w:spacing w:line="360" w:lineRule="auto"/>
        <w:rPr>
          <w:rFonts w:ascii="宋体" w:eastAsia="宋体"/>
          <w:color w:val="auto"/>
          <w:szCs w:val="20"/>
        </w:rPr>
      </w:pPr>
      <w:r>
        <w:rPr>
          <w:rFonts w:hint="eastAsia" w:ascii="宋体" w:eastAsia="宋体"/>
          <w:color w:val="auto"/>
        </w:rPr>
        <w:t>投标人没有按照招标文件要求提供全部资料，或者投标人没有对招标文件在各方面作出实质性响应是投标人的风险，并可能导致其投标被拒绝。</w:t>
      </w:r>
    </w:p>
    <w:p>
      <w:pPr>
        <w:pStyle w:val="7"/>
        <w:widowControl w:val="0"/>
        <w:tabs>
          <w:tab w:val="clear" w:pos="454"/>
        </w:tabs>
        <w:snapToGrid w:val="0"/>
        <w:spacing w:afterLines="0" w:line="360" w:lineRule="auto"/>
        <w:ind w:left="0" w:firstLine="472" w:firstLineChars="196"/>
        <w:rPr>
          <w:rFonts w:ascii="宋体" w:hAnsi="宋体"/>
          <w:b/>
          <w:szCs w:val="24"/>
        </w:rPr>
      </w:pPr>
      <w:r>
        <w:rPr>
          <w:rFonts w:hint="eastAsia" w:ascii="宋体" w:hAnsi="宋体"/>
          <w:b/>
          <w:szCs w:val="24"/>
        </w:rPr>
        <w:t>（三）招标文件的澄清与修改</w:t>
      </w:r>
    </w:p>
    <w:p>
      <w:pPr>
        <w:pStyle w:val="18"/>
        <w:snapToGrid w:val="0"/>
        <w:spacing w:beforeLines="0" w:afterLines="0" w:line="360" w:lineRule="auto"/>
        <w:ind w:firstLine="480" w:firstLineChars="200"/>
        <w:rPr>
          <w:rFonts w:hAnsi="宋体"/>
        </w:rPr>
      </w:pPr>
      <w:r>
        <w:rPr>
          <w:rFonts w:hAnsi="宋体"/>
        </w:rPr>
        <w:t>1</w:t>
      </w:r>
      <w:r>
        <w:rPr>
          <w:rFonts w:hint="eastAsia" w:hAnsi="宋体"/>
        </w:rPr>
        <w:t>.</w:t>
      </w:r>
      <w:r>
        <w:rPr>
          <w:rFonts w:hAnsi="宋体"/>
          <w:bCs/>
        </w:rPr>
        <w:t>投标人应认真阅读本招标文件，发现其中有误或有不合理要求的，投标人必须在</w:t>
      </w:r>
      <w:r>
        <w:rPr>
          <w:rFonts w:hint="eastAsia" w:hAnsi="宋体"/>
          <w:u w:val="single"/>
        </w:rPr>
        <w:t>2022年</w:t>
      </w:r>
      <w:r>
        <w:rPr>
          <w:rFonts w:hint="eastAsia" w:hAnsi="宋体" w:cs="宋体"/>
          <w:bCs/>
        </w:rPr>
        <w:t>7月5日</w:t>
      </w:r>
      <w:r>
        <w:rPr>
          <w:rFonts w:hint="eastAsia" w:hAnsi="宋体"/>
          <w:bCs/>
        </w:rPr>
        <w:t>17：00</w:t>
      </w:r>
      <w:r>
        <w:rPr>
          <w:rFonts w:hAnsi="宋体"/>
          <w:bCs/>
        </w:rPr>
        <w:t>前以书面形式要求招标采购单位澄清</w:t>
      </w:r>
      <w:r>
        <w:rPr>
          <w:rFonts w:hAnsi="宋体"/>
        </w:rPr>
        <w:t>。采购代理机构对已发出的招标文件进行必要澄清、答复、修改或补充的，应当在招标文件要求提交投标文件截止时间五日前，在财政部门指定的政府采购信息发布媒体上发布更正公告，并以书面形式通知所有招标文件收受人。</w:t>
      </w:r>
    </w:p>
    <w:p>
      <w:pPr>
        <w:pStyle w:val="18"/>
        <w:snapToGrid w:val="0"/>
        <w:spacing w:beforeLines="0" w:afterLines="0" w:line="360" w:lineRule="auto"/>
        <w:ind w:firstLine="480" w:firstLineChars="200"/>
        <w:rPr>
          <w:rFonts w:hAnsi="宋体"/>
        </w:rPr>
      </w:pPr>
      <w:r>
        <w:rPr>
          <w:rFonts w:hAnsi="宋体"/>
        </w:rPr>
        <w:t>2</w:t>
      </w:r>
      <w:r>
        <w:rPr>
          <w:rFonts w:hint="eastAsia" w:hAnsi="宋体"/>
        </w:rPr>
        <w:t>.</w:t>
      </w:r>
      <w:r>
        <w:rPr>
          <w:rFonts w:hAnsi="宋体"/>
        </w:rPr>
        <w:t>采购代理机构必须以书面形式答复投标人要求澄清的问题，并将不包含问题来源的答复书面通知所有购买招标文件的投标人；除书面答复以外的其他澄清方式及澄清内容均无效。</w:t>
      </w:r>
    </w:p>
    <w:p>
      <w:pPr>
        <w:pStyle w:val="18"/>
        <w:snapToGrid w:val="0"/>
        <w:spacing w:beforeLines="0" w:afterLines="0" w:line="360" w:lineRule="auto"/>
        <w:ind w:firstLine="480" w:firstLineChars="200"/>
        <w:rPr>
          <w:rFonts w:hAnsi="宋体"/>
        </w:rPr>
      </w:pPr>
      <w:r>
        <w:rPr>
          <w:rFonts w:hint="eastAsia" w:hAnsi="宋体"/>
        </w:rPr>
        <w:t>3.</w:t>
      </w:r>
      <w:r>
        <w:rPr>
          <w:rFonts w:hAnsi="宋体"/>
        </w:rPr>
        <w:t>招标文件澄清、答复、修改、补充的内容为招标文件的组成部分。当招标文件与招标文件的答复、澄清、修改、补充通知就同一内容的表述不一致时，以最后发出的书面文件为准。</w:t>
      </w:r>
    </w:p>
    <w:p>
      <w:pPr>
        <w:pStyle w:val="18"/>
        <w:snapToGrid w:val="0"/>
        <w:spacing w:beforeLines="0" w:afterLines="0" w:line="360" w:lineRule="auto"/>
        <w:ind w:firstLine="480" w:firstLineChars="200"/>
        <w:rPr>
          <w:rFonts w:hAnsi="宋体"/>
        </w:rPr>
      </w:pPr>
      <w:r>
        <w:rPr>
          <w:rFonts w:hint="eastAsia" w:hAnsi="宋体"/>
        </w:rPr>
        <w:t>4.</w:t>
      </w:r>
      <w:r>
        <w:rPr>
          <w:rFonts w:hAnsi="宋体"/>
        </w:rPr>
        <w:t>招标文件的澄清、答复、修改或补充都应该通过本代理机构以法定形式发布，采购人非通过本机构，不得擅自澄清、答复、修改或补充招标文件。</w:t>
      </w:r>
    </w:p>
    <w:p>
      <w:pPr>
        <w:pStyle w:val="18"/>
        <w:snapToGrid w:val="0"/>
        <w:spacing w:beforeLines="0" w:afterLines="0" w:line="360" w:lineRule="auto"/>
        <w:ind w:firstLine="551" w:firstLineChars="196"/>
        <w:outlineLvl w:val="1"/>
        <w:rPr>
          <w:rFonts w:hAnsi="宋体"/>
          <w:b/>
          <w:sz w:val="28"/>
          <w:szCs w:val="28"/>
        </w:rPr>
      </w:pPr>
      <w:r>
        <w:rPr>
          <w:rFonts w:hAnsi="宋体"/>
          <w:b/>
          <w:sz w:val="28"/>
          <w:szCs w:val="28"/>
        </w:rPr>
        <w:t>三、投标文件的编制</w:t>
      </w:r>
    </w:p>
    <w:p>
      <w:pPr>
        <w:snapToGrid w:val="0"/>
        <w:spacing w:line="360" w:lineRule="auto"/>
        <w:ind w:firstLine="472" w:firstLineChars="196"/>
        <w:jc w:val="left"/>
        <w:outlineLvl w:val="0"/>
        <w:rPr>
          <w:rFonts w:ascii="宋体" w:hAnsi="宋体"/>
          <w:b/>
          <w:sz w:val="24"/>
        </w:rPr>
      </w:pPr>
      <w:r>
        <w:rPr>
          <w:rFonts w:hint="eastAsia" w:ascii="宋体" w:hAnsi="宋体"/>
          <w:b/>
          <w:sz w:val="24"/>
        </w:rPr>
        <w:t>（一）投标文件的组成</w:t>
      </w:r>
    </w:p>
    <w:p>
      <w:pPr>
        <w:snapToGrid w:val="0"/>
        <w:spacing w:line="360" w:lineRule="auto"/>
        <w:ind w:firstLine="480" w:firstLineChars="200"/>
        <w:jc w:val="left"/>
        <w:outlineLvl w:val="0"/>
        <w:rPr>
          <w:rFonts w:ascii="宋体" w:hAnsi="宋体"/>
          <w:sz w:val="24"/>
        </w:rPr>
      </w:pPr>
      <w:r>
        <w:rPr>
          <w:rFonts w:hint="eastAsia" w:ascii="宋体" w:hAnsi="宋体"/>
          <w:sz w:val="24"/>
        </w:rPr>
        <w:t>投标文件由</w:t>
      </w:r>
      <w:r>
        <w:rPr>
          <w:rFonts w:hint="eastAsia" w:ascii="宋体" w:hAnsi="宋体" w:cs="宋体"/>
          <w:sz w:val="22"/>
          <w:szCs w:val="22"/>
        </w:rPr>
        <w:t>《</w:t>
      </w:r>
      <w:r>
        <w:rPr>
          <w:rFonts w:hint="eastAsia" w:ascii="宋体" w:hAnsi="宋体"/>
          <w:sz w:val="24"/>
        </w:rPr>
        <w:t>资格文件</w:t>
      </w:r>
      <w:r>
        <w:rPr>
          <w:rFonts w:hint="eastAsia" w:ascii="宋体" w:hAnsi="宋体" w:cs="宋体"/>
          <w:sz w:val="22"/>
          <w:szCs w:val="22"/>
        </w:rPr>
        <w:t>》</w:t>
      </w:r>
      <w:r>
        <w:rPr>
          <w:rFonts w:hint="eastAsia" w:ascii="宋体" w:hAnsi="宋体"/>
          <w:sz w:val="24"/>
        </w:rPr>
        <w:t>、</w:t>
      </w:r>
      <w:r>
        <w:rPr>
          <w:rFonts w:hint="eastAsia" w:ascii="宋体" w:hAnsi="宋体" w:cs="宋体"/>
          <w:sz w:val="22"/>
          <w:szCs w:val="22"/>
        </w:rPr>
        <w:t>《</w:t>
      </w:r>
      <w:r>
        <w:rPr>
          <w:rFonts w:hint="eastAsia" w:ascii="宋体" w:hAnsi="宋体"/>
          <w:sz w:val="24"/>
        </w:rPr>
        <w:t>技术/资信/商务文件</w:t>
      </w:r>
      <w:r>
        <w:rPr>
          <w:rFonts w:hint="eastAsia" w:ascii="宋体" w:hAnsi="宋体" w:cs="宋体"/>
          <w:sz w:val="22"/>
          <w:szCs w:val="22"/>
        </w:rPr>
        <w:t>》</w:t>
      </w:r>
      <w:r>
        <w:rPr>
          <w:rFonts w:hint="eastAsia" w:ascii="宋体" w:hAnsi="宋体"/>
          <w:sz w:val="24"/>
        </w:rPr>
        <w:t>、</w:t>
      </w:r>
      <w:r>
        <w:rPr>
          <w:rFonts w:hint="eastAsia" w:ascii="宋体" w:hAnsi="宋体" w:cs="宋体"/>
          <w:sz w:val="22"/>
          <w:szCs w:val="22"/>
        </w:rPr>
        <w:t>《</w:t>
      </w:r>
      <w:r>
        <w:rPr>
          <w:rFonts w:hint="eastAsia" w:ascii="宋体" w:hAnsi="宋体"/>
          <w:sz w:val="24"/>
        </w:rPr>
        <w:t>投标报价</w:t>
      </w:r>
      <w:r>
        <w:rPr>
          <w:rFonts w:hint="eastAsia" w:ascii="宋体" w:hAnsi="宋体" w:cs="宋体"/>
          <w:sz w:val="22"/>
          <w:szCs w:val="22"/>
        </w:rPr>
        <w:t>》</w:t>
      </w:r>
      <w:r>
        <w:rPr>
          <w:rFonts w:hint="eastAsia" w:ascii="宋体" w:hAnsi="宋体"/>
          <w:sz w:val="24"/>
        </w:rPr>
        <w:t>文件三部分组成。（电子投标文件中所盖公章均采用CA签章）。</w:t>
      </w:r>
    </w:p>
    <w:p>
      <w:pPr>
        <w:snapToGrid w:val="0"/>
        <w:spacing w:line="360" w:lineRule="auto"/>
        <w:ind w:firstLine="482" w:firstLineChars="200"/>
        <w:jc w:val="left"/>
        <w:rPr>
          <w:rFonts w:ascii="宋体" w:hAnsi="宋体" w:cs="宋体"/>
          <w:b/>
          <w:bCs/>
          <w:sz w:val="24"/>
        </w:rPr>
      </w:pPr>
      <w:r>
        <w:rPr>
          <w:rFonts w:hint="eastAsia" w:ascii="宋体" w:hAnsi="宋体" w:cs="宋体"/>
          <w:b/>
          <w:bCs/>
          <w:sz w:val="24"/>
        </w:rPr>
        <w:t>1.资格文件(</w:t>
      </w:r>
      <w:r>
        <w:rPr>
          <w:rFonts w:hint="eastAsia" w:ascii="宋体" w:hAnsi="宋体"/>
          <w:b/>
          <w:sz w:val="24"/>
        </w:rPr>
        <w:t>如</w:t>
      </w:r>
      <w:r>
        <w:rPr>
          <w:rFonts w:ascii="宋体" w:hAnsi="宋体"/>
          <w:b/>
          <w:sz w:val="24"/>
        </w:rPr>
        <w:t>组成联合体</w:t>
      </w:r>
      <w:r>
        <w:rPr>
          <w:rFonts w:hint="eastAsia" w:ascii="宋体" w:hAnsi="宋体"/>
          <w:b/>
          <w:sz w:val="24"/>
        </w:rPr>
        <w:t>投标</w:t>
      </w:r>
      <w:r>
        <w:rPr>
          <w:rFonts w:ascii="宋体" w:hAnsi="宋体"/>
          <w:b/>
          <w:sz w:val="24"/>
        </w:rPr>
        <w:t>的，</w:t>
      </w:r>
      <w:r>
        <w:rPr>
          <w:rFonts w:hint="eastAsia" w:ascii="宋体" w:hAnsi="宋体"/>
          <w:b/>
          <w:sz w:val="24"/>
        </w:rPr>
        <w:t>需提供</w:t>
      </w:r>
      <w:r>
        <w:rPr>
          <w:rFonts w:ascii="宋体" w:hAnsi="宋体"/>
          <w:b/>
          <w:sz w:val="24"/>
        </w:rPr>
        <w:t>联合体各方</w:t>
      </w:r>
      <w:r>
        <w:rPr>
          <w:rFonts w:hint="eastAsia" w:ascii="宋体" w:hAnsi="宋体"/>
          <w:b/>
          <w:sz w:val="24"/>
        </w:rPr>
        <w:t>资料)</w:t>
      </w:r>
    </w:p>
    <w:p>
      <w:pPr>
        <w:spacing w:line="360" w:lineRule="auto"/>
        <w:ind w:firstLine="470" w:firstLineChars="196"/>
        <w:jc w:val="left"/>
        <w:rPr>
          <w:rFonts w:ascii="宋体" w:hAnsi="宋体"/>
          <w:sz w:val="24"/>
        </w:rPr>
      </w:pPr>
      <w:r>
        <w:rPr>
          <w:rFonts w:hint="eastAsia" w:ascii="宋体" w:hAnsi="宋体"/>
          <w:sz w:val="24"/>
        </w:rPr>
        <w:t>（1）投标声明书</w:t>
      </w:r>
      <w:r>
        <w:rPr>
          <w:rFonts w:ascii="宋体" w:hAnsi="宋体"/>
          <w:sz w:val="24"/>
        </w:rPr>
        <w:t>(格式见附件)；</w:t>
      </w:r>
    </w:p>
    <w:p>
      <w:pPr>
        <w:spacing w:line="360" w:lineRule="auto"/>
        <w:ind w:firstLine="470" w:firstLineChars="196"/>
        <w:jc w:val="left"/>
        <w:rPr>
          <w:rFonts w:ascii="宋体" w:hAnsi="宋体"/>
          <w:sz w:val="24"/>
        </w:rPr>
      </w:pPr>
      <w:r>
        <w:rPr>
          <w:rFonts w:hint="eastAsia" w:ascii="宋体" w:hAnsi="宋体"/>
          <w:sz w:val="24"/>
        </w:rPr>
        <w:t>（2）投标人基本情况介绍；</w:t>
      </w:r>
    </w:p>
    <w:p>
      <w:pPr>
        <w:spacing w:line="360" w:lineRule="auto"/>
        <w:ind w:firstLine="470" w:firstLineChars="196"/>
        <w:jc w:val="left"/>
        <w:rPr>
          <w:rFonts w:ascii="宋体" w:hAnsi="宋体"/>
          <w:sz w:val="24"/>
        </w:rPr>
      </w:pPr>
      <w:r>
        <w:rPr>
          <w:rFonts w:hint="eastAsia" w:ascii="宋体" w:hAnsi="宋体"/>
          <w:sz w:val="24"/>
        </w:rPr>
        <w:t>（3）</w:t>
      </w:r>
      <w:r>
        <w:rPr>
          <w:rFonts w:ascii="宋体" w:hAnsi="宋体"/>
          <w:sz w:val="24"/>
        </w:rPr>
        <w:t>法定代表人授权委托书(格式见附件)及授权代理人社保证明复印件（社保机构出具的由本单位或分公司为其缴纳的</w:t>
      </w:r>
      <w:r>
        <w:rPr>
          <w:rFonts w:hint="eastAsia" w:ascii="宋体" w:hAnsi="宋体" w:cs="宋体"/>
          <w:kern w:val="0"/>
          <w:sz w:val="24"/>
        </w:rPr>
        <w:t>最近一个月</w:t>
      </w:r>
      <w:r>
        <w:rPr>
          <w:rFonts w:ascii="宋体" w:hAnsi="宋体"/>
          <w:sz w:val="24"/>
        </w:rPr>
        <w:t>的社保证明）；</w:t>
      </w:r>
      <w:r>
        <w:rPr>
          <w:rFonts w:hint="eastAsia" w:ascii="宋体" w:hAnsi="宋体"/>
          <w:sz w:val="24"/>
        </w:rPr>
        <w:t>（如</w:t>
      </w:r>
      <w:r>
        <w:rPr>
          <w:rFonts w:ascii="Calibri" w:hAnsi="Calibri"/>
          <w:snapToGrid w:val="0"/>
          <w:sz w:val="24"/>
        </w:rPr>
        <w:t>组成联合体</w:t>
      </w:r>
      <w:r>
        <w:rPr>
          <w:rFonts w:hint="eastAsia"/>
          <w:snapToGrid w:val="0"/>
          <w:sz w:val="24"/>
        </w:rPr>
        <w:t>投标</w:t>
      </w:r>
      <w:r>
        <w:rPr>
          <w:rFonts w:ascii="Calibri" w:hAnsi="Calibri"/>
          <w:snapToGrid w:val="0"/>
          <w:sz w:val="24"/>
        </w:rPr>
        <w:t>的，</w:t>
      </w:r>
      <w:r>
        <w:rPr>
          <w:rFonts w:hint="eastAsia" w:ascii="宋体" w:hAnsi="宋体"/>
          <w:sz w:val="24"/>
        </w:rPr>
        <w:t>联合体各方各提交一份联合体主办人授权书）；</w:t>
      </w:r>
    </w:p>
    <w:p>
      <w:pPr>
        <w:snapToGrid w:val="0"/>
        <w:spacing w:line="360" w:lineRule="auto"/>
        <w:ind w:firstLine="480" w:firstLineChars="200"/>
        <w:jc w:val="left"/>
        <w:rPr>
          <w:rFonts w:ascii="宋体" w:hAnsi="宋体"/>
          <w:sz w:val="24"/>
        </w:rPr>
      </w:pPr>
      <w:r>
        <w:rPr>
          <w:rFonts w:hint="eastAsia" w:ascii="宋体" w:hAnsi="宋体"/>
          <w:sz w:val="24"/>
        </w:rPr>
        <w:t>（4）近三个月依法缴纳税收和社保费的证明【税费凭证，或者依法缴纳税费或依法免缴税费的证明】（</w:t>
      </w:r>
      <w:r>
        <w:rPr>
          <w:rFonts w:hint="eastAsia" w:ascii="宋体" w:hAnsi="宋体"/>
          <w:bCs/>
          <w:sz w:val="24"/>
        </w:rPr>
        <w:t>复印件各一份</w:t>
      </w:r>
      <w:r>
        <w:rPr>
          <w:rFonts w:hint="eastAsia" w:ascii="宋体" w:hAnsi="宋体"/>
          <w:sz w:val="24"/>
        </w:rPr>
        <w:t>）；</w:t>
      </w:r>
    </w:p>
    <w:p>
      <w:pPr>
        <w:spacing w:line="360" w:lineRule="auto"/>
        <w:ind w:firstLine="480" w:firstLineChars="200"/>
        <w:jc w:val="left"/>
        <w:rPr>
          <w:rFonts w:ascii="宋体" w:hAnsi="宋体"/>
          <w:sz w:val="24"/>
        </w:rPr>
      </w:pPr>
      <w:r>
        <w:rPr>
          <w:rFonts w:hint="eastAsia" w:ascii="宋体" w:hAnsi="宋体"/>
          <w:sz w:val="24"/>
        </w:rPr>
        <w:t>（5）有效的营业执照副本（复印件各一份）；</w:t>
      </w:r>
    </w:p>
    <w:p>
      <w:pPr>
        <w:widowControl/>
        <w:spacing w:line="360" w:lineRule="auto"/>
        <w:ind w:right="60" w:firstLine="480" w:firstLineChars="200"/>
        <w:rPr>
          <w:rFonts w:ascii="宋体" w:hAnsi="宋体" w:cs="宋体"/>
          <w:sz w:val="24"/>
        </w:rPr>
      </w:pPr>
      <w:r>
        <w:rPr>
          <w:rFonts w:hint="eastAsia" w:ascii="宋体" w:hAnsi="宋体" w:cs="宋体"/>
          <w:sz w:val="24"/>
        </w:rPr>
        <w:t>（6）近二年度（2020,2021年）企业的财务状况报告或银行资信证明（复印件一份）；</w:t>
      </w:r>
    </w:p>
    <w:p>
      <w:pPr>
        <w:spacing w:line="360" w:lineRule="auto"/>
        <w:ind w:firstLine="470" w:firstLineChars="196"/>
        <w:jc w:val="left"/>
        <w:rPr>
          <w:rFonts w:ascii="宋体" w:hAnsi="宋体"/>
          <w:sz w:val="24"/>
        </w:rPr>
      </w:pPr>
      <w:r>
        <w:rPr>
          <w:rFonts w:hint="eastAsia" w:ascii="宋体" w:hAnsi="宋体" w:cs="Arial"/>
          <w:kern w:val="0"/>
          <w:sz w:val="24"/>
        </w:rPr>
        <w:t>（7）</w:t>
      </w:r>
      <w:r>
        <w:rPr>
          <w:rFonts w:hint="eastAsia" w:ascii="宋体" w:hAnsi="宋体"/>
          <w:sz w:val="24"/>
        </w:rPr>
        <w:t>提供自招标公告发布之日起至投标截止日内任意时间的“信用中国”网站（www.creditchina.gov.cn）、中国政府采购网（www.ccgp.gov.cn）投标人信用查询网页截图（以开标当日采购人或由采购代理机构核实的查询结果为准）。</w:t>
      </w:r>
    </w:p>
    <w:p>
      <w:pPr>
        <w:spacing w:line="360" w:lineRule="auto"/>
        <w:ind w:firstLine="472" w:firstLineChars="196"/>
        <w:jc w:val="left"/>
        <w:rPr>
          <w:rFonts w:ascii="宋体" w:hAnsi="宋体"/>
          <w:b/>
          <w:sz w:val="24"/>
        </w:rPr>
      </w:pPr>
      <w:r>
        <w:rPr>
          <w:rFonts w:hint="eastAsia" w:ascii="宋体" w:hAnsi="宋体"/>
          <w:b/>
          <w:sz w:val="24"/>
        </w:rPr>
        <w:t>（8）符合政策要求的中小企业，相关企业（含联合体中的中小企业、签订分包意向协议的中小企业）需提供中小企业申明函(监狱企业视同小型、微型企业，提供由省级以上监狱管理局、戒毒管理局(含新疆生产建设兵团)出具的属于监狱企业的证明文件；残疾人福利性单位视同小型、微型企业，提供《残疾人福利性单位声明函》原件）；如大型企业投标，需提供联合体各方共同投标协议或分包意向协议（协议中</w:t>
      </w:r>
      <w:r>
        <w:rPr>
          <w:rFonts w:ascii="宋体" w:hAnsi="宋体"/>
          <w:b/>
          <w:sz w:val="24"/>
        </w:rPr>
        <w:t>合同金额的40%</w:t>
      </w:r>
      <w:r>
        <w:rPr>
          <w:rFonts w:hint="eastAsia" w:ascii="宋体" w:hAnsi="宋体"/>
          <w:b/>
          <w:sz w:val="24"/>
        </w:rPr>
        <w:t>必须分包</w:t>
      </w:r>
      <w:r>
        <w:rPr>
          <w:rFonts w:ascii="宋体" w:hAnsi="宋体"/>
          <w:b/>
          <w:sz w:val="24"/>
        </w:rPr>
        <w:t>给中小微企业</w:t>
      </w:r>
      <w:r>
        <w:rPr>
          <w:rFonts w:hint="eastAsia" w:ascii="宋体" w:hAnsi="宋体"/>
          <w:b/>
          <w:sz w:val="24"/>
        </w:rPr>
        <w:t>，格式自拟），如中小企业投标则无需提供。</w:t>
      </w:r>
    </w:p>
    <w:p>
      <w:pPr>
        <w:spacing w:line="360" w:lineRule="auto"/>
        <w:ind w:firstLine="472" w:firstLineChars="196"/>
        <w:jc w:val="left"/>
        <w:rPr>
          <w:rFonts w:ascii="宋体" w:hAnsi="宋体"/>
          <w:b/>
          <w:bCs/>
          <w:sz w:val="24"/>
        </w:rPr>
      </w:pPr>
      <w:r>
        <w:rPr>
          <w:rFonts w:hint="eastAsia" w:ascii="宋体" w:hAnsi="宋体"/>
          <w:b/>
          <w:sz w:val="24"/>
        </w:rPr>
        <w:t>2.</w:t>
      </w:r>
      <w:r>
        <w:rPr>
          <w:rFonts w:ascii="宋体" w:hAnsi="宋体"/>
          <w:b/>
          <w:bCs/>
          <w:sz w:val="24"/>
        </w:rPr>
        <w:t xml:space="preserve"> 技术文件</w:t>
      </w:r>
    </w:p>
    <w:p>
      <w:pPr>
        <w:snapToGrid w:val="0"/>
        <w:spacing w:line="360" w:lineRule="auto"/>
        <w:ind w:firstLine="480" w:firstLineChars="200"/>
        <w:jc w:val="left"/>
        <w:rPr>
          <w:rFonts w:ascii="宋体" w:hAnsi="宋体"/>
          <w:sz w:val="24"/>
        </w:rPr>
      </w:pPr>
      <w:r>
        <w:rPr>
          <w:rFonts w:hint="eastAsia" w:ascii="宋体" w:hAnsi="宋体"/>
          <w:sz w:val="24"/>
        </w:rPr>
        <w:t>（</w:t>
      </w:r>
      <w:r>
        <w:rPr>
          <w:rFonts w:ascii="宋体" w:hAnsi="宋体"/>
          <w:sz w:val="24"/>
        </w:rPr>
        <w:t>1）对本项目的总体理解</w:t>
      </w:r>
      <w:r>
        <w:rPr>
          <w:rFonts w:hint="eastAsia" w:ascii="宋体" w:hAnsi="宋体"/>
          <w:sz w:val="24"/>
        </w:rPr>
        <w:t>；</w:t>
      </w:r>
    </w:p>
    <w:p>
      <w:pPr>
        <w:snapToGrid w:val="0"/>
        <w:spacing w:line="360" w:lineRule="auto"/>
        <w:ind w:firstLine="480" w:firstLineChars="200"/>
        <w:jc w:val="left"/>
        <w:rPr>
          <w:rFonts w:ascii="宋体" w:hAnsi="宋体"/>
          <w:sz w:val="24"/>
          <w:szCs w:val="20"/>
        </w:rPr>
      </w:pPr>
      <w:r>
        <w:rPr>
          <w:rFonts w:hint="eastAsia" w:ascii="宋体" w:hAnsi="宋体"/>
          <w:sz w:val="24"/>
        </w:rPr>
        <w:t>（</w:t>
      </w:r>
      <w:r>
        <w:rPr>
          <w:rFonts w:ascii="宋体" w:hAnsi="宋体"/>
          <w:sz w:val="24"/>
        </w:rPr>
        <w:t>2）</w:t>
      </w:r>
      <w:r>
        <w:rPr>
          <w:rFonts w:hint="eastAsia" w:ascii="宋体" w:hAnsi="宋体"/>
          <w:sz w:val="24"/>
        </w:rPr>
        <w:t>确保供应货物质量的设施及措施；</w:t>
      </w:r>
    </w:p>
    <w:p>
      <w:pPr>
        <w:snapToGrid w:val="0"/>
        <w:spacing w:line="360" w:lineRule="auto"/>
        <w:ind w:firstLine="480" w:firstLineChars="200"/>
        <w:jc w:val="left"/>
        <w:rPr>
          <w:rFonts w:ascii="宋体" w:hAnsi="宋体"/>
          <w:sz w:val="24"/>
          <w:szCs w:val="20"/>
        </w:rPr>
      </w:pPr>
      <w:r>
        <w:rPr>
          <w:rFonts w:hint="eastAsia" w:ascii="宋体" w:hAnsi="宋体"/>
          <w:sz w:val="24"/>
        </w:rPr>
        <w:t>（</w:t>
      </w:r>
      <w:r>
        <w:rPr>
          <w:rFonts w:ascii="宋体" w:hAnsi="宋体"/>
          <w:sz w:val="24"/>
        </w:rPr>
        <w:t>3）</w:t>
      </w:r>
      <w:r>
        <w:rPr>
          <w:rFonts w:hint="eastAsia" w:ascii="宋体" w:hAnsi="宋体"/>
          <w:sz w:val="24"/>
        </w:rPr>
        <w:t>保证交货期的施工组织方案和措施</w:t>
      </w:r>
      <w:r>
        <w:rPr>
          <w:rFonts w:hint="eastAsia" w:ascii="宋体" w:hAnsi="宋体" w:cs="宋体"/>
          <w:kern w:val="0"/>
          <w:sz w:val="24"/>
        </w:rPr>
        <w:t>；</w:t>
      </w:r>
    </w:p>
    <w:p>
      <w:pPr>
        <w:snapToGrid w:val="0"/>
        <w:spacing w:line="360" w:lineRule="auto"/>
        <w:ind w:firstLine="480" w:firstLineChars="200"/>
        <w:jc w:val="left"/>
        <w:rPr>
          <w:rFonts w:ascii="宋体" w:hAnsi="宋体"/>
          <w:sz w:val="24"/>
          <w:szCs w:val="20"/>
        </w:rPr>
      </w:pPr>
      <w:r>
        <w:rPr>
          <w:rFonts w:hint="eastAsia" w:ascii="宋体" w:hAnsi="宋体"/>
          <w:sz w:val="24"/>
        </w:rPr>
        <w:t>（</w:t>
      </w:r>
      <w:r>
        <w:rPr>
          <w:rFonts w:ascii="宋体" w:hAnsi="宋体"/>
          <w:sz w:val="24"/>
        </w:rPr>
        <w:t>4）</w:t>
      </w:r>
      <w:r>
        <w:rPr>
          <w:rFonts w:hint="eastAsia" w:ascii="宋体" w:hAnsi="宋体"/>
          <w:sz w:val="24"/>
        </w:rPr>
        <w:t>安装、调试、验收的方案和措施</w:t>
      </w:r>
      <w:r>
        <w:rPr>
          <w:rFonts w:ascii="宋体" w:hAnsi="宋体"/>
          <w:sz w:val="24"/>
        </w:rPr>
        <w:t>；</w:t>
      </w:r>
    </w:p>
    <w:p>
      <w:pPr>
        <w:snapToGrid w:val="0"/>
        <w:spacing w:line="360" w:lineRule="auto"/>
        <w:ind w:firstLine="480" w:firstLineChars="200"/>
        <w:jc w:val="left"/>
        <w:rPr>
          <w:rFonts w:ascii="宋体" w:hAnsi="宋体"/>
          <w:sz w:val="24"/>
          <w:szCs w:val="20"/>
        </w:rPr>
      </w:pPr>
      <w:r>
        <w:rPr>
          <w:rFonts w:hint="eastAsia" w:ascii="宋体" w:hAnsi="宋体"/>
          <w:sz w:val="24"/>
        </w:rPr>
        <w:t>（</w:t>
      </w:r>
      <w:r>
        <w:rPr>
          <w:rFonts w:ascii="宋体" w:hAnsi="宋体"/>
          <w:sz w:val="24"/>
        </w:rPr>
        <w:t>5）技术响应表；</w:t>
      </w:r>
    </w:p>
    <w:p>
      <w:pPr>
        <w:snapToGrid w:val="0"/>
        <w:spacing w:line="360" w:lineRule="auto"/>
        <w:ind w:firstLine="480" w:firstLineChars="200"/>
        <w:jc w:val="left"/>
        <w:rPr>
          <w:rFonts w:ascii="宋体" w:hAnsi="宋体"/>
          <w:sz w:val="24"/>
        </w:rPr>
      </w:pPr>
      <w:r>
        <w:rPr>
          <w:rFonts w:hint="eastAsia" w:ascii="宋体" w:hAnsi="宋体"/>
          <w:sz w:val="24"/>
        </w:rPr>
        <w:t>（6</w:t>
      </w:r>
      <w:r>
        <w:rPr>
          <w:rFonts w:ascii="宋体" w:hAnsi="宋体"/>
          <w:sz w:val="24"/>
        </w:rPr>
        <w:t>）项目实施人员一览表</w:t>
      </w:r>
      <w:r>
        <w:rPr>
          <w:rFonts w:hint="eastAsia" w:ascii="宋体" w:hAnsi="宋体"/>
          <w:sz w:val="24"/>
        </w:rPr>
        <w:t>；</w:t>
      </w:r>
    </w:p>
    <w:p>
      <w:pPr>
        <w:snapToGrid w:val="0"/>
        <w:spacing w:line="360" w:lineRule="auto"/>
        <w:ind w:firstLine="480" w:firstLineChars="200"/>
        <w:jc w:val="left"/>
        <w:rPr>
          <w:rFonts w:ascii="宋体" w:hAnsi="宋体"/>
          <w:sz w:val="24"/>
        </w:rPr>
      </w:pPr>
      <w:r>
        <w:rPr>
          <w:rFonts w:hint="eastAsia" w:ascii="宋体" w:hAnsi="宋体"/>
          <w:sz w:val="24"/>
        </w:rPr>
        <w:t>（7</w:t>
      </w:r>
      <w:r>
        <w:rPr>
          <w:rFonts w:ascii="宋体" w:hAnsi="宋体"/>
          <w:sz w:val="24"/>
        </w:rPr>
        <w:t>）投标人对本项目的合理化建议和改进措施</w:t>
      </w:r>
      <w:r>
        <w:rPr>
          <w:rFonts w:hint="eastAsia" w:ascii="宋体" w:hAnsi="宋体"/>
          <w:sz w:val="24"/>
        </w:rPr>
        <w:t>；</w:t>
      </w:r>
    </w:p>
    <w:p>
      <w:pPr>
        <w:snapToGrid w:val="0"/>
        <w:spacing w:line="360" w:lineRule="auto"/>
        <w:ind w:firstLine="480" w:firstLineChars="200"/>
        <w:jc w:val="left"/>
        <w:rPr>
          <w:rFonts w:ascii="宋体" w:hAnsi="宋体"/>
          <w:sz w:val="24"/>
        </w:rPr>
      </w:pPr>
      <w:r>
        <w:rPr>
          <w:rFonts w:hint="eastAsia" w:ascii="宋体" w:hAnsi="宋体"/>
          <w:sz w:val="24"/>
        </w:rPr>
        <w:t>（8）</w:t>
      </w:r>
      <w:r>
        <w:rPr>
          <w:rFonts w:ascii="宋体" w:hAnsi="宋体"/>
          <w:sz w:val="24"/>
        </w:rPr>
        <w:t>投标人需要说明的其他文件和说明（格式略）</w:t>
      </w:r>
      <w:r>
        <w:rPr>
          <w:rFonts w:hint="eastAsia" w:ascii="宋体" w:hAnsi="宋体"/>
          <w:sz w:val="24"/>
        </w:rPr>
        <w:t>；</w:t>
      </w:r>
    </w:p>
    <w:p>
      <w:pPr>
        <w:spacing w:line="360" w:lineRule="auto"/>
        <w:ind w:firstLine="472" w:firstLineChars="196"/>
        <w:jc w:val="left"/>
        <w:rPr>
          <w:rFonts w:ascii="宋体" w:hAnsi="宋体"/>
          <w:b/>
          <w:sz w:val="24"/>
        </w:rPr>
      </w:pPr>
      <w:r>
        <w:rPr>
          <w:rFonts w:ascii="宋体" w:hAnsi="宋体"/>
          <w:b/>
          <w:sz w:val="24"/>
        </w:rPr>
        <w:t>资信文件：</w:t>
      </w:r>
    </w:p>
    <w:p>
      <w:pPr>
        <w:numPr>
          <w:ilvl w:val="0"/>
          <w:numId w:val="3"/>
        </w:numPr>
        <w:spacing w:line="360" w:lineRule="auto"/>
        <w:ind w:firstLine="470" w:firstLineChars="196"/>
        <w:jc w:val="left"/>
        <w:rPr>
          <w:rFonts w:ascii="宋体" w:hAnsi="宋体"/>
          <w:sz w:val="24"/>
        </w:rPr>
      </w:pPr>
      <w:r>
        <w:rPr>
          <w:rFonts w:hint="eastAsia" w:ascii="宋体" w:hAnsi="宋体"/>
          <w:sz w:val="24"/>
        </w:rPr>
        <w:t>类似案例成功的业绩（投标人同类项目实施情况一览表、合同复印件）；</w:t>
      </w:r>
    </w:p>
    <w:p>
      <w:pPr>
        <w:numPr>
          <w:ilvl w:val="0"/>
          <w:numId w:val="3"/>
        </w:numPr>
        <w:spacing w:line="360" w:lineRule="auto"/>
        <w:ind w:firstLine="470" w:firstLineChars="196"/>
        <w:jc w:val="left"/>
        <w:rPr>
          <w:rFonts w:ascii="宋体" w:hAnsi="宋体"/>
          <w:sz w:val="24"/>
        </w:rPr>
      </w:pPr>
      <w:r>
        <w:rPr>
          <w:rFonts w:hint="eastAsia" w:ascii="宋体" w:hAnsi="宋体"/>
          <w:sz w:val="24"/>
        </w:rPr>
        <w:t>其他特殊资质证书</w:t>
      </w:r>
      <w:r>
        <w:rPr>
          <w:rFonts w:ascii="宋体" w:hAnsi="宋体"/>
          <w:sz w:val="24"/>
        </w:rPr>
        <w:t>（如</w:t>
      </w:r>
      <w:r>
        <w:rPr>
          <w:rFonts w:hint="eastAsia" w:ascii="宋体" w:hAnsi="宋体"/>
          <w:sz w:val="24"/>
        </w:rPr>
        <w:t>本地化服务能力等）；</w:t>
      </w:r>
    </w:p>
    <w:p>
      <w:pPr>
        <w:snapToGrid w:val="0"/>
        <w:spacing w:line="360" w:lineRule="auto"/>
        <w:ind w:firstLine="480" w:firstLineChars="200"/>
        <w:jc w:val="left"/>
        <w:rPr>
          <w:rFonts w:ascii="宋体" w:hAnsi="宋体"/>
          <w:sz w:val="24"/>
        </w:rPr>
      </w:pPr>
      <w:r>
        <w:rPr>
          <w:rFonts w:hint="eastAsia" w:ascii="宋体" w:hAnsi="宋体"/>
          <w:sz w:val="24"/>
        </w:rPr>
        <w:t>（11</w:t>
      </w:r>
      <w:r>
        <w:rPr>
          <w:rFonts w:ascii="宋体" w:hAnsi="宋体"/>
          <w:sz w:val="24"/>
        </w:rPr>
        <w:t>）权威认证证书（</w:t>
      </w:r>
      <w:r>
        <w:rPr>
          <w:rFonts w:hint="eastAsia" w:ascii="宋体" w:hAnsi="宋体"/>
          <w:sz w:val="24"/>
        </w:rPr>
        <w:t>如有）；</w:t>
      </w:r>
    </w:p>
    <w:p>
      <w:pPr>
        <w:snapToGrid w:val="0"/>
        <w:spacing w:line="360" w:lineRule="auto"/>
        <w:ind w:firstLine="480" w:firstLineChars="200"/>
        <w:jc w:val="left"/>
        <w:rPr>
          <w:rFonts w:ascii="宋体" w:hAnsi="宋体"/>
          <w:sz w:val="24"/>
        </w:rPr>
      </w:pPr>
      <w:r>
        <w:rPr>
          <w:rFonts w:hint="eastAsia" w:ascii="宋体" w:hAnsi="宋体"/>
          <w:sz w:val="24"/>
        </w:rPr>
        <w:t>（12</w:t>
      </w:r>
      <w:r>
        <w:rPr>
          <w:rFonts w:ascii="宋体" w:hAnsi="宋体"/>
          <w:sz w:val="24"/>
        </w:rPr>
        <w:t>）</w:t>
      </w:r>
      <w:r>
        <w:rPr>
          <w:rFonts w:hint="eastAsia" w:ascii="宋体" w:hAnsi="宋体"/>
          <w:sz w:val="24"/>
        </w:rPr>
        <w:t>投标人认为可以证明其能力或业绩的其他材料；</w:t>
      </w:r>
    </w:p>
    <w:p>
      <w:pPr>
        <w:spacing w:line="360" w:lineRule="auto"/>
        <w:ind w:firstLine="472" w:firstLineChars="196"/>
        <w:jc w:val="left"/>
        <w:rPr>
          <w:rFonts w:ascii="宋体" w:hAnsi="宋体"/>
          <w:b/>
          <w:sz w:val="24"/>
        </w:rPr>
      </w:pPr>
      <w:r>
        <w:rPr>
          <w:rFonts w:ascii="宋体" w:hAnsi="宋体"/>
          <w:b/>
          <w:sz w:val="24"/>
        </w:rPr>
        <w:t>商务文件</w:t>
      </w:r>
    </w:p>
    <w:p>
      <w:pPr>
        <w:snapToGrid w:val="0"/>
        <w:spacing w:line="360" w:lineRule="auto"/>
        <w:ind w:firstLine="480" w:firstLineChars="200"/>
        <w:jc w:val="left"/>
        <w:rPr>
          <w:rFonts w:ascii="宋体" w:hAnsi="宋体"/>
          <w:sz w:val="24"/>
        </w:rPr>
      </w:pPr>
      <w:r>
        <w:rPr>
          <w:rFonts w:hint="eastAsia" w:ascii="宋体" w:hAnsi="宋体"/>
          <w:sz w:val="24"/>
        </w:rPr>
        <w:t>（13）商务响应表（格式见附件）；</w:t>
      </w:r>
    </w:p>
    <w:p>
      <w:pPr>
        <w:snapToGrid w:val="0"/>
        <w:spacing w:line="360" w:lineRule="auto"/>
        <w:ind w:firstLine="480" w:firstLineChars="200"/>
        <w:jc w:val="left"/>
        <w:rPr>
          <w:rFonts w:ascii="宋体" w:hAnsi="宋体"/>
          <w:sz w:val="24"/>
        </w:rPr>
      </w:pPr>
      <w:r>
        <w:rPr>
          <w:rFonts w:hint="eastAsia" w:ascii="宋体" w:hAnsi="宋体"/>
          <w:sz w:val="24"/>
        </w:rPr>
        <w:t>（14）</w:t>
      </w:r>
      <w:r>
        <w:rPr>
          <w:rFonts w:ascii="宋体" w:hAnsi="宋体"/>
          <w:sz w:val="24"/>
        </w:rPr>
        <w:t>售后服务的内容和措施；</w:t>
      </w:r>
    </w:p>
    <w:p>
      <w:pPr>
        <w:snapToGrid w:val="0"/>
        <w:spacing w:line="360" w:lineRule="auto"/>
        <w:ind w:firstLine="480" w:firstLineChars="200"/>
        <w:jc w:val="left"/>
        <w:rPr>
          <w:rFonts w:ascii="宋体" w:hAnsi="宋体"/>
          <w:sz w:val="24"/>
        </w:rPr>
      </w:pPr>
      <w:r>
        <w:rPr>
          <w:rFonts w:hint="eastAsia" w:ascii="宋体" w:hAnsi="宋体"/>
          <w:sz w:val="24"/>
        </w:rPr>
        <w:t>（15）培训方案；</w:t>
      </w:r>
    </w:p>
    <w:p>
      <w:pPr>
        <w:snapToGrid w:val="0"/>
        <w:spacing w:line="360" w:lineRule="auto"/>
        <w:ind w:firstLine="480" w:firstLineChars="200"/>
        <w:jc w:val="left"/>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响应时间</w:t>
      </w:r>
      <w:r>
        <w:rPr>
          <w:rFonts w:ascii="宋体" w:hAnsi="宋体"/>
          <w:sz w:val="24"/>
        </w:rPr>
        <w:t>；</w:t>
      </w:r>
    </w:p>
    <w:p>
      <w:pPr>
        <w:snapToGrid w:val="0"/>
        <w:spacing w:line="360" w:lineRule="auto"/>
        <w:ind w:firstLine="480" w:firstLineChars="200"/>
        <w:jc w:val="left"/>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信用承诺书；</w:t>
      </w:r>
    </w:p>
    <w:p>
      <w:pPr>
        <w:snapToGrid w:val="0"/>
        <w:spacing w:line="360" w:lineRule="auto"/>
        <w:ind w:firstLine="480" w:firstLineChars="200"/>
        <w:jc w:val="left"/>
        <w:rPr>
          <w:rFonts w:ascii="宋体" w:hAnsi="宋体"/>
          <w:sz w:val="24"/>
        </w:rPr>
      </w:pPr>
      <w:r>
        <w:rPr>
          <w:rFonts w:hint="eastAsia" w:ascii="宋体" w:hAnsi="宋体"/>
          <w:sz w:val="24"/>
        </w:rPr>
        <w:t>（18</w:t>
      </w:r>
      <w:r>
        <w:rPr>
          <w:rFonts w:ascii="宋体" w:hAnsi="宋体"/>
          <w:sz w:val="24"/>
        </w:rPr>
        <w:t>）</w:t>
      </w:r>
      <w:r>
        <w:rPr>
          <w:rFonts w:hint="eastAsia" w:ascii="宋体" w:hAnsi="宋体"/>
          <w:sz w:val="24"/>
        </w:rPr>
        <w:t>技术、商务、资信及其他分自评表。</w:t>
      </w:r>
    </w:p>
    <w:p>
      <w:pPr>
        <w:spacing w:line="360" w:lineRule="auto"/>
        <w:ind w:firstLine="472" w:firstLineChars="196"/>
        <w:jc w:val="left"/>
        <w:rPr>
          <w:rFonts w:ascii="宋体" w:hAnsi="宋体"/>
          <w:b/>
          <w:sz w:val="24"/>
        </w:rPr>
      </w:pPr>
      <w:r>
        <w:rPr>
          <w:rFonts w:hint="eastAsia" w:ascii="宋体" w:hAnsi="宋体"/>
          <w:b/>
          <w:sz w:val="24"/>
        </w:rPr>
        <w:t>4.</w:t>
      </w:r>
      <w:r>
        <w:rPr>
          <w:rFonts w:ascii="宋体" w:hAnsi="宋体"/>
          <w:b/>
          <w:sz w:val="24"/>
        </w:rPr>
        <w:t>报价文件：</w:t>
      </w:r>
    </w:p>
    <w:p>
      <w:pPr>
        <w:spacing w:line="360" w:lineRule="auto"/>
        <w:ind w:firstLine="470" w:firstLineChars="196"/>
        <w:jc w:val="left"/>
        <w:rPr>
          <w:rFonts w:ascii="宋体" w:hAnsi="宋体"/>
          <w:sz w:val="24"/>
        </w:rPr>
      </w:pPr>
      <w:r>
        <w:rPr>
          <w:rFonts w:hint="eastAsia" w:ascii="宋体" w:hAnsi="宋体"/>
          <w:sz w:val="24"/>
        </w:rPr>
        <w:t xml:space="preserve">（1）投标函（格式见附件）； </w:t>
      </w:r>
    </w:p>
    <w:p>
      <w:pPr>
        <w:spacing w:line="360" w:lineRule="auto"/>
        <w:ind w:firstLine="470" w:firstLineChars="196"/>
        <w:jc w:val="left"/>
        <w:rPr>
          <w:rFonts w:ascii="宋体" w:hAnsi="宋体"/>
          <w:sz w:val="24"/>
        </w:rPr>
      </w:pPr>
      <w:r>
        <w:rPr>
          <w:rFonts w:hint="eastAsia" w:ascii="宋体" w:hAnsi="宋体"/>
          <w:sz w:val="24"/>
        </w:rPr>
        <w:t>（2</w:t>
      </w:r>
      <w:r>
        <w:rPr>
          <w:rFonts w:ascii="宋体" w:hAnsi="宋体"/>
          <w:sz w:val="24"/>
        </w:rPr>
        <w:t>）投标报价明细表（格式见附件）；</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）投标人</w:t>
      </w:r>
      <w:r>
        <w:rPr>
          <w:rFonts w:hint="eastAsia" w:ascii="宋体" w:hAnsi="宋体"/>
          <w:sz w:val="24"/>
        </w:rPr>
        <w:t>针对报价</w:t>
      </w:r>
      <w:r>
        <w:rPr>
          <w:rFonts w:ascii="宋体" w:hAnsi="宋体"/>
          <w:sz w:val="24"/>
        </w:rPr>
        <w:t>需要说明的其他文件和说明（格式</w:t>
      </w:r>
      <w:r>
        <w:rPr>
          <w:rFonts w:hint="eastAsia" w:ascii="宋体" w:hAnsi="宋体"/>
          <w:sz w:val="24"/>
        </w:rPr>
        <w:t>自拟</w:t>
      </w:r>
      <w:r>
        <w:rPr>
          <w:rFonts w:ascii="宋体" w:hAnsi="宋体"/>
          <w:sz w:val="24"/>
        </w:rPr>
        <w:t>）</w:t>
      </w:r>
      <w:r>
        <w:rPr>
          <w:rFonts w:hint="eastAsia" w:ascii="宋体" w:hAnsi="宋体"/>
          <w:sz w:val="24"/>
        </w:rPr>
        <w:t>；</w:t>
      </w:r>
    </w:p>
    <w:p>
      <w:pPr>
        <w:spacing w:line="360" w:lineRule="auto"/>
        <w:ind w:firstLine="470" w:firstLineChars="196"/>
        <w:jc w:val="lef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招标代理费承诺函；</w:t>
      </w:r>
    </w:p>
    <w:p>
      <w:pPr>
        <w:spacing w:line="360" w:lineRule="auto"/>
        <w:ind w:firstLine="470" w:firstLineChars="196"/>
        <w:jc w:val="left"/>
        <w:rPr>
          <w:rFonts w:ascii="宋体" w:hAnsi="宋体"/>
          <w:sz w:val="24"/>
        </w:rPr>
      </w:pPr>
      <w:r>
        <w:rPr>
          <w:rFonts w:hint="eastAsia" w:ascii="宋体" w:hAnsi="宋体"/>
          <w:sz w:val="24"/>
        </w:rPr>
        <w:t>（5）</w:t>
      </w:r>
      <w:r>
        <w:rPr>
          <w:rFonts w:ascii="宋体" w:hAnsi="宋体"/>
          <w:sz w:val="24"/>
        </w:rPr>
        <w:t>开标一览表（格式见附件）</w:t>
      </w:r>
      <w:r>
        <w:rPr>
          <w:rFonts w:hint="eastAsia" w:ascii="宋体" w:hAnsi="宋体"/>
          <w:sz w:val="24"/>
        </w:rPr>
        <w:t>。</w:t>
      </w:r>
    </w:p>
    <w:p>
      <w:pPr>
        <w:pStyle w:val="28"/>
        <w:widowControl w:val="0"/>
        <w:spacing w:before="0" w:afterLines="0" w:line="360" w:lineRule="auto"/>
        <w:ind w:firstLine="482" w:firstLineChars="200"/>
        <w:rPr>
          <w:b/>
          <w:bCs/>
          <w:color w:val="auto"/>
        </w:rPr>
      </w:pPr>
      <w:r>
        <w:rPr>
          <w:b/>
          <w:color w:val="auto"/>
        </w:rPr>
        <w:t>▲</w:t>
      </w:r>
      <w:r>
        <w:rPr>
          <w:b/>
          <w:bCs/>
          <w:color w:val="auto"/>
        </w:rPr>
        <w:t>注：法定代表人授权委托书、投标声明书、投标函、开标一览表必须由法定代表人签名并加盖单位公章。</w:t>
      </w:r>
    </w:p>
    <w:p>
      <w:pPr>
        <w:snapToGrid w:val="0"/>
        <w:spacing w:line="360" w:lineRule="auto"/>
        <w:ind w:firstLine="472" w:firstLineChars="196"/>
        <w:jc w:val="left"/>
        <w:outlineLvl w:val="0"/>
        <w:rPr>
          <w:rFonts w:ascii="宋体" w:hAnsi="宋体"/>
          <w:b/>
          <w:sz w:val="24"/>
          <w:szCs w:val="20"/>
        </w:rPr>
      </w:pPr>
      <w:r>
        <w:rPr>
          <w:rFonts w:hint="eastAsia" w:ascii="宋体" w:hAnsi="宋体"/>
          <w:b/>
          <w:sz w:val="24"/>
        </w:rPr>
        <w:t>（二）投标文件的语言及计量</w:t>
      </w:r>
    </w:p>
    <w:p>
      <w:pPr>
        <w:snapToGrid w:val="0"/>
        <w:spacing w:line="360" w:lineRule="auto"/>
        <w:ind w:firstLine="480" w:firstLineChars="200"/>
        <w:jc w:val="left"/>
        <w:rPr>
          <w:rFonts w:ascii="宋体" w:hAnsi="宋体"/>
          <w:sz w:val="24"/>
          <w:szCs w:val="20"/>
        </w:rPr>
      </w:pPr>
      <w:r>
        <w:rPr>
          <w:rFonts w:hint="eastAsia" w:ascii="宋体" w:hAnsi="宋体"/>
          <w:sz w:val="24"/>
        </w:rPr>
        <w:t>▲</w:t>
      </w:r>
      <w:r>
        <w:rPr>
          <w:rFonts w:ascii="宋体" w:hAnsi="宋体"/>
          <w:sz w:val="24"/>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ascii="宋体" w:hAnsi="宋体"/>
          <w:sz w:val="24"/>
          <w:szCs w:val="20"/>
        </w:rPr>
      </w:pPr>
      <w:r>
        <w:rPr>
          <w:rFonts w:hint="eastAsia" w:ascii="宋体" w:hAnsi="宋体"/>
          <w:sz w:val="24"/>
        </w:rPr>
        <w:t>▲</w:t>
      </w:r>
      <w:r>
        <w:rPr>
          <w:rFonts w:ascii="宋体" w:hAnsi="宋体"/>
          <w:sz w:val="24"/>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72" w:firstLineChars="196"/>
        <w:jc w:val="left"/>
        <w:outlineLvl w:val="0"/>
        <w:rPr>
          <w:rFonts w:ascii="宋体" w:hAnsi="宋体"/>
          <w:b/>
          <w:sz w:val="24"/>
          <w:szCs w:val="20"/>
        </w:rPr>
      </w:pPr>
      <w:r>
        <w:rPr>
          <w:rFonts w:hint="eastAsia" w:ascii="宋体" w:hAnsi="宋体"/>
          <w:b/>
          <w:sz w:val="24"/>
        </w:rPr>
        <w:t>（三）投标报价</w:t>
      </w:r>
    </w:p>
    <w:p>
      <w:pPr>
        <w:snapToGrid w:val="0"/>
        <w:spacing w:line="360" w:lineRule="auto"/>
        <w:ind w:firstLine="411" w:firstLineChars="196"/>
        <w:jc w:val="left"/>
        <w:outlineLvl w:val="0"/>
        <w:rPr>
          <w:rFonts w:ascii="宋体" w:hAnsi="宋体"/>
          <w:b/>
          <w:sz w:val="24"/>
        </w:rPr>
      </w:pPr>
      <w:r>
        <w:rPr>
          <w:rFonts w:hAnsi="宋体"/>
        </w:rPr>
        <w:t>▲</w:t>
      </w:r>
      <w:r>
        <w:rPr>
          <w:rFonts w:ascii="宋体" w:hAnsi="宋体"/>
          <w:sz w:val="24"/>
        </w:rPr>
        <w:t>1</w:t>
      </w:r>
      <w:r>
        <w:rPr>
          <w:rFonts w:hint="eastAsia" w:ascii="宋体" w:hAnsi="宋体"/>
          <w:sz w:val="24"/>
        </w:rPr>
        <w:t>.</w:t>
      </w:r>
      <w:r>
        <w:rPr>
          <w:rFonts w:ascii="宋体" w:hAnsi="宋体"/>
          <w:sz w:val="24"/>
        </w:rPr>
        <w:t>投标报价应按招标文件中相关附表格式填写。</w:t>
      </w:r>
      <w:r>
        <w:rPr>
          <w:rFonts w:hint="eastAsia" w:ascii="宋体" w:hAnsi="宋体"/>
          <w:sz w:val="24"/>
        </w:rPr>
        <w:t>投标人在填报投标项目报价明细表时必须按照采购需求货物清单内容逐项报价，不得随意更改序号、货物名称、单位、数量。否则作无效标处理。</w:t>
      </w:r>
    </w:p>
    <w:p>
      <w:pPr>
        <w:pStyle w:val="18"/>
        <w:snapToGrid w:val="0"/>
        <w:spacing w:beforeLines="0" w:afterLines="0" w:line="360" w:lineRule="auto"/>
        <w:ind w:firstLine="480" w:firstLineChars="200"/>
        <w:jc w:val="left"/>
        <w:rPr>
          <w:rFonts w:hAnsi="宋体"/>
        </w:rPr>
      </w:pPr>
      <w:r>
        <w:rPr>
          <w:rFonts w:hAnsi="宋体"/>
        </w:rPr>
        <w:t>▲2</w:t>
      </w:r>
      <w:r>
        <w:rPr>
          <w:rFonts w:hint="eastAsia" w:hAnsi="宋体"/>
        </w:rPr>
        <w:t>.</w:t>
      </w:r>
      <w:r>
        <w:rPr>
          <w:rFonts w:hAnsi="宋体"/>
        </w:rPr>
        <w:t>投标报价是履行合同的最终价格，应包括货款、标准附件、备品备件、专用工具、包装、运输、装卸、保险、税金、货到就位以及安装、调试、培训、保修等一切税金和费用。</w:t>
      </w:r>
    </w:p>
    <w:p>
      <w:pPr>
        <w:tabs>
          <w:tab w:val="left" w:pos="525"/>
        </w:tabs>
        <w:snapToGrid w:val="0"/>
        <w:spacing w:line="360" w:lineRule="auto"/>
        <w:ind w:firstLine="480" w:firstLineChars="200"/>
        <w:jc w:val="left"/>
        <w:rPr>
          <w:rFonts w:ascii="宋体" w:hAnsi="宋体"/>
          <w:sz w:val="24"/>
          <w:szCs w:val="20"/>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投标文件只允许有一个报价，有选择的</w:t>
      </w:r>
      <w:r>
        <w:rPr>
          <w:rFonts w:hint="eastAsia" w:ascii="宋体" w:hAnsi="宋体"/>
          <w:sz w:val="24"/>
        </w:rPr>
        <w:t>或有条件的</w:t>
      </w:r>
      <w:r>
        <w:rPr>
          <w:rFonts w:ascii="宋体" w:hAnsi="宋体"/>
          <w:sz w:val="24"/>
        </w:rPr>
        <w:t>报价将不予接受。</w:t>
      </w:r>
    </w:p>
    <w:p>
      <w:pPr>
        <w:pStyle w:val="7"/>
        <w:widowControl w:val="0"/>
        <w:tabs>
          <w:tab w:val="clear" w:pos="454"/>
        </w:tabs>
        <w:snapToGrid w:val="0"/>
        <w:spacing w:afterLines="0" w:line="360" w:lineRule="auto"/>
        <w:ind w:left="0" w:firstLine="472" w:firstLineChars="196"/>
        <w:rPr>
          <w:rFonts w:ascii="宋体" w:hAnsi="宋体"/>
          <w:b/>
          <w:szCs w:val="24"/>
        </w:rPr>
      </w:pPr>
      <w:r>
        <w:rPr>
          <w:rFonts w:hint="eastAsia" w:ascii="宋体" w:hAnsi="宋体"/>
          <w:b/>
          <w:szCs w:val="24"/>
        </w:rPr>
        <w:t>（四）投标文件的有效期</w:t>
      </w:r>
    </w:p>
    <w:p>
      <w:pPr>
        <w:pStyle w:val="7"/>
        <w:widowControl w:val="0"/>
        <w:tabs>
          <w:tab w:val="clear" w:pos="454"/>
        </w:tabs>
        <w:snapToGrid w:val="0"/>
        <w:spacing w:afterLines="0" w:line="360" w:lineRule="auto"/>
        <w:ind w:left="0" w:firstLine="480" w:firstLineChars="200"/>
        <w:rPr>
          <w:rFonts w:ascii="宋体" w:hAnsi="宋体"/>
          <w:szCs w:val="24"/>
        </w:rPr>
      </w:pPr>
      <w:r>
        <w:rPr>
          <w:rFonts w:hint="eastAsia" w:ascii="宋体" w:hAnsi="宋体"/>
          <w:szCs w:val="24"/>
        </w:rPr>
        <w:t>▲</w:t>
      </w:r>
      <w:r>
        <w:rPr>
          <w:rFonts w:ascii="宋体" w:hAnsi="宋体"/>
          <w:szCs w:val="24"/>
        </w:rPr>
        <w:t>1</w:t>
      </w:r>
      <w:r>
        <w:rPr>
          <w:rFonts w:hint="eastAsia" w:ascii="宋体" w:hAnsi="宋体"/>
          <w:szCs w:val="24"/>
        </w:rPr>
        <w:t>.</w:t>
      </w:r>
      <w:r>
        <w:rPr>
          <w:rFonts w:ascii="宋体" w:hAnsi="宋体"/>
          <w:szCs w:val="24"/>
        </w:rPr>
        <w:t>自投标截止日起</w:t>
      </w:r>
      <w:r>
        <w:rPr>
          <w:rFonts w:hint="eastAsia" w:ascii="宋体" w:hAnsi="宋体"/>
          <w:szCs w:val="24"/>
          <w:u w:val="single"/>
        </w:rPr>
        <w:t>120</w:t>
      </w:r>
      <w:r>
        <w:rPr>
          <w:rFonts w:ascii="宋体" w:hAnsi="宋体"/>
          <w:szCs w:val="24"/>
        </w:rPr>
        <w:t>天投标</w:t>
      </w:r>
      <w:r>
        <w:rPr>
          <w:rFonts w:hint="eastAsia" w:ascii="宋体" w:hAnsi="宋体"/>
          <w:szCs w:val="24"/>
        </w:rPr>
        <w:t>文件</w:t>
      </w:r>
      <w:r>
        <w:rPr>
          <w:rFonts w:ascii="宋体" w:hAnsi="宋体"/>
          <w:szCs w:val="24"/>
        </w:rPr>
        <w:t>应保持有效。有效期</w:t>
      </w:r>
      <w:r>
        <w:rPr>
          <w:rFonts w:hint="eastAsia" w:ascii="宋体" w:hAnsi="宋体"/>
          <w:szCs w:val="24"/>
        </w:rPr>
        <w:t>不足</w:t>
      </w:r>
      <w:r>
        <w:rPr>
          <w:rFonts w:ascii="宋体" w:hAnsi="宋体"/>
          <w:szCs w:val="24"/>
        </w:rPr>
        <w:t>的投标</w:t>
      </w:r>
      <w:r>
        <w:rPr>
          <w:rFonts w:hint="eastAsia" w:ascii="宋体" w:hAnsi="宋体"/>
          <w:szCs w:val="24"/>
        </w:rPr>
        <w:t>文件</w:t>
      </w:r>
      <w:r>
        <w:rPr>
          <w:rFonts w:ascii="宋体" w:hAnsi="宋体"/>
          <w:szCs w:val="24"/>
        </w:rPr>
        <w:t>将被拒绝。</w:t>
      </w:r>
    </w:p>
    <w:p>
      <w:pPr>
        <w:pStyle w:val="7"/>
        <w:widowControl w:val="0"/>
        <w:tabs>
          <w:tab w:val="clear" w:pos="454"/>
        </w:tabs>
        <w:snapToGrid w:val="0"/>
        <w:spacing w:afterLines="0" w:line="360" w:lineRule="auto"/>
        <w:ind w:left="0" w:firstLine="480" w:firstLineChars="200"/>
        <w:rPr>
          <w:rFonts w:ascii="宋体" w:hAnsi="宋体"/>
          <w:szCs w:val="24"/>
        </w:rPr>
      </w:pPr>
      <w:r>
        <w:rPr>
          <w:rFonts w:ascii="宋体" w:hAnsi="宋体"/>
          <w:szCs w:val="24"/>
        </w:rPr>
        <w:t>2</w:t>
      </w:r>
      <w:r>
        <w:rPr>
          <w:rFonts w:hint="eastAsia" w:ascii="宋体" w:hAnsi="宋体"/>
          <w:szCs w:val="24"/>
        </w:rPr>
        <w:t>.</w:t>
      </w:r>
      <w:r>
        <w:rPr>
          <w:rFonts w:ascii="宋体" w:hAnsi="宋体"/>
          <w:szCs w:val="24"/>
        </w:rPr>
        <w:t>在特殊情况下，招标人可与投标人协商延长投标书的有效期，这种要求和答复均以书面形式进行。</w:t>
      </w:r>
    </w:p>
    <w:p>
      <w:pPr>
        <w:snapToGrid w:val="0"/>
        <w:spacing w:line="360" w:lineRule="auto"/>
        <w:ind w:firstLine="480" w:firstLineChars="200"/>
        <w:jc w:val="left"/>
        <w:outlineLvl w:val="0"/>
        <w:rPr>
          <w:rFonts w:ascii="宋体" w:hAnsi="宋体"/>
          <w:b/>
          <w:sz w:val="24"/>
          <w:szCs w:val="20"/>
        </w:rPr>
      </w:pPr>
      <w:r>
        <w:rPr>
          <w:rFonts w:ascii="宋体" w:hAnsi="宋体"/>
          <w:sz w:val="24"/>
        </w:rPr>
        <w:t>3</w:t>
      </w:r>
      <w:r>
        <w:rPr>
          <w:rFonts w:hint="eastAsia" w:ascii="宋体" w:hAnsi="宋体"/>
          <w:sz w:val="24"/>
        </w:rPr>
        <w:t>.</w:t>
      </w:r>
      <w:r>
        <w:rPr>
          <w:rFonts w:ascii="宋体" w:hAnsi="宋体"/>
          <w:sz w:val="24"/>
        </w:rPr>
        <w:t>投标人可拒绝接受延期要求。同意延长有效期的投标人不能修改投标文件。</w:t>
      </w:r>
    </w:p>
    <w:p>
      <w:pPr>
        <w:snapToGrid w:val="0"/>
        <w:spacing w:line="360" w:lineRule="auto"/>
        <w:ind w:firstLine="480" w:firstLineChars="200"/>
        <w:jc w:val="left"/>
        <w:outlineLvl w:val="0"/>
        <w:rPr>
          <w:rFonts w:ascii="宋体" w:hAnsi="宋体"/>
          <w:b/>
          <w:sz w:val="24"/>
        </w:rPr>
      </w:pPr>
      <w:r>
        <w:rPr>
          <w:rFonts w:ascii="宋体" w:hAnsi="宋体"/>
          <w:sz w:val="24"/>
        </w:rPr>
        <w:t>4</w:t>
      </w:r>
      <w:r>
        <w:rPr>
          <w:rFonts w:hint="eastAsia" w:ascii="宋体" w:hAnsi="宋体"/>
          <w:sz w:val="24"/>
        </w:rPr>
        <w:t>.</w:t>
      </w:r>
      <w:r>
        <w:rPr>
          <w:rFonts w:ascii="宋体" w:hAnsi="宋体"/>
          <w:sz w:val="24"/>
        </w:rPr>
        <w:t>中标人的投标文件自开标之日起至合同履行完毕止均应保持有效。</w:t>
      </w:r>
    </w:p>
    <w:p>
      <w:pPr>
        <w:snapToGrid w:val="0"/>
        <w:spacing w:line="360" w:lineRule="auto"/>
        <w:ind w:firstLine="482" w:firstLineChars="200"/>
        <w:jc w:val="left"/>
        <w:outlineLvl w:val="0"/>
        <w:rPr>
          <w:rFonts w:ascii="宋体" w:hAnsi="宋体"/>
          <w:b/>
          <w:sz w:val="24"/>
        </w:rPr>
      </w:pPr>
      <w:r>
        <w:rPr>
          <w:rFonts w:hint="eastAsia" w:ascii="宋体" w:hAnsi="宋体"/>
          <w:b/>
          <w:sz w:val="24"/>
        </w:rPr>
        <w:t>（五）投标文件的签署和份数</w:t>
      </w:r>
    </w:p>
    <w:p>
      <w:pPr>
        <w:snapToGrid w:val="0"/>
        <w:spacing w:line="360" w:lineRule="auto"/>
        <w:ind w:firstLine="480" w:firstLineChars="200"/>
        <w:jc w:val="left"/>
        <w:outlineLvl w:val="0"/>
        <w:rPr>
          <w:rFonts w:ascii="宋体" w:hAnsi="宋体"/>
          <w:sz w:val="24"/>
        </w:rPr>
      </w:pPr>
      <w:r>
        <w:rPr>
          <w:rFonts w:hint="eastAsia" w:ascii="宋体" w:hAnsi="宋体"/>
          <w:sz w:val="24"/>
        </w:rPr>
        <w:t>本项目通过“政府采购云平台（www.zcygov.cn）”实行在线投标响应（电子投标）。供应商应通过“政采云电子交易客户端”，并按照本招标文件和“政府采购云平台”的要求编制并加密投标文件。</w:t>
      </w:r>
    </w:p>
    <w:p>
      <w:pPr>
        <w:snapToGrid w:val="0"/>
        <w:spacing w:line="360" w:lineRule="auto"/>
        <w:ind w:firstLine="480" w:firstLineChars="200"/>
        <w:jc w:val="left"/>
        <w:outlineLvl w:val="0"/>
        <w:rPr>
          <w:rFonts w:ascii="宋体" w:hAnsi="宋体"/>
          <w:sz w:val="24"/>
        </w:rPr>
      </w:pPr>
      <w:r>
        <w:rPr>
          <w:rFonts w:hint="eastAsia" w:ascii="宋体" w:hAnsi="宋体"/>
          <w:sz w:val="24"/>
        </w:rPr>
        <w:t>1.投标供应商应当按照本章节 “投标文件组成”规定的内容及顺序在“政采云电子交易客户端”编制投标文件。其中《资格文件》和《技术/资信/商务文件》中不得出现本项目投标报价，如因投标人原因提前泄露投标报价，是投标人的责任。</w:t>
      </w:r>
    </w:p>
    <w:p>
      <w:pPr>
        <w:snapToGrid w:val="0"/>
        <w:spacing w:line="360" w:lineRule="auto"/>
        <w:ind w:firstLine="480" w:firstLineChars="200"/>
        <w:jc w:val="left"/>
        <w:outlineLvl w:val="0"/>
        <w:rPr>
          <w:rFonts w:ascii="宋体" w:hAnsi="宋体"/>
          <w:sz w:val="24"/>
        </w:rPr>
      </w:pPr>
      <w:r>
        <w:rPr>
          <w:rFonts w:hint="eastAsia" w:ascii="宋体" w:hAnsi="宋体"/>
          <w:sz w:val="24"/>
        </w:rPr>
        <w:t>2.本文件《第六章  投标文件格式》中有提供格式的，投标供应商须参照格式进行编制（格式中要求提供相关证明材料的还需后附相关证明材料），并按格式要求在指定位置根据要求进行签章，否则视为未提供；本文件《第六章  投标文件格式》未提供格式的，请各投标单位自行拟定格式，并加盖单位公章并由法定代表人或其授权代表签署（签字或盖章），否则视为未提供。</w:t>
      </w:r>
    </w:p>
    <w:p>
      <w:pPr>
        <w:snapToGrid w:val="0"/>
        <w:spacing w:line="360" w:lineRule="auto"/>
        <w:ind w:firstLine="480" w:firstLineChars="200"/>
        <w:jc w:val="left"/>
        <w:outlineLvl w:val="0"/>
        <w:rPr>
          <w:rFonts w:ascii="宋体" w:hAnsi="宋体"/>
          <w:sz w:val="24"/>
        </w:rPr>
      </w:pPr>
      <w:r>
        <w:rPr>
          <w:rFonts w:hint="eastAsia" w:ascii="宋体" w:hAnsi="宋体"/>
          <w:sz w:val="24"/>
        </w:rPr>
        <w:t>3.投标文件内容不完整、编排混乱导致投标文件被误读、漏读或者查找不到相关内容的，是投标供应商的责任。</w:t>
      </w:r>
    </w:p>
    <w:p>
      <w:pPr>
        <w:tabs>
          <w:tab w:val="left" w:pos="8460"/>
        </w:tabs>
        <w:snapToGrid w:val="0"/>
        <w:spacing w:line="360" w:lineRule="auto"/>
        <w:ind w:firstLine="480" w:firstLineChars="200"/>
        <w:jc w:val="left"/>
        <w:outlineLvl w:val="0"/>
        <w:rPr>
          <w:rFonts w:ascii="宋体" w:hAnsi="宋体"/>
          <w:sz w:val="24"/>
        </w:rPr>
      </w:pPr>
      <w:r>
        <w:rPr>
          <w:rFonts w:hint="eastAsia" w:ascii="宋体" w:hAnsi="宋体"/>
          <w:sz w:val="24"/>
        </w:rPr>
        <w:t>4.投标文件因字迹潦草或表达不清所引起的后果由投标供应商负责。</w:t>
      </w:r>
      <w:r>
        <w:rPr>
          <w:rFonts w:ascii="宋体" w:hAnsi="宋体"/>
          <w:sz w:val="24"/>
        </w:rPr>
        <w:tab/>
      </w:r>
    </w:p>
    <w:p>
      <w:pPr>
        <w:tabs>
          <w:tab w:val="left" w:pos="8460"/>
        </w:tabs>
        <w:snapToGrid w:val="0"/>
        <w:spacing w:line="360" w:lineRule="auto"/>
        <w:ind w:firstLine="480" w:firstLineChars="200"/>
        <w:jc w:val="left"/>
        <w:outlineLvl w:val="0"/>
        <w:rPr>
          <w:rFonts w:ascii="宋体" w:hAnsi="宋体"/>
          <w:sz w:val="24"/>
        </w:rPr>
      </w:pPr>
      <w:r>
        <w:rPr>
          <w:rFonts w:hint="eastAsia" w:ascii="宋体" w:hAnsi="宋体"/>
          <w:sz w:val="24"/>
        </w:rPr>
        <w:t>5.投标供应商没有按照本章节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tabs>
          <w:tab w:val="left" w:pos="8460"/>
        </w:tabs>
        <w:snapToGrid w:val="0"/>
        <w:spacing w:line="360" w:lineRule="auto"/>
        <w:ind w:firstLine="482" w:firstLineChars="200"/>
        <w:jc w:val="left"/>
        <w:outlineLvl w:val="0"/>
        <w:rPr>
          <w:rFonts w:ascii="宋体" w:hAnsi="宋体"/>
          <w:b/>
          <w:sz w:val="24"/>
        </w:rPr>
      </w:pPr>
      <w:r>
        <w:rPr>
          <w:rFonts w:hint="eastAsia" w:ascii="宋体" w:hAnsi="宋体"/>
          <w:b/>
          <w:sz w:val="24"/>
        </w:rPr>
        <w:t>（六）投标文件的签署</w:t>
      </w:r>
    </w:p>
    <w:p>
      <w:pPr>
        <w:tabs>
          <w:tab w:val="left" w:pos="8460"/>
        </w:tabs>
        <w:snapToGrid w:val="0"/>
        <w:spacing w:line="360" w:lineRule="auto"/>
        <w:ind w:firstLine="480" w:firstLineChars="200"/>
        <w:jc w:val="left"/>
        <w:outlineLvl w:val="0"/>
        <w:rPr>
          <w:rFonts w:ascii="宋体" w:hAnsi="宋体"/>
          <w:sz w:val="24"/>
        </w:rPr>
      </w:pPr>
      <w:r>
        <w:rPr>
          <w:rFonts w:hint="eastAsia" w:ascii="宋体" w:hAnsi="宋体"/>
          <w:sz w:val="24"/>
        </w:rPr>
        <w:t>《投标文件》应由投标供应商法定代表人或其授权代表签字（或盖章），并加盖投标供应商公章。</w:t>
      </w:r>
    </w:p>
    <w:p>
      <w:pPr>
        <w:tabs>
          <w:tab w:val="left" w:pos="8460"/>
        </w:tabs>
        <w:snapToGrid w:val="0"/>
        <w:spacing w:line="360" w:lineRule="auto"/>
        <w:ind w:firstLine="482" w:firstLineChars="200"/>
        <w:jc w:val="left"/>
        <w:outlineLvl w:val="0"/>
        <w:rPr>
          <w:rFonts w:ascii="宋体" w:hAnsi="宋体"/>
          <w:b/>
          <w:sz w:val="24"/>
        </w:rPr>
      </w:pPr>
      <w:r>
        <w:rPr>
          <w:rFonts w:hint="eastAsia" w:ascii="宋体" w:hAnsi="宋体"/>
          <w:b/>
          <w:sz w:val="24"/>
        </w:rPr>
        <w:t>（七）投标文件的形式</w:t>
      </w:r>
    </w:p>
    <w:p>
      <w:pPr>
        <w:tabs>
          <w:tab w:val="left" w:pos="8460"/>
        </w:tabs>
        <w:snapToGrid w:val="0"/>
        <w:spacing w:line="360" w:lineRule="auto"/>
        <w:ind w:firstLine="480" w:firstLineChars="200"/>
        <w:jc w:val="left"/>
        <w:outlineLvl w:val="0"/>
        <w:rPr>
          <w:rFonts w:ascii="宋体" w:hAnsi="宋体"/>
          <w:sz w:val="24"/>
        </w:rPr>
      </w:pPr>
      <w:r>
        <w:rPr>
          <w:rFonts w:hint="eastAsia" w:ascii="宋体" w:hAnsi="宋体"/>
          <w:sz w:val="24"/>
        </w:rPr>
        <w:t>1.投标文件的形式：见《前附表》；</w:t>
      </w:r>
    </w:p>
    <w:p>
      <w:pPr>
        <w:tabs>
          <w:tab w:val="left" w:pos="8460"/>
        </w:tabs>
        <w:snapToGrid w:val="0"/>
        <w:spacing w:line="360" w:lineRule="auto"/>
        <w:ind w:firstLine="480" w:firstLineChars="200"/>
        <w:jc w:val="left"/>
        <w:outlineLvl w:val="0"/>
        <w:rPr>
          <w:rFonts w:ascii="宋体" w:hAnsi="宋体"/>
          <w:sz w:val="24"/>
        </w:rPr>
      </w:pPr>
      <w:r>
        <w:rPr>
          <w:rFonts w:hint="eastAsia" w:ascii="宋体" w:hAnsi="宋体"/>
          <w:sz w:val="24"/>
        </w:rPr>
        <w:t>2.“电子加密投标文件”：“电子加密投标文件”是指通过“政采云电子交易客户端”完成投标文件编制后生成并加密的数据电文形式的投标文件。</w:t>
      </w:r>
    </w:p>
    <w:p>
      <w:pPr>
        <w:tabs>
          <w:tab w:val="left" w:pos="8460"/>
        </w:tabs>
        <w:snapToGrid w:val="0"/>
        <w:spacing w:line="360" w:lineRule="auto"/>
        <w:ind w:firstLine="480" w:firstLineChars="200"/>
        <w:jc w:val="left"/>
        <w:outlineLvl w:val="0"/>
        <w:rPr>
          <w:rFonts w:ascii="宋体" w:hAnsi="宋体"/>
          <w:sz w:val="24"/>
        </w:rPr>
      </w:pPr>
      <w:r>
        <w:rPr>
          <w:rFonts w:hint="eastAsia" w:ascii="宋体" w:hAnsi="宋体"/>
          <w:sz w:val="24"/>
        </w:rPr>
        <w:t>3.“备份投标文件”：“备份投标文件”是指与“电子加密投标文件”同时生成的数据电文形式的电子文件（备份标书），其他方式编制的“备份投标文件”视为无效的“备份投标文件”。</w:t>
      </w:r>
    </w:p>
    <w:p>
      <w:pPr>
        <w:snapToGrid w:val="0"/>
        <w:spacing w:line="360" w:lineRule="auto"/>
        <w:ind w:firstLine="482" w:firstLineChars="200"/>
        <w:jc w:val="left"/>
        <w:outlineLvl w:val="0"/>
        <w:rPr>
          <w:rFonts w:ascii="宋体" w:hAnsi="宋体"/>
          <w:b/>
          <w:sz w:val="24"/>
        </w:rPr>
      </w:pPr>
      <w:r>
        <w:rPr>
          <w:rFonts w:hint="eastAsia" w:ascii="宋体" w:hAnsi="宋体"/>
          <w:b/>
          <w:sz w:val="24"/>
        </w:rPr>
        <w:t>（八）投标文件的份数：见《前附表》。</w:t>
      </w:r>
    </w:p>
    <w:p>
      <w:pPr>
        <w:snapToGrid w:val="0"/>
        <w:spacing w:line="360" w:lineRule="auto"/>
        <w:ind w:firstLine="482" w:firstLineChars="200"/>
        <w:jc w:val="left"/>
        <w:outlineLvl w:val="0"/>
        <w:rPr>
          <w:rFonts w:ascii="宋体" w:hAnsi="宋体"/>
          <w:b/>
          <w:sz w:val="24"/>
        </w:rPr>
      </w:pPr>
      <w:r>
        <w:rPr>
          <w:rFonts w:hint="eastAsia" w:ascii="宋体" w:hAnsi="宋体"/>
          <w:b/>
          <w:sz w:val="24"/>
        </w:rPr>
        <w:t>（九）投标文件的上传和递交：见《前附表》。</w:t>
      </w:r>
    </w:p>
    <w:p>
      <w:pPr>
        <w:snapToGrid w:val="0"/>
        <w:spacing w:line="360" w:lineRule="auto"/>
        <w:ind w:firstLine="482" w:firstLineChars="200"/>
        <w:jc w:val="left"/>
        <w:outlineLvl w:val="0"/>
        <w:rPr>
          <w:rFonts w:ascii="宋体" w:hAnsi="宋体"/>
          <w:b/>
          <w:sz w:val="24"/>
        </w:rPr>
      </w:pPr>
      <w:r>
        <w:rPr>
          <w:rFonts w:hint="eastAsia" w:ascii="宋体" w:hAnsi="宋体"/>
          <w:b/>
          <w:sz w:val="24"/>
        </w:rPr>
        <w:t>（十）“电子加密投标文件”解密和异常情况处理：见《前附表》。</w:t>
      </w:r>
    </w:p>
    <w:p>
      <w:pPr>
        <w:snapToGrid w:val="0"/>
        <w:spacing w:line="360" w:lineRule="auto"/>
        <w:ind w:firstLine="482" w:firstLineChars="200"/>
        <w:jc w:val="left"/>
        <w:outlineLvl w:val="0"/>
        <w:rPr>
          <w:rFonts w:ascii="宋体" w:hAnsi="宋体"/>
          <w:b/>
          <w:sz w:val="24"/>
        </w:rPr>
      </w:pPr>
      <w:r>
        <w:rPr>
          <w:rFonts w:hint="eastAsia" w:ascii="宋体" w:hAnsi="宋体"/>
          <w:b/>
          <w:sz w:val="24"/>
        </w:rPr>
        <w:t>（十一）投标文件的补充、修改或撤回</w:t>
      </w:r>
    </w:p>
    <w:p>
      <w:pPr>
        <w:snapToGrid w:val="0"/>
        <w:spacing w:line="360" w:lineRule="auto"/>
        <w:ind w:firstLine="480" w:firstLineChars="200"/>
        <w:jc w:val="left"/>
        <w:outlineLvl w:val="0"/>
        <w:rPr>
          <w:rFonts w:ascii="宋体" w:hAnsi="宋体"/>
          <w:sz w:val="24"/>
        </w:rPr>
      </w:pPr>
      <w:r>
        <w:rPr>
          <w:rFonts w:hint="eastAsia" w:ascii="宋体" w:hAnsi="宋体"/>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napToGrid w:val="0"/>
        <w:spacing w:line="360" w:lineRule="auto"/>
        <w:ind w:firstLine="480" w:firstLineChars="200"/>
        <w:jc w:val="left"/>
        <w:outlineLvl w:val="0"/>
        <w:rPr>
          <w:rFonts w:ascii="宋体" w:hAnsi="宋体"/>
          <w:sz w:val="24"/>
        </w:rPr>
      </w:pPr>
      <w:r>
        <w:rPr>
          <w:rFonts w:hint="eastAsia" w:ascii="宋体" w:hAnsi="宋体"/>
          <w:sz w:val="24"/>
        </w:rPr>
        <w:t>2.投标截止时间后，投标供应商不得撤回、修改投标文件。</w:t>
      </w:r>
    </w:p>
    <w:p>
      <w:pPr>
        <w:snapToGrid w:val="0"/>
        <w:spacing w:line="360" w:lineRule="auto"/>
        <w:ind w:firstLine="482" w:firstLineChars="200"/>
        <w:jc w:val="left"/>
        <w:outlineLvl w:val="0"/>
        <w:rPr>
          <w:rFonts w:ascii="宋体" w:hAnsi="宋体"/>
          <w:b/>
          <w:sz w:val="24"/>
        </w:rPr>
      </w:pPr>
      <w:r>
        <w:rPr>
          <w:rFonts w:hint="eastAsia" w:ascii="宋体" w:hAnsi="宋体"/>
          <w:b/>
          <w:sz w:val="24"/>
        </w:rPr>
        <w:t>（十二）投标文件的备选方案</w:t>
      </w:r>
    </w:p>
    <w:p>
      <w:pPr>
        <w:snapToGrid w:val="0"/>
        <w:spacing w:line="360" w:lineRule="auto"/>
        <w:ind w:firstLine="480" w:firstLineChars="200"/>
        <w:jc w:val="left"/>
        <w:outlineLvl w:val="0"/>
        <w:rPr>
          <w:rFonts w:ascii="宋体" w:hAnsi="宋体"/>
          <w:sz w:val="24"/>
        </w:rPr>
      </w:pPr>
      <w:r>
        <w:rPr>
          <w:rFonts w:hint="eastAsia" w:ascii="宋体" w:hAnsi="宋体"/>
          <w:sz w:val="24"/>
        </w:rPr>
        <w:t>投标供应商不得递交任何的投标备选（替代）方案，否则其投标文件将作无效标处理。与“电子加密投标文件”同时生成的“备份投标文件”不是投标备选（替代）方案。</w:t>
      </w:r>
    </w:p>
    <w:p>
      <w:pPr>
        <w:snapToGrid w:val="0"/>
        <w:spacing w:before="120" w:beforeLines="50" w:line="360" w:lineRule="auto"/>
        <w:ind w:firstLine="472" w:firstLineChars="196"/>
        <w:outlineLvl w:val="2"/>
        <w:rPr>
          <w:rFonts w:ascii="宋体" w:hAnsi="宋体"/>
          <w:b/>
          <w:sz w:val="24"/>
        </w:rPr>
      </w:pPr>
      <w:r>
        <w:rPr>
          <w:rFonts w:hint="eastAsia" w:ascii="宋体" w:hAnsi="宋体"/>
          <w:b/>
          <w:sz w:val="24"/>
        </w:rPr>
        <w:t>（十三）投标无效的情形</w:t>
      </w:r>
    </w:p>
    <w:p>
      <w:pPr>
        <w:snapToGrid w:val="0"/>
        <w:spacing w:line="360" w:lineRule="auto"/>
        <w:ind w:firstLine="480" w:firstLineChars="200"/>
        <w:rPr>
          <w:rFonts w:ascii="宋体" w:hAnsi="宋体"/>
          <w:bCs/>
          <w:sz w:val="24"/>
        </w:rPr>
      </w:pPr>
      <w:r>
        <w:rPr>
          <w:rFonts w:hint="eastAsia" w:ascii="宋体" w:hAnsi="宋体"/>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72" w:firstLineChars="196"/>
        <w:rPr>
          <w:rFonts w:ascii="宋体" w:hAnsi="宋体"/>
          <w:b/>
          <w:bCs/>
          <w:sz w:val="24"/>
        </w:rPr>
      </w:pPr>
      <w:r>
        <w:rPr>
          <w:rFonts w:ascii="宋体" w:hAnsi="宋体"/>
          <w:b/>
          <w:bCs/>
          <w:sz w:val="24"/>
        </w:rPr>
        <w:t>1</w:t>
      </w:r>
      <w:r>
        <w:rPr>
          <w:rFonts w:hint="eastAsia" w:ascii="宋体" w:hAnsi="宋体"/>
          <w:b/>
          <w:bCs/>
          <w:sz w:val="24"/>
        </w:rPr>
        <w:t>.</w:t>
      </w:r>
      <w:r>
        <w:rPr>
          <w:rFonts w:ascii="宋体" w:hAnsi="宋体"/>
          <w:b/>
          <w:bCs/>
          <w:sz w:val="24"/>
        </w:rPr>
        <w:t>在符合性审查和商务评审时，如发现下列情形之一的，投标文件将被视为无效：</w:t>
      </w:r>
    </w:p>
    <w:p>
      <w:pPr>
        <w:snapToGrid w:val="0"/>
        <w:spacing w:line="360" w:lineRule="auto"/>
        <w:ind w:firstLine="470" w:firstLineChars="196"/>
        <w:rPr>
          <w:rFonts w:ascii="宋体" w:hAnsi="宋体"/>
          <w:bCs/>
          <w:sz w:val="24"/>
        </w:rPr>
      </w:pPr>
      <w:r>
        <w:rPr>
          <w:rFonts w:hint="eastAsia" w:ascii="宋体" w:hAnsi="宋体"/>
          <w:bCs/>
          <w:sz w:val="24"/>
        </w:rPr>
        <w:t>（1</w:t>
      </w:r>
      <w:r>
        <w:rPr>
          <w:rFonts w:ascii="宋体" w:hAnsi="宋体"/>
          <w:bCs/>
          <w:sz w:val="24"/>
        </w:rPr>
        <w:t>）</w:t>
      </w:r>
      <w:r>
        <w:rPr>
          <w:rFonts w:hint="eastAsia" w:ascii="宋体" w:hAnsi="宋体"/>
          <w:bCs/>
          <w:sz w:val="24"/>
        </w:rPr>
        <w:t>资质条件不符合招标文件要求的；</w:t>
      </w:r>
    </w:p>
    <w:p>
      <w:pPr>
        <w:snapToGrid w:val="0"/>
        <w:spacing w:line="360" w:lineRule="auto"/>
        <w:ind w:firstLine="470" w:firstLineChars="196"/>
        <w:rPr>
          <w:rFonts w:ascii="宋体" w:hAnsi="宋体"/>
          <w:bCs/>
          <w:sz w:val="24"/>
        </w:rPr>
      </w:pPr>
      <w:r>
        <w:rPr>
          <w:rFonts w:hint="eastAsia" w:ascii="宋体" w:hAnsi="宋体"/>
          <w:bCs/>
          <w:sz w:val="24"/>
        </w:rPr>
        <w:t>（2</w:t>
      </w:r>
      <w:r>
        <w:rPr>
          <w:rFonts w:ascii="宋体" w:hAnsi="宋体"/>
          <w:bCs/>
          <w:sz w:val="24"/>
        </w:rPr>
        <w:t>）投标文件无法定代表人签字,或未</w:t>
      </w:r>
      <w:r>
        <w:rPr>
          <w:rFonts w:hint="eastAsia" w:ascii="宋体" w:hAnsi="宋体"/>
          <w:bCs/>
          <w:sz w:val="24"/>
        </w:rPr>
        <w:t>提供法定代表人授权委托书、投标声明书或者填写项目不齐全的；</w:t>
      </w:r>
    </w:p>
    <w:p>
      <w:pPr>
        <w:snapToGrid w:val="0"/>
        <w:spacing w:line="360" w:lineRule="auto"/>
        <w:ind w:firstLine="470" w:firstLineChars="196"/>
        <w:rPr>
          <w:rFonts w:ascii="宋体" w:hAnsi="宋体"/>
          <w:bCs/>
          <w:sz w:val="24"/>
        </w:rPr>
      </w:pPr>
      <w:r>
        <w:rPr>
          <w:rFonts w:hint="eastAsia" w:ascii="宋体" w:hAnsi="宋体"/>
          <w:bCs/>
          <w:sz w:val="24"/>
        </w:rPr>
        <w:t>（3</w:t>
      </w:r>
      <w:r>
        <w:rPr>
          <w:rFonts w:ascii="宋体" w:hAnsi="宋体"/>
          <w:bCs/>
          <w:sz w:val="24"/>
        </w:rPr>
        <w:t>）</w:t>
      </w:r>
      <w:r>
        <w:rPr>
          <w:rFonts w:hint="eastAsia" w:ascii="宋体" w:hAnsi="宋体"/>
          <w:bCs/>
          <w:sz w:val="24"/>
        </w:rPr>
        <w:t>投标代表人未能出具身份证明或与法定代表人授权委托人身份不符的；</w:t>
      </w:r>
    </w:p>
    <w:p>
      <w:pPr>
        <w:pStyle w:val="14"/>
        <w:snapToGrid w:val="0"/>
        <w:spacing w:line="360" w:lineRule="auto"/>
        <w:ind w:firstLine="470" w:firstLineChars="196"/>
        <w:rPr>
          <w:rFonts w:hAnsi="宋体"/>
          <w:bCs/>
          <w:spacing w:val="0"/>
          <w:sz w:val="24"/>
          <w:szCs w:val="24"/>
        </w:rPr>
      </w:pPr>
      <w:r>
        <w:rPr>
          <w:rFonts w:hAnsi="宋体"/>
          <w:bCs/>
          <w:spacing w:val="0"/>
          <w:sz w:val="24"/>
          <w:szCs w:val="24"/>
        </w:rPr>
        <w:t>（</w:t>
      </w:r>
      <w:r>
        <w:rPr>
          <w:rFonts w:hint="eastAsia" w:hAnsi="宋体"/>
          <w:bCs/>
          <w:spacing w:val="0"/>
          <w:sz w:val="24"/>
          <w:szCs w:val="24"/>
        </w:rPr>
        <w:t>4</w:t>
      </w:r>
      <w:r>
        <w:rPr>
          <w:rFonts w:hAnsi="宋体"/>
          <w:bCs/>
          <w:spacing w:val="0"/>
          <w:sz w:val="24"/>
          <w:szCs w:val="24"/>
        </w:rPr>
        <w:t>）投标文件格式不规范、项目不齐全或者内容虚假的；</w:t>
      </w:r>
    </w:p>
    <w:p>
      <w:pPr>
        <w:pStyle w:val="14"/>
        <w:snapToGrid w:val="0"/>
        <w:spacing w:line="360" w:lineRule="auto"/>
        <w:ind w:firstLine="470" w:firstLineChars="196"/>
        <w:rPr>
          <w:rFonts w:hAnsi="宋体"/>
          <w:bCs/>
          <w:spacing w:val="0"/>
          <w:sz w:val="24"/>
          <w:szCs w:val="24"/>
        </w:rPr>
      </w:pPr>
      <w:r>
        <w:rPr>
          <w:rFonts w:hAnsi="宋体"/>
          <w:bCs/>
          <w:spacing w:val="0"/>
          <w:sz w:val="24"/>
          <w:szCs w:val="24"/>
        </w:rPr>
        <w:t>（</w:t>
      </w:r>
      <w:r>
        <w:rPr>
          <w:rFonts w:hint="eastAsia" w:hAnsi="宋体"/>
          <w:bCs/>
          <w:spacing w:val="0"/>
          <w:sz w:val="24"/>
          <w:szCs w:val="24"/>
        </w:rPr>
        <w:t>5</w:t>
      </w:r>
      <w:r>
        <w:rPr>
          <w:rFonts w:hAnsi="宋体"/>
          <w:bCs/>
          <w:spacing w:val="0"/>
          <w:sz w:val="24"/>
          <w:szCs w:val="24"/>
        </w:rPr>
        <w:t>）投标文件的实质性内容未使用中文表述、意思表述不明确、前后矛盾或者使用计量单位不符合招标文件要求的（经评标委员会认定</w:t>
      </w:r>
      <w:r>
        <w:rPr>
          <w:rFonts w:hint="eastAsia" w:hAnsi="宋体"/>
          <w:bCs/>
          <w:spacing w:val="0"/>
          <w:sz w:val="24"/>
          <w:szCs w:val="24"/>
        </w:rPr>
        <w:t>并</w:t>
      </w:r>
      <w:r>
        <w:rPr>
          <w:rFonts w:hAnsi="宋体"/>
          <w:bCs/>
          <w:spacing w:val="0"/>
          <w:sz w:val="24"/>
          <w:szCs w:val="24"/>
        </w:rPr>
        <w:t>允许其当场更正的笔误除外）</w:t>
      </w:r>
      <w:r>
        <w:rPr>
          <w:rFonts w:hint="eastAsia" w:hAnsi="宋体"/>
          <w:bCs/>
          <w:spacing w:val="0"/>
          <w:sz w:val="24"/>
          <w:szCs w:val="24"/>
        </w:rPr>
        <w:t>；</w:t>
      </w:r>
    </w:p>
    <w:p>
      <w:pPr>
        <w:pStyle w:val="14"/>
        <w:snapToGrid w:val="0"/>
        <w:spacing w:line="360" w:lineRule="auto"/>
        <w:ind w:firstLine="470" w:firstLineChars="196"/>
        <w:rPr>
          <w:rFonts w:hAnsi="宋体"/>
          <w:bCs/>
          <w:spacing w:val="0"/>
          <w:sz w:val="24"/>
          <w:szCs w:val="24"/>
        </w:rPr>
      </w:pPr>
      <w:r>
        <w:rPr>
          <w:rFonts w:hAnsi="宋体"/>
          <w:bCs/>
          <w:spacing w:val="0"/>
          <w:sz w:val="24"/>
          <w:szCs w:val="24"/>
        </w:rPr>
        <w:t>（</w:t>
      </w:r>
      <w:r>
        <w:rPr>
          <w:rFonts w:hint="eastAsia" w:hAnsi="宋体"/>
          <w:bCs/>
          <w:spacing w:val="0"/>
          <w:sz w:val="24"/>
          <w:szCs w:val="24"/>
        </w:rPr>
        <w:t>6</w:t>
      </w:r>
      <w:r>
        <w:rPr>
          <w:rFonts w:hAnsi="宋体"/>
          <w:bCs/>
          <w:spacing w:val="0"/>
          <w:sz w:val="24"/>
          <w:szCs w:val="24"/>
        </w:rPr>
        <w:t>）投标有效期、</w:t>
      </w:r>
      <w:r>
        <w:rPr>
          <w:rFonts w:hint="eastAsia" w:hAnsi="宋体"/>
          <w:bCs/>
          <w:spacing w:val="0"/>
          <w:sz w:val="24"/>
          <w:szCs w:val="24"/>
        </w:rPr>
        <w:t>交货期</w:t>
      </w:r>
      <w:r>
        <w:rPr>
          <w:rFonts w:hAnsi="宋体"/>
          <w:bCs/>
          <w:spacing w:val="0"/>
          <w:sz w:val="24"/>
          <w:szCs w:val="24"/>
        </w:rPr>
        <w:t>、质保期等商务条款不能满足招标文件要求的；</w:t>
      </w:r>
    </w:p>
    <w:p>
      <w:pPr>
        <w:pStyle w:val="14"/>
        <w:snapToGrid w:val="0"/>
        <w:spacing w:line="360" w:lineRule="auto"/>
        <w:ind w:firstLine="457" w:firstLineChars="196"/>
        <w:rPr>
          <w:rFonts w:hAnsi="宋体"/>
          <w:b/>
          <w:bCs/>
          <w:sz w:val="24"/>
          <w:szCs w:val="24"/>
        </w:rPr>
      </w:pPr>
      <w:r>
        <w:rPr>
          <w:rFonts w:hAnsi="宋体"/>
          <w:b/>
          <w:bCs/>
          <w:sz w:val="24"/>
          <w:szCs w:val="24"/>
        </w:rPr>
        <w:t>2</w:t>
      </w:r>
      <w:r>
        <w:rPr>
          <w:rFonts w:hint="eastAsia" w:hAnsi="宋体"/>
          <w:b/>
          <w:bCs/>
          <w:sz w:val="24"/>
          <w:szCs w:val="24"/>
        </w:rPr>
        <w:t>.</w:t>
      </w:r>
      <w:r>
        <w:rPr>
          <w:rFonts w:hAnsi="宋体"/>
          <w:b/>
          <w:bCs/>
          <w:sz w:val="24"/>
          <w:szCs w:val="24"/>
        </w:rPr>
        <w:t>在技术评审时，如发现下列情形之一的，投标文件将被视为无效：</w:t>
      </w:r>
    </w:p>
    <w:p>
      <w:pPr>
        <w:pStyle w:val="14"/>
        <w:snapToGrid w:val="0"/>
        <w:spacing w:line="360" w:lineRule="auto"/>
        <w:ind w:firstLine="457" w:firstLineChars="196"/>
        <w:rPr>
          <w:rFonts w:hAnsi="宋体"/>
          <w:sz w:val="24"/>
          <w:szCs w:val="24"/>
        </w:rPr>
      </w:pPr>
      <w:r>
        <w:rPr>
          <w:rFonts w:hAnsi="宋体"/>
          <w:b/>
          <w:sz w:val="24"/>
          <w:szCs w:val="24"/>
        </w:rPr>
        <w:t>（</w:t>
      </w:r>
      <w:r>
        <w:rPr>
          <w:rFonts w:hAnsi="宋体"/>
          <w:sz w:val="24"/>
          <w:szCs w:val="24"/>
        </w:rPr>
        <w:t>1）未提供或未如实提供投标货物的技术参数，或者投标文件标明的响应或偏离与事实不符或虚假投标的；</w:t>
      </w:r>
    </w:p>
    <w:p>
      <w:pPr>
        <w:pStyle w:val="14"/>
        <w:snapToGrid w:val="0"/>
        <w:spacing w:line="360" w:lineRule="auto"/>
        <w:ind w:firstLine="470" w:firstLineChars="196"/>
        <w:rPr>
          <w:rFonts w:hAnsi="Times New Roman"/>
          <w:spacing w:val="0"/>
          <w:sz w:val="24"/>
          <w:szCs w:val="24"/>
        </w:rPr>
      </w:pPr>
      <w:r>
        <w:rPr>
          <w:rFonts w:hAnsi="Times New Roman"/>
          <w:spacing w:val="0"/>
          <w:sz w:val="24"/>
          <w:szCs w:val="24"/>
        </w:rPr>
        <w:t>（2）明显不符合招标文件</w:t>
      </w:r>
      <w:r>
        <w:rPr>
          <w:rFonts w:hint="eastAsia" w:hAnsi="Times New Roman"/>
          <w:spacing w:val="0"/>
          <w:sz w:val="24"/>
          <w:szCs w:val="24"/>
        </w:rPr>
        <w:t>要求</w:t>
      </w:r>
      <w:r>
        <w:rPr>
          <w:rFonts w:hAnsi="Times New Roman"/>
          <w:spacing w:val="0"/>
          <w:sz w:val="24"/>
          <w:szCs w:val="24"/>
        </w:rPr>
        <w:t>的规格型号、质量标准，或者</w:t>
      </w:r>
      <w:r>
        <w:rPr>
          <w:rFonts w:hint="eastAsia" w:hAnsi="Times New Roman"/>
          <w:spacing w:val="0"/>
          <w:sz w:val="24"/>
          <w:szCs w:val="24"/>
        </w:rPr>
        <w:t>与</w:t>
      </w:r>
      <w:r>
        <w:rPr>
          <w:rFonts w:hAnsi="Times New Roman"/>
          <w:spacing w:val="0"/>
          <w:sz w:val="24"/>
          <w:szCs w:val="24"/>
        </w:rPr>
        <w:t>招标文件中标“▲”的技术指标、主要功能项目发生实质性偏离的；</w:t>
      </w:r>
    </w:p>
    <w:p>
      <w:pPr>
        <w:pStyle w:val="14"/>
        <w:snapToGrid w:val="0"/>
        <w:spacing w:line="360" w:lineRule="auto"/>
        <w:ind w:firstLine="470" w:firstLineChars="196"/>
        <w:rPr>
          <w:rFonts w:hAnsi="Times New Roman"/>
          <w:spacing w:val="0"/>
          <w:sz w:val="24"/>
          <w:szCs w:val="24"/>
        </w:rPr>
      </w:pPr>
      <w:r>
        <w:rPr>
          <w:rFonts w:hAnsi="Times New Roman"/>
          <w:spacing w:val="0"/>
          <w:sz w:val="24"/>
          <w:szCs w:val="24"/>
        </w:rPr>
        <w:t>（3）投标技术方案不明确，存在一个或一个以上备选（替代）投标方案的；</w:t>
      </w:r>
    </w:p>
    <w:p>
      <w:pPr>
        <w:pStyle w:val="14"/>
        <w:snapToGrid w:val="0"/>
        <w:spacing w:line="360" w:lineRule="auto"/>
        <w:ind w:firstLine="470" w:firstLineChars="196"/>
        <w:rPr>
          <w:rFonts w:hAnsi="Times New Roman"/>
          <w:spacing w:val="0"/>
          <w:sz w:val="24"/>
          <w:szCs w:val="24"/>
        </w:rPr>
      </w:pPr>
      <w:r>
        <w:rPr>
          <w:rFonts w:hAnsi="Times New Roman"/>
          <w:spacing w:val="0"/>
          <w:sz w:val="24"/>
          <w:szCs w:val="24"/>
        </w:rPr>
        <w:t>（4）</w:t>
      </w:r>
      <w:r>
        <w:rPr>
          <w:rFonts w:hint="eastAsia" w:hAnsi="Times New Roman"/>
          <w:spacing w:val="0"/>
          <w:sz w:val="24"/>
          <w:szCs w:val="24"/>
        </w:rPr>
        <w:t>与其他参加本次投标供应商的投标文件（技术文件）的文字表述内容相同连续20行以上或者差错相同2处以上的；</w:t>
      </w:r>
    </w:p>
    <w:p>
      <w:pPr>
        <w:pStyle w:val="14"/>
        <w:snapToGrid w:val="0"/>
        <w:spacing w:line="360" w:lineRule="auto"/>
        <w:ind w:firstLine="457" w:firstLineChars="196"/>
        <w:rPr>
          <w:rFonts w:hAnsi="宋体"/>
          <w:b/>
          <w:bCs/>
          <w:sz w:val="24"/>
          <w:szCs w:val="24"/>
        </w:rPr>
      </w:pPr>
      <w:r>
        <w:rPr>
          <w:rFonts w:hAnsi="宋体"/>
          <w:b/>
          <w:bCs/>
          <w:sz w:val="24"/>
          <w:szCs w:val="24"/>
        </w:rPr>
        <w:t>3</w:t>
      </w:r>
      <w:r>
        <w:rPr>
          <w:rFonts w:hint="eastAsia" w:hAnsi="宋体"/>
          <w:b/>
          <w:bCs/>
          <w:sz w:val="24"/>
          <w:szCs w:val="24"/>
        </w:rPr>
        <w:t>.</w:t>
      </w:r>
      <w:r>
        <w:rPr>
          <w:rFonts w:hAnsi="宋体"/>
          <w:b/>
          <w:bCs/>
          <w:sz w:val="24"/>
          <w:szCs w:val="24"/>
        </w:rPr>
        <w:t>在报价评审时，如发现下列情形之一的，投标文件将被视为无效：</w:t>
      </w:r>
    </w:p>
    <w:p>
      <w:pPr>
        <w:pStyle w:val="14"/>
        <w:snapToGrid w:val="0"/>
        <w:spacing w:line="360" w:lineRule="auto"/>
        <w:ind w:firstLine="457" w:firstLineChars="196"/>
        <w:rPr>
          <w:rFonts w:hAnsi="宋体"/>
          <w:sz w:val="24"/>
          <w:szCs w:val="24"/>
        </w:rPr>
      </w:pPr>
      <w:r>
        <w:rPr>
          <w:rFonts w:hAnsi="宋体"/>
          <w:b/>
          <w:sz w:val="24"/>
          <w:szCs w:val="24"/>
        </w:rPr>
        <w:t>（</w:t>
      </w:r>
      <w:r>
        <w:rPr>
          <w:rFonts w:hAnsi="宋体"/>
          <w:sz w:val="24"/>
          <w:szCs w:val="24"/>
        </w:rPr>
        <w:t>1）未采用人民币报价或者未按照招标文件标明的币种报价的；</w:t>
      </w:r>
    </w:p>
    <w:p>
      <w:pPr>
        <w:pStyle w:val="14"/>
        <w:snapToGrid w:val="0"/>
        <w:spacing w:line="360" w:lineRule="auto"/>
        <w:ind w:firstLine="457" w:firstLineChars="196"/>
        <w:rPr>
          <w:rFonts w:hAnsi="宋体"/>
          <w:sz w:val="24"/>
          <w:szCs w:val="24"/>
        </w:rPr>
      </w:pPr>
      <w:r>
        <w:rPr>
          <w:rFonts w:hAnsi="宋体"/>
          <w:b/>
          <w:sz w:val="24"/>
          <w:szCs w:val="24"/>
        </w:rPr>
        <w:t>（</w:t>
      </w:r>
      <w:r>
        <w:rPr>
          <w:rFonts w:hAnsi="宋体"/>
          <w:sz w:val="24"/>
          <w:szCs w:val="24"/>
        </w:rPr>
        <w:t>2）报价超出最高限价的</w:t>
      </w:r>
      <w:r>
        <w:rPr>
          <w:rFonts w:hint="eastAsia" w:hAnsi="宋体"/>
          <w:sz w:val="24"/>
          <w:szCs w:val="24"/>
        </w:rPr>
        <w:t>；</w:t>
      </w:r>
    </w:p>
    <w:p>
      <w:pPr>
        <w:pStyle w:val="14"/>
        <w:snapToGrid w:val="0"/>
        <w:spacing w:line="360" w:lineRule="auto"/>
        <w:ind w:firstLine="464" w:firstLineChars="200"/>
        <w:rPr>
          <w:rFonts w:hAnsi="宋体"/>
          <w:sz w:val="24"/>
          <w:szCs w:val="24"/>
        </w:rPr>
      </w:pPr>
      <w:r>
        <w:rPr>
          <w:rFonts w:hint="eastAsia" w:hAnsi="宋体"/>
          <w:sz w:val="24"/>
          <w:szCs w:val="24"/>
        </w:rPr>
        <w:t>（3） 投标报价具有选择性，或者开标价格与投标文件承诺的优惠（折扣）价格不一致的；</w:t>
      </w:r>
    </w:p>
    <w:p>
      <w:pPr>
        <w:pStyle w:val="14"/>
        <w:snapToGrid w:val="0"/>
        <w:spacing w:line="360" w:lineRule="auto"/>
        <w:ind w:firstLine="457" w:firstLineChars="196"/>
        <w:rPr>
          <w:rFonts w:hAnsi="宋体"/>
          <w:b/>
          <w:sz w:val="24"/>
          <w:szCs w:val="24"/>
        </w:rPr>
      </w:pPr>
      <w:r>
        <w:rPr>
          <w:rFonts w:hAnsi="宋体"/>
          <w:b/>
          <w:sz w:val="24"/>
          <w:szCs w:val="24"/>
        </w:rPr>
        <w:t>4</w:t>
      </w:r>
      <w:r>
        <w:rPr>
          <w:rFonts w:hint="eastAsia" w:hAnsi="宋体"/>
          <w:b/>
          <w:sz w:val="24"/>
          <w:szCs w:val="24"/>
        </w:rPr>
        <w:t>.</w:t>
      </w:r>
      <w:r>
        <w:rPr>
          <w:rFonts w:hAnsi="宋体"/>
          <w:b/>
          <w:sz w:val="24"/>
          <w:szCs w:val="24"/>
        </w:rPr>
        <w:t>被拒绝的投标文件为无效。</w:t>
      </w:r>
    </w:p>
    <w:p>
      <w:pPr>
        <w:pStyle w:val="14"/>
        <w:snapToGrid w:val="0"/>
        <w:spacing w:line="360" w:lineRule="auto"/>
        <w:ind w:firstLine="457" w:firstLineChars="196"/>
        <w:rPr>
          <w:rFonts w:hAnsi="宋体"/>
          <w:b/>
          <w:sz w:val="24"/>
          <w:szCs w:val="24"/>
        </w:rPr>
      </w:pPr>
      <w:r>
        <w:rPr>
          <w:rFonts w:hint="eastAsia" w:hAnsi="宋体"/>
          <w:b/>
          <w:sz w:val="24"/>
          <w:szCs w:val="24"/>
        </w:rPr>
        <w:t>5.仅提供备份投标文件的无效。</w:t>
      </w:r>
    </w:p>
    <w:p>
      <w:pPr>
        <w:pStyle w:val="14"/>
        <w:snapToGrid w:val="0"/>
        <w:spacing w:line="360" w:lineRule="auto"/>
        <w:ind w:firstLine="457" w:firstLineChars="196"/>
        <w:outlineLvl w:val="1"/>
        <w:rPr>
          <w:rFonts w:hAnsi="宋体"/>
          <w:b/>
          <w:snapToGrid w:val="0"/>
          <w:sz w:val="24"/>
          <w:szCs w:val="24"/>
        </w:rPr>
      </w:pPr>
      <w:r>
        <w:rPr>
          <w:rFonts w:hint="eastAsia" w:hAnsi="宋体"/>
          <w:b/>
          <w:sz w:val="24"/>
          <w:szCs w:val="24"/>
        </w:rPr>
        <w:t>四、开标</w:t>
      </w:r>
    </w:p>
    <w:p>
      <w:pPr>
        <w:pStyle w:val="14"/>
        <w:snapToGrid w:val="0"/>
        <w:spacing w:line="360" w:lineRule="auto"/>
        <w:ind w:firstLine="457" w:firstLineChars="196"/>
        <w:rPr>
          <w:rFonts w:hAnsi="宋体"/>
          <w:b/>
          <w:sz w:val="24"/>
          <w:szCs w:val="24"/>
        </w:rPr>
      </w:pPr>
      <w:r>
        <w:rPr>
          <w:rFonts w:hAnsi="宋体"/>
          <w:b/>
          <w:sz w:val="24"/>
          <w:szCs w:val="24"/>
        </w:rPr>
        <w:t>（一）开标准备</w:t>
      </w:r>
    </w:p>
    <w:p>
      <w:pPr>
        <w:pStyle w:val="14"/>
        <w:snapToGrid w:val="0"/>
        <w:spacing w:line="360" w:lineRule="auto"/>
        <w:ind w:firstLine="454" w:firstLineChars="196"/>
        <w:rPr>
          <w:rFonts w:hAnsi="宋体"/>
          <w:sz w:val="24"/>
          <w:szCs w:val="24"/>
        </w:rPr>
      </w:pPr>
      <w:r>
        <w:rPr>
          <w:rFonts w:hint="eastAsia" w:hAnsi="宋体"/>
          <w:sz w:val="24"/>
          <w:szCs w:val="24"/>
        </w:rPr>
        <w:t>1.组织机构将按照招标文件规定的时间通过“政府采购云平台”组织开标、开启投标文件，所有供应商均应当准时在线参加。</w:t>
      </w:r>
    </w:p>
    <w:p>
      <w:pPr>
        <w:pStyle w:val="14"/>
        <w:snapToGrid w:val="0"/>
        <w:spacing w:line="360" w:lineRule="auto"/>
        <w:ind w:firstLine="454" w:firstLineChars="196"/>
        <w:rPr>
          <w:rFonts w:hAnsi="宋体"/>
          <w:sz w:val="24"/>
          <w:szCs w:val="24"/>
        </w:rPr>
      </w:pPr>
      <w:r>
        <w:rPr>
          <w:rFonts w:hint="eastAsia" w:hAnsi="宋体"/>
          <w:sz w:val="24"/>
          <w:szCs w:val="24"/>
        </w:rPr>
        <w:t>2. 按照“不见面、少接触”的原则，本项目原则上采取“不见面”形式进行开评标活动,法定代表人或其授权代表无须到场，在线响应即可（通过指定的电子邮箱、传真等）。</w:t>
      </w:r>
    </w:p>
    <w:p>
      <w:pPr>
        <w:pStyle w:val="14"/>
        <w:snapToGrid w:val="0"/>
        <w:spacing w:line="360" w:lineRule="auto"/>
        <w:ind w:firstLine="457" w:firstLineChars="196"/>
        <w:rPr>
          <w:rFonts w:hAnsi="宋体"/>
          <w:b/>
          <w:sz w:val="24"/>
          <w:szCs w:val="24"/>
        </w:rPr>
      </w:pPr>
      <w:r>
        <w:rPr>
          <w:rFonts w:hAnsi="宋体"/>
          <w:b/>
          <w:sz w:val="24"/>
          <w:szCs w:val="24"/>
        </w:rPr>
        <w:t>（二） 开标程序：</w:t>
      </w:r>
    </w:p>
    <w:p>
      <w:pPr>
        <w:pStyle w:val="14"/>
        <w:snapToGrid w:val="0"/>
        <w:spacing w:line="360" w:lineRule="auto"/>
        <w:ind w:firstLine="454" w:firstLineChars="196"/>
        <w:rPr>
          <w:rFonts w:hAnsi="宋体"/>
          <w:sz w:val="24"/>
          <w:szCs w:val="24"/>
        </w:rPr>
      </w:pPr>
      <w:r>
        <w:rPr>
          <w:rFonts w:hint="eastAsia" w:hAnsi="宋体"/>
          <w:sz w:val="24"/>
          <w:szCs w:val="24"/>
        </w:rPr>
        <w:t>1.开标的准备工作由采购组织机构负责落实；</w:t>
      </w:r>
    </w:p>
    <w:p>
      <w:pPr>
        <w:pStyle w:val="14"/>
        <w:snapToGrid w:val="0"/>
        <w:spacing w:line="360" w:lineRule="auto"/>
        <w:ind w:firstLine="454" w:firstLineChars="196"/>
        <w:rPr>
          <w:rFonts w:hAnsi="宋体"/>
          <w:sz w:val="24"/>
          <w:szCs w:val="24"/>
        </w:rPr>
      </w:pPr>
      <w:r>
        <w:rPr>
          <w:rFonts w:hint="eastAsia" w:hAnsi="宋体"/>
          <w:sz w:val="24"/>
          <w:szCs w:val="24"/>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14"/>
        <w:snapToGrid w:val="0"/>
        <w:spacing w:line="360" w:lineRule="auto"/>
        <w:ind w:firstLine="457" w:firstLineChars="196"/>
        <w:rPr>
          <w:rFonts w:hAnsi="宋体"/>
          <w:b/>
          <w:sz w:val="24"/>
          <w:szCs w:val="24"/>
        </w:rPr>
      </w:pPr>
      <w:r>
        <w:rPr>
          <w:rFonts w:hint="eastAsia" w:hAnsi="宋体"/>
          <w:b/>
          <w:sz w:val="24"/>
          <w:szCs w:val="24"/>
        </w:rPr>
        <w:t>（三）开标流程</w:t>
      </w:r>
    </w:p>
    <w:p>
      <w:pPr>
        <w:pStyle w:val="14"/>
        <w:snapToGrid w:val="0"/>
        <w:spacing w:line="360" w:lineRule="auto"/>
        <w:ind w:firstLine="454" w:firstLineChars="196"/>
        <w:rPr>
          <w:rFonts w:hAnsi="宋体"/>
          <w:sz w:val="24"/>
          <w:szCs w:val="24"/>
        </w:rPr>
      </w:pPr>
      <w:r>
        <w:rPr>
          <w:rFonts w:hint="eastAsia" w:hAnsi="宋体"/>
          <w:sz w:val="24"/>
          <w:szCs w:val="24"/>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14"/>
        <w:snapToGrid w:val="0"/>
        <w:spacing w:line="360" w:lineRule="auto"/>
        <w:ind w:firstLine="454" w:firstLineChars="196"/>
        <w:rPr>
          <w:rFonts w:hAnsi="宋体"/>
          <w:sz w:val="24"/>
          <w:szCs w:val="24"/>
        </w:rPr>
      </w:pPr>
      <w:r>
        <w:rPr>
          <w:rFonts w:hint="eastAsia" w:hAnsi="宋体"/>
          <w:sz w:val="24"/>
          <w:szCs w:val="24"/>
        </w:rPr>
        <w:t>2.投标文件解密结束；</w:t>
      </w:r>
    </w:p>
    <w:p>
      <w:pPr>
        <w:pStyle w:val="14"/>
        <w:snapToGrid w:val="0"/>
        <w:spacing w:line="360" w:lineRule="auto"/>
        <w:ind w:firstLine="454" w:firstLineChars="196"/>
        <w:rPr>
          <w:rFonts w:hAnsi="宋体"/>
          <w:sz w:val="24"/>
          <w:szCs w:val="24"/>
        </w:rPr>
      </w:pPr>
      <w:r>
        <w:rPr>
          <w:rFonts w:hint="eastAsia" w:hAnsi="宋体"/>
          <w:sz w:val="24"/>
          <w:szCs w:val="24"/>
        </w:rPr>
        <w:t>3.开启投标文件，进入资格审查；</w:t>
      </w:r>
    </w:p>
    <w:p>
      <w:pPr>
        <w:pStyle w:val="14"/>
        <w:snapToGrid w:val="0"/>
        <w:spacing w:line="360" w:lineRule="auto"/>
        <w:ind w:firstLine="454" w:firstLineChars="196"/>
        <w:rPr>
          <w:rFonts w:hAnsi="宋体"/>
          <w:sz w:val="24"/>
          <w:szCs w:val="24"/>
        </w:rPr>
      </w:pPr>
      <w:r>
        <w:rPr>
          <w:rFonts w:hint="eastAsia" w:hAnsi="宋体"/>
          <w:sz w:val="24"/>
          <w:szCs w:val="24"/>
        </w:rPr>
        <w:t>4.开启资格审查通过的投标供应商的商务技术文件进入符合性审查、商务技术评审；</w:t>
      </w:r>
    </w:p>
    <w:p>
      <w:pPr>
        <w:pStyle w:val="14"/>
        <w:snapToGrid w:val="0"/>
        <w:spacing w:line="360" w:lineRule="auto"/>
        <w:ind w:firstLine="454" w:firstLineChars="196"/>
        <w:rPr>
          <w:rFonts w:hAnsi="宋体"/>
          <w:sz w:val="24"/>
          <w:szCs w:val="24"/>
        </w:rPr>
      </w:pPr>
      <w:r>
        <w:rPr>
          <w:rFonts w:hint="eastAsia" w:hAnsi="宋体"/>
          <w:sz w:val="24"/>
          <w:szCs w:val="24"/>
        </w:rPr>
        <w:t>1）符合性审查、商务技术评审结束后，公布符合性审查、商务技术评审无效供应商名称及理由；公布经商务技术评审后有效投标供应商的名单，同时公布其商务技术部分得分情况。</w:t>
      </w:r>
    </w:p>
    <w:p>
      <w:pPr>
        <w:pStyle w:val="14"/>
        <w:snapToGrid w:val="0"/>
        <w:spacing w:line="360" w:lineRule="auto"/>
        <w:ind w:firstLine="454" w:firstLineChars="196"/>
        <w:rPr>
          <w:rFonts w:hAnsi="宋体"/>
          <w:sz w:val="24"/>
          <w:szCs w:val="24"/>
        </w:rPr>
      </w:pPr>
      <w:r>
        <w:rPr>
          <w:rFonts w:hint="eastAsia" w:hAnsi="宋体"/>
          <w:sz w:val="24"/>
          <w:szCs w:val="24"/>
        </w:rPr>
        <w:t>2）开启符合性审查、商务技术评审有效投标供应商的《报价文件》，公布开标一览表有关内容，同时当场制作开标记录表，唱标结束后，由评标委员会对报价的合理性、准确性等进行审查核实。</w:t>
      </w:r>
    </w:p>
    <w:p>
      <w:pPr>
        <w:pStyle w:val="14"/>
        <w:snapToGrid w:val="0"/>
        <w:spacing w:line="360" w:lineRule="auto"/>
        <w:ind w:firstLine="454" w:firstLineChars="196"/>
        <w:rPr>
          <w:rFonts w:hAnsi="宋体"/>
          <w:sz w:val="24"/>
          <w:szCs w:val="24"/>
        </w:rPr>
      </w:pPr>
      <w:r>
        <w:rPr>
          <w:rFonts w:hint="eastAsia" w:hAnsi="宋体"/>
          <w:sz w:val="24"/>
          <w:szCs w:val="24"/>
        </w:rPr>
        <w:t>3）公布报价部分得分情况；</w:t>
      </w:r>
    </w:p>
    <w:p>
      <w:pPr>
        <w:pStyle w:val="14"/>
        <w:snapToGrid w:val="0"/>
        <w:spacing w:line="360" w:lineRule="auto"/>
        <w:ind w:firstLine="454" w:firstLineChars="196"/>
        <w:rPr>
          <w:rFonts w:hAnsi="宋体"/>
          <w:sz w:val="24"/>
          <w:szCs w:val="24"/>
        </w:rPr>
      </w:pPr>
      <w:r>
        <w:rPr>
          <w:rFonts w:hint="eastAsia" w:hAnsi="宋体"/>
          <w:sz w:val="24"/>
          <w:szCs w:val="24"/>
        </w:rPr>
        <w:t>4）评审结束后，公布中标（成交）候选供应商名单等。</w:t>
      </w:r>
    </w:p>
    <w:p>
      <w:pPr>
        <w:pStyle w:val="14"/>
        <w:snapToGrid w:val="0"/>
        <w:spacing w:line="360" w:lineRule="auto"/>
        <w:ind w:firstLine="454" w:firstLineChars="196"/>
        <w:rPr>
          <w:rFonts w:hAnsi="宋体"/>
          <w:sz w:val="24"/>
          <w:szCs w:val="24"/>
        </w:rPr>
      </w:pPr>
      <w:r>
        <w:rPr>
          <w:rFonts w:hint="eastAsia" w:hAnsi="宋体"/>
          <w:sz w:val="24"/>
          <w:szCs w:val="24"/>
        </w:rPr>
        <w:t>5）开标结束。</w:t>
      </w:r>
    </w:p>
    <w:p>
      <w:pPr>
        <w:pStyle w:val="14"/>
        <w:snapToGrid w:val="0"/>
        <w:spacing w:line="360" w:lineRule="auto"/>
        <w:ind w:firstLine="454" w:firstLineChars="196"/>
        <w:rPr>
          <w:rFonts w:hAnsi="宋体"/>
          <w:sz w:val="24"/>
          <w:szCs w:val="24"/>
        </w:rPr>
      </w:pPr>
      <w:r>
        <w:rPr>
          <w:rFonts w:hint="eastAsia" w:hAnsi="宋体"/>
          <w:sz w:val="24"/>
          <w:szCs w:val="24"/>
        </w:rPr>
        <w:t>特别说明：如遇“政府采购云平台”电子化开标或评审程序调整的，按调整后程序执行。</w:t>
      </w:r>
      <w:bookmarkStart w:id="0" w:name="_Toc33194393"/>
      <w:bookmarkStart w:id="1" w:name="_Toc24550037"/>
    </w:p>
    <w:p>
      <w:pPr>
        <w:pStyle w:val="14"/>
        <w:snapToGrid w:val="0"/>
        <w:spacing w:line="360" w:lineRule="auto"/>
        <w:ind w:firstLine="457" w:firstLineChars="196"/>
        <w:rPr>
          <w:rFonts w:hAnsi="宋体"/>
          <w:b/>
          <w:sz w:val="24"/>
          <w:szCs w:val="24"/>
        </w:rPr>
      </w:pPr>
      <w:r>
        <w:rPr>
          <w:rFonts w:hint="eastAsia" w:hAnsi="宋体"/>
          <w:b/>
          <w:sz w:val="24"/>
          <w:szCs w:val="24"/>
        </w:rPr>
        <w:t>（四）投标供应商资格审查</w:t>
      </w:r>
      <w:bookmarkEnd w:id="0"/>
      <w:bookmarkEnd w:id="1"/>
    </w:p>
    <w:p>
      <w:pPr>
        <w:pStyle w:val="14"/>
        <w:snapToGrid w:val="0"/>
        <w:spacing w:line="360" w:lineRule="auto"/>
        <w:ind w:firstLine="454" w:firstLineChars="196"/>
        <w:rPr>
          <w:rFonts w:hAnsi="宋体"/>
          <w:sz w:val="24"/>
          <w:szCs w:val="24"/>
        </w:rPr>
      </w:pPr>
      <w:r>
        <w:rPr>
          <w:rFonts w:hint="eastAsia" w:hAnsi="宋体"/>
          <w:sz w:val="24"/>
          <w:szCs w:val="24"/>
        </w:rPr>
        <w:t>1.开标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18"/>
        <w:snapToGrid w:val="0"/>
        <w:spacing w:beforeLines="0" w:afterLines="0" w:line="360" w:lineRule="auto"/>
        <w:ind w:firstLine="480" w:firstLineChars="200"/>
        <w:rPr>
          <w:rFonts w:hAnsi="宋体"/>
        </w:rPr>
      </w:pPr>
      <w:r>
        <w:rPr>
          <w:rFonts w:hint="eastAsia" w:hAnsi="宋体"/>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pStyle w:val="18"/>
        <w:snapToGrid w:val="0"/>
        <w:spacing w:beforeLines="0" w:afterLines="0" w:line="360" w:lineRule="auto"/>
        <w:ind w:firstLine="480" w:firstLineChars="200"/>
        <w:rPr>
          <w:rFonts w:hAnsi="宋体"/>
          <w:bCs/>
        </w:rPr>
      </w:pPr>
      <w:r>
        <w:rPr>
          <w:rFonts w:hint="eastAsia" w:hAnsi="宋体"/>
        </w:rPr>
        <w:t>3.单位负责人为同一人或者存在直接控股、管理关系的不同供应商参加同一合同项下的政府采购活动的，相关投标供应商均作资格无效处理。</w:t>
      </w:r>
    </w:p>
    <w:p>
      <w:pPr>
        <w:pStyle w:val="18"/>
        <w:snapToGrid w:val="0"/>
        <w:spacing w:beforeLines="0" w:afterLines="0" w:line="360" w:lineRule="auto"/>
        <w:ind w:left="842" w:leftChars="267" w:hanging="281" w:hangingChars="100"/>
        <w:outlineLvl w:val="1"/>
        <w:rPr>
          <w:rFonts w:hAnsi="宋体"/>
          <w:b/>
          <w:sz w:val="28"/>
          <w:szCs w:val="28"/>
        </w:rPr>
      </w:pPr>
      <w:r>
        <w:rPr>
          <w:rFonts w:hint="eastAsia" w:hAnsi="宋体"/>
          <w:b/>
          <w:sz w:val="28"/>
          <w:szCs w:val="28"/>
        </w:rPr>
        <w:t>五、评标</w:t>
      </w:r>
    </w:p>
    <w:p>
      <w:pPr>
        <w:pStyle w:val="18"/>
        <w:snapToGrid w:val="0"/>
        <w:spacing w:beforeLines="0" w:afterLines="0" w:line="360" w:lineRule="auto"/>
        <w:ind w:left="720" w:leftChars="228" w:hanging="241" w:hangingChars="100"/>
        <w:rPr>
          <w:rFonts w:hAnsi="宋体"/>
          <w:b/>
        </w:rPr>
      </w:pPr>
      <w:r>
        <w:rPr>
          <w:rFonts w:hAnsi="宋体"/>
          <w:b/>
        </w:rPr>
        <w:t>（一）组建评标委员会</w:t>
      </w:r>
    </w:p>
    <w:p>
      <w:pPr>
        <w:pStyle w:val="18"/>
        <w:snapToGrid w:val="0"/>
        <w:spacing w:beforeLines="0" w:afterLines="0" w:line="360" w:lineRule="auto"/>
        <w:ind w:firstLine="480" w:firstLineChars="200"/>
        <w:rPr>
          <w:rFonts w:hAnsi="宋体"/>
        </w:rPr>
      </w:pPr>
      <w:r>
        <w:rPr>
          <w:rFonts w:hAnsi="宋体"/>
        </w:rPr>
        <w:t>本项目评标委员会由政府</w:t>
      </w:r>
      <w:r>
        <w:rPr>
          <w:rFonts w:hint="eastAsia" w:hAnsi="宋体"/>
        </w:rPr>
        <w:t>采购评审专家</w:t>
      </w:r>
      <w:r>
        <w:rPr>
          <w:rFonts w:hAnsi="宋体"/>
          <w:u w:val="single"/>
        </w:rPr>
        <w:t xml:space="preserve"> </w:t>
      </w:r>
      <w:r>
        <w:rPr>
          <w:rFonts w:hint="eastAsia" w:hAnsi="宋体"/>
          <w:u w:val="single"/>
        </w:rPr>
        <w:t>5</w:t>
      </w:r>
      <w:r>
        <w:rPr>
          <w:rFonts w:hAnsi="宋体"/>
          <w:u w:val="single"/>
        </w:rPr>
        <w:t xml:space="preserve"> </w:t>
      </w:r>
      <w:r>
        <w:rPr>
          <w:rFonts w:hint="eastAsia" w:hAnsi="宋体"/>
        </w:rPr>
        <w:t>人和采购人代表</w:t>
      </w:r>
      <w:r>
        <w:rPr>
          <w:rFonts w:hAnsi="宋体"/>
          <w:u w:val="single"/>
        </w:rPr>
        <w:t xml:space="preserve"> </w:t>
      </w:r>
      <w:r>
        <w:rPr>
          <w:rFonts w:hint="eastAsia" w:hAnsi="宋体"/>
          <w:u w:val="single"/>
        </w:rPr>
        <w:t>2</w:t>
      </w:r>
      <w:r>
        <w:rPr>
          <w:rFonts w:hint="eastAsia" w:hAnsi="宋体"/>
        </w:rPr>
        <w:t>人</w:t>
      </w:r>
      <w:r>
        <w:rPr>
          <w:rFonts w:hAnsi="宋体"/>
        </w:rPr>
        <w:t>,</w:t>
      </w:r>
      <w:r>
        <w:rPr>
          <w:rFonts w:hint="eastAsia" w:hAnsi="宋体"/>
        </w:rPr>
        <w:t>共</w:t>
      </w:r>
      <w:r>
        <w:rPr>
          <w:rFonts w:hAnsi="宋体"/>
          <w:u w:val="single"/>
        </w:rPr>
        <w:t xml:space="preserve"> </w:t>
      </w:r>
      <w:r>
        <w:rPr>
          <w:rFonts w:hint="eastAsia" w:hAnsi="宋体"/>
          <w:u w:val="single"/>
        </w:rPr>
        <w:t>7</w:t>
      </w:r>
      <w:r>
        <w:rPr>
          <w:rFonts w:hint="eastAsia" w:hAnsi="宋体"/>
        </w:rPr>
        <w:t>人组成。</w:t>
      </w:r>
    </w:p>
    <w:p>
      <w:pPr>
        <w:pStyle w:val="18"/>
        <w:snapToGrid w:val="0"/>
        <w:spacing w:beforeLines="0" w:afterLines="0" w:line="360" w:lineRule="auto"/>
        <w:ind w:firstLine="482" w:firstLineChars="200"/>
        <w:rPr>
          <w:rFonts w:hAnsi="宋体"/>
          <w:b/>
        </w:rPr>
      </w:pPr>
      <w:r>
        <w:rPr>
          <w:rFonts w:hAnsi="宋体"/>
          <w:b/>
        </w:rPr>
        <w:t>（二）评标的方式</w:t>
      </w:r>
    </w:p>
    <w:p>
      <w:pPr>
        <w:pStyle w:val="18"/>
        <w:snapToGrid w:val="0"/>
        <w:spacing w:beforeLines="0" w:afterLines="0" w:line="360" w:lineRule="auto"/>
        <w:ind w:left="719" w:leftChars="228" w:hanging="240" w:hangingChars="100"/>
        <w:rPr>
          <w:rFonts w:hAnsi="宋体"/>
        </w:rPr>
      </w:pPr>
      <w:r>
        <w:rPr>
          <w:rFonts w:hAnsi="宋体"/>
        </w:rPr>
        <w:t>本项目采用不公开方式评标，评标的依据为招标文件和投标文件。</w:t>
      </w:r>
    </w:p>
    <w:p>
      <w:pPr>
        <w:pStyle w:val="18"/>
        <w:snapToGrid w:val="0"/>
        <w:spacing w:beforeLines="0" w:afterLines="0" w:line="360" w:lineRule="auto"/>
        <w:ind w:left="720" w:leftChars="228" w:hanging="241" w:hangingChars="100"/>
        <w:rPr>
          <w:rFonts w:hAnsi="宋体"/>
          <w:b/>
          <w:bCs/>
        </w:rPr>
      </w:pPr>
      <w:r>
        <w:rPr>
          <w:rFonts w:hAnsi="宋体"/>
          <w:b/>
        </w:rPr>
        <w:t>（三）</w:t>
      </w:r>
      <w:r>
        <w:rPr>
          <w:rFonts w:hAnsi="宋体"/>
          <w:b/>
          <w:bCs/>
        </w:rPr>
        <w:t>评标程序</w:t>
      </w:r>
    </w:p>
    <w:p>
      <w:pPr>
        <w:pStyle w:val="18"/>
        <w:snapToGrid w:val="0"/>
        <w:spacing w:beforeLines="0" w:afterLines="0" w:line="360" w:lineRule="auto"/>
        <w:ind w:firstLine="470" w:firstLineChars="196"/>
        <w:rPr>
          <w:rFonts w:hAnsi="宋体"/>
        </w:rPr>
      </w:pPr>
      <w:r>
        <w:rPr>
          <w:rFonts w:hint="eastAsia" w:hAnsi="宋体"/>
        </w:rPr>
        <w:t>1.对所有通过资格审查的投标供应商的投标文件进行初步审查，审查、评价投标文件是否符合招标文件的商务、技术、服务等实质性要求。</w:t>
      </w:r>
    </w:p>
    <w:p>
      <w:pPr>
        <w:pStyle w:val="18"/>
        <w:snapToGrid w:val="0"/>
        <w:spacing w:beforeLines="0" w:afterLines="0" w:line="360" w:lineRule="auto"/>
        <w:ind w:firstLine="470" w:firstLineChars="196"/>
        <w:rPr>
          <w:rFonts w:hAnsi="宋体"/>
        </w:rPr>
      </w:pPr>
      <w:r>
        <w:rPr>
          <w:rFonts w:hint="eastAsia" w:hAnsi="宋体"/>
        </w:rPr>
        <w:t>2.评标委员会应当按照招标文件中规定的评审方法和标准，对符合性审查合格的投标文件进行商务和技术评估，综合比较与评价。评标时，评标委员会各成员将独立对每个投标人的投标文件进行评价，并汇总每个投标人的得分。</w:t>
      </w:r>
    </w:p>
    <w:p>
      <w:pPr>
        <w:pStyle w:val="18"/>
        <w:snapToGrid w:val="0"/>
        <w:spacing w:beforeLines="0" w:afterLines="0" w:line="360" w:lineRule="auto"/>
        <w:ind w:firstLine="470" w:firstLineChars="196"/>
        <w:rPr>
          <w:rFonts w:hAnsi="宋体"/>
        </w:rPr>
      </w:pPr>
      <w:r>
        <w:rPr>
          <w:rFonts w:hint="eastAsia" w:hAnsi="宋体"/>
        </w:rPr>
        <w:t>3.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snapToGrid w:val="0"/>
        <w:spacing w:line="360" w:lineRule="auto"/>
        <w:ind w:firstLine="482" w:firstLineChars="200"/>
        <w:rPr>
          <w:rFonts w:ascii="宋体" w:hAnsi="宋体"/>
          <w:b/>
          <w:sz w:val="24"/>
        </w:rPr>
      </w:pPr>
      <w:r>
        <w:rPr>
          <w:rFonts w:hint="eastAsia" w:ascii="宋体" w:hAnsi="宋体"/>
          <w:b/>
          <w:sz w:val="24"/>
        </w:rPr>
        <w:t>（四）澄清问题的形式</w:t>
      </w:r>
    </w:p>
    <w:p>
      <w:pPr>
        <w:snapToGrid w:val="0"/>
        <w:spacing w:line="360" w:lineRule="auto"/>
        <w:ind w:firstLine="480" w:firstLineChars="200"/>
        <w:rPr>
          <w:rFonts w:ascii="宋体" w:hAnsi="宋体"/>
          <w:sz w:val="24"/>
        </w:rPr>
      </w:pPr>
      <w:r>
        <w:rPr>
          <w:rFonts w:hint="eastAsia" w:ascii="宋体" w:hAnsi="宋体"/>
          <w:sz w:val="24"/>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snapToGrid w:val="0"/>
        <w:spacing w:line="360" w:lineRule="auto"/>
        <w:ind w:firstLine="480" w:firstLineChars="200"/>
        <w:rPr>
          <w:rFonts w:ascii="宋体" w:hAnsi="宋体"/>
          <w:sz w:val="24"/>
        </w:rPr>
      </w:pPr>
      <w:r>
        <w:rPr>
          <w:rFonts w:hint="eastAsia" w:ascii="宋体" w:hAnsi="宋体"/>
          <w:sz w:val="24"/>
        </w:rPr>
        <w:t>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pPr>
        <w:snapToGrid w:val="0"/>
        <w:spacing w:line="360" w:lineRule="auto"/>
        <w:ind w:firstLine="482" w:firstLineChars="200"/>
        <w:rPr>
          <w:b/>
          <w:sz w:val="24"/>
        </w:rPr>
      </w:pPr>
      <w:r>
        <w:rPr>
          <w:b/>
          <w:sz w:val="24"/>
        </w:rPr>
        <w:t>（五）错误修正</w:t>
      </w:r>
    </w:p>
    <w:p>
      <w:pPr>
        <w:pStyle w:val="18"/>
        <w:snapToGrid w:val="0"/>
        <w:spacing w:beforeLines="0" w:afterLines="0" w:line="360" w:lineRule="auto"/>
        <w:ind w:firstLine="470" w:firstLineChars="196"/>
      </w:pPr>
      <w:r>
        <w:t>投标文件如果出现计算或表达上的错误，修正错误的原则如下：</w:t>
      </w:r>
    </w:p>
    <w:p>
      <w:pPr>
        <w:pStyle w:val="18"/>
        <w:snapToGrid w:val="0"/>
        <w:spacing w:beforeLines="0" w:afterLines="0" w:line="360" w:lineRule="auto"/>
        <w:ind w:firstLine="470" w:firstLineChars="196"/>
      </w:pPr>
      <w:r>
        <w:t>1</w:t>
      </w:r>
      <w:r>
        <w:rPr>
          <w:rFonts w:hint="eastAsia"/>
        </w:rPr>
        <w:t>.开标一览表总价与投标报价明细表汇总数不一致的，以开标一览表为准；</w:t>
      </w:r>
    </w:p>
    <w:p>
      <w:pPr>
        <w:pStyle w:val="18"/>
        <w:snapToGrid w:val="0"/>
        <w:spacing w:beforeLines="0" w:afterLines="0" w:line="360" w:lineRule="auto"/>
        <w:ind w:firstLine="470" w:firstLineChars="196"/>
      </w:pPr>
      <w:r>
        <w:t>2</w:t>
      </w:r>
      <w:r>
        <w:rPr>
          <w:rFonts w:hint="eastAsia"/>
        </w:rPr>
        <w:t>.</w:t>
      </w:r>
      <w:r>
        <w:t>投标文件的大写金额和小写金额不一致的，以大写金额为准；</w:t>
      </w:r>
    </w:p>
    <w:p>
      <w:pPr>
        <w:pStyle w:val="18"/>
        <w:snapToGrid w:val="0"/>
        <w:spacing w:beforeLines="0" w:afterLines="0" w:line="360" w:lineRule="auto"/>
        <w:ind w:firstLine="470" w:firstLineChars="196"/>
      </w:pPr>
      <w:r>
        <w:t>3</w:t>
      </w:r>
      <w:r>
        <w:rPr>
          <w:rFonts w:hint="eastAsia"/>
        </w:rPr>
        <w:t>.</w:t>
      </w:r>
      <w:r>
        <w:t>总价金额与按单价汇总金额不一致的，以单价金额计算结果为准；</w:t>
      </w:r>
    </w:p>
    <w:p>
      <w:pPr>
        <w:pStyle w:val="18"/>
        <w:snapToGrid w:val="0"/>
        <w:spacing w:beforeLines="0" w:afterLines="0" w:line="360" w:lineRule="auto"/>
        <w:ind w:firstLine="470" w:firstLineChars="196"/>
      </w:pPr>
      <w:r>
        <w:t>4</w:t>
      </w:r>
      <w:r>
        <w:rPr>
          <w:rFonts w:hint="eastAsia"/>
        </w:rPr>
        <w:t>.</w:t>
      </w:r>
      <w:r>
        <w:t>对不同文字文本投标文件的解释发生异议的，以中文文本为准。</w:t>
      </w:r>
    </w:p>
    <w:p>
      <w:pPr>
        <w:pStyle w:val="18"/>
        <w:snapToGrid w:val="0"/>
        <w:spacing w:beforeLines="0" w:afterLines="0" w:line="360" w:lineRule="auto"/>
        <w:ind w:firstLine="482" w:firstLineChars="200"/>
        <w:rPr>
          <w:rFonts w:hAnsi="宋体"/>
          <w:b/>
          <w:bCs/>
        </w:rPr>
      </w:pPr>
      <w:r>
        <w:rPr>
          <w:rFonts w:hAnsi="宋体"/>
          <w:b/>
          <w:bCs/>
        </w:rPr>
        <w:t>按上述修正错误的原则及方法调整或修正投标文件的投标报价，投标人同意</w:t>
      </w:r>
      <w:r>
        <w:rPr>
          <w:rFonts w:hint="eastAsia" w:hAnsi="宋体"/>
          <w:b/>
          <w:bCs/>
        </w:rPr>
        <w:t>并签字确认</w:t>
      </w:r>
      <w:r>
        <w:rPr>
          <w:rFonts w:hAnsi="宋体"/>
          <w:b/>
          <w:bCs/>
        </w:rPr>
        <w:t>后，调整后的投标报价对投标人具有约束作用。如果投标人不接受修正后的报价，则其投标将</w:t>
      </w:r>
      <w:r>
        <w:rPr>
          <w:rFonts w:hint="eastAsia" w:hAnsi="宋体"/>
          <w:b/>
          <w:bCs/>
        </w:rPr>
        <w:t>作为无效投标处理</w:t>
      </w:r>
      <w:r>
        <w:rPr>
          <w:rFonts w:hAnsi="宋体"/>
          <w:b/>
          <w:bCs/>
        </w:rPr>
        <w:t>。</w:t>
      </w:r>
    </w:p>
    <w:p>
      <w:pPr>
        <w:pStyle w:val="18"/>
        <w:tabs>
          <w:tab w:val="left" w:pos="630"/>
        </w:tabs>
        <w:snapToGrid w:val="0"/>
        <w:spacing w:beforeLines="0" w:afterLines="0" w:line="360" w:lineRule="auto"/>
        <w:ind w:firstLine="472" w:firstLineChars="196"/>
        <w:rPr>
          <w:rFonts w:hAnsi="宋体"/>
          <w:b/>
        </w:rPr>
      </w:pPr>
      <w:r>
        <w:rPr>
          <w:rFonts w:hAnsi="宋体"/>
          <w:b/>
        </w:rPr>
        <w:t>（六）评标原则和评标办法</w:t>
      </w:r>
    </w:p>
    <w:p>
      <w:pPr>
        <w:pStyle w:val="18"/>
        <w:snapToGrid w:val="0"/>
        <w:spacing w:beforeLines="0" w:afterLines="0" w:line="360" w:lineRule="auto"/>
        <w:ind w:firstLine="470" w:firstLineChars="196"/>
      </w:pPr>
      <w:r>
        <w:t>1</w:t>
      </w:r>
      <w:r>
        <w:rPr>
          <w:rFonts w:hint="eastAsia"/>
        </w:rPr>
        <w:t>.</w:t>
      </w:r>
      <w: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8"/>
        <w:snapToGrid w:val="0"/>
        <w:spacing w:beforeLines="0" w:afterLines="0" w:line="360" w:lineRule="auto"/>
        <w:ind w:firstLine="470" w:firstLineChars="196"/>
      </w:pPr>
      <w:r>
        <w:t>2</w:t>
      </w:r>
      <w:r>
        <w:rPr>
          <w:rFonts w:hint="eastAsia"/>
        </w:rPr>
        <w:t>.</w:t>
      </w:r>
      <w:r>
        <w:t>评标办法。本项目评标办法是本项目采取综合评分法，具体评标内容及评分标准等详见《第四章：评标办法及评分标准》。</w:t>
      </w:r>
    </w:p>
    <w:p>
      <w:pPr>
        <w:pStyle w:val="18"/>
        <w:snapToGrid w:val="0"/>
        <w:spacing w:beforeLines="0" w:afterLines="0" w:line="360" w:lineRule="auto"/>
        <w:ind w:firstLine="482" w:firstLineChars="200"/>
        <w:rPr>
          <w:rFonts w:hAnsi="宋体"/>
          <w:b/>
        </w:rPr>
      </w:pPr>
      <w:r>
        <w:rPr>
          <w:rFonts w:hint="eastAsia" w:hAnsi="宋体"/>
          <w:b/>
        </w:rPr>
        <w:t>（七）废标</w:t>
      </w:r>
    </w:p>
    <w:p>
      <w:pPr>
        <w:pStyle w:val="18"/>
        <w:snapToGrid w:val="0"/>
        <w:spacing w:beforeLines="0" w:afterLines="0" w:line="360" w:lineRule="auto"/>
        <w:ind w:firstLine="470" w:firstLineChars="196"/>
      </w:pPr>
      <w:r>
        <w:rPr>
          <w:rFonts w:hint="eastAsia"/>
        </w:rPr>
        <w:t>在采购中，出现下列情形之一的，应予废标：</w:t>
      </w:r>
    </w:p>
    <w:p>
      <w:pPr>
        <w:pStyle w:val="18"/>
        <w:snapToGrid w:val="0"/>
        <w:spacing w:beforeLines="0" w:afterLines="0" w:line="360" w:lineRule="auto"/>
        <w:ind w:firstLine="470" w:firstLineChars="196"/>
      </w:pPr>
      <w:r>
        <w:rPr>
          <w:rFonts w:hint="eastAsia"/>
        </w:rPr>
        <w:t>1.符合专业条件的供应商或者对招标文件作实质响应的供应商不足3家的；</w:t>
      </w:r>
    </w:p>
    <w:p>
      <w:pPr>
        <w:pStyle w:val="18"/>
        <w:snapToGrid w:val="0"/>
        <w:spacing w:beforeLines="0" w:afterLines="0" w:line="360" w:lineRule="auto"/>
        <w:ind w:firstLine="470" w:firstLineChars="196"/>
      </w:pPr>
      <w:r>
        <w:rPr>
          <w:rFonts w:hint="eastAsia"/>
        </w:rPr>
        <w:t>2.出现影响采购公正的违法、违规行为的；</w:t>
      </w:r>
    </w:p>
    <w:p>
      <w:pPr>
        <w:pStyle w:val="18"/>
        <w:snapToGrid w:val="0"/>
        <w:spacing w:beforeLines="0" w:afterLines="0" w:line="360" w:lineRule="auto"/>
        <w:ind w:firstLine="470" w:firstLineChars="196"/>
      </w:pPr>
      <w:r>
        <w:rPr>
          <w:rFonts w:hint="eastAsia"/>
        </w:rPr>
        <w:t>3.报价均超过预算，不能支付的；</w:t>
      </w:r>
    </w:p>
    <w:p>
      <w:pPr>
        <w:pStyle w:val="18"/>
        <w:snapToGrid w:val="0"/>
        <w:spacing w:beforeLines="0" w:afterLines="0" w:line="360" w:lineRule="auto"/>
        <w:ind w:firstLine="470" w:firstLineChars="196"/>
      </w:pPr>
      <w:r>
        <w:rPr>
          <w:rFonts w:hint="eastAsia"/>
        </w:rPr>
        <w:t>4.因重大变故，采购任务取消的。</w:t>
      </w:r>
    </w:p>
    <w:p>
      <w:pPr>
        <w:pStyle w:val="18"/>
        <w:snapToGrid w:val="0"/>
        <w:spacing w:beforeLines="0" w:afterLines="0" w:line="360" w:lineRule="auto"/>
        <w:ind w:firstLine="482" w:firstLineChars="200"/>
        <w:rPr>
          <w:rFonts w:hAnsi="宋体"/>
          <w:b/>
        </w:rPr>
      </w:pPr>
      <w:r>
        <w:rPr>
          <w:rFonts w:hint="eastAsia" w:hAnsi="宋体"/>
          <w:b/>
        </w:rPr>
        <w:t>（八）可中止电子交易活动的情形</w:t>
      </w:r>
    </w:p>
    <w:p>
      <w:pPr>
        <w:pStyle w:val="18"/>
        <w:snapToGrid w:val="0"/>
        <w:spacing w:beforeLines="0" w:afterLines="0" w:line="360" w:lineRule="auto"/>
        <w:ind w:firstLine="470" w:firstLineChars="196"/>
      </w:pPr>
      <w:r>
        <w:rPr>
          <w:rFonts w:hint="eastAsia"/>
        </w:rPr>
        <w:t>采购过程中出现以下情形，导致电子交易平台无法正常运行，或者无法保证电子交易的公平、公正和安全时，采购组织机构可中止电子交易活动：</w:t>
      </w:r>
    </w:p>
    <w:p>
      <w:pPr>
        <w:pStyle w:val="18"/>
        <w:snapToGrid w:val="0"/>
        <w:spacing w:beforeLines="0" w:afterLines="0" w:line="360" w:lineRule="auto"/>
        <w:ind w:firstLine="470" w:firstLineChars="196"/>
      </w:pPr>
      <w:r>
        <w:rPr>
          <w:rFonts w:hint="eastAsia"/>
        </w:rPr>
        <w:t>1、电子交易平台发生故障而无法登录访问的；</w:t>
      </w:r>
    </w:p>
    <w:p>
      <w:pPr>
        <w:pStyle w:val="18"/>
        <w:snapToGrid w:val="0"/>
        <w:spacing w:beforeLines="0" w:afterLines="0" w:line="360" w:lineRule="auto"/>
        <w:ind w:firstLine="470" w:firstLineChars="196"/>
      </w:pPr>
      <w:r>
        <w:rPr>
          <w:rFonts w:hint="eastAsia"/>
        </w:rPr>
        <w:t>2、电子交易平台应用或数据库出现错误，不能进行正常操作的；</w:t>
      </w:r>
    </w:p>
    <w:p>
      <w:pPr>
        <w:pStyle w:val="18"/>
        <w:snapToGrid w:val="0"/>
        <w:spacing w:beforeLines="0" w:afterLines="0" w:line="360" w:lineRule="auto"/>
        <w:ind w:firstLine="470" w:firstLineChars="196"/>
      </w:pPr>
      <w:r>
        <w:rPr>
          <w:rFonts w:hint="eastAsia"/>
        </w:rPr>
        <w:t>3、电子交易平台发现严重安全漏洞，有潜在泄密危险的；</w:t>
      </w:r>
    </w:p>
    <w:p>
      <w:pPr>
        <w:pStyle w:val="18"/>
        <w:snapToGrid w:val="0"/>
        <w:spacing w:beforeLines="0" w:afterLines="0" w:line="360" w:lineRule="auto"/>
        <w:ind w:firstLine="470" w:firstLineChars="196"/>
      </w:pPr>
      <w:r>
        <w:rPr>
          <w:rFonts w:hint="eastAsia"/>
        </w:rPr>
        <w:t>4、病毒发作导致不能进行正常操作的；</w:t>
      </w:r>
    </w:p>
    <w:p>
      <w:pPr>
        <w:pStyle w:val="18"/>
        <w:snapToGrid w:val="0"/>
        <w:spacing w:beforeLines="0" w:afterLines="0" w:line="360" w:lineRule="auto"/>
        <w:ind w:firstLine="470" w:firstLineChars="196"/>
      </w:pPr>
      <w:r>
        <w:rPr>
          <w:rFonts w:hint="eastAsia"/>
        </w:rPr>
        <w:t>5、其他无法保证电子交易的公平、公正和安全的情况。</w:t>
      </w:r>
    </w:p>
    <w:p>
      <w:pPr>
        <w:pStyle w:val="18"/>
        <w:snapToGrid w:val="0"/>
        <w:spacing w:beforeLines="0" w:afterLines="0" w:line="360" w:lineRule="auto"/>
        <w:ind w:firstLine="470" w:firstLineChars="196"/>
      </w:pPr>
      <w:r>
        <w:rPr>
          <w:rFonts w:hint="eastAsia"/>
        </w:rPr>
        <w:t>出现前款规定情形，不影响采购公平、公正性的，采购组织机构可以待上述情形消除后继续组织电子交易活动；影响或可能影响采购公平、公正性的，应当重新采购。</w:t>
      </w:r>
    </w:p>
    <w:p>
      <w:pPr>
        <w:pStyle w:val="18"/>
        <w:snapToGrid w:val="0"/>
        <w:spacing w:beforeLines="0" w:afterLines="0" w:line="360" w:lineRule="auto"/>
        <w:ind w:firstLine="551" w:firstLineChars="196"/>
        <w:outlineLvl w:val="1"/>
        <w:rPr>
          <w:rFonts w:hAnsi="宋体"/>
          <w:b/>
          <w:sz w:val="28"/>
          <w:szCs w:val="28"/>
        </w:rPr>
      </w:pPr>
      <w:r>
        <w:rPr>
          <w:rFonts w:hint="eastAsia" w:hAnsi="宋体"/>
          <w:b/>
          <w:sz w:val="28"/>
          <w:szCs w:val="28"/>
        </w:rPr>
        <w:t>六、定标</w:t>
      </w:r>
    </w:p>
    <w:p>
      <w:pPr>
        <w:pStyle w:val="18"/>
        <w:snapToGrid w:val="0"/>
        <w:spacing w:beforeLines="0" w:afterLines="0" w:line="360" w:lineRule="auto"/>
        <w:ind w:firstLine="472" w:firstLineChars="196"/>
        <w:rPr>
          <w:b/>
          <w:bCs/>
        </w:rPr>
      </w:pPr>
      <w:r>
        <w:rPr>
          <w:rFonts w:hint="eastAsia"/>
          <w:b/>
          <w:bCs/>
        </w:rPr>
        <w:t>（一）确定中标人。</w:t>
      </w:r>
      <w:r>
        <w:rPr>
          <w:rFonts w:hint="eastAsia" w:hAnsi="宋体"/>
          <w:b/>
        </w:rPr>
        <w:t>本项目由采购人授权评标委员会确定中标人。</w:t>
      </w:r>
    </w:p>
    <w:p>
      <w:pPr>
        <w:pStyle w:val="18"/>
        <w:snapToGrid w:val="0"/>
        <w:spacing w:beforeLines="0" w:afterLines="0" w:line="360" w:lineRule="auto"/>
        <w:ind w:firstLine="470" w:firstLineChars="196"/>
      </w:pPr>
      <w:r>
        <w:rPr>
          <w:rFonts w:hint="eastAsia"/>
        </w:rPr>
        <w:t>1.采购人在收到评标报告后五个工作日内，依法确认中标供应商。</w:t>
      </w:r>
    </w:p>
    <w:p>
      <w:pPr>
        <w:pStyle w:val="18"/>
        <w:snapToGrid w:val="0"/>
        <w:spacing w:beforeLines="0" w:afterLines="0" w:line="360" w:lineRule="auto"/>
        <w:ind w:firstLine="470" w:firstLineChars="196"/>
      </w:pPr>
      <w:r>
        <w:rPr>
          <w:rFonts w:hint="eastAsia"/>
        </w:rPr>
        <w:t>2.中标供应商确定后，中标结果在财政部门指定的政府采购信息发布媒体上公告。</w:t>
      </w:r>
    </w:p>
    <w:p>
      <w:pPr>
        <w:pStyle w:val="18"/>
        <w:snapToGrid w:val="0"/>
        <w:spacing w:beforeLines="0" w:afterLines="0" w:line="360" w:lineRule="auto"/>
        <w:ind w:firstLine="470" w:firstLineChars="196"/>
      </w:pPr>
      <w:r>
        <w:rPr>
          <w:rFonts w:hint="eastAsia"/>
        </w:rPr>
        <w:t>3.在发布公告的同时，招标采购单位向中标供应商发出中标通知书，中标通知书对采购人和中标供应商具有同等法律效力。</w:t>
      </w:r>
    </w:p>
    <w:p>
      <w:pPr>
        <w:pStyle w:val="18"/>
        <w:snapToGrid w:val="0"/>
        <w:spacing w:beforeLines="0" w:afterLines="0" w:line="360" w:lineRule="auto"/>
        <w:ind w:firstLine="472" w:firstLineChars="196"/>
        <w:rPr>
          <w:b/>
        </w:rPr>
      </w:pPr>
      <w:r>
        <w:rPr>
          <w:rFonts w:hint="eastAsia"/>
          <w:b/>
        </w:rPr>
        <w:t>4根据浙江省财政厅《</w:t>
      </w:r>
      <w:r>
        <w:rPr>
          <w:b/>
        </w:rPr>
        <w:t>关于印发浙江省政府采购供应商注册及诚信管理暂行办法的通知</w:t>
      </w:r>
      <w:r>
        <w:rPr>
          <w:rFonts w:hint="eastAsia"/>
          <w:b/>
        </w:rPr>
        <w:t>》[</w:t>
      </w:r>
      <w:r>
        <w:rPr>
          <w:b/>
        </w:rPr>
        <w:t>浙财采监字〔2009〕28号</w:t>
      </w:r>
      <w:r>
        <w:rPr>
          <w:rFonts w:hint="eastAsia"/>
          <w:b/>
        </w:rPr>
        <w:t>]精神，中标供应商在领取中标通知书前，必须在《浙江政府采购网》上完成供应商的注册工作，经初审、终审及公示后方可正式领取中标通知书。</w:t>
      </w:r>
    </w:p>
    <w:p>
      <w:pPr>
        <w:pStyle w:val="18"/>
        <w:snapToGrid w:val="0"/>
        <w:spacing w:beforeLines="0" w:afterLines="0" w:line="360" w:lineRule="auto"/>
        <w:ind w:firstLine="470" w:firstLineChars="196"/>
      </w:pPr>
      <w:r>
        <w:rPr>
          <w:rFonts w:hint="eastAsia"/>
        </w:rPr>
        <w:t>5.中标通知书发出后，采购人改变中标结果，或者中标供应商放弃中标，应当承担相应的法律责任。</w:t>
      </w:r>
    </w:p>
    <w:p>
      <w:pPr>
        <w:pStyle w:val="18"/>
        <w:snapToGrid w:val="0"/>
        <w:spacing w:beforeLines="0" w:afterLines="0" w:line="360" w:lineRule="auto"/>
        <w:ind w:firstLine="470" w:firstLineChars="196"/>
      </w:pPr>
      <w:r>
        <w:rPr>
          <w:rFonts w:hint="eastAsia"/>
        </w:rPr>
        <w:t>6.替补说明：根据《中华人民共和国政府采购法实施条例》第四十九项规定，中标或者成交供应商拒绝（包含放弃成交结果的）与采购人签订合同的，采购人可以按照评审报告推荐的中标或者成交候选人名单排序，确定下一候选人为中标或者成交供应商，也可以重新开展政府采购活动。</w:t>
      </w:r>
    </w:p>
    <w:p>
      <w:pPr>
        <w:pStyle w:val="18"/>
        <w:snapToGrid w:val="0"/>
        <w:spacing w:beforeLines="0" w:afterLines="0" w:line="360" w:lineRule="auto"/>
        <w:ind w:firstLine="472" w:firstLineChars="196"/>
        <w:rPr>
          <w:rFonts w:hAnsi="宋体"/>
          <w:b/>
        </w:rPr>
      </w:pPr>
      <w:r>
        <w:rPr>
          <w:rFonts w:hint="eastAsia" w:hAnsi="宋体"/>
          <w:b/>
        </w:rPr>
        <w:t>（二）中标通知书</w:t>
      </w:r>
    </w:p>
    <w:p>
      <w:pPr>
        <w:pStyle w:val="18"/>
        <w:snapToGrid w:val="0"/>
        <w:spacing w:beforeLines="0" w:afterLines="0" w:line="360" w:lineRule="auto"/>
        <w:ind w:firstLine="470" w:firstLineChars="196"/>
      </w:pPr>
      <w:r>
        <w:rPr>
          <w:rFonts w:hint="eastAsia"/>
        </w:rPr>
        <w:t>1.确定中标供应商后，招标采购单位将以书面形式发出中标通知书，通知中标的投标人其投标被接受。</w:t>
      </w:r>
    </w:p>
    <w:p>
      <w:pPr>
        <w:pStyle w:val="18"/>
        <w:snapToGrid w:val="0"/>
        <w:spacing w:beforeLines="0" w:afterLines="0" w:line="360" w:lineRule="auto"/>
        <w:ind w:firstLine="470" w:firstLineChars="196"/>
      </w:pPr>
      <w:r>
        <w:rPr>
          <w:rFonts w:hint="eastAsia"/>
        </w:rPr>
        <w:t>2.中标通知书为双方签订合同的依据。</w:t>
      </w:r>
    </w:p>
    <w:p>
      <w:pPr>
        <w:pStyle w:val="18"/>
        <w:snapToGrid w:val="0"/>
        <w:spacing w:beforeLines="0" w:afterLines="0" w:line="360" w:lineRule="auto"/>
        <w:ind w:firstLine="470" w:firstLineChars="196"/>
      </w:pPr>
      <w:r>
        <w:rPr>
          <w:rFonts w:hint="eastAsia"/>
        </w:rPr>
        <w:t>3.中标供应商应根据中标通知书中规定的时间内，由法定代表人或其授权代理人与采购人签订合同。</w:t>
      </w:r>
    </w:p>
    <w:p>
      <w:pPr>
        <w:pStyle w:val="18"/>
        <w:snapToGrid w:val="0"/>
        <w:spacing w:beforeLines="0" w:afterLines="0" w:line="360" w:lineRule="auto"/>
        <w:ind w:firstLine="551" w:firstLineChars="196"/>
        <w:outlineLvl w:val="1"/>
        <w:rPr>
          <w:rFonts w:hAnsi="宋体"/>
          <w:b/>
          <w:sz w:val="28"/>
          <w:szCs w:val="28"/>
        </w:rPr>
      </w:pPr>
      <w:r>
        <w:rPr>
          <w:rFonts w:hint="eastAsia" w:hAnsi="宋体"/>
          <w:b/>
          <w:sz w:val="28"/>
          <w:szCs w:val="28"/>
        </w:rPr>
        <w:t>七、合同授予</w:t>
      </w:r>
    </w:p>
    <w:p>
      <w:pPr>
        <w:snapToGrid w:val="0"/>
        <w:spacing w:line="360" w:lineRule="auto"/>
        <w:ind w:firstLine="472" w:firstLineChars="196"/>
        <w:rPr>
          <w:rFonts w:ascii="宋体" w:hAnsi="宋体"/>
          <w:b/>
          <w:bCs/>
          <w:sz w:val="24"/>
          <w:szCs w:val="20"/>
        </w:rPr>
      </w:pPr>
      <w:r>
        <w:rPr>
          <w:rFonts w:hint="eastAsia" w:ascii="宋体" w:hAnsi="宋体"/>
          <w:b/>
          <w:bCs/>
          <w:sz w:val="24"/>
        </w:rPr>
        <w:t>（一）签订合同</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.采购人与</w:t>
      </w:r>
      <w:r>
        <w:rPr>
          <w:rFonts w:ascii="宋体" w:hAnsi="宋体"/>
          <w:sz w:val="24"/>
        </w:rPr>
        <w:t>中标人应</w:t>
      </w:r>
      <w:r>
        <w:rPr>
          <w:rFonts w:hint="eastAsia" w:ascii="宋体" w:hAnsi="宋体"/>
          <w:sz w:val="24"/>
        </w:rPr>
        <w:t>当在《</w:t>
      </w:r>
      <w:r>
        <w:rPr>
          <w:rFonts w:ascii="宋体" w:hAnsi="宋体"/>
          <w:sz w:val="24"/>
        </w:rPr>
        <w:t>中标通知书</w:t>
      </w:r>
      <w:r>
        <w:rPr>
          <w:rFonts w:hint="eastAsia" w:ascii="宋体" w:hAnsi="宋体"/>
          <w:sz w:val="24"/>
        </w:rPr>
        <w:t>》发出之日起30日内签订政府采购合同。同时，采购代理机构对合同内容进行审查，如发现与采购结果和投标承诺内容不一致的，应予以纠正。</w:t>
      </w:r>
    </w:p>
    <w:p>
      <w:pPr>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中标人拖延、拒签合同的,将被取消中标资格。</w:t>
      </w:r>
    </w:p>
    <w:p>
      <w:pPr>
        <w:pStyle w:val="18"/>
        <w:snapToGrid w:val="0"/>
        <w:spacing w:beforeLines="0" w:afterLines="0" w:line="360" w:lineRule="auto"/>
        <w:ind w:firstLine="472" w:firstLineChars="196"/>
        <w:rPr>
          <w:rFonts w:hAnsi="宋体"/>
          <w:b/>
        </w:rPr>
      </w:pPr>
      <w:r>
        <w:rPr>
          <w:rFonts w:hAnsi="宋体"/>
          <w:b/>
        </w:rPr>
        <w:t>（二）履约保证金</w:t>
      </w:r>
    </w:p>
    <w:p>
      <w:pPr>
        <w:pStyle w:val="18"/>
        <w:snapToGrid w:val="0"/>
        <w:spacing w:beforeLines="0" w:afterLines="0" w:line="360" w:lineRule="auto"/>
        <w:ind w:firstLine="480" w:firstLineChars="200"/>
        <w:rPr>
          <w:rFonts w:hAnsi="宋体"/>
        </w:rPr>
      </w:pPr>
      <w:r>
        <w:rPr>
          <w:rFonts w:hAnsi="宋体"/>
        </w:rPr>
        <w:t>1</w:t>
      </w:r>
      <w:r>
        <w:rPr>
          <w:rFonts w:hint="eastAsia" w:hAnsi="宋体"/>
        </w:rPr>
        <w:t>.</w:t>
      </w:r>
      <w:r>
        <w:rPr>
          <w:rFonts w:hAnsi="宋体"/>
        </w:rPr>
        <w:t>签订合同前，中标人应按采购代理机构根据招标文件确定的履约保证金的金额，向采购</w:t>
      </w:r>
      <w:r>
        <w:rPr>
          <w:rFonts w:hint="eastAsia" w:hAnsi="宋体"/>
        </w:rPr>
        <w:t>人</w:t>
      </w:r>
      <w:r>
        <w:rPr>
          <w:rFonts w:hAnsi="宋体"/>
        </w:rPr>
        <w:t>交纳履约保证金。</w:t>
      </w:r>
    </w:p>
    <w:p>
      <w:pPr>
        <w:pStyle w:val="18"/>
        <w:snapToGrid w:val="0"/>
        <w:spacing w:beforeLines="0" w:afterLines="0" w:line="360" w:lineRule="auto"/>
        <w:ind w:firstLine="480" w:firstLineChars="200"/>
        <w:rPr>
          <w:rFonts w:hAnsi="宋体"/>
        </w:rPr>
      </w:pPr>
      <w:r>
        <w:rPr>
          <w:rFonts w:hAnsi="宋体"/>
        </w:rPr>
        <w:t>2</w:t>
      </w:r>
      <w:r>
        <w:rPr>
          <w:rFonts w:hint="eastAsia" w:hAnsi="宋体"/>
        </w:rPr>
        <w:t>.</w:t>
      </w:r>
      <w:r>
        <w:rPr>
          <w:rFonts w:hAnsi="宋体"/>
        </w:rPr>
        <w:t>签订合同后，如中标人不按双方合同约定履约，则没收其全部履约保证金，履约保证金不足以赔偿损失的，按实际损失赔偿。</w:t>
      </w:r>
    </w:p>
    <w:p>
      <w:pPr>
        <w:pStyle w:val="18"/>
        <w:snapToGrid w:val="0"/>
        <w:spacing w:beforeLines="0" w:afterLines="0" w:line="360" w:lineRule="auto"/>
        <w:ind w:firstLine="470" w:firstLineChars="196"/>
        <w:outlineLvl w:val="1"/>
        <w:rPr>
          <w:rFonts w:hAnsi="宋体"/>
        </w:rPr>
      </w:pPr>
      <w:r>
        <w:rPr>
          <w:rFonts w:hAnsi="宋体"/>
        </w:rPr>
        <w:t>3</w:t>
      </w:r>
      <w:r>
        <w:rPr>
          <w:rFonts w:hint="eastAsia" w:hAnsi="宋体"/>
        </w:rPr>
        <w:t>. 本项目的履约保证金为合同价的2.5%；履约保证金形式为：现金或银行、保险公司出具的保函；中标人应根据采购人要求汇入采购人指定账号或提供保函。项目终验合格后，退还履约保证金。</w:t>
      </w:r>
    </w:p>
    <w:p>
      <w:pPr>
        <w:pStyle w:val="18"/>
        <w:snapToGrid w:val="0"/>
        <w:spacing w:beforeLines="0" w:afterLines="0" w:line="360" w:lineRule="auto"/>
        <w:ind w:firstLine="551" w:firstLineChars="196"/>
        <w:outlineLvl w:val="1"/>
        <w:rPr>
          <w:rFonts w:hAnsi="宋体"/>
          <w:b/>
          <w:sz w:val="28"/>
          <w:szCs w:val="28"/>
        </w:rPr>
      </w:pPr>
      <w:r>
        <w:rPr>
          <w:rFonts w:hint="eastAsia" w:hAnsi="宋体"/>
          <w:b/>
          <w:sz w:val="28"/>
          <w:szCs w:val="28"/>
        </w:rPr>
        <w:t>(三)其他</w:t>
      </w:r>
    </w:p>
    <w:p>
      <w:pPr>
        <w:snapToGrid w:val="0"/>
        <w:spacing w:line="360" w:lineRule="auto"/>
        <w:ind w:firstLine="470" w:firstLineChars="196"/>
        <w:jc w:val="left"/>
        <w:rPr>
          <w:rFonts w:ascii="宋体" w:hAnsi="宋体"/>
          <w:sz w:val="24"/>
        </w:rPr>
      </w:pPr>
      <w:r>
        <w:rPr>
          <w:rFonts w:hint="eastAsia" w:ascii="宋体" w:hAnsi="宋体"/>
          <w:sz w:val="24"/>
        </w:rPr>
        <w:t>供应商有下列情形之一的，自愿接受取消投标资格；如已中标的，自动放弃中标资格，并承担全部法律责任；给采购人造成损失的，依法承担赔偿责任：</w:t>
      </w:r>
    </w:p>
    <w:p>
      <w:pPr>
        <w:snapToGrid w:val="0"/>
        <w:spacing w:line="360" w:lineRule="auto"/>
        <w:ind w:firstLine="470" w:firstLineChars="196"/>
        <w:rPr>
          <w:rFonts w:ascii="宋体" w:hAnsi="宋体"/>
          <w:sz w:val="24"/>
        </w:rPr>
      </w:pPr>
      <w:r>
        <w:rPr>
          <w:rFonts w:hint="eastAsia" w:ascii="宋体" w:hAnsi="宋体"/>
          <w:sz w:val="24"/>
        </w:rPr>
        <w:t>（1）供应商在投标有效期内撤回投标文件的；</w:t>
      </w:r>
    </w:p>
    <w:p>
      <w:pPr>
        <w:snapToGrid w:val="0"/>
        <w:spacing w:line="360" w:lineRule="auto"/>
        <w:ind w:firstLine="470" w:firstLineChars="196"/>
        <w:rPr>
          <w:rFonts w:ascii="宋体" w:hAnsi="宋体"/>
          <w:sz w:val="24"/>
        </w:rPr>
      </w:pPr>
      <w:r>
        <w:rPr>
          <w:rFonts w:hint="eastAsia" w:ascii="宋体" w:hAnsi="宋体"/>
          <w:sz w:val="24"/>
        </w:rPr>
        <w:t>（2）供应商在投标过程中弄虚作假，提供虚假材料的；</w:t>
      </w:r>
    </w:p>
    <w:p>
      <w:pPr>
        <w:snapToGrid w:val="0"/>
        <w:spacing w:line="360" w:lineRule="auto"/>
        <w:ind w:firstLine="470" w:firstLineChars="196"/>
        <w:rPr>
          <w:rFonts w:ascii="宋体" w:hAnsi="宋体"/>
          <w:sz w:val="24"/>
        </w:rPr>
      </w:pPr>
      <w:r>
        <w:rPr>
          <w:rFonts w:hint="eastAsia" w:ascii="宋体" w:hAnsi="宋体"/>
          <w:sz w:val="24"/>
        </w:rPr>
        <w:t>（3）中标供应商无正当理由不与采购人签订合同的；</w:t>
      </w:r>
    </w:p>
    <w:p>
      <w:pPr>
        <w:snapToGrid w:val="0"/>
        <w:spacing w:line="360" w:lineRule="auto"/>
        <w:ind w:firstLine="470" w:firstLineChars="196"/>
        <w:rPr>
          <w:rFonts w:ascii="宋体" w:hAnsi="宋体"/>
          <w:sz w:val="24"/>
        </w:rPr>
      </w:pPr>
      <w:r>
        <w:rPr>
          <w:rFonts w:hint="eastAsia" w:ascii="宋体" w:hAnsi="宋体"/>
          <w:sz w:val="24"/>
        </w:rPr>
        <w:t>（4）将中标项目转让给他人或者在投标文件中未说明且未经招标采购人同意，将中标项目分包给他人的；</w:t>
      </w:r>
    </w:p>
    <w:p>
      <w:pPr>
        <w:snapToGrid w:val="0"/>
        <w:spacing w:line="360" w:lineRule="auto"/>
        <w:ind w:firstLine="470" w:firstLineChars="196"/>
        <w:rPr>
          <w:rFonts w:ascii="宋体" w:hAnsi="宋体"/>
          <w:sz w:val="24"/>
        </w:rPr>
      </w:pPr>
      <w:r>
        <w:rPr>
          <w:rFonts w:hint="eastAsia" w:ascii="宋体" w:hAnsi="宋体"/>
          <w:sz w:val="24"/>
        </w:rPr>
        <w:t>（5）拒绝履行合同义务的；</w:t>
      </w:r>
    </w:p>
    <w:p>
      <w:pPr>
        <w:snapToGrid w:val="0"/>
        <w:spacing w:line="360" w:lineRule="auto"/>
        <w:ind w:firstLine="470" w:firstLineChars="196"/>
        <w:rPr>
          <w:rFonts w:ascii="宋体" w:hAnsi="宋体"/>
          <w:sz w:val="24"/>
        </w:rPr>
      </w:pPr>
      <w:r>
        <w:rPr>
          <w:rFonts w:hint="eastAsia" w:ascii="宋体" w:hAnsi="宋体"/>
          <w:sz w:val="24"/>
        </w:rPr>
        <w:t>（6）其他严重扰乱招投标程序的。</w:t>
      </w: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snapToGrid w:val="0"/>
        <w:spacing w:line="360" w:lineRule="auto"/>
        <w:ind w:firstLine="470" w:firstLineChars="196"/>
        <w:rPr>
          <w:rFonts w:ascii="宋体" w:hAnsi="宋体"/>
          <w:sz w:val="24"/>
        </w:rPr>
      </w:pPr>
    </w:p>
    <w:p>
      <w:pPr>
        <w:pStyle w:val="18"/>
        <w:snapToGrid w:val="0"/>
        <w:spacing w:beforeLines="0" w:afterLines="0" w:line="360" w:lineRule="auto"/>
        <w:jc w:val="center"/>
        <w:rPr>
          <w:rFonts w:ascii="黑体" w:hAnsi="宋体" w:eastAsia="黑体"/>
          <w:sz w:val="30"/>
          <w:szCs w:val="30"/>
        </w:rPr>
      </w:pPr>
      <w:r>
        <w:rPr>
          <w:rFonts w:hint="eastAsia" w:ascii="黑体" w:hAnsi="宋体" w:eastAsia="黑体"/>
          <w:sz w:val="30"/>
          <w:szCs w:val="30"/>
        </w:rPr>
        <w:t>第四章  评标办法及评分标准</w:t>
      </w:r>
    </w:p>
    <w:p>
      <w:pPr>
        <w:spacing w:line="360" w:lineRule="auto"/>
        <w:ind w:firstLine="420"/>
        <w:rPr>
          <w:rFonts w:ascii="宋体" w:hAnsi="宋体"/>
          <w:sz w:val="24"/>
        </w:rPr>
      </w:pPr>
      <w:r>
        <w:rPr>
          <w:rFonts w:hint="eastAsia" w:ascii="宋体" w:hAnsi="宋体"/>
          <w:sz w:val="24"/>
        </w:rPr>
        <w:t>为公正、公平、科学地选择中标人，根据《中华人民共和国政府采购法》等有关法律法规的规定和《</w:t>
      </w:r>
      <w:r>
        <w:rPr>
          <w:rFonts w:hint="eastAsia"/>
          <w:sz w:val="24"/>
        </w:rPr>
        <w:t>湖州市吴兴区教育局升降式课桌椅项目</w:t>
      </w:r>
      <w:r>
        <w:rPr>
          <w:rFonts w:hint="eastAsia" w:ascii="宋体" w:hAnsi="宋体"/>
          <w:sz w:val="24"/>
        </w:rPr>
        <w:t>》</w:t>
      </w:r>
      <w:r>
        <w:rPr>
          <w:rFonts w:hint="eastAsia"/>
          <w:sz w:val="24"/>
        </w:rPr>
        <w:t>采购文件</w:t>
      </w:r>
      <w:r>
        <w:rPr>
          <w:rFonts w:hint="eastAsia" w:ascii="宋体" w:hAnsi="宋体"/>
          <w:sz w:val="24"/>
        </w:rPr>
        <w:t>规定，并结合本项目的实际，制定本办法。</w:t>
      </w:r>
    </w:p>
    <w:p>
      <w:pPr>
        <w:spacing w:line="360" w:lineRule="auto"/>
        <w:ind w:firstLine="420"/>
        <w:rPr>
          <w:rFonts w:ascii="宋体" w:hAnsi="宋体"/>
          <w:bCs/>
          <w:sz w:val="24"/>
          <w:szCs w:val="48"/>
        </w:rPr>
      </w:pPr>
      <w:r>
        <w:rPr>
          <w:rFonts w:hint="eastAsia" w:ascii="宋体" w:hAnsi="宋体"/>
          <w:sz w:val="24"/>
        </w:rPr>
        <w:t>本办法适用于</w:t>
      </w:r>
      <w:r>
        <w:rPr>
          <w:rFonts w:hint="eastAsia"/>
          <w:b/>
          <w:sz w:val="24"/>
        </w:rPr>
        <w:t>湖州市吴兴区教育局升降式课桌椅项目</w:t>
      </w:r>
      <w:r>
        <w:rPr>
          <w:rFonts w:hint="eastAsia" w:ascii="宋体" w:hAnsi="宋体"/>
          <w:bCs/>
          <w:sz w:val="24"/>
          <w:szCs w:val="48"/>
        </w:rPr>
        <w:t>的评标。</w:t>
      </w:r>
    </w:p>
    <w:p>
      <w:pPr>
        <w:spacing w:line="360" w:lineRule="auto"/>
        <w:ind w:firstLine="551" w:firstLineChars="196"/>
        <w:rPr>
          <w:rFonts w:ascii="宋体" w:hAnsi="宋体"/>
          <w:b/>
          <w:sz w:val="28"/>
          <w:szCs w:val="28"/>
        </w:rPr>
      </w:pPr>
      <w:r>
        <w:rPr>
          <w:rFonts w:hint="eastAsia" w:ascii="宋体" w:hAnsi="宋体"/>
          <w:b/>
          <w:sz w:val="28"/>
          <w:szCs w:val="28"/>
        </w:rPr>
        <w:t>一、总则</w:t>
      </w:r>
    </w:p>
    <w:p>
      <w:pPr>
        <w:spacing w:line="360" w:lineRule="auto"/>
        <w:ind w:firstLine="480" w:firstLineChars="200"/>
        <w:rPr>
          <w:rFonts w:ascii="宋体" w:hAnsi="宋体"/>
          <w:sz w:val="24"/>
        </w:rPr>
      </w:pPr>
      <w:r>
        <w:rPr>
          <w:rFonts w:hint="eastAsia" w:ascii="宋体" w:hAnsi="宋体"/>
          <w:sz w:val="24"/>
        </w:rPr>
        <w:t>本次评标采用综合评分法，</w:t>
      </w:r>
      <w:r>
        <w:rPr>
          <w:rFonts w:hint="eastAsia" w:ascii="宋体" w:hAnsi="宋体"/>
          <w:b/>
          <w:sz w:val="24"/>
        </w:rPr>
        <w:t>总分为100分，包含：价格分（30分）、技术、商务、资信及其他分（70分）</w:t>
      </w:r>
      <w:r>
        <w:rPr>
          <w:rFonts w:hint="eastAsia" w:ascii="宋体" w:hAnsi="宋体"/>
          <w:sz w:val="24"/>
        </w:rPr>
        <w:t>。合格投标人的评标得分为各项目汇总得分，按评标得分由高到低顺序排列，得分相同的，按投标报价由低到高顺序排列；得分且投标报价相同的，按技术得分由高到低顺序排列。本项目由采购人授权评标委员会直接确定</w:t>
      </w:r>
      <w:r>
        <w:rPr>
          <w:rFonts w:hint="eastAsia" w:ascii="宋体" w:hAnsi="宋体"/>
          <w:sz w:val="24"/>
          <w:lang w:eastAsia="zh-CN"/>
        </w:rPr>
        <w:t>每个标项</w:t>
      </w:r>
      <w:r>
        <w:rPr>
          <w:rFonts w:hint="eastAsia" w:ascii="宋体" w:hAnsi="宋体"/>
          <w:sz w:val="24"/>
        </w:rPr>
        <w:t>排名第一的投标人为中标人。</w:t>
      </w:r>
      <w:r>
        <w:rPr>
          <w:rFonts w:hint="eastAsia" w:ascii="宋体" w:hAnsi="宋体"/>
          <w:bCs/>
          <w:sz w:val="24"/>
        </w:rPr>
        <w:t>评分过程中采用四舍五入法，并保留小数2位</w:t>
      </w:r>
      <w:r>
        <w:rPr>
          <w:rFonts w:hint="eastAsia" w:ascii="宋体" w:hAnsi="宋体"/>
          <w:b/>
          <w:bCs/>
          <w:sz w:val="24"/>
        </w:rPr>
        <w:t>（</w:t>
      </w:r>
      <w:r>
        <w:rPr>
          <w:rFonts w:hint="eastAsia" w:ascii="宋体" w:hAnsi="宋体" w:cs="宋体"/>
          <w:b/>
          <w:kern w:val="0"/>
          <w:sz w:val="24"/>
        </w:rPr>
        <w:t>本项目分为4个标项，投标人可根据自身能力选择一个或多个标项参与投标，且</w:t>
      </w:r>
      <w:r>
        <w:rPr>
          <w:rFonts w:hint="eastAsia" w:ascii="宋体" w:hAnsi="宋体" w:cs="宋体"/>
          <w:b/>
          <w:sz w:val="24"/>
        </w:rPr>
        <w:t>可以同时参与多个标项的评审，但一个</w:t>
      </w:r>
      <w:r>
        <w:rPr>
          <w:rFonts w:hint="eastAsia" w:ascii="宋体" w:hAnsi="宋体"/>
          <w:b/>
          <w:sz w:val="24"/>
        </w:rPr>
        <w:t>投标人</w:t>
      </w:r>
      <w:r>
        <w:rPr>
          <w:rFonts w:hint="eastAsia" w:ascii="宋体" w:hAnsi="宋体" w:cs="宋体"/>
          <w:b/>
          <w:sz w:val="24"/>
        </w:rPr>
        <w:t>只能中标一个标项；</w:t>
      </w:r>
      <w:r>
        <w:rPr>
          <w:rFonts w:hint="eastAsia" w:ascii="宋体" w:hAnsi="宋体"/>
          <w:b/>
          <w:bCs/>
          <w:sz w:val="24"/>
        </w:rPr>
        <w:t>按标项1，标项2，标项3，标项4的顺序确定中标人</w:t>
      </w:r>
      <w:r>
        <w:rPr>
          <w:rFonts w:hint="eastAsia" w:ascii="宋体" w:hAnsi="宋体" w:cs="宋体"/>
          <w:b/>
          <w:kern w:val="0"/>
          <w:sz w:val="24"/>
        </w:rPr>
        <w:t>，</w:t>
      </w:r>
      <w:r>
        <w:rPr>
          <w:rFonts w:hint="eastAsia" w:ascii="宋体" w:hAnsi="宋体" w:cs="宋体"/>
          <w:b/>
          <w:sz w:val="24"/>
        </w:rPr>
        <w:t>已中标的</w:t>
      </w:r>
      <w:r>
        <w:rPr>
          <w:rFonts w:hint="eastAsia" w:ascii="宋体" w:hAnsi="宋体"/>
          <w:b/>
          <w:sz w:val="24"/>
        </w:rPr>
        <w:t>投标人</w:t>
      </w:r>
      <w:r>
        <w:rPr>
          <w:rFonts w:hint="eastAsia" w:ascii="宋体" w:hAnsi="宋体" w:cs="宋体"/>
          <w:b/>
          <w:sz w:val="24"/>
        </w:rPr>
        <w:t>仍然进入下一标项的评审，但不再确定为中标人）</w:t>
      </w:r>
      <w:r>
        <w:rPr>
          <w:rFonts w:hint="eastAsia" w:ascii="宋体" w:hAnsi="宋体"/>
          <w:bCs/>
          <w:sz w:val="24"/>
        </w:rPr>
        <w:t>。</w:t>
      </w:r>
    </w:p>
    <w:p>
      <w:pPr>
        <w:spacing w:line="360" w:lineRule="auto"/>
        <w:ind w:firstLine="480" w:firstLineChars="200"/>
        <w:rPr>
          <w:rFonts w:ascii="宋体" w:hAnsi="宋体"/>
          <w:sz w:val="24"/>
        </w:rPr>
      </w:pPr>
      <w:r>
        <w:rPr>
          <w:rFonts w:hint="eastAsia" w:ascii="宋体" w:hAnsi="宋体"/>
          <w:sz w:val="24"/>
        </w:rPr>
        <w:t>投标人评标</w:t>
      </w:r>
      <w:r>
        <w:rPr>
          <w:rFonts w:hint="eastAsia" w:ascii="宋体" w:hAnsi="宋体"/>
          <w:bCs/>
          <w:sz w:val="24"/>
        </w:rPr>
        <w:t>综合得分=价格分+(技术分+商务、资信及其他分)</w:t>
      </w:r>
    </w:p>
    <w:p>
      <w:pPr>
        <w:spacing w:line="360" w:lineRule="auto"/>
        <w:ind w:firstLine="562" w:firstLineChars="200"/>
        <w:rPr>
          <w:rFonts w:ascii="宋体" w:hAnsi="宋体"/>
          <w:b/>
          <w:sz w:val="28"/>
          <w:szCs w:val="28"/>
        </w:rPr>
      </w:pPr>
      <w:r>
        <w:rPr>
          <w:rFonts w:hint="eastAsia" w:ascii="宋体" w:hAnsi="宋体"/>
          <w:b/>
          <w:sz w:val="28"/>
          <w:szCs w:val="28"/>
        </w:rPr>
        <w:t>二、评标内容及标准</w:t>
      </w:r>
    </w:p>
    <w:p>
      <w:pPr>
        <w:pStyle w:val="14"/>
        <w:spacing w:line="360" w:lineRule="auto"/>
        <w:ind w:firstLine="466" w:firstLineChars="200"/>
        <w:rPr>
          <w:rFonts w:hAnsi="宋体"/>
          <w:b/>
          <w:bCs/>
          <w:sz w:val="24"/>
        </w:rPr>
      </w:pPr>
      <w:r>
        <w:rPr>
          <w:rFonts w:hint="eastAsia" w:hAnsi="宋体"/>
          <w:b/>
          <w:sz w:val="24"/>
        </w:rPr>
        <w:t>（一）</w:t>
      </w:r>
      <w:r>
        <w:rPr>
          <w:rFonts w:hint="eastAsia" w:hAnsi="宋体"/>
          <w:b/>
          <w:bCs/>
          <w:sz w:val="24"/>
        </w:rPr>
        <w:t>价格分（30分）</w:t>
      </w:r>
    </w:p>
    <w:p>
      <w:pPr>
        <w:pStyle w:val="14"/>
        <w:spacing w:line="360" w:lineRule="auto"/>
        <w:ind w:firstLine="464" w:firstLineChars="200"/>
        <w:rPr>
          <w:rFonts w:hAnsi="宋体"/>
          <w:bCs/>
          <w:sz w:val="24"/>
          <w:szCs w:val="24"/>
        </w:rPr>
      </w:pPr>
      <w:r>
        <w:rPr>
          <w:rFonts w:hint="eastAsia" w:hAnsi="宋体"/>
          <w:bCs/>
          <w:sz w:val="24"/>
        </w:rPr>
        <w:t>价格分</w:t>
      </w:r>
      <w:r>
        <w:rPr>
          <w:rFonts w:hint="eastAsia" w:hAnsi="宋体"/>
          <w:bCs/>
          <w:sz w:val="24"/>
          <w:szCs w:val="24"/>
        </w:rPr>
        <w:t>采用低价优先法计算，即满足招标文件要求且投标价格最低的投标报价为评标基准价，其他投标人的价格分按照下列公式计算：</w:t>
      </w:r>
    </w:p>
    <w:p>
      <w:pPr>
        <w:spacing w:line="360" w:lineRule="auto"/>
        <w:ind w:firstLine="480" w:firstLineChars="200"/>
        <w:rPr>
          <w:rFonts w:ascii="宋体" w:hAnsi="宋体"/>
          <w:sz w:val="24"/>
        </w:rPr>
      </w:pPr>
      <w:r>
        <w:rPr>
          <w:rFonts w:hint="eastAsia" w:ascii="宋体" w:hAnsi="宋体"/>
          <w:sz w:val="24"/>
        </w:rPr>
        <w:t>价格分=（评标基准价/投标报价）×30%×100</w:t>
      </w:r>
    </w:p>
    <w:p>
      <w:pPr>
        <w:spacing w:line="360" w:lineRule="auto"/>
        <w:ind w:firstLine="466" w:firstLineChars="200"/>
        <w:rPr>
          <w:rFonts w:ascii="宋体" w:hAnsi="宋体"/>
          <w:b/>
          <w:spacing w:val="-4"/>
          <w:sz w:val="24"/>
          <w:szCs w:val="20"/>
        </w:rPr>
      </w:pPr>
      <w:r>
        <w:rPr>
          <w:rFonts w:hint="eastAsia" w:ascii="宋体" w:hAnsi="宋体"/>
          <w:b/>
          <w:spacing w:val="-4"/>
          <w:sz w:val="24"/>
          <w:szCs w:val="20"/>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4"/>
        <w:spacing w:line="360" w:lineRule="auto"/>
        <w:ind w:firstLine="466" w:firstLineChars="200"/>
        <w:rPr>
          <w:rFonts w:hAnsi="宋体"/>
          <w:b/>
          <w:sz w:val="24"/>
        </w:rPr>
      </w:pPr>
      <w:r>
        <w:rPr>
          <w:rFonts w:hint="eastAsia" w:hAnsi="宋体"/>
          <w:b/>
          <w:sz w:val="24"/>
        </w:rPr>
        <w:t>（二）技术、商务、资信及其他分(70分)</w:t>
      </w:r>
    </w:p>
    <w:tbl>
      <w:tblPr>
        <w:tblStyle w:val="33"/>
        <w:tblW w:w="103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00"/>
        <w:tblLayout w:type="fixed"/>
        <w:tblCellMar>
          <w:top w:w="0" w:type="dxa"/>
          <w:left w:w="108" w:type="dxa"/>
          <w:bottom w:w="0" w:type="dxa"/>
          <w:right w:w="108" w:type="dxa"/>
        </w:tblCellMar>
      </w:tblPr>
      <w:tblGrid>
        <w:gridCol w:w="617"/>
        <w:gridCol w:w="1618"/>
        <w:gridCol w:w="7076"/>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00"/>
          <w:tblCellMar>
            <w:top w:w="0" w:type="dxa"/>
            <w:left w:w="108" w:type="dxa"/>
            <w:bottom w:w="0" w:type="dxa"/>
            <w:right w:w="108" w:type="dxa"/>
          </w:tblCellMar>
        </w:tblPrEx>
        <w:tc>
          <w:tcPr>
            <w:tcW w:w="617" w:type="dxa"/>
            <w:shd w:val="clear" w:color="auto" w:fill="auto"/>
            <w:vAlign w:val="center"/>
          </w:tcPr>
          <w:p>
            <w:pPr>
              <w:autoSpaceDE w:val="0"/>
              <w:autoSpaceDN w:val="0"/>
              <w:spacing w:after="120" w:line="369" w:lineRule="exact"/>
              <w:ind w:right="-69" w:rightChars="-33"/>
              <w:jc w:val="center"/>
              <w:rPr>
                <w:rFonts w:ascii="宋体" w:hAnsi="宋体" w:cs="仿宋"/>
                <w:b/>
                <w:color w:val="000000"/>
                <w:kern w:val="0"/>
                <w:sz w:val="24"/>
                <w:lang w:val="zh-CN" w:bidi="zh-CN"/>
              </w:rPr>
            </w:pPr>
            <w:r>
              <w:rPr>
                <w:rFonts w:hint="eastAsia" w:ascii="宋体" w:hAnsi="宋体" w:cs="仿宋"/>
                <w:b/>
                <w:color w:val="000000"/>
                <w:kern w:val="0"/>
                <w:sz w:val="24"/>
                <w:lang w:val="zh-CN" w:bidi="zh-CN"/>
              </w:rPr>
              <w:t>序号</w:t>
            </w:r>
          </w:p>
        </w:tc>
        <w:tc>
          <w:tcPr>
            <w:tcW w:w="1618" w:type="dxa"/>
            <w:shd w:val="clear" w:color="auto" w:fill="auto"/>
            <w:vAlign w:val="center"/>
          </w:tcPr>
          <w:p>
            <w:pPr>
              <w:autoSpaceDE w:val="0"/>
              <w:autoSpaceDN w:val="0"/>
              <w:spacing w:after="120" w:line="369" w:lineRule="exact"/>
              <w:ind w:right="-65" w:rightChars="-31"/>
              <w:jc w:val="center"/>
              <w:rPr>
                <w:rFonts w:ascii="宋体" w:hAnsi="宋体" w:cs="仿宋"/>
                <w:b/>
                <w:color w:val="000000"/>
                <w:kern w:val="0"/>
                <w:sz w:val="24"/>
                <w:lang w:val="zh-CN" w:bidi="zh-CN"/>
              </w:rPr>
            </w:pPr>
            <w:r>
              <w:rPr>
                <w:rFonts w:hint="eastAsia" w:ascii="宋体" w:hAnsi="宋体" w:cs="仿宋"/>
                <w:b/>
                <w:color w:val="000000"/>
                <w:kern w:val="0"/>
                <w:sz w:val="24"/>
                <w:lang w:val="zh-CN" w:bidi="zh-CN"/>
              </w:rPr>
              <w:t>评审内容</w:t>
            </w:r>
          </w:p>
        </w:tc>
        <w:tc>
          <w:tcPr>
            <w:tcW w:w="7076" w:type="dxa"/>
            <w:shd w:val="clear" w:color="auto" w:fill="auto"/>
            <w:vAlign w:val="center"/>
          </w:tcPr>
          <w:p>
            <w:pPr>
              <w:autoSpaceDE w:val="0"/>
              <w:autoSpaceDN w:val="0"/>
              <w:spacing w:after="120" w:line="369" w:lineRule="exact"/>
              <w:ind w:right="-250" w:rightChars="-119"/>
              <w:jc w:val="center"/>
              <w:rPr>
                <w:rFonts w:ascii="宋体" w:hAnsi="宋体" w:cs="仿宋"/>
                <w:b/>
                <w:color w:val="000000"/>
                <w:kern w:val="0"/>
                <w:sz w:val="24"/>
                <w:lang w:val="zh-CN" w:bidi="zh-CN"/>
              </w:rPr>
            </w:pPr>
            <w:r>
              <w:rPr>
                <w:rFonts w:hint="eastAsia" w:ascii="宋体" w:hAnsi="宋体" w:cs="仿宋"/>
                <w:b/>
                <w:color w:val="000000"/>
                <w:kern w:val="0"/>
                <w:sz w:val="24"/>
                <w:lang w:val="zh-CN" w:bidi="zh-CN"/>
              </w:rPr>
              <w:t>评分标准</w:t>
            </w:r>
          </w:p>
        </w:tc>
        <w:tc>
          <w:tcPr>
            <w:tcW w:w="990" w:type="dxa"/>
            <w:shd w:val="clear" w:color="auto" w:fill="auto"/>
            <w:vAlign w:val="center"/>
          </w:tcPr>
          <w:p>
            <w:pPr>
              <w:tabs>
                <w:tab w:val="left" w:pos="634"/>
              </w:tabs>
              <w:autoSpaceDE w:val="0"/>
              <w:autoSpaceDN w:val="0"/>
              <w:spacing w:after="120" w:line="369" w:lineRule="exact"/>
              <w:jc w:val="center"/>
              <w:rPr>
                <w:rFonts w:ascii="宋体" w:hAnsi="宋体" w:cs="仿宋"/>
                <w:b/>
                <w:color w:val="000000"/>
                <w:kern w:val="0"/>
                <w:sz w:val="24"/>
                <w:lang w:val="zh-CN" w:bidi="zh-CN"/>
              </w:rPr>
            </w:pPr>
            <w:r>
              <w:rPr>
                <w:rFonts w:hint="eastAsia" w:ascii="宋体" w:hAnsi="宋体" w:cs="仿宋"/>
                <w:b/>
                <w:color w:val="000000"/>
                <w:kern w:val="0"/>
                <w:sz w:val="24"/>
                <w:lang w:val="zh-CN" w:bidi="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00"/>
          <w:tblCellMar>
            <w:top w:w="0" w:type="dxa"/>
            <w:left w:w="108" w:type="dxa"/>
            <w:bottom w:w="0" w:type="dxa"/>
            <w:right w:w="108" w:type="dxa"/>
          </w:tblCellMar>
        </w:tblPrEx>
        <w:trPr>
          <w:trHeight w:val="500" w:hRule="atLeast"/>
        </w:trPr>
        <w:tc>
          <w:tcPr>
            <w:tcW w:w="617" w:type="dxa"/>
            <w:shd w:val="clear" w:color="auto" w:fill="auto"/>
            <w:vAlign w:val="center"/>
          </w:tcPr>
          <w:p>
            <w:pPr>
              <w:autoSpaceDE w:val="0"/>
              <w:autoSpaceDN w:val="0"/>
              <w:spacing w:after="120" w:line="369" w:lineRule="exact"/>
              <w:ind w:right="-21" w:rightChars="-10"/>
              <w:jc w:val="center"/>
              <w:rPr>
                <w:rFonts w:ascii="宋体" w:hAnsi="宋体" w:cs="仿宋"/>
                <w:b/>
                <w:color w:val="000000"/>
                <w:kern w:val="0"/>
                <w:sz w:val="24"/>
                <w:lang w:val="zh-CN" w:bidi="zh-CN"/>
              </w:rPr>
            </w:pPr>
          </w:p>
        </w:tc>
        <w:tc>
          <w:tcPr>
            <w:tcW w:w="8694" w:type="dxa"/>
            <w:gridSpan w:val="2"/>
            <w:shd w:val="clear" w:color="auto" w:fill="auto"/>
            <w:vAlign w:val="center"/>
          </w:tcPr>
          <w:p>
            <w:pPr>
              <w:autoSpaceDE w:val="0"/>
              <w:autoSpaceDN w:val="0"/>
              <w:spacing w:after="120" w:line="369" w:lineRule="exact"/>
              <w:ind w:right="1470" w:rightChars="700"/>
              <w:jc w:val="center"/>
              <w:rPr>
                <w:rFonts w:ascii="宋体" w:hAnsi="宋体" w:cs="仿宋"/>
                <w:b/>
                <w:color w:val="000000"/>
                <w:kern w:val="0"/>
                <w:sz w:val="24"/>
                <w:lang w:bidi="zh-CN"/>
              </w:rPr>
            </w:pPr>
            <w:r>
              <w:rPr>
                <w:rFonts w:hint="eastAsia" w:ascii="宋体" w:hAnsi="宋体" w:cs="仿宋"/>
                <w:b/>
                <w:color w:val="000000"/>
                <w:kern w:val="0"/>
                <w:sz w:val="24"/>
                <w:lang w:val="zh-CN" w:bidi="zh-CN"/>
              </w:rPr>
              <w:t>技术分</w:t>
            </w:r>
          </w:p>
        </w:tc>
        <w:tc>
          <w:tcPr>
            <w:tcW w:w="990" w:type="dxa"/>
            <w:shd w:val="clear" w:color="auto" w:fill="auto"/>
            <w:vAlign w:val="center"/>
          </w:tcPr>
          <w:p>
            <w:pPr>
              <w:autoSpaceDE w:val="0"/>
              <w:autoSpaceDN w:val="0"/>
              <w:spacing w:after="120" w:line="369" w:lineRule="exact"/>
              <w:ind w:firstLine="41" w:firstLineChars="17"/>
              <w:rPr>
                <w:rFonts w:ascii="宋体" w:hAnsi="宋体" w:cs="仿宋"/>
                <w:b/>
                <w:color w:val="000000"/>
                <w:kern w:val="0"/>
                <w:sz w:val="24"/>
                <w:lang w:val="zh-CN" w:bidi="zh-CN"/>
              </w:rPr>
            </w:pPr>
            <w:r>
              <w:rPr>
                <w:rFonts w:hint="eastAsia" w:ascii="宋体" w:hAnsi="宋体" w:cs="仿宋"/>
                <w:b/>
                <w:color w:val="000000"/>
                <w:kern w:val="0"/>
                <w:sz w:val="24"/>
                <w:lang w:val="zh-CN" w:bidi="zh-CN"/>
              </w:rPr>
              <w:t>5</w:t>
            </w:r>
            <w:r>
              <w:rPr>
                <w:rFonts w:hint="eastAsia" w:ascii="宋体" w:hAnsi="宋体" w:cs="仿宋"/>
                <w:b/>
                <w:color w:val="000000"/>
                <w:kern w:val="0"/>
                <w:sz w:val="24"/>
                <w:lang w:bidi="zh-CN"/>
              </w:rPr>
              <w:t>2</w:t>
            </w:r>
            <w:r>
              <w:rPr>
                <w:rFonts w:hint="eastAsia" w:ascii="宋体" w:hAnsi="宋体"/>
                <w:b/>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00"/>
          <w:tblCellMar>
            <w:top w:w="0" w:type="dxa"/>
            <w:left w:w="108" w:type="dxa"/>
            <w:bottom w:w="0" w:type="dxa"/>
            <w:right w:w="108" w:type="dxa"/>
          </w:tblCellMar>
        </w:tblPrEx>
        <w:trPr>
          <w:trHeight w:val="531" w:hRule="atLeast"/>
        </w:trPr>
        <w:tc>
          <w:tcPr>
            <w:tcW w:w="617" w:type="dxa"/>
            <w:shd w:val="clear" w:color="auto" w:fill="auto"/>
            <w:vAlign w:val="center"/>
          </w:tcPr>
          <w:p>
            <w:pPr>
              <w:widowControl/>
              <w:jc w:val="left"/>
              <w:rPr>
                <w:rFonts w:ascii="宋体" w:hAnsi="宋体"/>
                <w:color w:val="000000"/>
                <w:sz w:val="24"/>
              </w:rPr>
            </w:pPr>
            <w:r>
              <w:rPr>
                <w:rFonts w:hint="eastAsia" w:ascii="宋体" w:hAnsi="宋体"/>
                <w:color w:val="000000"/>
                <w:sz w:val="24"/>
              </w:rPr>
              <w:t>1</w:t>
            </w:r>
          </w:p>
        </w:tc>
        <w:tc>
          <w:tcPr>
            <w:tcW w:w="1618" w:type="dxa"/>
            <w:shd w:val="clear" w:color="auto" w:fill="auto"/>
            <w:vAlign w:val="center"/>
          </w:tcPr>
          <w:p>
            <w:pPr>
              <w:widowControl/>
              <w:jc w:val="left"/>
              <w:rPr>
                <w:rFonts w:ascii="宋体" w:hAnsi="宋体"/>
                <w:color w:val="000000"/>
                <w:sz w:val="24"/>
              </w:rPr>
            </w:pPr>
            <w:r>
              <w:rPr>
                <w:rFonts w:hint="eastAsia" w:ascii="宋体" w:hAnsi="宋体"/>
                <w:color w:val="000000"/>
                <w:sz w:val="24"/>
              </w:rPr>
              <w:t>满足招标项目的性能及技术指标要求</w:t>
            </w:r>
          </w:p>
        </w:tc>
        <w:tc>
          <w:tcPr>
            <w:tcW w:w="7076" w:type="dxa"/>
            <w:shd w:val="clear" w:color="auto" w:fill="auto"/>
            <w:vAlign w:val="center"/>
          </w:tcPr>
          <w:p>
            <w:pPr>
              <w:widowControl/>
              <w:jc w:val="left"/>
              <w:rPr>
                <w:sz w:val="24"/>
              </w:rPr>
            </w:pPr>
            <w:r>
              <w:rPr>
                <w:rFonts w:hint="eastAsia" w:ascii="宋体" w:hAnsi="宋体"/>
                <w:color w:val="000000"/>
                <w:sz w:val="24"/>
              </w:rPr>
              <w:t>满足招标文件要求的</w:t>
            </w:r>
            <w:r>
              <w:rPr>
                <w:rFonts w:hint="eastAsia" w:ascii="宋体" w:hAnsi="宋体" w:cs="宋体"/>
                <w:color w:val="000000"/>
                <w:kern w:val="0"/>
                <w:sz w:val="24"/>
              </w:rPr>
              <w:t>部件整体性能、技术参数、技术规格、技术规范和技术要求的</w:t>
            </w:r>
            <w:r>
              <w:rPr>
                <w:rFonts w:hint="eastAsia" w:ascii="宋体" w:hAnsi="宋体"/>
                <w:color w:val="000000"/>
                <w:sz w:val="24"/>
              </w:rPr>
              <w:t>，得基本3分；</w:t>
            </w:r>
            <w:r>
              <w:rPr>
                <w:rFonts w:hint="eastAsia" w:ascii="宋体" w:hAnsi="宋体" w:cs="宋体"/>
                <w:color w:val="000000"/>
                <w:kern w:val="0"/>
                <w:sz w:val="24"/>
              </w:rPr>
              <w:t>优于招标文件要求的部件整体性能、技术参数、技术规格、技术规范和技术要求的，</w:t>
            </w:r>
            <w:r>
              <w:rPr>
                <w:rFonts w:hint="eastAsia" w:ascii="宋体" w:hAnsi="宋体" w:cs="宋体"/>
                <w:color w:val="000000"/>
                <w:kern w:val="0"/>
                <w:sz w:val="24"/>
                <w:lang w:bidi="ar"/>
              </w:rPr>
              <w:t>每优于一项加 1 分，</w:t>
            </w:r>
            <w:r>
              <w:rPr>
                <w:rFonts w:hint="eastAsia" w:ascii="宋体" w:hAnsi="宋体" w:cs="宋体"/>
                <w:color w:val="000000"/>
                <w:kern w:val="0"/>
                <w:sz w:val="24"/>
              </w:rPr>
              <w:t>总加分不得超过 7 分；低于招标文件要求的部件整体性能、技术参数、技术规格、技术规范和技术要求的</w:t>
            </w:r>
            <w:r>
              <w:rPr>
                <w:rFonts w:hint="eastAsia" w:ascii="宋体" w:hAnsi="宋体" w:cs="宋体"/>
                <w:color w:val="000000"/>
                <w:kern w:val="0"/>
                <w:sz w:val="24"/>
                <w:lang w:bidi="ar"/>
              </w:rPr>
              <w:t>，每低于一项扣 1 分</w:t>
            </w:r>
            <w:r>
              <w:rPr>
                <w:rFonts w:hint="eastAsia" w:ascii="宋体" w:hAnsi="宋体" w:cs="宋体"/>
                <w:color w:val="000000"/>
                <w:kern w:val="0"/>
                <w:sz w:val="24"/>
              </w:rPr>
              <w:t>；扣完为止。</w:t>
            </w:r>
          </w:p>
        </w:tc>
        <w:tc>
          <w:tcPr>
            <w:tcW w:w="990" w:type="dxa"/>
            <w:shd w:val="clear" w:color="auto" w:fill="auto"/>
            <w:vAlign w:val="center"/>
          </w:tcPr>
          <w:p>
            <w:pPr>
              <w:widowControl/>
              <w:jc w:val="left"/>
              <w:rPr>
                <w:rFonts w:ascii="宋体" w:hAnsi="宋体"/>
                <w:color w:val="000000"/>
                <w:sz w:val="24"/>
              </w:rPr>
            </w:pPr>
            <w:r>
              <w:rPr>
                <w:rFonts w:hint="eastAsia" w:ascii="宋体" w:hAnsi="宋体"/>
                <w:color w:val="000000"/>
                <w:sz w:val="24"/>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00"/>
          <w:tblCellMar>
            <w:top w:w="0" w:type="dxa"/>
            <w:left w:w="108" w:type="dxa"/>
            <w:bottom w:w="0" w:type="dxa"/>
            <w:right w:w="108" w:type="dxa"/>
          </w:tblCellMar>
        </w:tblPrEx>
        <w:trPr>
          <w:trHeight w:val="380" w:hRule="atLeast"/>
        </w:trPr>
        <w:tc>
          <w:tcPr>
            <w:tcW w:w="617" w:type="dxa"/>
            <w:shd w:val="clear" w:color="auto" w:fill="auto"/>
            <w:vAlign w:val="center"/>
          </w:tcPr>
          <w:p>
            <w:pPr>
              <w:widowControl/>
              <w:jc w:val="left"/>
              <w:rPr>
                <w:rFonts w:ascii="宋体" w:hAnsi="宋体"/>
                <w:color w:val="000000"/>
                <w:sz w:val="24"/>
              </w:rPr>
            </w:pPr>
            <w:r>
              <w:rPr>
                <w:rFonts w:hint="eastAsia" w:ascii="宋体" w:hAnsi="宋体"/>
                <w:color w:val="000000"/>
                <w:sz w:val="24"/>
              </w:rPr>
              <w:t>2</w:t>
            </w:r>
          </w:p>
        </w:tc>
        <w:tc>
          <w:tcPr>
            <w:tcW w:w="1618" w:type="dxa"/>
            <w:shd w:val="clear" w:color="auto" w:fill="auto"/>
            <w:vAlign w:val="center"/>
          </w:tcPr>
          <w:p>
            <w:pPr>
              <w:pStyle w:val="14"/>
              <w:spacing w:before="120" w:beforeLines="50" w:after="120" w:afterLines="50" w:line="240" w:lineRule="auto"/>
              <w:ind w:firstLine="0"/>
              <w:jc w:val="left"/>
              <w:rPr>
                <w:rFonts w:hAnsi="宋体"/>
                <w:spacing w:val="0"/>
                <w:sz w:val="24"/>
                <w:szCs w:val="24"/>
              </w:rPr>
            </w:pPr>
            <w:r>
              <w:rPr>
                <w:rFonts w:hint="eastAsia" w:hAnsi="宋体"/>
                <w:spacing w:val="0"/>
                <w:sz w:val="24"/>
                <w:szCs w:val="24"/>
              </w:rPr>
              <w:t>实施方案</w:t>
            </w:r>
          </w:p>
        </w:tc>
        <w:tc>
          <w:tcPr>
            <w:tcW w:w="7076" w:type="dxa"/>
            <w:shd w:val="clear" w:color="auto" w:fill="auto"/>
            <w:vAlign w:val="center"/>
          </w:tcPr>
          <w:p>
            <w:pPr>
              <w:adjustRightInd w:val="0"/>
              <w:spacing w:before="120" w:beforeLines="50" w:line="240" w:lineRule="atLeast"/>
              <w:jc w:val="left"/>
              <w:rPr>
                <w:rFonts w:ascii="宋体" w:hAnsi="宋体"/>
                <w:sz w:val="24"/>
              </w:rPr>
            </w:pPr>
            <w:r>
              <w:rPr>
                <w:rFonts w:hint="eastAsia" w:ascii="宋体" w:hAnsi="宋体"/>
                <w:sz w:val="24"/>
              </w:rPr>
              <w:t>对本项目的掌握程度，提供详细的解决方案。方案科学、合理、实用可靠，能完全满足招标人需求的得5分，方案中有不合理或不适合本项目开展的内容，每项扣0.5分，扣完为止。</w:t>
            </w:r>
          </w:p>
        </w:tc>
        <w:tc>
          <w:tcPr>
            <w:tcW w:w="990" w:type="dxa"/>
            <w:shd w:val="clear" w:color="auto" w:fill="auto"/>
            <w:vAlign w:val="center"/>
          </w:tcPr>
          <w:p>
            <w:pPr>
              <w:widowControl/>
              <w:spacing w:after="120"/>
              <w:jc w:val="left"/>
              <w:rPr>
                <w:rFonts w:ascii="宋体" w:hAnsi="宋体"/>
                <w:sz w:val="24"/>
              </w:rPr>
            </w:pPr>
            <w:r>
              <w:rPr>
                <w:rFonts w:hint="eastAsia" w:ascii="宋体" w:hAnsi="宋体"/>
                <w:sz w:val="24"/>
              </w:rPr>
              <w:t>5</w:t>
            </w:r>
            <w:r>
              <w:rPr>
                <w:rFonts w:ascii="宋体" w:hAnsi="宋体"/>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00"/>
          <w:tblCellMar>
            <w:top w:w="0" w:type="dxa"/>
            <w:left w:w="108" w:type="dxa"/>
            <w:bottom w:w="0" w:type="dxa"/>
            <w:right w:w="108" w:type="dxa"/>
          </w:tblCellMar>
        </w:tblPrEx>
        <w:trPr>
          <w:trHeight w:val="380" w:hRule="atLeast"/>
        </w:trPr>
        <w:tc>
          <w:tcPr>
            <w:tcW w:w="617" w:type="dxa"/>
            <w:shd w:val="clear" w:color="auto" w:fill="auto"/>
            <w:vAlign w:val="center"/>
          </w:tcPr>
          <w:p>
            <w:pPr>
              <w:widowControl/>
              <w:jc w:val="left"/>
              <w:rPr>
                <w:rFonts w:ascii="宋体" w:hAnsi="宋体"/>
                <w:color w:val="000000"/>
                <w:sz w:val="24"/>
              </w:rPr>
            </w:pPr>
            <w:r>
              <w:rPr>
                <w:rFonts w:hint="eastAsia" w:ascii="宋体" w:hAnsi="宋体"/>
                <w:color w:val="000000"/>
                <w:sz w:val="24"/>
              </w:rPr>
              <w:t>3</w:t>
            </w:r>
          </w:p>
        </w:tc>
        <w:tc>
          <w:tcPr>
            <w:tcW w:w="1618" w:type="dxa"/>
            <w:shd w:val="clear" w:color="auto" w:fill="auto"/>
            <w:vAlign w:val="center"/>
          </w:tcPr>
          <w:p>
            <w:pPr>
              <w:widowControl/>
              <w:jc w:val="left"/>
              <w:rPr>
                <w:rFonts w:ascii="宋体" w:hAnsi="宋体"/>
                <w:color w:val="000000"/>
                <w:sz w:val="24"/>
              </w:rPr>
            </w:pPr>
            <w:r>
              <w:rPr>
                <w:rFonts w:hint="eastAsia" w:ascii="宋体" w:hAnsi="宋体"/>
                <w:color w:val="000000"/>
                <w:sz w:val="24"/>
              </w:rPr>
              <w:t>确保供应货物质量的设施及措施</w:t>
            </w:r>
          </w:p>
        </w:tc>
        <w:tc>
          <w:tcPr>
            <w:tcW w:w="7076" w:type="dxa"/>
            <w:shd w:val="clear" w:color="auto" w:fill="auto"/>
            <w:vAlign w:val="center"/>
          </w:tcPr>
          <w:p>
            <w:pPr>
              <w:widowControl/>
              <w:jc w:val="left"/>
              <w:rPr>
                <w:rFonts w:ascii="宋体" w:hAnsi="宋体"/>
                <w:color w:val="000000"/>
                <w:sz w:val="24"/>
              </w:rPr>
            </w:pPr>
            <w:r>
              <w:rPr>
                <w:rFonts w:hint="eastAsia" w:ascii="宋体" w:hAnsi="宋体"/>
                <w:color w:val="000000"/>
                <w:sz w:val="24"/>
              </w:rPr>
              <w:t>根据采购项目的特点及要求保证货物产品质量的技术及措施，有严密的质量监控措施和先进的质量检测设施的得4分，质量监控措施和质量检测设施不完善的，每项扣0.5分，扣完该项得分为止；无质量控制措施的扣2分，无质量检测设施的扣2分。</w:t>
            </w:r>
          </w:p>
        </w:tc>
        <w:tc>
          <w:tcPr>
            <w:tcW w:w="990" w:type="dxa"/>
            <w:shd w:val="clear" w:color="auto" w:fill="auto"/>
            <w:vAlign w:val="center"/>
          </w:tcPr>
          <w:p>
            <w:pPr>
              <w:widowControl/>
              <w:jc w:val="left"/>
              <w:rPr>
                <w:rFonts w:ascii="宋体" w:hAnsi="宋体"/>
                <w:color w:val="000000"/>
                <w:sz w:val="24"/>
              </w:rPr>
            </w:pPr>
            <w:r>
              <w:rPr>
                <w:rFonts w:hint="eastAsia" w:ascii="宋体" w:hAnsi="宋体"/>
                <w:color w:val="000000"/>
                <w:sz w:val="24"/>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00"/>
          <w:tblCellMar>
            <w:top w:w="0" w:type="dxa"/>
            <w:left w:w="108" w:type="dxa"/>
            <w:bottom w:w="0" w:type="dxa"/>
            <w:right w:w="108" w:type="dxa"/>
          </w:tblCellMar>
        </w:tblPrEx>
        <w:trPr>
          <w:trHeight w:val="380" w:hRule="atLeast"/>
        </w:trPr>
        <w:tc>
          <w:tcPr>
            <w:tcW w:w="617" w:type="dxa"/>
            <w:shd w:val="clear" w:color="auto" w:fill="auto"/>
            <w:vAlign w:val="center"/>
          </w:tcPr>
          <w:p>
            <w:pPr>
              <w:widowControl/>
              <w:jc w:val="left"/>
              <w:rPr>
                <w:rFonts w:ascii="宋体" w:hAnsi="宋体"/>
                <w:color w:val="000000"/>
                <w:sz w:val="24"/>
              </w:rPr>
            </w:pPr>
            <w:r>
              <w:rPr>
                <w:rFonts w:hint="eastAsia" w:ascii="宋体" w:hAnsi="宋体"/>
                <w:color w:val="000000"/>
                <w:sz w:val="24"/>
              </w:rPr>
              <w:t>4</w:t>
            </w:r>
          </w:p>
        </w:tc>
        <w:tc>
          <w:tcPr>
            <w:tcW w:w="1618" w:type="dxa"/>
            <w:shd w:val="clear" w:color="auto" w:fill="auto"/>
            <w:vAlign w:val="center"/>
          </w:tcPr>
          <w:p>
            <w:pPr>
              <w:widowControl/>
              <w:jc w:val="left"/>
              <w:rPr>
                <w:rFonts w:ascii="宋体" w:hAnsi="宋体"/>
                <w:color w:val="000000"/>
                <w:sz w:val="24"/>
              </w:rPr>
            </w:pPr>
            <w:r>
              <w:rPr>
                <w:rFonts w:hint="eastAsia" w:ascii="宋体" w:hAnsi="宋体"/>
                <w:color w:val="000000"/>
                <w:sz w:val="24"/>
              </w:rPr>
              <w:t>保证交货期的施工组织方案和措施</w:t>
            </w:r>
          </w:p>
        </w:tc>
        <w:tc>
          <w:tcPr>
            <w:tcW w:w="7076" w:type="dxa"/>
            <w:shd w:val="clear" w:color="auto" w:fill="auto"/>
            <w:vAlign w:val="center"/>
          </w:tcPr>
          <w:p>
            <w:pPr>
              <w:widowControl/>
              <w:jc w:val="left"/>
              <w:rPr>
                <w:rFonts w:ascii="宋体" w:hAnsi="宋体"/>
                <w:color w:val="000000"/>
                <w:sz w:val="24"/>
              </w:rPr>
            </w:pPr>
            <w:r>
              <w:rPr>
                <w:rFonts w:hint="eastAsia" w:ascii="宋体" w:hAnsi="宋体"/>
                <w:color w:val="000000"/>
                <w:sz w:val="24"/>
              </w:rPr>
              <w:t>确保项目交货期，施工组织方案措施（包括：施工组织机构和分工安排；施工进度安排；工期控制措施；应急预案等）切实可行的得5分；方案措施不完善的，每项扣</w:t>
            </w:r>
            <w:r>
              <w:rPr>
                <w:rFonts w:ascii="宋体" w:hAnsi="宋体"/>
                <w:color w:val="000000"/>
                <w:sz w:val="24"/>
              </w:rPr>
              <w:t>0.5</w:t>
            </w:r>
            <w:r>
              <w:rPr>
                <w:rFonts w:hint="eastAsia" w:ascii="宋体" w:hAnsi="宋体"/>
                <w:color w:val="000000"/>
                <w:sz w:val="24"/>
              </w:rPr>
              <w:t>分，扣完该项得分为止；无方案无措施的不得分。</w:t>
            </w:r>
          </w:p>
        </w:tc>
        <w:tc>
          <w:tcPr>
            <w:tcW w:w="990" w:type="dxa"/>
            <w:shd w:val="clear" w:color="auto" w:fill="auto"/>
            <w:vAlign w:val="center"/>
          </w:tcPr>
          <w:p>
            <w:pPr>
              <w:widowControl/>
              <w:jc w:val="left"/>
              <w:rPr>
                <w:rFonts w:ascii="宋体" w:hAnsi="宋体"/>
                <w:color w:val="000000"/>
                <w:sz w:val="24"/>
              </w:rPr>
            </w:pPr>
            <w:r>
              <w:rPr>
                <w:rFonts w:hint="eastAsia" w:ascii="宋体" w:hAnsi="宋体"/>
                <w:color w:val="000000"/>
                <w:sz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00"/>
          <w:tblCellMar>
            <w:top w:w="0" w:type="dxa"/>
            <w:left w:w="108" w:type="dxa"/>
            <w:bottom w:w="0" w:type="dxa"/>
            <w:right w:w="108" w:type="dxa"/>
          </w:tblCellMar>
        </w:tblPrEx>
        <w:trPr>
          <w:trHeight w:val="380" w:hRule="atLeast"/>
        </w:trPr>
        <w:tc>
          <w:tcPr>
            <w:tcW w:w="617" w:type="dxa"/>
            <w:shd w:val="clear" w:color="auto" w:fill="auto"/>
            <w:vAlign w:val="center"/>
          </w:tcPr>
          <w:p>
            <w:pPr>
              <w:widowControl/>
              <w:jc w:val="left"/>
              <w:rPr>
                <w:rFonts w:ascii="宋体" w:hAnsi="宋体"/>
                <w:color w:val="000000"/>
                <w:sz w:val="24"/>
              </w:rPr>
            </w:pPr>
            <w:r>
              <w:rPr>
                <w:rFonts w:hint="eastAsia" w:ascii="宋体" w:hAnsi="宋体"/>
                <w:color w:val="000000"/>
                <w:sz w:val="24"/>
              </w:rPr>
              <w:t>5</w:t>
            </w:r>
          </w:p>
        </w:tc>
        <w:tc>
          <w:tcPr>
            <w:tcW w:w="1618" w:type="dxa"/>
            <w:shd w:val="clear" w:color="auto" w:fill="auto"/>
            <w:vAlign w:val="center"/>
          </w:tcPr>
          <w:p>
            <w:pPr>
              <w:widowControl/>
              <w:jc w:val="left"/>
              <w:rPr>
                <w:rFonts w:ascii="宋体" w:hAnsi="宋体"/>
                <w:color w:val="000000"/>
                <w:sz w:val="24"/>
              </w:rPr>
            </w:pPr>
            <w:r>
              <w:rPr>
                <w:rFonts w:hint="eastAsia" w:ascii="宋体" w:hAnsi="宋体"/>
                <w:color w:val="000000"/>
                <w:sz w:val="24"/>
              </w:rPr>
              <w:t>安装、调试、验收的方案和措施</w:t>
            </w:r>
          </w:p>
        </w:tc>
        <w:tc>
          <w:tcPr>
            <w:tcW w:w="7076" w:type="dxa"/>
            <w:shd w:val="clear" w:color="auto" w:fill="auto"/>
            <w:vAlign w:val="center"/>
          </w:tcPr>
          <w:p>
            <w:pPr>
              <w:widowControl/>
              <w:jc w:val="left"/>
              <w:rPr>
                <w:rFonts w:ascii="宋体" w:hAnsi="宋体"/>
                <w:color w:val="000000"/>
                <w:sz w:val="24"/>
              </w:rPr>
            </w:pPr>
            <w:r>
              <w:rPr>
                <w:rFonts w:hint="eastAsia" w:ascii="宋体" w:hAnsi="宋体"/>
                <w:color w:val="000000"/>
                <w:sz w:val="24"/>
              </w:rPr>
              <w:t>安装、调试、验收各阶段的方案和措施能结合本项目特点，切实可行的，得5分；方案措施不完善的，每项扣</w:t>
            </w:r>
            <w:r>
              <w:rPr>
                <w:rFonts w:ascii="宋体" w:hAnsi="宋体"/>
                <w:color w:val="000000"/>
                <w:sz w:val="24"/>
              </w:rPr>
              <w:t>0.5</w:t>
            </w:r>
            <w:r>
              <w:rPr>
                <w:rFonts w:hint="eastAsia" w:ascii="宋体" w:hAnsi="宋体"/>
                <w:color w:val="000000"/>
                <w:sz w:val="24"/>
              </w:rPr>
              <w:t>分，扣完该项得分为止；无方案无措施的不得分。</w:t>
            </w:r>
          </w:p>
        </w:tc>
        <w:tc>
          <w:tcPr>
            <w:tcW w:w="990" w:type="dxa"/>
            <w:shd w:val="clear" w:color="auto" w:fill="auto"/>
            <w:vAlign w:val="center"/>
          </w:tcPr>
          <w:p>
            <w:pPr>
              <w:widowControl/>
              <w:jc w:val="left"/>
              <w:rPr>
                <w:rFonts w:ascii="宋体" w:hAnsi="宋体"/>
                <w:color w:val="000000"/>
                <w:sz w:val="24"/>
              </w:rPr>
            </w:pPr>
            <w:r>
              <w:rPr>
                <w:rFonts w:hint="eastAsia" w:ascii="宋体" w:hAnsi="宋体"/>
                <w:color w:val="000000"/>
                <w:sz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00"/>
          <w:tblCellMar>
            <w:top w:w="0" w:type="dxa"/>
            <w:left w:w="108" w:type="dxa"/>
            <w:bottom w:w="0" w:type="dxa"/>
            <w:right w:w="108" w:type="dxa"/>
          </w:tblCellMar>
        </w:tblPrEx>
        <w:trPr>
          <w:trHeight w:val="380" w:hRule="atLeast"/>
        </w:trPr>
        <w:tc>
          <w:tcPr>
            <w:tcW w:w="617" w:type="dxa"/>
            <w:shd w:val="clear" w:color="auto" w:fill="auto"/>
            <w:vAlign w:val="center"/>
          </w:tcPr>
          <w:p>
            <w:pPr>
              <w:widowControl/>
              <w:jc w:val="left"/>
              <w:rPr>
                <w:rFonts w:ascii="宋体" w:hAnsi="宋体"/>
                <w:color w:val="000000"/>
                <w:sz w:val="24"/>
              </w:rPr>
            </w:pPr>
            <w:r>
              <w:rPr>
                <w:rFonts w:hint="eastAsia" w:ascii="宋体" w:hAnsi="宋体"/>
                <w:color w:val="000000"/>
                <w:sz w:val="24"/>
              </w:rPr>
              <w:t>6</w:t>
            </w:r>
          </w:p>
        </w:tc>
        <w:tc>
          <w:tcPr>
            <w:tcW w:w="1618" w:type="dxa"/>
            <w:shd w:val="clear" w:color="auto" w:fill="auto"/>
            <w:vAlign w:val="center"/>
          </w:tcPr>
          <w:p>
            <w:pPr>
              <w:widowControl/>
              <w:jc w:val="left"/>
              <w:rPr>
                <w:rFonts w:ascii="宋体" w:hAnsi="宋体"/>
                <w:sz w:val="24"/>
                <w:highlight w:val="yellow"/>
              </w:rPr>
            </w:pPr>
            <w:r>
              <w:rPr>
                <w:rFonts w:hint="eastAsia" w:ascii="宋体" w:hAnsi="宋体"/>
                <w:sz w:val="24"/>
              </w:rPr>
              <w:t>拟投入本项目设备</w:t>
            </w:r>
          </w:p>
        </w:tc>
        <w:tc>
          <w:tcPr>
            <w:tcW w:w="7076" w:type="dxa"/>
            <w:shd w:val="clear" w:color="auto" w:fill="auto"/>
            <w:vAlign w:val="center"/>
          </w:tcPr>
          <w:p>
            <w:pPr>
              <w:widowControl/>
              <w:jc w:val="left"/>
              <w:rPr>
                <w:rFonts w:ascii="宋体" w:hAnsi="宋体"/>
                <w:sz w:val="24"/>
                <w:highlight w:val="yellow"/>
              </w:rPr>
            </w:pPr>
            <w:r>
              <w:rPr>
                <w:rFonts w:hint="eastAsia" w:ascii="宋体" w:hAnsi="宋体" w:cs="宋体"/>
                <w:kern w:val="0"/>
                <w:sz w:val="24"/>
              </w:rPr>
              <w:t>投标人或产品（含部件）制造商提供的制造装备如开料机、封边机、冷（热）压机、涂装设备、切割设备、弯管机、焊接设备、抛光机、钻床，包括但并不限于以上所列举，所提供设备应符合本项目产品生产要求。每提供一项得 0.5 分，最高3分。</w:t>
            </w:r>
            <w:r>
              <w:rPr>
                <w:rFonts w:hint="eastAsia" w:ascii="宋体" w:hAnsi="宋体" w:cs="宋体"/>
                <w:b/>
                <w:bCs/>
                <w:kern w:val="0"/>
                <w:sz w:val="24"/>
              </w:rPr>
              <w:t>注：需提供设备购置发票或租赁合同的复印件（或扫描件）及设备照片，未提供发票或租赁合同复印件（或扫描件）及设备照片不得分。</w:t>
            </w:r>
          </w:p>
        </w:tc>
        <w:tc>
          <w:tcPr>
            <w:tcW w:w="990" w:type="dxa"/>
            <w:shd w:val="clear" w:color="auto" w:fill="auto"/>
            <w:vAlign w:val="center"/>
          </w:tcPr>
          <w:p>
            <w:pPr>
              <w:widowControl/>
              <w:jc w:val="left"/>
              <w:rPr>
                <w:rFonts w:ascii="宋体" w:hAnsi="宋体"/>
                <w:color w:val="000000"/>
                <w:sz w:val="24"/>
                <w:highlight w:val="yellow"/>
              </w:rPr>
            </w:pPr>
            <w:r>
              <w:rPr>
                <w:rFonts w:hint="eastAsia" w:ascii="宋体" w:hAnsi="宋体"/>
                <w:color w:val="000000"/>
                <w:sz w:val="24"/>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00"/>
          <w:tblCellMar>
            <w:top w:w="0" w:type="dxa"/>
            <w:left w:w="108" w:type="dxa"/>
            <w:bottom w:w="0" w:type="dxa"/>
            <w:right w:w="108" w:type="dxa"/>
          </w:tblCellMar>
        </w:tblPrEx>
        <w:trPr>
          <w:trHeight w:val="380" w:hRule="atLeast"/>
        </w:trPr>
        <w:tc>
          <w:tcPr>
            <w:tcW w:w="617" w:type="dxa"/>
            <w:shd w:val="clear" w:color="auto" w:fill="auto"/>
            <w:vAlign w:val="center"/>
          </w:tcPr>
          <w:p>
            <w:pPr>
              <w:widowControl/>
              <w:jc w:val="left"/>
              <w:rPr>
                <w:rFonts w:ascii="宋体" w:hAnsi="宋体"/>
                <w:color w:val="000000"/>
                <w:sz w:val="24"/>
              </w:rPr>
            </w:pPr>
            <w:r>
              <w:rPr>
                <w:rFonts w:hint="eastAsia" w:ascii="宋体" w:hAnsi="宋体"/>
                <w:color w:val="000000"/>
                <w:sz w:val="24"/>
              </w:rPr>
              <w:t>7</w:t>
            </w:r>
          </w:p>
        </w:tc>
        <w:tc>
          <w:tcPr>
            <w:tcW w:w="1618" w:type="dxa"/>
            <w:shd w:val="clear" w:color="auto" w:fill="auto"/>
            <w:vAlign w:val="center"/>
          </w:tcPr>
          <w:p>
            <w:pPr>
              <w:widowControl/>
              <w:jc w:val="left"/>
              <w:rPr>
                <w:rFonts w:ascii="宋体" w:hAnsi="宋体"/>
                <w:color w:val="000000"/>
                <w:sz w:val="24"/>
              </w:rPr>
            </w:pPr>
            <w:r>
              <w:rPr>
                <w:rFonts w:hint="eastAsia" w:ascii="宋体" w:hAnsi="宋体" w:cs="宋体"/>
                <w:b/>
                <w:bCs/>
                <w:color w:val="000000"/>
                <w:kern w:val="0"/>
                <w:sz w:val="24"/>
              </w:rPr>
              <w:t>检测报告</w:t>
            </w:r>
          </w:p>
        </w:tc>
        <w:tc>
          <w:tcPr>
            <w:tcW w:w="7076" w:type="dxa"/>
            <w:shd w:val="clear" w:color="auto" w:fill="auto"/>
            <w:vAlign w:val="center"/>
          </w:tcPr>
          <w:p>
            <w:pPr>
              <w:widowControl/>
              <w:jc w:val="left"/>
              <w:rPr>
                <w:rFonts w:ascii="宋体" w:hAnsi="宋体"/>
                <w:sz w:val="24"/>
              </w:rPr>
            </w:pPr>
            <w:r>
              <w:rPr>
                <w:rFonts w:hint="eastAsia" w:ascii="宋体" w:hAnsi="宋体"/>
                <w:sz w:val="24"/>
              </w:rPr>
              <w:t xml:space="preserve">提供 2021 年 1 月 1 日至今由第三方检测机构对产品的检测（提供具有 CMA 或 CNAS 认证的检测机构出具的合格检测报告）： </w:t>
            </w:r>
          </w:p>
          <w:p>
            <w:pPr>
              <w:widowControl/>
              <w:jc w:val="left"/>
              <w:rPr>
                <w:rFonts w:ascii="宋体" w:hAnsi="宋体"/>
                <w:sz w:val="24"/>
              </w:rPr>
            </w:pPr>
            <w:r>
              <w:rPr>
                <w:rFonts w:hint="eastAsia" w:ascii="宋体" w:hAnsi="宋体"/>
                <w:sz w:val="24"/>
              </w:rPr>
              <w:t xml:space="preserve">1、成品合格的检测报告（0-2 分） </w:t>
            </w:r>
          </w:p>
          <w:p>
            <w:pPr>
              <w:widowControl/>
              <w:jc w:val="left"/>
              <w:rPr>
                <w:rFonts w:ascii="宋体" w:hAnsi="宋体"/>
                <w:sz w:val="24"/>
              </w:rPr>
            </w:pPr>
            <w:r>
              <w:rPr>
                <w:rFonts w:hint="eastAsia" w:ascii="宋体" w:hAnsi="宋体"/>
                <w:sz w:val="24"/>
              </w:rPr>
              <w:t xml:space="preserve">1.1手摇式“课桌、课椅”或手摇式“课桌椅”需经全项检测，符合QB/T4071–2021 标准，包括功能和甲醛释放量符合国家标准。检测报告需对应为本文件需求的产品，检测符合项目不少于 19 项，全部符合得 2 分，不符合要求或未提供不得分。 </w:t>
            </w:r>
          </w:p>
          <w:p>
            <w:pPr>
              <w:widowControl/>
              <w:jc w:val="left"/>
              <w:rPr>
                <w:rFonts w:ascii="宋体" w:hAnsi="宋体"/>
                <w:sz w:val="24"/>
              </w:rPr>
            </w:pPr>
            <w:r>
              <w:rPr>
                <w:rFonts w:hint="eastAsia" w:ascii="宋体" w:hAnsi="宋体"/>
                <w:sz w:val="24"/>
              </w:rPr>
              <w:t xml:space="preserve">2、主要原材料抽样检测报告（0-3分） </w:t>
            </w:r>
          </w:p>
          <w:p>
            <w:pPr>
              <w:widowControl/>
              <w:jc w:val="left"/>
              <w:rPr>
                <w:rFonts w:ascii="宋体" w:hAnsi="宋体"/>
                <w:sz w:val="24"/>
              </w:rPr>
            </w:pPr>
            <w:r>
              <w:rPr>
                <w:rFonts w:hint="eastAsia" w:ascii="宋体" w:hAnsi="宋体"/>
                <w:sz w:val="24"/>
              </w:rPr>
              <w:t>2.1“实木多层板”抽样检测合格报告，检测依据 GB18580-2017 《室内装饰装修材料 人造板及其制品中甲醛释放限量》、GB/T34722-2017《浸渍胶膜纸饰面胶合板和细木工板》、GB/T 17657-2013 《人造板及饰面人造板理化性能试验方法》标准，</w:t>
            </w:r>
            <w:r>
              <w:rPr>
                <w:rFonts w:hint="eastAsia" w:ascii="宋体" w:hAnsi="宋体" w:cs="宋体"/>
                <w:color w:val="000000"/>
                <w:kern w:val="0"/>
                <w:sz w:val="24"/>
              </w:rPr>
              <w:t>GB/T39600-2021《人造板及其制品甲醛释放量分级》甲醛释放量（≤0.050）标准。</w:t>
            </w:r>
            <w:r>
              <w:rPr>
                <w:rFonts w:hint="eastAsia" w:ascii="宋体" w:hAnsi="宋体"/>
                <w:sz w:val="24"/>
              </w:rPr>
              <w:t xml:space="preserve">符合要求得 1 分，不符合要求或未提供不得分。 </w:t>
            </w:r>
          </w:p>
          <w:p>
            <w:pPr>
              <w:widowControl/>
              <w:jc w:val="left"/>
              <w:rPr>
                <w:rFonts w:ascii="宋体" w:hAnsi="宋体"/>
                <w:sz w:val="24"/>
              </w:rPr>
            </w:pPr>
            <w:r>
              <w:rPr>
                <w:rFonts w:hint="eastAsia" w:ascii="宋体" w:hAnsi="宋体"/>
                <w:sz w:val="24"/>
              </w:rPr>
              <w:t>2.2“镀锌钢板”和“钢板（冷轧板）”抽样检测合格报告，检测依据 GB/T 3325- 2017《金属家具通用技术条件》标准，检测内容：对样品进行 400 小时</w:t>
            </w:r>
            <w:r>
              <w:rPr>
                <w:rFonts w:hint="eastAsia" w:ascii="宋体" w:hAnsi="宋体" w:cs="宋体"/>
                <w:color w:val="000000"/>
                <w:kern w:val="0"/>
                <w:sz w:val="24"/>
              </w:rPr>
              <w:t>以上</w:t>
            </w:r>
            <w:r>
              <w:rPr>
                <w:rFonts w:hint="eastAsia" w:ascii="宋体" w:hAnsi="宋体"/>
                <w:sz w:val="24"/>
              </w:rPr>
              <w:t xml:space="preserve">抗盐雾试验。符合要求每份得 1 分，共得 2 分，不符合要求或未提供不得分。 </w:t>
            </w:r>
          </w:p>
          <w:p>
            <w:pPr>
              <w:widowControl/>
              <w:jc w:val="left"/>
              <w:rPr>
                <w:rFonts w:ascii="宋体" w:hAnsi="宋体"/>
                <w:sz w:val="24"/>
              </w:rPr>
            </w:pPr>
            <w:r>
              <w:rPr>
                <w:rFonts w:hint="eastAsia" w:ascii="宋体" w:hAnsi="宋体"/>
                <w:sz w:val="24"/>
              </w:rPr>
              <w:t xml:space="preserve">注：以上检测内容需在同一份报告中体现，以上需提供检测报告复印件（或扫描件），投标文件中的检验报告材料必须清晰且完整，仅局部内容的检测报告视为无效。受检单位必须为投标人，并提供封面对应的防伪二维码。一旦发现提供虚假文件者，则取消其投标资格。 </w:t>
            </w:r>
          </w:p>
        </w:tc>
        <w:tc>
          <w:tcPr>
            <w:tcW w:w="990" w:type="dxa"/>
            <w:shd w:val="clear" w:color="auto" w:fill="auto"/>
            <w:vAlign w:val="center"/>
          </w:tcPr>
          <w:p>
            <w:pPr>
              <w:widowControl/>
              <w:jc w:val="left"/>
              <w:rPr>
                <w:rFonts w:ascii="宋体" w:hAnsi="宋体"/>
                <w:color w:val="000000"/>
                <w:sz w:val="24"/>
              </w:rPr>
            </w:pPr>
            <w:r>
              <w:rPr>
                <w:rFonts w:hint="eastAsia" w:ascii="宋体" w:hAnsi="宋体"/>
                <w:color w:val="000000"/>
                <w:sz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00"/>
          <w:tblCellMar>
            <w:top w:w="0" w:type="dxa"/>
            <w:left w:w="108" w:type="dxa"/>
            <w:bottom w:w="0" w:type="dxa"/>
            <w:right w:w="108" w:type="dxa"/>
          </w:tblCellMar>
        </w:tblPrEx>
        <w:trPr>
          <w:trHeight w:val="380" w:hRule="atLeast"/>
        </w:trPr>
        <w:tc>
          <w:tcPr>
            <w:tcW w:w="617" w:type="dxa"/>
            <w:shd w:val="clear" w:color="auto" w:fill="auto"/>
            <w:vAlign w:val="center"/>
          </w:tcPr>
          <w:p>
            <w:pPr>
              <w:widowControl/>
              <w:jc w:val="left"/>
              <w:rPr>
                <w:rFonts w:ascii="宋体" w:hAnsi="宋体"/>
                <w:color w:val="000000"/>
                <w:sz w:val="24"/>
              </w:rPr>
            </w:pPr>
            <w:r>
              <w:rPr>
                <w:rFonts w:hint="eastAsia" w:ascii="宋体" w:hAnsi="宋体"/>
                <w:color w:val="000000"/>
                <w:sz w:val="24"/>
              </w:rPr>
              <w:t>8</w:t>
            </w:r>
          </w:p>
        </w:tc>
        <w:tc>
          <w:tcPr>
            <w:tcW w:w="1618" w:type="dxa"/>
            <w:shd w:val="clear" w:color="auto" w:fill="auto"/>
            <w:vAlign w:val="center"/>
          </w:tcPr>
          <w:p>
            <w:pPr>
              <w:pStyle w:val="14"/>
              <w:spacing w:before="120" w:beforeLines="50" w:after="120" w:afterLines="50" w:line="240" w:lineRule="auto"/>
              <w:ind w:firstLine="0"/>
              <w:jc w:val="left"/>
              <w:rPr>
                <w:rFonts w:hAnsi="宋体"/>
                <w:spacing w:val="0"/>
                <w:sz w:val="24"/>
                <w:szCs w:val="24"/>
              </w:rPr>
            </w:pPr>
            <w:r>
              <w:rPr>
                <w:rFonts w:hint="eastAsia" w:hAnsi="宋体"/>
                <w:spacing w:val="0"/>
                <w:sz w:val="24"/>
                <w:szCs w:val="24"/>
              </w:rPr>
              <w:t>对本项目有效的改进措施和合理化建议</w:t>
            </w:r>
          </w:p>
        </w:tc>
        <w:tc>
          <w:tcPr>
            <w:tcW w:w="7076" w:type="dxa"/>
            <w:shd w:val="clear" w:color="auto" w:fill="auto"/>
            <w:vAlign w:val="center"/>
          </w:tcPr>
          <w:p>
            <w:pPr>
              <w:pStyle w:val="14"/>
              <w:spacing w:before="120" w:beforeLines="50" w:after="120" w:afterLines="50" w:line="240" w:lineRule="auto"/>
              <w:ind w:firstLine="0"/>
              <w:jc w:val="left"/>
              <w:rPr>
                <w:rFonts w:hAnsi="宋体"/>
                <w:spacing w:val="0"/>
                <w:sz w:val="24"/>
                <w:szCs w:val="24"/>
              </w:rPr>
            </w:pPr>
            <w:r>
              <w:rPr>
                <w:rFonts w:hint="eastAsia" w:hAnsi="宋体"/>
                <w:spacing w:val="0"/>
                <w:sz w:val="24"/>
                <w:szCs w:val="24"/>
              </w:rPr>
              <w:t>有效建议和措施每项得1分，最高得3分，未提供的不得分。</w:t>
            </w:r>
          </w:p>
        </w:tc>
        <w:tc>
          <w:tcPr>
            <w:tcW w:w="990" w:type="dxa"/>
            <w:shd w:val="clear" w:color="auto" w:fill="auto"/>
            <w:vAlign w:val="center"/>
          </w:tcPr>
          <w:p>
            <w:pPr>
              <w:pStyle w:val="14"/>
              <w:spacing w:before="120" w:beforeLines="50" w:after="120" w:afterLines="50" w:line="240" w:lineRule="auto"/>
              <w:ind w:firstLine="0"/>
              <w:jc w:val="left"/>
              <w:rPr>
                <w:rFonts w:hAnsi="宋体"/>
                <w:spacing w:val="0"/>
                <w:sz w:val="24"/>
                <w:szCs w:val="24"/>
              </w:rPr>
            </w:pPr>
            <w:r>
              <w:rPr>
                <w:rFonts w:hint="eastAsia" w:hAnsi="宋体"/>
                <w:spacing w:val="0"/>
                <w:sz w:val="24"/>
                <w:szCs w:val="24"/>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00"/>
          <w:tblCellMar>
            <w:top w:w="0" w:type="dxa"/>
            <w:left w:w="108" w:type="dxa"/>
            <w:bottom w:w="0" w:type="dxa"/>
            <w:right w:w="108" w:type="dxa"/>
          </w:tblCellMar>
        </w:tblPrEx>
        <w:trPr>
          <w:trHeight w:val="380" w:hRule="atLeast"/>
        </w:trPr>
        <w:tc>
          <w:tcPr>
            <w:tcW w:w="617" w:type="dxa"/>
            <w:shd w:val="clear" w:color="auto" w:fill="auto"/>
            <w:vAlign w:val="center"/>
          </w:tcPr>
          <w:p>
            <w:pPr>
              <w:widowControl/>
              <w:jc w:val="left"/>
              <w:rPr>
                <w:rFonts w:ascii="宋体" w:hAnsi="宋体"/>
                <w:color w:val="000000"/>
                <w:sz w:val="24"/>
              </w:rPr>
            </w:pPr>
            <w:r>
              <w:rPr>
                <w:rFonts w:hint="eastAsia" w:ascii="宋体" w:hAnsi="宋体"/>
                <w:color w:val="000000"/>
                <w:sz w:val="24"/>
              </w:rPr>
              <w:t>9</w:t>
            </w:r>
          </w:p>
        </w:tc>
        <w:tc>
          <w:tcPr>
            <w:tcW w:w="1618" w:type="dxa"/>
            <w:shd w:val="clear" w:color="auto" w:fill="auto"/>
            <w:vAlign w:val="center"/>
          </w:tcPr>
          <w:p>
            <w:pPr>
              <w:widowControl/>
              <w:jc w:val="left"/>
              <w:rPr>
                <w:rFonts w:ascii="宋体" w:hAnsi="宋体"/>
                <w:color w:val="000000"/>
                <w:sz w:val="24"/>
              </w:rPr>
            </w:pPr>
            <w:r>
              <w:rPr>
                <w:rFonts w:hint="eastAsia" w:ascii="宋体" w:hAnsi="宋体"/>
                <w:color w:val="000000"/>
                <w:sz w:val="24"/>
              </w:rPr>
              <w:t>演示</w:t>
            </w:r>
          </w:p>
        </w:tc>
        <w:tc>
          <w:tcPr>
            <w:tcW w:w="7076" w:type="dxa"/>
            <w:shd w:val="clear" w:color="auto" w:fill="auto"/>
            <w:vAlign w:val="center"/>
          </w:tcPr>
          <w:p>
            <w:pPr>
              <w:widowControl/>
              <w:jc w:val="left"/>
              <w:rPr>
                <w:rFonts w:ascii="宋体" w:hAnsi="宋体"/>
                <w:sz w:val="24"/>
              </w:rPr>
            </w:pPr>
            <w:r>
              <w:rPr>
                <w:rFonts w:hint="eastAsia" w:ascii="宋体" w:hAnsi="宋体"/>
                <w:sz w:val="24"/>
              </w:rPr>
              <w:t xml:space="preserve">供应商需按照招标文件要求提供样品（注：手摇升降式课桌椅）整体在同一画面视频、展示图中展示。 </w:t>
            </w:r>
          </w:p>
          <w:p>
            <w:pPr>
              <w:widowControl/>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1、根据样品视频展示的板材工艺、焊接工艺、安全工艺等情况由评委打分（0-3 分）。</w:t>
            </w:r>
          </w:p>
          <w:p>
            <w:pPr>
              <w:widowControl/>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2、样品无明显划痕、色差，外表无鼓泡、龟裂、分层；金属涂层件光滑均匀、色泽一致，无流挂、疙瘩、皱皮、飞漆等缺陷，无漏喷、锈蚀情况由评委打分（0-3分）。</w:t>
            </w:r>
          </w:p>
          <w:p>
            <w:pPr>
              <w:widowControl/>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3、板材、钢管、五金等的材质、厚度、规格等指标符合招标文件要求的，由评委打分（0-3分）。</w:t>
            </w:r>
          </w:p>
          <w:p>
            <w:pPr>
              <w:widowControl/>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4、外观、尺寸、式样的创新、整体效果符合招标文件要求的，由评委打分（0-3分）。 </w:t>
            </w:r>
          </w:p>
          <w:p>
            <w:pPr>
              <w:widowControl/>
              <w:jc w:val="left"/>
              <w:rPr>
                <w:rFonts w:ascii="宋体" w:hAnsi="宋体"/>
                <w:b/>
                <w:sz w:val="24"/>
              </w:rPr>
            </w:pPr>
            <w:r>
              <w:rPr>
                <w:rFonts w:hint="eastAsia" w:ascii="宋体" w:hAnsi="宋体"/>
                <w:b/>
                <w:sz w:val="24"/>
              </w:rPr>
              <w:t xml:space="preserve">注：供应商无需派专人参加现场演示，根据演示分评分标准要求录制演示视频（mp4格式；时间控制在10分钟以内），演示视频电子文件用U盘拷贝，与备份投标文件一起邮寄。供应商必须采用真实用户系统环境演示录制成视频，采用 Demo和PPT的或未提供不得分。中标供应商在结果公告公示之日起 3 个工作日内将样品实样运至采购单位，以便采购单位封样。     </w:t>
            </w:r>
          </w:p>
        </w:tc>
        <w:tc>
          <w:tcPr>
            <w:tcW w:w="990" w:type="dxa"/>
            <w:shd w:val="clear" w:color="auto" w:fill="auto"/>
            <w:vAlign w:val="center"/>
          </w:tcPr>
          <w:p>
            <w:pPr>
              <w:widowControl/>
              <w:jc w:val="left"/>
              <w:rPr>
                <w:rFonts w:ascii="宋体" w:hAnsi="宋体"/>
                <w:color w:val="000000"/>
                <w:sz w:val="24"/>
              </w:rPr>
            </w:pPr>
            <w:r>
              <w:rPr>
                <w:rFonts w:hint="eastAsia" w:ascii="宋体" w:hAnsi="宋体"/>
                <w:color w:val="000000"/>
                <w:sz w:val="24"/>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00"/>
          <w:tblCellMar>
            <w:top w:w="0" w:type="dxa"/>
            <w:left w:w="108" w:type="dxa"/>
            <w:bottom w:w="0" w:type="dxa"/>
            <w:right w:w="108" w:type="dxa"/>
          </w:tblCellMar>
        </w:tblPrEx>
        <w:tc>
          <w:tcPr>
            <w:tcW w:w="617" w:type="dxa"/>
            <w:shd w:val="clear" w:color="auto" w:fill="auto"/>
            <w:vAlign w:val="center"/>
          </w:tcPr>
          <w:p>
            <w:pPr>
              <w:widowControl/>
              <w:jc w:val="left"/>
              <w:rPr>
                <w:rFonts w:ascii="宋体" w:hAnsi="宋体"/>
                <w:color w:val="000000"/>
                <w:sz w:val="24"/>
              </w:rPr>
            </w:pPr>
          </w:p>
        </w:tc>
        <w:tc>
          <w:tcPr>
            <w:tcW w:w="8694" w:type="dxa"/>
            <w:gridSpan w:val="2"/>
            <w:shd w:val="clear" w:color="auto" w:fill="auto"/>
            <w:vAlign w:val="center"/>
          </w:tcPr>
          <w:p>
            <w:pPr>
              <w:autoSpaceDE w:val="0"/>
              <w:autoSpaceDN w:val="0"/>
              <w:spacing w:after="120" w:line="369" w:lineRule="exact"/>
              <w:ind w:right="1470" w:rightChars="700"/>
              <w:jc w:val="center"/>
              <w:rPr>
                <w:rFonts w:ascii="宋体" w:hAnsi="宋体" w:cs="仿宋"/>
                <w:b/>
                <w:color w:val="000000"/>
                <w:kern w:val="0"/>
                <w:sz w:val="24"/>
                <w:lang w:val="zh-CN" w:bidi="zh-CN"/>
              </w:rPr>
            </w:pPr>
            <w:r>
              <w:rPr>
                <w:rFonts w:hint="eastAsia" w:ascii="宋体" w:hAnsi="宋体" w:cs="仿宋"/>
                <w:b/>
                <w:color w:val="000000"/>
                <w:kern w:val="0"/>
                <w:sz w:val="24"/>
                <w:lang w:val="zh-CN" w:bidi="zh-CN"/>
              </w:rPr>
              <w:t>商务分、资信及其他分</w:t>
            </w:r>
          </w:p>
        </w:tc>
        <w:tc>
          <w:tcPr>
            <w:tcW w:w="990" w:type="dxa"/>
            <w:shd w:val="clear" w:color="auto" w:fill="auto"/>
            <w:vAlign w:val="center"/>
          </w:tcPr>
          <w:p>
            <w:pPr>
              <w:widowControl/>
              <w:jc w:val="left"/>
              <w:rPr>
                <w:rFonts w:ascii="宋体" w:hAnsi="宋体"/>
                <w:b/>
                <w:color w:val="000000"/>
                <w:sz w:val="24"/>
              </w:rPr>
            </w:pPr>
            <w:r>
              <w:rPr>
                <w:rFonts w:hint="eastAsia" w:ascii="宋体" w:hAnsi="宋体"/>
                <w:b/>
                <w:color w:val="000000"/>
                <w:sz w:val="24"/>
              </w:rPr>
              <w:t>18分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00"/>
          <w:tblCellMar>
            <w:top w:w="0" w:type="dxa"/>
            <w:left w:w="108" w:type="dxa"/>
            <w:bottom w:w="0" w:type="dxa"/>
            <w:right w:w="108" w:type="dxa"/>
          </w:tblCellMar>
        </w:tblPrEx>
        <w:tc>
          <w:tcPr>
            <w:tcW w:w="617" w:type="dxa"/>
            <w:shd w:val="clear" w:color="auto" w:fill="auto"/>
            <w:vAlign w:val="center"/>
          </w:tcPr>
          <w:p>
            <w:pPr>
              <w:widowControl/>
              <w:jc w:val="left"/>
              <w:rPr>
                <w:rFonts w:ascii="宋体" w:hAnsi="宋体"/>
                <w:sz w:val="24"/>
              </w:rPr>
            </w:pPr>
            <w:r>
              <w:rPr>
                <w:rFonts w:hint="eastAsia" w:ascii="宋体" w:hAnsi="宋体"/>
                <w:sz w:val="24"/>
              </w:rPr>
              <w:t>1</w:t>
            </w:r>
          </w:p>
        </w:tc>
        <w:tc>
          <w:tcPr>
            <w:tcW w:w="1618" w:type="dxa"/>
            <w:shd w:val="clear" w:color="auto" w:fill="auto"/>
            <w:vAlign w:val="center"/>
          </w:tcPr>
          <w:p>
            <w:pPr>
              <w:widowControl/>
              <w:jc w:val="left"/>
              <w:rPr>
                <w:rFonts w:ascii="宋体" w:hAnsi="宋体"/>
                <w:color w:val="000000"/>
                <w:sz w:val="24"/>
              </w:rPr>
            </w:pPr>
            <w:r>
              <w:rPr>
                <w:rFonts w:hint="eastAsia" w:ascii="宋体" w:hAnsi="宋体"/>
                <w:color w:val="000000"/>
                <w:sz w:val="24"/>
              </w:rPr>
              <w:t>成功案例及业绩</w:t>
            </w:r>
          </w:p>
        </w:tc>
        <w:tc>
          <w:tcPr>
            <w:tcW w:w="7076" w:type="dxa"/>
            <w:shd w:val="clear" w:color="auto" w:fill="auto"/>
            <w:vAlign w:val="center"/>
          </w:tcPr>
          <w:p>
            <w:pPr>
              <w:pStyle w:val="14"/>
              <w:widowControl/>
              <w:spacing w:before="120" w:beforeLines="50" w:after="120" w:afterLines="50" w:line="240" w:lineRule="auto"/>
              <w:ind w:firstLine="0"/>
              <w:jc w:val="left"/>
              <w:rPr>
                <w:rFonts w:hAnsi="宋体"/>
                <w:color w:val="000000"/>
                <w:spacing w:val="0"/>
                <w:sz w:val="24"/>
                <w:szCs w:val="24"/>
              </w:rPr>
            </w:pPr>
            <w:r>
              <w:rPr>
                <w:rFonts w:hint="eastAsia" w:hAnsi="宋体"/>
                <w:color w:val="000000"/>
                <w:spacing w:val="0"/>
                <w:sz w:val="24"/>
                <w:szCs w:val="24"/>
              </w:rPr>
              <w:t>2019年1月1日至今，投标人具有类似项目业绩的，每提供1个业绩得1分，最高得3分（提供合同和中标通知书复印件，以合同时间为准）。</w:t>
            </w:r>
          </w:p>
        </w:tc>
        <w:tc>
          <w:tcPr>
            <w:tcW w:w="990" w:type="dxa"/>
            <w:shd w:val="clear" w:color="auto" w:fill="auto"/>
            <w:vAlign w:val="center"/>
          </w:tcPr>
          <w:p>
            <w:pPr>
              <w:widowControl/>
              <w:jc w:val="left"/>
              <w:rPr>
                <w:rFonts w:ascii="宋体" w:hAnsi="宋体"/>
                <w:sz w:val="24"/>
              </w:rPr>
            </w:pPr>
            <w:r>
              <w:rPr>
                <w:rFonts w:hint="eastAsia" w:ascii="宋体" w:hAnsi="宋体"/>
                <w:sz w:val="24"/>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00"/>
          <w:tblCellMar>
            <w:top w:w="0" w:type="dxa"/>
            <w:left w:w="108" w:type="dxa"/>
            <w:bottom w:w="0" w:type="dxa"/>
            <w:right w:w="108" w:type="dxa"/>
          </w:tblCellMar>
        </w:tblPrEx>
        <w:tc>
          <w:tcPr>
            <w:tcW w:w="617" w:type="dxa"/>
            <w:shd w:val="clear" w:color="auto" w:fill="auto"/>
            <w:vAlign w:val="center"/>
          </w:tcPr>
          <w:p>
            <w:pPr>
              <w:widowControl/>
              <w:jc w:val="left"/>
              <w:rPr>
                <w:rFonts w:ascii="宋体" w:hAnsi="宋体"/>
                <w:color w:val="000000"/>
                <w:sz w:val="24"/>
              </w:rPr>
            </w:pPr>
            <w:r>
              <w:rPr>
                <w:rFonts w:hint="eastAsia" w:ascii="宋体" w:hAnsi="宋体"/>
                <w:color w:val="000000"/>
                <w:sz w:val="24"/>
              </w:rPr>
              <w:t>2</w:t>
            </w:r>
          </w:p>
        </w:tc>
        <w:tc>
          <w:tcPr>
            <w:tcW w:w="1618" w:type="dxa"/>
            <w:shd w:val="clear" w:color="auto" w:fill="auto"/>
            <w:vAlign w:val="center"/>
          </w:tcPr>
          <w:p>
            <w:pPr>
              <w:widowControl/>
              <w:jc w:val="left"/>
              <w:rPr>
                <w:rFonts w:ascii="宋体" w:hAnsi="宋体"/>
                <w:color w:val="000000"/>
                <w:sz w:val="24"/>
              </w:rPr>
            </w:pPr>
            <w:r>
              <w:rPr>
                <w:rFonts w:ascii="宋体" w:hAnsi="宋体"/>
                <w:color w:val="000000"/>
                <w:sz w:val="24"/>
              </w:rPr>
              <w:t>权威认证</w:t>
            </w:r>
          </w:p>
        </w:tc>
        <w:tc>
          <w:tcPr>
            <w:tcW w:w="7076" w:type="dxa"/>
            <w:shd w:val="clear" w:color="auto" w:fill="auto"/>
            <w:vAlign w:val="center"/>
          </w:tcPr>
          <w:p>
            <w:pPr>
              <w:widowControl/>
              <w:spacing w:before="120" w:beforeLines="50" w:after="120" w:afterLines="50"/>
              <w:jc w:val="left"/>
              <w:rPr>
                <w:rFonts w:ascii="宋体" w:hAnsi="宋体"/>
                <w:color w:val="000000"/>
                <w:sz w:val="24"/>
              </w:rPr>
            </w:pPr>
            <w:r>
              <w:rPr>
                <w:rFonts w:hint="eastAsia" w:ascii="宋体" w:hAnsi="宋体"/>
                <w:color w:val="000000"/>
                <w:sz w:val="24"/>
              </w:rPr>
              <w:t>1.投标人具有有效期内的质量管理体系认证证书、环境管理体系认证证书、职业健康安全管理体系认证证书，每提供一个证书得1分，最高得3分，</w:t>
            </w:r>
            <w:r>
              <w:rPr>
                <w:rFonts w:ascii="宋体" w:hAnsi="宋体"/>
                <w:color w:val="000000"/>
                <w:sz w:val="24"/>
              </w:rPr>
              <w:t>同时提供国家认证认可</w:t>
            </w:r>
            <w:r>
              <w:rPr>
                <w:rFonts w:hint="eastAsia" w:ascii="宋体" w:hAnsi="宋体"/>
                <w:color w:val="000000"/>
                <w:sz w:val="24"/>
              </w:rPr>
              <w:t>监督</w:t>
            </w:r>
            <w:r>
              <w:rPr>
                <w:rFonts w:ascii="宋体" w:hAnsi="宋体"/>
                <w:color w:val="000000"/>
                <w:sz w:val="24"/>
              </w:rPr>
              <w:t>管理委员会官网http://www.cnca.gov.cn/查询截图证明。</w:t>
            </w:r>
          </w:p>
          <w:p>
            <w:pPr>
              <w:widowControl/>
              <w:spacing w:before="120" w:beforeLines="50" w:after="120" w:afterLines="50"/>
              <w:jc w:val="left"/>
            </w:pPr>
            <w:r>
              <w:rPr>
                <w:rFonts w:hint="eastAsia" w:ascii="宋体" w:hAnsi="宋体"/>
                <w:color w:val="000000"/>
                <w:sz w:val="24"/>
              </w:rPr>
              <w:t>2.</w:t>
            </w:r>
            <w:r>
              <w:rPr>
                <w:rFonts w:hint="eastAsia" w:ascii="宋体" w:hAnsi="宋体" w:cs="宋体"/>
                <w:color w:val="000000"/>
                <w:kern w:val="0"/>
                <w:sz w:val="24"/>
              </w:rPr>
              <w:t>供应商具有“售后服务认证证书”，三星级及以下有效期内得 0.5 分，四星级及以上有效期内得 1 分。</w:t>
            </w:r>
          </w:p>
        </w:tc>
        <w:tc>
          <w:tcPr>
            <w:tcW w:w="990" w:type="dxa"/>
            <w:shd w:val="clear" w:color="auto" w:fill="auto"/>
            <w:vAlign w:val="center"/>
          </w:tcPr>
          <w:p>
            <w:pPr>
              <w:pStyle w:val="14"/>
              <w:tabs>
                <w:tab w:val="left" w:pos="0"/>
                <w:tab w:val="left" w:pos="993"/>
                <w:tab w:val="left" w:pos="1134"/>
              </w:tabs>
              <w:spacing w:line="400" w:lineRule="exact"/>
              <w:ind w:firstLine="0"/>
              <w:outlineLvl w:val="2"/>
              <w:rPr>
                <w:rFonts w:hAnsi="宋体" w:cs="宋体"/>
                <w:color w:val="000000"/>
                <w:sz w:val="24"/>
                <w:szCs w:val="24"/>
              </w:rPr>
            </w:pPr>
            <w:r>
              <w:rPr>
                <w:rFonts w:hint="eastAsia" w:hAnsi="宋体" w:cs="宋体"/>
                <w:color w:val="000000"/>
                <w:sz w:val="24"/>
                <w:szCs w:val="24"/>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7" w:type="dxa"/>
            <w:shd w:val="clear" w:color="auto" w:fill="auto"/>
            <w:vAlign w:val="center"/>
          </w:tcPr>
          <w:p>
            <w:pPr>
              <w:widowControl/>
              <w:jc w:val="left"/>
              <w:rPr>
                <w:rFonts w:ascii="宋体" w:hAnsi="宋体"/>
                <w:color w:val="000000"/>
                <w:sz w:val="24"/>
              </w:rPr>
            </w:pPr>
            <w:r>
              <w:rPr>
                <w:rFonts w:hint="eastAsia" w:ascii="宋体" w:hAnsi="宋体"/>
                <w:color w:val="000000"/>
                <w:sz w:val="24"/>
              </w:rPr>
              <w:t>4</w:t>
            </w:r>
          </w:p>
        </w:tc>
        <w:tc>
          <w:tcPr>
            <w:tcW w:w="1618" w:type="dxa"/>
            <w:shd w:val="clear" w:color="auto" w:fill="auto"/>
            <w:vAlign w:val="center"/>
          </w:tcPr>
          <w:p>
            <w:pPr>
              <w:widowControl/>
              <w:jc w:val="left"/>
              <w:rPr>
                <w:rFonts w:ascii="宋体" w:hAnsi="宋体"/>
                <w:color w:val="000000"/>
                <w:sz w:val="24"/>
              </w:rPr>
            </w:pPr>
            <w:r>
              <w:rPr>
                <w:rFonts w:hint="eastAsia" w:ascii="宋体" w:hAnsi="宋体" w:cs="宋体"/>
                <w:color w:val="000000"/>
                <w:kern w:val="0"/>
                <w:sz w:val="24"/>
              </w:rPr>
              <w:t>质保期</w:t>
            </w:r>
          </w:p>
        </w:tc>
        <w:tc>
          <w:tcPr>
            <w:tcW w:w="7076" w:type="dxa"/>
            <w:shd w:val="clear" w:color="auto" w:fill="auto"/>
            <w:vAlign w:val="center"/>
          </w:tcPr>
          <w:p>
            <w:pPr>
              <w:widowControl/>
              <w:spacing w:before="120" w:beforeLines="50" w:after="120" w:afterLines="50"/>
              <w:jc w:val="left"/>
              <w:rPr>
                <w:rFonts w:ascii="宋体" w:hAnsi="宋体"/>
                <w:color w:val="000000"/>
                <w:sz w:val="24"/>
              </w:rPr>
            </w:pPr>
            <w:r>
              <w:rPr>
                <w:rFonts w:hint="eastAsia" w:ascii="宋体" w:hAnsi="宋体" w:cs="宋体"/>
                <w:color w:val="000000"/>
                <w:kern w:val="0"/>
                <w:sz w:val="24"/>
              </w:rPr>
              <w:t>质保期要求3年，每增加 1 年加 1 分，最高加 4分。</w:t>
            </w:r>
          </w:p>
        </w:tc>
        <w:tc>
          <w:tcPr>
            <w:tcW w:w="990" w:type="dxa"/>
            <w:shd w:val="clear" w:color="auto" w:fill="auto"/>
            <w:vAlign w:val="center"/>
          </w:tcPr>
          <w:p>
            <w:pPr>
              <w:pStyle w:val="14"/>
              <w:tabs>
                <w:tab w:val="left" w:pos="0"/>
                <w:tab w:val="left" w:pos="993"/>
                <w:tab w:val="left" w:pos="1134"/>
              </w:tabs>
              <w:spacing w:line="400" w:lineRule="exact"/>
              <w:ind w:firstLine="0"/>
              <w:outlineLvl w:val="2"/>
              <w:rPr>
                <w:rFonts w:hAnsi="宋体" w:cs="宋体"/>
                <w:color w:val="000000"/>
                <w:sz w:val="24"/>
                <w:szCs w:val="24"/>
              </w:rPr>
            </w:pPr>
            <w:r>
              <w:rPr>
                <w:rFonts w:hint="eastAsia" w:hAnsi="宋体" w:cs="宋体"/>
                <w:color w:val="000000"/>
                <w:sz w:val="24"/>
                <w:szCs w:val="24"/>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617" w:type="dxa"/>
            <w:shd w:val="clear" w:color="auto" w:fill="auto"/>
            <w:vAlign w:val="center"/>
          </w:tcPr>
          <w:p>
            <w:pPr>
              <w:widowControl/>
              <w:jc w:val="left"/>
              <w:rPr>
                <w:rFonts w:ascii="宋体" w:hAnsi="宋体"/>
                <w:color w:val="000000"/>
                <w:sz w:val="24"/>
              </w:rPr>
            </w:pPr>
            <w:r>
              <w:rPr>
                <w:rFonts w:hint="eastAsia" w:ascii="宋体" w:hAnsi="宋体"/>
                <w:color w:val="000000"/>
                <w:sz w:val="24"/>
              </w:rPr>
              <w:t>5</w:t>
            </w:r>
          </w:p>
        </w:tc>
        <w:tc>
          <w:tcPr>
            <w:tcW w:w="1618" w:type="dxa"/>
            <w:shd w:val="clear" w:color="auto" w:fill="auto"/>
            <w:vAlign w:val="center"/>
          </w:tcPr>
          <w:p>
            <w:pPr>
              <w:widowControl/>
              <w:jc w:val="left"/>
              <w:rPr>
                <w:rFonts w:ascii="宋体" w:hAnsi="宋体"/>
                <w:color w:val="000000"/>
                <w:sz w:val="24"/>
              </w:rPr>
            </w:pPr>
            <w:r>
              <w:rPr>
                <w:rFonts w:hint="eastAsia" w:ascii="宋体" w:hAnsi="宋体"/>
                <w:color w:val="000000"/>
                <w:sz w:val="24"/>
              </w:rPr>
              <w:t>售后服务优惠承诺</w:t>
            </w:r>
          </w:p>
        </w:tc>
        <w:tc>
          <w:tcPr>
            <w:tcW w:w="7076" w:type="dxa"/>
            <w:shd w:val="clear" w:color="auto" w:fill="auto"/>
            <w:vAlign w:val="center"/>
          </w:tcPr>
          <w:p>
            <w:pPr>
              <w:widowControl/>
              <w:jc w:val="left"/>
              <w:rPr>
                <w:rFonts w:ascii="宋体" w:hAnsi="宋体"/>
                <w:color w:val="000000"/>
                <w:sz w:val="24"/>
              </w:rPr>
            </w:pPr>
            <w:r>
              <w:rPr>
                <w:rFonts w:hint="eastAsia" w:ascii="宋体" w:hAnsi="宋体"/>
                <w:color w:val="000000"/>
                <w:sz w:val="24"/>
              </w:rPr>
              <w:t>1.提供完整的售后服务方案（包括服务措施、服务内容、故障解决方案、产品质量保证、回访）、</w:t>
            </w:r>
            <w:r>
              <w:rPr>
                <w:rFonts w:hint="eastAsia" w:ascii="宋体" w:hAnsi="宋体" w:cs="宋体"/>
                <w:color w:val="000000"/>
                <w:kern w:val="0"/>
                <w:sz w:val="24"/>
              </w:rPr>
              <w:t>质保期后服务维修结算优惠承诺（需提供维修零配件成本费用清单）</w:t>
            </w:r>
            <w:r>
              <w:rPr>
                <w:rFonts w:hint="eastAsia" w:ascii="宋体" w:hAnsi="宋体"/>
                <w:color w:val="000000"/>
                <w:sz w:val="24"/>
              </w:rPr>
              <w:t>，售后人员安排合理，技术支持响应速度及时，满足采购单位的要求的，得2-3分；</w:t>
            </w:r>
            <w:r>
              <w:rPr>
                <w:rFonts w:ascii="宋体" w:hAnsi="宋体"/>
                <w:color w:val="000000"/>
                <w:sz w:val="24"/>
              </w:rPr>
              <w:t>售后服务方案不全面，落实保障措施和其他优惠承诺欠缺的得</w:t>
            </w:r>
            <w:r>
              <w:rPr>
                <w:rFonts w:hint="eastAsia" w:ascii="宋体" w:hAnsi="宋体"/>
                <w:color w:val="000000"/>
                <w:sz w:val="24"/>
              </w:rPr>
              <w:t>0-1</w:t>
            </w:r>
            <w:r>
              <w:rPr>
                <w:rFonts w:ascii="宋体" w:hAnsi="宋体"/>
                <w:color w:val="000000"/>
                <w:sz w:val="24"/>
              </w:rPr>
              <w:t>，除招标文件规定内容外无其他售后服务承诺的，该项不得分</w:t>
            </w:r>
            <w:r>
              <w:rPr>
                <w:rFonts w:hint="eastAsia" w:ascii="宋体" w:hAnsi="宋体"/>
                <w:color w:val="000000"/>
                <w:sz w:val="24"/>
              </w:rPr>
              <w:t>（0-3分）</w:t>
            </w:r>
            <w:r>
              <w:rPr>
                <w:rFonts w:ascii="宋体" w:hAnsi="宋体"/>
                <w:color w:val="000000"/>
                <w:sz w:val="24"/>
              </w:rPr>
              <w:t>。</w:t>
            </w:r>
          </w:p>
          <w:p>
            <w:pPr>
              <w:widowControl/>
              <w:jc w:val="left"/>
              <w:rPr>
                <w:rFonts w:ascii="宋体" w:hAnsi="宋体"/>
                <w:color w:val="000000"/>
                <w:sz w:val="24"/>
              </w:rPr>
            </w:pPr>
            <w:r>
              <w:rPr>
                <w:rFonts w:hint="eastAsia" w:ascii="宋体" w:hAnsi="宋体"/>
                <w:color w:val="000000"/>
                <w:sz w:val="24"/>
              </w:rPr>
              <w:t>2.</w:t>
            </w:r>
            <w:bookmarkStart w:id="2" w:name="_GoBack"/>
            <w:r>
              <w:rPr>
                <w:rFonts w:ascii="宋体" w:hAnsi="宋体"/>
                <w:color w:val="000000"/>
                <w:sz w:val="24"/>
              </w:rPr>
              <w:t>学校原有课桌椅搬至学校指定地点，如原有课桌椅已到报废年限，学校要求报废，中标单位提供回收服务，回收课桌椅数量以实际数量为准，所得收入作为固定资产残值收入。报价按每套计算，不低于市场价，报价最高者得4分，报价次高者得3分，报价第三高者得2分，报价第四高者得1分，其余不得分（0-4分）。</w:t>
            </w:r>
            <w:bookmarkEnd w:id="2"/>
          </w:p>
        </w:tc>
        <w:tc>
          <w:tcPr>
            <w:tcW w:w="990" w:type="dxa"/>
            <w:shd w:val="clear" w:color="auto" w:fill="auto"/>
            <w:vAlign w:val="center"/>
          </w:tcPr>
          <w:p>
            <w:pPr>
              <w:widowControl/>
              <w:jc w:val="left"/>
              <w:rPr>
                <w:rFonts w:ascii="宋体" w:hAnsi="宋体"/>
                <w:color w:val="000000"/>
                <w:sz w:val="24"/>
              </w:rPr>
            </w:pPr>
            <w:r>
              <w:rPr>
                <w:rFonts w:hint="eastAsia" w:ascii="宋体" w:hAnsi="宋体"/>
                <w:color w:val="000000"/>
                <w:sz w:val="24"/>
              </w:rPr>
              <w:t>7分</w:t>
            </w:r>
          </w:p>
        </w:tc>
      </w:tr>
    </w:tbl>
    <w:p>
      <w:pPr>
        <w:widowControl/>
        <w:jc w:val="left"/>
        <w:rPr>
          <w:rFonts w:ascii="宋体" w:hAnsi="宋体"/>
          <w:b/>
          <w:sz w:val="24"/>
        </w:rPr>
      </w:pPr>
    </w:p>
    <w:p>
      <w:pPr>
        <w:spacing w:before="120" w:beforeLines="50" w:after="120" w:afterLines="50" w:line="360" w:lineRule="auto"/>
        <w:rPr>
          <w:rFonts w:ascii="宋体" w:hAnsi="宋体"/>
          <w:b/>
          <w:bCs/>
          <w:sz w:val="24"/>
        </w:rPr>
      </w:pPr>
      <w:r>
        <w:rPr>
          <w:rFonts w:hint="eastAsia" w:ascii="宋体" w:hAnsi="宋体"/>
          <w:b/>
          <w:bCs/>
          <w:sz w:val="24"/>
        </w:rPr>
        <w:t xml:space="preserve"> (三)技术、商务、资信及其他分的计算</w:t>
      </w:r>
    </w:p>
    <w:p>
      <w:pPr>
        <w:spacing w:before="120" w:beforeLines="50" w:after="120" w:afterLines="50" w:line="360" w:lineRule="auto"/>
        <w:ind w:firstLine="480" w:firstLineChars="200"/>
        <w:rPr>
          <w:rFonts w:ascii="宋体" w:hAnsi="宋体"/>
          <w:sz w:val="24"/>
        </w:rPr>
      </w:pPr>
      <w:r>
        <w:rPr>
          <w:rFonts w:hint="eastAsia" w:ascii="宋体" w:hAnsi="宋体"/>
          <w:sz w:val="24"/>
        </w:rPr>
        <w:t>技术、商务、资信及其他分按照评标委员会成员的独立评分结果汇总数的算术平均分计算，计算公式为：技术商务资信分=（评标委员会所有成员评分合计数）/（评标委员会组成人员数）</w:t>
      </w:r>
    </w:p>
    <w:p>
      <w:pPr>
        <w:pStyle w:val="43"/>
      </w:pPr>
    </w:p>
    <w:p/>
    <w:p>
      <w:pPr>
        <w:pStyle w:val="13"/>
      </w:pPr>
    </w:p>
    <w:p>
      <w:pPr>
        <w:pStyle w:val="42"/>
        <w:rPr>
          <w:color w:val="auto"/>
        </w:rPr>
      </w:pPr>
    </w:p>
    <w:p>
      <w:pPr>
        <w:pStyle w:val="43"/>
      </w:pPr>
    </w:p>
    <w:p/>
    <w:p>
      <w:pPr>
        <w:pStyle w:val="13"/>
      </w:pPr>
    </w:p>
    <w:p/>
    <w:p>
      <w:pPr>
        <w:pStyle w:val="13"/>
      </w:pPr>
    </w:p>
    <w:p>
      <w:pPr>
        <w:pStyle w:val="42"/>
        <w:rPr>
          <w:color w:val="auto"/>
        </w:rPr>
      </w:pPr>
    </w:p>
    <w:p>
      <w:pPr>
        <w:pStyle w:val="42"/>
        <w:rPr>
          <w:color w:val="auto"/>
        </w:rPr>
      </w:pPr>
    </w:p>
    <w:p>
      <w:pPr>
        <w:pStyle w:val="43"/>
      </w:pPr>
    </w:p>
    <w:p/>
    <w:p>
      <w:pPr>
        <w:pStyle w:val="43"/>
      </w:pPr>
    </w:p>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adjustRightInd w:val="0"/>
        <w:spacing w:line="360" w:lineRule="auto"/>
        <w:jc w:val="center"/>
        <w:rPr>
          <w:rFonts w:ascii="黑体" w:hAnsi="宋体" w:eastAsia="黑体"/>
          <w:bCs/>
          <w:sz w:val="30"/>
          <w:szCs w:val="30"/>
        </w:rPr>
      </w:pPr>
      <w:r>
        <w:rPr>
          <w:rFonts w:hint="eastAsia" w:ascii="黑体" w:hAnsi="宋体" w:eastAsia="黑体"/>
          <w:sz w:val="30"/>
          <w:szCs w:val="30"/>
        </w:rPr>
        <w:t xml:space="preserve">第五章  </w:t>
      </w:r>
      <w:r>
        <w:rPr>
          <w:rFonts w:hint="eastAsia" w:ascii="黑体" w:hAnsi="宋体" w:eastAsia="黑体"/>
          <w:bCs/>
          <w:sz w:val="30"/>
          <w:szCs w:val="30"/>
        </w:rPr>
        <w:t>合同主要条款（供参考）</w:t>
      </w:r>
    </w:p>
    <w:p>
      <w:pPr>
        <w:snapToGrid w:val="0"/>
        <w:spacing w:line="360" w:lineRule="auto"/>
        <w:jc w:val="center"/>
        <w:outlineLvl w:val="0"/>
        <w:rPr>
          <w:rFonts w:ascii="宋体" w:hAnsi="宋体"/>
          <w:b/>
          <w:bCs/>
          <w:sz w:val="30"/>
          <w:szCs w:val="20"/>
        </w:rPr>
      </w:pPr>
      <w:r>
        <w:rPr>
          <w:rFonts w:hint="eastAsia" w:ascii="宋体" w:hAnsi="宋体"/>
          <w:b/>
          <w:sz w:val="30"/>
        </w:rPr>
        <w:t>浙江省政府采购合同指引</w:t>
      </w:r>
    </w:p>
    <w:p>
      <w:pPr>
        <w:pStyle w:val="18"/>
        <w:snapToGrid w:val="0"/>
        <w:spacing w:beforeLines="0" w:afterLines="0" w:line="360" w:lineRule="auto"/>
        <w:rPr>
          <w:rFonts w:hAnsi="宋体"/>
        </w:rPr>
      </w:pPr>
      <w:r>
        <w:rPr>
          <w:rFonts w:hAnsi="宋体"/>
        </w:rPr>
        <w:t>项目名称：                                       项目编号：</w:t>
      </w:r>
    </w:p>
    <w:p>
      <w:pPr>
        <w:pStyle w:val="18"/>
        <w:snapToGrid w:val="0"/>
        <w:spacing w:beforeLines="0" w:afterLines="0" w:line="360" w:lineRule="auto"/>
        <w:rPr>
          <w:rFonts w:hAnsi="宋体"/>
        </w:rPr>
      </w:pPr>
      <w:r>
        <w:rPr>
          <w:rFonts w:hAnsi="宋体"/>
        </w:rPr>
        <w:t>甲方：（买方）</w:t>
      </w:r>
    </w:p>
    <w:p>
      <w:pPr>
        <w:pStyle w:val="18"/>
        <w:snapToGrid w:val="0"/>
        <w:spacing w:beforeLines="0" w:afterLines="0" w:line="360" w:lineRule="auto"/>
        <w:rPr>
          <w:rFonts w:hAnsi="宋体"/>
        </w:rPr>
      </w:pPr>
      <w:r>
        <w:rPr>
          <w:rFonts w:hAnsi="宋体"/>
        </w:rPr>
        <w:t>乙方：（卖方）</w:t>
      </w:r>
    </w:p>
    <w:p>
      <w:pPr>
        <w:pStyle w:val="18"/>
        <w:snapToGrid w:val="0"/>
        <w:spacing w:beforeLines="0" w:afterLines="0" w:line="360" w:lineRule="auto"/>
        <w:ind w:firstLine="480" w:firstLineChars="200"/>
        <w:rPr>
          <w:rFonts w:hAnsi="宋体"/>
          <w:b/>
        </w:rPr>
      </w:pPr>
      <w:r>
        <w:rPr>
          <w:rFonts w:hAnsi="宋体"/>
        </w:rPr>
        <w:t>甲、乙双方根据</w:t>
      </w:r>
      <w:r>
        <w:rPr>
          <w:rFonts w:hint="eastAsia" w:hAnsi="宋体"/>
          <w:u w:val="single"/>
        </w:rPr>
        <w:t>浙江华耀建设咨询有限公司</w:t>
      </w:r>
      <w:r>
        <w:rPr>
          <w:rFonts w:hAnsi="宋体"/>
          <w:u w:val="single"/>
        </w:rPr>
        <w:t>关于</w:t>
      </w:r>
      <w:r>
        <w:rPr>
          <w:rFonts w:hint="eastAsia" w:hAnsi="宋体"/>
          <w:spacing w:val="-20"/>
          <w:u w:val="single"/>
        </w:rPr>
        <w:t>湖州市吴兴区教育局升降式课桌椅项目</w:t>
      </w:r>
      <w:r>
        <w:rPr>
          <w:rFonts w:hAnsi="宋体"/>
          <w:u w:val="single"/>
        </w:rPr>
        <w:t>公开招标  的</w:t>
      </w:r>
      <w:r>
        <w:rPr>
          <w:rFonts w:hAnsi="宋体"/>
        </w:rPr>
        <w:t>结果，签署本合同。</w:t>
      </w:r>
    </w:p>
    <w:p>
      <w:pPr>
        <w:pStyle w:val="18"/>
        <w:snapToGrid w:val="0"/>
        <w:spacing w:beforeLines="0" w:afterLines="0" w:line="360" w:lineRule="auto"/>
        <w:rPr>
          <w:rFonts w:hAnsi="宋体" w:cs="宋体"/>
        </w:rPr>
      </w:pPr>
      <w:r>
        <w:rPr>
          <w:rFonts w:hint="eastAsia" w:hAnsi="宋体" w:cs="宋体"/>
        </w:rPr>
        <w:t>项目名称：                                       项目编号：</w:t>
      </w:r>
    </w:p>
    <w:p>
      <w:pPr>
        <w:pStyle w:val="18"/>
        <w:snapToGrid w:val="0"/>
        <w:spacing w:beforeLines="0" w:afterLines="0" w:line="360" w:lineRule="auto"/>
        <w:rPr>
          <w:rFonts w:hAnsi="宋体" w:cs="宋体"/>
          <w:b/>
        </w:rPr>
      </w:pPr>
      <w:r>
        <w:rPr>
          <w:rFonts w:hint="eastAsia" w:hAnsi="宋体" w:cs="宋体"/>
          <w:b/>
        </w:rPr>
        <w:t>一、货物内容</w:t>
      </w:r>
    </w:p>
    <w:p>
      <w:pPr>
        <w:pStyle w:val="18"/>
        <w:snapToGrid w:val="0"/>
        <w:spacing w:beforeLines="0" w:afterLines="0" w:line="360" w:lineRule="auto"/>
        <w:rPr>
          <w:rFonts w:hAnsi="宋体" w:cs="宋体"/>
        </w:rPr>
      </w:pPr>
      <w:r>
        <w:rPr>
          <w:rFonts w:hint="eastAsia" w:hAnsi="宋体" w:cs="宋体"/>
        </w:rPr>
        <w:t>1. 货物名称：</w:t>
      </w:r>
    </w:p>
    <w:p>
      <w:pPr>
        <w:pStyle w:val="18"/>
        <w:snapToGrid w:val="0"/>
        <w:spacing w:beforeLines="0" w:afterLines="0" w:line="360" w:lineRule="auto"/>
        <w:rPr>
          <w:rFonts w:hAnsi="宋体" w:cs="宋体"/>
        </w:rPr>
      </w:pPr>
      <w:r>
        <w:rPr>
          <w:rFonts w:hint="eastAsia" w:hAnsi="宋体" w:cs="宋体"/>
        </w:rPr>
        <w:t>2. 型号规格：</w:t>
      </w:r>
    </w:p>
    <w:p>
      <w:pPr>
        <w:pStyle w:val="18"/>
        <w:snapToGrid w:val="0"/>
        <w:spacing w:beforeLines="0" w:afterLines="0" w:line="360" w:lineRule="auto"/>
        <w:rPr>
          <w:rFonts w:hAnsi="宋体" w:cs="宋体"/>
        </w:rPr>
      </w:pPr>
      <w:r>
        <w:rPr>
          <w:rFonts w:hint="eastAsia" w:hAnsi="宋体" w:cs="宋体"/>
        </w:rPr>
        <w:t>3. 技术参数：</w:t>
      </w:r>
    </w:p>
    <w:p>
      <w:pPr>
        <w:pStyle w:val="18"/>
        <w:snapToGrid w:val="0"/>
        <w:spacing w:beforeLines="0" w:afterLines="0" w:line="360" w:lineRule="auto"/>
        <w:rPr>
          <w:rFonts w:hAnsi="宋体" w:cs="宋体"/>
        </w:rPr>
      </w:pPr>
      <w:r>
        <w:rPr>
          <w:rFonts w:hint="eastAsia" w:hAnsi="宋体" w:cs="宋体"/>
        </w:rPr>
        <w:t>4. 数量（单位）：</w:t>
      </w:r>
    </w:p>
    <w:p>
      <w:pPr>
        <w:pStyle w:val="18"/>
        <w:snapToGrid w:val="0"/>
        <w:spacing w:beforeLines="0" w:afterLines="0" w:line="360" w:lineRule="auto"/>
        <w:rPr>
          <w:rFonts w:hAnsi="宋体" w:cs="宋体"/>
          <w:b/>
        </w:rPr>
      </w:pPr>
      <w:r>
        <w:rPr>
          <w:rFonts w:hint="eastAsia" w:hAnsi="宋体" w:cs="宋体"/>
          <w:b/>
        </w:rPr>
        <w:t>二、合同金额</w:t>
      </w:r>
    </w:p>
    <w:p>
      <w:pPr>
        <w:pStyle w:val="18"/>
        <w:snapToGrid w:val="0"/>
        <w:spacing w:beforeLines="0" w:afterLines="0" w:line="360" w:lineRule="auto"/>
        <w:ind w:left="410" w:hanging="410" w:hangingChars="171"/>
        <w:rPr>
          <w:rFonts w:hAnsi="宋体"/>
        </w:rPr>
      </w:pPr>
      <w:r>
        <w:rPr>
          <w:rFonts w:hAnsi="宋体"/>
        </w:rPr>
        <w:t xml:space="preserve"> 本合同金额为（大写）：____________________________________元（￥_______________元）人民币。</w:t>
      </w:r>
    </w:p>
    <w:p>
      <w:pPr>
        <w:pStyle w:val="18"/>
        <w:snapToGrid w:val="0"/>
        <w:spacing w:beforeLines="0" w:afterLines="0" w:line="360" w:lineRule="auto"/>
        <w:rPr>
          <w:rFonts w:hAnsi="宋体"/>
          <w:b/>
        </w:rPr>
      </w:pPr>
      <w:r>
        <w:rPr>
          <w:rFonts w:hAnsi="宋体"/>
          <w:b/>
        </w:rPr>
        <w:t>三、技术资料</w:t>
      </w:r>
    </w:p>
    <w:p>
      <w:pPr>
        <w:pStyle w:val="18"/>
        <w:snapToGrid w:val="0"/>
        <w:spacing w:beforeLines="0" w:afterLines="0" w:line="360" w:lineRule="auto"/>
        <w:ind w:left="410" w:hanging="410" w:hangingChars="171"/>
        <w:rPr>
          <w:rFonts w:hAnsi="宋体"/>
        </w:rPr>
      </w:pPr>
      <w:r>
        <w:rPr>
          <w:rFonts w:hAnsi="宋体"/>
        </w:rPr>
        <w:t>1</w:t>
      </w:r>
      <w:r>
        <w:rPr>
          <w:rFonts w:hint="eastAsia" w:hAnsi="宋体"/>
        </w:rPr>
        <w:t>.</w:t>
      </w:r>
      <w:r>
        <w:rPr>
          <w:rFonts w:hAnsi="宋体"/>
        </w:rPr>
        <w:t>乙方应按招标文件规定的时间向甲方提供使用货物的有关技术资料。</w:t>
      </w:r>
    </w:p>
    <w:p>
      <w:pPr>
        <w:pStyle w:val="18"/>
        <w:snapToGrid w:val="0"/>
        <w:spacing w:beforeLines="0" w:afterLines="0" w:line="360" w:lineRule="auto"/>
        <w:ind w:left="410" w:hanging="410" w:hangingChars="171"/>
        <w:rPr>
          <w:rFonts w:hAnsi="宋体"/>
        </w:rPr>
      </w:pPr>
      <w:r>
        <w:rPr>
          <w:rFonts w:hAnsi="宋体"/>
        </w:rPr>
        <w:t>2</w:t>
      </w:r>
      <w:r>
        <w:rPr>
          <w:rFonts w:hint="eastAsia" w:hAnsi="宋体"/>
        </w:rPr>
        <w:t>.</w:t>
      </w:r>
      <w:r>
        <w:rPr>
          <w:rFonts w:hAnsi="宋体"/>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8"/>
        <w:snapToGrid w:val="0"/>
        <w:spacing w:beforeLines="0" w:afterLines="0" w:line="360" w:lineRule="auto"/>
        <w:ind w:left="412" w:hanging="412" w:hangingChars="171"/>
        <w:rPr>
          <w:rFonts w:hAnsi="宋体"/>
          <w:b/>
        </w:rPr>
      </w:pPr>
      <w:r>
        <w:rPr>
          <w:rFonts w:hAnsi="宋体"/>
          <w:b/>
        </w:rPr>
        <w:t>四、知识产权</w:t>
      </w:r>
    </w:p>
    <w:p>
      <w:pPr>
        <w:pStyle w:val="18"/>
        <w:snapToGrid w:val="0"/>
        <w:spacing w:beforeLines="0" w:afterLines="0" w:line="360" w:lineRule="auto"/>
        <w:rPr>
          <w:rFonts w:hAnsi="宋体"/>
          <w:bCs/>
        </w:rPr>
      </w:pPr>
      <w:r>
        <w:rPr>
          <w:rFonts w:hAnsi="宋体"/>
        </w:rPr>
        <w:t>乙方应保证所提供的货物或其任何一部分均不会侵犯任何第三方的知识产权</w:t>
      </w:r>
      <w:r>
        <w:rPr>
          <w:rFonts w:hAnsi="宋体"/>
          <w:bCs/>
        </w:rPr>
        <w:t>。</w:t>
      </w:r>
    </w:p>
    <w:p>
      <w:pPr>
        <w:pStyle w:val="18"/>
        <w:snapToGrid w:val="0"/>
        <w:spacing w:beforeLines="0" w:afterLines="0" w:line="360" w:lineRule="auto"/>
        <w:rPr>
          <w:rFonts w:hAnsi="宋体"/>
          <w:u w:val="single"/>
        </w:rPr>
      </w:pPr>
      <w:r>
        <w:rPr>
          <w:rFonts w:hAnsi="宋体"/>
          <w:b/>
        </w:rPr>
        <w:t>五、产权担保</w:t>
      </w:r>
    </w:p>
    <w:p>
      <w:pPr>
        <w:pStyle w:val="18"/>
        <w:snapToGrid w:val="0"/>
        <w:spacing w:beforeLines="0" w:afterLines="0" w:line="360" w:lineRule="auto"/>
        <w:ind w:left="408" w:hanging="408" w:hangingChars="170"/>
        <w:rPr>
          <w:rFonts w:hAnsi="宋体"/>
          <w:u w:val="single"/>
        </w:rPr>
      </w:pPr>
      <w:r>
        <w:rPr>
          <w:rFonts w:hAnsi="宋体"/>
        </w:rPr>
        <w:t>乙方保证所交付的货物的所有权完全属于乙方且无任何抵押、查封等产权瑕疵。</w:t>
      </w:r>
    </w:p>
    <w:p>
      <w:pPr>
        <w:pStyle w:val="18"/>
        <w:snapToGrid w:val="0"/>
        <w:spacing w:beforeLines="0" w:afterLines="0" w:line="360" w:lineRule="auto"/>
        <w:ind w:left="410" w:hanging="410" w:hangingChars="170"/>
        <w:rPr>
          <w:rFonts w:hAnsi="宋体"/>
          <w:b/>
        </w:rPr>
      </w:pPr>
      <w:r>
        <w:rPr>
          <w:rFonts w:hAnsi="宋体"/>
          <w:b/>
        </w:rPr>
        <w:t>六、履约保证金</w:t>
      </w:r>
    </w:p>
    <w:p>
      <w:pPr>
        <w:pStyle w:val="18"/>
        <w:snapToGrid w:val="0"/>
        <w:spacing w:beforeLines="0" w:afterLines="0" w:line="360" w:lineRule="auto"/>
        <w:ind w:left="1"/>
        <w:rPr>
          <w:rFonts w:hAnsi="宋体"/>
        </w:rPr>
      </w:pPr>
      <w:r>
        <w:rPr>
          <w:rFonts w:hint="eastAsia" w:hAnsi="宋体"/>
        </w:rPr>
        <w:t>本项目的履约保证金为合同价的2.5%；履约保证金形式为：现金或银行、保险公司出具的保函；中标人应根据采购人要求汇入采购人指定账号或提供保函。项目终验合格后，退还履约保证金。</w:t>
      </w:r>
    </w:p>
    <w:p>
      <w:pPr>
        <w:pStyle w:val="18"/>
        <w:snapToGrid w:val="0"/>
        <w:spacing w:beforeLines="0" w:afterLines="0" w:line="360" w:lineRule="auto"/>
        <w:ind w:left="1"/>
        <w:rPr>
          <w:rFonts w:hAnsi="宋体"/>
          <w:b/>
        </w:rPr>
      </w:pPr>
      <w:r>
        <w:rPr>
          <w:rFonts w:hint="eastAsia" w:hAnsi="宋体"/>
          <w:b/>
        </w:rPr>
        <w:t>七、转包或分包</w:t>
      </w:r>
    </w:p>
    <w:p>
      <w:pPr>
        <w:snapToGrid w:val="0"/>
        <w:spacing w:line="360" w:lineRule="auto"/>
        <w:rPr>
          <w:rFonts w:ascii="宋体" w:hAnsi="宋体"/>
          <w:sz w:val="24"/>
        </w:rPr>
      </w:pPr>
      <w:r>
        <w:rPr>
          <w:rFonts w:ascii="宋体" w:hAnsi="宋体"/>
          <w:sz w:val="24"/>
        </w:rPr>
        <w:t>1</w:t>
      </w:r>
      <w:r>
        <w:rPr>
          <w:rFonts w:hint="eastAsia" w:ascii="宋体" w:hAnsi="宋体"/>
          <w:sz w:val="24"/>
        </w:rPr>
        <w:t>.本合同范围的货物，应由</w:t>
      </w:r>
      <w:r>
        <w:rPr>
          <w:rFonts w:ascii="宋体" w:hAnsi="宋体"/>
          <w:sz w:val="24"/>
        </w:rPr>
        <w:t>乙</w:t>
      </w:r>
      <w:r>
        <w:rPr>
          <w:rFonts w:hint="eastAsia" w:ascii="宋体" w:hAnsi="宋体"/>
          <w:sz w:val="24"/>
        </w:rPr>
        <w:t>方直接供应，不得转让他人供应；</w:t>
      </w:r>
    </w:p>
    <w:p>
      <w:pPr>
        <w:snapToGrid w:val="0"/>
        <w:spacing w:line="360" w:lineRule="auto"/>
        <w:rPr>
          <w:rFonts w:ascii="宋体" w:hAnsi="宋体"/>
          <w:sz w:val="24"/>
        </w:rPr>
      </w:pPr>
      <w:r>
        <w:rPr>
          <w:rFonts w:ascii="宋体" w:hAnsi="宋体"/>
          <w:sz w:val="24"/>
        </w:rPr>
        <w:t>2</w:t>
      </w:r>
      <w:r>
        <w:rPr>
          <w:rFonts w:hint="eastAsia" w:ascii="宋体" w:hAnsi="宋体"/>
          <w:sz w:val="24"/>
        </w:rPr>
        <w:t>.本项目允许分包；</w:t>
      </w:r>
      <w:r>
        <w:rPr>
          <w:rFonts w:hint="eastAsia" w:ascii="宋体" w:hAnsi="宋体"/>
          <w:b/>
          <w:color w:val="FF0000"/>
          <w:sz w:val="24"/>
        </w:rPr>
        <w:t>如中标人为大型企业，</w:t>
      </w:r>
      <w:r>
        <w:rPr>
          <w:rFonts w:ascii="宋体" w:hAnsi="宋体"/>
          <w:b/>
          <w:color w:val="FF0000"/>
          <w:sz w:val="24"/>
        </w:rPr>
        <w:t>合同金额的40%</w:t>
      </w:r>
      <w:r>
        <w:rPr>
          <w:rFonts w:hint="eastAsia" w:ascii="宋体" w:hAnsi="宋体"/>
          <w:b/>
          <w:color w:val="FF0000"/>
          <w:sz w:val="24"/>
        </w:rPr>
        <w:t>必须分包</w:t>
      </w:r>
      <w:r>
        <w:rPr>
          <w:rFonts w:ascii="宋体" w:hAnsi="宋体"/>
          <w:b/>
          <w:color w:val="FF0000"/>
          <w:sz w:val="24"/>
        </w:rPr>
        <w:t>给中小微企业。</w:t>
      </w:r>
    </w:p>
    <w:p>
      <w:pPr>
        <w:snapToGrid w:val="0"/>
        <w:spacing w:line="360" w:lineRule="auto"/>
        <w:rPr>
          <w:rFonts w:ascii="宋体" w:hAnsi="宋体"/>
          <w:sz w:val="24"/>
        </w:rPr>
      </w:pPr>
      <w:r>
        <w:rPr>
          <w:rFonts w:ascii="宋体" w:hAnsi="宋体"/>
          <w:sz w:val="24"/>
        </w:rPr>
        <w:t>3</w:t>
      </w:r>
      <w:r>
        <w:rPr>
          <w:rFonts w:hint="eastAsia" w:ascii="宋体" w:hAnsi="宋体"/>
          <w:sz w:val="24"/>
        </w:rPr>
        <w:t>.如有转让和未经</w:t>
      </w:r>
      <w:r>
        <w:rPr>
          <w:rFonts w:ascii="宋体" w:hAnsi="宋体"/>
          <w:sz w:val="24"/>
        </w:rPr>
        <w:t>甲</w:t>
      </w:r>
      <w:r>
        <w:rPr>
          <w:rFonts w:hint="eastAsia" w:ascii="宋体" w:hAnsi="宋体"/>
          <w:sz w:val="24"/>
        </w:rPr>
        <w:t>方同意的分包行为，</w:t>
      </w:r>
      <w:r>
        <w:rPr>
          <w:rFonts w:ascii="宋体" w:hAnsi="宋体"/>
          <w:sz w:val="24"/>
        </w:rPr>
        <w:t>甲</w:t>
      </w:r>
      <w:r>
        <w:rPr>
          <w:rFonts w:hint="eastAsia" w:ascii="宋体" w:hAnsi="宋体"/>
          <w:sz w:val="24"/>
        </w:rPr>
        <w:t>方有权解除合同，没收履约保证金并追究乙方的违约责任。</w:t>
      </w:r>
    </w:p>
    <w:p>
      <w:pPr>
        <w:pStyle w:val="18"/>
        <w:snapToGrid w:val="0"/>
        <w:spacing w:beforeLines="0" w:afterLines="0" w:line="360" w:lineRule="auto"/>
        <w:rPr>
          <w:rFonts w:hAnsi="宋体"/>
        </w:rPr>
      </w:pPr>
      <w:r>
        <w:rPr>
          <w:rFonts w:hAnsi="宋体"/>
          <w:b/>
        </w:rPr>
        <w:t>八、质保期</w:t>
      </w:r>
    </w:p>
    <w:p>
      <w:pPr>
        <w:pStyle w:val="18"/>
        <w:snapToGrid w:val="0"/>
        <w:spacing w:beforeLines="0" w:afterLines="0" w:line="360" w:lineRule="auto"/>
        <w:ind w:left="410" w:hanging="410" w:hangingChars="171"/>
        <w:rPr>
          <w:rFonts w:hAnsi="宋体"/>
        </w:rPr>
      </w:pPr>
      <w:r>
        <w:rPr>
          <w:rFonts w:hAnsi="宋体"/>
        </w:rPr>
        <w:t>1</w:t>
      </w:r>
      <w:r>
        <w:rPr>
          <w:rFonts w:hint="eastAsia" w:hAnsi="宋体"/>
        </w:rPr>
        <w:t>.</w:t>
      </w:r>
      <w:r>
        <w:rPr>
          <w:rFonts w:hAnsi="宋体"/>
        </w:rPr>
        <w:t xml:space="preserve"> 质保期</w:t>
      </w:r>
      <w:r>
        <w:rPr>
          <w:rFonts w:hint="eastAsia" w:hAnsi="宋体"/>
        </w:rPr>
        <w:t xml:space="preserve">： </w:t>
      </w:r>
      <w:r>
        <w:rPr>
          <w:rFonts w:hint="eastAsia"/>
        </w:rPr>
        <w:t>年</w:t>
      </w:r>
      <w:r>
        <w:rPr>
          <w:rFonts w:hAnsi="宋体"/>
        </w:rPr>
        <w:t>。（自验收合格之日起计）</w:t>
      </w:r>
    </w:p>
    <w:p>
      <w:pPr>
        <w:pStyle w:val="18"/>
        <w:snapToGrid w:val="0"/>
        <w:spacing w:beforeLines="0" w:afterLines="0" w:line="360" w:lineRule="auto"/>
        <w:rPr>
          <w:rFonts w:hAnsi="宋体"/>
          <w:b/>
        </w:rPr>
      </w:pPr>
      <w:r>
        <w:rPr>
          <w:rFonts w:hAnsi="宋体"/>
          <w:b/>
        </w:rPr>
        <w:t>九、交货期、交货方式及交货地点</w:t>
      </w:r>
    </w:p>
    <w:p>
      <w:pPr>
        <w:pStyle w:val="18"/>
        <w:snapToGrid w:val="0"/>
        <w:spacing w:beforeLines="0" w:afterLines="0" w:line="360" w:lineRule="auto"/>
        <w:ind w:left="410" w:hanging="410" w:hangingChars="171"/>
        <w:rPr>
          <w:rFonts w:hAnsi="宋体"/>
        </w:rPr>
      </w:pPr>
      <w:r>
        <w:rPr>
          <w:rFonts w:hAnsi="宋体"/>
        </w:rPr>
        <w:t>1</w:t>
      </w:r>
      <w:r>
        <w:rPr>
          <w:rFonts w:hint="eastAsia" w:hAnsi="宋体"/>
        </w:rPr>
        <w:t>.</w:t>
      </w:r>
      <w:r>
        <w:rPr>
          <w:rFonts w:hAnsi="宋体"/>
        </w:rPr>
        <w:t xml:space="preserve"> </w:t>
      </w:r>
      <w:r>
        <w:rPr>
          <w:rFonts w:hint="eastAsia" w:hAnsi="宋体"/>
        </w:rPr>
        <w:t>交货期：合同签订后分二批供货。第一次：2022年8月20日之前提供不少于各校总数量50%的货物，并完成安装调试及验收；第二次：2022年10月20日之前提供剩余数量的供货并完成安装调试及验收（具体时间以合同为准）。</w:t>
      </w:r>
    </w:p>
    <w:p>
      <w:pPr>
        <w:pStyle w:val="18"/>
        <w:snapToGrid w:val="0"/>
        <w:spacing w:beforeLines="0" w:afterLines="0" w:line="360" w:lineRule="auto"/>
        <w:ind w:left="410" w:hanging="410" w:hangingChars="171"/>
        <w:rPr>
          <w:rFonts w:hAnsi="宋体"/>
        </w:rPr>
      </w:pPr>
      <w:r>
        <w:rPr>
          <w:rFonts w:hint="eastAsia" w:hAnsi="宋体"/>
        </w:rPr>
        <w:t>2.地点：采购人指定地点</w:t>
      </w:r>
    </w:p>
    <w:p>
      <w:pPr>
        <w:pStyle w:val="18"/>
        <w:snapToGrid w:val="0"/>
        <w:spacing w:beforeLines="0" w:afterLines="0" w:line="360" w:lineRule="auto"/>
        <w:ind w:left="410" w:hanging="410" w:hangingChars="171"/>
        <w:rPr>
          <w:rFonts w:hAnsi="宋体"/>
        </w:rPr>
      </w:pPr>
      <w:r>
        <w:rPr>
          <w:rFonts w:hint="eastAsia" w:hAnsi="宋体"/>
        </w:rPr>
        <w:t>3.</w:t>
      </w:r>
      <w:r>
        <w:rPr>
          <w:rFonts w:hAnsi="宋体"/>
        </w:rPr>
        <w:t xml:space="preserve"> 交货方式：</w:t>
      </w:r>
      <w:r>
        <w:rPr>
          <w:rFonts w:hint="eastAsia" w:hAnsi="宋体"/>
        </w:rPr>
        <w:t>供应商需提供仓库用于课桌椅所需设备通风换气，设备需拆除包装分散摆放。二次搬运至学校的费用由供应商承担。</w:t>
      </w:r>
    </w:p>
    <w:p>
      <w:pPr>
        <w:pStyle w:val="18"/>
        <w:snapToGrid w:val="0"/>
        <w:spacing w:beforeLines="0" w:afterLines="0" w:line="360" w:lineRule="auto"/>
        <w:ind w:left="410" w:hanging="410" w:hangingChars="171"/>
        <w:rPr>
          <w:rFonts w:hAnsi="宋体"/>
        </w:rPr>
      </w:pPr>
      <w:r>
        <w:rPr>
          <w:rFonts w:hint="eastAsia" w:hAnsi="宋体"/>
        </w:rPr>
        <w:t>4.</w:t>
      </w:r>
      <w:r>
        <w:rPr>
          <w:rFonts w:hAnsi="宋体"/>
        </w:rPr>
        <w:t xml:space="preserve"> 交货地点：</w:t>
      </w:r>
      <w:r>
        <w:rPr>
          <w:rFonts w:hint="eastAsia" w:hAnsi="宋体"/>
        </w:rPr>
        <w:t>采购人指定</w:t>
      </w:r>
    </w:p>
    <w:p>
      <w:pPr>
        <w:pStyle w:val="18"/>
        <w:snapToGrid w:val="0"/>
        <w:spacing w:beforeLines="0" w:afterLines="0" w:line="360" w:lineRule="auto"/>
        <w:ind w:left="410" w:hanging="410" w:hangingChars="171"/>
        <w:rPr>
          <w:rFonts w:hAnsi="宋体"/>
        </w:rPr>
      </w:pPr>
      <w:r>
        <w:rPr>
          <w:rFonts w:hAnsi="宋体"/>
        </w:rPr>
        <w:t>十、货款支付</w:t>
      </w:r>
    </w:p>
    <w:p>
      <w:pPr>
        <w:pStyle w:val="18"/>
        <w:snapToGrid w:val="0"/>
        <w:spacing w:beforeLines="0" w:afterLines="0" w:line="360" w:lineRule="auto"/>
        <w:ind w:left="410" w:hanging="410" w:hangingChars="171"/>
        <w:rPr>
          <w:rFonts w:hAnsi="宋体"/>
        </w:rPr>
      </w:pPr>
      <w:r>
        <w:rPr>
          <w:rFonts w:hint="eastAsia" w:hAnsi="宋体"/>
        </w:rPr>
        <w:t xml:space="preserve">1. </w:t>
      </w:r>
      <w:r>
        <w:rPr>
          <w:rFonts w:hAnsi="宋体"/>
        </w:rPr>
        <w:t>根据《保障中小企业款项支付条例》、</w:t>
      </w:r>
      <w:r>
        <w:rPr>
          <w:rFonts w:hint="eastAsia" w:hAnsi="宋体"/>
        </w:rPr>
        <w:t>浙财采监【2022】3号要求</w:t>
      </w:r>
      <w:r>
        <w:rPr>
          <w:rFonts w:hAnsi="宋体"/>
        </w:rPr>
        <w:t>要求,制定如以下付款方式:</w:t>
      </w:r>
      <w:r>
        <w:rPr>
          <w:rFonts w:hint="eastAsia" w:hAnsi="宋体"/>
        </w:rPr>
        <w:t>合同生效以及具备实施条件后7个工作日内，支付合同金额的40%，2022年8月20日之前第一次供货并安装调试完成，验收合格后，11月底前支付实际验收货物金额的100%;2022年10月20日前，第二次供货并安装调试完成，验收合格后，项目整体资料移交给甲方，付至合同的100%。</w:t>
      </w:r>
    </w:p>
    <w:p>
      <w:pPr>
        <w:pStyle w:val="18"/>
        <w:snapToGrid w:val="0"/>
        <w:spacing w:beforeLines="0" w:afterLines="0" w:line="360" w:lineRule="auto"/>
        <w:ind w:left="410" w:hanging="410" w:hangingChars="171"/>
        <w:rPr>
          <w:rFonts w:hAnsi="宋体"/>
        </w:rPr>
      </w:pPr>
      <w:r>
        <w:rPr>
          <w:rFonts w:hint="eastAsia" w:hAnsi="宋体"/>
        </w:rPr>
        <w:t xml:space="preserve">注：1）中标供应商在接到采购人通知后的七个工作日内将正规发票送达采购人，采购人在收到中标供应商发票后于 十五个工作日内以转账的方式支付给中标供应商； </w:t>
      </w:r>
    </w:p>
    <w:p>
      <w:pPr>
        <w:pStyle w:val="18"/>
        <w:snapToGrid w:val="0"/>
        <w:spacing w:beforeLines="0" w:afterLines="0" w:line="360" w:lineRule="auto"/>
        <w:ind w:left="410" w:hanging="410" w:hangingChars="171"/>
        <w:rPr>
          <w:rFonts w:hAnsi="宋体"/>
        </w:rPr>
      </w:pPr>
      <w:r>
        <w:rPr>
          <w:rFonts w:hint="eastAsia" w:hAnsi="宋体"/>
        </w:rPr>
        <w:t xml:space="preserve">2）税费：本服务执行中相关的一切税费均由中标供应商负担； </w:t>
      </w:r>
    </w:p>
    <w:p>
      <w:pPr>
        <w:pStyle w:val="18"/>
        <w:snapToGrid w:val="0"/>
        <w:spacing w:beforeLines="0" w:afterLines="0" w:line="360" w:lineRule="auto"/>
        <w:ind w:left="410" w:hanging="410" w:hangingChars="171"/>
        <w:rPr>
          <w:rFonts w:hAnsi="宋体"/>
        </w:rPr>
      </w:pPr>
      <w:r>
        <w:rPr>
          <w:rFonts w:hint="eastAsia" w:hAnsi="宋体"/>
        </w:rPr>
        <w:t>3）若中标供应商明确表示无需预付款或者主动要求降低预付款比例的，采购人可不适用前述规定。</w:t>
      </w:r>
    </w:p>
    <w:p>
      <w:pPr>
        <w:pStyle w:val="18"/>
        <w:snapToGrid w:val="0"/>
        <w:spacing w:beforeLines="0" w:afterLines="0" w:line="360" w:lineRule="auto"/>
        <w:rPr>
          <w:rFonts w:hAnsi="宋体"/>
          <w:bCs/>
        </w:rPr>
      </w:pPr>
      <w:r>
        <w:rPr>
          <w:rFonts w:hAnsi="宋体"/>
          <w:bCs/>
        </w:rPr>
        <w:t>采购人应自收到供应商开具的发票后15日内将上述相关款项支付到合同约定的供应商账户。</w:t>
      </w:r>
    </w:p>
    <w:p>
      <w:pPr>
        <w:snapToGrid w:val="0"/>
        <w:spacing w:line="360" w:lineRule="auto"/>
        <w:rPr>
          <w:rFonts w:ascii="宋体" w:hAnsi="宋体"/>
          <w:bCs/>
          <w:sz w:val="24"/>
        </w:rPr>
      </w:pPr>
      <w:r>
        <w:rPr>
          <w:rFonts w:hint="eastAsia" w:ascii="宋体" w:hAnsi="宋体"/>
          <w:bCs/>
          <w:sz w:val="24"/>
        </w:rPr>
        <w:t>当采购数量与实际使用数量不一致时，乙方应根据实际使用量供货，合同的最终结算金额按实际使用量乘以成交单价进行计算。</w:t>
      </w:r>
    </w:p>
    <w:p>
      <w:pPr>
        <w:snapToGrid w:val="0"/>
        <w:spacing w:line="360" w:lineRule="auto"/>
        <w:rPr>
          <w:rFonts w:ascii="宋体" w:hAnsi="宋体"/>
          <w:b/>
          <w:sz w:val="24"/>
          <w:szCs w:val="20"/>
        </w:rPr>
      </w:pPr>
      <w:r>
        <w:rPr>
          <w:rFonts w:hint="eastAsia" w:ascii="宋体" w:hAnsi="宋体"/>
          <w:b/>
          <w:sz w:val="24"/>
        </w:rPr>
        <w:t>十一、税费</w:t>
      </w:r>
    </w:p>
    <w:p>
      <w:pPr>
        <w:snapToGrid w:val="0"/>
        <w:spacing w:line="360" w:lineRule="auto"/>
        <w:rPr>
          <w:rFonts w:ascii="宋体" w:hAnsi="宋体"/>
          <w:sz w:val="24"/>
          <w:szCs w:val="20"/>
        </w:rPr>
      </w:pPr>
      <w:r>
        <w:rPr>
          <w:rFonts w:hint="eastAsia" w:ascii="宋体" w:hAnsi="宋体"/>
          <w:sz w:val="24"/>
        </w:rPr>
        <w:t>本合同执行中相关的一切税费均由</w:t>
      </w:r>
      <w:r>
        <w:rPr>
          <w:rFonts w:hAnsi="宋体"/>
          <w:sz w:val="24"/>
        </w:rPr>
        <w:t>乙</w:t>
      </w:r>
      <w:r>
        <w:rPr>
          <w:rFonts w:hint="eastAsia" w:ascii="宋体" w:hAnsi="宋体"/>
          <w:sz w:val="24"/>
        </w:rPr>
        <w:t>方负担。</w:t>
      </w:r>
    </w:p>
    <w:p>
      <w:pPr>
        <w:pStyle w:val="18"/>
        <w:snapToGrid w:val="0"/>
        <w:spacing w:beforeLines="0" w:afterLines="0" w:line="360" w:lineRule="auto"/>
        <w:ind w:left="412" w:hanging="412" w:hangingChars="171"/>
        <w:rPr>
          <w:rFonts w:hAnsi="宋体"/>
        </w:rPr>
      </w:pPr>
      <w:r>
        <w:rPr>
          <w:rFonts w:hAnsi="宋体"/>
          <w:b/>
        </w:rPr>
        <w:t>十二、质量保证及售后服务</w:t>
      </w:r>
    </w:p>
    <w:p>
      <w:pPr>
        <w:pStyle w:val="18"/>
        <w:snapToGrid w:val="0"/>
        <w:spacing w:beforeLines="0" w:afterLines="0" w:line="360" w:lineRule="auto"/>
        <w:ind w:left="410" w:hanging="410" w:hangingChars="171"/>
        <w:rPr>
          <w:rFonts w:hAnsi="宋体"/>
        </w:rPr>
      </w:pPr>
      <w:r>
        <w:rPr>
          <w:rFonts w:hAnsi="宋体"/>
        </w:rPr>
        <w:t>1</w:t>
      </w:r>
      <w:r>
        <w:rPr>
          <w:rFonts w:hint="eastAsia" w:hAnsi="宋体"/>
        </w:rPr>
        <w:t>.</w:t>
      </w:r>
      <w:r>
        <w:rPr>
          <w:rFonts w:hAnsi="宋体"/>
        </w:rPr>
        <w:t xml:space="preserve"> 乙方应按招标文件规定的货物性能、技术要求、质量标准向甲方提供未经使用的全新</w:t>
      </w:r>
      <w:r>
        <w:rPr>
          <w:rFonts w:hint="eastAsia" w:hAnsi="宋体"/>
        </w:rPr>
        <w:t>合格</w:t>
      </w:r>
      <w:r>
        <w:rPr>
          <w:rFonts w:hAnsi="宋体"/>
        </w:rPr>
        <w:t>产品。</w:t>
      </w:r>
    </w:p>
    <w:p>
      <w:pPr>
        <w:pStyle w:val="18"/>
        <w:snapToGrid w:val="0"/>
        <w:spacing w:beforeLines="0" w:afterLines="0" w:line="360" w:lineRule="auto"/>
        <w:ind w:left="480" w:hanging="480" w:hangingChars="200"/>
        <w:rPr>
          <w:rFonts w:hAnsi="宋体"/>
        </w:rPr>
      </w:pPr>
      <w:r>
        <w:rPr>
          <w:rFonts w:hAnsi="宋体"/>
        </w:rPr>
        <w:t>2</w:t>
      </w:r>
      <w:r>
        <w:rPr>
          <w:rFonts w:hint="eastAsia" w:hAnsi="宋体"/>
        </w:rPr>
        <w:t>.</w:t>
      </w:r>
      <w:r>
        <w:rPr>
          <w:rFonts w:hAnsi="宋体"/>
        </w:rPr>
        <w:t xml:space="preserve"> 乙方提供的货物在质</w:t>
      </w:r>
      <w:r>
        <w:rPr>
          <w:rFonts w:hint="eastAsia" w:hAnsi="宋体"/>
        </w:rPr>
        <w:t>保</w:t>
      </w:r>
      <w:r>
        <w:rPr>
          <w:rFonts w:hAnsi="宋体"/>
        </w:rPr>
        <w:t>期内因货物本身的质量问题发生故障，乙方应负责免费更换。对达不到技术要求者，根据实际情况，经双方协商，可按以下办法处理：</w:t>
      </w:r>
    </w:p>
    <w:p>
      <w:pPr>
        <w:pStyle w:val="18"/>
        <w:snapToGrid w:val="0"/>
        <w:spacing w:beforeLines="0" w:afterLines="0" w:line="360" w:lineRule="auto"/>
        <w:ind w:firstLine="420"/>
        <w:rPr>
          <w:rFonts w:hAnsi="宋体"/>
        </w:rPr>
      </w:pPr>
      <w:r>
        <w:rPr>
          <w:rFonts w:hAnsi="宋体"/>
        </w:rPr>
        <w:t>⑴更换：由乙方承担所发生的全部费用。</w:t>
      </w:r>
    </w:p>
    <w:p>
      <w:pPr>
        <w:pStyle w:val="18"/>
        <w:snapToGrid w:val="0"/>
        <w:spacing w:beforeLines="0" w:afterLines="0" w:line="360" w:lineRule="auto"/>
        <w:ind w:firstLine="420"/>
        <w:rPr>
          <w:rFonts w:hAnsi="宋体"/>
        </w:rPr>
      </w:pPr>
      <w:r>
        <w:rPr>
          <w:rFonts w:hAnsi="宋体"/>
        </w:rPr>
        <w:t>⑵贬值处理：由甲乙双方合议定价。</w:t>
      </w:r>
    </w:p>
    <w:p>
      <w:pPr>
        <w:pStyle w:val="18"/>
        <w:snapToGrid w:val="0"/>
        <w:spacing w:beforeLines="0" w:afterLines="0" w:line="360" w:lineRule="auto"/>
        <w:ind w:left="420" w:leftChars="200"/>
        <w:rPr>
          <w:rFonts w:hAnsi="宋体"/>
        </w:rPr>
      </w:pPr>
      <w:r>
        <w:rPr>
          <w:rFonts w:hAnsi="宋体"/>
        </w:rPr>
        <w:t>⑶退货处理：乙方应退还甲方支付的合同款，同时应承担该货物的直接费用（运输、保险、检验、货款利息及银行手续费等）。</w:t>
      </w:r>
    </w:p>
    <w:p>
      <w:pPr>
        <w:pStyle w:val="18"/>
        <w:snapToGrid w:val="0"/>
        <w:spacing w:beforeLines="0" w:afterLines="0" w:line="360" w:lineRule="auto"/>
        <w:rPr>
          <w:rFonts w:hAnsi="宋体"/>
        </w:rPr>
      </w:pPr>
      <w:r>
        <w:rPr>
          <w:rFonts w:hAnsi="宋体"/>
        </w:rPr>
        <w:t>3</w:t>
      </w:r>
      <w:r>
        <w:rPr>
          <w:rFonts w:hint="eastAsia" w:hAnsi="宋体"/>
        </w:rPr>
        <w:t>.</w:t>
      </w:r>
      <w:r>
        <w:rPr>
          <w:rFonts w:hAnsi="宋体"/>
        </w:rPr>
        <w:t xml:space="preserve"> 如在使用过程中发生质量问题，乙方在接到甲方通知后在△小时内到达甲方</w:t>
      </w:r>
    </w:p>
    <w:p>
      <w:pPr>
        <w:pStyle w:val="18"/>
        <w:snapToGrid w:val="0"/>
        <w:spacing w:beforeLines="0" w:afterLines="0" w:line="360" w:lineRule="auto"/>
        <w:ind w:firstLine="360" w:firstLineChars="150"/>
        <w:rPr>
          <w:rFonts w:hAnsi="宋体"/>
        </w:rPr>
      </w:pPr>
      <w:r>
        <w:rPr>
          <w:rFonts w:hAnsi="宋体"/>
        </w:rPr>
        <w:t>现场。</w:t>
      </w:r>
    </w:p>
    <w:p>
      <w:pPr>
        <w:pStyle w:val="18"/>
        <w:snapToGrid w:val="0"/>
        <w:spacing w:beforeLines="0" w:afterLines="0" w:line="360" w:lineRule="auto"/>
        <w:rPr>
          <w:rFonts w:hAnsi="宋体"/>
        </w:rPr>
      </w:pPr>
      <w:r>
        <w:rPr>
          <w:rFonts w:hAnsi="宋体"/>
        </w:rPr>
        <w:t>4</w:t>
      </w:r>
      <w:r>
        <w:rPr>
          <w:rFonts w:hint="eastAsia" w:hAnsi="宋体"/>
        </w:rPr>
        <w:t>.</w:t>
      </w:r>
      <w:r>
        <w:rPr>
          <w:rFonts w:hAnsi="宋体"/>
        </w:rPr>
        <w:t xml:space="preserve"> 在质保期内，乙方应对货物出现的质量及安全问题负责处理解决并承担一切</w:t>
      </w:r>
    </w:p>
    <w:p>
      <w:pPr>
        <w:pStyle w:val="18"/>
        <w:snapToGrid w:val="0"/>
        <w:spacing w:beforeLines="0" w:afterLines="0" w:line="360" w:lineRule="auto"/>
        <w:ind w:firstLine="360" w:firstLineChars="150"/>
        <w:rPr>
          <w:rFonts w:hAnsi="宋体"/>
        </w:rPr>
      </w:pPr>
      <w:r>
        <w:rPr>
          <w:rFonts w:hAnsi="宋体"/>
        </w:rPr>
        <w:t>费用。</w:t>
      </w:r>
    </w:p>
    <w:p>
      <w:pPr>
        <w:pStyle w:val="18"/>
        <w:snapToGrid w:val="0"/>
        <w:spacing w:beforeLines="0" w:afterLines="0" w:line="360" w:lineRule="auto"/>
        <w:rPr>
          <w:rFonts w:hAnsi="宋体"/>
        </w:rPr>
      </w:pPr>
      <w:r>
        <w:rPr>
          <w:rFonts w:hAnsi="宋体"/>
        </w:rPr>
        <w:t>5</w:t>
      </w:r>
      <w:r>
        <w:rPr>
          <w:rFonts w:hint="eastAsia" w:hAnsi="宋体"/>
        </w:rPr>
        <w:t>.</w:t>
      </w:r>
      <w:r>
        <w:rPr>
          <w:rFonts w:hAnsi="宋体"/>
        </w:rPr>
        <w:t>上述的货物免费保修期为</w:t>
      </w:r>
      <w:r>
        <w:rPr>
          <w:rFonts w:hint="eastAsia"/>
        </w:rPr>
        <w:t xml:space="preserve"> 年</w:t>
      </w:r>
      <w:r>
        <w:rPr>
          <w:rFonts w:hAnsi="宋体"/>
        </w:rPr>
        <w:t>，因人为因素出现的故障不在免费保修范围内。超过保修期的机器设备，终生维修，维修时只收部件成本费。</w:t>
      </w:r>
    </w:p>
    <w:p>
      <w:pPr>
        <w:pStyle w:val="18"/>
        <w:snapToGrid w:val="0"/>
        <w:spacing w:beforeLines="0" w:afterLines="0" w:line="360" w:lineRule="auto"/>
        <w:rPr>
          <w:rFonts w:hAnsi="宋体"/>
          <w:b/>
        </w:rPr>
      </w:pPr>
      <w:r>
        <w:rPr>
          <w:rFonts w:hAnsi="宋体"/>
          <w:b/>
        </w:rPr>
        <w:t>十三、调试和验收</w:t>
      </w:r>
    </w:p>
    <w:p>
      <w:pPr>
        <w:pStyle w:val="18"/>
        <w:snapToGrid w:val="0"/>
        <w:spacing w:beforeLines="0" w:afterLines="0" w:line="360" w:lineRule="auto"/>
        <w:jc w:val="left"/>
        <w:rPr>
          <w:rFonts w:hAnsi="宋体"/>
        </w:rPr>
      </w:pPr>
      <w:r>
        <w:rPr>
          <w:rFonts w:hAnsi="宋体"/>
        </w:rPr>
        <w:t>1</w:t>
      </w:r>
      <w:r>
        <w:rPr>
          <w:rFonts w:hint="eastAsia" w:hAnsi="宋体"/>
        </w:rPr>
        <w:t>.</w:t>
      </w:r>
      <w:r>
        <w:rPr>
          <w:rFonts w:hAnsi="宋体"/>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18"/>
        <w:snapToGrid w:val="0"/>
        <w:spacing w:beforeLines="0" w:afterLines="0" w:line="360" w:lineRule="auto"/>
        <w:rPr>
          <w:rFonts w:hAnsi="宋体"/>
        </w:rPr>
      </w:pPr>
      <w:r>
        <w:rPr>
          <w:rFonts w:hAnsi="宋体"/>
        </w:rPr>
        <w:t>2</w:t>
      </w:r>
      <w:r>
        <w:rPr>
          <w:rFonts w:hint="eastAsia" w:hAnsi="宋体"/>
        </w:rPr>
        <w:t>.</w:t>
      </w:r>
      <w:r>
        <w:rPr>
          <w:rFonts w:hAnsi="宋体"/>
        </w:rPr>
        <w:t xml:space="preserve"> 乙方交货前应对产品作出全面检查和对验收文件进行整理，并列出清单，作为甲方收货验收和使用的技术条件依据，检验的结果应随货物交甲方。</w:t>
      </w:r>
    </w:p>
    <w:p>
      <w:pPr>
        <w:pStyle w:val="18"/>
        <w:snapToGrid w:val="0"/>
        <w:spacing w:beforeLines="0" w:afterLines="0" w:line="360" w:lineRule="auto"/>
        <w:rPr>
          <w:rFonts w:hAnsi="宋体"/>
          <w:u w:val="single"/>
        </w:rPr>
      </w:pPr>
      <w:r>
        <w:rPr>
          <w:rFonts w:hAnsi="宋体"/>
        </w:rPr>
        <w:t>3</w:t>
      </w:r>
      <w:r>
        <w:rPr>
          <w:rFonts w:hint="eastAsia" w:hAnsi="宋体"/>
        </w:rPr>
        <w:t>.</w:t>
      </w:r>
      <w:r>
        <w:rPr>
          <w:rFonts w:hAnsi="宋体"/>
        </w:rPr>
        <w:t xml:space="preserve"> 甲方对乙方提供的货物在使用前进行调试时，乙方需负责安装并培训甲方的使用操作人员，并协助甲方一起调试，直到符合技术要求，甲方才做最终验收。</w:t>
      </w:r>
    </w:p>
    <w:p>
      <w:pPr>
        <w:pStyle w:val="18"/>
        <w:snapToGrid w:val="0"/>
        <w:spacing w:beforeLines="0" w:afterLines="0" w:line="360" w:lineRule="auto"/>
        <w:rPr>
          <w:rFonts w:hAnsi="宋体"/>
        </w:rPr>
      </w:pPr>
      <w:r>
        <w:rPr>
          <w:rFonts w:hAnsi="宋体"/>
        </w:rPr>
        <w:t>4</w:t>
      </w:r>
      <w:r>
        <w:rPr>
          <w:rFonts w:hint="eastAsia" w:hAnsi="宋体"/>
        </w:rPr>
        <w:t>.</w:t>
      </w:r>
      <w:r>
        <w:rPr>
          <w:rFonts w:hAnsi="宋体"/>
        </w:rPr>
        <w:t xml:space="preserve"> 对技术复杂的货物，甲方应请国家认可的专业检测机构参与初步验收及最终验收，并由其出具质量检测报告。</w:t>
      </w:r>
    </w:p>
    <w:p>
      <w:pPr>
        <w:pStyle w:val="18"/>
        <w:snapToGrid w:val="0"/>
        <w:spacing w:beforeLines="0" w:afterLines="0" w:line="360" w:lineRule="auto"/>
        <w:rPr>
          <w:rFonts w:hAnsi="宋体"/>
        </w:rPr>
      </w:pPr>
      <w:r>
        <w:rPr>
          <w:rFonts w:hAnsi="宋体"/>
        </w:rPr>
        <w:t>5</w:t>
      </w:r>
      <w:r>
        <w:rPr>
          <w:rFonts w:hint="eastAsia" w:hAnsi="宋体"/>
        </w:rPr>
        <w:t>.</w:t>
      </w:r>
      <w:r>
        <w:rPr>
          <w:rFonts w:hAnsi="宋体"/>
        </w:rPr>
        <w:t xml:space="preserve"> 验收时乙方必须在现场，验收完毕后作出验收结果报告；验收费用由乙方负责。</w:t>
      </w:r>
    </w:p>
    <w:p>
      <w:pPr>
        <w:pStyle w:val="18"/>
        <w:snapToGrid w:val="0"/>
        <w:spacing w:beforeLines="0" w:afterLines="0" w:line="360" w:lineRule="auto"/>
        <w:rPr>
          <w:rFonts w:hAnsi="宋体"/>
        </w:rPr>
      </w:pPr>
      <w:r>
        <w:rPr>
          <w:rFonts w:hint="eastAsia" w:hAnsi="宋体"/>
        </w:rPr>
        <w:t>6.</w:t>
      </w:r>
      <w:r>
        <w:rPr>
          <w:rFonts w:hint="eastAsia" w:hAnsi="宋体" w:cs="宋体"/>
        </w:rPr>
        <w:t>学校根据招标文件或合同进行验收，各标段均分两次验收，第一次供货完成，学校进行验收，区教育局组织相关人员随机抽取5所学校进行综合验收（货物的10%）。第二次供货完成，学校进行验收，区教育局组织相关人员随机抽取5所学校进行综合验收（货物的10%），资金按供货批次支付。</w:t>
      </w:r>
    </w:p>
    <w:p>
      <w:pPr>
        <w:pStyle w:val="18"/>
        <w:snapToGrid w:val="0"/>
        <w:spacing w:beforeLines="0" w:afterLines="0" w:line="360" w:lineRule="auto"/>
        <w:rPr>
          <w:rFonts w:hAnsi="宋体"/>
          <w:b/>
        </w:rPr>
      </w:pPr>
      <w:r>
        <w:rPr>
          <w:rFonts w:hAnsi="宋体"/>
          <w:b/>
        </w:rPr>
        <w:t>十四、货物包装、发运及运输</w:t>
      </w:r>
    </w:p>
    <w:p>
      <w:pPr>
        <w:pStyle w:val="18"/>
        <w:snapToGrid w:val="0"/>
        <w:spacing w:beforeLines="0" w:afterLines="0" w:line="360" w:lineRule="auto"/>
        <w:ind w:left="480" w:hanging="480" w:hangingChars="200"/>
        <w:rPr>
          <w:rFonts w:hAnsi="宋体"/>
        </w:rPr>
      </w:pPr>
      <w:r>
        <w:rPr>
          <w:rFonts w:hAnsi="宋体"/>
        </w:rPr>
        <w:t>1</w:t>
      </w:r>
      <w:r>
        <w:rPr>
          <w:rFonts w:hint="eastAsia" w:hAnsi="宋体"/>
        </w:rPr>
        <w:t>.</w:t>
      </w:r>
      <w:r>
        <w:rPr>
          <w:rFonts w:hAnsi="宋体"/>
        </w:rPr>
        <w:t xml:space="preserve"> 乙方应在货物发运前对其进行满足运输距离、防潮、防震、防锈和防破损装卸等要求包装，以保证货物安全运达甲方指定地点。</w:t>
      </w:r>
    </w:p>
    <w:p>
      <w:pPr>
        <w:pStyle w:val="18"/>
        <w:snapToGrid w:val="0"/>
        <w:spacing w:beforeLines="0" w:afterLines="0" w:line="360" w:lineRule="auto"/>
        <w:ind w:left="480" w:hanging="480" w:hangingChars="200"/>
        <w:rPr>
          <w:rFonts w:hAnsi="宋体"/>
        </w:rPr>
      </w:pPr>
      <w:r>
        <w:rPr>
          <w:rFonts w:hAnsi="宋体"/>
        </w:rPr>
        <w:t>2</w:t>
      </w:r>
      <w:r>
        <w:rPr>
          <w:rFonts w:hint="eastAsia" w:hAnsi="宋体"/>
        </w:rPr>
        <w:t>.</w:t>
      </w:r>
      <w:r>
        <w:rPr>
          <w:rFonts w:hAnsi="宋体"/>
        </w:rPr>
        <w:t xml:space="preserve"> 使用说明书、质量检验证明书、随配附件和工具以及清单一并附于货物内。</w:t>
      </w:r>
    </w:p>
    <w:p>
      <w:pPr>
        <w:pStyle w:val="18"/>
        <w:snapToGrid w:val="0"/>
        <w:spacing w:beforeLines="0" w:afterLines="0" w:line="360" w:lineRule="auto"/>
        <w:ind w:left="480" w:hanging="480" w:hangingChars="200"/>
        <w:rPr>
          <w:rFonts w:hAnsi="宋体"/>
        </w:rPr>
      </w:pPr>
      <w:r>
        <w:rPr>
          <w:rFonts w:hAnsi="宋体"/>
        </w:rPr>
        <w:t>3</w:t>
      </w:r>
      <w:r>
        <w:rPr>
          <w:rFonts w:hint="eastAsia" w:hAnsi="宋体"/>
        </w:rPr>
        <w:t>.</w:t>
      </w:r>
      <w:r>
        <w:rPr>
          <w:rFonts w:hAnsi="宋体"/>
        </w:rPr>
        <w:t xml:space="preserve"> 乙方在货物发运手续办理完毕后24小时内或货到甲方48小时前通知甲方，以准备接货。</w:t>
      </w:r>
    </w:p>
    <w:p>
      <w:pPr>
        <w:pStyle w:val="18"/>
        <w:snapToGrid w:val="0"/>
        <w:spacing w:beforeLines="0" w:afterLines="0" w:line="360" w:lineRule="auto"/>
        <w:ind w:left="480" w:hanging="480" w:hangingChars="200"/>
        <w:rPr>
          <w:rFonts w:hAnsi="宋体"/>
        </w:rPr>
      </w:pPr>
      <w:r>
        <w:rPr>
          <w:rFonts w:hAnsi="宋体"/>
        </w:rPr>
        <w:t>4</w:t>
      </w:r>
      <w:r>
        <w:rPr>
          <w:rFonts w:hint="eastAsia" w:hAnsi="宋体"/>
        </w:rPr>
        <w:t>.</w:t>
      </w:r>
      <w:r>
        <w:rPr>
          <w:rFonts w:hAnsi="宋体"/>
        </w:rPr>
        <w:t xml:space="preserve"> 货物在交付甲方前发生的风险均由乙方负责。</w:t>
      </w:r>
    </w:p>
    <w:p>
      <w:pPr>
        <w:pStyle w:val="18"/>
        <w:snapToGrid w:val="0"/>
        <w:spacing w:beforeLines="0" w:afterLines="0" w:line="360" w:lineRule="auto"/>
        <w:ind w:left="480" w:right="26" w:hanging="480" w:hangingChars="200"/>
        <w:rPr>
          <w:rFonts w:hAnsi="宋体"/>
        </w:rPr>
      </w:pPr>
      <w:r>
        <w:rPr>
          <w:rFonts w:hAnsi="宋体"/>
        </w:rPr>
        <w:t>5</w:t>
      </w:r>
      <w:r>
        <w:rPr>
          <w:rFonts w:hint="eastAsia" w:hAnsi="宋体"/>
        </w:rPr>
        <w:t>.</w:t>
      </w:r>
      <w:r>
        <w:rPr>
          <w:rFonts w:hAnsi="宋体"/>
        </w:rPr>
        <w:t xml:space="preserve"> 货物在规定的交付期限内由乙方送达甲方指定的地点视为交付，乙方同时需通知甲方货物已送达。</w:t>
      </w:r>
    </w:p>
    <w:p>
      <w:pPr>
        <w:pStyle w:val="18"/>
        <w:snapToGrid w:val="0"/>
        <w:spacing w:beforeLines="0" w:afterLines="0" w:line="360" w:lineRule="auto"/>
        <w:rPr>
          <w:rFonts w:hAnsi="宋体"/>
          <w:b/>
        </w:rPr>
      </w:pPr>
      <w:r>
        <w:rPr>
          <w:rFonts w:hAnsi="宋体"/>
          <w:b/>
        </w:rPr>
        <w:t>十五、违约责任</w:t>
      </w:r>
    </w:p>
    <w:p>
      <w:pPr>
        <w:pStyle w:val="18"/>
        <w:snapToGrid w:val="0"/>
        <w:spacing w:beforeLines="0" w:afterLines="0" w:line="360" w:lineRule="auto"/>
        <w:ind w:left="410" w:hanging="410" w:hangingChars="171"/>
        <w:rPr>
          <w:rFonts w:hAnsi="宋体"/>
        </w:rPr>
      </w:pPr>
      <w:r>
        <w:rPr>
          <w:rFonts w:hAnsi="宋体"/>
        </w:rPr>
        <w:t>1</w:t>
      </w:r>
      <w:r>
        <w:rPr>
          <w:rFonts w:hint="eastAsia" w:hAnsi="宋体"/>
        </w:rPr>
        <w:t>.</w:t>
      </w:r>
      <w:r>
        <w:rPr>
          <w:rFonts w:hAnsi="宋体"/>
        </w:rPr>
        <w:t xml:space="preserve"> 甲方无正当理由拒收货物的，甲方向乙方偿付拒收货款总值的百分之五违约金。</w:t>
      </w:r>
    </w:p>
    <w:p>
      <w:pPr>
        <w:pStyle w:val="18"/>
        <w:snapToGrid w:val="0"/>
        <w:spacing w:beforeLines="0" w:afterLines="0" w:line="360" w:lineRule="auto"/>
        <w:ind w:left="410" w:hanging="410" w:hangingChars="171"/>
        <w:rPr>
          <w:rFonts w:hAnsi="宋体"/>
        </w:rPr>
      </w:pPr>
      <w:r>
        <w:rPr>
          <w:rFonts w:hAnsi="宋体"/>
        </w:rPr>
        <w:t>2</w:t>
      </w:r>
      <w:r>
        <w:rPr>
          <w:rFonts w:hint="eastAsia" w:hAnsi="宋体"/>
        </w:rPr>
        <w:t>.</w:t>
      </w:r>
      <w:r>
        <w:rPr>
          <w:rFonts w:hAnsi="宋体"/>
        </w:rPr>
        <w:t xml:space="preserve"> 甲方无故逾期验收和办理货款支付手续的,甲方应按逾期付款总额每日万分之五向乙方支付违约金。</w:t>
      </w:r>
    </w:p>
    <w:p>
      <w:pPr>
        <w:pStyle w:val="18"/>
        <w:snapToGrid w:val="0"/>
        <w:spacing w:beforeLines="0" w:afterLines="0" w:line="360" w:lineRule="auto"/>
        <w:ind w:left="410" w:hanging="410" w:hangingChars="171"/>
        <w:rPr>
          <w:rFonts w:hAnsi="宋体"/>
        </w:rPr>
      </w:pPr>
      <w:r>
        <w:rPr>
          <w:rFonts w:hAnsi="宋体"/>
        </w:rPr>
        <w:t>3</w:t>
      </w:r>
      <w:r>
        <w:rPr>
          <w:rFonts w:hint="eastAsia" w:hAnsi="宋体"/>
        </w:rPr>
        <w:t>.</w:t>
      </w:r>
      <w:r>
        <w:rPr>
          <w:rFonts w:hAnsi="宋体"/>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8"/>
        <w:snapToGrid w:val="0"/>
        <w:spacing w:beforeLines="0" w:afterLines="0" w:line="360" w:lineRule="auto"/>
        <w:ind w:left="410" w:hanging="410" w:hangingChars="171"/>
        <w:rPr>
          <w:rFonts w:hAnsi="宋体"/>
        </w:rPr>
      </w:pPr>
      <w:r>
        <w:rPr>
          <w:rFonts w:hAnsi="宋体"/>
        </w:rPr>
        <w:t>4</w:t>
      </w:r>
      <w:r>
        <w:rPr>
          <w:rFonts w:hint="eastAsia" w:hAnsi="宋体"/>
        </w:rPr>
        <w:t>.</w:t>
      </w:r>
      <w:r>
        <w:rPr>
          <w:rFonts w:hAnsi="宋体"/>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8"/>
        <w:snapToGrid w:val="0"/>
        <w:spacing w:beforeLines="0" w:afterLines="0" w:line="360" w:lineRule="auto"/>
        <w:rPr>
          <w:rFonts w:hAnsi="宋体"/>
          <w:b/>
        </w:rPr>
      </w:pPr>
      <w:r>
        <w:rPr>
          <w:rFonts w:hAnsi="宋体"/>
          <w:b/>
        </w:rPr>
        <w:t>十六、不可抗力事件处理</w:t>
      </w:r>
    </w:p>
    <w:p>
      <w:pPr>
        <w:pStyle w:val="18"/>
        <w:snapToGrid w:val="0"/>
        <w:spacing w:beforeLines="0" w:afterLines="0" w:line="360" w:lineRule="auto"/>
        <w:rPr>
          <w:rFonts w:hAnsi="宋体"/>
        </w:rPr>
      </w:pPr>
      <w:r>
        <w:rPr>
          <w:rFonts w:hAnsi="宋体"/>
        </w:rPr>
        <w:t>1</w:t>
      </w:r>
      <w:r>
        <w:rPr>
          <w:rFonts w:hint="eastAsia" w:hAnsi="宋体"/>
        </w:rPr>
        <w:t>.</w:t>
      </w:r>
      <w:r>
        <w:rPr>
          <w:rFonts w:hAnsi="宋体"/>
        </w:rPr>
        <w:t xml:space="preserve"> 在合同有效期内，任何一方因不可抗力事件导致不能履行合同，则合同履行期可延长，其延长期与不可抗力影响期相同。</w:t>
      </w:r>
    </w:p>
    <w:p>
      <w:pPr>
        <w:pStyle w:val="18"/>
        <w:snapToGrid w:val="0"/>
        <w:spacing w:beforeLines="0" w:afterLines="0" w:line="360" w:lineRule="auto"/>
        <w:rPr>
          <w:rFonts w:hAnsi="宋体"/>
        </w:rPr>
      </w:pPr>
      <w:r>
        <w:rPr>
          <w:rFonts w:hAnsi="宋体"/>
        </w:rPr>
        <w:t>2</w:t>
      </w:r>
      <w:r>
        <w:rPr>
          <w:rFonts w:hint="eastAsia" w:hAnsi="宋体"/>
        </w:rPr>
        <w:t>.</w:t>
      </w:r>
      <w:r>
        <w:rPr>
          <w:rFonts w:hAnsi="宋体"/>
        </w:rPr>
        <w:t xml:space="preserve"> 不可抗力事件发生后，应立即通知对方，并寄送有关权威机构出具的证明。</w:t>
      </w:r>
    </w:p>
    <w:p>
      <w:pPr>
        <w:pStyle w:val="18"/>
        <w:snapToGrid w:val="0"/>
        <w:spacing w:beforeLines="0" w:afterLines="0" w:line="360" w:lineRule="auto"/>
        <w:rPr>
          <w:rFonts w:hAnsi="宋体"/>
        </w:rPr>
      </w:pPr>
      <w:r>
        <w:rPr>
          <w:rFonts w:hAnsi="宋体"/>
        </w:rPr>
        <w:t>3</w:t>
      </w:r>
      <w:r>
        <w:rPr>
          <w:rFonts w:hint="eastAsia" w:hAnsi="宋体"/>
        </w:rPr>
        <w:t>.</w:t>
      </w:r>
      <w:r>
        <w:rPr>
          <w:rFonts w:hAnsi="宋体"/>
        </w:rPr>
        <w:t xml:space="preserve"> 不可抗力事件延续120天以上，双方应通过友好协商，确定是否继续履行合同。</w:t>
      </w:r>
    </w:p>
    <w:p>
      <w:pPr>
        <w:pStyle w:val="18"/>
        <w:snapToGrid w:val="0"/>
        <w:spacing w:beforeLines="0" w:afterLines="0" w:line="360" w:lineRule="auto"/>
        <w:rPr>
          <w:rFonts w:hAnsi="宋体"/>
          <w:b/>
        </w:rPr>
      </w:pPr>
      <w:r>
        <w:rPr>
          <w:rFonts w:hAnsi="宋体"/>
          <w:b/>
        </w:rPr>
        <w:t>十七、诉讼</w:t>
      </w:r>
    </w:p>
    <w:p>
      <w:pPr>
        <w:pStyle w:val="18"/>
        <w:snapToGrid w:val="0"/>
        <w:spacing w:beforeLines="0" w:afterLines="0" w:line="360" w:lineRule="auto"/>
        <w:ind w:left="480" w:hanging="480" w:hangingChars="200"/>
        <w:rPr>
          <w:rFonts w:hAnsi="宋体"/>
        </w:rPr>
      </w:pPr>
      <w:r>
        <w:rPr>
          <w:rFonts w:hAnsi="宋体"/>
        </w:rPr>
        <w:t xml:space="preserve"> 双方在执行合同中所发生的一切争议，应通过协商解决。如协商不成，可向</w:t>
      </w:r>
      <w:r>
        <w:rPr>
          <w:rFonts w:hint="eastAsia" w:hAnsi="宋体"/>
        </w:rPr>
        <w:t>甲方所在</w:t>
      </w:r>
      <w:r>
        <w:rPr>
          <w:rFonts w:hAnsi="宋体"/>
        </w:rPr>
        <w:t>地法院起诉。</w:t>
      </w:r>
    </w:p>
    <w:p>
      <w:pPr>
        <w:pStyle w:val="18"/>
        <w:snapToGrid w:val="0"/>
        <w:spacing w:beforeLines="0" w:afterLines="0" w:line="360" w:lineRule="auto"/>
        <w:rPr>
          <w:rFonts w:hAnsi="宋体"/>
          <w:b/>
        </w:rPr>
      </w:pPr>
      <w:r>
        <w:rPr>
          <w:rFonts w:hAnsi="宋体"/>
          <w:b/>
        </w:rPr>
        <w:t>十八、合同生效及其它</w:t>
      </w:r>
    </w:p>
    <w:p>
      <w:pPr>
        <w:pStyle w:val="18"/>
        <w:snapToGrid w:val="0"/>
        <w:spacing w:beforeLines="0" w:afterLines="0" w:line="360" w:lineRule="auto"/>
        <w:rPr>
          <w:rFonts w:hAnsi="宋体"/>
        </w:rPr>
      </w:pPr>
      <w:r>
        <w:rPr>
          <w:rFonts w:hAnsi="宋体"/>
        </w:rPr>
        <w:t>1</w:t>
      </w:r>
      <w:r>
        <w:rPr>
          <w:rFonts w:hint="eastAsia" w:hAnsi="宋体"/>
        </w:rPr>
        <w:t>.</w:t>
      </w:r>
      <w:r>
        <w:rPr>
          <w:rFonts w:hAnsi="宋体"/>
        </w:rPr>
        <w:t xml:space="preserve"> 合同经双方法定代表人或授权代表签字并加盖单位公章后生效。</w:t>
      </w:r>
    </w:p>
    <w:p>
      <w:pPr>
        <w:pStyle w:val="18"/>
        <w:snapToGrid w:val="0"/>
        <w:spacing w:beforeLines="0" w:afterLines="0" w:line="360" w:lineRule="auto"/>
        <w:rPr>
          <w:rFonts w:hAnsi="宋体"/>
        </w:rPr>
      </w:pPr>
      <w:r>
        <w:rPr>
          <w:rFonts w:hAnsi="宋体"/>
        </w:rPr>
        <w:t>2</w:t>
      </w:r>
      <w:r>
        <w:rPr>
          <w:rFonts w:hint="eastAsia" w:hAnsi="宋体"/>
        </w:rPr>
        <w:t>.</w:t>
      </w:r>
      <w:r>
        <w:rPr>
          <w:rFonts w:hAnsi="宋体"/>
        </w:rPr>
        <w:t>合同执行中涉及采购资金和采购内容修改或补充的，须经财政部门审批，并签书面补充协议报政府采购监督管理部门备案，方可作为主合同不可分割的一部分。</w:t>
      </w:r>
    </w:p>
    <w:p>
      <w:pPr>
        <w:pStyle w:val="18"/>
        <w:snapToGrid w:val="0"/>
        <w:spacing w:beforeLines="0" w:afterLines="0" w:line="360" w:lineRule="auto"/>
        <w:ind w:left="480" w:hanging="480" w:hangingChars="200"/>
        <w:rPr>
          <w:rFonts w:hAnsi="宋体"/>
        </w:rPr>
      </w:pPr>
      <w:r>
        <w:rPr>
          <w:rFonts w:hAnsi="宋体"/>
        </w:rPr>
        <w:t>3</w:t>
      </w:r>
      <w:r>
        <w:rPr>
          <w:rFonts w:hint="eastAsia" w:hAnsi="宋体"/>
        </w:rPr>
        <w:t>.</w:t>
      </w:r>
      <w:r>
        <w:rPr>
          <w:rFonts w:hAnsi="宋体"/>
        </w:rPr>
        <w:t>本合同未尽事宜，遵照《</w:t>
      </w:r>
      <w:r>
        <w:rPr>
          <w:rFonts w:hint="eastAsia" w:hAnsi="宋体"/>
        </w:rPr>
        <w:t>中华人民共和国民法典</w:t>
      </w:r>
      <w:r>
        <w:rPr>
          <w:rFonts w:hAnsi="宋体"/>
        </w:rPr>
        <w:t>》有关条文执行。</w:t>
      </w:r>
    </w:p>
    <w:p>
      <w:pPr>
        <w:pStyle w:val="18"/>
        <w:snapToGrid w:val="0"/>
        <w:spacing w:beforeLines="0" w:afterLines="0" w:line="360" w:lineRule="auto"/>
        <w:ind w:left="480" w:hanging="480" w:hangingChars="200"/>
        <w:rPr>
          <w:rFonts w:hAnsi="宋体"/>
        </w:rPr>
      </w:pPr>
      <w:r>
        <w:rPr>
          <w:rFonts w:hAnsi="宋体"/>
        </w:rPr>
        <w:t>4</w:t>
      </w:r>
      <w:r>
        <w:rPr>
          <w:rFonts w:hint="eastAsia" w:hAnsi="宋体"/>
        </w:rPr>
        <w:t>.</w:t>
      </w:r>
      <w:r>
        <w:rPr>
          <w:rFonts w:hAnsi="宋体"/>
        </w:rPr>
        <w:t>本合同正本一式</w:t>
      </w:r>
      <w:r>
        <w:rPr>
          <w:rFonts w:hint="eastAsia" w:hAnsi="宋体"/>
        </w:rPr>
        <w:t>六</w:t>
      </w:r>
      <w:r>
        <w:rPr>
          <w:rFonts w:hAnsi="宋体"/>
        </w:rPr>
        <w:t>份，具有同等法律效力，甲</w:t>
      </w:r>
      <w:r>
        <w:rPr>
          <w:rFonts w:hint="eastAsia" w:hAnsi="宋体"/>
        </w:rPr>
        <w:t>方执三份，乙方执二份，采购代理机构执一份。</w:t>
      </w:r>
    </w:p>
    <w:p>
      <w:pPr>
        <w:pStyle w:val="18"/>
        <w:snapToGrid w:val="0"/>
        <w:spacing w:beforeLines="0" w:afterLines="0" w:line="360" w:lineRule="auto"/>
        <w:ind w:left="480" w:hanging="480" w:hangingChars="200"/>
        <w:rPr>
          <w:rFonts w:hAnsi="宋体"/>
        </w:rPr>
      </w:pPr>
      <w:r>
        <w:rPr>
          <w:rFonts w:hAnsi="宋体"/>
        </w:rPr>
        <w:t xml:space="preserve">  甲方：                               </w:t>
      </w:r>
      <w:r>
        <w:rPr>
          <w:rFonts w:hint="eastAsia" w:hAnsi="宋体"/>
        </w:rPr>
        <w:t xml:space="preserve">  </w:t>
      </w:r>
      <w:r>
        <w:rPr>
          <w:rFonts w:hAnsi="宋体"/>
        </w:rPr>
        <w:t xml:space="preserve">  乙方： </w:t>
      </w:r>
    </w:p>
    <w:p>
      <w:pPr>
        <w:pStyle w:val="18"/>
        <w:snapToGrid w:val="0"/>
        <w:spacing w:beforeLines="0" w:afterLines="0" w:line="360" w:lineRule="auto"/>
        <w:rPr>
          <w:rFonts w:hAnsi="宋体"/>
        </w:rPr>
      </w:pPr>
      <w:r>
        <w:rPr>
          <w:rFonts w:hAnsi="宋体"/>
        </w:rPr>
        <w:t xml:space="preserve">  地址：                                   地址： </w:t>
      </w:r>
    </w:p>
    <w:p>
      <w:pPr>
        <w:pStyle w:val="18"/>
        <w:snapToGrid w:val="0"/>
        <w:spacing w:beforeLines="0" w:afterLines="0" w:line="360" w:lineRule="auto"/>
        <w:rPr>
          <w:rFonts w:hAnsi="宋体"/>
        </w:rPr>
      </w:pPr>
      <w:r>
        <w:rPr>
          <w:rFonts w:hAnsi="宋体"/>
        </w:rPr>
        <w:t xml:space="preserve">  法定</w:t>
      </w:r>
      <w:r>
        <w:rPr>
          <w:rFonts w:hint="eastAsia" w:hAnsi="宋体"/>
        </w:rPr>
        <w:t>（授权）</w:t>
      </w:r>
      <w:r>
        <w:rPr>
          <w:rFonts w:hAnsi="宋体"/>
        </w:rPr>
        <w:t>代表人：                     法定</w:t>
      </w:r>
      <w:r>
        <w:rPr>
          <w:rFonts w:hint="eastAsia" w:hAnsi="宋体"/>
        </w:rPr>
        <w:t>（授权）</w:t>
      </w:r>
      <w:r>
        <w:rPr>
          <w:rFonts w:hAnsi="宋体"/>
        </w:rPr>
        <w:t>代表人：</w:t>
      </w:r>
    </w:p>
    <w:p>
      <w:pPr>
        <w:pStyle w:val="18"/>
        <w:snapToGrid w:val="0"/>
        <w:spacing w:beforeLines="0" w:afterLines="0" w:line="360" w:lineRule="auto"/>
        <w:rPr>
          <w:rFonts w:hAnsi="宋体"/>
        </w:rPr>
      </w:pPr>
      <w:r>
        <w:rPr>
          <w:rFonts w:hAnsi="宋体"/>
        </w:rPr>
        <w:t xml:space="preserve">  签</w:t>
      </w:r>
      <w:r>
        <w:rPr>
          <w:rFonts w:hint="eastAsia" w:hAnsi="宋体"/>
        </w:rPr>
        <w:t>字日期</w:t>
      </w:r>
      <w:r>
        <w:rPr>
          <w:rFonts w:hAnsi="宋体"/>
        </w:rPr>
        <w:t xml:space="preserve">：      年  月  日    </w:t>
      </w:r>
      <w:r>
        <w:rPr>
          <w:rFonts w:hint="eastAsia" w:hAnsi="宋体"/>
        </w:rPr>
        <w:t xml:space="preserve">           </w:t>
      </w:r>
      <w:r>
        <w:rPr>
          <w:rFonts w:hAnsi="宋体"/>
        </w:rPr>
        <w:t>签</w:t>
      </w:r>
      <w:r>
        <w:rPr>
          <w:rFonts w:hint="eastAsia" w:hAnsi="宋体"/>
        </w:rPr>
        <w:t>字</w:t>
      </w:r>
      <w:r>
        <w:rPr>
          <w:rFonts w:hAnsi="宋体"/>
        </w:rPr>
        <w:t>日期：      年  月  日</w:t>
      </w: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p>
    <w:p>
      <w:pPr>
        <w:snapToGrid w:val="0"/>
        <w:spacing w:line="360" w:lineRule="auto"/>
        <w:jc w:val="center"/>
        <w:rPr>
          <w:sz w:val="30"/>
          <w:szCs w:val="30"/>
        </w:rPr>
      </w:pPr>
      <w:r>
        <w:rPr>
          <w:rFonts w:hint="eastAsia"/>
          <w:sz w:val="30"/>
          <w:szCs w:val="30"/>
        </w:rPr>
        <w:t>第六章　投标文件格式</w:t>
      </w:r>
    </w:p>
    <w:p>
      <w:pPr>
        <w:snapToGrid w:val="0"/>
        <w:spacing w:line="360" w:lineRule="auto"/>
        <w:jc w:val="center"/>
        <w:outlineLvl w:val="1"/>
        <w:rPr>
          <w:rFonts w:ascii="宋体" w:hAnsi="宋体"/>
          <w:b/>
          <w:bCs/>
          <w:sz w:val="24"/>
        </w:rPr>
      </w:pPr>
      <w:r>
        <w:rPr>
          <w:rFonts w:hint="eastAsia" w:ascii="宋体" w:hAnsi="宋体"/>
          <w:b/>
          <w:bCs/>
          <w:sz w:val="24"/>
        </w:rPr>
        <w:t>一、资格文件格式</w:t>
      </w:r>
    </w:p>
    <w:p>
      <w:pPr>
        <w:snapToGrid w:val="0"/>
        <w:spacing w:line="360" w:lineRule="auto"/>
        <w:rPr>
          <w:rFonts w:ascii="宋体" w:hAnsi="宋体"/>
          <w:sz w:val="24"/>
          <w:szCs w:val="20"/>
        </w:rPr>
      </w:pPr>
      <w:r>
        <w:rPr>
          <w:rFonts w:hint="eastAsia" w:ascii="宋体" w:hAnsi="宋体"/>
          <w:sz w:val="24"/>
        </w:rPr>
        <w:t>1.资格文件封面格式：</w:t>
      </w:r>
    </w:p>
    <w:p>
      <w:pPr>
        <w:snapToGrid w:val="0"/>
        <w:spacing w:line="360" w:lineRule="auto"/>
        <w:jc w:val="center"/>
        <w:rPr>
          <w:rFonts w:ascii="宋体" w:hAnsi="宋体"/>
          <w:bCs/>
          <w:sz w:val="24"/>
          <w:szCs w:val="20"/>
        </w:rPr>
      </w:pPr>
    </w:p>
    <w:p>
      <w:pPr>
        <w:snapToGrid w:val="0"/>
        <w:spacing w:line="360" w:lineRule="auto"/>
        <w:jc w:val="center"/>
        <w:rPr>
          <w:rFonts w:ascii="宋体" w:hAnsi="宋体"/>
          <w:bCs/>
          <w:sz w:val="24"/>
          <w:szCs w:val="20"/>
        </w:rPr>
      </w:pPr>
      <w:r>
        <w:rPr>
          <w:rFonts w:hint="eastAsia" w:ascii="宋体" w:hAnsi="宋体"/>
          <w:bCs/>
          <w:sz w:val="24"/>
        </w:rPr>
        <w:t>资 格 文件</w:t>
      </w:r>
    </w:p>
    <w:p>
      <w:pPr>
        <w:snapToGrid w:val="0"/>
        <w:spacing w:line="360" w:lineRule="auto"/>
        <w:rPr>
          <w:rFonts w:ascii="宋体" w:hAnsi="宋体"/>
          <w:bCs/>
          <w:sz w:val="24"/>
          <w:szCs w:val="20"/>
        </w:rPr>
      </w:pPr>
    </w:p>
    <w:p>
      <w:pPr>
        <w:snapToGrid w:val="0"/>
        <w:spacing w:line="360" w:lineRule="auto"/>
        <w:ind w:left="1918" w:leftChars="456" w:hanging="960" w:hangingChars="400"/>
        <w:rPr>
          <w:rFonts w:ascii="宋体" w:hAnsi="宋体"/>
          <w:bCs/>
          <w:sz w:val="24"/>
          <w:szCs w:val="20"/>
        </w:rPr>
      </w:pPr>
      <w:r>
        <w:rPr>
          <w:rFonts w:hint="eastAsia" w:ascii="宋体" w:hAnsi="宋体"/>
          <w:bCs/>
          <w:sz w:val="24"/>
        </w:rPr>
        <w:t>项目名称：</w:t>
      </w:r>
      <w:r>
        <w:rPr>
          <w:rFonts w:hint="eastAsia" w:ascii="宋体" w:hAnsi="宋体"/>
          <w:spacing w:val="-20"/>
          <w:sz w:val="24"/>
        </w:rPr>
        <w:t>湖州市吴兴区教育局升降式课桌椅项目</w:t>
      </w:r>
    </w:p>
    <w:p>
      <w:pPr>
        <w:snapToGrid w:val="0"/>
        <w:spacing w:line="360" w:lineRule="auto"/>
        <w:ind w:firstLine="960" w:firstLineChars="400"/>
        <w:rPr>
          <w:rFonts w:ascii="宋体" w:hAnsi="宋体"/>
          <w:bCs/>
          <w:sz w:val="24"/>
          <w:szCs w:val="20"/>
        </w:rPr>
      </w:pPr>
      <w:r>
        <w:rPr>
          <w:rFonts w:hint="eastAsia" w:ascii="宋体" w:hAnsi="宋体"/>
          <w:bCs/>
          <w:sz w:val="24"/>
        </w:rPr>
        <w:t>项目编号：</w:t>
      </w:r>
      <w:r>
        <w:rPr>
          <w:rFonts w:hint="eastAsia" w:ascii="宋体" w:hAnsi="宋体"/>
          <w:sz w:val="24"/>
        </w:rPr>
        <w:t>HYHZ2022-80</w:t>
      </w:r>
    </w:p>
    <w:p>
      <w:pPr>
        <w:pStyle w:val="8"/>
        <w:snapToGrid w:val="0"/>
        <w:spacing w:line="360" w:lineRule="auto"/>
        <w:ind w:firstLine="998" w:firstLineChars="416"/>
        <w:rPr>
          <w:rFonts w:ascii="宋体" w:hAnsi="宋体"/>
          <w:bCs/>
          <w:sz w:val="24"/>
          <w:szCs w:val="24"/>
        </w:rPr>
      </w:pPr>
      <w:r>
        <w:rPr>
          <w:rFonts w:hint="eastAsia" w:ascii="宋体" w:hAnsi="宋体"/>
          <w:bCs/>
          <w:sz w:val="24"/>
          <w:szCs w:val="24"/>
        </w:rPr>
        <w:t>投标人名称：</w:t>
      </w:r>
    </w:p>
    <w:p>
      <w:pPr>
        <w:pStyle w:val="8"/>
        <w:snapToGrid w:val="0"/>
        <w:spacing w:line="360" w:lineRule="auto"/>
        <w:ind w:firstLine="998" w:firstLineChars="416"/>
        <w:rPr>
          <w:rFonts w:ascii="宋体" w:hAnsi="宋体"/>
          <w:bCs/>
          <w:sz w:val="24"/>
          <w:szCs w:val="24"/>
        </w:rPr>
      </w:pPr>
      <w:r>
        <w:rPr>
          <w:rFonts w:hint="eastAsia" w:ascii="宋体" w:hAnsi="宋体"/>
          <w:bCs/>
          <w:sz w:val="24"/>
          <w:szCs w:val="24"/>
        </w:rPr>
        <w:t>投标人地址：</w:t>
      </w:r>
    </w:p>
    <w:p>
      <w:pPr>
        <w:snapToGrid w:val="0"/>
        <w:spacing w:line="360" w:lineRule="auto"/>
        <w:ind w:firstLine="4080" w:firstLineChars="1700"/>
        <w:rPr>
          <w:rFonts w:ascii="宋体" w:hAnsi="宋体"/>
          <w:sz w:val="24"/>
          <w:szCs w:val="20"/>
        </w:rPr>
      </w:pPr>
    </w:p>
    <w:p>
      <w:pPr>
        <w:snapToGrid w:val="0"/>
        <w:spacing w:line="360" w:lineRule="auto"/>
        <w:ind w:firstLine="645"/>
        <w:jc w:val="center"/>
        <w:rPr>
          <w:rFonts w:ascii="宋体" w:hAnsi="宋体"/>
          <w:sz w:val="24"/>
          <w:szCs w:val="20"/>
        </w:rPr>
      </w:pPr>
      <w:r>
        <w:rPr>
          <w:rFonts w:hint="eastAsia" w:ascii="宋体" w:hAnsi="宋体"/>
          <w:sz w:val="24"/>
        </w:rPr>
        <w:t>年月日</w:t>
      </w:r>
    </w:p>
    <w:p>
      <w:pPr>
        <w:snapToGrid w:val="0"/>
        <w:spacing w:line="360" w:lineRule="auto"/>
        <w:rPr>
          <w:rFonts w:ascii="宋体" w:hAnsi="宋体"/>
          <w:b/>
          <w:bCs/>
          <w:sz w:val="24"/>
        </w:rPr>
      </w:pPr>
      <w:r>
        <w:rPr>
          <w:rFonts w:hint="eastAsia" w:ascii="宋体" w:hAnsi="宋体"/>
          <w:sz w:val="24"/>
        </w:rPr>
        <w:t>2.</w:t>
      </w:r>
      <w:r>
        <w:rPr>
          <w:rFonts w:hint="eastAsia" w:ascii="宋体" w:hAnsi="宋体"/>
          <w:b/>
          <w:bCs/>
          <w:sz w:val="24"/>
        </w:rPr>
        <w:t>资格文件目录</w:t>
      </w:r>
    </w:p>
    <w:p>
      <w:pPr>
        <w:snapToGrid w:val="0"/>
        <w:spacing w:line="360" w:lineRule="auto"/>
        <w:jc w:val="left"/>
        <w:rPr>
          <w:rFonts w:ascii="宋体" w:hAnsi="宋体"/>
          <w:sz w:val="24"/>
          <w:szCs w:val="20"/>
        </w:rPr>
      </w:pPr>
      <w:r>
        <w:rPr>
          <w:rFonts w:hint="eastAsia" w:ascii="宋体" w:hAnsi="宋体"/>
          <w:sz w:val="24"/>
        </w:rPr>
        <w:t>（</w:t>
      </w:r>
      <w:r>
        <w:rPr>
          <w:rFonts w:ascii="宋体" w:hAnsi="宋体"/>
          <w:sz w:val="24"/>
        </w:rPr>
        <w:t>1</w:t>
      </w:r>
      <w:r>
        <w:rPr>
          <w:rFonts w:hint="eastAsia" w:ascii="宋体" w:hAnsi="宋体"/>
          <w:sz w:val="24"/>
        </w:rPr>
        <w:t>）投标声明书————————（页码）</w:t>
      </w:r>
    </w:p>
    <w:p>
      <w:pPr>
        <w:snapToGrid w:val="0"/>
        <w:spacing w:line="360" w:lineRule="auto"/>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）投标人基本情况介绍————————</w:t>
      </w:r>
    </w:p>
    <w:p>
      <w:pPr>
        <w:snapToGrid w:val="0"/>
        <w:spacing w:line="360" w:lineRule="auto"/>
        <w:jc w:val="left"/>
        <w:rPr>
          <w:rFonts w:ascii="宋体" w:hAnsi="宋体"/>
          <w:sz w:val="24"/>
        </w:rPr>
      </w:pPr>
      <w:r>
        <w:rPr>
          <w:rFonts w:hint="eastAsia" w:ascii="宋体" w:hAnsi="宋体"/>
          <w:sz w:val="24"/>
        </w:rPr>
        <w:t>（3）</w:t>
      </w:r>
      <w:r>
        <w:rPr>
          <w:rFonts w:ascii="宋体" w:hAnsi="宋体"/>
          <w:sz w:val="24"/>
        </w:rPr>
        <w:t>法定代表人授权委托书</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（4）近三个月依法缴纳税收和社保费的证明【税费凭证，或者依法缴纳税费或依法免缴税费的证明】（</w:t>
      </w:r>
      <w:r>
        <w:rPr>
          <w:rFonts w:hint="eastAsia" w:ascii="宋体" w:hAnsi="宋体"/>
          <w:bCs/>
          <w:sz w:val="24"/>
        </w:rPr>
        <w:t>复印件各一份</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（5）有效的营业执照副本复印件————————</w:t>
      </w:r>
    </w:p>
    <w:p>
      <w:pPr>
        <w:snapToGrid w:val="0"/>
        <w:spacing w:line="360" w:lineRule="auto"/>
        <w:jc w:val="left"/>
        <w:rPr>
          <w:rFonts w:ascii="宋体" w:hAnsi="宋体" w:cs="Arial"/>
          <w:kern w:val="0"/>
          <w:sz w:val="24"/>
        </w:rPr>
      </w:pPr>
      <w:r>
        <w:rPr>
          <w:rFonts w:hint="eastAsia" w:ascii="宋体" w:hAnsi="宋体" w:cs="Arial"/>
          <w:kern w:val="0"/>
          <w:sz w:val="24"/>
        </w:rPr>
        <w:t>（6）</w:t>
      </w:r>
      <w:r>
        <w:rPr>
          <w:rFonts w:hint="eastAsia" w:ascii="宋体" w:hAnsi="宋体" w:cs="宋体"/>
          <w:sz w:val="24"/>
        </w:rPr>
        <w:t>近二年度（2020,2021年）企业的财务状况报告或银行资信证明复印件</w:t>
      </w:r>
      <w:r>
        <w:rPr>
          <w:rFonts w:hint="eastAsia" w:ascii="宋体" w:hAnsi="宋体"/>
          <w:sz w:val="24"/>
        </w:rPr>
        <w:t>————————</w:t>
      </w:r>
    </w:p>
    <w:p>
      <w:pPr>
        <w:snapToGrid w:val="0"/>
        <w:spacing w:line="360" w:lineRule="auto"/>
        <w:jc w:val="left"/>
        <w:rPr>
          <w:rFonts w:ascii="宋体" w:hAnsi="宋体"/>
          <w:sz w:val="24"/>
        </w:rPr>
      </w:pPr>
      <w:r>
        <w:rPr>
          <w:rFonts w:hint="eastAsia" w:ascii="宋体" w:hAnsi="宋体" w:cs="Arial"/>
          <w:kern w:val="0"/>
          <w:sz w:val="24"/>
        </w:rPr>
        <w:t>（7）</w:t>
      </w:r>
      <w:r>
        <w:rPr>
          <w:rFonts w:hint="eastAsia" w:ascii="宋体" w:hAnsi="宋体"/>
          <w:sz w:val="24"/>
        </w:rPr>
        <w:t>提供自招标公告发布之日起至投标截止日内任意时间的“信用中国”网站（www.creditchina.gov.cn）、中国政府采购网（www.ccgp.gov.cn）投标人信用查询网页截图————————</w:t>
      </w:r>
    </w:p>
    <w:p>
      <w:pPr>
        <w:snapToGrid w:val="0"/>
        <w:spacing w:line="360" w:lineRule="auto"/>
        <w:jc w:val="left"/>
        <w:rPr>
          <w:rFonts w:ascii="宋体" w:hAnsi="宋体" w:cs="Arial"/>
          <w:kern w:val="0"/>
          <w:sz w:val="24"/>
        </w:rPr>
      </w:pPr>
      <w:r>
        <w:rPr>
          <w:rFonts w:hint="eastAsia" w:ascii="宋体" w:hAnsi="宋体" w:cs="Arial"/>
          <w:kern w:val="0"/>
          <w:sz w:val="24"/>
        </w:rPr>
        <w:t>（8）</w:t>
      </w:r>
      <w:r>
        <w:rPr>
          <w:rFonts w:hint="eastAsia" w:ascii="宋体" w:hAnsi="宋体"/>
          <w:b/>
          <w:color w:val="FF0000"/>
          <w:sz w:val="24"/>
        </w:rPr>
        <w:t>符合政策要求的中小企业，相关企业（含联合体中的中小企业、签订分包意向协议的中小企业）需提供中小企业申明函(监狱企业视同小型、微型企业，提供由省级以上监狱管理局、戒毒管理局(含新疆生产建设兵团)出具的属于监狱企业的证明文件；残疾人福利性单位视同小型、微型企业，提供《残疾人福利性单位声明函》)；如大型企业投标，需提供联合体各方共同投标协议或分包意向协议（协议中</w:t>
      </w:r>
      <w:r>
        <w:rPr>
          <w:rFonts w:ascii="宋体" w:hAnsi="宋体"/>
          <w:b/>
          <w:color w:val="FF0000"/>
          <w:sz w:val="24"/>
        </w:rPr>
        <w:t>合同金额的40%</w:t>
      </w:r>
      <w:r>
        <w:rPr>
          <w:rFonts w:hint="eastAsia" w:ascii="宋体" w:hAnsi="宋体"/>
          <w:b/>
          <w:color w:val="FF0000"/>
          <w:sz w:val="24"/>
        </w:rPr>
        <w:t>必须分包</w:t>
      </w:r>
      <w:r>
        <w:rPr>
          <w:rFonts w:ascii="宋体" w:hAnsi="宋体"/>
          <w:b/>
          <w:color w:val="FF0000"/>
          <w:sz w:val="24"/>
        </w:rPr>
        <w:t>给中小微企业</w:t>
      </w:r>
      <w:r>
        <w:rPr>
          <w:rFonts w:hint="eastAsia" w:ascii="宋体" w:hAnsi="宋体"/>
          <w:b/>
          <w:color w:val="FF0000"/>
          <w:sz w:val="24"/>
        </w:rPr>
        <w:t>，格式自拟），如中小企业投标则无需提供</w:t>
      </w:r>
      <w:r>
        <w:rPr>
          <w:rFonts w:hint="eastAsia" w:ascii="宋体" w:hAnsi="宋体"/>
          <w:sz w:val="24"/>
        </w:rPr>
        <w:t>——————</w:t>
      </w:r>
    </w:p>
    <w:p>
      <w:pPr>
        <w:snapToGrid w:val="0"/>
        <w:spacing w:line="360" w:lineRule="auto"/>
        <w:jc w:val="left"/>
        <w:rPr>
          <w:rFonts w:ascii="宋体" w:hAnsi="宋体"/>
          <w:sz w:val="24"/>
          <w:szCs w:val="20"/>
        </w:rPr>
      </w:pPr>
      <w:r>
        <w:rPr>
          <w:rFonts w:hint="eastAsia" w:ascii="宋体" w:hAnsi="宋体"/>
        </w:rPr>
        <w:t>3</w:t>
      </w:r>
      <w:r>
        <w:rPr>
          <w:rFonts w:hint="eastAsia" w:ascii="宋体" w:hAnsi="宋体"/>
          <w:sz w:val="24"/>
        </w:rPr>
        <w:t>.投标声明书格式：</w:t>
      </w:r>
    </w:p>
    <w:p>
      <w:pPr>
        <w:snapToGrid w:val="0"/>
        <w:spacing w:line="360" w:lineRule="auto"/>
        <w:jc w:val="center"/>
        <w:rPr>
          <w:rFonts w:ascii="宋体" w:hAnsi="宋体"/>
          <w:sz w:val="24"/>
          <w:szCs w:val="20"/>
        </w:rPr>
      </w:pPr>
      <w:r>
        <w:rPr>
          <w:rFonts w:hint="eastAsia" w:ascii="宋体" w:hAnsi="宋体"/>
          <w:sz w:val="30"/>
        </w:rPr>
        <w:t>投标声明书</w:t>
      </w:r>
    </w:p>
    <w:p>
      <w:pPr>
        <w:snapToGrid w:val="0"/>
        <w:spacing w:line="360" w:lineRule="auto"/>
        <w:rPr>
          <w:rFonts w:ascii="宋体" w:hAnsi="宋体"/>
          <w:sz w:val="24"/>
          <w:szCs w:val="20"/>
        </w:rPr>
      </w:pPr>
      <w:r>
        <w:rPr>
          <w:rFonts w:hint="eastAsia" w:ascii="宋体" w:hAnsi="宋体"/>
          <w:sz w:val="24"/>
        </w:rPr>
        <w:t>致：</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（招标采购单位名称）：</w:t>
      </w:r>
    </w:p>
    <w:p>
      <w:pPr>
        <w:snapToGrid w:val="0"/>
        <w:spacing w:line="360" w:lineRule="auto"/>
        <w:ind w:firstLine="720" w:firstLineChars="300"/>
        <w:rPr>
          <w:rFonts w:ascii="宋体" w:hAnsi="宋体"/>
          <w:sz w:val="24"/>
          <w:szCs w:val="20"/>
        </w:rPr>
      </w:pP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（投标人名称）系中华人民共和国合法企业，经营地址。</w:t>
      </w:r>
    </w:p>
    <w:p>
      <w:pPr>
        <w:snapToGrid w:val="0"/>
        <w:spacing w:line="360" w:lineRule="auto"/>
        <w:ind w:firstLine="645"/>
        <w:rPr>
          <w:rFonts w:ascii="宋体" w:hAnsi="宋体"/>
          <w:sz w:val="24"/>
          <w:szCs w:val="20"/>
        </w:rPr>
      </w:pPr>
      <w:r>
        <w:rPr>
          <w:rFonts w:hint="eastAsia" w:ascii="宋体" w:hAnsi="宋体"/>
          <w:sz w:val="24"/>
        </w:rPr>
        <w:t>我</w:t>
      </w:r>
      <w:r>
        <w:rPr>
          <w:rFonts w:ascii="宋体" w:hAnsi="宋体"/>
          <w:sz w:val="24"/>
        </w:rPr>
        <w:t>___</w:t>
      </w:r>
      <w:r>
        <w:rPr>
          <w:rFonts w:ascii="宋体" w:hAnsi="宋体"/>
          <w:sz w:val="24"/>
          <w:u w:val="single"/>
        </w:rPr>
        <w:t xml:space="preserve">    _</w:t>
      </w:r>
      <w:r>
        <w:rPr>
          <w:rFonts w:ascii="宋体" w:hAnsi="宋体"/>
          <w:sz w:val="24"/>
        </w:rPr>
        <w:t>_</w:t>
      </w:r>
      <w:r>
        <w:rPr>
          <w:rFonts w:hint="eastAsia" w:ascii="宋体" w:hAnsi="宋体"/>
          <w:sz w:val="24"/>
        </w:rPr>
        <w:t>（姓名）系</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（投标人名称）的法定代表人，我方愿意参加贵方组织的</w:t>
      </w:r>
      <w:r>
        <w:rPr>
          <w:rFonts w:ascii="宋体" w:hAnsi="宋体"/>
          <w:sz w:val="24"/>
        </w:rPr>
        <w:t>_____</w:t>
      </w:r>
      <w:r>
        <w:rPr>
          <w:rFonts w:ascii="宋体" w:hAnsi="宋体"/>
          <w:sz w:val="24"/>
          <w:u w:val="single"/>
        </w:rPr>
        <w:t>_              _     _</w:t>
      </w:r>
      <w:r>
        <w:rPr>
          <w:rFonts w:ascii="宋体" w:hAnsi="宋体"/>
          <w:sz w:val="24"/>
        </w:rPr>
        <w:t>_</w:t>
      </w:r>
      <w:r>
        <w:rPr>
          <w:rFonts w:hint="eastAsia" w:ascii="宋体" w:hAnsi="宋体"/>
          <w:sz w:val="24"/>
        </w:rPr>
        <w:t>项目的投标，为便于贵方公正、择优地确定中标人及其投标产品和服务，我方就本次投标有关事项郑重声明如下：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我方向贵方提交的所有投标文件、资料都是准确的和真实的</w:t>
      </w:r>
      <w:r>
        <w:rPr>
          <w:rFonts w:hint="eastAsia" w:ascii="宋体" w:hAnsi="宋体"/>
          <w:sz w:val="24"/>
        </w:rPr>
        <w:t>。</w:t>
      </w:r>
    </w:p>
    <w:p>
      <w:pPr>
        <w:snapToGrid w:val="0"/>
        <w:spacing w:line="360" w:lineRule="auto"/>
        <w:ind w:firstLine="480" w:firstLineChars="200"/>
        <w:rPr>
          <w:rFonts w:ascii="宋体" w:hAnsi="宋体"/>
          <w:sz w:val="24"/>
          <w:szCs w:val="20"/>
        </w:rPr>
      </w:pPr>
      <w:r>
        <w:rPr>
          <w:rFonts w:ascii="宋体" w:hAnsi="宋体"/>
          <w:sz w:val="24"/>
        </w:rPr>
        <w:t>2</w:t>
      </w:r>
      <w:r>
        <w:rPr>
          <w:rFonts w:hint="eastAsia" w:ascii="宋体" w:hAnsi="宋体"/>
          <w:sz w:val="24"/>
        </w:rPr>
        <w:t>.</w:t>
      </w:r>
      <w:r>
        <w:rPr>
          <w:rFonts w:ascii="宋体" w:hAnsi="宋体"/>
          <w:sz w:val="24"/>
        </w:rPr>
        <w:t>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宋体" w:hAnsi="宋体"/>
          <w:sz w:val="24"/>
          <w:szCs w:val="20"/>
        </w:rPr>
      </w:pPr>
      <w:r>
        <w:rPr>
          <w:rFonts w:ascii="宋体" w:hAnsi="宋体"/>
          <w:sz w:val="24"/>
        </w:rPr>
        <w:t>3</w:t>
      </w:r>
      <w:r>
        <w:rPr>
          <w:rFonts w:hint="eastAsia" w:ascii="宋体" w:hAnsi="宋体"/>
          <w:sz w:val="24"/>
        </w:rPr>
        <w:t>.</w:t>
      </w:r>
      <w:r>
        <w:rPr>
          <w:rFonts w:ascii="宋体" w:hAnsi="宋体"/>
          <w:sz w:val="24"/>
        </w:rPr>
        <w:t>我方此次向贵方提供的产品名称为：</w:t>
      </w:r>
      <w:r>
        <w:rPr>
          <w:rFonts w:hint="eastAsia" w:ascii="宋体" w:hAnsi="宋体"/>
          <w:sz w:val="24"/>
        </w:rPr>
        <w:t>；规格型号：；该型号产品我方有现货可供，并已于年月生产完工或向</w:t>
      </w:r>
      <w:r>
        <w:rPr>
          <w:rFonts w:hint="eastAsia" w:ascii="宋体" w:hAnsi="宋体"/>
          <w:sz w:val="24"/>
          <w:u w:val="single"/>
        </w:rPr>
        <w:t>　　</w:t>
      </w:r>
      <w:r>
        <w:rPr>
          <w:rFonts w:hint="eastAsia" w:ascii="宋体" w:hAnsi="宋体"/>
          <w:sz w:val="24"/>
        </w:rPr>
        <w:t>（原厂商名称）购进［</w:t>
      </w:r>
      <w:r>
        <w:rPr>
          <w:rFonts w:hint="eastAsia" w:ascii="宋体" w:hAnsi="宋体"/>
          <w:b/>
          <w:bCs/>
          <w:sz w:val="24"/>
        </w:rPr>
        <w:t>或</w:t>
      </w:r>
      <w:r>
        <w:rPr>
          <w:rFonts w:hint="eastAsia" w:ascii="宋体" w:hAnsi="宋体"/>
          <w:sz w:val="24"/>
        </w:rPr>
        <w:t>需在中标后向订购］。</w:t>
      </w:r>
    </w:p>
    <w:p>
      <w:pPr>
        <w:snapToGrid w:val="0"/>
        <w:spacing w:line="360" w:lineRule="auto"/>
        <w:ind w:firstLine="480" w:firstLineChars="200"/>
        <w:rPr>
          <w:rFonts w:ascii="宋体" w:hAnsi="宋体"/>
          <w:sz w:val="24"/>
          <w:szCs w:val="20"/>
        </w:rPr>
      </w:pPr>
      <w:r>
        <w:rPr>
          <w:rFonts w:ascii="宋体" w:hAnsi="宋体"/>
          <w:sz w:val="24"/>
        </w:rPr>
        <w:t>4</w:t>
      </w:r>
      <w:r>
        <w:rPr>
          <w:rFonts w:hint="eastAsia" w:ascii="宋体" w:hAnsi="宋体"/>
          <w:sz w:val="24"/>
        </w:rPr>
        <w:t>.</w:t>
      </w:r>
      <w:r>
        <w:rPr>
          <w:rFonts w:ascii="宋体" w:hAnsi="宋体"/>
          <w:sz w:val="24"/>
        </w:rPr>
        <w:t>我方诚意提请贵方关注：</w:t>
      </w:r>
      <w:r>
        <w:rPr>
          <w:rFonts w:hint="eastAsia" w:ascii="宋体" w:hAnsi="宋体"/>
          <w:sz w:val="24"/>
        </w:rPr>
        <w:t>近期</w:t>
      </w:r>
      <w:r>
        <w:rPr>
          <w:rFonts w:ascii="宋体" w:hAnsi="宋体"/>
          <w:sz w:val="24"/>
        </w:rPr>
        <w:t>有关该型号产品的</w:t>
      </w:r>
      <w:r>
        <w:rPr>
          <w:rFonts w:hint="eastAsia" w:ascii="宋体" w:hAnsi="宋体"/>
          <w:sz w:val="24"/>
        </w:rPr>
        <w:t>生产、供货、售后服务以及性能等方面的重大决策和事项有：</w:t>
      </w:r>
    </w:p>
    <w:p>
      <w:pPr>
        <w:snapToGrid w:val="0"/>
        <w:spacing w:line="360" w:lineRule="auto"/>
        <w:ind w:firstLine="480" w:firstLineChars="200"/>
        <w:rPr>
          <w:rFonts w:ascii="宋体" w:hAnsi="宋体"/>
          <w:sz w:val="24"/>
          <w:szCs w:val="20"/>
          <w:u w:val="single"/>
        </w:rPr>
      </w:pPr>
      <w:r>
        <w:rPr>
          <w:rFonts w:hint="eastAsia" w:ascii="宋体" w:hAnsi="宋体"/>
          <w:sz w:val="24"/>
          <w:u w:val="single"/>
        </w:rPr>
        <w:t>　　　　　　　　　　　　　　　　　　　　　　　　　　　</w:t>
      </w:r>
    </w:p>
    <w:p>
      <w:pPr>
        <w:snapToGrid w:val="0"/>
        <w:spacing w:line="360" w:lineRule="auto"/>
        <w:ind w:firstLine="480" w:firstLineChars="200"/>
        <w:rPr>
          <w:rFonts w:ascii="宋体" w:hAnsi="宋体"/>
          <w:sz w:val="24"/>
          <w:szCs w:val="20"/>
        </w:rPr>
      </w:pPr>
      <w:r>
        <w:rPr>
          <w:rFonts w:hint="eastAsia" w:ascii="宋体" w:hAnsi="宋体"/>
          <w:sz w:val="24"/>
          <w:u w:val="single"/>
        </w:rPr>
        <w:t>　　　　　　　　　　　　　　　　　　　　　　　　　　　</w:t>
      </w:r>
    </w:p>
    <w:p>
      <w:pPr>
        <w:pStyle w:val="14"/>
        <w:snapToGrid w:val="0"/>
        <w:spacing w:line="360" w:lineRule="auto"/>
        <w:ind w:firstLine="464" w:firstLineChars="200"/>
        <w:rPr>
          <w:rFonts w:hAnsi="宋体"/>
          <w:sz w:val="24"/>
        </w:rPr>
      </w:pPr>
      <w:r>
        <w:rPr>
          <w:rFonts w:hAnsi="宋体"/>
          <w:sz w:val="24"/>
        </w:rPr>
        <w:t>5</w:t>
      </w:r>
      <w:r>
        <w:rPr>
          <w:rFonts w:hint="eastAsia" w:hAnsi="宋体"/>
          <w:sz w:val="24"/>
        </w:rPr>
        <w:t>.我方及由本人担任法定代表人的其他机构</w:t>
      </w:r>
      <w:r>
        <w:rPr>
          <w:rFonts w:hAnsi="宋体"/>
          <w:sz w:val="24"/>
        </w:rPr>
        <w:t>最近三年内被</w:t>
      </w:r>
      <w:r>
        <w:rPr>
          <w:rFonts w:hint="eastAsia" w:hAnsi="宋体"/>
          <w:sz w:val="24"/>
        </w:rPr>
        <w:t>通报或者被处罚的</w:t>
      </w:r>
      <w:r>
        <w:rPr>
          <w:rFonts w:hAnsi="宋体"/>
          <w:sz w:val="24"/>
        </w:rPr>
        <w:t>违法行为有：</w:t>
      </w:r>
    </w:p>
    <w:p>
      <w:pPr>
        <w:snapToGrid w:val="0"/>
        <w:spacing w:line="360" w:lineRule="auto"/>
        <w:ind w:firstLine="480" w:firstLineChars="200"/>
        <w:rPr>
          <w:rFonts w:ascii="宋体" w:hAnsi="宋体"/>
          <w:sz w:val="24"/>
          <w:szCs w:val="20"/>
          <w:u w:val="single"/>
        </w:rPr>
      </w:pPr>
      <w:r>
        <w:rPr>
          <w:rFonts w:hint="eastAsia" w:ascii="宋体" w:hAnsi="宋体"/>
          <w:sz w:val="24"/>
          <w:u w:val="single"/>
        </w:rPr>
        <w:t>　　　　　　　　　　　　　　　　　　　　　　　　　　　</w:t>
      </w:r>
    </w:p>
    <w:p>
      <w:pPr>
        <w:snapToGrid w:val="0"/>
        <w:spacing w:line="360" w:lineRule="auto"/>
        <w:ind w:firstLine="480" w:firstLineChars="200"/>
        <w:rPr>
          <w:rFonts w:ascii="宋体" w:hAnsi="宋体"/>
          <w:sz w:val="24"/>
          <w:szCs w:val="20"/>
          <w:u w:val="single"/>
        </w:rPr>
      </w:pPr>
      <w:r>
        <w:rPr>
          <w:rFonts w:hint="eastAsia" w:ascii="宋体" w:hAnsi="宋体"/>
          <w:sz w:val="24"/>
          <w:u w:val="single"/>
        </w:rPr>
        <w:t>　　　　　　　　　　　　　　　　　　　　　　　　　　　</w:t>
      </w:r>
    </w:p>
    <w:p>
      <w:pPr>
        <w:snapToGrid w:val="0"/>
        <w:spacing w:line="360" w:lineRule="auto"/>
        <w:ind w:firstLine="480" w:firstLineChars="200"/>
        <w:rPr>
          <w:rFonts w:ascii="宋体" w:hAnsi="宋体"/>
          <w:sz w:val="24"/>
          <w:szCs w:val="20"/>
        </w:rPr>
      </w:pPr>
      <w:r>
        <w:rPr>
          <w:rFonts w:hint="eastAsia" w:ascii="宋体" w:hAnsi="宋体"/>
          <w:sz w:val="24"/>
        </w:rPr>
        <w:t>6.以上事项如有虚假或隐瞒，我方愿意承担一切后果，并不再寻求任何旨在减轻或免除法律责任的辩解。</w:t>
      </w:r>
    </w:p>
    <w:p>
      <w:pPr>
        <w:pStyle w:val="52"/>
        <w:snapToGrid w:val="0"/>
        <w:spacing w:line="360" w:lineRule="auto"/>
        <w:ind w:firstLine="200"/>
        <w:rPr>
          <w:rFonts w:ascii="宋体" w:hAnsi="宋体"/>
        </w:rPr>
      </w:pPr>
    </w:p>
    <w:p>
      <w:pPr>
        <w:snapToGrid w:val="0"/>
        <w:spacing w:line="360" w:lineRule="auto"/>
        <w:ind w:firstLine="200"/>
        <w:rPr>
          <w:rFonts w:ascii="宋体" w:hAnsi="宋体"/>
          <w:sz w:val="24"/>
          <w:szCs w:val="20"/>
          <w:u w:val="single"/>
        </w:rPr>
      </w:pPr>
      <w:r>
        <w:rPr>
          <w:rFonts w:hint="eastAsia" w:ascii="宋体" w:hAnsi="宋体"/>
          <w:sz w:val="24"/>
        </w:rPr>
        <w:t>法定代表人签字：</w:t>
      </w:r>
    </w:p>
    <w:p>
      <w:pPr>
        <w:snapToGrid w:val="0"/>
        <w:spacing w:line="360" w:lineRule="auto"/>
        <w:ind w:firstLine="240" w:firstLineChars="100"/>
        <w:rPr>
          <w:rFonts w:ascii="宋体" w:hAnsi="宋体"/>
          <w:sz w:val="24"/>
        </w:rPr>
      </w:pPr>
      <w:r>
        <w:rPr>
          <w:rFonts w:hint="eastAsia" w:ascii="宋体" w:hAnsi="宋体"/>
          <w:sz w:val="24"/>
        </w:rPr>
        <w:t>投标人公章：</w:t>
      </w:r>
      <w:r>
        <w:rPr>
          <w:rFonts w:ascii="宋体" w:hAnsi="宋体"/>
          <w:sz w:val="24"/>
        </w:rPr>
        <w:t xml:space="preserve">                      年    月    日</w:t>
      </w:r>
    </w:p>
    <w:p>
      <w:pPr>
        <w:pStyle w:val="13"/>
      </w:pPr>
    </w:p>
    <w:p>
      <w:pPr>
        <w:pStyle w:val="42"/>
        <w:rPr>
          <w:color w:val="auto"/>
        </w:rPr>
      </w:pPr>
    </w:p>
    <w:p>
      <w:pPr>
        <w:snapToGrid w:val="0"/>
        <w:spacing w:line="360" w:lineRule="auto"/>
        <w:rPr>
          <w:rFonts w:ascii="宋体" w:hAnsi="宋体"/>
          <w:sz w:val="24"/>
          <w:szCs w:val="20"/>
        </w:rPr>
      </w:pPr>
    </w:p>
    <w:p>
      <w:pPr>
        <w:snapToGrid w:val="0"/>
        <w:spacing w:line="360" w:lineRule="auto"/>
        <w:rPr>
          <w:rFonts w:ascii="宋体" w:hAnsi="宋体"/>
          <w:sz w:val="24"/>
        </w:rPr>
      </w:pPr>
      <w:r>
        <w:rPr>
          <w:rFonts w:hint="eastAsia" w:ascii="宋体" w:hAnsi="宋体"/>
          <w:sz w:val="24"/>
        </w:rPr>
        <w:t>4.投标人情况介绍（包括主要产品、技术力量、生产规模、经营业绩等，格式自拟）</w:t>
      </w: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szCs w:val="20"/>
        </w:rPr>
      </w:pPr>
      <w:r>
        <w:rPr>
          <w:rFonts w:hint="eastAsia" w:ascii="宋体" w:hAnsi="宋体"/>
          <w:sz w:val="24"/>
        </w:rPr>
        <w:t>5.法定代表人授权委托书格式：</w:t>
      </w:r>
    </w:p>
    <w:p>
      <w:pPr>
        <w:snapToGrid w:val="0"/>
        <w:spacing w:line="360" w:lineRule="auto"/>
        <w:jc w:val="center"/>
        <w:rPr>
          <w:rFonts w:ascii="宋体" w:hAnsi="宋体"/>
          <w:b/>
          <w:sz w:val="24"/>
          <w:szCs w:val="20"/>
        </w:rPr>
      </w:pPr>
      <w:r>
        <w:rPr>
          <w:rFonts w:hint="eastAsia" w:ascii="宋体" w:hAnsi="宋体"/>
          <w:b/>
          <w:sz w:val="24"/>
        </w:rPr>
        <w:t>法定代表人授权委托书</w:t>
      </w:r>
    </w:p>
    <w:p>
      <w:pPr>
        <w:snapToGrid w:val="0"/>
        <w:spacing w:line="360" w:lineRule="auto"/>
        <w:rPr>
          <w:rFonts w:ascii="宋体" w:hAnsi="宋体"/>
          <w:b/>
          <w:bCs/>
          <w:sz w:val="24"/>
          <w:szCs w:val="20"/>
        </w:rPr>
      </w:pPr>
      <w:r>
        <w:rPr>
          <w:rFonts w:hint="eastAsia" w:ascii="宋体" w:hAnsi="宋体"/>
          <w:bCs/>
          <w:sz w:val="24"/>
        </w:rPr>
        <w:t>致：</w:t>
      </w:r>
      <w:r>
        <w:rPr>
          <w:rFonts w:hint="eastAsia" w:ascii="宋体" w:hAnsi="宋体"/>
          <w:sz w:val="24"/>
          <w:u w:val="single"/>
        </w:rPr>
        <w:t xml:space="preserve">                </w:t>
      </w:r>
      <w:r>
        <w:rPr>
          <w:rFonts w:hint="eastAsia" w:ascii="宋体" w:hAnsi="宋体"/>
          <w:sz w:val="24"/>
        </w:rPr>
        <w:t>（招标采购单位名称）：</w:t>
      </w:r>
    </w:p>
    <w:p>
      <w:pPr>
        <w:snapToGrid w:val="0"/>
        <w:spacing w:line="360" w:lineRule="auto"/>
        <w:ind w:firstLine="720" w:firstLineChars="300"/>
        <w:rPr>
          <w:rFonts w:ascii="宋体" w:hAnsi="宋体"/>
          <w:sz w:val="24"/>
          <w:szCs w:val="20"/>
        </w:rPr>
      </w:pPr>
      <w:r>
        <w:rPr>
          <w:rFonts w:hint="eastAsia" w:ascii="宋体" w:hAnsi="宋体"/>
          <w:sz w:val="24"/>
        </w:rPr>
        <w:t>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（投标人名称）的法定代表人，现授权委托本单位在职职工（姓名）以我方的名义参加</w:t>
      </w:r>
      <w:r>
        <w:rPr>
          <w:rFonts w:hint="eastAsia" w:ascii="宋体" w:hAnsi="宋体"/>
          <w:spacing w:val="-20"/>
          <w:sz w:val="24"/>
          <w:u w:val="single"/>
        </w:rPr>
        <w:t>湖州市吴兴区教育局升降式课桌椅项目</w:t>
      </w:r>
      <w:r>
        <w:rPr>
          <w:rFonts w:hint="eastAsia" w:ascii="宋体" w:hAnsi="宋体"/>
          <w:sz w:val="24"/>
        </w:rPr>
        <w:t>的投标活动，并代表我方全权办理针对上述项目的投标、开标、评标、签约等具体事务和签署相关文件。</w:t>
      </w:r>
    </w:p>
    <w:p>
      <w:pPr>
        <w:snapToGrid w:val="0"/>
        <w:spacing w:line="360" w:lineRule="auto"/>
        <w:rPr>
          <w:rFonts w:ascii="宋体" w:hAnsi="宋体"/>
          <w:sz w:val="24"/>
          <w:szCs w:val="20"/>
        </w:rPr>
      </w:pPr>
      <w:r>
        <w:rPr>
          <w:rFonts w:hint="eastAsia" w:ascii="宋体" w:hAnsi="宋体"/>
          <w:sz w:val="24"/>
        </w:rPr>
        <w:t>我方对被授权人的签名事项负全部责任。</w:t>
      </w:r>
    </w:p>
    <w:p>
      <w:pPr>
        <w:snapToGrid w:val="0"/>
        <w:spacing w:line="360" w:lineRule="auto"/>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line="360" w:lineRule="auto"/>
        <w:ind w:firstLine="480"/>
        <w:rPr>
          <w:rFonts w:ascii="宋体" w:hAnsi="宋体"/>
          <w:sz w:val="24"/>
          <w:szCs w:val="20"/>
        </w:rPr>
      </w:pPr>
      <w:r>
        <w:rPr>
          <w:rFonts w:hint="eastAsia" w:ascii="宋体" w:hAnsi="宋体"/>
          <w:sz w:val="24"/>
        </w:rPr>
        <w:t>被授权人无转委托权，特此委托。</w:t>
      </w:r>
    </w:p>
    <w:p>
      <w:pPr>
        <w:snapToGrid w:val="0"/>
        <w:spacing w:line="360" w:lineRule="auto"/>
        <w:rPr>
          <w:rFonts w:ascii="宋体" w:hAnsi="宋体"/>
          <w:sz w:val="24"/>
          <w:szCs w:val="20"/>
        </w:rPr>
      </w:pPr>
    </w:p>
    <w:p>
      <w:pPr>
        <w:snapToGrid w:val="0"/>
        <w:spacing w:line="360" w:lineRule="auto"/>
        <w:rPr>
          <w:rFonts w:ascii="宋体" w:hAnsi="宋体"/>
          <w:sz w:val="24"/>
          <w:szCs w:val="20"/>
          <w:u w:val="single"/>
        </w:rPr>
      </w:pPr>
      <w:r>
        <w:rPr>
          <w:rFonts w:hint="eastAsia" w:ascii="宋体" w:hAnsi="宋体"/>
          <w:sz w:val="24"/>
        </w:rPr>
        <w:t>被授权人签名：法定代表人签名：</w:t>
      </w:r>
    </w:p>
    <w:p>
      <w:pPr>
        <w:snapToGrid w:val="0"/>
        <w:spacing w:line="360" w:lineRule="auto"/>
        <w:ind w:firstLine="960" w:firstLineChars="400"/>
        <w:rPr>
          <w:rFonts w:ascii="宋体" w:hAnsi="宋体"/>
          <w:sz w:val="24"/>
          <w:szCs w:val="20"/>
        </w:rPr>
      </w:pPr>
      <w:r>
        <w:rPr>
          <w:rFonts w:hint="eastAsia" w:ascii="宋体" w:hAnsi="宋体"/>
          <w:sz w:val="24"/>
        </w:rPr>
        <w:t>职务：职务：</w:t>
      </w:r>
    </w:p>
    <w:p>
      <w:pPr>
        <w:snapToGrid w:val="0"/>
        <w:spacing w:line="360" w:lineRule="auto"/>
        <w:rPr>
          <w:rFonts w:ascii="宋体" w:hAnsi="宋体"/>
          <w:sz w:val="24"/>
          <w:szCs w:val="20"/>
        </w:rPr>
      </w:pPr>
      <w:r>
        <w:rPr>
          <w:rFonts w:hint="eastAsia" w:ascii="宋体" w:hAnsi="宋体"/>
          <w:sz w:val="24"/>
        </w:rPr>
        <w:t>被授权人身份证号码：</w:t>
      </w:r>
    </w:p>
    <w:p>
      <w:pPr>
        <w:snapToGrid w:val="0"/>
        <w:spacing w:line="360" w:lineRule="auto"/>
        <w:rPr>
          <w:rFonts w:ascii="宋体" w:hAnsi="宋体"/>
          <w:sz w:val="24"/>
        </w:rPr>
      </w:pPr>
      <w:r>
        <w:rPr>
          <w:rFonts w:hint="eastAsia" w:ascii="宋体" w:hAnsi="宋体"/>
          <w:sz w:val="24"/>
        </w:rPr>
        <w:t>投标人公章：</w:t>
      </w:r>
    </w:p>
    <w:p>
      <w:pPr>
        <w:pStyle w:val="8"/>
        <w:spacing w:line="360" w:lineRule="auto"/>
        <w:ind w:firstLine="374" w:firstLineChars="156"/>
        <w:rPr>
          <w:rFonts w:ascii="宋体" w:hAnsi="宋体"/>
          <w:sz w:val="24"/>
          <w:szCs w:val="24"/>
        </w:rPr>
      </w:pPr>
      <w:r>
        <w:rPr>
          <w:rFonts w:hint="eastAsia" w:ascii="宋体" w:hAnsi="宋体"/>
          <w:sz w:val="24"/>
          <w:szCs w:val="24"/>
        </w:rPr>
        <w:t>————————————————————-----------</w:t>
      </w:r>
    </w:p>
    <w:p>
      <w:pPr>
        <w:pStyle w:val="8"/>
        <w:spacing w:line="360" w:lineRule="auto"/>
        <w:ind w:firstLine="374" w:firstLineChars="156"/>
        <w:jc w:val="center"/>
        <w:rPr>
          <w:rFonts w:ascii="宋体" w:hAnsi="宋体"/>
          <w:sz w:val="24"/>
          <w:szCs w:val="24"/>
        </w:rPr>
      </w:pPr>
    </w:p>
    <w:p>
      <w:pPr>
        <w:pStyle w:val="8"/>
        <w:spacing w:line="360" w:lineRule="auto"/>
        <w:ind w:firstLine="374" w:firstLineChars="156"/>
        <w:jc w:val="center"/>
        <w:rPr>
          <w:rFonts w:ascii="宋体" w:hAnsi="宋体"/>
          <w:sz w:val="24"/>
          <w:szCs w:val="24"/>
        </w:rPr>
      </w:pPr>
      <w:r>
        <w:rPr>
          <w:rFonts w:hint="eastAsia" w:ascii="宋体" w:hAnsi="宋体"/>
          <w:sz w:val="24"/>
          <w:szCs w:val="24"/>
        </w:rPr>
        <w:t>授权代理人有效身份证明复印件粘贴处</w:t>
      </w: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jc w:val="center"/>
        <w:rPr>
          <w:rFonts w:ascii="宋体" w:hAnsi="宋体"/>
          <w:sz w:val="24"/>
        </w:rPr>
      </w:pPr>
      <w:r>
        <w:rPr>
          <w:rFonts w:hint="eastAsia" w:ascii="宋体" w:hAnsi="宋体"/>
          <w:sz w:val="24"/>
        </w:rPr>
        <w:t>年月日</w:t>
      </w:r>
    </w:p>
    <w:p>
      <w:pPr>
        <w:snapToGrid w:val="0"/>
        <w:spacing w:before="120" w:beforeLines="50" w:after="50"/>
        <w:rPr>
          <w:sz w:val="24"/>
        </w:rPr>
      </w:pPr>
      <w:r>
        <w:rPr>
          <w:rFonts w:hint="eastAsia"/>
          <w:sz w:val="24"/>
        </w:rPr>
        <w:t>附：</w:t>
      </w:r>
      <w:r>
        <w:rPr>
          <w:sz w:val="24"/>
        </w:rPr>
        <w:t>授权代理人社保证明复印件</w:t>
      </w:r>
      <w:r>
        <w:rPr>
          <w:rFonts w:hint="eastAsia"/>
          <w:sz w:val="24"/>
        </w:rPr>
        <w:t>（</w:t>
      </w:r>
      <w:r>
        <w:rPr>
          <w:sz w:val="24"/>
        </w:rPr>
        <w:t>社保机构出具的由本单位或分公司为其缴纳的近1个月的社保证明</w:t>
      </w:r>
      <w:r>
        <w:rPr>
          <w:rFonts w:hint="eastAsia"/>
          <w:sz w:val="24"/>
        </w:rPr>
        <w:t>）</w:t>
      </w:r>
    </w:p>
    <w:p>
      <w:pPr>
        <w:snapToGrid w:val="0"/>
        <w:spacing w:line="360" w:lineRule="auto"/>
        <w:rPr>
          <w:rFonts w:ascii="宋体" w:hAnsi="宋体"/>
        </w:rPr>
      </w:pPr>
    </w:p>
    <w:p>
      <w:pPr>
        <w:rPr>
          <w:rFonts w:ascii="宋体" w:hAnsi="宋体"/>
        </w:rPr>
      </w:pPr>
    </w:p>
    <w:p>
      <w:pPr>
        <w:snapToGrid w:val="0"/>
        <w:spacing w:line="360" w:lineRule="auto"/>
        <w:rPr>
          <w:rFonts w:ascii="宋体" w:hAnsi="宋体"/>
          <w:sz w:val="24"/>
        </w:rPr>
      </w:pPr>
    </w:p>
    <w:p>
      <w:pPr>
        <w:snapToGrid w:val="0"/>
        <w:spacing w:line="360" w:lineRule="auto"/>
        <w:rPr>
          <w:rFonts w:ascii="宋体" w:hAnsi="宋体"/>
        </w:rPr>
      </w:pPr>
    </w:p>
    <w:p>
      <w:pPr>
        <w:rPr>
          <w:rFonts w:ascii="宋体" w:hAnsi="宋体"/>
        </w:rPr>
      </w:pP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szCs w:val="20"/>
        </w:rPr>
      </w:pPr>
      <w:r>
        <w:rPr>
          <w:rFonts w:hint="eastAsia" w:ascii="宋体" w:hAnsi="宋体"/>
          <w:sz w:val="24"/>
        </w:rPr>
        <w:t>6. 近三个月依法缴纳税收和社保费的证明【税费凭证，或者依法缴纳税费或依法免缴税费的证明】</w:t>
      </w:r>
      <w:r>
        <w:rPr>
          <w:rFonts w:hint="eastAsia" w:ascii="宋体" w:hAnsi="宋体"/>
          <w:sz w:val="24"/>
          <w:szCs w:val="20"/>
        </w:rPr>
        <w:t>（格式自拟，</w:t>
      </w:r>
      <w:r>
        <w:rPr>
          <w:rFonts w:hint="eastAsia" w:ascii="宋体" w:hAnsi="宋体"/>
          <w:bCs/>
          <w:sz w:val="24"/>
        </w:rPr>
        <w:t>复印件各一份</w:t>
      </w:r>
      <w:r>
        <w:rPr>
          <w:rFonts w:hint="eastAsia" w:ascii="宋体" w:hAnsi="宋体"/>
          <w:sz w:val="24"/>
          <w:szCs w:val="20"/>
        </w:rPr>
        <w:t>），《依法纳税或依法免税证明》原件一年内均保持有效。</w:t>
      </w: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rFonts w:ascii="宋体" w:hAnsi="宋体"/>
        </w:rPr>
      </w:pPr>
    </w:p>
    <w:p>
      <w:pPr>
        <w:snapToGrid w:val="0"/>
        <w:spacing w:line="360" w:lineRule="auto"/>
        <w:rPr>
          <w:u w:val="single"/>
        </w:rPr>
      </w:pPr>
      <w:r>
        <w:rPr>
          <w:rFonts w:hint="eastAsia" w:ascii="宋体" w:hAnsi="宋体"/>
          <w:sz w:val="24"/>
        </w:rPr>
        <w:t>7.有效</w:t>
      </w:r>
      <w:r>
        <w:rPr>
          <w:rFonts w:hint="eastAsia" w:ascii="宋体" w:hAnsi="宋体" w:cs="宋体"/>
          <w:sz w:val="24"/>
        </w:rPr>
        <w:t>的营业执照副本</w:t>
      </w:r>
      <w:r>
        <w:rPr>
          <w:rFonts w:hint="eastAsia" w:ascii="宋体" w:hAnsi="宋体"/>
          <w:sz w:val="24"/>
        </w:rPr>
        <w:t>复印件</w:t>
      </w:r>
    </w:p>
    <w:p>
      <w:pPr>
        <w:snapToGrid w:val="0"/>
        <w:spacing w:line="360" w:lineRule="auto"/>
        <w:jc w:val="left"/>
        <w:rPr>
          <w:rFonts w:ascii="宋体" w:hAnsi="宋体"/>
          <w:sz w:val="24"/>
          <w:szCs w:val="20"/>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r>
        <w:rPr>
          <w:rFonts w:hint="eastAsia" w:ascii="宋体" w:hAnsi="宋体" w:cs="宋体"/>
          <w:sz w:val="24"/>
        </w:rPr>
        <w:t>8.近二年度（2020,2021年）企业的财务状况报告或银行资信证明</w:t>
      </w:r>
      <w:r>
        <w:rPr>
          <w:rFonts w:hint="eastAsia" w:ascii="宋体" w:hAnsi="宋体"/>
          <w:sz w:val="24"/>
        </w:rPr>
        <w:t>复印件</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r>
        <w:rPr>
          <w:rFonts w:hint="eastAsia" w:ascii="宋体" w:hAnsi="宋体"/>
          <w:sz w:val="24"/>
        </w:rPr>
        <w:t>9. 提供自招标公告发布之日起至投标截止日内任意时间的“信用中国”网站（www.creditchina.gov.cn）、中国政府采购网（www.ccgp.gov.cn）投标人信用查询网页截图</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pStyle w:val="13"/>
      </w:pPr>
    </w:p>
    <w:p/>
    <w:p>
      <w:pPr>
        <w:widowControl/>
        <w:spacing w:line="360" w:lineRule="auto"/>
        <w:ind w:right="60"/>
        <w:rPr>
          <w:rFonts w:ascii="宋体" w:hAnsi="宋体" w:cs="Arial"/>
          <w:kern w:val="0"/>
          <w:sz w:val="24"/>
        </w:rPr>
      </w:pPr>
      <w:r>
        <w:rPr>
          <w:rFonts w:hint="eastAsia" w:ascii="宋体" w:hAnsi="宋体" w:cs="Arial"/>
          <w:kern w:val="0"/>
          <w:sz w:val="24"/>
        </w:rPr>
        <w:t>10.</w:t>
      </w:r>
      <w:r>
        <w:rPr>
          <w:rFonts w:hint="eastAsia" w:ascii="宋体" w:hAnsi="宋体"/>
          <w:b/>
          <w:color w:val="FF0000"/>
          <w:sz w:val="24"/>
        </w:rPr>
        <w:t xml:space="preserve"> 符合政策要求的中小企业，相关企业（含联合体中的中小企业、签订分包意向协议的中小企业）需提供中小企业申明函(监狱企业视同小型、微型企业，提供由省级以上监狱管理局、戒毒管理局(含新疆生产建设兵团)出具的属于监狱企业的证明文件；残疾人福利性单位视同小型、微型企业，提供《残疾人福利性单位声明函》)；如大型企业投标，需提供联合体各方共同投标协议或分包意向协议（协议中</w:t>
      </w:r>
      <w:r>
        <w:rPr>
          <w:rFonts w:ascii="宋体" w:hAnsi="宋体"/>
          <w:b/>
          <w:color w:val="FF0000"/>
          <w:sz w:val="24"/>
        </w:rPr>
        <w:t>合同金额的40%</w:t>
      </w:r>
      <w:r>
        <w:rPr>
          <w:rFonts w:hint="eastAsia" w:ascii="宋体" w:hAnsi="宋体"/>
          <w:b/>
          <w:color w:val="FF0000"/>
          <w:sz w:val="24"/>
        </w:rPr>
        <w:t>必须分包</w:t>
      </w:r>
      <w:r>
        <w:rPr>
          <w:rFonts w:ascii="宋体" w:hAnsi="宋体"/>
          <w:b/>
          <w:color w:val="FF0000"/>
          <w:sz w:val="24"/>
        </w:rPr>
        <w:t>给中小微企业</w:t>
      </w:r>
      <w:r>
        <w:rPr>
          <w:rFonts w:hint="eastAsia" w:ascii="宋体" w:hAnsi="宋体"/>
          <w:b/>
          <w:color w:val="FF0000"/>
          <w:sz w:val="24"/>
        </w:rPr>
        <w:t>，格式自拟），如中小企业投标则无需提供。</w:t>
      </w:r>
    </w:p>
    <w:p>
      <w:pPr>
        <w:spacing w:line="360" w:lineRule="auto"/>
        <w:jc w:val="center"/>
        <w:rPr>
          <w:rFonts w:ascii="宋体" w:hAnsi="宋体"/>
          <w:sz w:val="28"/>
          <w:szCs w:val="28"/>
        </w:rPr>
      </w:pPr>
      <w:r>
        <w:rPr>
          <w:rFonts w:hint="eastAsia" w:ascii="宋体" w:hAnsi="宋体"/>
          <w:b/>
          <w:sz w:val="28"/>
          <w:szCs w:val="28"/>
        </w:rPr>
        <w:t>中小企业声明函</w:t>
      </w:r>
    </w:p>
    <w:p>
      <w:pPr>
        <w:spacing w:line="360" w:lineRule="auto"/>
        <w:ind w:firstLine="480" w:firstLineChars="200"/>
        <w:rPr>
          <w:rFonts w:ascii="宋体" w:hAnsi="宋体" w:cs="仿宋"/>
          <w:kern w:val="0"/>
          <w:sz w:val="24"/>
        </w:rPr>
      </w:pPr>
      <w:r>
        <w:rPr>
          <w:rFonts w:hint="eastAsia" w:ascii="宋体" w:hAnsi="宋体" w:cs="仿宋"/>
          <w:kern w:val="0"/>
          <w:sz w:val="24"/>
        </w:rPr>
        <w:t>本公司（联合体）郑重声明，根据《政府采购促进中小企业发展管理办法》（财库</w:t>
      </w:r>
      <w:r>
        <w:rPr>
          <w:rFonts w:hint="eastAsia" w:ascii="宋体" w:hAnsi="宋体" w:cs="宋体"/>
          <w:kern w:val="0"/>
          <w:sz w:val="24"/>
        </w:rPr>
        <w:t>﹝</w:t>
      </w:r>
      <w:r>
        <w:rPr>
          <w:rFonts w:ascii="宋体" w:hAnsi="宋体" w:cs="仿宋"/>
          <w:kern w:val="0"/>
          <w:sz w:val="24"/>
        </w:rPr>
        <w:t>2020</w:t>
      </w:r>
      <w:r>
        <w:rPr>
          <w:rFonts w:hint="eastAsia" w:ascii="宋体" w:hAnsi="宋体" w:cs="宋体"/>
          <w:kern w:val="0"/>
          <w:sz w:val="24"/>
        </w:rPr>
        <w:t>﹞</w:t>
      </w:r>
      <w:r>
        <w:rPr>
          <w:rFonts w:ascii="宋体" w:hAnsi="宋体" w:cs="仿宋"/>
          <w:kern w:val="0"/>
          <w:sz w:val="24"/>
        </w:rPr>
        <w:t xml:space="preserve">46 </w:t>
      </w:r>
      <w:r>
        <w:rPr>
          <w:rFonts w:hint="eastAsia" w:ascii="宋体" w:hAnsi="宋体" w:cs="仿宋"/>
          <w:kern w:val="0"/>
          <w:sz w:val="24"/>
        </w:rPr>
        <w:t>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仿宋"/>
          <w:kern w:val="0"/>
          <w:sz w:val="24"/>
        </w:rPr>
      </w:pPr>
      <w:r>
        <w:rPr>
          <w:rFonts w:ascii="宋体" w:hAnsi="宋体" w:cs="仿宋"/>
          <w:kern w:val="0"/>
          <w:sz w:val="24"/>
        </w:rPr>
        <w:t xml:space="preserve">1. </w:t>
      </w:r>
      <w:r>
        <w:rPr>
          <w:rFonts w:hint="eastAsia" w:ascii="宋体" w:hAnsi="宋体" w:cs="仿宋"/>
          <w:kern w:val="0"/>
          <w:sz w:val="24"/>
        </w:rPr>
        <w:t>（标的名称），属于</w:t>
      </w:r>
      <w:r>
        <w:rPr>
          <w:rFonts w:hint="eastAsia" w:ascii="宋体" w:hAnsi="宋体" w:cs="仿宋"/>
          <w:kern w:val="0"/>
          <w:sz w:val="24"/>
          <w:u w:val="single"/>
        </w:rPr>
        <w:t>工业</w:t>
      </w:r>
      <w:r>
        <w:rPr>
          <w:rFonts w:hint="eastAsia" w:ascii="宋体" w:hAnsi="宋体" w:cs="仿宋"/>
          <w:kern w:val="0"/>
          <w:sz w:val="24"/>
        </w:rPr>
        <w:t>（采购文件中明确的所属行业）行业；制造商为（企业名称），从业人员人，营业收入为万元，资产总额为万元</w:t>
      </w:r>
      <w:r>
        <w:rPr>
          <w:rFonts w:hint="eastAsia" w:ascii="宋体" w:hAnsi="宋体" w:cs="TimesNewRomanPSMT"/>
          <w:kern w:val="0"/>
          <w:sz w:val="24"/>
        </w:rPr>
        <w:t>①</w:t>
      </w:r>
      <w:r>
        <w:rPr>
          <w:rFonts w:hint="eastAsia" w:ascii="宋体" w:hAnsi="宋体" w:cs="仿宋"/>
          <w:kern w:val="0"/>
          <w:sz w:val="24"/>
        </w:rPr>
        <w:t>，属于（中型企业、小型企业、微型企业）；</w:t>
      </w:r>
    </w:p>
    <w:p>
      <w:pPr>
        <w:spacing w:line="360" w:lineRule="auto"/>
        <w:ind w:firstLine="480" w:firstLineChars="200"/>
        <w:rPr>
          <w:rFonts w:ascii="宋体" w:hAnsi="宋体" w:cs="仿宋"/>
          <w:kern w:val="0"/>
          <w:sz w:val="24"/>
        </w:rPr>
      </w:pPr>
      <w:r>
        <w:rPr>
          <w:rFonts w:ascii="宋体" w:hAnsi="宋体" w:cs="仿宋"/>
          <w:kern w:val="0"/>
          <w:sz w:val="24"/>
        </w:rPr>
        <w:t xml:space="preserve">2. </w:t>
      </w:r>
      <w:r>
        <w:rPr>
          <w:rFonts w:hint="eastAsia" w:ascii="宋体" w:hAnsi="宋体" w:cs="仿宋"/>
          <w:kern w:val="0"/>
          <w:sz w:val="24"/>
        </w:rPr>
        <w:t>（标的名称），属于</w:t>
      </w:r>
      <w:r>
        <w:rPr>
          <w:rFonts w:hint="eastAsia" w:ascii="宋体" w:hAnsi="宋体" w:cs="仿宋"/>
          <w:kern w:val="0"/>
          <w:sz w:val="24"/>
          <w:u w:val="single"/>
        </w:rPr>
        <w:t>工业</w:t>
      </w:r>
      <w:r>
        <w:rPr>
          <w:rFonts w:hint="eastAsia" w:ascii="宋体" w:hAnsi="宋体" w:cs="仿宋"/>
          <w:kern w:val="0"/>
          <w:sz w:val="24"/>
        </w:rPr>
        <w:t>（采购文件中明确的所属行业）行业；制造商为（企业名称），从业人员人，营业收入为万元，资产总额为万元，属于（中型企业、小型企业、微型企业）；</w:t>
      </w:r>
    </w:p>
    <w:p>
      <w:pPr>
        <w:spacing w:line="360" w:lineRule="auto"/>
        <w:ind w:firstLine="480" w:firstLineChars="200"/>
        <w:rPr>
          <w:rFonts w:ascii="宋体" w:hAnsi="宋体" w:cs="仿宋"/>
          <w:kern w:val="0"/>
          <w:sz w:val="24"/>
        </w:rPr>
      </w:pPr>
      <w:r>
        <w:rPr>
          <w:rFonts w:hint="eastAsia" w:ascii="宋体" w:hAnsi="宋体" w:cs="仿宋"/>
          <w:kern w:val="0"/>
          <w:sz w:val="24"/>
        </w:rPr>
        <w:t>……</w:t>
      </w:r>
    </w:p>
    <w:p>
      <w:pPr>
        <w:spacing w:line="360" w:lineRule="auto"/>
        <w:ind w:firstLine="480" w:firstLineChars="200"/>
        <w:rPr>
          <w:rFonts w:ascii="宋体" w:hAnsi="宋体" w:cs="仿宋"/>
          <w:kern w:val="0"/>
          <w:sz w:val="24"/>
        </w:rPr>
      </w:pPr>
      <w:r>
        <w:rPr>
          <w:rFonts w:hint="eastAsia" w:ascii="宋体" w:hAnsi="宋体" w:cs="仿宋"/>
          <w:kern w:val="0"/>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仿宋"/>
          <w:kern w:val="0"/>
          <w:sz w:val="24"/>
        </w:rPr>
      </w:pPr>
      <w:r>
        <w:rPr>
          <w:rFonts w:hint="eastAsia" w:ascii="宋体" w:hAnsi="宋体" w:cs="仿宋"/>
          <w:kern w:val="0"/>
          <w:sz w:val="24"/>
        </w:rPr>
        <w:t>本企业对上述声明内容的真实性负责。如有虚假，将依法承担相应责任。</w:t>
      </w:r>
    </w:p>
    <w:p>
      <w:pPr>
        <w:spacing w:line="360" w:lineRule="auto"/>
        <w:ind w:firstLine="5640" w:firstLineChars="2350"/>
        <w:rPr>
          <w:rFonts w:ascii="宋体" w:hAnsi="宋体" w:cs="仿宋"/>
          <w:kern w:val="0"/>
          <w:sz w:val="24"/>
        </w:rPr>
      </w:pPr>
    </w:p>
    <w:p>
      <w:pPr>
        <w:spacing w:line="360" w:lineRule="auto"/>
        <w:ind w:firstLine="5640" w:firstLineChars="2350"/>
        <w:rPr>
          <w:rFonts w:ascii="宋体" w:hAnsi="宋体" w:cs="仿宋"/>
          <w:kern w:val="0"/>
          <w:sz w:val="24"/>
        </w:rPr>
      </w:pPr>
      <w:r>
        <w:rPr>
          <w:rFonts w:hint="eastAsia" w:ascii="宋体" w:hAnsi="宋体" w:cs="仿宋"/>
          <w:kern w:val="0"/>
          <w:sz w:val="24"/>
        </w:rPr>
        <w:t>企业名称（盖章）：</w:t>
      </w:r>
    </w:p>
    <w:p>
      <w:pPr>
        <w:spacing w:line="360" w:lineRule="auto"/>
        <w:ind w:firstLine="5640" w:firstLineChars="2350"/>
        <w:rPr>
          <w:rFonts w:ascii="宋体" w:hAnsi="宋体" w:cs="仿宋"/>
          <w:kern w:val="0"/>
          <w:sz w:val="24"/>
        </w:rPr>
      </w:pPr>
      <w:r>
        <w:rPr>
          <w:rFonts w:hint="eastAsia" w:ascii="宋体" w:hAnsi="宋体" w:cs="仿宋"/>
          <w:kern w:val="0"/>
          <w:sz w:val="24"/>
        </w:rPr>
        <w:t>日期：</w:t>
      </w:r>
    </w:p>
    <w:p>
      <w:pPr>
        <w:spacing w:line="360" w:lineRule="auto"/>
        <w:ind w:firstLine="5640" w:firstLineChars="2350"/>
        <w:rPr>
          <w:rFonts w:ascii="宋体" w:hAnsi="宋体"/>
          <w:bCs/>
          <w:sz w:val="24"/>
        </w:rPr>
      </w:pPr>
    </w:p>
    <w:p>
      <w:pPr>
        <w:numPr>
          <w:ilvl w:val="0"/>
          <w:numId w:val="4"/>
        </w:numPr>
        <w:snapToGrid w:val="0"/>
        <w:spacing w:before="50" w:after="50" w:line="360" w:lineRule="auto"/>
        <w:jc w:val="left"/>
        <w:rPr>
          <w:rFonts w:ascii="宋体" w:hAnsi="宋体" w:cs="仿宋"/>
          <w:sz w:val="24"/>
        </w:rPr>
      </w:pPr>
      <w:r>
        <w:rPr>
          <w:rFonts w:hint="eastAsia" w:ascii="宋体" w:cs="宋体"/>
          <w:kern w:val="0"/>
          <w:sz w:val="18"/>
          <w:szCs w:val="18"/>
        </w:rPr>
        <w:t>从业人员、营业收入、资产总额填报上一年度数据，无上一年度数据的新成立企业可不填报。</w:t>
      </w:r>
    </w:p>
    <w:p>
      <w:pPr>
        <w:snapToGrid w:val="0"/>
        <w:spacing w:line="360" w:lineRule="auto"/>
        <w:jc w:val="left"/>
        <w:rPr>
          <w:rFonts w:ascii="宋体" w:hAnsi="宋体"/>
          <w:sz w:val="24"/>
        </w:rPr>
      </w:pPr>
    </w:p>
    <w:p>
      <w:pPr>
        <w:pStyle w:val="13"/>
      </w:pPr>
    </w:p>
    <w:p>
      <w:pPr>
        <w:pStyle w:val="42"/>
        <w:rPr>
          <w:color w:val="auto"/>
        </w:rPr>
      </w:pPr>
    </w:p>
    <w:p>
      <w:pPr>
        <w:pStyle w:val="43"/>
      </w:pPr>
    </w:p>
    <w:p>
      <w:pPr>
        <w:spacing w:line="360" w:lineRule="auto"/>
        <w:jc w:val="left"/>
        <w:rPr>
          <w:rFonts w:ascii="宋体" w:hAnsi="宋体"/>
          <w:b/>
          <w:bCs/>
          <w:sz w:val="24"/>
        </w:rPr>
      </w:pPr>
    </w:p>
    <w:p>
      <w:pPr>
        <w:spacing w:line="360" w:lineRule="auto"/>
        <w:jc w:val="left"/>
        <w:rPr>
          <w:rFonts w:ascii="宋体" w:hAnsi="宋体"/>
          <w:b/>
          <w:bCs/>
          <w:sz w:val="24"/>
        </w:rPr>
      </w:pPr>
      <w:r>
        <w:rPr>
          <w:rFonts w:hint="eastAsia" w:ascii="宋体" w:hAnsi="宋体"/>
          <w:b/>
          <w:bCs/>
          <w:sz w:val="24"/>
        </w:rPr>
        <w:t>二、技术/资信/商务文件格式</w:t>
      </w:r>
    </w:p>
    <w:p>
      <w:pPr>
        <w:snapToGrid w:val="0"/>
        <w:spacing w:line="360" w:lineRule="auto"/>
        <w:jc w:val="center"/>
        <w:rPr>
          <w:rFonts w:ascii="宋体" w:hAnsi="宋体"/>
          <w:sz w:val="24"/>
          <w:szCs w:val="20"/>
        </w:rPr>
      </w:pPr>
    </w:p>
    <w:p>
      <w:pPr>
        <w:snapToGrid w:val="0"/>
        <w:spacing w:line="360" w:lineRule="auto"/>
        <w:rPr>
          <w:rFonts w:ascii="宋体" w:hAnsi="宋体"/>
          <w:sz w:val="24"/>
          <w:szCs w:val="20"/>
        </w:rPr>
      </w:pPr>
      <w:r>
        <w:rPr>
          <w:rFonts w:hint="eastAsia" w:ascii="宋体" w:hAnsi="宋体"/>
          <w:sz w:val="24"/>
        </w:rPr>
        <w:t>11.技术/资信/商务文件封面格式：</w:t>
      </w:r>
    </w:p>
    <w:p>
      <w:pPr>
        <w:snapToGrid w:val="0"/>
        <w:spacing w:line="360" w:lineRule="auto"/>
        <w:rPr>
          <w:rFonts w:ascii="宋体" w:hAnsi="宋体"/>
          <w:b/>
          <w:bCs/>
          <w:sz w:val="32"/>
          <w:szCs w:val="20"/>
        </w:rPr>
      </w:pPr>
      <w:r>
        <w:rPr>
          <w:rFonts w:hint="eastAsia" w:ascii="宋体" w:hAnsi="宋体"/>
          <w:b/>
          <w:bCs/>
        </w:rPr>
        <w:t xml:space="preserve"> </w:t>
      </w:r>
    </w:p>
    <w:p>
      <w:pPr>
        <w:snapToGrid w:val="0"/>
        <w:spacing w:line="360" w:lineRule="auto"/>
        <w:jc w:val="center"/>
        <w:rPr>
          <w:rFonts w:ascii="宋体" w:hAnsi="宋体"/>
          <w:bCs/>
          <w:sz w:val="24"/>
          <w:szCs w:val="20"/>
        </w:rPr>
      </w:pPr>
    </w:p>
    <w:p>
      <w:pPr>
        <w:snapToGrid w:val="0"/>
        <w:spacing w:line="360" w:lineRule="auto"/>
        <w:jc w:val="center"/>
        <w:rPr>
          <w:rFonts w:ascii="宋体" w:hAnsi="宋体"/>
          <w:bCs/>
          <w:sz w:val="24"/>
          <w:szCs w:val="20"/>
        </w:rPr>
      </w:pPr>
      <w:r>
        <w:rPr>
          <w:rFonts w:hint="eastAsia" w:ascii="宋体" w:hAnsi="宋体"/>
          <w:bCs/>
          <w:sz w:val="24"/>
        </w:rPr>
        <w:t>技术/资信/商务文件</w:t>
      </w:r>
    </w:p>
    <w:p>
      <w:pPr>
        <w:snapToGrid w:val="0"/>
        <w:spacing w:line="360" w:lineRule="auto"/>
        <w:rPr>
          <w:rFonts w:ascii="宋体" w:hAnsi="宋体"/>
          <w:bCs/>
          <w:sz w:val="24"/>
          <w:szCs w:val="20"/>
        </w:rPr>
      </w:pPr>
    </w:p>
    <w:p>
      <w:pPr>
        <w:snapToGrid w:val="0"/>
        <w:spacing w:line="360" w:lineRule="auto"/>
        <w:ind w:left="1918" w:leftChars="456" w:hanging="960" w:hangingChars="400"/>
        <w:rPr>
          <w:rFonts w:ascii="宋体" w:hAnsi="宋体"/>
          <w:bCs/>
          <w:sz w:val="24"/>
          <w:szCs w:val="20"/>
        </w:rPr>
      </w:pPr>
      <w:r>
        <w:rPr>
          <w:rFonts w:hint="eastAsia" w:ascii="宋体" w:hAnsi="宋体"/>
          <w:bCs/>
          <w:sz w:val="24"/>
        </w:rPr>
        <w:t>项目名称：</w:t>
      </w:r>
      <w:r>
        <w:rPr>
          <w:rFonts w:hint="eastAsia" w:ascii="宋体" w:hAnsi="宋体"/>
          <w:spacing w:val="-20"/>
          <w:sz w:val="24"/>
        </w:rPr>
        <w:t>湖州市吴兴区教育局升降式课桌椅项目（标项1、2、3或4）</w:t>
      </w:r>
    </w:p>
    <w:p>
      <w:pPr>
        <w:snapToGrid w:val="0"/>
        <w:spacing w:line="360" w:lineRule="auto"/>
        <w:ind w:firstLine="960" w:firstLineChars="400"/>
        <w:rPr>
          <w:rFonts w:ascii="宋体" w:hAnsi="宋体"/>
          <w:bCs/>
          <w:sz w:val="24"/>
          <w:szCs w:val="20"/>
        </w:rPr>
      </w:pPr>
      <w:r>
        <w:rPr>
          <w:rFonts w:hint="eastAsia" w:ascii="宋体" w:hAnsi="宋体"/>
          <w:bCs/>
          <w:sz w:val="24"/>
        </w:rPr>
        <w:t>项目编号：</w:t>
      </w:r>
      <w:r>
        <w:rPr>
          <w:rFonts w:hint="eastAsia" w:ascii="宋体" w:hAnsi="宋体"/>
          <w:sz w:val="24"/>
        </w:rPr>
        <w:t>HYHZ2022-80</w:t>
      </w:r>
    </w:p>
    <w:p>
      <w:pPr>
        <w:pStyle w:val="8"/>
        <w:snapToGrid w:val="0"/>
        <w:spacing w:line="360" w:lineRule="auto"/>
        <w:ind w:firstLine="998" w:firstLineChars="416"/>
        <w:rPr>
          <w:rFonts w:ascii="宋体" w:hAnsi="宋体"/>
          <w:bCs/>
          <w:sz w:val="24"/>
          <w:szCs w:val="24"/>
        </w:rPr>
      </w:pPr>
      <w:r>
        <w:rPr>
          <w:rFonts w:hint="eastAsia" w:ascii="宋体" w:hAnsi="宋体"/>
          <w:bCs/>
          <w:sz w:val="24"/>
          <w:szCs w:val="24"/>
        </w:rPr>
        <w:t>投标人名称：</w:t>
      </w:r>
    </w:p>
    <w:p>
      <w:pPr>
        <w:pStyle w:val="8"/>
        <w:snapToGrid w:val="0"/>
        <w:spacing w:line="360" w:lineRule="auto"/>
        <w:ind w:firstLine="998" w:firstLineChars="416"/>
        <w:rPr>
          <w:rFonts w:ascii="宋体" w:hAnsi="宋体"/>
          <w:bCs/>
          <w:sz w:val="24"/>
          <w:szCs w:val="24"/>
        </w:rPr>
      </w:pPr>
      <w:r>
        <w:rPr>
          <w:rFonts w:hint="eastAsia" w:ascii="宋体" w:hAnsi="宋体"/>
          <w:bCs/>
          <w:sz w:val="24"/>
          <w:szCs w:val="24"/>
        </w:rPr>
        <w:t>投标人地址：</w:t>
      </w:r>
    </w:p>
    <w:p>
      <w:pPr>
        <w:pStyle w:val="8"/>
        <w:snapToGrid w:val="0"/>
        <w:spacing w:line="360" w:lineRule="auto"/>
        <w:ind w:firstLine="960" w:firstLineChars="400"/>
        <w:rPr>
          <w:rFonts w:ascii="宋体" w:hAnsi="宋体"/>
          <w:bCs/>
          <w:sz w:val="24"/>
          <w:szCs w:val="24"/>
        </w:rPr>
      </w:pPr>
    </w:p>
    <w:p>
      <w:pPr>
        <w:snapToGrid w:val="0"/>
        <w:spacing w:line="360" w:lineRule="auto"/>
        <w:ind w:firstLine="4080" w:firstLineChars="1700"/>
        <w:rPr>
          <w:rFonts w:ascii="宋体" w:hAnsi="宋体"/>
          <w:sz w:val="24"/>
          <w:szCs w:val="20"/>
        </w:rPr>
      </w:pPr>
    </w:p>
    <w:p>
      <w:pPr>
        <w:snapToGrid w:val="0"/>
        <w:spacing w:line="360" w:lineRule="auto"/>
        <w:ind w:firstLine="645"/>
        <w:jc w:val="center"/>
        <w:rPr>
          <w:rFonts w:ascii="宋体" w:hAnsi="宋体"/>
          <w:sz w:val="24"/>
        </w:rPr>
      </w:pPr>
      <w:r>
        <w:rPr>
          <w:rFonts w:hint="eastAsia" w:ascii="宋体" w:hAnsi="宋体"/>
          <w:sz w:val="24"/>
        </w:rPr>
        <w:t>年月日</w:t>
      </w:r>
    </w:p>
    <w:p>
      <w:pPr>
        <w:snapToGrid w:val="0"/>
        <w:spacing w:line="360" w:lineRule="auto"/>
        <w:ind w:firstLine="645"/>
        <w:jc w:val="center"/>
        <w:rPr>
          <w:rFonts w:ascii="宋体" w:hAnsi="宋体"/>
          <w:sz w:val="24"/>
        </w:rPr>
      </w:pPr>
    </w:p>
    <w:p>
      <w:pPr>
        <w:pStyle w:val="13"/>
      </w:pPr>
    </w:p>
    <w:p>
      <w:pPr>
        <w:snapToGrid w:val="0"/>
        <w:spacing w:line="360" w:lineRule="auto"/>
        <w:rPr>
          <w:rFonts w:ascii="宋体" w:hAnsi="宋体"/>
          <w:sz w:val="24"/>
        </w:rPr>
      </w:pPr>
      <w:r>
        <w:rPr>
          <w:rFonts w:hint="eastAsia" w:ascii="宋体" w:hAnsi="宋体"/>
          <w:sz w:val="24"/>
        </w:rPr>
        <w:t>12.</w:t>
      </w:r>
      <w:r>
        <w:rPr>
          <w:rFonts w:hint="eastAsia" w:ascii="宋体" w:hAnsi="宋体"/>
          <w:b/>
          <w:bCs/>
          <w:sz w:val="24"/>
        </w:rPr>
        <w:t>技术/资信/商务文件目录</w:t>
      </w:r>
    </w:p>
    <w:p>
      <w:pPr>
        <w:snapToGrid w:val="0"/>
        <w:spacing w:line="360" w:lineRule="auto"/>
        <w:rPr>
          <w:rFonts w:ascii="宋体" w:hAnsi="宋体"/>
          <w:sz w:val="24"/>
        </w:rPr>
      </w:pPr>
      <w:r>
        <w:rPr>
          <w:rFonts w:hint="eastAsia" w:ascii="宋体" w:hAnsi="宋体"/>
          <w:sz w:val="24"/>
        </w:rPr>
        <w:t>技术：</w:t>
      </w:r>
    </w:p>
    <w:p>
      <w:pPr>
        <w:snapToGrid w:val="0"/>
        <w:spacing w:line="360" w:lineRule="auto"/>
        <w:jc w:val="left"/>
        <w:rPr>
          <w:rFonts w:ascii="宋体" w:hAnsi="宋体"/>
          <w:sz w:val="24"/>
          <w:szCs w:val="20"/>
        </w:rPr>
      </w:pPr>
      <w:r>
        <w:rPr>
          <w:rFonts w:hint="eastAsia" w:ascii="宋体" w:hAnsi="宋体"/>
          <w:sz w:val="24"/>
        </w:rPr>
        <w:t>（</w:t>
      </w:r>
      <w:r>
        <w:rPr>
          <w:rFonts w:ascii="宋体" w:hAnsi="宋体"/>
          <w:sz w:val="24"/>
        </w:rPr>
        <w:t>1</w:t>
      </w:r>
      <w:r>
        <w:rPr>
          <w:rFonts w:hint="eastAsia" w:ascii="宋体" w:hAnsi="宋体"/>
          <w:sz w:val="24"/>
        </w:rPr>
        <w:t>）对本项目的总体理解————————（页码）</w:t>
      </w:r>
    </w:p>
    <w:p>
      <w:pPr>
        <w:snapToGrid w:val="0"/>
        <w:spacing w:line="360" w:lineRule="auto"/>
        <w:jc w:val="left"/>
        <w:rPr>
          <w:rFonts w:ascii="宋体" w:hAnsi="宋体"/>
          <w:sz w:val="24"/>
          <w:szCs w:val="20"/>
        </w:rPr>
      </w:pPr>
      <w:r>
        <w:rPr>
          <w:rFonts w:hint="eastAsia" w:ascii="宋体" w:hAnsi="宋体"/>
          <w:sz w:val="24"/>
        </w:rPr>
        <w:t>（</w:t>
      </w:r>
      <w:r>
        <w:rPr>
          <w:rFonts w:ascii="宋体" w:hAnsi="宋体"/>
          <w:sz w:val="24"/>
        </w:rPr>
        <w:t>2</w:t>
      </w:r>
      <w:r>
        <w:rPr>
          <w:rFonts w:hint="eastAsia" w:ascii="宋体" w:hAnsi="宋体"/>
          <w:sz w:val="24"/>
        </w:rPr>
        <w:t>）确保供应货物质量的设施及措施————————</w:t>
      </w:r>
    </w:p>
    <w:p>
      <w:pPr>
        <w:snapToGrid w:val="0"/>
        <w:spacing w:line="360" w:lineRule="auto"/>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）保证交货期的施工组织方案和措施————</w:t>
      </w:r>
    </w:p>
    <w:p>
      <w:pPr>
        <w:snapToGrid w:val="0"/>
        <w:spacing w:line="360" w:lineRule="auto"/>
        <w:jc w:val="lef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）安装、调试、验收的方案和措施————————</w:t>
      </w:r>
    </w:p>
    <w:p>
      <w:pPr>
        <w:snapToGrid w:val="0"/>
        <w:spacing w:line="360" w:lineRule="auto"/>
        <w:jc w:val="left"/>
        <w:rPr>
          <w:rFonts w:ascii="宋体" w:hAnsi="宋体"/>
          <w:sz w:val="24"/>
          <w:szCs w:val="20"/>
        </w:rPr>
      </w:pPr>
      <w:r>
        <w:rPr>
          <w:rFonts w:hint="eastAsia" w:ascii="宋体" w:hAnsi="宋体"/>
          <w:sz w:val="24"/>
        </w:rPr>
        <w:t>（</w:t>
      </w:r>
      <w:r>
        <w:rPr>
          <w:rFonts w:ascii="宋体" w:hAnsi="宋体"/>
          <w:sz w:val="24"/>
        </w:rPr>
        <w:t>5</w:t>
      </w:r>
      <w:r>
        <w:rPr>
          <w:rFonts w:hint="eastAsia" w:ascii="宋体" w:hAnsi="宋体"/>
          <w:sz w:val="24"/>
        </w:rPr>
        <w:t>）技术响应表————————</w:t>
      </w:r>
    </w:p>
    <w:p>
      <w:pPr>
        <w:snapToGrid w:val="0"/>
        <w:spacing w:line="360" w:lineRule="auto"/>
        <w:jc w:val="left"/>
        <w:rPr>
          <w:rFonts w:ascii="宋体" w:hAnsi="宋体"/>
          <w:sz w:val="24"/>
          <w:szCs w:val="20"/>
        </w:rPr>
      </w:pPr>
      <w:r>
        <w:rPr>
          <w:rFonts w:hint="eastAsia" w:ascii="宋体" w:hAnsi="宋体"/>
          <w:sz w:val="24"/>
        </w:rPr>
        <w:t>（6）项目实施人员一览————————</w:t>
      </w:r>
    </w:p>
    <w:p>
      <w:pPr>
        <w:snapToGrid w:val="0"/>
        <w:spacing w:line="360" w:lineRule="auto"/>
        <w:jc w:val="left"/>
        <w:rPr>
          <w:rFonts w:ascii="宋体" w:hAnsi="宋体"/>
          <w:sz w:val="24"/>
        </w:rPr>
      </w:pPr>
      <w:r>
        <w:rPr>
          <w:rFonts w:hint="eastAsia" w:ascii="宋体" w:hAnsi="宋体"/>
          <w:sz w:val="24"/>
        </w:rPr>
        <w:t>（7）投标人对本项目的合理化建议和改进措施————————</w:t>
      </w:r>
    </w:p>
    <w:p>
      <w:pPr>
        <w:snapToGrid w:val="0"/>
        <w:spacing w:line="360" w:lineRule="auto"/>
        <w:jc w:val="left"/>
        <w:rPr>
          <w:rFonts w:ascii="宋体" w:hAnsi="宋体"/>
          <w:sz w:val="24"/>
        </w:rPr>
      </w:pPr>
      <w:r>
        <w:rPr>
          <w:rFonts w:hint="eastAsia" w:ascii="宋体" w:hAnsi="宋体"/>
          <w:sz w:val="24"/>
        </w:rPr>
        <w:t>（8）投标人需要说明的其他文件和说明————————</w:t>
      </w:r>
    </w:p>
    <w:p>
      <w:pPr>
        <w:snapToGrid w:val="0"/>
        <w:spacing w:line="360" w:lineRule="auto"/>
        <w:rPr>
          <w:rFonts w:ascii="宋体" w:hAnsi="宋体"/>
          <w:sz w:val="24"/>
        </w:rPr>
      </w:pPr>
      <w:r>
        <w:rPr>
          <w:rFonts w:hint="eastAsia" w:ascii="宋体" w:hAnsi="宋体"/>
          <w:sz w:val="24"/>
        </w:rPr>
        <w:t>资信：</w:t>
      </w:r>
    </w:p>
    <w:p>
      <w:pPr>
        <w:snapToGrid w:val="0"/>
        <w:spacing w:line="360" w:lineRule="auto"/>
        <w:jc w:val="left"/>
        <w:rPr>
          <w:rFonts w:ascii="宋体" w:hAnsi="宋体"/>
          <w:sz w:val="24"/>
          <w:szCs w:val="20"/>
        </w:rPr>
      </w:pPr>
      <w:r>
        <w:rPr>
          <w:rFonts w:hint="eastAsia" w:ascii="宋体" w:hAnsi="宋体"/>
          <w:sz w:val="24"/>
        </w:rPr>
        <w:t>（9）类似成功案例的业绩证明（投标人同类项目实施情况一览表、合同复印件）————————</w:t>
      </w:r>
    </w:p>
    <w:p>
      <w:pPr>
        <w:snapToGrid w:val="0"/>
        <w:spacing w:line="360" w:lineRule="auto"/>
        <w:jc w:val="left"/>
        <w:rPr>
          <w:rFonts w:ascii="宋体" w:hAnsi="宋体"/>
          <w:sz w:val="24"/>
        </w:rPr>
      </w:pPr>
      <w:r>
        <w:rPr>
          <w:rFonts w:hint="eastAsia" w:ascii="宋体" w:hAnsi="宋体"/>
          <w:sz w:val="24"/>
        </w:rPr>
        <w:t>（10）其他特殊资质证书</w:t>
      </w:r>
      <w:r>
        <w:rPr>
          <w:rFonts w:ascii="宋体" w:hAnsi="宋体"/>
          <w:sz w:val="24"/>
        </w:rPr>
        <w:t>（如</w:t>
      </w:r>
      <w:r>
        <w:rPr>
          <w:rFonts w:hint="eastAsia" w:ascii="宋体" w:hAnsi="宋体"/>
          <w:sz w:val="24"/>
        </w:rPr>
        <w:t>本地化服务能力等）（格式可自拟）—————</w:t>
      </w:r>
    </w:p>
    <w:p>
      <w:pPr>
        <w:snapToGrid w:val="0"/>
        <w:spacing w:line="360" w:lineRule="auto"/>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1）</w:t>
      </w:r>
      <w:r>
        <w:rPr>
          <w:rFonts w:ascii="宋体" w:hAnsi="宋体"/>
          <w:sz w:val="24"/>
        </w:rPr>
        <w:t>权威认证证书（如有）</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2）投标人认为可以证明其能力或业绩的其他材料————————</w:t>
      </w:r>
    </w:p>
    <w:p>
      <w:pPr>
        <w:pStyle w:val="13"/>
      </w:pPr>
      <w:r>
        <w:rPr>
          <w:rFonts w:hint="eastAsia" w:ascii="宋体" w:hAnsi="宋体"/>
          <w:sz w:val="24"/>
        </w:rPr>
        <w:t>（</w:t>
      </w:r>
      <w:r>
        <w:rPr>
          <w:rFonts w:ascii="宋体" w:hAnsi="宋体"/>
          <w:sz w:val="24"/>
        </w:rPr>
        <w:t>1</w:t>
      </w:r>
      <w:r>
        <w:rPr>
          <w:rFonts w:hint="eastAsia" w:ascii="宋体" w:hAnsi="宋体"/>
          <w:sz w:val="24"/>
        </w:rPr>
        <w:t>3）投标人情况介绍————————</w:t>
      </w:r>
    </w:p>
    <w:p>
      <w:pPr>
        <w:snapToGrid w:val="0"/>
        <w:spacing w:line="360" w:lineRule="auto"/>
        <w:rPr>
          <w:rFonts w:ascii="宋体" w:hAnsi="宋体"/>
          <w:sz w:val="24"/>
        </w:rPr>
      </w:pPr>
      <w:r>
        <w:rPr>
          <w:rFonts w:hint="eastAsia" w:ascii="宋体" w:hAnsi="宋体"/>
          <w:sz w:val="24"/>
        </w:rPr>
        <w:t>商务：</w:t>
      </w:r>
    </w:p>
    <w:p>
      <w:pPr>
        <w:snapToGrid w:val="0"/>
        <w:spacing w:line="360" w:lineRule="auto"/>
        <w:jc w:val="left"/>
        <w:rPr>
          <w:rFonts w:ascii="宋体" w:hAnsi="宋体"/>
          <w:sz w:val="24"/>
        </w:rPr>
      </w:pPr>
      <w:r>
        <w:rPr>
          <w:rFonts w:hint="eastAsia" w:ascii="宋体" w:hAnsi="宋体"/>
          <w:sz w:val="24"/>
        </w:rPr>
        <w:t>（14）商务响应表————————</w:t>
      </w:r>
    </w:p>
    <w:p>
      <w:pPr>
        <w:snapToGrid w:val="0"/>
        <w:spacing w:line="360" w:lineRule="auto"/>
        <w:jc w:val="left"/>
        <w:rPr>
          <w:rFonts w:ascii="宋体" w:hAnsi="宋体"/>
          <w:sz w:val="24"/>
        </w:rPr>
      </w:pPr>
      <w:r>
        <w:rPr>
          <w:rFonts w:hint="eastAsia" w:ascii="宋体" w:hAnsi="宋体"/>
          <w:sz w:val="24"/>
        </w:rPr>
        <w:t>（15）</w:t>
      </w:r>
      <w:r>
        <w:rPr>
          <w:rFonts w:ascii="宋体" w:hAnsi="宋体"/>
          <w:sz w:val="24"/>
        </w:rPr>
        <w:t>售后服务的内容和措施</w:t>
      </w:r>
      <w:r>
        <w:rPr>
          <w:rFonts w:hint="eastAsia" w:ascii="宋体" w:hAnsi="宋体"/>
          <w:sz w:val="24"/>
        </w:rPr>
        <w:t>————————</w:t>
      </w:r>
    </w:p>
    <w:p>
      <w:pPr>
        <w:snapToGrid w:val="0"/>
        <w:spacing w:line="360" w:lineRule="auto"/>
        <w:jc w:val="left"/>
        <w:rPr>
          <w:rFonts w:ascii="宋体" w:hAnsi="宋体"/>
          <w:sz w:val="24"/>
        </w:rPr>
      </w:pPr>
      <w:r>
        <w:rPr>
          <w:rFonts w:hint="eastAsia" w:ascii="宋体" w:hAnsi="宋体"/>
          <w:sz w:val="24"/>
        </w:rPr>
        <w:t>（16）培训方案————————</w:t>
      </w:r>
    </w:p>
    <w:p>
      <w:pPr>
        <w:snapToGrid w:val="0"/>
        <w:spacing w:line="360" w:lineRule="auto"/>
        <w:jc w:val="left"/>
        <w:rPr>
          <w:rFonts w:ascii="宋体" w:hAnsi="宋体"/>
          <w:sz w:val="24"/>
        </w:rPr>
      </w:pPr>
      <w:r>
        <w:rPr>
          <w:rFonts w:hint="eastAsia" w:ascii="宋体" w:hAnsi="宋体"/>
          <w:sz w:val="24"/>
        </w:rPr>
        <w:t>（17）响应时间————————</w:t>
      </w:r>
    </w:p>
    <w:p>
      <w:pPr>
        <w:snapToGrid w:val="0"/>
        <w:spacing w:line="360" w:lineRule="auto"/>
        <w:rPr>
          <w:rFonts w:ascii="宋体" w:hAnsi="宋体"/>
          <w:sz w:val="24"/>
        </w:rPr>
      </w:pPr>
      <w:r>
        <w:rPr>
          <w:rFonts w:hint="eastAsia" w:ascii="宋体" w:hAnsi="宋体"/>
          <w:sz w:val="24"/>
        </w:rPr>
        <w:t>（18）信用承诺书————————</w:t>
      </w:r>
    </w:p>
    <w:p>
      <w:pPr>
        <w:spacing w:line="360" w:lineRule="auto"/>
        <w:rPr>
          <w:rFonts w:ascii="宋体" w:hAnsi="宋体"/>
          <w:sz w:val="24"/>
        </w:rPr>
      </w:pPr>
      <w:r>
        <w:rPr>
          <w:rFonts w:hint="eastAsia" w:ascii="宋体" w:hAnsi="宋体"/>
          <w:sz w:val="24"/>
        </w:rPr>
        <w:t>（19）技术、商务、资信及其他分自评表————————</w:t>
      </w:r>
    </w:p>
    <w:p>
      <w:pPr>
        <w:snapToGrid w:val="0"/>
        <w:spacing w:line="360" w:lineRule="auto"/>
        <w:jc w:val="left"/>
      </w:pPr>
    </w:p>
    <w:p>
      <w:pPr>
        <w:pStyle w:val="13"/>
      </w:pPr>
    </w:p>
    <w:p>
      <w:pPr>
        <w:pStyle w:val="42"/>
        <w:rPr>
          <w:color w:val="auto"/>
        </w:rPr>
      </w:pPr>
    </w:p>
    <w:p>
      <w:pPr>
        <w:pStyle w:val="42"/>
        <w:rPr>
          <w:color w:val="auto"/>
        </w:rPr>
      </w:pPr>
    </w:p>
    <w:p>
      <w:pPr>
        <w:snapToGrid w:val="0"/>
        <w:spacing w:line="360" w:lineRule="auto"/>
        <w:jc w:val="left"/>
        <w:rPr>
          <w:rFonts w:ascii="宋体" w:hAnsi="宋体"/>
          <w:sz w:val="24"/>
          <w:szCs w:val="20"/>
        </w:rPr>
      </w:pPr>
      <w:r>
        <w:rPr>
          <w:rFonts w:hint="eastAsia" w:ascii="宋体" w:hAnsi="宋体"/>
          <w:sz w:val="24"/>
        </w:rPr>
        <w:t>13.对本项目的总体理解（格式自拟）</w:t>
      </w:r>
    </w:p>
    <w:p>
      <w:pPr>
        <w:snapToGrid w:val="0"/>
        <w:spacing w:line="360" w:lineRule="auto"/>
        <w:jc w:val="left"/>
        <w:rPr>
          <w:rFonts w:ascii="宋体" w:hAnsi="宋体"/>
          <w:sz w:val="24"/>
          <w:szCs w:val="20"/>
        </w:rPr>
      </w:pPr>
    </w:p>
    <w:p>
      <w:pPr>
        <w:snapToGrid w:val="0"/>
        <w:spacing w:line="360" w:lineRule="auto"/>
        <w:jc w:val="left"/>
        <w:rPr>
          <w:rFonts w:ascii="宋体" w:hAnsi="宋体"/>
          <w:sz w:val="24"/>
          <w:szCs w:val="20"/>
        </w:rPr>
      </w:pPr>
    </w:p>
    <w:p>
      <w:pPr>
        <w:snapToGrid w:val="0"/>
        <w:spacing w:line="360" w:lineRule="auto"/>
        <w:jc w:val="left"/>
        <w:rPr>
          <w:rFonts w:ascii="宋体" w:hAnsi="宋体"/>
          <w:sz w:val="24"/>
          <w:szCs w:val="20"/>
        </w:rPr>
      </w:pPr>
    </w:p>
    <w:p>
      <w:pPr>
        <w:snapToGrid w:val="0"/>
        <w:spacing w:line="360" w:lineRule="auto"/>
        <w:jc w:val="left"/>
        <w:rPr>
          <w:rFonts w:ascii="宋体" w:hAnsi="宋体"/>
          <w:sz w:val="24"/>
          <w:szCs w:val="20"/>
        </w:rPr>
      </w:pPr>
      <w:r>
        <w:rPr>
          <w:rFonts w:hint="eastAsia" w:ascii="宋体" w:hAnsi="宋体"/>
          <w:sz w:val="24"/>
        </w:rPr>
        <w:t>14.确保供应货物质量的设施及措施（格式自拟）</w:t>
      </w:r>
    </w:p>
    <w:p>
      <w:pPr>
        <w:snapToGrid w:val="0"/>
        <w:spacing w:line="360" w:lineRule="auto"/>
        <w:jc w:val="left"/>
        <w:rPr>
          <w:rFonts w:ascii="宋体" w:hAnsi="宋体"/>
          <w:sz w:val="24"/>
          <w:szCs w:val="20"/>
        </w:rPr>
      </w:pPr>
    </w:p>
    <w:p>
      <w:pPr>
        <w:pStyle w:val="13"/>
      </w:pPr>
    </w:p>
    <w:p>
      <w:pPr>
        <w:snapToGrid w:val="0"/>
        <w:spacing w:line="360" w:lineRule="auto"/>
        <w:jc w:val="left"/>
        <w:rPr>
          <w:rFonts w:ascii="宋体" w:hAnsi="宋体"/>
          <w:sz w:val="24"/>
          <w:szCs w:val="20"/>
        </w:rPr>
      </w:pPr>
    </w:p>
    <w:p>
      <w:pPr>
        <w:snapToGrid w:val="0"/>
        <w:spacing w:line="360" w:lineRule="auto"/>
        <w:jc w:val="left"/>
        <w:rPr>
          <w:rFonts w:ascii="宋体" w:hAnsi="宋体"/>
          <w:sz w:val="24"/>
          <w:szCs w:val="20"/>
        </w:rPr>
      </w:pPr>
      <w:r>
        <w:rPr>
          <w:rFonts w:hint="eastAsia" w:ascii="宋体" w:hAnsi="宋体"/>
          <w:sz w:val="24"/>
        </w:rPr>
        <w:t>15.保证交货期的施工组织方案和措施（格式自拟）</w:t>
      </w:r>
    </w:p>
    <w:p>
      <w:pPr>
        <w:pStyle w:val="13"/>
      </w:pPr>
    </w:p>
    <w:p>
      <w:pPr>
        <w:pStyle w:val="42"/>
        <w:rPr>
          <w:color w:val="auto"/>
        </w:rPr>
      </w:pPr>
    </w:p>
    <w:p>
      <w:pPr>
        <w:pStyle w:val="13"/>
      </w:pPr>
    </w:p>
    <w:p>
      <w:pPr>
        <w:spacing w:line="360" w:lineRule="auto"/>
        <w:jc w:val="left"/>
        <w:rPr>
          <w:rFonts w:ascii="宋体" w:hAnsi="宋体"/>
          <w:sz w:val="24"/>
        </w:rPr>
      </w:pPr>
      <w:r>
        <w:rPr>
          <w:rFonts w:hint="eastAsia" w:ascii="宋体" w:hAnsi="宋体"/>
          <w:sz w:val="24"/>
        </w:rPr>
        <w:t>16.安装、调试、验收的方案和措施（格式自拟）</w:t>
      </w:r>
    </w:p>
    <w:p>
      <w:pPr>
        <w:snapToGrid w:val="0"/>
        <w:spacing w:line="360" w:lineRule="auto"/>
        <w:jc w:val="left"/>
        <w:rPr>
          <w:rFonts w:ascii="宋体" w:hAnsi="宋体"/>
          <w:sz w:val="24"/>
          <w:szCs w:val="20"/>
        </w:rPr>
      </w:pPr>
    </w:p>
    <w:p>
      <w:pPr>
        <w:pStyle w:val="13"/>
      </w:pPr>
    </w:p>
    <w:p>
      <w:pPr>
        <w:pStyle w:val="42"/>
        <w:rPr>
          <w:color w:val="auto"/>
        </w:rPr>
      </w:pPr>
    </w:p>
    <w:p>
      <w:pPr>
        <w:snapToGrid w:val="0"/>
        <w:spacing w:line="360" w:lineRule="auto"/>
        <w:rPr>
          <w:rFonts w:ascii="宋体" w:hAnsi="宋体"/>
          <w:spacing w:val="20"/>
          <w:sz w:val="24"/>
          <w:u w:val="single"/>
        </w:rPr>
      </w:pPr>
    </w:p>
    <w:p>
      <w:pPr>
        <w:snapToGrid w:val="0"/>
        <w:spacing w:line="360" w:lineRule="auto"/>
        <w:rPr>
          <w:rFonts w:ascii="宋体" w:hAnsi="宋体"/>
          <w:spacing w:val="20"/>
          <w:sz w:val="24"/>
          <w:u w:val="single"/>
        </w:rPr>
      </w:pPr>
    </w:p>
    <w:p>
      <w:pPr>
        <w:snapToGrid w:val="0"/>
        <w:spacing w:line="360" w:lineRule="auto"/>
        <w:jc w:val="left"/>
        <w:rPr>
          <w:rFonts w:ascii="宋体" w:hAnsi="宋体"/>
          <w:sz w:val="24"/>
          <w:szCs w:val="20"/>
        </w:rPr>
      </w:pPr>
      <w:r>
        <w:rPr>
          <w:rFonts w:hint="eastAsia" w:ascii="宋体" w:hAnsi="宋体"/>
          <w:sz w:val="24"/>
        </w:rPr>
        <w:t>17.技术响应表格式：</w:t>
      </w:r>
    </w:p>
    <w:p>
      <w:pPr>
        <w:snapToGrid w:val="0"/>
        <w:spacing w:line="360" w:lineRule="auto"/>
        <w:jc w:val="left"/>
        <w:rPr>
          <w:rFonts w:ascii="宋体" w:hAnsi="宋体"/>
          <w:sz w:val="24"/>
          <w:szCs w:val="20"/>
        </w:rPr>
      </w:pPr>
      <w:r>
        <w:rPr>
          <w:rFonts w:hint="eastAsia" w:ascii="宋体" w:hAnsi="宋体"/>
        </w:rPr>
        <w:t>项目名称：</w:t>
      </w:r>
    </w:p>
    <w:tbl>
      <w:tblPr>
        <w:tblStyle w:val="33"/>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720"/>
        <w:gridCol w:w="2361"/>
        <w:gridCol w:w="1976"/>
        <w:gridCol w:w="1808"/>
        <w:gridCol w:w="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trPr>
        <w:tc>
          <w:tcPr>
            <w:tcW w:w="3909" w:type="dxa"/>
            <w:gridSpan w:val="3"/>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jc w:val="center"/>
              <w:outlineLvl w:val="0"/>
              <w:rPr>
                <w:rFonts w:hAnsi="宋体"/>
                <w:szCs w:val="21"/>
              </w:rPr>
            </w:pPr>
            <w:r>
              <w:rPr>
                <w:rFonts w:hAnsi="宋体"/>
                <w:szCs w:val="21"/>
              </w:rPr>
              <w:t>招标文件要求</w:t>
            </w:r>
          </w:p>
        </w:tc>
        <w:tc>
          <w:tcPr>
            <w:tcW w:w="3784" w:type="dxa"/>
            <w:gridSpan w:val="2"/>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jc w:val="center"/>
              <w:outlineLvl w:val="0"/>
              <w:rPr>
                <w:rFonts w:hAnsi="宋体"/>
                <w:szCs w:val="21"/>
              </w:rPr>
            </w:pPr>
            <w:r>
              <w:rPr>
                <w:rFonts w:hAnsi="宋体"/>
                <w:szCs w:val="21"/>
              </w:rPr>
              <w:t>投标文件响应</w:t>
            </w:r>
          </w:p>
        </w:tc>
        <w:tc>
          <w:tcPr>
            <w:tcW w:w="835" w:type="dxa"/>
            <w:vMerge w:val="restart"/>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r>
              <w:rPr>
                <w:rFonts w:hAnsi="宋体"/>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1548" w:type="dxa"/>
            <w:gridSpan w:val="2"/>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jc w:val="center"/>
              <w:outlineLvl w:val="0"/>
              <w:rPr>
                <w:rFonts w:hAnsi="宋体"/>
                <w:szCs w:val="21"/>
              </w:rPr>
            </w:pPr>
            <w:r>
              <w:rPr>
                <w:rFonts w:hAnsi="宋体"/>
                <w:szCs w:val="21"/>
              </w:rPr>
              <w:t>项目</w:t>
            </w:r>
          </w:p>
        </w:tc>
        <w:tc>
          <w:tcPr>
            <w:tcW w:w="2361"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jc w:val="center"/>
              <w:outlineLvl w:val="0"/>
              <w:rPr>
                <w:rFonts w:hAnsi="宋体"/>
                <w:szCs w:val="21"/>
              </w:rPr>
            </w:pPr>
            <w:r>
              <w:rPr>
                <w:rFonts w:hAnsi="宋体"/>
                <w:szCs w:val="21"/>
              </w:rPr>
              <w:t>要求</w:t>
            </w:r>
          </w:p>
        </w:tc>
        <w:tc>
          <w:tcPr>
            <w:tcW w:w="1976"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jc w:val="center"/>
              <w:outlineLvl w:val="0"/>
              <w:rPr>
                <w:rFonts w:hAnsi="宋体"/>
                <w:szCs w:val="21"/>
              </w:rPr>
            </w:pPr>
            <w:r>
              <w:rPr>
                <w:rFonts w:hAnsi="宋体"/>
                <w:szCs w:val="21"/>
              </w:rPr>
              <w:t>设备名称</w:t>
            </w:r>
          </w:p>
        </w:tc>
        <w:tc>
          <w:tcPr>
            <w:tcW w:w="1808"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jc w:val="center"/>
              <w:outlineLvl w:val="0"/>
              <w:rPr>
                <w:rFonts w:hAnsi="宋体"/>
                <w:szCs w:val="21"/>
              </w:rPr>
            </w:pPr>
            <w:r>
              <w:rPr>
                <w:rFonts w:hAnsi="宋体"/>
                <w:szCs w:val="21"/>
              </w:rPr>
              <w:t>性能及指标</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28" w:type="dxa"/>
            <w:vMerge w:val="restart"/>
            <w:tcBorders>
              <w:top w:val="single" w:color="auto" w:sz="4" w:space="0"/>
              <w:left w:val="single" w:color="auto" w:sz="4" w:space="0"/>
              <w:bottom w:val="single" w:color="auto" w:sz="4" w:space="0"/>
              <w:right w:val="single" w:color="auto" w:sz="4" w:space="0"/>
            </w:tcBorders>
            <w:vAlign w:val="center"/>
          </w:tcPr>
          <w:p>
            <w:pPr>
              <w:pStyle w:val="18"/>
              <w:snapToGrid w:val="0"/>
              <w:spacing w:beforeLines="0" w:afterLines="0" w:line="360" w:lineRule="auto"/>
              <w:outlineLvl w:val="0"/>
              <w:rPr>
                <w:rFonts w:hAnsi="宋体"/>
              </w:rPr>
            </w:pPr>
            <w:r>
              <w:rPr>
                <w:rFonts w:hint="eastAsia" w:hAnsi="宋体"/>
              </w:rPr>
              <w:t>一</w:t>
            </w:r>
            <w:r>
              <w:rPr>
                <w:rFonts w:hAnsi="宋体"/>
              </w:rPr>
              <w:t>、</w:t>
            </w:r>
          </w:p>
          <w:p>
            <w:pPr>
              <w:pStyle w:val="18"/>
              <w:snapToGrid w:val="0"/>
              <w:spacing w:beforeLines="0" w:afterLines="0" w:line="360" w:lineRule="auto"/>
              <w:outlineLvl w:val="0"/>
              <w:rPr>
                <w:rFonts w:hAnsi="宋体"/>
                <w:szCs w:val="21"/>
              </w:rPr>
            </w:pPr>
            <w:r>
              <w:rPr>
                <w:rFonts w:hAnsi="宋体"/>
              </w:rPr>
              <w:t>性能及技术指标</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pStyle w:val="18"/>
              <w:snapToGrid w:val="0"/>
              <w:spacing w:beforeLines="0" w:afterLines="0" w:line="360" w:lineRule="auto"/>
              <w:outlineLvl w:val="0"/>
              <w:rPr>
                <w:rFonts w:hAnsi="宋体"/>
                <w:szCs w:val="21"/>
              </w:rPr>
            </w:pPr>
            <w:r>
              <w:rPr>
                <w:rFonts w:hAnsi="宋体"/>
                <w:szCs w:val="21"/>
              </w:rPr>
              <w:t>主要技术指标</w:t>
            </w:r>
          </w:p>
        </w:tc>
        <w:tc>
          <w:tcPr>
            <w:tcW w:w="2361" w:type="dxa"/>
            <w:tcBorders>
              <w:top w:val="single" w:color="auto" w:sz="4" w:space="0"/>
              <w:left w:val="single" w:color="auto" w:sz="4" w:space="0"/>
              <w:bottom w:val="single" w:color="auto" w:sz="4" w:space="0"/>
              <w:right w:val="single" w:color="auto" w:sz="4" w:space="0"/>
            </w:tcBorders>
            <w:vAlign w:val="center"/>
          </w:tcPr>
          <w:p>
            <w:pPr>
              <w:pStyle w:val="18"/>
              <w:snapToGrid w:val="0"/>
              <w:spacing w:beforeLines="0" w:afterLines="0" w:line="360" w:lineRule="auto"/>
              <w:outlineLvl w:val="0"/>
              <w:rPr>
                <w:rFonts w:hAnsi="宋体"/>
                <w:szCs w:val="21"/>
              </w:rPr>
            </w:pPr>
            <w:r>
              <w:rPr>
                <w:rFonts w:hAnsi="宋体"/>
                <w:szCs w:val="21"/>
              </w:rPr>
              <w:t>1、</w:t>
            </w:r>
          </w:p>
        </w:tc>
        <w:tc>
          <w:tcPr>
            <w:tcW w:w="1976"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6"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sz w:val="24"/>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sz w:val="24"/>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pStyle w:val="18"/>
              <w:snapToGrid w:val="0"/>
              <w:spacing w:beforeLines="0" w:afterLines="0" w:line="360" w:lineRule="auto"/>
              <w:rPr>
                <w:rFonts w:hAnsi="宋体"/>
                <w:szCs w:val="21"/>
              </w:rPr>
            </w:pPr>
            <w:r>
              <w:rPr>
                <w:rFonts w:hAnsi="宋体"/>
                <w:szCs w:val="21"/>
              </w:rPr>
              <w:t>2、</w:t>
            </w:r>
          </w:p>
        </w:tc>
        <w:tc>
          <w:tcPr>
            <w:tcW w:w="1976"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0"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sz w:val="24"/>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sz w:val="24"/>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pStyle w:val="18"/>
              <w:snapToGrid w:val="0"/>
              <w:spacing w:beforeLines="0" w:afterLines="0" w:line="360" w:lineRule="auto"/>
              <w:outlineLvl w:val="0"/>
              <w:rPr>
                <w:rFonts w:hAnsi="宋体"/>
              </w:rPr>
            </w:pPr>
            <w:r>
              <w:rPr>
                <w:rFonts w:hAnsi="宋体"/>
              </w:rPr>
              <w:t>3、</w:t>
            </w:r>
          </w:p>
        </w:tc>
        <w:tc>
          <w:tcPr>
            <w:tcW w:w="1976"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rPr>
            </w:pPr>
          </w:p>
        </w:tc>
        <w:tc>
          <w:tcPr>
            <w:tcW w:w="1808"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rPr>
            </w:pPr>
          </w:p>
        </w:tc>
        <w:tc>
          <w:tcPr>
            <w:tcW w:w="835"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6"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szCs w:val="21"/>
              </w:rPr>
            </w:pPr>
          </w:p>
        </w:tc>
        <w:tc>
          <w:tcPr>
            <w:tcW w:w="2361"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r>
              <w:rPr>
                <w:rFonts w:hAnsi="宋体"/>
                <w:szCs w:val="21"/>
              </w:rPr>
              <w:t>...</w:t>
            </w:r>
          </w:p>
        </w:tc>
        <w:tc>
          <w:tcPr>
            <w:tcW w:w="1976"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szCs w:val="21"/>
              </w:rPr>
            </w:pPr>
          </w:p>
        </w:tc>
        <w:tc>
          <w:tcPr>
            <w:tcW w:w="2361"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rPr>
                <w:rFonts w:hAnsi="宋体"/>
                <w:szCs w:val="21"/>
              </w:rPr>
            </w:pPr>
            <w:r>
              <w:rPr>
                <w:rFonts w:hAnsi="宋体"/>
                <w:szCs w:val="21"/>
              </w:rPr>
              <w:t>N</w:t>
            </w:r>
          </w:p>
        </w:tc>
        <w:tc>
          <w:tcPr>
            <w:tcW w:w="1976"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szCs w:val="21"/>
              </w:rPr>
            </w:pPr>
          </w:p>
        </w:tc>
        <w:tc>
          <w:tcPr>
            <w:tcW w:w="720" w:type="dxa"/>
            <w:vMerge w:val="restart"/>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r>
              <w:rPr>
                <w:rFonts w:hAnsi="宋体"/>
                <w:szCs w:val="21"/>
              </w:rPr>
              <w:t>次要指标</w:t>
            </w:r>
          </w:p>
        </w:tc>
        <w:tc>
          <w:tcPr>
            <w:tcW w:w="2361"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r>
              <w:rPr>
                <w:rFonts w:hAnsi="宋体"/>
                <w:szCs w:val="21"/>
              </w:rPr>
              <w:t>1</w:t>
            </w:r>
          </w:p>
        </w:tc>
        <w:tc>
          <w:tcPr>
            <w:tcW w:w="1976"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sz w:val="24"/>
                <w:szCs w:val="21"/>
              </w:rPr>
            </w:pPr>
          </w:p>
        </w:tc>
        <w:tc>
          <w:tcPr>
            <w:tcW w:w="2361"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r>
              <w:rPr>
                <w:rFonts w:hAnsi="宋体"/>
                <w:szCs w:val="21"/>
              </w:rPr>
              <w:t>...</w:t>
            </w:r>
          </w:p>
        </w:tc>
        <w:tc>
          <w:tcPr>
            <w:tcW w:w="1976"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1"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szCs w:val="21"/>
              </w:rPr>
            </w:pPr>
          </w:p>
        </w:tc>
        <w:tc>
          <w:tcPr>
            <w:tcW w:w="2361"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c>
          <w:tcPr>
            <w:tcW w:w="1976"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48" w:type="dxa"/>
            <w:gridSpan w:val="2"/>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r>
              <w:rPr>
                <w:rFonts w:hAnsi="宋体"/>
              </w:rPr>
              <w:t>二</w:t>
            </w:r>
            <w:r>
              <w:rPr>
                <w:rFonts w:hAnsi="宋体"/>
                <w:szCs w:val="21"/>
              </w:rPr>
              <w:t>、质量标准</w:t>
            </w:r>
          </w:p>
        </w:tc>
        <w:tc>
          <w:tcPr>
            <w:tcW w:w="2361"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r>
              <w:rPr>
                <w:rFonts w:hAnsi="宋体"/>
                <w:szCs w:val="21"/>
              </w:rPr>
              <w:t>（国家标准、行业标准、地区标准等）</w:t>
            </w:r>
          </w:p>
        </w:tc>
        <w:tc>
          <w:tcPr>
            <w:tcW w:w="1976"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c>
          <w:tcPr>
            <w:tcW w:w="1808"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c>
          <w:tcPr>
            <w:tcW w:w="835"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1548" w:type="dxa"/>
            <w:gridSpan w:val="2"/>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szCs w:val="21"/>
              </w:rPr>
            </w:pPr>
            <w:r>
              <w:rPr>
                <w:rFonts w:hAnsi="宋体"/>
                <w:szCs w:val="21"/>
              </w:rPr>
              <w:t>...</w:t>
            </w:r>
          </w:p>
        </w:tc>
        <w:tc>
          <w:tcPr>
            <w:tcW w:w="2361"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rPr>
            </w:pPr>
          </w:p>
        </w:tc>
        <w:tc>
          <w:tcPr>
            <w:tcW w:w="1976"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rPr>
            </w:pPr>
          </w:p>
        </w:tc>
        <w:tc>
          <w:tcPr>
            <w:tcW w:w="1808"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rPr>
            </w:pPr>
          </w:p>
        </w:tc>
        <w:tc>
          <w:tcPr>
            <w:tcW w:w="835" w:type="dxa"/>
            <w:tcBorders>
              <w:top w:val="single" w:color="auto" w:sz="4" w:space="0"/>
              <w:left w:val="single" w:color="auto" w:sz="4" w:space="0"/>
              <w:bottom w:val="single" w:color="auto" w:sz="4" w:space="0"/>
              <w:right w:val="single" w:color="auto" w:sz="4" w:space="0"/>
            </w:tcBorders>
          </w:tcPr>
          <w:p>
            <w:pPr>
              <w:pStyle w:val="18"/>
              <w:snapToGrid w:val="0"/>
              <w:spacing w:beforeLines="0" w:afterLines="0" w:line="360" w:lineRule="auto"/>
              <w:outlineLvl w:val="0"/>
              <w:rPr>
                <w:rFonts w:hAnsi="宋体"/>
              </w:rPr>
            </w:pPr>
          </w:p>
        </w:tc>
      </w:tr>
    </w:tbl>
    <w:p>
      <w:pPr>
        <w:pStyle w:val="12"/>
        <w:spacing w:before="0" w:after="0" w:line="360" w:lineRule="auto"/>
        <w:rPr>
          <w:rFonts w:ascii="宋体" w:eastAsia="宋体"/>
          <w:spacing w:val="20"/>
        </w:rPr>
      </w:pPr>
      <w:r>
        <w:rPr>
          <w:rFonts w:hint="eastAsia" w:ascii="宋体" w:eastAsia="宋体"/>
        </w:rPr>
        <w:t>注：投标人应根据投标设备的性能指标、对照招标文件要求在“偏离情况”栏注明“正偏离”、“负偏离”或“无偏离”。</w:t>
      </w:r>
    </w:p>
    <w:p>
      <w:pPr>
        <w:snapToGrid w:val="0"/>
        <w:spacing w:line="360" w:lineRule="auto"/>
        <w:rPr>
          <w:rFonts w:ascii="宋体" w:hAnsi="宋体"/>
          <w:spacing w:val="20"/>
          <w:sz w:val="24"/>
          <w:szCs w:val="20"/>
          <w:u w:val="single"/>
        </w:rPr>
      </w:pPr>
      <w:r>
        <w:rPr>
          <w:rFonts w:hint="eastAsia" w:ascii="宋体" w:hAnsi="宋体"/>
          <w:spacing w:val="20"/>
          <w:sz w:val="24"/>
        </w:rPr>
        <w:t>授权代表签名：</w:t>
      </w:r>
    </w:p>
    <w:p>
      <w:pPr>
        <w:snapToGrid w:val="0"/>
        <w:spacing w:line="360" w:lineRule="auto"/>
        <w:rPr>
          <w:rFonts w:ascii="宋体" w:hAnsi="宋体"/>
          <w:sz w:val="24"/>
          <w:szCs w:val="20"/>
        </w:rPr>
      </w:pPr>
      <w:r>
        <w:rPr>
          <w:rFonts w:hint="eastAsia" w:ascii="宋体" w:hAnsi="宋体"/>
          <w:spacing w:val="20"/>
          <w:sz w:val="24"/>
        </w:rPr>
        <w:t>投标人盖章：日 期：</w:t>
      </w:r>
    </w:p>
    <w:p>
      <w:pPr>
        <w:snapToGrid w:val="0"/>
        <w:spacing w:line="360" w:lineRule="auto"/>
        <w:jc w:val="left"/>
        <w:rPr>
          <w:rFonts w:ascii="宋体" w:hAnsi="宋体"/>
          <w:sz w:val="24"/>
          <w:szCs w:val="20"/>
        </w:rPr>
      </w:pPr>
    </w:p>
    <w:p>
      <w:pPr>
        <w:pStyle w:val="43"/>
      </w:pPr>
    </w:p>
    <w:p/>
    <w:p>
      <w:pPr>
        <w:pStyle w:val="13"/>
      </w:pPr>
    </w:p>
    <w:p>
      <w:pPr>
        <w:pStyle w:val="42"/>
        <w:rPr>
          <w:color w:val="auto"/>
        </w:rPr>
      </w:pPr>
    </w:p>
    <w:p>
      <w:pPr>
        <w:pStyle w:val="43"/>
      </w:pPr>
    </w:p>
    <w:p/>
    <w:p>
      <w:pPr>
        <w:pStyle w:val="13"/>
      </w:pPr>
    </w:p>
    <w:p>
      <w:pPr>
        <w:pStyle w:val="42"/>
        <w:rPr>
          <w:color w:val="auto"/>
        </w:rPr>
      </w:pPr>
    </w:p>
    <w:p>
      <w:pPr>
        <w:pStyle w:val="13"/>
      </w:pPr>
    </w:p>
    <w:p>
      <w:pPr>
        <w:snapToGrid w:val="0"/>
        <w:spacing w:line="360" w:lineRule="auto"/>
        <w:jc w:val="left"/>
        <w:rPr>
          <w:rFonts w:ascii="宋体" w:hAnsi="宋体"/>
          <w:sz w:val="24"/>
        </w:rPr>
      </w:pPr>
    </w:p>
    <w:p>
      <w:pPr>
        <w:snapToGrid w:val="0"/>
        <w:spacing w:line="360" w:lineRule="auto"/>
        <w:jc w:val="left"/>
        <w:rPr>
          <w:rFonts w:ascii="宋体" w:hAnsi="宋体"/>
          <w:sz w:val="24"/>
          <w:szCs w:val="20"/>
        </w:rPr>
      </w:pPr>
      <w:r>
        <w:rPr>
          <w:rFonts w:hint="eastAsia" w:ascii="宋体" w:hAnsi="宋体"/>
          <w:sz w:val="24"/>
        </w:rPr>
        <w:t>18. 项目实施人员一览表格式：</w:t>
      </w:r>
    </w:p>
    <w:p>
      <w:pPr>
        <w:snapToGrid w:val="0"/>
        <w:spacing w:line="360" w:lineRule="auto"/>
        <w:jc w:val="center"/>
        <w:rPr>
          <w:rFonts w:ascii="宋体" w:hAnsi="宋体"/>
          <w:b/>
          <w:sz w:val="24"/>
          <w:szCs w:val="20"/>
        </w:rPr>
      </w:pPr>
      <w:r>
        <w:rPr>
          <w:rFonts w:hint="eastAsia" w:ascii="宋体" w:hAnsi="宋体"/>
          <w:b/>
          <w:sz w:val="24"/>
        </w:rPr>
        <w:t>项目实施人员（主要从业人员及其技术资格）一览表</w:t>
      </w:r>
    </w:p>
    <w:p>
      <w:pPr>
        <w:snapToGrid w:val="0"/>
        <w:spacing w:line="360" w:lineRule="auto"/>
        <w:rPr>
          <w:rFonts w:ascii="宋体" w:hAnsi="宋体"/>
          <w:sz w:val="24"/>
          <w:szCs w:val="20"/>
        </w:rPr>
      </w:pPr>
      <w:r>
        <w:rPr>
          <w:rFonts w:hint="eastAsia" w:ascii="宋体" w:hAnsi="宋体"/>
        </w:rPr>
        <w:t>项目名称：</w:t>
      </w:r>
    </w:p>
    <w:tbl>
      <w:tblPr>
        <w:tblStyle w:val="33"/>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rPr>
                <w:rFonts w:ascii="宋体" w:hAnsi="宋体"/>
                <w:sz w:val="24"/>
                <w:szCs w:val="20"/>
              </w:rPr>
            </w:pPr>
            <w:r>
              <w:rPr>
                <w:rFonts w:hint="eastAsia" w:ascii="宋体" w:hAnsi="宋体"/>
                <w:sz w:val="24"/>
              </w:rPr>
              <w:t>姓名</w:t>
            </w:r>
          </w:p>
        </w:tc>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rPr>
                <w:rFonts w:ascii="宋体" w:hAnsi="宋体"/>
                <w:sz w:val="24"/>
                <w:szCs w:val="20"/>
              </w:rPr>
            </w:pPr>
            <w:r>
              <w:rPr>
                <w:rFonts w:hint="eastAsia" w:ascii="宋体" w:hAnsi="宋体"/>
                <w:sz w:val="24"/>
              </w:rPr>
              <w:t>职务</w:t>
            </w:r>
          </w:p>
        </w:tc>
        <w:tc>
          <w:tcPr>
            <w:tcW w:w="1663"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sz w:val="24"/>
                <w:szCs w:val="20"/>
              </w:rPr>
            </w:pPr>
            <w:r>
              <w:rPr>
                <w:rFonts w:hint="eastAsia" w:ascii="宋体" w:hAnsi="宋体"/>
                <w:sz w:val="24"/>
              </w:rPr>
              <w:t>专业技术资格</w:t>
            </w:r>
          </w:p>
        </w:tc>
        <w:tc>
          <w:tcPr>
            <w:tcW w:w="1260"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rPr>
                <w:rFonts w:ascii="宋体" w:hAnsi="宋体"/>
                <w:sz w:val="24"/>
                <w:szCs w:val="20"/>
              </w:rPr>
            </w:pPr>
            <w:r>
              <w:rPr>
                <w:rFonts w:hint="eastAsia" w:ascii="宋体" w:hAnsi="宋体"/>
                <w:sz w:val="24"/>
              </w:rPr>
              <w:t>证书编号</w:t>
            </w:r>
          </w:p>
        </w:tc>
        <w:tc>
          <w:tcPr>
            <w:tcW w:w="1620"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rPr>
                <w:rFonts w:ascii="宋体" w:hAnsi="宋体"/>
                <w:bCs/>
                <w:sz w:val="24"/>
                <w:szCs w:val="20"/>
              </w:rPr>
            </w:pPr>
            <w:r>
              <w:rPr>
                <w:rFonts w:hint="eastAsia" w:ascii="宋体" w:hAnsi="宋体"/>
                <w:bCs/>
                <w:sz w:val="24"/>
              </w:rPr>
              <w:t>参加本单位工作时间</w:t>
            </w:r>
          </w:p>
        </w:tc>
        <w:tc>
          <w:tcPr>
            <w:tcW w:w="1980"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rPr>
                <w:rFonts w:ascii="宋体" w:hAnsi="宋体"/>
                <w:bCs/>
                <w:sz w:val="24"/>
                <w:szCs w:val="20"/>
              </w:rPr>
            </w:pPr>
            <w:r>
              <w:rPr>
                <w:rFonts w:hint="eastAsia" w:ascii="宋体" w:hAnsi="宋体"/>
                <w:bCs/>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tcPr>
          <w:p>
            <w:pPr>
              <w:pStyle w:val="19"/>
              <w:snapToGrid w:val="0"/>
              <w:spacing w:line="360" w:lineRule="auto"/>
              <w:ind w:left="5250"/>
              <w:rPr>
                <w:rFonts w:ascii="宋体" w:hAnsi="宋体" w:eastAsia="宋体"/>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62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9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bl>
    <w:p>
      <w:pPr>
        <w:snapToGrid w:val="0"/>
        <w:spacing w:line="360" w:lineRule="auto"/>
        <w:jc w:val="left"/>
        <w:rPr>
          <w:rFonts w:ascii="宋体" w:hAnsi="宋体"/>
          <w:sz w:val="24"/>
          <w:szCs w:val="20"/>
        </w:rPr>
      </w:pPr>
      <w:r>
        <w:rPr>
          <w:rFonts w:hint="eastAsia" w:ascii="宋体" w:hAnsi="宋体"/>
          <w:sz w:val="24"/>
        </w:rPr>
        <w:t>注：在填写时，如本表格不适合投标单位的实际情况，可根据本表格式自行划表填写。</w:t>
      </w:r>
    </w:p>
    <w:p>
      <w:pPr>
        <w:snapToGrid w:val="0"/>
        <w:spacing w:line="360" w:lineRule="auto"/>
        <w:rPr>
          <w:rFonts w:ascii="宋体" w:hAnsi="宋体"/>
          <w:spacing w:val="20"/>
          <w:sz w:val="24"/>
          <w:szCs w:val="20"/>
          <w:u w:val="single"/>
        </w:rPr>
      </w:pPr>
      <w:r>
        <w:rPr>
          <w:rFonts w:hint="eastAsia" w:ascii="宋体" w:hAnsi="宋体"/>
          <w:spacing w:val="20"/>
          <w:sz w:val="24"/>
        </w:rPr>
        <w:t>授权代表签名：</w:t>
      </w:r>
    </w:p>
    <w:p>
      <w:pPr>
        <w:snapToGrid w:val="0"/>
        <w:spacing w:line="360" w:lineRule="auto"/>
        <w:jc w:val="left"/>
        <w:rPr>
          <w:rFonts w:ascii="宋体" w:hAnsi="宋体"/>
          <w:spacing w:val="20"/>
          <w:sz w:val="24"/>
          <w:szCs w:val="20"/>
          <w:u w:val="single"/>
        </w:rPr>
      </w:pPr>
      <w:r>
        <w:rPr>
          <w:rFonts w:hint="eastAsia" w:ascii="宋体" w:hAnsi="宋体"/>
          <w:spacing w:val="20"/>
          <w:sz w:val="24"/>
        </w:rPr>
        <w:t>投标人盖章：日期：</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szCs w:val="20"/>
        </w:rPr>
      </w:pPr>
      <w:r>
        <w:rPr>
          <w:rFonts w:hint="eastAsia" w:ascii="宋体" w:hAnsi="宋体"/>
          <w:sz w:val="24"/>
        </w:rPr>
        <w:t>19.投标人对本项目的合理化建议和改进措施（格式自拟）</w:t>
      </w: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p>
    <w:p>
      <w:pPr>
        <w:rPr>
          <w:rFonts w:ascii="宋体" w:hAnsi="宋体"/>
          <w:sz w:val="24"/>
          <w:szCs w:val="20"/>
        </w:rPr>
      </w:pPr>
    </w:p>
    <w:p>
      <w:pPr>
        <w:snapToGrid w:val="0"/>
        <w:spacing w:line="360" w:lineRule="auto"/>
        <w:jc w:val="left"/>
        <w:rPr>
          <w:rFonts w:ascii="宋体" w:hAnsi="宋体"/>
          <w:sz w:val="24"/>
          <w:szCs w:val="20"/>
        </w:rPr>
      </w:pPr>
      <w:r>
        <w:rPr>
          <w:rFonts w:hint="eastAsia" w:ascii="宋体" w:hAnsi="宋体"/>
          <w:sz w:val="24"/>
        </w:rPr>
        <w:t>20.投标人需要说明的其他文件和说明（格式自拟）</w:t>
      </w:r>
    </w:p>
    <w:p>
      <w:pPr>
        <w:snapToGrid w:val="0"/>
        <w:spacing w:line="360" w:lineRule="auto"/>
        <w:jc w:val="left"/>
        <w:rPr>
          <w:rFonts w:ascii="宋体" w:hAnsi="宋体"/>
        </w:rPr>
        <w:sectPr>
          <w:headerReference r:id="rId3" w:type="default"/>
          <w:footerReference r:id="rId4" w:type="default"/>
          <w:footerReference r:id="rId5" w:type="even"/>
          <w:pgSz w:w="11906" w:h="16838"/>
          <w:pgMar w:top="1361" w:right="1247" w:bottom="1361" w:left="1247" w:header="851" w:footer="851" w:gutter="0"/>
          <w:cols w:space="720" w:num="1"/>
          <w:docGrid w:linePitch="312" w:charSpace="0"/>
        </w:sectPr>
      </w:pPr>
    </w:p>
    <w:p>
      <w:pPr>
        <w:snapToGrid w:val="0"/>
        <w:spacing w:line="360" w:lineRule="auto"/>
        <w:jc w:val="left"/>
        <w:rPr>
          <w:rFonts w:ascii="宋体" w:hAnsi="宋体"/>
          <w:sz w:val="24"/>
        </w:rPr>
      </w:pPr>
      <w:r>
        <w:rPr>
          <w:rFonts w:hint="eastAsia" w:ascii="宋体" w:hAnsi="宋体"/>
          <w:sz w:val="24"/>
        </w:rPr>
        <w:t>21.投标人的类似成功案例的业绩证明文件：</w:t>
      </w:r>
    </w:p>
    <w:p>
      <w:pPr>
        <w:pStyle w:val="25"/>
        <w:snapToGrid w:val="0"/>
        <w:spacing w:line="360" w:lineRule="auto"/>
        <w:ind w:left="480" w:hanging="480"/>
        <w:rPr>
          <w:rFonts w:ascii="宋体" w:hAnsi="宋体"/>
          <w:sz w:val="24"/>
        </w:rPr>
      </w:pPr>
      <w:r>
        <w:rPr>
          <w:rFonts w:ascii="宋体" w:hAnsi="宋体"/>
          <w:sz w:val="24"/>
        </w:rPr>
        <w:t>投标人同类项目实施情况一览表格式：（投标人同类项目合同复印件）</w:t>
      </w:r>
    </w:p>
    <w:tbl>
      <w:tblPr>
        <w:tblStyle w:val="33"/>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800"/>
        <w:gridCol w:w="180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采购</w:t>
            </w:r>
          </w:p>
          <w:p>
            <w:pPr>
              <w:snapToGrid w:val="0"/>
              <w:spacing w:line="360" w:lineRule="auto"/>
              <w:jc w:val="center"/>
              <w:rPr>
                <w:rFonts w:ascii="宋体" w:hAnsi="宋体"/>
                <w:sz w:val="18"/>
                <w:szCs w:val="20"/>
              </w:rPr>
            </w:pPr>
            <w:r>
              <w:rPr>
                <w:rFonts w:hint="eastAsia" w:ascii="宋体" w:hAnsi="宋体"/>
                <w:sz w:val="18"/>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单价</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合同</w:t>
            </w:r>
          </w:p>
          <w:p>
            <w:pPr>
              <w:snapToGrid w:val="0"/>
              <w:spacing w:line="360" w:lineRule="auto"/>
              <w:jc w:val="center"/>
              <w:rPr>
                <w:rFonts w:ascii="宋体" w:hAnsi="宋体"/>
                <w:sz w:val="18"/>
                <w:szCs w:val="20"/>
              </w:rPr>
            </w:pPr>
            <w:r>
              <w:rPr>
                <w:rFonts w:hint="eastAsia" w:ascii="宋体" w:hAnsi="宋体"/>
                <w:sz w:val="18"/>
              </w:rPr>
              <w:t>金额</w:t>
            </w:r>
          </w:p>
          <w:p>
            <w:pPr>
              <w:snapToGrid w:val="0"/>
              <w:spacing w:line="360" w:lineRule="auto"/>
              <w:jc w:val="center"/>
              <w:rPr>
                <w:rFonts w:ascii="宋体" w:hAnsi="宋体"/>
                <w:sz w:val="18"/>
                <w:szCs w:val="20"/>
              </w:rPr>
            </w:pPr>
            <w:r>
              <w:rPr>
                <w:rFonts w:hint="eastAsia" w:ascii="宋体" w:hAnsi="宋体"/>
                <w:sz w:val="18"/>
              </w:rPr>
              <w:t>（万元）</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采购单位联系人及</w:t>
            </w:r>
          </w:p>
          <w:p>
            <w:pPr>
              <w:snapToGrid w:val="0"/>
              <w:spacing w:line="360" w:lineRule="auto"/>
              <w:jc w:val="center"/>
              <w:rPr>
                <w:rFonts w:ascii="宋体" w:hAnsi="宋体"/>
                <w:sz w:val="18"/>
                <w:szCs w:val="20"/>
              </w:rPr>
            </w:pPr>
            <w:r>
              <w:rPr>
                <w:rFonts w:hint="eastAsia" w:ascii="宋体" w:hAnsi="宋体"/>
                <w:sz w:val="18"/>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18"/>
                <w:szCs w:val="20"/>
              </w:rPr>
            </w:pPr>
            <w:r>
              <w:rPr>
                <w:rFonts w:hint="eastAsia" w:ascii="宋体" w:hAnsi="宋体"/>
                <w:sz w:val="18"/>
              </w:rPr>
              <w:t>合同</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bl>
    <w:p>
      <w:pPr>
        <w:pStyle w:val="9"/>
        <w:snapToGrid w:val="0"/>
        <w:spacing w:before="0" w:after="0" w:line="360" w:lineRule="auto"/>
        <w:rPr>
          <w:rFonts w:ascii="宋体" w:hAnsi="宋体" w:eastAsia="宋体"/>
          <w:sz w:val="24"/>
        </w:rPr>
      </w:pPr>
    </w:p>
    <w:p>
      <w:pPr>
        <w:pStyle w:val="9"/>
        <w:snapToGrid w:val="0"/>
        <w:spacing w:before="0" w:after="0" w:line="360" w:lineRule="auto"/>
        <w:rPr>
          <w:rFonts w:ascii="宋体" w:hAnsi="宋体" w:eastAsia="宋体"/>
          <w:sz w:val="24"/>
          <w:u w:val="single"/>
        </w:rPr>
      </w:pPr>
      <w:r>
        <w:rPr>
          <w:rFonts w:hint="eastAsia" w:ascii="宋体" w:hAnsi="宋体" w:eastAsia="宋体"/>
          <w:sz w:val="24"/>
        </w:rPr>
        <w:t>法定代表人签字：</w:t>
      </w:r>
      <w:r>
        <w:rPr>
          <w:rFonts w:hint="eastAsia" w:ascii="宋体" w:hAnsi="宋体" w:eastAsia="宋体"/>
          <w:sz w:val="24"/>
          <w:u w:val="single"/>
        </w:rPr>
        <w:t>　　　　　</w:t>
      </w:r>
    </w:p>
    <w:p>
      <w:pPr>
        <w:snapToGrid w:val="0"/>
        <w:spacing w:line="360" w:lineRule="auto"/>
        <w:ind w:firstLine="480" w:firstLineChars="200"/>
        <w:jc w:val="left"/>
        <w:rPr>
          <w:rFonts w:ascii="宋体" w:hAnsi="宋体"/>
          <w:sz w:val="24"/>
        </w:rPr>
      </w:pPr>
      <w:r>
        <w:rPr>
          <w:rFonts w:hint="eastAsia" w:ascii="宋体" w:hAnsi="宋体"/>
          <w:sz w:val="24"/>
        </w:rPr>
        <w:t>投标人公章：年月日</w:t>
      </w:r>
    </w:p>
    <w:p>
      <w:pPr>
        <w:snapToGrid w:val="0"/>
        <w:spacing w:line="360" w:lineRule="auto"/>
        <w:ind w:firstLine="480" w:firstLineChars="200"/>
        <w:jc w:val="left"/>
        <w:rPr>
          <w:rFonts w:ascii="仿宋_GB2312" w:eastAsia="仿宋_GB2312"/>
          <w:sz w:val="24"/>
        </w:rPr>
      </w:pPr>
    </w:p>
    <w:p>
      <w:pPr>
        <w:snapToGrid w:val="0"/>
        <w:spacing w:line="360" w:lineRule="auto"/>
        <w:jc w:val="left"/>
        <w:rPr>
          <w:rFonts w:ascii="宋体" w:hAnsi="宋体"/>
          <w:sz w:val="24"/>
        </w:rPr>
        <w:sectPr>
          <w:pgSz w:w="16838" w:h="11906" w:orient="landscape"/>
          <w:pgMar w:top="1797" w:right="1474" w:bottom="1797" w:left="1247" w:header="851" w:footer="851" w:gutter="0"/>
          <w:cols w:space="720" w:num="1"/>
          <w:docGrid w:linePitch="312" w:charSpace="0"/>
        </w:sectPr>
      </w:pPr>
    </w:p>
    <w:p>
      <w:pPr>
        <w:snapToGrid w:val="0"/>
        <w:spacing w:line="360" w:lineRule="auto"/>
        <w:ind w:firstLine="480" w:firstLineChars="200"/>
        <w:jc w:val="left"/>
        <w:rPr>
          <w:rFonts w:ascii="宋体" w:hAnsi="宋体"/>
          <w:i/>
          <w:sz w:val="24"/>
        </w:rPr>
      </w:pPr>
      <w:r>
        <w:rPr>
          <w:rFonts w:hint="eastAsia" w:ascii="宋体" w:hAnsi="宋体"/>
          <w:sz w:val="24"/>
        </w:rPr>
        <w:t>22.距采购人最近或者能为本项目提供最优服务的网点情况表</w:t>
      </w:r>
    </w:p>
    <w:tbl>
      <w:tblPr>
        <w:tblStyle w:val="33"/>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1622"/>
        <w:gridCol w:w="191"/>
        <w:gridCol w:w="1439"/>
        <w:gridCol w:w="888"/>
        <w:gridCol w:w="1435"/>
        <w:gridCol w:w="12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服务网点名称</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vMerge w:val="restart"/>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投标文件</w:t>
            </w:r>
          </w:p>
          <w:p>
            <w:pPr>
              <w:snapToGrid w:val="0"/>
              <w:spacing w:line="360" w:lineRule="auto"/>
              <w:jc w:val="center"/>
              <w:rPr>
                <w:rFonts w:ascii="宋体" w:hAnsi="宋体"/>
                <w:sz w:val="24"/>
                <w:szCs w:val="20"/>
              </w:rPr>
            </w:pPr>
            <w:r>
              <w:rPr>
                <w:rFonts w:hint="eastAsia" w:ascii="宋体" w:hAnsi="宋体"/>
                <w:sz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地址</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注册资本金</w:t>
            </w:r>
          </w:p>
        </w:tc>
        <w:tc>
          <w:tcPr>
            <w:tcW w:w="1622"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518" w:type="dxa"/>
            <w:gridSpan w:val="3"/>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其中：投标人出资比例</w:t>
            </w:r>
          </w:p>
        </w:tc>
        <w:tc>
          <w:tcPr>
            <w:tcW w:w="143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员工总人数</w:t>
            </w:r>
          </w:p>
        </w:tc>
        <w:tc>
          <w:tcPr>
            <w:tcW w:w="1622"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2518" w:type="dxa"/>
            <w:gridSpan w:val="3"/>
            <w:tcBorders>
              <w:top w:val="single" w:color="auto" w:sz="4" w:space="0"/>
              <w:left w:val="single" w:color="auto" w:sz="4" w:space="0"/>
              <w:bottom w:val="single" w:color="auto" w:sz="4" w:space="0"/>
              <w:right w:val="single" w:color="auto" w:sz="4" w:space="0"/>
            </w:tcBorders>
          </w:tcPr>
          <w:p>
            <w:pPr>
              <w:snapToGrid w:val="0"/>
              <w:spacing w:line="360" w:lineRule="auto"/>
              <w:ind w:left="60"/>
              <w:jc w:val="left"/>
              <w:rPr>
                <w:rFonts w:ascii="宋体" w:hAnsi="宋体"/>
                <w:sz w:val="24"/>
                <w:szCs w:val="20"/>
              </w:rPr>
            </w:pPr>
            <w:r>
              <w:rPr>
                <w:rFonts w:hint="eastAsia" w:ascii="宋体" w:hAnsi="宋体"/>
                <w:sz w:val="24"/>
              </w:rPr>
              <w:t>其中：技术人员数</w:t>
            </w:r>
          </w:p>
        </w:tc>
        <w:tc>
          <w:tcPr>
            <w:tcW w:w="143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经营期限</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售后服务协议</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售后服务内容</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工作业绩</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服务承诺</w:t>
            </w:r>
          </w:p>
        </w:tc>
        <w:tc>
          <w:tcPr>
            <w:tcW w:w="5575" w:type="dxa"/>
            <w:gridSpan w:val="5"/>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业务咨询电话</w:t>
            </w:r>
          </w:p>
        </w:tc>
        <w:tc>
          <w:tcPr>
            <w:tcW w:w="1813" w:type="dxa"/>
            <w:gridSpan w:val="2"/>
            <w:tcBorders>
              <w:top w:val="single" w:color="auto" w:sz="4" w:space="0"/>
              <w:left w:val="single" w:color="auto" w:sz="4" w:space="0"/>
              <w:bottom w:val="single" w:color="auto" w:sz="4" w:space="0"/>
              <w:right w:val="single" w:color="auto" w:sz="2" w:space="0"/>
            </w:tcBorders>
          </w:tcPr>
          <w:p>
            <w:pPr>
              <w:snapToGrid w:val="0"/>
              <w:spacing w:line="360" w:lineRule="auto"/>
              <w:jc w:val="left"/>
              <w:rPr>
                <w:rFonts w:ascii="宋体" w:hAnsi="宋体"/>
                <w:sz w:val="24"/>
                <w:szCs w:val="20"/>
              </w:rPr>
            </w:pPr>
          </w:p>
        </w:tc>
        <w:tc>
          <w:tcPr>
            <w:tcW w:w="1439" w:type="dxa"/>
            <w:tcBorders>
              <w:top w:val="single" w:color="auto" w:sz="4" w:space="0"/>
              <w:left w:val="single" w:color="auto" w:sz="2" w:space="0"/>
              <w:bottom w:val="single" w:color="auto" w:sz="4" w:space="0"/>
              <w:right w:val="single" w:color="auto" w:sz="2" w:space="0"/>
            </w:tcBorders>
          </w:tcPr>
          <w:p>
            <w:pPr>
              <w:snapToGrid w:val="0"/>
              <w:spacing w:line="360" w:lineRule="auto"/>
              <w:ind w:firstLine="240" w:firstLineChars="100"/>
              <w:jc w:val="left"/>
              <w:rPr>
                <w:rFonts w:ascii="宋体" w:hAnsi="宋体"/>
                <w:sz w:val="24"/>
                <w:szCs w:val="20"/>
              </w:rPr>
            </w:pPr>
            <w:r>
              <w:rPr>
                <w:rFonts w:hint="eastAsia" w:ascii="宋体" w:hAnsi="宋体"/>
                <w:sz w:val="24"/>
              </w:rPr>
              <w:t>传</w:t>
            </w:r>
            <w:r>
              <w:rPr>
                <w:rFonts w:ascii="宋体" w:hAnsi="宋体"/>
                <w:sz w:val="24"/>
              </w:rPr>
              <w:t xml:space="preserve"> 真</w:t>
            </w:r>
          </w:p>
        </w:tc>
        <w:tc>
          <w:tcPr>
            <w:tcW w:w="2323" w:type="dxa"/>
            <w:gridSpan w:val="2"/>
            <w:tcBorders>
              <w:top w:val="single" w:color="auto" w:sz="4" w:space="0"/>
              <w:left w:val="single" w:color="auto" w:sz="2" w:space="0"/>
              <w:bottom w:val="single" w:color="auto" w:sz="4" w:space="0"/>
              <w:right w:val="single" w:color="auto" w:sz="2"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2" w:space="0"/>
              <w:bottom w:val="single" w:color="auto" w:sz="4" w:space="0"/>
              <w:right w:val="single" w:color="auto" w:sz="4" w:space="0"/>
            </w:tcBorders>
          </w:tcPr>
          <w:p>
            <w:pPr>
              <w:snapToGrid w:val="0"/>
              <w:spacing w:line="360" w:lineRule="auto"/>
              <w:jc w:val="lef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6"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r>
              <w:rPr>
                <w:rFonts w:hint="eastAsia" w:ascii="宋体" w:hAnsi="宋体"/>
                <w:sz w:val="24"/>
              </w:rPr>
              <w:t>负责人</w:t>
            </w:r>
          </w:p>
        </w:tc>
        <w:tc>
          <w:tcPr>
            <w:tcW w:w="1813" w:type="dxa"/>
            <w:gridSpan w:val="2"/>
            <w:tcBorders>
              <w:top w:val="single" w:color="auto" w:sz="4" w:space="0"/>
              <w:left w:val="single" w:color="auto" w:sz="4" w:space="0"/>
              <w:bottom w:val="single" w:color="auto" w:sz="4" w:space="0"/>
              <w:right w:val="single" w:color="auto" w:sz="2" w:space="0"/>
            </w:tcBorders>
          </w:tcPr>
          <w:p>
            <w:pPr>
              <w:snapToGrid w:val="0"/>
              <w:spacing w:line="360" w:lineRule="auto"/>
              <w:jc w:val="left"/>
              <w:rPr>
                <w:rFonts w:ascii="宋体" w:hAnsi="宋体"/>
                <w:sz w:val="24"/>
                <w:szCs w:val="20"/>
              </w:rPr>
            </w:pPr>
          </w:p>
        </w:tc>
        <w:tc>
          <w:tcPr>
            <w:tcW w:w="1439" w:type="dxa"/>
            <w:tcBorders>
              <w:top w:val="single" w:color="auto" w:sz="4" w:space="0"/>
              <w:left w:val="single" w:color="auto" w:sz="2" w:space="0"/>
              <w:bottom w:val="single" w:color="auto" w:sz="4" w:space="0"/>
              <w:right w:val="single" w:color="auto" w:sz="2" w:space="0"/>
            </w:tcBorders>
          </w:tcPr>
          <w:p>
            <w:pPr>
              <w:snapToGrid w:val="0"/>
              <w:spacing w:line="360" w:lineRule="auto"/>
              <w:jc w:val="left"/>
              <w:rPr>
                <w:rFonts w:ascii="宋体" w:hAnsi="宋体"/>
                <w:sz w:val="24"/>
                <w:szCs w:val="20"/>
              </w:rPr>
            </w:pPr>
            <w:r>
              <w:rPr>
                <w:rFonts w:hint="eastAsia" w:ascii="宋体" w:hAnsi="宋体"/>
                <w:sz w:val="24"/>
              </w:rPr>
              <w:t>联系电话</w:t>
            </w:r>
          </w:p>
        </w:tc>
        <w:tc>
          <w:tcPr>
            <w:tcW w:w="2323" w:type="dxa"/>
            <w:gridSpan w:val="2"/>
            <w:tcBorders>
              <w:top w:val="single" w:color="auto" w:sz="4" w:space="0"/>
              <w:left w:val="single" w:color="auto" w:sz="2" w:space="0"/>
              <w:bottom w:val="single" w:color="auto" w:sz="4" w:space="0"/>
              <w:right w:val="single" w:color="auto" w:sz="4" w:space="0"/>
            </w:tcBorders>
          </w:tcPr>
          <w:p>
            <w:pPr>
              <w:snapToGrid w:val="0"/>
              <w:spacing w:line="360" w:lineRule="auto"/>
              <w:jc w:val="left"/>
              <w:rPr>
                <w:rFonts w:ascii="宋体" w:hAnsi="宋体"/>
                <w:sz w:val="24"/>
                <w:szCs w:val="20"/>
              </w:rPr>
            </w:pPr>
          </w:p>
        </w:tc>
        <w:tc>
          <w:tcPr>
            <w:tcW w:w="122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sz w:val="24"/>
                <w:szCs w:val="20"/>
              </w:rPr>
            </w:pPr>
          </w:p>
        </w:tc>
      </w:tr>
    </w:tbl>
    <w:p>
      <w:pPr>
        <w:pStyle w:val="9"/>
        <w:snapToGrid w:val="0"/>
        <w:spacing w:before="0" w:after="0" w:line="360" w:lineRule="auto"/>
        <w:rPr>
          <w:rFonts w:ascii="宋体" w:hAnsi="宋体" w:eastAsia="宋体"/>
          <w:sz w:val="24"/>
          <w:u w:val="single"/>
        </w:rPr>
      </w:pPr>
      <w:r>
        <w:rPr>
          <w:rFonts w:hint="eastAsia" w:ascii="宋体" w:hAnsi="宋体" w:eastAsia="宋体"/>
          <w:sz w:val="24"/>
        </w:rPr>
        <w:t>授权代表签字：</w:t>
      </w:r>
      <w:r>
        <w:rPr>
          <w:rFonts w:hint="eastAsia" w:ascii="宋体" w:hAnsi="宋体" w:eastAsia="宋体"/>
          <w:sz w:val="24"/>
          <w:u w:val="single"/>
        </w:rPr>
        <w:t>　　　　　</w:t>
      </w:r>
    </w:p>
    <w:p>
      <w:pPr>
        <w:pStyle w:val="13"/>
        <w:snapToGrid w:val="0"/>
        <w:spacing w:after="0" w:line="360" w:lineRule="auto"/>
        <w:rPr>
          <w:rFonts w:ascii="宋体" w:hAnsi="宋体"/>
          <w:sz w:val="24"/>
        </w:rPr>
      </w:pPr>
      <w:r>
        <w:rPr>
          <w:rFonts w:hint="eastAsia" w:ascii="宋体" w:hAnsi="宋体"/>
          <w:sz w:val="24"/>
        </w:rPr>
        <w:t>投标人公章：　 年月　 日</w:t>
      </w:r>
    </w:p>
    <w:p>
      <w:pPr>
        <w:snapToGrid w:val="0"/>
        <w:spacing w:line="360" w:lineRule="auto"/>
        <w:ind w:firstLine="480" w:firstLineChars="200"/>
        <w:jc w:val="left"/>
        <w:rPr>
          <w:rFonts w:ascii="宋体" w:hAnsi="宋体"/>
          <w:sz w:val="24"/>
          <w:szCs w:val="20"/>
        </w:rPr>
      </w:pPr>
    </w:p>
    <w:p>
      <w:pPr>
        <w:snapToGrid w:val="0"/>
        <w:spacing w:line="360" w:lineRule="auto"/>
        <w:jc w:val="left"/>
        <w:rPr>
          <w:rFonts w:ascii="宋体" w:hAnsi="宋体"/>
          <w:sz w:val="24"/>
        </w:rPr>
      </w:pPr>
    </w:p>
    <w:p>
      <w:pPr>
        <w:snapToGrid w:val="0"/>
        <w:spacing w:line="360" w:lineRule="auto"/>
        <w:jc w:val="left"/>
        <w:rPr>
          <w:rFonts w:ascii="宋体" w:hAnsi="宋体"/>
          <w:sz w:val="24"/>
        </w:rPr>
      </w:pPr>
      <w:r>
        <w:rPr>
          <w:rFonts w:hint="eastAsia" w:ascii="宋体" w:hAnsi="宋体"/>
          <w:sz w:val="24"/>
        </w:rPr>
        <w:t>23.</w:t>
      </w:r>
      <w:r>
        <w:rPr>
          <w:rFonts w:ascii="宋体" w:hAnsi="宋体"/>
          <w:sz w:val="24"/>
        </w:rPr>
        <w:t>权威认证证书</w:t>
      </w:r>
      <w:r>
        <w:rPr>
          <w:rFonts w:hint="eastAsia" w:ascii="宋体" w:hAnsi="宋体"/>
          <w:sz w:val="24"/>
        </w:rPr>
        <w:t>复印件</w:t>
      </w:r>
    </w:p>
    <w:p>
      <w:pPr>
        <w:snapToGrid w:val="0"/>
        <w:spacing w:line="360" w:lineRule="auto"/>
        <w:jc w:val="left"/>
        <w:rPr>
          <w:rFonts w:ascii="宋体" w:hAnsi="宋体"/>
          <w:sz w:val="24"/>
        </w:rPr>
      </w:pPr>
    </w:p>
    <w:p>
      <w:pPr>
        <w:pStyle w:val="13"/>
      </w:pPr>
    </w:p>
    <w:p>
      <w:pPr>
        <w:pStyle w:val="13"/>
      </w:pPr>
    </w:p>
    <w:p>
      <w:pPr>
        <w:pStyle w:val="42"/>
        <w:rPr>
          <w:color w:val="auto"/>
        </w:rPr>
      </w:pPr>
    </w:p>
    <w:p>
      <w:pPr>
        <w:snapToGrid w:val="0"/>
        <w:spacing w:line="360" w:lineRule="auto"/>
        <w:jc w:val="left"/>
        <w:rPr>
          <w:rFonts w:ascii="宋体" w:hAnsi="宋体"/>
          <w:sz w:val="24"/>
        </w:rPr>
      </w:pPr>
      <w:r>
        <w:rPr>
          <w:rFonts w:hint="eastAsia" w:ascii="宋体" w:hAnsi="宋体"/>
          <w:sz w:val="24"/>
        </w:rPr>
        <w:t>24.投标人认为可以证明其能力或业绩的其他材料（格式自拟）</w:t>
      </w:r>
    </w:p>
    <w:p>
      <w:pPr>
        <w:pStyle w:val="13"/>
      </w:pPr>
    </w:p>
    <w:p>
      <w:pPr>
        <w:pStyle w:val="42"/>
        <w:rPr>
          <w:color w:val="auto"/>
        </w:rPr>
      </w:pPr>
    </w:p>
    <w:p>
      <w:pPr>
        <w:pStyle w:val="42"/>
        <w:rPr>
          <w:color w:val="auto"/>
        </w:rPr>
      </w:pPr>
    </w:p>
    <w:p>
      <w:pPr>
        <w:pStyle w:val="43"/>
      </w:pPr>
    </w:p>
    <w:p/>
    <w:p>
      <w:pPr>
        <w:snapToGrid w:val="0"/>
        <w:spacing w:line="360" w:lineRule="auto"/>
        <w:jc w:val="left"/>
        <w:rPr>
          <w:sz w:val="24"/>
        </w:rPr>
      </w:pPr>
      <w:r>
        <w:rPr>
          <w:rFonts w:hint="eastAsia" w:ascii="宋体" w:hAnsi="宋体"/>
          <w:sz w:val="24"/>
        </w:rPr>
        <w:t>25.投标人情况介绍</w:t>
      </w:r>
    </w:p>
    <w:p>
      <w:pPr>
        <w:pStyle w:val="13"/>
      </w:pPr>
    </w:p>
    <w:p/>
    <w:p>
      <w:pPr>
        <w:pStyle w:val="13"/>
      </w:pPr>
    </w:p>
    <w:p>
      <w:pPr>
        <w:pStyle w:val="42"/>
        <w:rPr>
          <w:color w:val="auto"/>
        </w:rPr>
      </w:pPr>
    </w:p>
    <w:p>
      <w:pPr>
        <w:pStyle w:val="13"/>
      </w:pPr>
    </w:p>
    <w:p>
      <w:pPr>
        <w:snapToGrid w:val="0"/>
        <w:spacing w:line="360" w:lineRule="auto"/>
        <w:jc w:val="left"/>
        <w:rPr>
          <w:rFonts w:ascii="宋体" w:hAnsi="宋体"/>
          <w:sz w:val="24"/>
          <w:szCs w:val="20"/>
        </w:rPr>
      </w:pPr>
      <w:r>
        <w:rPr>
          <w:rFonts w:hint="eastAsia" w:ascii="宋体" w:hAnsi="宋体"/>
          <w:sz w:val="24"/>
        </w:rPr>
        <w:t>26.商务响应表格式：</w:t>
      </w:r>
    </w:p>
    <w:p>
      <w:pPr>
        <w:snapToGrid w:val="0"/>
        <w:spacing w:line="360" w:lineRule="auto"/>
        <w:jc w:val="left"/>
        <w:rPr>
          <w:rFonts w:ascii="宋体" w:hAnsi="宋体"/>
          <w:sz w:val="24"/>
          <w:szCs w:val="20"/>
          <w:u w:val="single"/>
        </w:rPr>
      </w:pPr>
      <w:r>
        <w:rPr>
          <w:rFonts w:hint="eastAsia" w:ascii="宋体" w:hAnsi="宋体"/>
          <w:sz w:val="24"/>
        </w:rPr>
        <w:t>项目名称：</w:t>
      </w:r>
    </w:p>
    <w:tbl>
      <w:tblPr>
        <w:tblStyle w:val="33"/>
        <w:tblW w:w="100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35"/>
        <w:gridCol w:w="5386"/>
        <w:gridCol w:w="992"/>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23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r>
              <w:rPr>
                <w:rFonts w:hint="eastAsia" w:ascii="宋体" w:hAnsi="宋体"/>
                <w:sz w:val="24"/>
              </w:rPr>
              <w:t>项目</w:t>
            </w:r>
          </w:p>
        </w:tc>
        <w:tc>
          <w:tcPr>
            <w:tcW w:w="538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r>
              <w:rPr>
                <w:rFonts w:hint="eastAsia" w:ascii="宋体" w:hAnsi="宋体"/>
                <w:sz w:val="24"/>
              </w:rPr>
              <w:t>招标文件要求</w:t>
            </w:r>
          </w:p>
        </w:tc>
        <w:tc>
          <w:tcPr>
            <w:tcW w:w="99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r>
              <w:rPr>
                <w:rFonts w:hint="eastAsia" w:ascii="宋体" w:hAnsi="宋体"/>
                <w:sz w:val="24"/>
              </w:rPr>
              <w:t>是否响应</w:t>
            </w: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23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sz w:val="24"/>
              </w:rPr>
            </w:pPr>
            <w:r>
              <w:rPr>
                <w:rFonts w:hint="eastAsia" w:ascii="宋体" w:hAnsi="宋体" w:cs="宋体"/>
                <w:b/>
                <w:bCs/>
                <w:kern w:val="0"/>
                <w:sz w:val="24"/>
              </w:rPr>
              <w:t>质保期</w:t>
            </w:r>
          </w:p>
        </w:tc>
        <w:tc>
          <w:tcPr>
            <w:tcW w:w="5386" w:type="dxa"/>
            <w:tcBorders>
              <w:top w:val="single" w:color="auto" w:sz="4" w:space="0"/>
              <w:left w:val="single" w:color="auto" w:sz="4" w:space="0"/>
              <w:bottom w:val="single" w:color="auto" w:sz="4" w:space="0"/>
              <w:right w:val="single" w:color="auto" w:sz="4" w:space="0"/>
            </w:tcBorders>
          </w:tcPr>
          <w:p>
            <w:pPr>
              <w:widowControl/>
              <w:jc w:val="left"/>
            </w:pPr>
            <w:r>
              <w:rPr>
                <w:rFonts w:hint="eastAsia" w:ascii="宋体" w:hAnsi="宋体"/>
                <w:b/>
                <w:sz w:val="24"/>
              </w:rPr>
              <w:t>▲</w:t>
            </w:r>
            <w:r>
              <w:rPr>
                <w:rFonts w:hint="eastAsia" w:ascii="宋体" w:hAnsi="宋体" w:cs="宋体"/>
                <w:kern w:val="0"/>
                <w:sz w:val="24"/>
              </w:rPr>
              <w:t xml:space="preserve">质保期为产品验收合格起不少于 3 年。 </w:t>
            </w:r>
          </w:p>
          <w:p>
            <w:pPr>
              <w:widowControl/>
              <w:jc w:val="left"/>
            </w:pPr>
            <w:r>
              <w:rPr>
                <w:rFonts w:hint="eastAsia" w:ascii="宋体" w:hAnsi="宋体" w:cs="宋体"/>
                <w:kern w:val="0"/>
                <w:sz w:val="24"/>
              </w:rPr>
              <w:t xml:space="preserve">在正常使用情况下，非人为因素是指没有超出招标文件和国家规定的技术指标的行为。 </w:t>
            </w:r>
          </w:p>
          <w:p>
            <w:pPr>
              <w:widowControl/>
              <w:jc w:val="left"/>
            </w:pPr>
            <w:r>
              <w:rPr>
                <w:rFonts w:hint="eastAsia" w:ascii="宋体" w:hAnsi="宋体" w:cs="宋体"/>
                <w:kern w:val="0"/>
                <w:sz w:val="24"/>
              </w:rPr>
              <w:t xml:space="preserve">质保期内，除不可抗力因素，因货物制造质量不良或非人为因素而产生损坏或不能正常使用，卖方应免费提供更换和维修，并承担业主的经济损失，对更换的货物其质保期重新计算。 </w:t>
            </w:r>
          </w:p>
          <w:p>
            <w:pPr>
              <w:widowControl/>
              <w:jc w:val="left"/>
              <w:rPr>
                <w:rFonts w:ascii="宋体" w:hAnsi="宋体"/>
                <w:sz w:val="24"/>
              </w:rPr>
            </w:pPr>
            <w:r>
              <w:rPr>
                <w:rFonts w:hint="eastAsia" w:ascii="宋体" w:hAnsi="宋体" w:cs="宋体"/>
                <w:kern w:val="0"/>
                <w:sz w:val="24"/>
              </w:rPr>
              <w:t>质保期内，供货商须自行付费，负责修理和替换任何由于货物自身的质量问题造成的损坏及故障。</w:t>
            </w:r>
          </w:p>
        </w:tc>
        <w:tc>
          <w:tcPr>
            <w:tcW w:w="99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2235"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sz w:val="24"/>
              </w:rPr>
            </w:pPr>
            <w:r>
              <w:rPr>
                <w:rFonts w:hint="eastAsia" w:ascii="宋体" w:hAnsi="宋体"/>
                <w:sz w:val="24"/>
              </w:rPr>
              <w:t>售后技术服务要求</w:t>
            </w:r>
          </w:p>
        </w:tc>
        <w:tc>
          <w:tcPr>
            <w:tcW w:w="5386"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223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交货期和地点</w:t>
            </w:r>
          </w:p>
        </w:tc>
        <w:tc>
          <w:tcPr>
            <w:tcW w:w="538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交货期：合同签订后1、分二批供货。第一次：2022年8月20日之前提供不少于各校总数量50%的货物，并完成安装调试及验收；第二次：2022年10月20日之前提供剩余数量的供货并完成安装调试及验收（具体时间以合同为准）。</w:t>
            </w:r>
          </w:p>
          <w:p>
            <w:pPr>
              <w:widowControl/>
              <w:jc w:val="left"/>
              <w:rPr>
                <w:rFonts w:ascii="宋体" w:hAnsi="宋体" w:cs="宋体"/>
                <w:kern w:val="0"/>
                <w:sz w:val="24"/>
              </w:rPr>
            </w:pPr>
            <w:r>
              <w:rPr>
                <w:rFonts w:hint="eastAsia" w:ascii="宋体" w:hAnsi="宋体" w:cs="宋体"/>
                <w:kern w:val="0"/>
                <w:sz w:val="24"/>
              </w:rPr>
              <w:t>注：1、供应商需提供仓库用于课桌椅所需设备通风换气，设备需拆除包装分散摆放。二次搬运至学校的费用由供应商承担。</w:t>
            </w:r>
          </w:p>
          <w:p>
            <w:pPr>
              <w:widowControl/>
              <w:jc w:val="left"/>
              <w:rPr>
                <w:rFonts w:ascii="宋体" w:hAnsi="宋体" w:cs="宋体"/>
                <w:kern w:val="0"/>
                <w:sz w:val="24"/>
              </w:rPr>
            </w:pPr>
            <w:r>
              <w:rPr>
                <w:rFonts w:hint="eastAsia" w:ascii="宋体" w:hAnsi="宋体" w:cs="宋体"/>
                <w:kern w:val="0"/>
                <w:sz w:val="24"/>
              </w:rPr>
              <w:t>2、标项均分两次验收，第一次供货完成，学校进行验收，区教育局组织相关人员随机抽取5所学校进行综合验收；第二次供货完成，学校进行验收，区教育局组织相关人员随机抽取5所学校进行综合验收。</w:t>
            </w:r>
          </w:p>
          <w:p>
            <w:pPr>
              <w:widowControl/>
              <w:jc w:val="left"/>
              <w:rPr>
                <w:rFonts w:ascii="宋体" w:hAnsi="宋体" w:cs="宋体"/>
                <w:kern w:val="0"/>
                <w:sz w:val="24"/>
              </w:rPr>
            </w:pPr>
            <w:r>
              <w:rPr>
                <w:rFonts w:hint="eastAsia" w:ascii="宋体" w:hAnsi="宋体" w:cs="宋体"/>
                <w:kern w:val="0"/>
                <w:sz w:val="24"/>
              </w:rPr>
              <w:t>地点：采购人指定地点。</w:t>
            </w:r>
          </w:p>
        </w:tc>
        <w:tc>
          <w:tcPr>
            <w:tcW w:w="99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23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履约保证金</w:t>
            </w:r>
          </w:p>
        </w:tc>
        <w:tc>
          <w:tcPr>
            <w:tcW w:w="538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履约保证金：按合同金额的 2.5%计收，中标供应商在签订合同前应向采购人交纳履约保证金，履约保证金至合同履行完毕后 5 个工作日内视履约情况返还（缴纳形式为现金，或银行、保险公司出具的保函）。</w:t>
            </w:r>
          </w:p>
        </w:tc>
        <w:tc>
          <w:tcPr>
            <w:tcW w:w="99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23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付款方式</w:t>
            </w:r>
          </w:p>
        </w:tc>
        <w:tc>
          <w:tcPr>
            <w:tcW w:w="538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r>
              <w:rPr>
                <w:rFonts w:hint="eastAsia" w:ascii="宋体" w:hAnsi="宋体" w:cs="宋体"/>
                <w:kern w:val="0"/>
                <w:sz w:val="24"/>
              </w:rPr>
              <w:t>▲根据《保障中小企业款项支付条例》、浙财采监【2022】3号要求要求,制定如以下付款方式:合同生效以及具备实施条件后7个工作日内，支付合同金额的40%，2022年8月20日之前第一次供货并安装调试完成，验收合格后，11月底前支付实际验收货物金额的100%;2022年10月20日前，第二次供货并安装调试完成，验收合格后，项目整体资料移交给甲方，付至合同的100%。</w:t>
            </w:r>
          </w:p>
          <w:p>
            <w:pPr>
              <w:widowControl/>
              <w:jc w:val="left"/>
              <w:rPr>
                <w:rFonts w:ascii="宋体" w:hAnsi="宋体" w:cs="宋体"/>
                <w:kern w:val="0"/>
                <w:sz w:val="24"/>
              </w:rPr>
            </w:pPr>
            <w:r>
              <w:rPr>
                <w:rFonts w:hint="eastAsia" w:ascii="宋体" w:hAnsi="宋体" w:cs="宋体"/>
                <w:kern w:val="0"/>
                <w:sz w:val="24"/>
              </w:rPr>
              <w:t xml:space="preserve">注：1）中标供应商在接到采购人通知后的七个工作日内将正规发票送达采购人，采购人在收到中标供应商发票后于 十五个工作日内以转账的方式支付给中标供应商； </w:t>
            </w:r>
          </w:p>
          <w:p>
            <w:pPr>
              <w:widowControl/>
              <w:jc w:val="left"/>
              <w:rPr>
                <w:rFonts w:ascii="宋体" w:hAnsi="宋体" w:cs="宋体"/>
                <w:kern w:val="0"/>
                <w:sz w:val="24"/>
              </w:rPr>
            </w:pPr>
            <w:r>
              <w:rPr>
                <w:rFonts w:hint="eastAsia" w:ascii="宋体" w:hAnsi="宋体" w:cs="宋体"/>
                <w:kern w:val="0"/>
                <w:sz w:val="24"/>
              </w:rPr>
              <w:t xml:space="preserve">2）税费：本服务执行中相关的一切税费均由中标供应商负担； </w:t>
            </w:r>
          </w:p>
          <w:p>
            <w:pPr>
              <w:widowControl/>
              <w:jc w:val="left"/>
              <w:rPr>
                <w:rFonts w:ascii="宋体" w:hAnsi="宋体" w:cs="宋体"/>
                <w:kern w:val="0"/>
                <w:sz w:val="24"/>
              </w:rPr>
            </w:pPr>
            <w:r>
              <w:rPr>
                <w:rFonts w:hint="eastAsia" w:ascii="宋体" w:hAnsi="宋体" w:cs="宋体"/>
                <w:kern w:val="0"/>
                <w:sz w:val="24"/>
              </w:rPr>
              <w:t>3）若中标供应商明确表示无需预付款或者主动要求降低预付款比例的，采购人可不适用前述规定。</w:t>
            </w:r>
          </w:p>
        </w:tc>
        <w:tc>
          <w:tcPr>
            <w:tcW w:w="99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23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Cs/>
                <w:color w:val="000000"/>
                <w:kern w:val="0"/>
                <w:sz w:val="24"/>
              </w:rPr>
            </w:pPr>
            <w:r>
              <w:rPr>
                <w:rFonts w:hint="eastAsia" w:ascii="宋体" w:hAnsi="宋体" w:cs="宋体"/>
                <w:bCs/>
                <w:color w:val="000000"/>
                <w:kern w:val="0"/>
                <w:sz w:val="24"/>
              </w:rPr>
              <w:t>培训要求</w:t>
            </w:r>
          </w:p>
        </w:tc>
        <w:tc>
          <w:tcPr>
            <w:tcW w:w="538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Cs/>
                <w:color w:val="000000"/>
                <w:kern w:val="0"/>
                <w:sz w:val="24"/>
              </w:rPr>
            </w:pPr>
          </w:p>
        </w:tc>
        <w:tc>
          <w:tcPr>
            <w:tcW w:w="99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23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b/>
                <w:color w:val="000000"/>
                <w:sz w:val="24"/>
              </w:rPr>
            </w:pPr>
            <w:r>
              <w:rPr>
                <w:rFonts w:hint="eastAsia" w:ascii="宋体" w:hAnsi="宋体"/>
                <w:b/>
                <w:color w:val="000000"/>
                <w:sz w:val="24"/>
              </w:rPr>
              <w:t>其他要求</w:t>
            </w:r>
          </w:p>
        </w:tc>
        <w:tc>
          <w:tcPr>
            <w:tcW w:w="538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b/>
                <w:color w:val="FF0000"/>
                <w:sz w:val="24"/>
              </w:rPr>
            </w:pPr>
            <w:r>
              <w:rPr>
                <w:rFonts w:hint="eastAsia" w:ascii="宋体" w:hAnsi="宋体"/>
                <w:b/>
                <w:color w:val="FF0000"/>
                <w:sz w:val="24"/>
              </w:rPr>
              <w:t>▲如中标人为大型企业，</w:t>
            </w:r>
            <w:r>
              <w:rPr>
                <w:rFonts w:ascii="宋体" w:hAnsi="宋体"/>
                <w:b/>
                <w:color w:val="FF0000"/>
                <w:sz w:val="24"/>
              </w:rPr>
              <w:t>合同金额的40%</w:t>
            </w:r>
            <w:r>
              <w:rPr>
                <w:rFonts w:hint="eastAsia" w:ascii="宋体" w:hAnsi="宋体"/>
                <w:b/>
                <w:color w:val="FF0000"/>
                <w:sz w:val="24"/>
              </w:rPr>
              <w:t>必须分包</w:t>
            </w:r>
            <w:r>
              <w:rPr>
                <w:rFonts w:ascii="宋体" w:hAnsi="宋体"/>
                <w:b/>
                <w:color w:val="FF0000"/>
                <w:sz w:val="24"/>
              </w:rPr>
              <w:t>给中小微企业</w:t>
            </w:r>
          </w:p>
        </w:tc>
        <w:tc>
          <w:tcPr>
            <w:tcW w:w="992"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sz w:val="24"/>
                <w:szCs w:val="20"/>
              </w:rPr>
            </w:pPr>
          </w:p>
        </w:tc>
      </w:tr>
    </w:tbl>
    <w:p>
      <w:pPr>
        <w:pStyle w:val="42"/>
        <w:rPr>
          <w:color w:val="auto"/>
        </w:rPr>
      </w:pPr>
    </w:p>
    <w:p>
      <w:pPr>
        <w:pStyle w:val="42"/>
        <w:rPr>
          <w:color w:val="auto"/>
        </w:rPr>
      </w:pPr>
    </w:p>
    <w:p>
      <w:pPr>
        <w:snapToGrid w:val="0"/>
        <w:spacing w:line="360" w:lineRule="auto"/>
        <w:jc w:val="left"/>
      </w:pPr>
      <w:r>
        <w:rPr>
          <w:rFonts w:hint="eastAsia" w:ascii="宋体" w:hAnsi="宋体"/>
          <w:bCs/>
          <w:sz w:val="24"/>
        </w:rPr>
        <w:t>27.</w:t>
      </w:r>
      <w:r>
        <w:rPr>
          <w:rFonts w:ascii="宋体" w:hAnsi="宋体"/>
          <w:sz w:val="24"/>
        </w:rPr>
        <w:t>售后服务的内容和措施</w:t>
      </w:r>
      <w:r>
        <w:rPr>
          <w:rFonts w:hint="eastAsia" w:ascii="宋体" w:hAnsi="宋体"/>
          <w:sz w:val="24"/>
        </w:rPr>
        <w:t>（格式自拟）</w:t>
      </w:r>
    </w:p>
    <w:p>
      <w:pPr>
        <w:pStyle w:val="42"/>
        <w:rPr>
          <w:color w:val="auto"/>
        </w:rPr>
      </w:pPr>
    </w:p>
    <w:p>
      <w:pPr>
        <w:pStyle w:val="43"/>
      </w:pPr>
    </w:p>
    <w:p>
      <w:pPr>
        <w:pStyle w:val="43"/>
      </w:pPr>
    </w:p>
    <w:p>
      <w:pPr>
        <w:pStyle w:val="43"/>
      </w:pPr>
    </w:p>
    <w:p/>
    <w:p>
      <w:pPr>
        <w:pStyle w:val="13"/>
      </w:pPr>
      <w:r>
        <w:rPr>
          <w:rFonts w:hint="eastAsia" w:ascii="宋体" w:hAnsi="宋体"/>
          <w:sz w:val="24"/>
        </w:rPr>
        <w:t>28.</w:t>
      </w:r>
      <w:r>
        <w:rPr>
          <w:rFonts w:ascii="宋体" w:hAnsi="宋体"/>
          <w:sz w:val="24"/>
        </w:rPr>
        <w:t xml:space="preserve"> </w:t>
      </w:r>
      <w:r>
        <w:rPr>
          <w:rFonts w:hint="eastAsia" w:ascii="宋体" w:hAnsi="宋体"/>
          <w:sz w:val="24"/>
        </w:rPr>
        <w:t>培训方案（格式自拟）</w:t>
      </w:r>
    </w:p>
    <w:p>
      <w:pPr>
        <w:pStyle w:val="42"/>
        <w:rPr>
          <w:color w:val="auto"/>
        </w:rPr>
      </w:pPr>
    </w:p>
    <w:p>
      <w:pPr>
        <w:pStyle w:val="43"/>
      </w:pPr>
    </w:p>
    <w:p/>
    <w:p/>
    <w:p>
      <w:pPr>
        <w:pStyle w:val="13"/>
        <w:rPr>
          <w:rFonts w:ascii="宋体" w:hAnsi="宋体"/>
          <w:sz w:val="24"/>
        </w:rPr>
      </w:pPr>
    </w:p>
    <w:p>
      <w:pPr>
        <w:pStyle w:val="13"/>
        <w:rPr>
          <w:rFonts w:ascii="宋体" w:hAnsi="宋体"/>
          <w:sz w:val="24"/>
        </w:rPr>
      </w:pPr>
    </w:p>
    <w:p>
      <w:pPr>
        <w:pStyle w:val="13"/>
        <w:rPr>
          <w:rFonts w:ascii="宋体" w:hAnsi="宋体"/>
          <w:sz w:val="24"/>
        </w:rPr>
      </w:pPr>
      <w:r>
        <w:rPr>
          <w:rFonts w:hint="eastAsia" w:ascii="宋体" w:hAnsi="宋体"/>
          <w:sz w:val="24"/>
        </w:rPr>
        <w:t>29.响应时间（格式自拟）</w:t>
      </w:r>
    </w:p>
    <w:p>
      <w:pPr>
        <w:pStyle w:val="42"/>
        <w:rPr>
          <w:color w:val="auto"/>
        </w:rPr>
      </w:pPr>
    </w:p>
    <w:p>
      <w:pPr>
        <w:pStyle w:val="43"/>
      </w:pPr>
    </w:p>
    <w:p/>
    <w:p/>
    <w:p/>
    <w:p/>
    <w:p/>
    <w:p/>
    <w:p/>
    <w:p/>
    <w:p/>
    <w:p/>
    <w:p/>
    <w:p/>
    <w:p/>
    <w:p/>
    <w:p>
      <w:pPr>
        <w:pStyle w:val="43"/>
      </w:pPr>
    </w:p>
    <w:p>
      <w:pPr>
        <w:pStyle w:val="43"/>
      </w:pPr>
    </w:p>
    <w:p>
      <w:pPr>
        <w:snapToGrid w:val="0"/>
        <w:spacing w:line="360" w:lineRule="auto"/>
        <w:jc w:val="left"/>
        <w:rPr>
          <w:rFonts w:ascii="宋体" w:hAnsi="宋体"/>
          <w:sz w:val="24"/>
        </w:rPr>
      </w:pPr>
      <w:r>
        <w:rPr>
          <w:rFonts w:hint="eastAsia" w:ascii="宋体" w:hAnsi="宋体"/>
          <w:sz w:val="24"/>
        </w:rPr>
        <w:t>30.信用承诺书</w:t>
      </w:r>
    </w:p>
    <w:p>
      <w:pPr>
        <w:tabs>
          <w:tab w:val="left" w:pos="1650"/>
        </w:tabs>
        <w:spacing w:line="360" w:lineRule="auto"/>
        <w:jc w:val="center"/>
        <w:rPr>
          <w:rFonts w:ascii="宋体" w:hAnsi="宋体"/>
          <w:sz w:val="44"/>
          <w:szCs w:val="44"/>
        </w:rPr>
      </w:pPr>
      <w:r>
        <w:rPr>
          <w:rFonts w:hint="eastAsia" w:ascii="宋体" w:hAnsi="宋体"/>
          <w:sz w:val="44"/>
          <w:szCs w:val="44"/>
        </w:rPr>
        <w:t>信用承诺书</w:t>
      </w:r>
    </w:p>
    <w:p>
      <w:pPr>
        <w:tabs>
          <w:tab w:val="left" w:pos="1650"/>
        </w:tabs>
        <w:spacing w:line="360" w:lineRule="auto"/>
        <w:jc w:val="left"/>
        <w:rPr>
          <w:rFonts w:ascii="宋体" w:hAnsi="宋体"/>
          <w:sz w:val="24"/>
        </w:rPr>
      </w:pPr>
      <w:r>
        <w:rPr>
          <w:rFonts w:hint="eastAsia" w:ascii="宋体" w:hAnsi="宋体"/>
          <w:sz w:val="24"/>
        </w:rPr>
        <w:t>（投标单位）现参加（采购项目）政府采购活动，郑重承诺如下：</w:t>
      </w:r>
    </w:p>
    <w:p>
      <w:pPr>
        <w:tabs>
          <w:tab w:val="left" w:pos="1650"/>
        </w:tabs>
        <w:spacing w:line="360" w:lineRule="auto"/>
        <w:ind w:firstLine="630"/>
        <w:rPr>
          <w:rFonts w:ascii="宋体" w:hAnsi="宋体"/>
          <w:sz w:val="24"/>
        </w:rPr>
      </w:pPr>
      <w:r>
        <w:rPr>
          <w:rFonts w:hint="eastAsia" w:ascii="宋体" w:hAnsi="宋体"/>
          <w:sz w:val="24"/>
        </w:rPr>
        <w:t>对所提供的资料合法性、真实性、准确性和有效性负责；</w:t>
      </w:r>
    </w:p>
    <w:p>
      <w:pPr>
        <w:tabs>
          <w:tab w:val="left" w:pos="1650"/>
        </w:tabs>
        <w:spacing w:line="360" w:lineRule="auto"/>
        <w:ind w:firstLine="630"/>
        <w:rPr>
          <w:rFonts w:ascii="宋体" w:hAnsi="宋体"/>
          <w:sz w:val="24"/>
        </w:rPr>
      </w:pPr>
      <w:r>
        <w:rPr>
          <w:rFonts w:hint="eastAsia" w:ascii="宋体" w:hAnsi="宋体"/>
          <w:sz w:val="24"/>
        </w:rPr>
        <w:t>严格按照国家法律、法规和规章，依法开展相关经济活动，全面履行应尽的责任和义务；</w:t>
      </w:r>
    </w:p>
    <w:p>
      <w:pPr>
        <w:tabs>
          <w:tab w:val="left" w:pos="1650"/>
        </w:tabs>
        <w:spacing w:line="360" w:lineRule="auto"/>
        <w:ind w:firstLine="630"/>
        <w:rPr>
          <w:rFonts w:ascii="宋体" w:hAnsi="宋体"/>
          <w:sz w:val="24"/>
        </w:rPr>
      </w:pPr>
      <w:r>
        <w:rPr>
          <w:rFonts w:hint="eastAsia" w:ascii="宋体" w:hAnsi="宋体"/>
          <w:sz w:val="24"/>
        </w:rPr>
        <w:t>加强自我约束、自我规范、自我管理，不制假售假、不虚假宣传、不违约毁约、不恶意逃债、不偷税漏税，诚信依法经营；</w:t>
      </w:r>
    </w:p>
    <w:p>
      <w:pPr>
        <w:tabs>
          <w:tab w:val="left" w:pos="1650"/>
        </w:tabs>
        <w:spacing w:line="360" w:lineRule="auto"/>
        <w:ind w:firstLine="630"/>
        <w:rPr>
          <w:rFonts w:ascii="宋体" w:hAnsi="宋体"/>
          <w:sz w:val="24"/>
        </w:rPr>
      </w:pPr>
      <w:r>
        <w:rPr>
          <w:rFonts w:hint="eastAsia" w:ascii="宋体" w:hAnsi="宋体"/>
          <w:sz w:val="24"/>
        </w:rPr>
        <w:t>自愿接受行政主管部门的依法检查、违背承诺约定将自愿承担违约责任，并接受法律法规和相关部门规章制度的惩戒和约束；</w:t>
      </w:r>
    </w:p>
    <w:p>
      <w:pPr>
        <w:tabs>
          <w:tab w:val="left" w:pos="1650"/>
        </w:tabs>
        <w:spacing w:line="360" w:lineRule="auto"/>
        <w:ind w:firstLine="630"/>
        <w:rPr>
          <w:rFonts w:ascii="宋体" w:hAnsi="宋体"/>
          <w:sz w:val="24"/>
        </w:rPr>
      </w:pPr>
      <w:r>
        <w:rPr>
          <w:rFonts w:hint="eastAsia" w:ascii="宋体" w:hAnsi="宋体"/>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pStyle w:val="59"/>
        <w:spacing w:before="0" w:beforeAutospacing="0" w:after="0" w:afterAutospacing="0" w:line="360" w:lineRule="auto"/>
        <w:ind w:firstLine="600" w:firstLineChars="250"/>
        <w:rPr>
          <w:rFonts w:cs="Times New Roman"/>
          <w:spacing w:val="-7"/>
        </w:rPr>
      </w:pPr>
      <w:r>
        <w:rPr>
          <w:rFonts w:hint="eastAsia" w:cs="Times New Roman"/>
          <w:kern w:val="2"/>
        </w:rPr>
        <w:t>统一社会信用代码：</w:t>
      </w:r>
    </w:p>
    <w:p>
      <w:pPr>
        <w:pStyle w:val="59"/>
        <w:spacing w:before="0" w:beforeAutospacing="0" w:after="0" w:afterAutospacing="0" w:line="360" w:lineRule="auto"/>
        <w:ind w:firstLine="3240" w:firstLineChars="1350"/>
        <w:rPr>
          <w:rFonts w:cs="Times New Roman"/>
          <w:kern w:val="2"/>
        </w:rPr>
      </w:pPr>
      <w:r>
        <w:rPr>
          <w:rFonts w:hint="eastAsia" w:cs="Times New Roman"/>
          <w:kern w:val="2"/>
        </w:rPr>
        <w:t>承诺单位</w:t>
      </w:r>
      <w:r>
        <w:rPr>
          <w:rFonts w:cs="Times New Roman"/>
          <w:kern w:val="2"/>
        </w:rPr>
        <w:t>/</w:t>
      </w:r>
      <w:r>
        <w:rPr>
          <w:rFonts w:hint="eastAsia" w:cs="Times New Roman"/>
          <w:kern w:val="2"/>
        </w:rPr>
        <w:t>个人（盖章</w:t>
      </w:r>
      <w:r>
        <w:rPr>
          <w:rFonts w:cs="Times New Roman"/>
          <w:kern w:val="2"/>
        </w:rPr>
        <w:t>/</w:t>
      </w:r>
      <w:r>
        <w:rPr>
          <w:rFonts w:hint="eastAsia" w:cs="Times New Roman"/>
          <w:kern w:val="2"/>
        </w:rPr>
        <w:t>签名）</w:t>
      </w:r>
    </w:p>
    <w:p>
      <w:pPr>
        <w:spacing w:line="360" w:lineRule="auto"/>
        <w:ind w:firstLine="3480" w:firstLineChars="1450"/>
        <w:rPr>
          <w:rFonts w:ascii="宋体" w:hAnsi="宋体"/>
          <w:sz w:val="24"/>
        </w:rPr>
      </w:pPr>
      <w:r>
        <w:rPr>
          <w:rFonts w:hint="eastAsia" w:ascii="宋体" w:hAnsi="宋体"/>
          <w:sz w:val="24"/>
        </w:rPr>
        <w:t>时间：</w:t>
      </w:r>
      <w:r>
        <w:rPr>
          <w:rFonts w:ascii="宋体" w:hAnsi="宋体"/>
          <w:sz w:val="24"/>
        </w:rPr>
        <w:t>2022年</w:t>
      </w:r>
      <w:r>
        <w:rPr>
          <w:rFonts w:hint="eastAsia" w:ascii="宋体" w:hAnsi="宋体"/>
          <w:sz w:val="24"/>
        </w:rPr>
        <w:t xml:space="preserve"> 月 日</w:t>
      </w:r>
    </w:p>
    <w:p>
      <w:pPr>
        <w:pStyle w:val="13"/>
      </w:pPr>
    </w:p>
    <w:p>
      <w:pPr>
        <w:pStyle w:val="43"/>
      </w:pPr>
    </w:p>
    <w:p>
      <w:pPr>
        <w:snapToGrid w:val="0"/>
        <w:spacing w:line="360" w:lineRule="auto"/>
        <w:rPr>
          <w:rFonts w:ascii="宋体" w:hAnsi="宋体"/>
          <w:bCs/>
          <w:sz w:val="24"/>
        </w:rPr>
      </w:pPr>
    </w:p>
    <w:p>
      <w:pPr>
        <w:snapToGrid w:val="0"/>
        <w:spacing w:line="360" w:lineRule="auto"/>
        <w:rPr>
          <w:rFonts w:ascii="宋体" w:hAnsi="宋体"/>
          <w:bCs/>
          <w:sz w:val="24"/>
        </w:rPr>
      </w:pPr>
    </w:p>
    <w:p>
      <w:pPr>
        <w:snapToGrid w:val="0"/>
        <w:spacing w:line="360" w:lineRule="auto"/>
        <w:rPr>
          <w:rFonts w:ascii="宋体" w:hAnsi="宋体"/>
          <w:bCs/>
          <w:sz w:val="24"/>
        </w:rPr>
      </w:pPr>
    </w:p>
    <w:p>
      <w:pPr>
        <w:snapToGrid w:val="0"/>
        <w:spacing w:line="360" w:lineRule="auto"/>
        <w:rPr>
          <w:rFonts w:ascii="宋体" w:hAnsi="宋体"/>
          <w:bCs/>
          <w:sz w:val="24"/>
        </w:rPr>
      </w:pPr>
    </w:p>
    <w:p>
      <w:pPr>
        <w:snapToGrid w:val="0"/>
        <w:spacing w:line="360" w:lineRule="auto"/>
        <w:rPr>
          <w:rFonts w:ascii="宋体" w:hAnsi="宋体"/>
          <w:bCs/>
          <w:sz w:val="24"/>
        </w:rPr>
      </w:pPr>
    </w:p>
    <w:p>
      <w:pPr>
        <w:snapToGrid w:val="0"/>
        <w:spacing w:line="360" w:lineRule="auto"/>
        <w:rPr>
          <w:rFonts w:ascii="宋体" w:hAnsi="宋体"/>
          <w:bCs/>
          <w:sz w:val="24"/>
        </w:rPr>
      </w:pPr>
    </w:p>
    <w:p>
      <w:pPr>
        <w:snapToGrid w:val="0"/>
        <w:spacing w:line="360" w:lineRule="auto"/>
        <w:rPr>
          <w:rFonts w:ascii="宋体" w:hAnsi="宋体"/>
          <w:bCs/>
          <w:sz w:val="24"/>
        </w:rPr>
      </w:pPr>
    </w:p>
    <w:p>
      <w:pPr>
        <w:snapToGrid w:val="0"/>
        <w:spacing w:line="360" w:lineRule="auto"/>
        <w:rPr>
          <w:rFonts w:ascii="宋体" w:hAnsi="宋体"/>
          <w:bCs/>
          <w:sz w:val="24"/>
        </w:rPr>
      </w:pPr>
    </w:p>
    <w:p>
      <w:pPr>
        <w:snapToGrid w:val="0"/>
        <w:spacing w:line="360" w:lineRule="auto"/>
        <w:rPr>
          <w:rFonts w:ascii="宋体" w:hAnsi="宋体"/>
          <w:bCs/>
          <w:sz w:val="24"/>
        </w:rPr>
      </w:pPr>
    </w:p>
    <w:p>
      <w:pPr>
        <w:snapToGrid w:val="0"/>
        <w:spacing w:line="360" w:lineRule="auto"/>
        <w:rPr>
          <w:rFonts w:ascii="宋体" w:hAnsi="宋体"/>
          <w:bCs/>
          <w:sz w:val="24"/>
        </w:rPr>
      </w:pPr>
    </w:p>
    <w:p>
      <w:pPr>
        <w:snapToGrid w:val="0"/>
        <w:spacing w:line="360" w:lineRule="auto"/>
        <w:rPr>
          <w:rFonts w:ascii="宋体" w:hAnsi="宋体"/>
          <w:bCs/>
          <w:sz w:val="24"/>
        </w:rPr>
      </w:pPr>
    </w:p>
    <w:p>
      <w:pPr>
        <w:snapToGrid w:val="0"/>
        <w:spacing w:line="360" w:lineRule="auto"/>
        <w:rPr>
          <w:rFonts w:ascii="宋体" w:hAnsi="宋体"/>
          <w:bCs/>
          <w:sz w:val="24"/>
        </w:rPr>
      </w:pPr>
    </w:p>
    <w:p>
      <w:pPr>
        <w:snapToGrid w:val="0"/>
        <w:spacing w:line="360" w:lineRule="auto"/>
        <w:rPr>
          <w:rFonts w:ascii="宋体" w:hAnsi="宋体"/>
          <w:sz w:val="24"/>
        </w:rPr>
      </w:pPr>
      <w:r>
        <w:rPr>
          <w:rFonts w:hint="eastAsia" w:ascii="宋体" w:hAnsi="宋体"/>
          <w:bCs/>
          <w:sz w:val="24"/>
        </w:rPr>
        <w:t>31.</w:t>
      </w:r>
      <w:r>
        <w:rPr>
          <w:rFonts w:hint="eastAsia" w:ascii="宋体" w:hAnsi="宋体"/>
          <w:sz w:val="24"/>
        </w:rPr>
        <w:t xml:space="preserve">技术、商务、资信及其他分自评表  </w:t>
      </w:r>
    </w:p>
    <w:p>
      <w:pPr>
        <w:pStyle w:val="14"/>
        <w:spacing w:line="360" w:lineRule="auto"/>
        <w:ind w:firstLine="300" w:firstLineChars="129"/>
        <w:rPr>
          <w:rFonts w:hAnsi="宋体"/>
          <w:b/>
          <w:sz w:val="24"/>
        </w:rPr>
      </w:pPr>
      <w:r>
        <w:rPr>
          <w:rFonts w:hint="eastAsia" w:hAnsi="宋体"/>
          <w:b/>
          <w:sz w:val="24"/>
        </w:rPr>
        <w:t>投标人名称</w:t>
      </w:r>
    </w:p>
    <w:tbl>
      <w:tblPr>
        <w:tblStyle w:val="33"/>
        <w:tblW w:w="9801" w:type="dxa"/>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3533"/>
        <w:gridCol w:w="2268"/>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4556" w:type="dxa"/>
            <w:gridSpan w:val="2"/>
            <w:vAlign w:val="center"/>
          </w:tcPr>
          <w:p>
            <w:pPr>
              <w:spacing w:line="360" w:lineRule="auto"/>
              <w:jc w:val="center"/>
              <w:rPr>
                <w:rFonts w:ascii="宋体" w:hAnsi="宋体"/>
                <w:sz w:val="24"/>
              </w:rPr>
            </w:pPr>
            <w:r>
              <w:rPr>
                <w:rFonts w:hint="eastAsia" w:ascii="宋体" w:hAnsi="宋体"/>
                <w:sz w:val="24"/>
              </w:rPr>
              <w:t>评分项目</w:t>
            </w:r>
          </w:p>
        </w:tc>
        <w:tc>
          <w:tcPr>
            <w:tcW w:w="2268" w:type="dxa"/>
            <w:vAlign w:val="center"/>
          </w:tcPr>
          <w:p>
            <w:pPr>
              <w:snapToGrid w:val="0"/>
              <w:spacing w:line="360" w:lineRule="auto"/>
              <w:jc w:val="center"/>
              <w:rPr>
                <w:rFonts w:ascii="宋体" w:hAnsi="宋体"/>
                <w:sz w:val="24"/>
              </w:rPr>
            </w:pPr>
            <w:r>
              <w:rPr>
                <w:rFonts w:hint="eastAsia" w:ascii="宋体" w:hAnsi="宋体"/>
                <w:sz w:val="24"/>
              </w:rPr>
              <w:t>投标文件对应资料</w:t>
            </w:r>
          </w:p>
        </w:tc>
        <w:tc>
          <w:tcPr>
            <w:tcW w:w="1276" w:type="dxa"/>
            <w:vAlign w:val="center"/>
          </w:tcPr>
          <w:p>
            <w:pPr>
              <w:snapToGrid w:val="0"/>
              <w:spacing w:line="360" w:lineRule="auto"/>
              <w:jc w:val="center"/>
              <w:rPr>
                <w:rFonts w:ascii="宋体" w:hAnsi="宋体"/>
                <w:sz w:val="24"/>
              </w:rPr>
            </w:pPr>
            <w:r>
              <w:rPr>
                <w:rFonts w:hint="eastAsia" w:ascii="宋体" w:hAnsi="宋体"/>
                <w:sz w:val="24"/>
              </w:rPr>
              <w:t>自评分</w:t>
            </w:r>
          </w:p>
        </w:tc>
        <w:tc>
          <w:tcPr>
            <w:tcW w:w="1701" w:type="dxa"/>
            <w:vAlign w:val="center"/>
          </w:tcPr>
          <w:p>
            <w:pPr>
              <w:snapToGrid w:val="0"/>
              <w:spacing w:line="360" w:lineRule="auto"/>
              <w:jc w:val="center"/>
              <w:rPr>
                <w:rFonts w:ascii="宋体" w:hAnsi="宋体"/>
                <w:sz w:val="24"/>
              </w:rPr>
            </w:pPr>
            <w:r>
              <w:rPr>
                <w:rFonts w:hint="eastAsia" w:ascii="宋体" w:hAnsi="宋体"/>
                <w:sz w:val="24"/>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1023" w:type="dxa"/>
            <w:vMerge w:val="restart"/>
            <w:vAlign w:val="center"/>
          </w:tcPr>
          <w:p>
            <w:pPr>
              <w:spacing w:line="360" w:lineRule="auto"/>
              <w:jc w:val="center"/>
              <w:rPr>
                <w:rFonts w:ascii="宋体" w:hAnsi="宋体"/>
                <w:sz w:val="24"/>
              </w:rPr>
            </w:pPr>
            <w:r>
              <w:rPr>
                <w:rFonts w:hint="eastAsia" w:ascii="宋体" w:hAnsi="宋体"/>
                <w:sz w:val="24"/>
              </w:rPr>
              <w:t>技</w:t>
            </w:r>
          </w:p>
          <w:p>
            <w:pPr>
              <w:spacing w:line="360" w:lineRule="auto"/>
              <w:jc w:val="center"/>
              <w:rPr>
                <w:rFonts w:ascii="宋体" w:hAnsi="宋体"/>
                <w:sz w:val="24"/>
              </w:rPr>
            </w:pPr>
            <w:r>
              <w:rPr>
                <w:rFonts w:hint="eastAsia" w:ascii="宋体" w:hAnsi="宋体"/>
                <w:sz w:val="24"/>
              </w:rPr>
              <w:t>术</w:t>
            </w:r>
          </w:p>
          <w:p>
            <w:pPr>
              <w:spacing w:line="360" w:lineRule="auto"/>
              <w:jc w:val="center"/>
              <w:rPr>
                <w:rFonts w:ascii="宋体" w:hAnsi="宋体"/>
                <w:sz w:val="24"/>
              </w:rPr>
            </w:pPr>
            <w:r>
              <w:rPr>
                <w:rFonts w:hint="eastAsia" w:ascii="宋体" w:hAnsi="宋体"/>
                <w:sz w:val="24"/>
              </w:rPr>
              <w:t xml:space="preserve">分 </w:t>
            </w:r>
          </w:p>
          <w:p>
            <w:pPr>
              <w:spacing w:line="360" w:lineRule="auto"/>
              <w:jc w:val="center"/>
              <w:rPr>
                <w:rFonts w:ascii="宋体" w:hAnsi="宋体"/>
                <w:sz w:val="24"/>
              </w:rPr>
            </w:pPr>
            <w:r>
              <w:rPr>
                <w:rFonts w:hint="eastAsia" w:ascii="宋体" w:hAnsi="宋体"/>
                <w:sz w:val="24"/>
              </w:rPr>
              <w:t>52</w:t>
            </w:r>
          </w:p>
          <w:p>
            <w:pPr>
              <w:spacing w:line="360" w:lineRule="auto"/>
              <w:jc w:val="center"/>
              <w:rPr>
                <w:rFonts w:ascii="宋体" w:hAnsi="宋体"/>
                <w:sz w:val="24"/>
              </w:rPr>
            </w:pPr>
            <w:r>
              <w:rPr>
                <w:rFonts w:hint="eastAsia" w:ascii="宋体" w:hAnsi="宋体"/>
                <w:sz w:val="24"/>
              </w:rPr>
              <w:t>分</w:t>
            </w:r>
          </w:p>
        </w:tc>
        <w:tc>
          <w:tcPr>
            <w:tcW w:w="3533" w:type="dxa"/>
          </w:tcPr>
          <w:p>
            <w:pPr>
              <w:spacing w:line="360" w:lineRule="auto"/>
              <w:jc w:val="left"/>
              <w:rPr>
                <w:rFonts w:ascii="宋体" w:hAnsi="宋体"/>
                <w:sz w:val="24"/>
              </w:rPr>
            </w:pPr>
          </w:p>
        </w:tc>
        <w:tc>
          <w:tcPr>
            <w:tcW w:w="2268" w:type="dxa"/>
          </w:tcPr>
          <w:p>
            <w:pPr>
              <w:spacing w:line="360" w:lineRule="auto"/>
              <w:rPr>
                <w:rFonts w:ascii="宋体" w:hAnsi="宋体"/>
                <w:sz w:val="24"/>
              </w:rPr>
            </w:pPr>
          </w:p>
        </w:tc>
        <w:tc>
          <w:tcPr>
            <w:tcW w:w="1276"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3" w:type="dxa"/>
            <w:vMerge w:val="continue"/>
          </w:tcPr>
          <w:p>
            <w:pPr>
              <w:spacing w:line="360" w:lineRule="auto"/>
              <w:rPr>
                <w:rFonts w:ascii="宋体" w:hAnsi="宋体"/>
                <w:sz w:val="24"/>
              </w:rPr>
            </w:pPr>
          </w:p>
        </w:tc>
        <w:tc>
          <w:tcPr>
            <w:tcW w:w="3533" w:type="dxa"/>
          </w:tcPr>
          <w:p>
            <w:pPr>
              <w:spacing w:line="360" w:lineRule="auto"/>
              <w:jc w:val="left"/>
              <w:rPr>
                <w:rFonts w:ascii="宋体" w:hAnsi="宋体"/>
                <w:sz w:val="24"/>
              </w:rPr>
            </w:pPr>
          </w:p>
        </w:tc>
        <w:tc>
          <w:tcPr>
            <w:tcW w:w="2268" w:type="dxa"/>
          </w:tcPr>
          <w:p>
            <w:pPr>
              <w:spacing w:line="360" w:lineRule="auto"/>
              <w:rPr>
                <w:rFonts w:ascii="宋体" w:hAnsi="宋体"/>
                <w:sz w:val="24"/>
              </w:rPr>
            </w:pPr>
          </w:p>
        </w:tc>
        <w:tc>
          <w:tcPr>
            <w:tcW w:w="1276"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3" w:type="dxa"/>
            <w:vMerge w:val="continue"/>
          </w:tcPr>
          <w:p>
            <w:pPr>
              <w:spacing w:line="360" w:lineRule="auto"/>
              <w:rPr>
                <w:rFonts w:ascii="宋体" w:hAnsi="宋体"/>
                <w:sz w:val="24"/>
              </w:rPr>
            </w:pPr>
          </w:p>
        </w:tc>
        <w:tc>
          <w:tcPr>
            <w:tcW w:w="3533" w:type="dxa"/>
          </w:tcPr>
          <w:p>
            <w:pPr>
              <w:spacing w:line="360" w:lineRule="auto"/>
              <w:jc w:val="left"/>
              <w:rPr>
                <w:rFonts w:ascii="宋体" w:hAnsi="宋体"/>
                <w:sz w:val="24"/>
              </w:rPr>
            </w:pPr>
          </w:p>
        </w:tc>
        <w:tc>
          <w:tcPr>
            <w:tcW w:w="2268" w:type="dxa"/>
          </w:tcPr>
          <w:p>
            <w:pPr>
              <w:spacing w:line="360" w:lineRule="auto"/>
              <w:rPr>
                <w:rFonts w:ascii="宋体" w:hAnsi="宋体"/>
                <w:sz w:val="24"/>
              </w:rPr>
            </w:pPr>
          </w:p>
        </w:tc>
        <w:tc>
          <w:tcPr>
            <w:tcW w:w="1276"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3" w:type="dxa"/>
            <w:vMerge w:val="continue"/>
          </w:tcPr>
          <w:p>
            <w:pPr>
              <w:spacing w:line="360" w:lineRule="auto"/>
              <w:rPr>
                <w:rFonts w:ascii="宋体" w:hAnsi="宋体"/>
                <w:sz w:val="24"/>
              </w:rPr>
            </w:pPr>
          </w:p>
        </w:tc>
        <w:tc>
          <w:tcPr>
            <w:tcW w:w="3533" w:type="dxa"/>
          </w:tcPr>
          <w:p>
            <w:pPr>
              <w:spacing w:line="360" w:lineRule="auto"/>
              <w:jc w:val="left"/>
              <w:rPr>
                <w:rFonts w:ascii="宋体" w:hAnsi="宋体"/>
                <w:sz w:val="24"/>
              </w:rPr>
            </w:pPr>
          </w:p>
        </w:tc>
        <w:tc>
          <w:tcPr>
            <w:tcW w:w="2268" w:type="dxa"/>
          </w:tcPr>
          <w:p>
            <w:pPr>
              <w:spacing w:line="360" w:lineRule="auto"/>
              <w:rPr>
                <w:rFonts w:ascii="宋体" w:hAnsi="宋体"/>
                <w:sz w:val="24"/>
              </w:rPr>
            </w:pPr>
          </w:p>
        </w:tc>
        <w:tc>
          <w:tcPr>
            <w:tcW w:w="1276"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3" w:type="dxa"/>
            <w:vMerge w:val="continue"/>
          </w:tcPr>
          <w:p>
            <w:pPr>
              <w:spacing w:line="360" w:lineRule="auto"/>
              <w:rPr>
                <w:rFonts w:ascii="宋体" w:hAnsi="宋体"/>
                <w:sz w:val="24"/>
              </w:rPr>
            </w:pPr>
          </w:p>
        </w:tc>
        <w:tc>
          <w:tcPr>
            <w:tcW w:w="3533" w:type="dxa"/>
          </w:tcPr>
          <w:p>
            <w:pPr>
              <w:spacing w:line="360" w:lineRule="auto"/>
              <w:jc w:val="left"/>
              <w:rPr>
                <w:rFonts w:ascii="宋体" w:hAnsi="宋体"/>
                <w:sz w:val="24"/>
              </w:rPr>
            </w:pPr>
          </w:p>
        </w:tc>
        <w:tc>
          <w:tcPr>
            <w:tcW w:w="2268" w:type="dxa"/>
          </w:tcPr>
          <w:p>
            <w:pPr>
              <w:spacing w:line="360" w:lineRule="auto"/>
              <w:rPr>
                <w:rFonts w:ascii="宋体" w:hAnsi="宋体"/>
                <w:sz w:val="24"/>
              </w:rPr>
            </w:pPr>
          </w:p>
        </w:tc>
        <w:tc>
          <w:tcPr>
            <w:tcW w:w="1276"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3" w:type="dxa"/>
            <w:vMerge w:val="continue"/>
          </w:tcPr>
          <w:p>
            <w:pPr>
              <w:spacing w:line="360" w:lineRule="auto"/>
              <w:rPr>
                <w:rFonts w:ascii="宋体" w:hAnsi="宋体"/>
                <w:sz w:val="24"/>
              </w:rPr>
            </w:pPr>
          </w:p>
        </w:tc>
        <w:tc>
          <w:tcPr>
            <w:tcW w:w="3533" w:type="dxa"/>
          </w:tcPr>
          <w:p>
            <w:pPr>
              <w:spacing w:line="360" w:lineRule="auto"/>
              <w:jc w:val="left"/>
              <w:rPr>
                <w:rFonts w:ascii="宋体" w:hAnsi="宋体"/>
                <w:sz w:val="24"/>
              </w:rPr>
            </w:pPr>
          </w:p>
        </w:tc>
        <w:tc>
          <w:tcPr>
            <w:tcW w:w="2268" w:type="dxa"/>
          </w:tcPr>
          <w:p>
            <w:pPr>
              <w:spacing w:line="360" w:lineRule="auto"/>
              <w:rPr>
                <w:rFonts w:ascii="宋体" w:hAnsi="宋体"/>
                <w:sz w:val="24"/>
              </w:rPr>
            </w:pPr>
          </w:p>
        </w:tc>
        <w:tc>
          <w:tcPr>
            <w:tcW w:w="1276"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3" w:type="dxa"/>
            <w:vMerge w:val="continue"/>
          </w:tcPr>
          <w:p>
            <w:pPr>
              <w:spacing w:line="360" w:lineRule="auto"/>
              <w:rPr>
                <w:rFonts w:ascii="宋体" w:hAnsi="宋体"/>
                <w:sz w:val="24"/>
              </w:rPr>
            </w:pPr>
          </w:p>
        </w:tc>
        <w:tc>
          <w:tcPr>
            <w:tcW w:w="3533" w:type="dxa"/>
          </w:tcPr>
          <w:p>
            <w:pPr>
              <w:spacing w:line="360" w:lineRule="auto"/>
              <w:jc w:val="left"/>
              <w:rPr>
                <w:rFonts w:ascii="宋体" w:hAnsi="宋体"/>
                <w:sz w:val="24"/>
              </w:rPr>
            </w:pPr>
          </w:p>
        </w:tc>
        <w:tc>
          <w:tcPr>
            <w:tcW w:w="2268" w:type="dxa"/>
          </w:tcPr>
          <w:p>
            <w:pPr>
              <w:spacing w:line="360" w:lineRule="auto"/>
              <w:rPr>
                <w:rFonts w:ascii="宋体" w:hAnsi="宋体"/>
                <w:sz w:val="24"/>
              </w:rPr>
            </w:pPr>
          </w:p>
        </w:tc>
        <w:tc>
          <w:tcPr>
            <w:tcW w:w="1276"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3" w:type="dxa"/>
            <w:vMerge w:val="continue"/>
          </w:tcPr>
          <w:p>
            <w:pPr>
              <w:spacing w:line="360" w:lineRule="auto"/>
              <w:rPr>
                <w:rFonts w:ascii="宋体" w:hAnsi="宋体"/>
                <w:sz w:val="24"/>
              </w:rPr>
            </w:pPr>
          </w:p>
        </w:tc>
        <w:tc>
          <w:tcPr>
            <w:tcW w:w="3533" w:type="dxa"/>
          </w:tcPr>
          <w:p>
            <w:pPr>
              <w:spacing w:line="360" w:lineRule="auto"/>
              <w:jc w:val="left"/>
              <w:rPr>
                <w:rFonts w:ascii="宋体" w:hAnsi="宋体"/>
                <w:sz w:val="24"/>
              </w:rPr>
            </w:pPr>
          </w:p>
        </w:tc>
        <w:tc>
          <w:tcPr>
            <w:tcW w:w="2268" w:type="dxa"/>
          </w:tcPr>
          <w:p>
            <w:pPr>
              <w:spacing w:line="360" w:lineRule="auto"/>
              <w:rPr>
                <w:rFonts w:ascii="宋体" w:hAnsi="宋体"/>
                <w:sz w:val="24"/>
              </w:rPr>
            </w:pPr>
          </w:p>
        </w:tc>
        <w:tc>
          <w:tcPr>
            <w:tcW w:w="1276"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1023" w:type="dxa"/>
            <w:vMerge w:val="restart"/>
            <w:vAlign w:val="center"/>
          </w:tcPr>
          <w:p>
            <w:pPr>
              <w:spacing w:line="360" w:lineRule="auto"/>
              <w:jc w:val="center"/>
              <w:rPr>
                <w:rFonts w:ascii="宋体" w:hAnsi="宋体"/>
                <w:sz w:val="24"/>
              </w:rPr>
            </w:pPr>
            <w:r>
              <w:rPr>
                <w:rFonts w:hint="eastAsia" w:ascii="宋体" w:hAnsi="宋体"/>
                <w:sz w:val="24"/>
              </w:rPr>
              <w:t xml:space="preserve">商务、资信及其他18 </w:t>
            </w:r>
          </w:p>
          <w:p>
            <w:pPr>
              <w:spacing w:line="360" w:lineRule="auto"/>
              <w:jc w:val="center"/>
              <w:rPr>
                <w:rFonts w:ascii="宋体" w:hAnsi="宋体"/>
                <w:sz w:val="24"/>
              </w:rPr>
            </w:pPr>
            <w:r>
              <w:rPr>
                <w:rFonts w:hint="eastAsia" w:ascii="宋体" w:hAnsi="宋体"/>
                <w:sz w:val="24"/>
              </w:rPr>
              <w:t>分</w:t>
            </w:r>
          </w:p>
        </w:tc>
        <w:tc>
          <w:tcPr>
            <w:tcW w:w="3533" w:type="dxa"/>
          </w:tcPr>
          <w:p>
            <w:pPr>
              <w:spacing w:line="360" w:lineRule="auto"/>
              <w:jc w:val="left"/>
              <w:rPr>
                <w:rFonts w:ascii="宋体" w:hAnsi="宋体"/>
                <w:sz w:val="24"/>
              </w:rPr>
            </w:pPr>
          </w:p>
        </w:tc>
        <w:tc>
          <w:tcPr>
            <w:tcW w:w="2268" w:type="dxa"/>
          </w:tcPr>
          <w:p>
            <w:pPr>
              <w:spacing w:line="360" w:lineRule="auto"/>
              <w:rPr>
                <w:rFonts w:ascii="宋体" w:hAnsi="宋体"/>
                <w:sz w:val="24"/>
              </w:rPr>
            </w:pPr>
          </w:p>
        </w:tc>
        <w:tc>
          <w:tcPr>
            <w:tcW w:w="1276"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1023" w:type="dxa"/>
            <w:vMerge w:val="continue"/>
            <w:vAlign w:val="center"/>
          </w:tcPr>
          <w:p>
            <w:pPr>
              <w:spacing w:line="360" w:lineRule="auto"/>
              <w:jc w:val="center"/>
              <w:rPr>
                <w:rFonts w:ascii="宋体" w:hAnsi="宋体"/>
                <w:sz w:val="24"/>
              </w:rPr>
            </w:pPr>
          </w:p>
        </w:tc>
        <w:tc>
          <w:tcPr>
            <w:tcW w:w="3533" w:type="dxa"/>
          </w:tcPr>
          <w:p>
            <w:pPr>
              <w:spacing w:line="360" w:lineRule="auto"/>
              <w:jc w:val="left"/>
              <w:rPr>
                <w:rFonts w:ascii="宋体" w:hAnsi="宋体"/>
                <w:sz w:val="24"/>
              </w:rPr>
            </w:pPr>
          </w:p>
        </w:tc>
        <w:tc>
          <w:tcPr>
            <w:tcW w:w="2268" w:type="dxa"/>
          </w:tcPr>
          <w:p>
            <w:pPr>
              <w:spacing w:line="360" w:lineRule="auto"/>
              <w:rPr>
                <w:rFonts w:ascii="宋体" w:hAnsi="宋体"/>
                <w:sz w:val="24"/>
              </w:rPr>
            </w:pPr>
          </w:p>
        </w:tc>
        <w:tc>
          <w:tcPr>
            <w:tcW w:w="1276"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1023" w:type="dxa"/>
            <w:vMerge w:val="continue"/>
            <w:vAlign w:val="center"/>
          </w:tcPr>
          <w:p>
            <w:pPr>
              <w:spacing w:line="360" w:lineRule="auto"/>
              <w:jc w:val="center"/>
              <w:rPr>
                <w:rFonts w:ascii="宋体" w:hAnsi="宋体"/>
                <w:sz w:val="24"/>
              </w:rPr>
            </w:pPr>
          </w:p>
        </w:tc>
        <w:tc>
          <w:tcPr>
            <w:tcW w:w="3533" w:type="dxa"/>
          </w:tcPr>
          <w:p>
            <w:pPr>
              <w:spacing w:line="360" w:lineRule="auto"/>
              <w:jc w:val="left"/>
              <w:rPr>
                <w:rFonts w:ascii="宋体" w:hAnsi="宋体"/>
                <w:sz w:val="24"/>
              </w:rPr>
            </w:pPr>
          </w:p>
        </w:tc>
        <w:tc>
          <w:tcPr>
            <w:tcW w:w="2268" w:type="dxa"/>
          </w:tcPr>
          <w:p>
            <w:pPr>
              <w:spacing w:line="360" w:lineRule="auto"/>
              <w:rPr>
                <w:rFonts w:ascii="宋体" w:hAnsi="宋体"/>
                <w:sz w:val="24"/>
              </w:rPr>
            </w:pPr>
          </w:p>
        </w:tc>
        <w:tc>
          <w:tcPr>
            <w:tcW w:w="1276"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1023" w:type="dxa"/>
            <w:vMerge w:val="continue"/>
            <w:vAlign w:val="center"/>
          </w:tcPr>
          <w:p>
            <w:pPr>
              <w:spacing w:line="360" w:lineRule="auto"/>
              <w:jc w:val="center"/>
              <w:rPr>
                <w:rFonts w:ascii="宋体" w:hAnsi="宋体"/>
                <w:sz w:val="24"/>
              </w:rPr>
            </w:pPr>
          </w:p>
        </w:tc>
        <w:tc>
          <w:tcPr>
            <w:tcW w:w="3533" w:type="dxa"/>
          </w:tcPr>
          <w:p>
            <w:pPr>
              <w:spacing w:line="360" w:lineRule="auto"/>
              <w:jc w:val="left"/>
              <w:rPr>
                <w:rFonts w:ascii="宋体" w:hAnsi="宋体"/>
                <w:sz w:val="24"/>
              </w:rPr>
            </w:pPr>
          </w:p>
        </w:tc>
        <w:tc>
          <w:tcPr>
            <w:tcW w:w="2268" w:type="dxa"/>
          </w:tcPr>
          <w:p>
            <w:pPr>
              <w:spacing w:line="360" w:lineRule="auto"/>
              <w:rPr>
                <w:rFonts w:ascii="宋体" w:hAnsi="宋体"/>
                <w:sz w:val="24"/>
              </w:rPr>
            </w:pPr>
          </w:p>
        </w:tc>
        <w:tc>
          <w:tcPr>
            <w:tcW w:w="1276"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023" w:type="dxa"/>
            <w:vMerge w:val="continue"/>
          </w:tcPr>
          <w:p>
            <w:pPr>
              <w:spacing w:line="360" w:lineRule="auto"/>
              <w:rPr>
                <w:rFonts w:ascii="宋体" w:hAnsi="宋体"/>
                <w:sz w:val="24"/>
              </w:rPr>
            </w:pPr>
          </w:p>
        </w:tc>
        <w:tc>
          <w:tcPr>
            <w:tcW w:w="3533" w:type="dxa"/>
          </w:tcPr>
          <w:p>
            <w:pPr>
              <w:spacing w:line="360" w:lineRule="auto"/>
              <w:jc w:val="left"/>
              <w:rPr>
                <w:rFonts w:ascii="宋体" w:hAnsi="宋体"/>
                <w:sz w:val="24"/>
              </w:rPr>
            </w:pPr>
          </w:p>
        </w:tc>
        <w:tc>
          <w:tcPr>
            <w:tcW w:w="2268" w:type="dxa"/>
          </w:tcPr>
          <w:p>
            <w:pPr>
              <w:spacing w:line="360" w:lineRule="auto"/>
              <w:rPr>
                <w:rFonts w:ascii="宋体" w:hAnsi="宋体"/>
                <w:sz w:val="24"/>
              </w:rPr>
            </w:pPr>
          </w:p>
        </w:tc>
        <w:tc>
          <w:tcPr>
            <w:tcW w:w="1276" w:type="dxa"/>
          </w:tcPr>
          <w:p>
            <w:pPr>
              <w:spacing w:line="360" w:lineRule="auto"/>
              <w:rPr>
                <w:rFonts w:ascii="宋体" w:hAnsi="宋体"/>
                <w:sz w:val="24"/>
              </w:rPr>
            </w:pPr>
          </w:p>
        </w:tc>
        <w:tc>
          <w:tcPr>
            <w:tcW w:w="1701"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556" w:type="dxa"/>
            <w:gridSpan w:val="2"/>
            <w:vAlign w:val="center"/>
          </w:tcPr>
          <w:p>
            <w:pPr>
              <w:spacing w:line="360" w:lineRule="auto"/>
              <w:jc w:val="center"/>
              <w:rPr>
                <w:rFonts w:ascii="宋体" w:hAnsi="宋体"/>
                <w:sz w:val="24"/>
                <w:highlight w:val="yellow"/>
              </w:rPr>
            </w:pPr>
            <w:r>
              <w:rPr>
                <w:rFonts w:hint="eastAsia" w:ascii="宋体" w:hAnsi="宋体"/>
                <w:sz w:val="24"/>
              </w:rPr>
              <w:t>总分</w:t>
            </w:r>
          </w:p>
        </w:tc>
        <w:tc>
          <w:tcPr>
            <w:tcW w:w="2268" w:type="dxa"/>
          </w:tcPr>
          <w:p>
            <w:pPr>
              <w:spacing w:line="360" w:lineRule="auto"/>
              <w:rPr>
                <w:rFonts w:ascii="宋体" w:hAnsi="宋体"/>
                <w:sz w:val="24"/>
                <w:highlight w:val="yellow"/>
              </w:rPr>
            </w:pPr>
          </w:p>
        </w:tc>
        <w:tc>
          <w:tcPr>
            <w:tcW w:w="2977" w:type="dxa"/>
            <w:gridSpan w:val="2"/>
          </w:tcPr>
          <w:p>
            <w:pPr>
              <w:spacing w:line="360" w:lineRule="auto"/>
              <w:rPr>
                <w:rFonts w:ascii="宋体" w:hAnsi="宋体"/>
                <w:sz w:val="24"/>
                <w:highlight w:val="yellow"/>
              </w:rPr>
            </w:pPr>
          </w:p>
        </w:tc>
      </w:tr>
    </w:tbl>
    <w:p>
      <w:pPr>
        <w:pStyle w:val="14"/>
        <w:spacing w:line="360" w:lineRule="auto"/>
        <w:ind w:firstLine="221" w:firstLineChars="129"/>
      </w:pPr>
    </w:p>
    <w:p>
      <w:pPr>
        <w:snapToGrid w:val="0"/>
        <w:spacing w:line="360" w:lineRule="auto"/>
        <w:jc w:val="center"/>
        <w:rPr>
          <w:rFonts w:ascii="宋体" w:hAnsi="宋体"/>
          <w:sz w:val="24"/>
        </w:rPr>
      </w:pPr>
    </w:p>
    <w:p>
      <w:pPr>
        <w:spacing w:line="360" w:lineRule="auto"/>
        <w:rPr>
          <w:rFonts w:hAnsi="宋体"/>
          <w:b/>
          <w:sz w:val="24"/>
        </w:rPr>
      </w:pPr>
    </w:p>
    <w:p>
      <w:pPr>
        <w:spacing w:line="360" w:lineRule="auto"/>
        <w:rPr>
          <w:rFonts w:hAnsi="宋体"/>
          <w:b/>
          <w:sz w:val="24"/>
        </w:rPr>
      </w:pPr>
    </w:p>
    <w:p>
      <w:pPr>
        <w:spacing w:line="360" w:lineRule="auto"/>
        <w:rPr>
          <w:rFonts w:hAnsi="宋体"/>
          <w:b/>
          <w:sz w:val="24"/>
        </w:rPr>
      </w:pPr>
    </w:p>
    <w:p>
      <w:pPr>
        <w:pStyle w:val="13"/>
      </w:pPr>
    </w:p>
    <w:p>
      <w:pPr>
        <w:pStyle w:val="42"/>
        <w:rPr>
          <w:color w:val="auto"/>
        </w:rPr>
      </w:pPr>
    </w:p>
    <w:p>
      <w:pPr>
        <w:pStyle w:val="43"/>
      </w:pPr>
    </w:p>
    <w:p/>
    <w:p>
      <w:pPr>
        <w:pStyle w:val="13"/>
      </w:pPr>
    </w:p>
    <w:p>
      <w:pPr>
        <w:pStyle w:val="42"/>
        <w:rPr>
          <w:color w:val="auto"/>
        </w:rPr>
      </w:pPr>
    </w:p>
    <w:p>
      <w:pPr>
        <w:pStyle w:val="43"/>
      </w:pPr>
    </w:p>
    <w:p>
      <w:pPr>
        <w:snapToGrid w:val="0"/>
        <w:spacing w:line="360" w:lineRule="auto"/>
        <w:jc w:val="center"/>
        <w:rPr>
          <w:rFonts w:ascii="宋体" w:hAnsi="宋体"/>
          <w:sz w:val="24"/>
        </w:rPr>
      </w:pPr>
    </w:p>
    <w:p>
      <w:pPr>
        <w:snapToGrid w:val="0"/>
        <w:spacing w:line="360" w:lineRule="auto"/>
        <w:jc w:val="center"/>
        <w:rPr>
          <w:rFonts w:ascii="宋体" w:hAnsi="宋体"/>
          <w:sz w:val="30"/>
          <w:szCs w:val="20"/>
        </w:rPr>
      </w:pPr>
      <w:r>
        <w:rPr>
          <w:rFonts w:hint="eastAsia" w:ascii="宋体" w:hAnsi="宋体"/>
          <w:sz w:val="24"/>
        </w:rPr>
        <w:t>三、报价文件格式</w:t>
      </w:r>
    </w:p>
    <w:p>
      <w:pPr>
        <w:snapToGrid w:val="0"/>
        <w:spacing w:line="360" w:lineRule="auto"/>
        <w:rPr>
          <w:rFonts w:ascii="宋体" w:hAnsi="宋体"/>
          <w:sz w:val="24"/>
          <w:szCs w:val="20"/>
        </w:rPr>
      </w:pPr>
      <w:r>
        <w:rPr>
          <w:rFonts w:hint="eastAsia" w:ascii="宋体" w:hAnsi="宋体"/>
          <w:sz w:val="24"/>
        </w:rPr>
        <w:t>32.报价文件封面格式：</w:t>
      </w:r>
    </w:p>
    <w:p>
      <w:pPr>
        <w:snapToGrid w:val="0"/>
        <w:spacing w:line="360" w:lineRule="auto"/>
        <w:rPr>
          <w:rFonts w:ascii="宋体" w:hAnsi="宋体"/>
          <w:sz w:val="24"/>
          <w:szCs w:val="20"/>
        </w:rPr>
      </w:pPr>
    </w:p>
    <w:p>
      <w:pPr>
        <w:snapToGrid w:val="0"/>
        <w:spacing w:line="360" w:lineRule="auto"/>
        <w:jc w:val="center"/>
        <w:rPr>
          <w:rFonts w:ascii="宋体" w:hAnsi="宋体"/>
          <w:bCs/>
          <w:sz w:val="24"/>
          <w:szCs w:val="20"/>
        </w:rPr>
      </w:pPr>
    </w:p>
    <w:p>
      <w:pPr>
        <w:snapToGrid w:val="0"/>
        <w:spacing w:line="360" w:lineRule="auto"/>
        <w:jc w:val="center"/>
        <w:rPr>
          <w:rFonts w:ascii="宋体" w:hAnsi="宋体"/>
          <w:bCs/>
          <w:sz w:val="24"/>
          <w:szCs w:val="20"/>
        </w:rPr>
      </w:pPr>
      <w:r>
        <w:rPr>
          <w:rFonts w:hint="eastAsia" w:ascii="宋体" w:hAnsi="宋体"/>
          <w:bCs/>
          <w:sz w:val="24"/>
        </w:rPr>
        <w:t>报价文件</w:t>
      </w:r>
    </w:p>
    <w:p>
      <w:pPr>
        <w:snapToGrid w:val="0"/>
        <w:spacing w:line="360" w:lineRule="auto"/>
        <w:rPr>
          <w:rFonts w:ascii="宋体" w:hAnsi="宋体"/>
          <w:bCs/>
          <w:sz w:val="24"/>
          <w:szCs w:val="20"/>
        </w:rPr>
      </w:pPr>
    </w:p>
    <w:p>
      <w:pPr>
        <w:snapToGrid w:val="0"/>
        <w:spacing w:line="360" w:lineRule="auto"/>
        <w:ind w:firstLine="960" w:firstLineChars="400"/>
        <w:rPr>
          <w:rFonts w:ascii="宋体" w:hAnsi="宋体"/>
          <w:bCs/>
          <w:sz w:val="24"/>
        </w:rPr>
      </w:pPr>
      <w:r>
        <w:rPr>
          <w:rFonts w:hint="eastAsia" w:ascii="宋体" w:hAnsi="宋体"/>
          <w:bCs/>
          <w:sz w:val="24"/>
        </w:rPr>
        <w:t>项目名称：</w:t>
      </w:r>
      <w:r>
        <w:rPr>
          <w:rFonts w:hint="eastAsia" w:ascii="宋体" w:hAnsi="宋体"/>
          <w:spacing w:val="-20"/>
          <w:sz w:val="24"/>
        </w:rPr>
        <w:t>湖州市吴兴区教育局升降式课桌椅项目（标项1、2、3或4）</w:t>
      </w:r>
    </w:p>
    <w:p>
      <w:pPr>
        <w:snapToGrid w:val="0"/>
        <w:spacing w:line="360" w:lineRule="auto"/>
        <w:ind w:firstLine="1080" w:firstLineChars="450"/>
        <w:jc w:val="left"/>
        <w:rPr>
          <w:rFonts w:ascii="宋体" w:hAnsi="宋体"/>
          <w:sz w:val="24"/>
        </w:rPr>
      </w:pPr>
      <w:r>
        <w:rPr>
          <w:rFonts w:hint="eastAsia" w:ascii="宋体" w:hAnsi="宋体"/>
          <w:bCs/>
          <w:sz w:val="24"/>
        </w:rPr>
        <w:t>项目编号：HYHZ2022-80</w:t>
      </w:r>
    </w:p>
    <w:p>
      <w:pPr>
        <w:snapToGrid w:val="0"/>
        <w:spacing w:line="360" w:lineRule="auto"/>
        <w:ind w:firstLine="840" w:firstLineChars="350"/>
        <w:rPr>
          <w:sz w:val="24"/>
        </w:rPr>
      </w:pPr>
      <w:r>
        <w:rPr>
          <w:rFonts w:hint="eastAsia"/>
          <w:sz w:val="24"/>
        </w:rPr>
        <w:t xml:space="preserve"> 投标人名称：</w:t>
      </w:r>
    </w:p>
    <w:p>
      <w:pPr>
        <w:pStyle w:val="8"/>
        <w:snapToGrid w:val="0"/>
        <w:spacing w:line="360" w:lineRule="auto"/>
        <w:ind w:firstLine="998" w:firstLineChars="416"/>
        <w:rPr>
          <w:rFonts w:ascii="宋体" w:hAnsi="宋体"/>
          <w:bCs/>
          <w:sz w:val="24"/>
          <w:szCs w:val="24"/>
        </w:rPr>
      </w:pPr>
      <w:r>
        <w:rPr>
          <w:rFonts w:hint="eastAsia" w:ascii="宋体" w:hAnsi="宋体"/>
          <w:bCs/>
          <w:sz w:val="24"/>
          <w:szCs w:val="24"/>
        </w:rPr>
        <w:t>投标人地址：</w:t>
      </w:r>
    </w:p>
    <w:p>
      <w:pPr>
        <w:pStyle w:val="8"/>
        <w:snapToGrid w:val="0"/>
        <w:spacing w:line="360" w:lineRule="auto"/>
        <w:ind w:firstLine="960" w:firstLineChars="400"/>
        <w:rPr>
          <w:rFonts w:ascii="宋体" w:hAnsi="宋体"/>
          <w:bCs/>
          <w:sz w:val="24"/>
          <w:szCs w:val="24"/>
        </w:rPr>
      </w:pPr>
    </w:p>
    <w:p>
      <w:pPr>
        <w:pStyle w:val="8"/>
        <w:snapToGrid w:val="0"/>
        <w:spacing w:line="360" w:lineRule="auto"/>
        <w:ind w:firstLine="1497" w:firstLineChars="416"/>
        <w:rPr>
          <w:rFonts w:ascii="宋体" w:hAnsi="宋体"/>
          <w:sz w:val="36"/>
        </w:rPr>
      </w:pPr>
    </w:p>
    <w:p>
      <w:pPr>
        <w:snapToGrid w:val="0"/>
        <w:spacing w:line="360" w:lineRule="auto"/>
        <w:ind w:firstLine="4080" w:firstLineChars="1700"/>
        <w:rPr>
          <w:rFonts w:ascii="宋体" w:hAnsi="宋体"/>
          <w:sz w:val="24"/>
          <w:szCs w:val="20"/>
        </w:rPr>
      </w:pPr>
    </w:p>
    <w:p>
      <w:pPr>
        <w:snapToGrid w:val="0"/>
        <w:spacing w:line="360" w:lineRule="auto"/>
        <w:jc w:val="center"/>
        <w:rPr>
          <w:rFonts w:ascii="宋体" w:hAnsi="宋体"/>
          <w:sz w:val="30"/>
          <w:szCs w:val="20"/>
        </w:rPr>
      </w:pPr>
      <w:r>
        <w:rPr>
          <w:rFonts w:hint="eastAsia" w:ascii="宋体" w:hAnsi="宋体"/>
          <w:sz w:val="24"/>
        </w:rPr>
        <w:t>年月日</w:t>
      </w:r>
    </w:p>
    <w:p>
      <w:pPr>
        <w:snapToGrid w:val="0"/>
        <w:spacing w:line="360" w:lineRule="auto"/>
        <w:jc w:val="center"/>
        <w:rPr>
          <w:rFonts w:ascii="宋体" w:hAnsi="宋体"/>
          <w:sz w:val="30"/>
          <w:szCs w:val="20"/>
        </w:rPr>
      </w:pPr>
    </w:p>
    <w:p>
      <w:pPr>
        <w:snapToGrid w:val="0"/>
        <w:spacing w:line="360" w:lineRule="auto"/>
        <w:rPr>
          <w:rFonts w:ascii="宋体" w:hAnsi="宋体"/>
          <w:sz w:val="24"/>
          <w:szCs w:val="20"/>
        </w:rPr>
      </w:pPr>
      <w:r>
        <w:rPr>
          <w:rFonts w:ascii="宋体" w:hAnsi="宋体"/>
        </w:rPr>
        <w:br w:type="page"/>
      </w:r>
      <w:r>
        <w:rPr>
          <w:rFonts w:hint="eastAsia" w:ascii="宋体" w:hAnsi="宋体"/>
          <w:sz w:val="24"/>
        </w:rPr>
        <w:t>33.投标函格式：</w:t>
      </w:r>
    </w:p>
    <w:p>
      <w:pPr>
        <w:snapToGrid w:val="0"/>
        <w:spacing w:line="360" w:lineRule="auto"/>
        <w:jc w:val="center"/>
        <w:rPr>
          <w:rFonts w:ascii="宋体" w:hAnsi="宋体"/>
          <w:b/>
          <w:sz w:val="24"/>
          <w:szCs w:val="20"/>
        </w:rPr>
      </w:pPr>
      <w:r>
        <w:rPr>
          <w:rFonts w:hint="eastAsia" w:ascii="宋体" w:hAnsi="宋体"/>
          <w:b/>
          <w:sz w:val="24"/>
        </w:rPr>
        <w:t>投标函</w:t>
      </w:r>
    </w:p>
    <w:p>
      <w:pPr>
        <w:snapToGrid w:val="0"/>
        <w:spacing w:line="360" w:lineRule="auto"/>
        <w:rPr>
          <w:rFonts w:ascii="宋体" w:hAnsi="宋体"/>
          <w:sz w:val="24"/>
          <w:szCs w:val="20"/>
        </w:rPr>
      </w:pPr>
      <w:r>
        <w:rPr>
          <w:rFonts w:hint="eastAsia" w:ascii="宋体" w:hAnsi="宋体"/>
          <w:sz w:val="24"/>
        </w:rPr>
        <w:t>致：</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（招标采购单位名称）：</w:t>
      </w:r>
    </w:p>
    <w:p>
      <w:pPr>
        <w:snapToGrid w:val="0"/>
        <w:spacing w:line="360" w:lineRule="auto"/>
        <w:ind w:firstLine="480"/>
        <w:rPr>
          <w:rFonts w:ascii="宋体" w:hAnsi="宋体"/>
          <w:sz w:val="24"/>
          <w:szCs w:val="20"/>
        </w:rPr>
      </w:pPr>
      <w:r>
        <w:rPr>
          <w:rFonts w:hint="eastAsia" w:ascii="宋体" w:hAnsi="宋体"/>
          <w:sz w:val="24"/>
        </w:rPr>
        <w:t>根据贵方为项目的招标公告</w:t>
      </w:r>
      <w:r>
        <w:rPr>
          <w:rFonts w:ascii="宋体" w:hAnsi="宋体"/>
          <w:sz w:val="24"/>
        </w:rPr>
        <w:t>/</w:t>
      </w:r>
      <w:r>
        <w:rPr>
          <w:rFonts w:hint="eastAsia" w:ascii="宋体" w:hAnsi="宋体"/>
          <w:sz w:val="24"/>
        </w:rPr>
        <w:t>投标邀请书（项目编号：</w:t>
      </w:r>
      <w:r>
        <w:rPr>
          <w:rFonts w:ascii="宋体" w:hAnsi="宋体"/>
          <w:sz w:val="24"/>
        </w:rPr>
        <w:t>____</w:t>
      </w:r>
      <w:r>
        <w:rPr>
          <w:rFonts w:ascii="宋体" w:hAnsi="宋体"/>
          <w:sz w:val="24"/>
          <w:u w:val="single"/>
        </w:rPr>
        <w:t>_     _</w:t>
      </w:r>
      <w:r>
        <w:rPr>
          <w:rFonts w:ascii="宋体" w:hAnsi="宋体"/>
          <w:sz w:val="24"/>
        </w:rPr>
        <w:t>_</w:t>
      </w:r>
      <w:r>
        <w:rPr>
          <w:rFonts w:hint="eastAsia" w:ascii="宋体" w:hAnsi="宋体"/>
          <w:sz w:val="24"/>
        </w:rPr>
        <w:t>），签字代表</w:t>
      </w:r>
      <w:r>
        <w:rPr>
          <w:rFonts w:ascii="宋体" w:hAnsi="宋体"/>
          <w:sz w:val="24"/>
        </w:rPr>
        <w:t>______</w:t>
      </w:r>
      <w:r>
        <w:rPr>
          <w:rFonts w:ascii="宋体" w:hAnsi="宋体"/>
          <w:sz w:val="24"/>
          <w:u w:val="single"/>
        </w:rPr>
        <w:t xml:space="preserve">_     </w:t>
      </w:r>
      <w:r>
        <w:rPr>
          <w:rFonts w:hint="eastAsia" w:ascii="宋体" w:hAnsi="宋体"/>
          <w:sz w:val="24"/>
        </w:rPr>
        <w:t>（全名）经正式授权并代表投标人</w:t>
      </w:r>
      <w:r>
        <w:rPr>
          <w:rFonts w:ascii="宋体" w:hAnsi="宋体"/>
          <w:sz w:val="24"/>
        </w:rPr>
        <w:t>_____</w:t>
      </w:r>
      <w:r>
        <w:rPr>
          <w:rFonts w:ascii="宋体" w:hAnsi="宋体"/>
          <w:sz w:val="24"/>
          <w:u w:val="single"/>
        </w:rPr>
        <w:t>__                    __</w:t>
      </w:r>
      <w:r>
        <w:rPr>
          <w:rFonts w:hint="eastAsia" w:ascii="宋体" w:hAnsi="宋体"/>
          <w:sz w:val="24"/>
        </w:rPr>
        <w:t>（投标人名称）提交资格文件、技术/资信/商务文件</w:t>
      </w:r>
      <w:r>
        <w:rPr>
          <w:rFonts w:hint="eastAsia" w:ascii="宋体" w:hAnsi="宋体" w:cs="Arial"/>
          <w:sz w:val="24"/>
        </w:rPr>
        <w:t>、</w:t>
      </w:r>
      <w:r>
        <w:rPr>
          <w:rFonts w:hint="eastAsia" w:ascii="宋体" w:hAnsi="宋体"/>
          <w:sz w:val="24"/>
        </w:rPr>
        <w:t>投标报价文件一份。</w:t>
      </w:r>
    </w:p>
    <w:p>
      <w:pPr>
        <w:snapToGrid w:val="0"/>
        <w:spacing w:line="360" w:lineRule="auto"/>
        <w:ind w:firstLine="480" w:firstLineChars="200"/>
        <w:rPr>
          <w:rFonts w:ascii="宋体" w:hAnsi="宋体"/>
          <w:sz w:val="24"/>
          <w:szCs w:val="20"/>
        </w:rPr>
      </w:pPr>
      <w:r>
        <w:rPr>
          <w:rFonts w:hint="eastAsia" w:ascii="宋体" w:hAnsi="宋体"/>
          <w:sz w:val="24"/>
        </w:rPr>
        <w:t>据此函，签字代表宣布同意如下：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sz w:val="24"/>
          <w:szCs w:val="20"/>
        </w:rPr>
      </w:pPr>
      <w:r>
        <w:rPr>
          <w:rFonts w:ascii="宋体" w:hAnsi="宋体"/>
          <w:sz w:val="24"/>
        </w:rPr>
        <w:t>2</w:t>
      </w:r>
      <w:r>
        <w:rPr>
          <w:rFonts w:hint="eastAsia" w:ascii="宋体" w:hAnsi="宋体"/>
          <w:sz w:val="24"/>
        </w:rPr>
        <w:t>.投标人在投标之前已经与贵方进行了充分的沟通，完全理解并接受招标文件的各项规定和要求，对招标文件的合理性、合法性不再有异议。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sz w:val="24"/>
          <w:szCs w:val="20"/>
        </w:rPr>
      </w:pPr>
      <w:r>
        <w:rPr>
          <w:rFonts w:ascii="宋体" w:hAnsi="宋体"/>
          <w:sz w:val="24"/>
        </w:rPr>
        <w:t>3</w:t>
      </w:r>
      <w:r>
        <w:rPr>
          <w:rFonts w:hint="eastAsia" w:ascii="宋体" w:hAnsi="宋体"/>
          <w:sz w:val="24"/>
        </w:rPr>
        <w:t>.本投标有效期自开标日起</w:t>
      </w:r>
      <w:r>
        <w:rPr>
          <w:rFonts w:ascii="宋体" w:hAnsi="宋体"/>
          <w:sz w:val="24"/>
        </w:rPr>
        <w:t xml:space="preserve"> ______</w:t>
      </w:r>
      <w:r>
        <w:rPr>
          <w:rFonts w:hint="eastAsia" w:ascii="宋体" w:hAnsi="宋体"/>
          <w:sz w:val="24"/>
        </w:rPr>
        <w:t>个日。</w:t>
      </w:r>
    </w:p>
    <w:p>
      <w:pPr>
        <w:snapToGrid w:val="0"/>
        <w:spacing w:line="360" w:lineRule="auto"/>
        <w:ind w:firstLine="480" w:firstLineChars="200"/>
        <w:rPr>
          <w:rFonts w:ascii="宋体" w:hAnsi="宋体"/>
          <w:sz w:val="24"/>
          <w:szCs w:val="20"/>
        </w:rPr>
      </w:pPr>
      <w:r>
        <w:rPr>
          <w:rFonts w:ascii="宋体" w:hAnsi="宋体"/>
          <w:sz w:val="24"/>
        </w:rPr>
        <w:t>4</w:t>
      </w:r>
      <w:r>
        <w:rPr>
          <w:rFonts w:hint="eastAsia" w:ascii="宋体" w:hAnsi="宋体"/>
          <w:sz w:val="24"/>
        </w:rPr>
        <w:t>.如中标，本投标文件至本项目合同履行完毕止均保持有效，本投标人将按“招标文件”及政府采购法律、法规的规定履行合同责任和义务。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sz w:val="24"/>
          <w:szCs w:val="20"/>
        </w:rPr>
      </w:pPr>
      <w:r>
        <w:rPr>
          <w:rFonts w:ascii="宋体" w:hAnsi="宋体"/>
          <w:sz w:val="24"/>
        </w:rPr>
        <w:t>5</w:t>
      </w:r>
      <w:r>
        <w:rPr>
          <w:rFonts w:hint="eastAsia" w:ascii="宋体" w:hAnsi="宋体"/>
          <w:sz w:val="24"/>
        </w:rPr>
        <w:t>.投标人同意按照贵方要求提供与投标有关的一切数据或资料。</w:t>
      </w:r>
    </w:p>
    <w:p>
      <w:pPr>
        <w:snapToGrid w:val="0"/>
        <w:spacing w:line="360" w:lineRule="auto"/>
        <w:ind w:firstLine="480" w:firstLineChars="200"/>
        <w:rPr>
          <w:rFonts w:ascii="宋体" w:hAnsi="宋体"/>
          <w:sz w:val="24"/>
          <w:szCs w:val="20"/>
        </w:rPr>
      </w:pPr>
      <w:r>
        <w:rPr>
          <w:rFonts w:ascii="宋体" w:hAnsi="宋体"/>
          <w:sz w:val="24"/>
        </w:rPr>
        <w:t>6</w:t>
      </w:r>
      <w:r>
        <w:rPr>
          <w:rFonts w:hint="eastAsia" w:ascii="宋体" w:hAnsi="宋体"/>
          <w:sz w:val="24"/>
        </w:rPr>
        <w:t>.与本投标有关的一切正式往来信函请寄：</w:t>
      </w:r>
    </w:p>
    <w:p>
      <w:pPr>
        <w:snapToGrid w:val="0"/>
        <w:spacing w:line="360" w:lineRule="auto"/>
        <w:rPr>
          <w:rFonts w:ascii="宋体" w:hAnsi="宋体"/>
          <w:sz w:val="24"/>
          <w:szCs w:val="20"/>
        </w:rPr>
      </w:pPr>
      <w:r>
        <w:rPr>
          <w:rFonts w:hint="eastAsia" w:ascii="宋体" w:hAnsi="宋体"/>
          <w:sz w:val="24"/>
        </w:rPr>
        <w:t>地址：</w:t>
      </w:r>
      <w:r>
        <w:rPr>
          <w:rFonts w:ascii="宋体" w:hAnsi="宋体"/>
          <w:sz w:val="24"/>
        </w:rPr>
        <w:t>__________</w:t>
      </w:r>
      <w:r>
        <w:rPr>
          <w:rFonts w:ascii="宋体" w:hAnsi="宋体"/>
          <w:sz w:val="24"/>
          <w:u w:val="single"/>
        </w:rPr>
        <w:t xml:space="preserve">        _</w:t>
      </w:r>
      <w:r>
        <w:rPr>
          <w:rFonts w:ascii="宋体" w:hAnsi="宋体"/>
          <w:sz w:val="24"/>
        </w:rPr>
        <w:t>____</w:t>
      </w:r>
      <w:r>
        <w:rPr>
          <w:rFonts w:hint="eastAsia" w:ascii="宋体" w:hAnsi="宋体"/>
          <w:sz w:val="24"/>
        </w:rPr>
        <w:t>邮编：</w:t>
      </w:r>
      <w:r>
        <w:rPr>
          <w:rFonts w:ascii="宋体" w:hAnsi="宋体"/>
          <w:sz w:val="24"/>
        </w:rPr>
        <w:t xml:space="preserve">__________   </w:t>
      </w:r>
      <w:r>
        <w:rPr>
          <w:rFonts w:hint="eastAsia" w:ascii="宋体" w:hAnsi="宋体"/>
          <w:sz w:val="24"/>
        </w:rPr>
        <w:t>电话：</w:t>
      </w:r>
      <w:r>
        <w:rPr>
          <w:rFonts w:ascii="宋体" w:hAnsi="宋体"/>
          <w:sz w:val="24"/>
        </w:rPr>
        <w:t>______________</w:t>
      </w:r>
    </w:p>
    <w:p>
      <w:pPr>
        <w:snapToGrid w:val="0"/>
        <w:spacing w:line="360" w:lineRule="auto"/>
        <w:rPr>
          <w:rFonts w:ascii="宋体" w:hAnsi="宋体"/>
          <w:sz w:val="24"/>
          <w:szCs w:val="20"/>
        </w:rPr>
      </w:pPr>
      <w:r>
        <w:rPr>
          <w:rFonts w:hint="eastAsia" w:ascii="宋体" w:hAnsi="宋体"/>
          <w:sz w:val="24"/>
        </w:rPr>
        <w:t>传真：</w:t>
      </w:r>
      <w:r>
        <w:rPr>
          <w:rFonts w:ascii="宋体" w:hAnsi="宋体"/>
          <w:sz w:val="24"/>
        </w:rPr>
        <w:t>______________</w:t>
      </w:r>
      <w:r>
        <w:rPr>
          <w:rFonts w:hint="eastAsia" w:ascii="宋体" w:hAnsi="宋体"/>
          <w:sz w:val="24"/>
        </w:rPr>
        <w:t>投标人代表姓名</w:t>
      </w:r>
      <w:r>
        <w:rPr>
          <w:rFonts w:ascii="宋体" w:hAnsi="宋体"/>
          <w:sz w:val="24"/>
        </w:rPr>
        <w:t xml:space="preserve"> ___________  </w:t>
      </w:r>
      <w:r>
        <w:rPr>
          <w:rFonts w:hint="eastAsia" w:ascii="宋体" w:hAnsi="宋体"/>
          <w:sz w:val="24"/>
        </w:rPr>
        <w:t>职务：</w:t>
      </w:r>
      <w:r>
        <w:rPr>
          <w:rFonts w:ascii="宋体" w:hAnsi="宋体"/>
          <w:sz w:val="24"/>
        </w:rPr>
        <w:t>_____________</w:t>
      </w:r>
    </w:p>
    <w:p>
      <w:pPr>
        <w:snapToGrid w:val="0"/>
        <w:spacing w:line="360" w:lineRule="auto"/>
        <w:rPr>
          <w:rFonts w:ascii="宋体" w:hAnsi="宋体"/>
          <w:sz w:val="24"/>
          <w:szCs w:val="20"/>
        </w:rPr>
      </w:pPr>
      <w:r>
        <w:rPr>
          <w:rFonts w:hint="eastAsia" w:ascii="宋体" w:hAnsi="宋体"/>
          <w:sz w:val="24"/>
        </w:rPr>
        <w:t>投标人名称</w:t>
      </w:r>
      <w:r>
        <w:rPr>
          <w:rFonts w:ascii="宋体" w:hAnsi="宋体"/>
          <w:sz w:val="24"/>
        </w:rPr>
        <w:t>(</w:t>
      </w:r>
      <w:r>
        <w:rPr>
          <w:rFonts w:hint="eastAsia" w:ascii="宋体" w:hAnsi="宋体"/>
          <w:sz w:val="24"/>
        </w:rPr>
        <w:t>公章</w:t>
      </w:r>
      <w:r>
        <w:rPr>
          <w:rFonts w:ascii="宋体" w:hAnsi="宋体"/>
          <w:sz w:val="24"/>
        </w:rPr>
        <w:t>):___________________</w:t>
      </w:r>
    </w:p>
    <w:p>
      <w:pPr>
        <w:snapToGrid w:val="0"/>
        <w:spacing w:line="360" w:lineRule="auto"/>
        <w:rPr>
          <w:rFonts w:ascii="宋体" w:hAnsi="宋体"/>
          <w:sz w:val="24"/>
          <w:szCs w:val="20"/>
        </w:rPr>
      </w:pPr>
      <w:r>
        <w:rPr>
          <w:rFonts w:hint="eastAsia" w:ascii="宋体" w:hAnsi="宋体"/>
          <w:sz w:val="24"/>
        </w:rPr>
        <w:t>开户银行：银行账号：</w:t>
      </w:r>
    </w:p>
    <w:p>
      <w:pPr>
        <w:snapToGrid w:val="0"/>
        <w:spacing w:line="360" w:lineRule="auto"/>
        <w:rPr>
          <w:rFonts w:ascii="宋体" w:hAnsi="宋体"/>
          <w:sz w:val="30"/>
          <w:szCs w:val="20"/>
        </w:rPr>
      </w:pPr>
      <w:r>
        <w:rPr>
          <w:rFonts w:hint="eastAsia" w:ascii="宋体" w:hAnsi="宋体"/>
          <w:sz w:val="24"/>
        </w:rPr>
        <w:t>法定代表人签字</w:t>
      </w:r>
      <w:r>
        <w:rPr>
          <w:rFonts w:ascii="宋体" w:hAnsi="宋体"/>
          <w:sz w:val="24"/>
        </w:rPr>
        <w:t xml:space="preserve">:___________                      </w:t>
      </w: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pStyle w:val="18"/>
        <w:snapToGrid w:val="0"/>
        <w:spacing w:beforeLines="0" w:afterLines="0" w:line="360" w:lineRule="auto"/>
        <w:rPr>
          <w:rFonts w:hAnsi="宋体"/>
        </w:rPr>
      </w:pPr>
    </w:p>
    <w:p>
      <w:pPr>
        <w:snapToGrid w:val="0"/>
        <w:spacing w:line="360" w:lineRule="auto"/>
        <w:jc w:val="left"/>
        <w:rPr>
          <w:rFonts w:hAnsi="宋体" w:cs="仿宋"/>
        </w:rPr>
      </w:pPr>
      <w:r>
        <w:rPr>
          <w:rFonts w:hAnsi="宋体"/>
        </w:rPr>
        <w:br w:type="page"/>
      </w:r>
    </w:p>
    <w:p>
      <w:pPr>
        <w:pStyle w:val="18"/>
        <w:snapToGrid w:val="0"/>
        <w:spacing w:beforeLines="0" w:afterLines="0" w:line="360" w:lineRule="auto"/>
        <w:rPr>
          <w:rFonts w:hAnsi="宋体"/>
        </w:rPr>
      </w:pPr>
      <w:r>
        <w:rPr>
          <w:rFonts w:hint="eastAsia" w:hAnsi="宋体" w:cs="仿宋"/>
        </w:rPr>
        <w:t>34.</w:t>
      </w:r>
      <w:r>
        <w:rPr>
          <w:rFonts w:hAnsi="宋体"/>
        </w:rPr>
        <w:t xml:space="preserve">投标报价明细表格式：       </w:t>
      </w:r>
    </w:p>
    <w:p>
      <w:pPr>
        <w:pStyle w:val="18"/>
        <w:snapToGrid w:val="0"/>
        <w:spacing w:beforeLines="0" w:afterLines="0" w:line="360" w:lineRule="auto"/>
        <w:jc w:val="center"/>
        <w:rPr>
          <w:rFonts w:hAnsi="宋体"/>
        </w:rPr>
      </w:pPr>
      <w:r>
        <w:rPr>
          <w:rFonts w:hAnsi="宋体"/>
        </w:rPr>
        <w:t>投标报价明细表</w:t>
      </w:r>
    </w:p>
    <w:p>
      <w:pPr>
        <w:pStyle w:val="18"/>
        <w:snapToGrid w:val="0"/>
        <w:spacing w:beforeLines="0" w:afterLines="0" w:line="360" w:lineRule="auto"/>
        <w:rPr>
          <w:rFonts w:hAnsi="宋体"/>
          <w:sz w:val="30"/>
        </w:rPr>
      </w:pPr>
      <w:r>
        <w:rPr>
          <w:rFonts w:hAnsi="宋体"/>
        </w:rPr>
        <w:t>项目名称：</w:t>
      </w:r>
      <w:r>
        <w:rPr>
          <w:rFonts w:hAnsi="宋体"/>
          <w:szCs w:val="21"/>
        </w:rPr>
        <w:t>金额单位：人民币（元）</w:t>
      </w:r>
    </w:p>
    <w:tbl>
      <w:tblPr>
        <w:tblStyle w:val="33"/>
        <w:tblW w:w="1044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20"/>
        <w:gridCol w:w="1080"/>
        <w:gridCol w:w="1440"/>
        <w:gridCol w:w="8"/>
        <w:gridCol w:w="1612"/>
        <w:gridCol w:w="1260"/>
        <w:gridCol w:w="144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360" w:lineRule="auto"/>
              <w:jc w:val="center"/>
              <w:rPr>
                <w:rFonts w:ascii="宋体" w:hAnsi="宋体"/>
                <w:spacing w:val="20"/>
                <w:sz w:val="24"/>
                <w:szCs w:val="20"/>
              </w:rPr>
            </w:pPr>
            <w:r>
              <w:rPr>
                <w:rFonts w:hint="eastAsia" w:ascii="宋体" w:hAnsi="宋体"/>
                <w:sz w:val="24"/>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360" w:lineRule="auto"/>
              <w:jc w:val="center"/>
              <w:rPr>
                <w:rFonts w:ascii="宋体" w:hAnsi="宋体"/>
                <w:spacing w:val="20"/>
                <w:sz w:val="24"/>
                <w:szCs w:val="20"/>
              </w:rPr>
            </w:pPr>
            <w:r>
              <w:rPr>
                <w:rFonts w:hint="eastAsia" w:ascii="宋体" w:hAnsi="宋体"/>
                <w:sz w:val="24"/>
              </w:rPr>
              <w:t>设备名称</w:t>
            </w:r>
          </w:p>
        </w:tc>
        <w:tc>
          <w:tcPr>
            <w:tcW w:w="1080" w:type="dxa"/>
            <w:tcBorders>
              <w:top w:val="single" w:color="auto" w:sz="4" w:space="0"/>
              <w:left w:val="single" w:color="auto" w:sz="4" w:space="0"/>
              <w:bottom w:val="single" w:color="auto" w:sz="4" w:space="0"/>
              <w:right w:val="single" w:color="auto" w:sz="4" w:space="0"/>
            </w:tcBorders>
            <w:vAlign w:val="center"/>
          </w:tcPr>
          <w:p>
            <w:pPr>
              <w:pStyle w:val="46"/>
              <w:snapToGrid w:val="0"/>
              <w:rPr>
                <w:rFonts w:ascii="宋体" w:hAnsi="宋体" w:eastAsia="宋体"/>
              </w:rPr>
            </w:pPr>
            <w:r>
              <w:rPr>
                <w:rFonts w:ascii="宋体" w:hAnsi="宋体" w:eastAsia="宋体"/>
              </w:rPr>
              <w:t>品牌</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360" w:lineRule="auto"/>
              <w:jc w:val="center"/>
              <w:rPr>
                <w:rFonts w:ascii="宋体" w:hAnsi="宋体"/>
                <w:spacing w:val="20"/>
                <w:sz w:val="24"/>
                <w:szCs w:val="20"/>
              </w:rPr>
            </w:pPr>
            <w:r>
              <w:rPr>
                <w:rFonts w:hint="eastAsia" w:ascii="宋体" w:hAnsi="宋体"/>
                <w:sz w:val="24"/>
              </w:rPr>
              <w:t>规格型号</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360" w:lineRule="auto"/>
              <w:jc w:val="center"/>
              <w:rPr>
                <w:rFonts w:ascii="宋体" w:hAnsi="宋体"/>
                <w:spacing w:val="20"/>
                <w:sz w:val="24"/>
                <w:szCs w:val="20"/>
              </w:rPr>
            </w:pPr>
            <w:r>
              <w:rPr>
                <w:rFonts w:hint="eastAsia" w:ascii="宋体" w:hAnsi="宋体"/>
                <w:sz w:val="24"/>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360" w:lineRule="auto"/>
              <w:jc w:val="center"/>
              <w:rPr>
                <w:rFonts w:ascii="宋体" w:hAnsi="宋体"/>
                <w:spacing w:val="20"/>
                <w:sz w:val="24"/>
                <w:szCs w:val="20"/>
              </w:rPr>
            </w:pPr>
            <w:r>
              <w:rPr>
                <w:rFonts w:hint="eastAsia" w:ascii="宋体" w:hAnsi="宋体"/>
                <w:sz w:val="24"/>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360" w:lineRule="auto"/>
              <w:jc w:val="center"/>
              <w:rPr>
                <w:rFonts w:ascii="宋体" w:hAnsi="宋体"/>
                <w:spacing w:val="20"/>
                <w:sz w:val="24"/>
                <w:szCs w:val="20"/>
              </w:rPr>
            </w:pPr>
            <w:r>
              <w:rPr>
                <w:rFonts w:hint="eastAsia" w:ascii="宋体" w:hAnsi="宋体"/>
                <w:sz w:val="24"/>
              </w:rPr>
              <w:t>金额</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360" w:lineRule="auto"/>
              <w:jc w:val="center"/>
              <w:rPr>
                <w:rFonts w:ascii="宋体" w:hAnsi="宋体"/>
                <w:sz w:val="24"/>
              </w:rPr>
            </w:pPr>
            <w:r>
              <w:rPr>
                <w:rFonts w:hint="eastAsia" w:ascii="宋体" w:hAnsi="宋体"/>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vAlign w:val="center"/>
          </w:tcPr>
          <w:p>
            <w:pPr>
              <w:widowControl/>
              <w:jc w:val="left"/>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kern w:val="0"/>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微软雅黑" w:hAnsi="微软雅黑" w:eastAsia="微软雅黑" w:cs="微软雅黑"/>
                <w:kern w:val="0"/>
                <w:sz w:val="18"/>
                <w:szCs w:val="1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微软雅黑" w:hAnsi="微软雅黑" w:eastAsia="微软雅黑" w:cs="微软雅黑"/>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微软雅黑" w:hAnsi="微软雅黑" w:eastAsia="微软雅黑" w:cs="微软雅黑"/>
                <w:kern w:val="0"/>
                <w:sz w:val="18"/>
                <w:szCs w:val="1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微软雅黑" w:hAnsi="微软雅黑" w:eastAsia="微软雅黑" w:cs="微软雅黑"/>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微软雅黑" w:hAnsi="微软雅黑" w:eastAsia="微软雅黑" w:cs="微软雅黑"/>
                <w:kern w:val="0"/>
                <w:sz w:val="18"/>
                <w:szCs w:val="1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微软雅黑" w:hAnsi="微软雅黑" w:eastAsia="微软雅黑" w:cs="微软雅黑"/>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微软雅黑" w:hAnsi="微软雅黑" w:eastAsia="微软雅黑" w:cs="微软雅黑"/>
                <w:kern w:val="0"/>
                <w:sz w:val="18"/>
                <w:szCs w:val="1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微软雅黑" w:hAnsi="微软雅黑" w:eastAsia="微软雅黑" w:cs="微软雅黑"/>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微软雅黑" w:hAnsi="微软雅黑" w:eastAsia="微软雅黑" w:cs="微软雅黑"/>
                <w:kern w:val="0"/>
                <w:sz w:val="18"/>
                <w:szCs w:val="1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微软雅黑" w:hAnsi="微软雅黑" w:eastAsia="微软雅黑" w:cs="微软雅黑"/>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微软雅黑" w:hAnsi="微软雅黑" w:eastAsia="微软雅黑" w:cs="微软雅黑"/>
                <w:kern w:val="0"/>
                <w:sz w:val="18"/>
                <w:szCs w:val="1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微软雅黑" w:hAnsi="微软雅黑" w:eastAsia="微软雅黑" w:cs="微软雅黑"/>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微软雅黑" w:hAnsi="微软雅黑" w:eastAsia="微软雅黑" w:cs="微软雅黑"/>
                <w:kern w:val="0"/>
                <w:sz w:val="18"/>
                <w:szCs w:val="1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微软雅黑" w:hAnsi="微软雅黑" w:eastAsia="微软雅黑" w:cs="微软雅黑"/>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微软雅黑" w:hAnsi="微软雅黑" w:eastAsia="微软雅黑" w:cs="微软雅黑"/>
                <w:kern w:val="0"/>
                <w:sz w:val="18"/>
                <w:szCs w:val="18"/>
              </w:rPr>
            </w:pP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微软雅黑" w:hAnsi="微软雅黑" w:eastAsia="微软雅黑" w:cs="微软雅黑"/>
                <w:kern w:val="0"/>
                <w:sz w:val="18"/>
                <w:szCs w:val="1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0" w:type="dxa"/>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r>
              <w:rPr>
                <w:rFonts w:hint="eastAsia" w:ascii="宋体" w:hAnsi="宋体"/>
                <w:spacing w:val="20"/>
                <w:sz w:val="24"/>
              </w:rPr>
              <w:t>投标费用及利润</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4140" w:type="dxa"/>
            <w:gridSpan w:val="3"/>
            <w:tcBorders>
              <w:top w:val="single" w:color="auto" w:sz="4" w:space="0"/>
              <w:left w:val="single" w:color="auto" w:sz="4" w:space="0"/>
              <w:bottom w:val="single" w:color="auto" w:sz="4" w:space="0"/>
              <w:right w:val="single" w:color="auto" w:sz="4" w:space="0"/>
            </w:tcBorders>
          </w:tcPr>
          <w:p>
            <w:pPr>
              <w:pStyle w:val="52"/>
              <w:tabs>
                <w:tab w:val="left" w:pos="1418"/>
              </w:tabs>
              <w:snapToGrid w:val="0"/>
              <w:spacing w:line="360" w:lineRule="auto"/>
              <w:rPr>
                <w:rFonts w:ascii="宋体" w:hAnsi="宋体"/>
                <w:spacing w:val="20"/>
                <w:szCs w:val="24"/>
              </w:rPr>
            </w:pPr>
            <w:r>
              <w:rPr>
                <w:rFonts w:hint="eastAsia" w:ascii="宋体" w:hAnsi="宋体"/>
                <w:spacing w:val="20"/>
                <w:szCs w:val="24"/>
              </w:rPr>
              <w:t>运输费、安装调试费</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4140" w:type="dxa"/>
            <w:gridSpan w:val="3"/>
            <w:tcBorders>
              <w:top w:val="single" w:color="auto" w:sz="4" w:space="0"/>
              <w:left w:val="single" w:color="auto" w:sz="4" w:space="0"/>
              <w:bottom w:val="single" w:color="auto" w:sz="4" w:space="0"/>
              <w:right w:val="single" w:color="auto" w:sz="4" w:space="0"/>
            </w:tcBorders>
          </w:tcPr>
          <w:p>
            <w:pPr>
              <w:pStyle w:val="52"/>
              <w:tabs>
                <w:tab w:val="left" w:pos="1418"/>
              </w:tabs>
              <w:snapToGrid w:val="0"/>
              <w:spacing w:line="360" w:lineRule="auto"/>
              <w:rPr>
                <w:rFonts w:ascii="宋体" w:hAnsi="宋体"/>
                <w:spacing w:val="20"/>
                <w:szCs w:val="24"/>
              </w:rPr>
            </w:pPr>
            <w:r>
              <w:rPr>
                <w:rFonts w:hint="eastAsia" w:ascii="宋体" w:hAnsi="宋体"/>
                <w:spacing w:val="20"/>
                <w:szCs w:val="24"/>
              </w:rPr>
              <w:t>代理费</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4140" w:type="dxa"/>
            <w:gridSpan w:val="3"/>
            <w:tcBorders>
              <w:top w:val="single" w:color="auto" w:sz="4" w:space="0"/>
              <w:left w:val="single" w:color="auto" w:sz="4" w:space="0"/>
              <w:bottom w:val="single" w:color="auto" w:sz="4" w:space="0"/>
              <w:right w:val="single" w:color="auto" w:sz="4" w:space="0"/>
            </w:tcBorders>
          </w:tcPr>
          <w:p>
            <w:pPr>
              <w:pStyle w:val="52"/>
              <w:tabs>
                <w:tab w:val="left" w:pos="1418"/>
              </w:tabs>
              <w:snapToGrid w:val="0"/>
              <w:spacing w:line="360" w:lineRule="auto"/>
              <w:rPr>
                <w:rFonts w:ascii="宋体" w:hAnsi="宋体"/>
                <w:spacing w:val="20"/>
                <w:szCs w:val="24"/>
              </w:rPr>
            </w:pPr>
            <w:r>
              <w:rPr>
                <w:rFonts w:hint="eastAsia" w:ascii="宋体" w:hAnsi="宋体"/>
                <w:spacing w:val="20"/>
                <w:szCs w:val="24"/>
              </w:rPr>
              <w:t>其他：</w:t>
            </w:r>
          </w:p>
        </w:tc>
        <w:tc>
          <w:tcPr>
            <w:tcW w:w="1620"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4148"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rPr>
                <w:rFonts w:ascii="宋体" w:hAnsi="宋体"/>
                <w:spacing w:val="20"/>
                <w:sz w:val="24"/>
                <w:szCs w:val="20"/>
              </w:rPr>
            </w:pPr>
            <w:r>
              <w:rPr>
                <w:rFonts w:hint="eastAsia" w:ascii="宋体" w:hAnsi="宋体"/>
                <w:spacing w:val="20"/>
                <w:sz w:val="24"/>
              </w:rPr>
              <w:t>税费及附加</w:t>
            </w:r>
          </w:p>
        </w:tc>
        <w:tc>
          <w:tcPr>
            <w:tcW w:w="287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ind w:left="8"/>
              <w:rPr>
                <w:rFonts w:ascii="宋体" w:hAnsi="宋体"/>
                <w:spacing w:val="20"/>
                <w:sz w:val="24"/>
                <w:szCs w:val="20"/>
              </w:rPr>
            </w:pPr>
            <w:r>
              <w:rPr>
                <w:rFonts w:hint="eastAsia" w:ascii="宋体" w:hAnsi="宋体"/>
                <w:spacing w:val="20"/>
                <w:sz w:val="24"/>
              </w:rPr>
              <w:t>税费率</w:t>
            </w:r>
            <w:r>
              <w:rPr>
                <w:rFonts w:ascii="宋体" w:hAnsi="宋体"/>
                <w:spacing w:val="20"/>
                <w:sz w:val="24"/>
              </w:rPr>
              <w:t>: %</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4148"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rPr>
                <w:rFonts w:ascii="宋体" w:hAnsi="宋体"/>
                <w:spacing w:val="20"/>
                <w:sz w:val="24"/>
                <w:szCs w:val="20"/>
              </w:rPr>
            </w:pPr>
            <w:r>
              <w:rPr>
                <w:rFonts w:hint="eastAsia" w:ascii="宋体" w:hAnsi="宋体"/>
                <w:spacing w:val="20"/>
                <w:sz w:val="24"/>
              </w:rPr>
              <w:t>项目毛利</w:t>
            </w:r>
          </w:p>
        </w:tc>
        <w:tc>
          <w:tcPr>
            <w:tcW w:w="287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ind w:left="8"/>
              <w:rPr>
                <w:rFonts w:ascii="宋体" w:hAnsi="宋体"/>
                <w:spacing w:val="20"/>
                <w:sz w:val="24"/>
                <w:szCs w:val="20"/>
              </w:rPr>
            </w:pPr>
            <w:r>
              <w:rPr>
                <w:rFonts w:hint="eastAsia" w:ascii="宋体" w:hAnsi="宋体"/>
                <w:spacing w:val="20"/>
                <w:sz w:val="24"/>
              </w:rPr>
              <w:t>毛利率：</w:t>
            </w:r>
            <w:r>
              <w:rPr>
                <w:rFonts w:ascii="宋体" w:hAnsi="宋体"/>
                <w:spacing w:val="20"/>
                <w:sz w:val="24"/>
              </w:rPr>
              <w:t>%</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60" w:type="dxa"/>
            <w:gridSpan w:val="7"/>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r>
              <w:rPr>
                <w:rFonts w:hint="eastAsia" w:ascii="宋体" w:hAnsi="宋体"/>
                <w:spacing w:val="20"/>
                <w:sz w:val="24"/>
              </w:rPr>
              <w:t>投 标 总价</w:t>
            </w: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c>
          <w:tcPr>
            <w:tcW w:w="144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360" w:lineRule="auto"/>
              <w:jc w:val="center"/>
              <w:rPr>
                <w:rFonts w:ascii="宋体" w:hAnsi="宋体"/>
                <w:spacing w:val="20"/>
                <w:sz w:val="24"/>
                <w:szCs w:val="20"/>
              </w:rPr>
            </w:pPr>
          </w:p>
        </w:tc>
      </w:tr>
    </w:tbl>
    <w:p>
      <w:pPr>
        <w:tabs>
          <w:tab w:val="left" w:pos="1418"/>
        </w:tabs>
        <w:snapToGrid w:val="0"/>
        <w:spacing w:line="360" w:lineRule="auto"/>
        <w:ind w:left="1418" w:hanging="567"/>
        <w:jc w:val="center"/>
        <w:rPr>
          <w:rFonts w:ascii="宋体" w:hAnsi="宋体"/>
          <w:spacing w:val="20"/>
          <w:sz w:val="24"/>
          <w:szCs w:val="20"/>
          <w:u w:val="single"/>
        </w:rPr>
      </w:pPr>
    </w:p>
    <w:p>
      <w:pPr>
        <w:snapToGrid w:val="0"/>
        <w:spacing w:line="360" w:lineRule="auto"/>
        <w:rPr>
          <w:rFonts w:ascii="宋体" w:hAnsi="宋体"/>
          <w:spacing w:val="20"/>
          <w:sz w:val="24"/>
          <w:szCs w:val="20"/>
          <w:u w:val="single"/>
        </w:rPr>
      </w:pPr>
      <w:r>
        <w:rPr>
          <w:rFonts w:hint="eastAsia" w:ascii="宋体" w:hAnsi="宋体"/>
          <w:spacing w:val="20"/>
          <w:sz w:val="24"/>
        </w:rPr>
        <w:t>授权代表签名：</w:t>
      </w:r>
    </w:p>
    <w:p>
      <w:pPr>
        <w:snapToGrid w:val="0"/>
        <w:spacing w:line="360" w:lineRule="auto"/>
        <w:rPr>
          <w:rFonts w:ascii="宋体" w:hAnsi="宋体"/>
          <w:spacing w:val="20"/>
          <w:sz w:val="24"/>
          <w:u w:val="single"/>
        </w:rPr>
      </w:pPr>
      <w:r>
        <w:rPr>
          <w:rFonts w:hint="eastAsia" w:ascii="宋体" w:hAnsi="宋体"/>
          <w:spacing w:val="20"/>
          <w:sz w:val="24"/>
        </w:rPr>
        <w:t>投标人盖章：日期：</w:t>
      </w:r>
    </w:p>
    <w:p>
      <w:pPr>
        <w:pStyle w:val="13"/>
      </w:pPr>
    </w:p>
    <w:p>
      <w:pPr>
        <w:spacing w:line="360" w:lineRule="auto"/>
      </w:pPr>
    </w:p>
    <w:p>
      <w:pPr>
        <w:spacing w:line="360" w:lineRule="auto"/>
        <w:rPr>
          <w:sz w:val="24"/>
        </w:rPr>
      </w:pPr>
      <w:r>
        <w:rPr>
          <w:rFonts w:hint="eastAsia"/>
          <w:sz w:val="24"/>
        </w:rPr>
        <w:t>35. 招标代理服务费承诺函</w:t>
      </w:r>
    </w:p>
    <w:p>
      <w:pPr>
        <w:spacing w:line="360" w:lineRule="auto"/>
        <w:jc w:val="center"/>
        <w:rPr>
          <w:b/>
          <w:sz w:val="32"/>
        </w:rPr>
      </w:pPr>
    </w:p>
    <w:p>
      <w:pPr>
        <w:tabs>
          <w:tab w:val="left" w:pos="2996"/>
        </w:tabs>
        <w:spacing w:line="360" w:lineRule="auto"/>
        <w:ind w:firstLine="480" w:firstLineChars="200"/>
        <w:rPr>
          <w:sz w:val="24"/>
        </w:rPr>
      </w:pPr>
      <w:r>
        <w:rPr>
          <w:rFonts w:hint="eastAsia"/>
          <w:sz w:val="24"/>
        </w:rPr>
        <w:t>根据国家计委、物价局文件和招标文件的规定，一旦我公司中标，我公司同意按本招标文件规定向政府采购代理机构交纳招标代理服务费，在中标通知书发出当日一次性向代理机构缴清招标代理服务费。本承诺函自开标之日起至本次采购期满有效。</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pStyle w:val="8"/>
        <w:spacing w:line="360" w:lineRule="auto"/>
        <w:ind w:firstLine="1454" w:firstLineChars="606"/>
        <w:rPr>
          <w:rFonts w:ascii="宋体" w:hAnsi="宋体"/>
          <w:sz w:val="24"/>
          <w:szCs w:val="24"/>
        </w:rPr>
      </w:pPr>
      <w:r>
        <w:rPr>
          <w:rFonts w:hint="eastAsia" w:ascii="宋体" w:hAnsi="宋体"/>
          <w:sz w:val="24"/>
          <w:szCs w:val="24"/>
        </w:rPr>
        <w:t>投标人：（盖章）</w:t>
      </w:r>
    </w:p>
    <w:p>
      <w:pPr>
        <w:pStyle w:val="8"/>
        <w:spacing w:line="360" w:lineRule="auto"/>
        <w:ind w:firstLine="374" w:firstLineChars="156"/>
        <w:rPr>
          <w:rFonts w:ascii="宋体" w:hAnsi="宋体"/>
          <w:sz w:val="24"/>
          <w:szCs w:val="24"/>
        </w:rPr>
      </w:pPr>
    </w:p>
    <w:p>
      <w:pPr>
        <w:pStyle w:val="8"/>
        <w:spacing w:line="360" w:lineRule="auto"/>
        <w:ind w:firstLine="1334" w:firstLineChars="556"/>
        <w:rPr>
          <w:rFonts w:ascii="宋体" w:hAnsi="宋体"/>
          <w:sz w:val="24"/>
          <w:szCs w:val="24"/>
        </w:rPr>
      </w:pPr>
      <w:r>
        <w:rPr>
          <w:rFonts w:hint="eastAsia" w:ascii="宋体" w:hAnsi="宋体"/>
          <w:sz w:val="24"/>
          <w:szCs w:val="24"/>
        </w:rPr>
        <w:t>法定代表人或其授权代理人（签名或盖章）</w:t>
      </w:r>
    </w:p>
    <w:p>
      <w:pPr>
        <w:pStyle w:val="8"/>
        <w:spacing w:line="360" w:lineRule="auto"/>
        <w:ind w:firstLine="374" w:firstLineChars="156"/>
        <w:jc w:val="center"/>
        <w:rPr>
          <w:rFonts w:ascii="宋体" w:hAnsi="宋体"/>
          <w:sz w:val="24"/>
          <w:szCs w:val="24"/>
        </w:rPr>
      </w:pPr>
    </w:p>
    <w:p>
      <w:pPr>
        <w:pStyle w:val="8"/>
        <w:spacing w:line="360" w:lineRule="auto"/>
        <w:ind w:left="840" w:firstLine="374" w:firstLineChars="156"/>
        <w:rPr>
          <w:rFonts w:ascii="宋体" w:hAnsi="宋体"/>
          <w:sz w:val="24"/>
          <w:szCs w:val="24"/>
        </w:rPr>
      </w:pPr>
      <w:r>
        <w:rPr>
          <w:rFonts w:hint="eastAsia" w:ascii="宋体" w:hAnsi="宋体"/>
          <w:sz w:val="24"/>
          <w:szCs w:val="24"/>
        </w:rPr>
        <w:t xml:space="preserve">              日期：    年   月   日</w:t>
      </w:r>
    </w:p>
    <w:p>
      <w:pPr>
        <w:pStyle w:val="18"/>
        <w:snapToGrid w:val="0"/>
        <w:spacing w:beforeLines="0" w:afterLines="0" w:line="360" w:lineRule="auto"/>
      </w:pPr>
    </w:p>
    <w:p>
      <w:pPr>
        <w:pStyle w:val="8"/>
        <w:spacing w:line="500" w:lineRule="exact"/>
        <w:ind w:firstLine="0"/>
        <w:jc w:val="left"/>
        <w:rPr>
          <w:rFonts w:ascii="宋体" w:hAnsi="宋体"/>
          <w:sz w:val="24"/>
          <w:szCs w:val="24"/>
          <w:u w:val="single"/>
        </w:rPr>
      </w:pPr>
    </w:p>
    <w:p>
      <w:pPr>
        <w:pStyle w:val="8"/>
        <w:spacing w:line="500" w:lineRule="exact"/>
        <w:ind w:firstLine="0"/>
        <w:jc w:val="left"/>
        <w:rPr>
          <w:rFonts w:ascii="宋体" w:hAnsi="宋体"/>
          <w:sz w:val="24"/>
          <w:szCs w:val="24"/>
        </w:rPr>
      </w:pPr>
      <w:r>
        <w:rPr>
          <w:rFonts w:hint="eastAsia" w:ascii="宋体" w:hAnsi="宋体"/>
          <w:sz w:val="24"/>
          <w:szCs w:val="24"/>
        </w:rPr>
        <w:t>____________________________________________________________________________</w:t>
      </w:r>
    </w:p>
    <w:p>
      <w:pPr>
        <w:pStyle w:val="8"/>
        <w:spacing w:line="500" w:lineRule="exact"/>
        <w:ind w:firstLine="0"/>
        <w:jc w:val="left"/>
        <w:rPr>
          <w:rFonts w:ascii="宋体" w:hAnsi="宋体"/>
          <w:sz w:val="24"/>
          <w:szCs w:val="24"/>
        </w:rPr>
      </w:pPr>
      <w:r>
        <w:rPr>
          <w:rFonts w:hint="eastAsia" w:ascii="宋体" w:hAnsi="宋体"/>
          <w:sz w:val="24"/>
          <w:szCs w:val="24"/>
        </w:rPr>
        <w:t>代理费汇款账号：</w:t>
      </w:r>
    </w:p>
    <w:p>
      <w:pPr>
        <w:snapToGrid w:val="0"/>
        <w:jc w:val="left"/>
        <w:rPr>
          <w:rFonts w:ascii="宋体" w:hAnsi="宋体"/>
          <w:sz w:val="24"/>
        </w:rPr>
      </w:pPr>
    </w:p>
    <w:p>
      <w:pPr>
        <w:snapToGrid w:val="0"/>
        <w:jc w:val="left"/>
        <w:rPr>
          <w:rFonts w:ascii="宋体" w:hAnsi="宋体"/>
          <w:sz w:val="24"/>
        </w:rPr>
      </w:pPr>
    </w:p>
    <w:p>
      <w:pPr>
        <w:snapToGrid w:val="0"/>
        <w:rPr>
          <w:rFonts w:ascii="宋体" w:hAnsi="宋体"/>
          <w:sz w:val="24"/>
        </w:rPr>
      </w:pPr>
      <w:r>
        <w:rPr>
          <w:rFonts w:hint="eastAsia" w:ascii="宋体" w:hAnsi="宋体"/>
          <w:sz w:val="24"/>
        </w:rPr>
        <w:t>单位名称：浙江华耀建设咨询有限公司龙溪北路分公司</w:t>
      </w:r>
    </w:p>
    <w:p>
      <w:pPr>
        <w:snapToGrid w:val="0"/>
        <w:rPr>
          <w:rFonts w:ascii="宋体" w:hAnsi="宋体"/>
          <w:sz w:val="24"/>
        </w:rPr>
      </w:pPr>
      <w:r>
        <w:rPr>
          <w:rFonts w:hint="eastAsia" w:ascii="宋体" w:hAnsi="宋体"/>
          <w:sz w:val="24"/>
        </w:rPr>
        <w:t>开户银行：中国工商银行股份有限公司湖州经济开发区支行</w:t>
      </w:r>
    </w:p>
    <w:p>
      <w:pPr>
        <w:tabs>
          <w:tab w:val="left" w:pos="1418"/>
        </w:tabs>
        <w:snapToGrid w:val="0"/>
        <w:spacing w:before="50" w:after="50"/>
        <w:rPr>
          <w:rFonts w:ascii="宋体" w:hAnsi="宋体"/>
          <w:spacing w:val="20"/>
          <w:sz w:val="24"/>
          <w:szCs w:val="20"/>
          <w:u w:val="single"/>
        </w:rPr>
      </w:pPr>
      <w:r>
        <w:rPr>
          <w:rFonts w:hint="eastAsia" w:ascii="宋体" w:hAnsi="宋体"/>
          <w:sz w:val="24"/>
        </w:rPr>
        <w:t>银行账号：1205210409001029749</w:t>
      </w:r>
    </w:p>
    <w:p>
      <w:pPr>
        <w:pStyle w:val="18"/>
        <w:snapToGrid w:val="0"/>
        <w:spacing w:beforeLines="0" w:afterLines="0" w:line="360" w:lineRule="auto"/>
      </w:pPr>
    </w:p>
    <w:p>
      <w:pPr>
        <w:tabs>
          <w:tab w:val="left" w:pos="1418"/>
        </w:tabs>
        <w:snapToGrid w:val="0"/>
        <w:spacing w:line="360" w:lineRule="auto"/>
        <w:ind w:left="1418" w:hanging="567"/>
        <w:jc w:val="center"/>
        <w:rPr>
          <w:rFonts w:ascii="宋体" w:hAnsi="宋体"/>
          <w:spacing w:val="20"/>
          <w:sz w:val="24"/>
          <w:szCs w:val="20"/>
          <w:u w:val="single"/>
        </w:rPr>
        <w:sectPr>
          <w:headerReference r:id="rId7" w:type="first"/>
          <w:footerReference r:id="rId10" w:type="first"/>
          <w:headerReference r:id="rId6" w:type="default"/>
          <w:footerReference r:id="rId8" w:type="default"/>
          <w:footerReference r:id="rId9" w:type="even"/>
          <w:pgSz w:w="11906" w:h="16838"/>
          <w:pgMar w:top="1361" w:right="1361" w:bottom="1361" w:left="1361" w:header="851" w:footer="851" w:gutter="0"/>
          <w:cols w:space="720" w:num="1"/>
          <w:docGrid w:linePitch="312" w:charSpace="0"/>
        </w:sectPr>
      </w:pPr>
    </w:p>
    <w:p>
      <w:pPr>
        <w:snapToGrid w:val="0"/>
        <w:spacing w:line="360" w:lineRule="auto"/>
        <w:rPr>
          <w:rFonts w:ascii="宋体" w:hAnsi="宋体"/>
          <w:b/>
          <w:sz w:val="24"/>
          <w:szCs w:val="20"/>
        </w:rPr>
      </w:pPr>
      <w:r>
        <w:rPr>
          <w:rFonts w:hint="eastAsia" w:ascii="宋体" w:hAnsi="宋体"/>
          <w:sz w:val="24"/>
        </w:rPr>
        <w:t>36.</w:t>
      </w:r>
      <w:r>
        <w:rPr>
          <w:rFonts w:hint="eastAsia" w:ascii="宋体" w:hAnsi="宋体"/>
          <w:b/>
          <w:sz w:val="24"/>
        </w:rPr>
        <w:t xml:space="preserve">开标一览表 </w:t>
      </w:r>
    </w:p>
    <w:p>
      <w:pPr>
        <w:snapToGrid w:val="0"/>
        <w:spacing w:line="360" w:lineRule="auto"/>
        <w:jc w:val="center"/>
        <w:rPr>
          <w:rFonts w:ascii="宋体" w:hAnsi="宋体"/>
          <w:b/>
          <w:sz w:val="30"/>
          <w:szCs w:val="20"/>
        </w:rPr>
      </w:pPr>
      <w:r>
        <w:rPr>
          <w:rFonts w:hint="eastAsia" w:ascii="宋体" w:hAnsi="宋体"/>
          <w:b/>
          <w:sz w:val="30"/>
        </w:rPr>
        <w:t>开标一览表</w:t>
      </w:r>
    </w:p>
    <w:p>
      <w:pPr>
        <w:snapToGrid w:val="0"/>
        <w:spacing w:line="360" w:lineRule="auto"/>
        <w:rPr>
          <w:rFonts w:ascii="宋体" w:hAnsi="宋体"/>
          <w:sz w:val="24"/>
          <w:szCs w:val="20"/>
        </w:rPr>
      </w:pPr>
      <w:r>
        <w:rPr>
          <w:rFonts w:hint="eastAsia" w:ascii="宋体" w:hAnsi="宋体"/>
          <w:sz w:val="24"/>
        </w:rPr>
        <w:t>招标编号：项目名称：投标人名称：单位：元</w:t>
      </w:r>
    </w:p>
    <w:tbl>
      <w:tblPr>
        <w:tblStyle w:val="33"/>
        <w:tblW w:w="118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2"/>
        <w:gridCol w:w="1603"/>
        <w:gridCol w:w="810"/>
        <w:gridCol w:w="1003"/>
        <w:gridCol w:w="3071"/>
        <w:gridCol w:w="1978"/>
        <w:gridCol w:w="1079"/>
        <w:gridCol w:w="15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szCs w:val="30"/>
              </w:rPr>
            </w:pPr>
            <w:r>
              <w:rPr>
                <w:rFonts w:hint="eastAsia" w:ascii="宋体" w:hAnsi="宋体"/>
                <w:b/>
                <w:szCs w:val="30"/>
              </w:rPr>
              <w:t>项目名称</w:t>
            </w:r>
          </w:p>
        </w:tc>
        <w:tc>
          <w:tcPr>
            <w:tcW w:w="16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szCs w:val="30"/>
              </w:rPr>
            </w:pPr>
            <w:r>
              <w:rPr>
                <w:rFonts w:hint="eastAsia" w:ascii="宋体" w:hAnsi="宋体"/>
                <w:b/>
                <w:szCs w:val="30"/>
              </w:rPr>
              <w:t>货物名称</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szCs w:val="30"/>
              </w:rPr>
            </w:pPr>
            <w:r>
              <w:rPr>
                <w:rFonts w:hint="eastAsia" w:ascii="宋体" w:hAnsi="宋体"/>
                <w:b/>
                <w:szCs w:val="30"/>
              </w:rPr>
              <w:t>数量</w:t>
            </w: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szCs w:val="30"/>
              </w:rPr>
            </w:pPr>
            <w:r>
              <w:rPr>
                <w:rFonts w:hint="eastAsia" w:ascii="宋体" w:hAnsi="宋体"/>
                <w:b/>
                <w:szCs w:val="30"/>
              </w:rPr>
              <w:t>产地</w:t>
            </w:r>
          </w:p>
        </w:tc>
        <w:tc>
          <w:tcPr>
            <w:tcW w:w="30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szCs w:val="30"/>
              </w:rPr>
            </w:pPr>
            <w:r>
              <w:rPr>
                <w:rFonts w:hint="eastAsia" w:ascii="宋体" w:hAnsi="宋体"/>
                <w:b/>
                <w:szCs w:val="30"/>
              </w:rPr>
              <w:t>品牌及厂家</w:t>
            </w:r>
          </w:p>
        </w:tc>
        <w:tc>
          <w:tcPr>
            <w:tcW w:w="19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szCs w:val="30"/>
              </w:rPr>
            </w:pPr>
            <w:r>
              <w:rPr>
                <w:rFonts w:hint="eastAsia" w:ascii="宋体" w:hAnsi="宋体"/>
                <w:b/>
                <w:szCs w:val="30"/>
              </w:rPr>
              <w:t>规格型号</w:t>
            </w:r>
          </w:p>
        </w:tc>
        <w:tc>
          <w:tcPr>
            <w:tcW w:w="107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szCs w:val="30"/>
              </w:rPr>
            </w:pPr>
            <w:r>
              <w:rPr>
                <w:rFonts w:hint="eastAsia" w:ascii="宋体" w:hAnsi="宋体"/>
                <w:b/>
                <w:szCs w:val="30"/>
              </w:rPr>
              <w:t>单价</w:t>
            </w:r>
          </w:p>
        </w:tc>
        <w:tc>
          <w:tcPr>
            <w:tcW w:w="15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
                <w:szCs w:val="30"/>
              </w:rPr>
            </w:pPr>
            <w:r>
              <w:rPr>
                <w:rFonts w:hint="eastAsia" w:ascii="宋体" w:hAnsi="宋体"/>
                <w:b/>
                <w:szCs w:val="30"/>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74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32"/>
                <w:szCs w:val="20"/>
              </w:rPr>
            </w:pPr>
          </w:p>
          <w:p>
            <w:pPr>
              <w:snapToGrid w:val="0"/>
              <w:spacing w:line="360" w:lineRule="auto"/>
              <w:jc w:val="center"/>
              <w:rPr>
                <w:rFonts w:ascii="宋体" w:hAnsi="宋体"/>
                <w:sz w:val="32"/>
                <w:szCs w:val="20"/>
              </w:rPr>
            </w:pPr>
          </w:p>
        </w:tc>
        <w:tc>
          <w:tcPr>
            <w:tcW w:w="16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bCs/>
                <w:sz w:val="32"/>
                <w:szCs w:val="20"/>
              </w:rPr>
            </w:pPr>
          </w:p>
        </w:tc>
        <w:tc>
          <w:tcPr>
            <w:tcW w:w="8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bCs/>
                <w:sz w:val="32"/>
                <w:szCs w:val="20"/>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32"/>
                <w:szCs w:val="21"/>
              </w:rPr>
            </w:pPr>
          </w:p>
        </w:tc>
        <w:tc>
          <w:tcPr>
            <w:tcW w:w="30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32"/>
                <w:szCs w:val="21"/>
              </w:rPr>
            </w:pPr>
          </w:p>
        </w:tc>
        <w:tc>
          <w:tcPr>
            <w:tcW w:w="19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32"/>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32"/>
                <w:szCs w:val="21"/>
              </w:rPr>
            </w:pPr>
          </w:p>
        </w:tc>
        <w:tc>
          <w:tcPr>
            <w:tcW w:w="15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32"/>
              </w:rPr>
            </w:pPr>
          </w:p>
        </w:tc>
        <w:tc>
          <w:tcPr>
            <w:tcW w:w="16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bCs/>
                <w:sz w:val="32"/>
                <w:szCs w:val="20"/>
              </w:rPr>
            </w:pPr>
          </w:p>
        </w:tc>
        <w:tc>
          <w:tcPr>
            <w:tcW w:w="8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bCs/>
                <w:sz w:val="32"/>
                <w:szCs w:val="20"/>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32"/>
                <w:szCs w:val="21"/>
              </w:rPr>
            </w:pPr>
          </w:p>
        </w:tc>
        <w:tc>
          <w:tcPr>
            <w:tcW w:w="30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32"/>
                <w:szCs w:val="21"/>
              </w:rPr>
            </w:pPr>
          </w:p>
        </w:tc>
        <w:tc>
          <w:tcPr>
            <w:tcW w:w="19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32"/>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32"/>
                <w:szCs w:val="21"/>
              </w:rPr>
            </w:pPr>
          </w:p>
        </w:tc>
        <w:tc>
          <w:tcPr>
            <w:tcW w:w="15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jc w:val="center"/>
        </w:trPr>
        <w:tc>
          <w:tcPr>
            <w:tcW w:w="7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sz w:val="24"/>
              </w:rPr>
            </w:pPr>
          </w:p>
        </w:tc>
        <w:tc>
          <w:tcPr>
            <w:tcW w:w="16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bCs/>
                <w:sz w:val="24"/>
                <w:szCs w:val="20"/>
              </w:rPr>
            </w:pPr>
          </w:p>
        </w:tc>
        <w:tc>
          <w:tcPr>
            <w:tcW w:w="8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bCs/>
                <w:sz w:val="24"/>
                <w:szCs w:val="20"/>
              </w:rPr>
            </w:pPr>
          </w:p>
        </w:tc>
        <w:tc>
          <w:tcPr>
            <w:tcW w:w="10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1"/>
              </w:rPr>
            </w:pPr>
          </w:p>
        </w:tc>
        <w:tc>
          <w:tcPr>
            <w:tcW w:w="30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sz w:val="24"/>
                <w:szCs w:val="21"/>
              </w:rPr>
            </w:pPr>
          </w:p>
        </w:tc>
        <w:tc>
          <w:tcPr>
            <w:tcW w:w="19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szCs w:val="21"/>
              </w:rPr>
            </w:pPr>
          </w:p>
        </w:tc>
        <w:tc>
          <w:tcPr>
            <w:tcW w:w="15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9207"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szCs w:val="21"/>
              </w:rPr>
            </w:pPr>
            <w:r>
              <w:rPr>
                <w:rFonts w:hint="eastAsia" w:ascii="宋体" w:hAnsi="宋体"/>
                <w:sz w:val="24"/>
                <w:szCs w:val="21"/>
              </w:rPr>
              <w:t>投标费用及利润</w:t>
            </w:r>
          </w:p>
        </w:tc>
        <w:tc>
          <w:tcPr>
            <w:tcW w:w="107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szCs w:val="21"/>
              </w:rPr>
            </w:pPr>
          </w:p>
        </w:tc>
        <w:tc>
          <w:tcPr>
            <w:tcW w:w="15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180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sz w:val="24"/>
                <w:szCs w:val="21"/>
                <w:u w:val="single"/>
              </w:rPr>
            </w:pPr>
            <w:r>
              <w:rPr>
                <w:rFonts w:hint="eastAsia" w:ascii="宋体" w:hAnsi="宋体"/>
                <w:sz w:val="24"/>
                <w:szCs w:val="21"/>
              </w:rPr>
              <w:t>合计金额大写：￥</w:t>
            </w:r>
          </w:p>
        </w:tc>
      </w:tr>
    </w:tbl>
    <w:p>
      <w:pPr>
        <w:snapToGrid w:val="0"/>
        <w:spacing w:line="360" w:lineRule="auto"/>
        <w:jc w:val="left"/>
        <w:rPr>
          <w:rFonts w:ascii="宋体" w:hAnsi="宋体"/>
          <w:sz w:val="24"/>
          <w:szCs w:val="20"/>
        </w:rPr>
      </w:pPr>
      <w:r>
        <w:rPr>
          <w:rFonts w:hint="eastAsia" w:ascii="宋体" w:hAnsi="宋体"/>
          <w:sz w:val="24"/>
        </w:rPr>
        <w:t>注</w:t>
      </w:r>
      <w:r>
        <w:rPr>
          <w:rFonts w:ascii="宋体" w:hAnsi="宋体"/>
          <w:sz w:val="24"/>
        </w:rPr>
        <w:t>: 1</w:t>
      </w:r>
      <w:r>
        <w:rPr>
          <w:rFonts w:hint="eastAsia" w:ascii="宋体" w:hAnsi="宋体"/>
          <w:sz w:val="24"/>
        </w:rPr>
        <w:t>、报价一经涂改，应在涂改处加盖单位公章或者由法定代表人或授权委托人签字或盖章，否则其投标作无效标处理。</w:t>
      </w:r>
    </w:p>
    <w:p>
      <w:pPr>
        <w:snapToGrid w:val="0"/>
        <w:spacing w:line="360" w:lineRule="auto"/>
        <w:ind w:firstLine="480" w:firstLineChars="200"/>
        <w:jc w:val="left"/>
        <w:rPr>
          <w:rFonts w:ascii="宋体" w:hAnsi="宋体"/>
          <w:sz w:val="24"/>
          <w:szCs w:val="20"/>
        </w:rPr>
      </w:pPr>
      <w:r>
        <w:rPr>
          <w:rFonts w:ascii="宋体" w:hAnsi="宋体"/>
          <w:sz w:val="24"/>
        </w:rPr>
        <w:t>2</w:t>
      </w:r>
      <w:r>
        <w:rPr>
          <w:rFonts w:hint="eastAsia" w:ascii="宋体" w:hAnsi="宋体"/>
          <w:sz w:val="24"/>
        </w:rPr>
        <w:t>、凡需用专用耗材的专用设备类采购项目，应按招标文件规定的耗材量或按耗材的常规试用量提供报价。</w:t>
      </w:r>
    </w:p>
    <w:p>
      <w:pPr>
        <w:snapToGrid w:val="0"/>
        <w:spacing w:line="360" w:lineRule="auto"/>
        <w:ind w:firstLine="480" w:firstLineChars="200"/>
        <w:jc w:val="left"/>
        <w:rPr>
          <w:rFonts w:ascii="宋体" w:hAnsi="宋体"/>
          <w:sz w:val="24"/>
          <w:szCs w:val="20"/>
        </w:rPr>
      </w:pPr>
      <w:r>
        <w:rPr>
          <w:rFonts w:ascii="宋体" w:hAnsi="宋体"/>
          <w:sz w:val="24"/>
        </w:rPr>
        <w:t>3</w:t>
      </w:r>
      <w:r>
        <w:rPr>
          <w:rFonts w:hint="eastAsia" w:ascii="宋体" w:hAnsi="宋体"/>
          <w:sz w:val="24"/>
        </w:rPr>
        <w:t>、投标费用包括项目实施所需的人工费、服务费、运输费、安装调试费、购买及制作标书费、税费及其他一切费用。</w:t>
      </w:r>
    </w:p>
    <w:p>
      <w:pPr>
        <w:snapToGrid w:val="0"/>
        <w:spacing w:line="360" w:lineRule="auto"/>
        <w:ind w:firstLine="480" w:firstLineChars="200"/>
        <w:jc w:val="left"/>
        <w:rPr>
          <w:rFonts w:ascii="宋体" w:hAnsi="宋体"/>
          <w:sz w:val="24"/>
          <w:szCs w:val="20"/>
        </w:rPr>
      </w:pPr>
      <w:r>
        <w:rPr>
          <w:rFonts w:ascii="宋体" w:hAnsi="宋体"/>
          <w:sz w:val="24"/>
        </w:rPr>
        <w:t>4</w:t>
      </w:r>
      <w:r>
        <w:rPr>
          <w:rFonts w:hint="eastAsia" w:ascii="宋体" w:hAnsi="宋体"/>
          <w:sz w:val="24"/>
        </w:rPr>
        <w:t>、以上报价应与“投标设备报价明细表”中的“投标总价”相一致。</w:t>
      </w:r>
    </w:p>
    <w:p>
      <w:pPr>
        <w:snapToGrid w:val="0"/>
        <w:spacing w:line="360" w:lineRule="auto"/>
        <w:ind w:left="-2" w:right="-817" w:rightChars="-389"/>
        <w:rPr>
          <w:rFonts w:ascii="宋体" w:hAnsi="宋体"/>
          <w:sz w:val="24"/>
          <w:szCs w:val="20"/>
        </w:rPr>
      </w:pPr>
      <w:r>
        <w:rPr>
          <w:rFonts w:hint="eastAsia" w:ascii="宋体" w:hAnsi="宋体"/>
          <w:sz w:val="24"/>
        </w:rPr>
        <w:t>法定代表人签字：</w:t>
      </w:r>
    </w:p>
    <w:p>
      <w:pPr>
        <w:snapToGrid w:val="0"/>
        <w:spacing w:line="360" w:lineRule="auto"/>
        <w:ind w:right="-817" w:rightChars="-389"/>
        <w:rPr>
          <w:rFonts w:ascii="宋体" w:hAnsi="宋体"/>
          <w:sz w:val="24"/>
        </w:rPr>
      </w:pPr>
      <w:r>
        <w:rPr>
          <w:rFonts w:hint="eastAsia" w:ascii="宋体" w:hAnsi="宋体"/>
          <w:sz w:val="24"/>
        </w:rPr>
        <w:t>投标人名称（盖章）：日期：年月日</w:t>
      </w:r>
    </w:p>
    <w:p>
      <w:pPr>
        <w:spacing w:line="360" w:lineRule="auto"/>
      </w:pPr>
    </w:p>
    <w:p>
      <w:pPr>
        <w:spacing w:line="360" w:lineRule="auto"/>
        <w:rPr>
          <w:sz w:val="28"/>
          <w:szCs w:val="28"/>
        </w:rPr>
      </w:pPr>
      <w:r>
        <w:rPr>
          <w:rFonts w:hint="eastAsia"/>
          <w:sz w:val="28"/>
          <w:szCs w:val="28"/>
        </w:rPr>
        <w:t>附件：</w:t>
      </w:r>
      <w:r>
        <w:rPr>
          <w:sz w:val="28"/>
          <w:szCs w:val="28"/>
        </w:rPr>
        <w:t xml:space="preserve"> “</w:t>
      </w:r>
      <w:r>
        <w:rPr>
          <w:rFonts w:hint="eastAsia"/>
          <w:sz w:val="28"/>
          <w:szCs w:val="28"/>
        </w:rPr>
        <w:t>信用中国</w:t>
      </w:r>
      <w:r>
        <w:rPr>
          <w:sz w:val="28"/>
          <w:szCs w:val="28"/>
        </w:rPr>
        <w:t>”</w:t>
      </w:r>
      <w:r>
        <w:rPr>
          <w:rFonts w:hint="eastAsia"/>
          <w:sz w:val="28"/>
          <w:szCs w:val="28"/>
        </w:rPr>
        <w:t>（</w:t>
      </w:r>
      <w:r>
        <w:rPr>
          <w:sz w:val="28"/>
          <w:szCs w:val="28"/>
        </w:rPr>
        <w:t>www.creditchina.gov.cn</w:t>
      </w:r>
      <w:r>
        <w:rPr>
          <w:rFonts w:hint="eastAsia"/>
          <w:sz w:val="28"/>
          <w:szCs w:val="28"/>
        </w:rPr>
        <w:t>）、</w:t>
      </w:r>
      <w:r>
        <w:rPr>
          <w:sz w:val="28"/>
          <w:szCs w:val="28"/>
        </w:rPr>
        <w:t>“</w:t>
      </w:r>
      <w:r>
        <w:rPr>
          <w:rFonts w:hint="eastAsia"/>
          <w:sz w:val="28"/>
          <w:szCs w:val="28"/>
        </w:rPr>
        <w:t>中国政府采购网</w:t>
      </w:r>
      <w:r>
        <w:rPr>
          <w:sz w:val="28"/>
          <w:szCs w:val="28"/>
        </w:rPr>
        <w:t>”</w:t>
      </w:r>
      <w:r>
        <w:rPr>
          <w:rFonts w:hint="eastAsia"/>
          <w:sz w:val="28"/>
          <w:szCs w:val="28"/>
        </w:rPr>
        <w:t>（</w:t>
      </w:r>
      <w:r>
        <w:rPr>
          <w:sz w:val="28"/>
          <w:szCs w:val="28"/>
        </w:rPr>
        <w:t>www.ccgp.gov.cn</w:t>
      </w:r>
      <w:r>
        <w:rPr>
          <w:rFonts w:hint="eastAsia"/>
          <w:sz w:val="28"/>
          <w:szCs w:val="28"/>
        </w:rPr>
        <w:t>）网页截图</w:t>
      </w:r>
      <w:r>
        <w:rPr>
          <w:sz w:val="28"/>
          <w:szCs w:val="28"/>
        </w:rPr>
        <w:t>模板</w:t>
      </w:r>
    </w:p>
    <w:p>
      <w:pPr>
        <w:numPr>
          <w:ilvl w:val="0"/>
          <w:numId w:val="5"/>
        </w:numPr>
        <w:spacing w:line="360" w:lineRule="auto"/>
        <w:rPr>
          <w:sz w:val="28"/>
          <w:szCs w:val="28"/>
        </w:rPr>
      </w:pPr>
      <w:r>
        <w:rPr>
          <w:rFonts w:hint="eastAsia"/>
          <w:sz w:val="28"/>
          <w:szCs w:val="28"/>
        </w:rPr>
        <w:t>承诺书：</w:t>
      </w:r>
    </w:p>
    <w:p>
      <w:pPr>
        <w:spacing w:line="360" w:lineRule="auto"/>
        <w:rPr>
          <w:sz w:val="28"/>
          <w:szCs w:val="28"/>
        </w:rPr>
      </w:pPr>
    </w:p>
    <w:p>
      <w:pPr>
        <w:spacing w:line="360" w:lineRule="auto"/>
        <w:ind w:firstLine="900" w:firstLineChars="300"/>
        <w:rPr>
          <w:rFonts w:ascii="宋体" w:hAnsi="宋体" w:cs="宋体"/>
          <w:sz w:val="30"/>
          <w:szCs w:val="30"/>
        </w:rPr>
      </w:pPr>
      <w:r>
        <w:rPr>
          <w:rFonts w:hint="eastAsia" w:ascii="宋体" w:hAnsi="宋体" w:cs="宋体"/>
          <w:sz w:val="30"/>
          <w:szCs w:val="30"/>
        </w:rPr>
        <w:t>本单位一旦中标，</w:t>
      </w:r>
      <w:r>
        <w:rPr>
          <w:rFonts w:ascii="宋体" w:hAnsi="宋体" w:cs="宋体"/>
          <w:sz w:val="30"/>
          <w:szCs w:val="30"/>
        </w:rPr>
        <w:t>如原有课桌椅已到报废年限，学校要求报废，</w:t>
      </w:r>
      <w:r>
        <w:rPr>
          <w:rFonts w:hint="eastAsia" w:ascii="宋体" w:hAnsi="宋体" w:cs="宋体"/>
          <w:sz w:val="30"/>
          <w:szCs w:val="30"/>
        </w:rPr>
        <w:t>自愿提供</w:t>
      </w:r>
      <w:r>
        <w:rPr>
          <w:rFonts w:ascii="宋体" w:hAnsi="宋体" w:cs="宋体"/>
          <w:sz w:val="30"/>
          <w:szCs w:val="30"/>
        </w:rPr>
        <w:t>回收</w:t>
      </w:r>
      <w:r>
        <w:rPr>
          <w:rFonts w:hint="eastAsia" w:ascii="宋体" w:hAnsi="宋体" w:cs="宋体"/>
          <w:sz w:val="30"/>
          <w:szCs w:val="30"/>
        </w:rPr>
        <w:t>服务，</w:t>
      </w:r>
      <w:r>
        <w:rPr>
          <w:rFonts w:ascii="宋体" w:hAnsi="宋体" w:cs="宋体"/>
          <w:sz w:val="30"/>
          <w:szCs w:val="30"/>
        </w:rPr>
        <w:t>所得收入作为</w:t>
      </w:r>
      <w:r>
        <w:rPr>
          <w:rFonts w:hint="eastAsia" w:ascii="宋体" w:hAnsi="宋体" w:cs="宋体"/>
          <w:sz w:val="30"/>
          <w:szCs w:val="30"/>
        </w:rPr>
        <w:t>吴兴区教育局</w:t>
      </w:r>
      <w:r>
        <w:rPr>
          <w:rFonts w:ascii="宋体" w:hAnsi="宋体" w:cs="宋体"/>
          <w:sz w:val="30"/>
          <w:szCs w:val="30"/>
        </w:rPr>
        <w:t>固定资产残值收入</w:t>
      </w:r>
      <w:r>
        <w:rPr>
          <w:rFonts w:hint="eastAsia" w:ascii="宋体" w:hAnsi="宋体" w:cs="宋体"/>
          <w:sz w:val="30"/>
          <w:szCs w:val="30"/>
        </w:rPr>
        <w:t>。承诺报价按每套计算，报价为</w:t>
      </w:r>
      <w:r>
        <w:rPr>
          <w:rFonts w:hint="eastAsia" w:ascii="宋体" w:hAnsi="宋体" w:cs="宋体"/>
          <w:sz w:val="30"/>
          <w:szCs w:val="30"/>
          <w:u w:val="single"/>
        </w:rPr>
        <w:t xml:space="preserve">  </w:t>
      </w:r>
      <w:r>
        <w:rPr>
          <w:rFonts w:hint="eastAsia" w:ascii="宋体" w:hAnsi="宋体" w:cs="宋体"/>
          <w:sz w:val="30"/>
          <w:szCs w:val="30"/>
        </w:rPr>
        <w:t>元/套。</w:t>
      </w:r>
    </w:p>
    <w:p>
      <w:pPr>
        <w:spacing w:line="360" w:lineRule="auto"/>
        <w:ind w:firstLine="600" w:firstLineChars="200"/>
        <w:rPr>
          <w:rFonts w:ascii="宋体" w:hAnsi="宋体" w:cs="宋体"/>
          <w:sz w:val="30"/>
          <w:szCs w:val="30"/>
        </w:rPr>
      </w:pPr>
    </w:p>
    <w:p>
      <w:pPr>
        <w:spacing w:line="360" w:lineRule="auto"/>
        <w:ind w:firstLine="600" w:firstLineChars="200"/>
        <w:rPr>
          <w:rFonts w:ascii="宋体" w:hAnsi="宋体" w:cs="宋体"/>
          <w:sz w:val="30"/>
          <w:szCs w:val="30"/>
        </w:rPr>
      </w:pPr>
    </w:p>
    <w:p>
      <w:pPr>
        <w:spacing w:line="360" w:lineRule="auto"/>
        <w:ind w:firstLine="600" w:firstLineChars="200"/>
        <w:rPr>
          <w:rFonts w:ascii="宋体" w:hAnsi="宋体" w:cs="宋体"/>
          <w:sz w:val="30"/>
          <w:szCs w:val="30"/>
        </w:rPr>
      </w:pPr>
    </w:p>
    <w:p>
      <w:pPr>
        <w:spacing w:line="360" w:lineRule="auto"/>
        <w:ind w:firstLine="600" w:firstLineChars="200"/>
        <w:rPr>
          <w:rFonts w:ascii="宋体" w:hAnsi="宋体" w:cs="宋体"/>
          <w:sz w:val="30"/>
          <w:szCs w:val="30"/>
        </w:rPr>
      </w:pPr>
    </w:p>
    <w:p>
      <w:pPr>
        <w:spacing w:line="360" w:lineRule="auto"/>
        <w:ind w:firstLine="600" w:firstLineChars="200"/>
        <w:jc w:val="center"/>
        <w:rPr>
          <w:rFonts w:ascii="宋体" w:hAnsi="宋体" w:cs="宋体"/>
          <w:sz w:val="30"/>
          <w:szCs w:val="30"/>
        </w:rPr>
      </w:pPr>
      <w:r>
        <w:rPr>
          <w:rFonts w:hint="eastAsia" w:ascii="宋体" w:hAnsi="宋体" w:cs="宋体"/>
          <w:sz w:val="30"/>
          <w:szCs w:val="30"/>
        </w:rPr>
        <w:t xml:space="preserve">                                                    投标单位（盖章）：</w:t>
      </w:r>
    </w:p>
    <w:p>
      <w:pPr>
        <w:spacing w:line="360" w:lineRule="auto"/>
        <w:ind w:firstLine="600" w:firstLineChars="200"/>
        <w:jc w:val="center"/>
        <w:rPr>
          <w:rFonts w:ascii="宋体" w:hAnsi="宋体" w:cs="宋体"/>
          <w:sz w:val="30"/>
          <w:szCs w:val="30"/>
        </w:rPr>
      </w:pPr>
      <w:r>
        <w:rPr>
          <w:rFonts w:hint="eastAsia" w:ascii="宋体" w:hAnsi="宋体" w:cs="宋体"/>
          <w:sz w:val="30"/>
          <w:szCs w:val="30"/>
        </w:rPr>
        <w:t xml:space="preserve">                                        日期：                    </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i/>
          <w:sz w:val="28"/>
          <w:szCs w:val="28"/>
        </w:rPr>
      </w:pPr>
      <w:r>
        <w:drawing>
          <wp:inline distT="0" distB="0" distL="0" distR="0">
            <wp:extent cx="4467225" cy="7572375"/>
            <wp:effectExtent l="9525"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rot="5400000">
                      <a:off x="0" y="0"/>
                      <a:ext cx="4467225" cy="7572375"/>
                    </a:xfrm>
                    <a:prstGeom prst="rect">
                      <a:avLst/>
                    </a:prstGeom>
                    <a:noFill/>
                    <a:ln>
                      <a:noFill/>
                    </a:ln>
                  </pic:spPr>
                </pic:pic>
              </a:graphicData>
            </a:graphic>
          </wp:inline>
        </w:drawing>
      </w:r>
    </w:p>
    <w:p>
      <w:pPr>
        <w:spacing w:line="360" w:lineRule="auto"/>
      </w:pPr>
      <w:r>
        <w:drawing>
          <wp:inline distT="0" distB="0" distL="0" distR="0">
            <wp:extent cx="4543425" cy="7229475"/>
            <wp:effectExtent l="9525"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rot="5400000">
                      <a:off x="0" y="0"/>
                      <a:ext cx="4543425" cy="7229475"/>
                    </a:xfrm>
                    <a:prstGeom prst="rect">
                      <a:avLst/>
                    </a:prstGeom>
                    <a:noFill/>
                    <a:ln>
                      <a:noFill/>
                    </a:ln>
                  </pic:spPr>
                </pic:pic>
              </a:graphicData>
            </a:graphic>
          </wp:inline>
        </w:drawing>
      </w:r>
    </w:p>
    <w:sectPr>
      <w:pgSz w:w="16838" w:h="11906" w:orient="landscape"/>
      <w:pgMar w:top="1361" w:right="1361" w:bottom="1361" w:left="136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长城粗隶书">
    <w:altName w:val="黑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隶书">
    <w:altName w:val="微软雅黑"/>
    <w:panose1 w:val="00000000000000000000"/>
    <w:charset w:val="86"/>
    <w:family w:val="modern"/>
    <w:pitch w:val="default"/>
    <w:sig w:usb0="00000000" w:usb1="00000000" w:usb2="00000000" w:usb3="00000000" w:csb0="00040000" w:csb1="00000000"/>
  </w:font>
  <w:font w:name="Arial Narrow">
    <w:altName w:val="Arial"/>
    <w:panose1 w:val="00000000000000000000"/>
    <w:charset w:val="00"/>
    <w:family w:val="swiss"/>
    <w:pitch w:val="default"/>
    <w:sig w:usb0="00000000" w:usb1="00000000" w:usb2="00000000" w:usb3="00000000" w:csb0="2000009F" w:csb1="DFD70000"/>
  </w:font>
  <w:font w:name="创艺简标宋">
    <w:altName w:val="微软雅黑"/>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7"/>
        <w:rFonts w:ascii="宋体" w:hAnsi="宋体"/>
        <w:sz w:val="28"/>
        <w:szCs w:val="28"/>
      </w:rPr>
    </w:pPr>
  </w:p>
  <w:p>
    <w:pPr>
      <w:pStyle w:val="50"/>
      <w:ind w:firstLine="420"/>
      <w:rPr>
        <w:sz w:val="24"/>
        <w:szCs w:val="24"/>
      </w:rPr>
    </w:pPr>
    <w:r>
      <w:rPr>
        <w:rFonts w:hint="eastAsia"/>
      </w:rPr>
      <w:t xml:space="preserve">   浙江华耀建设咨询有限公司                                  </w:t>
    </w:r>
    <w:r>
      <w:tab/>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rPr>
      <w:t>19</w:t>
    </w:r>
    <w:r>
      <w:rPr>
        <w:sz w:val="24"/>
        <w:szCs w:val="24"/>
      </w:rPr>
      <w:fldChar w:fldCharType="end"/>
    </w: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7"/>
      </w:rPr>
    </w:pPr>
    <w:r>
      <w:fldChar w:fldCharType="begin"/>
    </w:r>
    <w:r>
      <w:rPr>
        <w:rStyle w:val="37"/>
      </w:rPr>
      <w:instrText xml:space="preserve">PAGE  </w:instrText>
    </w:r>
    <w:r>
      <w:fldChar w:fldCharType="end"/>
    </w:r>
  </w:p>
  <w:p>
    <w:pPr>
      <w:pStyle w:val="2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7"/>
        <w:rFonts w:ascii="宋体" w:hAnsi="宋体"/>
        <w:sz w:val="28"/>
        <w:szCs w:val="28"/>
      </w:rPr>
    </w:pPr>
  </w:p>
  <w:p>
    <w:pPr>
      <w:pStyle w:val="22"/>
      <w:ind w:right="720" w:firstLine="240" w:firstLineChars="100"/>
      <w:jc w:val="center"/>
      <w:rPr>
        <w:sz w:val="24"/>
        <w:szCs w:val="24"/>
      </w:rPr>
    </w:pP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rPr>
      <w:t>64</w:t>
    </w:r>
    <w:r>
      <w:rPr>
        <w:sz w:val="24"/>
        <w:szCs w:val="24"/>
      </w:rPr>
      <w:fldChar w:fldCharType="end"/>
    </w:r>
    <w:r>
      <w:rP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7"/>
      </w:rPr>
    </w:pPr>
    <w:r>
      <w:fldChar w:fldCharType="begin"/>
    </w:r>
    <w:r>
      <w:rPr>
        <w:rStyle w:val="37"/>
      </w:rPr>
      <w:instrText xml:space="preserve">PAGE  </w:instrText>
    </w:r>
    <w:r>
      <w:fldChar w:fldCharType="end"/>
    </w:r>
  </w:p>
  <w:p>
    <w:pPr>
      <w:pStyle w:val="2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napToGrid w:val="0"/>
      <w:spacing w:beforeLines="0" w:afterLines="0" w:line="360" w:lineRule="auto"/>
      <w:rPr>
        <w:rFonts w:hAnsi="宋体"/>
        <w:sz w:val="21"/>
        <w:szCs w:val="21"/>
        <w:u w:val="single"/>
      </w:rPr>
    </w:pPr>
    <w:r>
      <w:rPr>
        <w:rFonts w:hint="eastAsia" w:cs="Arial"/>
        <w:sz w:val="21"/>
        <w:szCs w:val="21"/>
        <w:u w:val="single"/>
      </w:rPr>
      <w:t xml:space="preserve">湖州市吴兴区中小学升降式课桌椅采购项目                                          </w:t>
    </w:r>
    <w:r>
      <w:rPr>
        <w:rFonts w:hint="eastAsia" w:hAnsi="宋体" w:cs="Arial"/>
        <w:sz w:val="21"/>
        <w:szCs w:val="21"/>
        <w:u w:val="single"/>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napToGrid w:val="0"/>
      <w:spacing w:beforeLines="0" w:afterLines="0" w:line="360" w:lineRule="auto"/>
      <w:rPr>
        <w:rFonts w:hAnsi="宋体"/>
        <w:sz w:val="21"/>
        <w:szCs w:val="21"/>
        <w:u w:val="single"/>
      </w:rPr>
    </w:pPr>
    <w:r>
      <w:rPr>
        <w:rFonts w:hint="eastAsia" w:cs="Arial"/>
        <w:sz w:val="21"/>
        <w:szCs w:val="21"/>
        <w:u w:val="single"/>
      </w:rPr>
      <w:t>湖州市吴兴区中小学升降式课桌椅采购项目                         招标文</w:t>
    </w:r>
    <w:r>
      <w:rPr>
        <w:rFonts w:hint="eastAsia" w:hAnsi="宋体" w:cs="Arial"/>
        <w:sz w:val="21"/>
        <w:szCs w:val="21"/>
        <w:u w:val="single"/>
      </w:rPr>
      <w:t>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3175B"/>
    <w:multiLevelType w:val="singleLevel"/>
    <w:tmpl w:val="8CA3175B"/>
    <w:lvl w:ilvl="0" w:tentative="0">
      <w:start w:val="6"/>
      <w:numFmt w:val="decimal"/>
      <w:lvlText w:val="%1."/>
      <w:lvlJc w:val="left"/>
      <w:pPr>
        <w:tabs>
          <w:tab w:val="left" w:pos="312"/>
        </w:tabs>
      </w:pPr>
    </w:lvl>
  </w:abstractNum>
  <w:abstractNum w:abstractNumId="1">
    <w:nsid w:val="00000001"/>
    <w:multiLevelType w:val="multilevel"/>
    <w:tmpl w:val="00000001"/>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2">
    <w:nsid w:val="23F271F5"/>
    <w:multiLevelType w:val="singleLevel"/>
    <w:tmpl w:val="23F271F5"/>
    <w:lvl w:ilvl="0" w:tentative="0">
      <w:start w:val="9"/>
      <w:numFmt w:val="decimal"/>
      <w:suff w:val="nothing"/>
      <w:lvlText w:val="（%1）"/>
      <w:lvlJc w:val="left"/>
    </w:lvl>
  </w:abstractNum>
  <w:abstractNum w:abstractNumId="3">
    <w:nsid w:val="39AFF656"/>
    <w:multiLevelType w:val="singleLevel"/>
    <w:tmpl w:val="39AFF656"/>
    <w:lvl w:ilvl="0" w:tentative="0">
      <w:start w:val="37"/>
      <w:numFmt w:val="decimal"/>
      <w:suff w:val="nothing"/>
      <w:lvlText w:val="%1、"/>
      <w:lvlJc w:val="left"/>
    </w:lvl>
  </w:abstractNum>
  <w:abstractNum w:abstractNumId="4">
    <w:nsid w:val="66482A15"/>
    <w:multiLevelType w:val="multilevel"/>
    <w:tmpl w:val="66482A15"/>
    <w:lvl w:ilvl="0" w:tentative="0">
      <w:start w:val="1"/>
      <w:numFmt w:val="decimalEnclosedCircle"/>
      <w:lvlText w:val="%1"/>
      <w:lvlJc w:val="left"/>
      <w:pPr>
        <w:ind w:left="360" w:hanging="360"/>
      </w:pPr>
      <w:rPr>
        <w:rFonts w:hint="default" w:ascii="宋体" w:hAnsi="宋体" w:eastAsia="宋体" w:cs="TimesNewRomanPSM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YzJlMmZmMDkwMzU3M2RlN2ZjMTllNmYwMDAxODAifQ=="/>
  </w:docVars>
  <w:rsids>
    <w:rsidRoot w:val="00E216D2"/>
    <w:rsid w:val="00003DB4"/>
    <w:rsid w:val="000054CE"/>
    <w:rsid w:val="00006875"/>
    <w:rsid w:val="00007F5D"/>
    <w:rsid w:val="00015EE0"/>
    <w:rsid w:val="00016215"/>
    <w:rsid w:val="00020C09"/>
    <w:rsid w:val="00026FE3"/>
    <w:rsid w:val="0003640D"/>
    <w:rsid w:val="00037012"/>
    <w:rsid w:val="00042F41"/>
    <w:rsid w:val="00043B25"/>
    <w:rsid w:val="0005257F"/>
    <w:rsid w:val="000557D7"/>
    <w:rsid w:val="000638AD"/>
    <w:rsid w:val="000653F4"/>
    <w:rsid w:val="0007383A"/>
    <w:rsid w:val="000838D9"/>
    <w:rsid w:val="00096A14"/>
    <w:rsid w:val="000C1D6C"/>
    <w:rsid w:val="000C7B51"/>
    <w:rsid w:val="000D06C8"/>
    <w:rsid w:val="000D2B64"/>
    <w:rsid w:val="000E0B62"/>
    <w:rsid w:val="000E3D09"/>
    <w:rsid w:val="000E6032"/>
    <w:rsid w:val="000F2C2D"/>
    <w:rsid w:val="000F6B93"/>
    <w:rsid w:val="001018C4"/>
    <w:rsid w:val="00104556"/>
    <w:rsid w:val="00105F97"/>
    <w:rsid w:val="00113C02"/>
    <w:rsid w:val="0012332A"/>
    <w:rsid w:val="00123D9D"/>
    <w:rsid w:val="001426CC"/>
    <w:rsid w:val="001476E5"/>
    <w:rsid w:val="00153FF2"/>
    <w:rsid w:val="0015486A"/>
    <w:rsid w:val="001567D4"/>
    <w:rsid w:val="0016025A"/>
    <w:rsid w:val="00160BD5"/>
    <w:rsid w:val="001702B1"/>
    <w:rsid w:val="0017130C"/>
    <w:rsid w:val="0017145A"/>
    <w:rsid w:val="00183105"/>
    <w:rsid w:val="001855A1"/>
    <w:rsid w:val="00187A2F"/>
    <w:rsid w:val="00191172"/>
    <w:rsid w:val="00194D1F"/>
    <w:rsid w:val="001B0C84"/>
    <w:rsid w:val="001B21FF"/>
    <w:rsid w:val="001C0120"/>
    <w:rsid w:val="001C2796"/>
    <w:rsid w:val="001C316C"/>
    <w:rsid w:val="001C5338"/>
    <w:rsid w:val="001D5214"/>
    <w:rsid w:val="001E160A"/>
    <w:rsid w:val="001E2355"/>
    <w:rsid w:val="001E30D9"/>
    <w:rsid w:val="001E3A82"/>
    <w:rsid w:val="001F0873"/>
    <w:rsid w:val="001F4F64"/>
    <w:rsid w:val="001F6179"/>
    <w:rsid w:val="001F68F8"/>
    <w:rsid w:val="001F783D"/>
    <w:rsid w:val="0021600C"/>
    <w:rsid w:val="00225466"/>
    <w:rsid w:val="00232729"/>
    <w:rsid w:val="002420C7"/>
    <w:rsid w:val="0024624E"/>
    <w:rsid w:val="00253DD2"/>
    <w:rsid w:val="00256527"/>
    <w:rsid w:val="00262933"/>
    <w:rsid w:val="00265A96"/>
    <w:rsid w:val="00287835"/>
    <w:rsid w:val="002908E3"/>
    <w:rsid w:val="00294B8B"/>
    <w:rsid w:val="002A4134"/>
    <w:rsid w:val="002A62F1"/>
    <w:rsid w:val="002B50B7"/>
    <w:rsid w:val="002C13AE"/>
    <w:rsid w:val="002C417E"/>
    <w:rsid w:val="002C47F8"/>
    <w:rsid w:val="002C492F"/>
    <w:rsid w:val="002C715B"/>
    <w:rsid w:val="002D3B03"/>
    <w:rsid w:val="002E7EA6"/>
    <w:rsid w:val="002F154A"/>
    <w:rsid w:val="002F62AB"/>
    <w:rsid w:val="003018CC"/>
    <w:rsid w:val="003024D9"/>
    <w:rsid w:val="00311C3D"/>
    <w:rsid w:val="003179F5"/>
    <w:rsid w:val="0032642F"/>
    <w:rsid w:val="00331BE2"/>
    <w:rsid w:val="0033310C"/>
    <w:rsid w:val="003567A3"/>
    <w:rsid w:val="00356D69"/>
    <w:rsid w:val="003653FC"/>
    <w:rsid w:val="00365ABD"/>
    <w:rsid w:val="00384D62"/>
    <w:rsid w:val="0039198F"/>
    <w:rsid w:val="003960B1"/>
    <w:rsid w:val="003978FD"/>
    <w:rsid w:val="003A373E"/>
    <w:rsid w:val="003A5548"/>
    <w:rsid w:val="003D5ABD"/>
    <w:rsid w:val="003D7C3B"/>
    <w:rsid w:val="003E12C9"/>
    <w:rsid w:val="003F0BA0"/>
    <w:rsid w:val="003F3529"/>
    <w:rsid w:val="003F4BDE"/>
    <w:rsid w:val="003F52F5"/>
    <w:rsid w:val="00403057"/>
    <w:rsid w:val="00407158"/>
    <w:rsid w:val="00421A42"/>
    <w:rsid w:val="00423C81"/>
    <w:rsid w:val="0042432C"/>
    <w:rsid w:val="00433FE7"/>
    <w:rsid w:val="004403F8"/>
    <w:rsid w:val="00442004"/>
    <w:rsid w:val="00453F20"/>
    <w:rsid w:val="00463816"/>
    <w:rsid w:val="004701DD"/>
    <w:rsid w:val="00481987"/>
    <w:rsid w:val="00481DA0"/>
    <w:rsid w:val="00483CB9"/>
    <w:rsid w:val="0048599D"/>
    <w:rsid w:val="004947BB"/>
    <w:rsid w:val="004A6F84"/>
    <w:rsid w:val="004B474D"/>
    <w:rsid w:val="004C26B9"/>
    <w:rsid w:val="004C5DF4"/>
    <w:rsid w:val="004D017D"/>
    <w:rsid w:val="004E4B73"/>
    <w:rsid w:val="004E7F97"/>
    <w:rsid w:val="004F050E"/>
    <w:rsid w:val="004F35A7"/>
    <w:rsid w:val="004F4685"/>
    <w:rsid w:val="004F7094"/>
    <w:rsid w:val="004F7C2A"/>
    <w:rsid w:val="00500B89"/>
    <w:rsid w:val="00505480"/>
    <w:rsid w:val="00506F4E"/>
    <w:rsid w:val="0051160F"/>
    <w:rsid w:val="00513532"/>
    <w:rsid w:val="00514702"/>
    <w:rsid w:val="00522170"/>
    <w:rsid w:val="0052270B"/>
    <w:rsid w:val="00530800"/>
    <w:rsid w:val="00531988"/>
    <w:rsid w:val="005515E9"/>
    <w:rsid w:val="00571363"/>
    <w:rsid w:val="00586293"/>
    <w:rsid w:val="00594FA3"/>
    <w:rsid w:val="00595C36"/>
    <w:rsid w:val="005A1DB2"/>
    <w:rsid w:val="005A3100"/>
    <w:rsid w:val="005A52D9"/>
    <w:rsid w:val="005B0939"/>
    <w:rsid w:val="005B0B2F"/>
    <w:rsid w:val="005B423B"/>
    <w:rsid w:val="005C3F22"/>
    <w:rsid w:val="005C66A5"/>
    <w:rsid w:val="005D37A0"/>
    <w:rsid w:val="005D3A52"/>
    <w:rsid w:val="005D73D9"/>
    <w:rsid w:val="005E0DA0"/>
    <w:rsid w:val="005E142C"/>
    <w:rsid w:val="005E2DEC"/>
    <w:rsid w:val="005E3FD0"/>
    <w:rsid w:val="005E5401"/>
    <w:rsid w:val="005F1681"/>
    <w:rsid w:val="005F181A"/>
    <w:rsid w:val="005F27F1"/>
    <w:rsid w:val="005F295B"/>
    <w:rsid w:val="005F3FEF"/>
    <w:rsid w:val="00602B51"/>
    <w:rsid w:val="006075FF"/>
    <w:rsid w:val="00616138"/>
    <w:rsid w:val="0061765C"/>
    <w:rsid w:val="0062250A"/>
    <w:rsid w:val="00624AC4"/>
    <w:rsid w:val="00631FAB"/>
    <w:rsid w:val="00635D84"/>
    <w:rsid w:val="006412EF"/>
    <w:rsid w:val="0066690D"/>
    <w:rsid w:val="006704CB"/>
    <w:rsid w:val="00674B27"/>
    <w:rsid w:val="00676B31"/>
    <w:rsid w:val="00694E86"/>
    <w:rsid w:val="00697A09"/>
    <w:rsid w:val="006A03D1"/>
    <w:rsid w:val="006A5D6B"/>
    <w:rsid w:val="006B2D75"/>
    <w:rsid w:val="006C0F83"/>
    <w:rsid w:val="006C3C28"/>
    <w:rsid w:val="006C78D9"/>
    <w:rsid w:val="006D25B5"/>
    <w:rsid w:val="006D48E1"/>
    <w:rsid w:val="006D5E0D"/>
    <w:rsid w:val="006E0BF7"/>
    <w:rsid w:val="006E3759"/>
    <w:rsid w:val="006E5049"/>
    <w:rsid w:val="006E5746"/>
    <w:rsid w:val="006E5951"/>
    <w:rsid w:val="006F382A"/>
    <w:rsid w:val="006F76DC"/>
    <w:rsid w:val="00711446"/>
    <w:rsid w:val="00724862"/>
    <w:rsid w:val="007417F1"/>
    <w:rsid w:val="00741BDA"/>
    <w:rsid w:val="007435DF"/>
    <w:rsid w:val="00747C09"/>
    <w:rsid w:val="00760B51"/>
    <w:rsid w:val="0076588E"/>
    <w:rsid w:val="00767DB0"/>
    <w:rsid w:val="00772289"/>
    <w:rsid w:val="00786CA7"/>
    <w:rsid w:val="007913E5"/>
    <w:rsid w:val="007C17E8"/>
    <w:rsid w:val="007C62F1"/>
    <w:rsid w:val="007C7850"/>
    <w:rsid w:val="007D7BF0"/>
    <w:rsid w:val="007E2D17"/>
    <w:rsid w:val="007F0892"/>
    <w:rsid w:val="007F0BEF"/>
    <w:rsid w:val="007F27CB"/>
    <w:rsid w:val="008038D4"/>
    <w:rsid w:val="008119E5"/>
    <w:rsid w:val="00812CCB"/>
    <w:rsid w:val="00812F7C"/>
    <w:rsid w:val="008152E6"/>
    <w:rsid w:val="00825491"/>
    <w:rsid w:val="00826DCA"/>
    <w:rsid w:val="00827520"/>
    <w:rsid w:val="008430DB"/>
    <w:rsid w:val="008511BC"/>
    <w:rsid w:val="0085425C"/>
    <w:rsid w:val="00854A37"/>
    <w:rsid w:val="008660B6"/>
    <w:rsid w:val="008725B8"/>
    <w:rsid w:val="00882632"/>
    <w:rsid w:val="00892B92"/>
    <w:rsid w:val="008A1B2D"/>
    <w:rsid w:val="008A286D"/>
    <w:rsid w:val="008A3907"/>
    <w:rsid w:val="008B4D85"/>
    <w:rsid w:val="008C1B4B"/>
    <w:rsid w:val="008C7472"/>
    <w:rsid w:val="008C7670"/>
    <w:rsid w:val="008D02EF"/>
    <w:rsid w:val="008D5CDB"/>
    <w:rsid w:val="008E0091"/>
    <w:rsid w:val="008E0AFA"/>
    <w:rsid w:val="008F39F0"/>
    <w:rsid w:val="008F3FEB"/>
    <w:rsid w:val="009114FB"/>
    <w:rsid w:val="00915093"/>
    <w:rsid w:val="00921156"/>
    <w:rsid w:val="0092637E"/>
    <w:rsid w:val="00926FEF"/>
    <w:rsid w:val="00946605"/>
    <w:rsid w:val="009563C6"/>
    <w:rsid w:val="00960703"/>
    <w:rsid w:val="009731A8"/>
    <w:rsid w:val="00982149"/>
    <w:rsid w:val="00982C68"/>
    <w:rsid w:val="0098575E"/>
    <w:rsid w:val="00987D18"/>
    <w:rsid w:val="0099488D"/>
    <w:rsid w:val="00996C44"/>
    <w:rsid w:val="00996EBE"/>
    <w:rsid w:val="009A5529"/>
    <w:rsid w:val="009A57D5"/>
    <w:rsid w:val="009B1A59"/>
    <w:rsid w:val="009B51D8"/>
    <w:rsid w:val="009D4C57"/>
    <w:rsid w:val="009F3A33"/>
    <w:rsid w:val="009F76FE"/>
    <w:rsid w:val="00A05342"/>
    <w:rsid w:val="00A16048"/>
    <w:rsid w:val="00A27E8C"/>
    <w:rsid w:val="00A43FAD"/>
    <w:rsid w:val="00A5294D"/>
    <w:rsid w:val="00A73097"/>
    <w:rsid w:val="00A77487"/>
    <w:rsid w:val="00A81BF8"/>
    <w:rsid w:val="00A83463"/>
    <w:rsid w:val="00A84310"/>
    <w:rsid w:val="00A95A3E"/>
    <w:rsid w:val="00AA1588"/>
    <w:rsid w:val="00AA7652"/>
    <w:rsid w:val="00AD5AD3"/>
    <w:rsid w:val="00AD5DBF"/>
    <w:rsid w:val="00AD6F71"/>
    <w:rsid w:val="00AE12E6"/>
    <w:rsid w:val="00AE3E42"/>
    <w:rsid w:val="00AF365D"/>
    <w:rsid w:val="00AF3E19"/>
    <w:rsid w:val="00B10DC2"/>
    <w:rsid w:val="00B355ED"/>
    <w:rsid w:val="00B429D3"/>
    <w:rsid w:val="00B603AE"/>
    <w:rsid w:val="00B674E9"/>
    <w:rsid w:val="00B72605"/>
    <w:rsid w:val="00B8253D"/>
    <w:rsid w:val="00B867F5"/>
    <w:rsid w:val="00B94268"/>
    <w:rsid w:val="00B95BF9"/>
    <w:rsid w:val="00BA615A"/>
    <w:rsid w:val="00BC0727"/>
    <w:rsid w:val="00BC60B1"/>
    <w:rsid w:val="00BC6D58"/>
    <w:rsid w:val="00BD1A83"/>
    <w:rsid w:val="00BE4CCA"/>
    <w:rsid w:val="00BE6E91"/>
    <w:rsid w:val="00BF2457"/>
    <w:rsid w:val="00BF3D1E"/>
    <w:rsid w:val="00BF6B7B"/>
    <w:rsid w:val="00C02EE4"/>
    <w:rsid w:val="00C21872"/>
    <w:rsid w:val="00C22869"/>
    <w:rsid w:val="00C27749"/>
    <w:rsid w:val="00C30015"/>
    <w:rsid w:val="00C32302"/>
    <w:rsid w:val="00C32EA5"/>
    <w:rsid w:val="00C33C92"/>
    <w:rsid w:val="00C45315"/>
    <w:rsid w:val="00C47875"/>
    <w:rsid w:val="00C51053"/>
    <w:rsid w:val="00C516D0"/>
    <w:rsid w:val="00C52524"/>
    <w:rsid w:val="00C54EC7"/>
    <w:rsid w:val="00C55028"/>
    <w:rsid w:val="00C55E6A"/>
    <w:rsid w:val="00C6087D"/>
    <w:rsid w:val="00C70F49"/>
    <w:rsid w:val="00C73A23"/>
    <w:rsid w:val="00C87F05"/>
    <w:rsid w:val="00C93BAF"/>
    <w:rsid w:val="00C9419F"/>
    <w:rsid w:val="00C943DA"/>
    <w:rsid w:val="00CC210E"/>
    <w:rsid w:val="00CC3B92"/>
    <w:rsid w:val="00CC5295"/>
    <w:rsid w:val="00CF2C1E"/>
    <w:rsid w:val="00CF54BC"/>
    <w:rsid w:val="00CF5AD4"/>
    <w:rsid w:val="00CF6492"/>
    <w:rsid w:val="00CF6DF4"/>
    <w:rsid w:val="00D123D5"/>
    <w:rsid w:val="00D12D8E"/>
    <w:rsid w:val="00D25711"/>
    <w:rsid w:val="00D26005"/>
    <w:rsid w:val="00D3313A"/>
    <w:rsid w:val="00D40438"/>
    <w:rsid w:val="00D450C8"/>
    <w:rsid w:val="00D51CFA"/>
    <w:rsid w:val="00D52F74"/>
    <w:rsid w:val="00D53692"/>
    <w:rsid w:val="00D752F5"/>
    <w:rsid w:val="00D82CDC"/>
    <w:rsid w:val="00D96037"/>
    <w:rsid w:val="00DA5ED4"/>
    <w:rsid w:val="00DB4168"/>
    <w:rsid w:val="00DC3E6D"/>
    <w:rsid w:val="00DD0C21"/>
    <w:rsid w:val="00DD378E"/>
    <w:rsid w:val="00DE12DF"/>
    <w:rsid w:val="00DE6F2B"/>
    <w:rsid w:val="00DF179B"/>
    <w:rsid w:val="00DF3F4C"/>
    <w:rsid w:val="00DF5593"/>
    <w:rsid w:val="00E0069B"/>
    <w:rsid w:val="00E02913"/>
    <w:rsid w:val="00E066AD"/>
    <w:rsid w:val="00E07136"/>
    <w:rsid w:val="00E103D6"/>
    <w:rsid w:val="00E121CE"/>
    <w:rsid w:val="00E15AFE"/>
    <w:rsid w:val="00E216D2"/>
    <w:rsid w:val="00E22911"/>
    <w:rsid w:val="00E23F77"/>
    <w:rsid w:val="00E33016"/>
    <w:rsid w:val="00E331D9"/>
    <w:rsid w:val="00E333D3"/>
    <w:rsid w:val="00E33567"/>
    <w:rsid w:val="00E335C7"/>
    <w:rsid w:val="00E34591"/>
    <w:rsid w:val="00E3786A"/>
    <w:rsid w:val="00E4589B"/>
    <w:rsid w:val="00E474C4"/>
    <w:rsid w:val="00E52520"/>
    <w:rsid w:val="00E525B2"/>
    <w:rsid w:val="00E60145"/>
    <w:rsid w:val="00E7087D"/>
    <w:rsid w:val="00E727E0"/>
    <w:rsid w:val="00E766C5"/>
    <w:rsid w:val="00E80B9C"/>
    <w:rsid w:val="00E80D20"/>
    <w:rsid w:val="00E91E0A"/>
    <w:rsid w:val="00EA4924"/>
    <w:rsid w:val="00EA7EBD"/>
    <w:rsid w:val="00EB03DD"/>
    <w:rsid w:val="00EC0727"/>
    <w:rsid w:val="00EC5723"/>
    <w:rsid w:val="00EC7A1B"/>
    <w:rsid w:val="00ED15A2"/>
    <w:rsid w:val="00ED2A0B"/>
    <w:rsid w:val="00ED615F"/>
    <w:rsid w:val="00EE7505"/>
    <w:rsid w:val="00EF2C7F"/>
    <w:rsid w:val="00EF5275"/>
    <w:rsid w:val="00EF6893"/>
    <w:rsid w:val="00F1281D"/>
    <w:rsid w:val="00F14113"/>
    <w:rsid w:val="00F211DF"/>
    <w:rsid w:val="00F21AC3"/>
    <w:rsid w:val="00F30652"/>
    <w:rsid w:val="00F32C1A"/>
    <w:rsid w:val="00F33EB8"/>
    <w:rsid w:val="00F36780"/>
    <w:rsid w:val="00F37BF1"/>
    <w:rsid w:val="00F416CA"/>
    <w:rsid w:val="00F62C40"/>
    <w:rsid w:val="00F703E5"/>
    <w:rsid w:val="00F75710"/>
    <w:rsid w:val="00F763B6"/>
    <w:rsid w:val="00F94165"/>
    <w:rsid w:val="00F95A61"/>
    <w:rsid w:val="00FC2942"/>
    <w:rsid w:val="00FC404B"/>
    <w:rsid w:val="00FC672D"/>
    <w:rsid w:val="00FC6A98"/>
    <w:rsid w:val="00FE2EF8"/>
    <w:rsid w:val="016D19EC"/>
    <w:rsid w:val="021533E7"/>
    <w:rsid w:val="0224187C"/>
    <w:rsid w:val="022C0227"/>
    <w:rsid w:val="02380E83"/>
    <w:rsid w:val="02D04510"/>
    <w:rsid w:val="0593722F"/>
    <w:rsid w:val="06081927"/>
    <w:rsid w:val="089A5583"/>
    <w:rsid w:val="096939B2"/>
    <w:rsid w:val="0A613428"/>
    <w:rsid w:val="0A9F717D"/>
    <w:rsid w:val="0BE62FA6"/>
    <w:rsid w:val="0C0B7F2B"/>
    <w:rsid w:val="0D375B3C"/>
    <w:rsid w:val="0D8A33CB"/>
    <w:rsid w:val="0DD85D82"/>
    <w:rsid w:val="0F7D25CB"/>
    <w:rsid w:val="11360C84"/>
    <w:rsid w:val="12C30A10"/>
    <w:rsid w:val="12CA75BB"/>
    <w:rsid w:val="13066731"/>
    <w:rsid w:val="131C20FB"/>
    <w:rsid w:val="16AC3085"/>
    <w:rsid w:val="16FF3FC3"/>
    <w:rsid w:val="18067837"/>
    <w:rsid w:val="19647905"/>
    <w:rsid w:val="1A6C660A"/>
    <w:rsid w:val="1B1C70FB"/>
    <w:rsid w:val="1B791E45"/>
    <w:rsid w:val="1DBC62BE"/>
    <w:rsid w:val="1ECE074D"/>
    <w:rsid w:val="1EFF71ED"/>
    <w:rsid w:val="1F1E6A80"/>
    <w:rsid w:val="1F444AA3"/>
    <w:rsid w:val="1F5960F0"/>
    <w:rsid w:val="1F923E71"/>
    <w:rsid w:val="1FA3607E"/>
    <w:rsid w:val="1FC87893"/>
    <w:rsid w:val="1FE875CB"/>
    <w:rsid w:val="204F3608"/>
    <w:rsid w:val="21991E43"/>
    <w:rsid w:val="21EC6A02"/>
    <w:rsid w:val="22F132C7"/>
    <w:rsid w:val="230E5458"/>
    <w:rsid w:val="259B2D08"/>
    <w:rsid w:val="27AC6415"/>
    <w:rsid w:val="28AC6119"/>
    <w:rsid w:val="28FF67FA"/>
    <w:rsid w:val="298805BC"/>
    <w:rsid w:val="29D60DFE"/>
    <w:rsid w:val="29DE7921"/>
    <w:rsid w:val="2AB51E3C"/>
    <w:rsid w:val="2AE928C2"/>
    <w:rsid w:val="2B9351F9"/>
    <w:rsid w:val="2C74733E"/>
    <w:rsid w:val="2CBB5258"/>
    <w:rsid w:val="2D8D569D"/>
    <w:rsid w:val="2DC0339E"/>
    <w:rsid w:val="2EA046D5"/>
    <w:rsid w:val="2F6915FF"/>
    <w:rsid w:val="2FBB77BF"/>
    <w:rsid w:val="2FDE1236"/>
    <w:rsid w:val="303F594F"/>
    <w:rsid w:val="305E4463"/>
    <w:rsid w:val="31332A1E"/>
    <w:rsid w:val="3175242D"/>
    <w:rsid w:val="318555E4"/>
    <w:rsid w:val="31F02DD5"/>
    <w:rsid w:val="3244401F"/>
    <w:rsid w:val="32AE7142"/>
    <w:rsid w:val="35386E11"/>
    <w:rsid w:val="353E2BBC"/>
    <w:rsid w:val="35986C99"/>
    <w:rsid w:val="35A63B43"/>
    <w:rsid w:val="3657378D"/>
    <w:rsid w:val="36DD2E97"/>
    <w:rsid w:val="377D66C8"/>
    <w:rsid w:val="382A2230"/>
    <w:rsid w:val="384241E9"/>
    <w:rsid w:val="3AE5730C"/>
    <w:rsid w:val="3AFB51FF"/>
    <w:rsid w:val="3B354E78"/>
    <w:rsid w:val="3BED6985"/>
    <w:rsid w:val="3C3976F6"/>
    <w:rsid w:val="3C5D3593"/>
    <w:rsid w:val="3D4D1558"/>
    <w:rsid w:val="3E6C0B47"/>
    <w:rsid w:val="3EC935E4"/>
    <w:rsid w:val="3EE2221C"/>
    <w:rsid w:val="3F155876"/>
    <w:rsid w:val="402442F5"/>
    <w:rsid w:val="410B7187"/>
    <w:rsid w:val="417C47B6"/>
    <w:rsid w:val="424B486E"/>
    <w:rsid w:val="44511C84"/>
    <w:rsid w:val="449515A0"/>
    <w:rsid w:val="45187D8B"/>
    <w:rsid w:val="453E1BA6"/>
    <w:rsid w:val="46F74CD8"/>
    <w:rsid w:val="491C277B"/>
    <w:rsid w:val="49A25C2B"/>
    <w:rsid w:val="49AA20C0"/>
    <w:rsid w:val="4B3A7B6A"/>
    <w:rsid w:val="4CEE0089"/>
    <w:rsid w:val="4D3D6C05"/>
    <w:rsid w:val="4D55429F"/>
    <w:rsid w:val="4D826A23"/>
    <w:rsid w:val="4E5C54C6"/>
    <w:rsid w:val="4EEB547B"/>
    <w:rsid w:val="4F060C78"/>
    <w:rsid w:val="4F7B2A3B"/>
    <w:rsid w:val="4FB0014A"/>
    <w:rsid w:val="4FDA46FB"/>
    <w:rsid w:val="500B3F42"/>
    <w:rsid w:val="50CC248F"/>
    <w:rsid w:val="5186674D"/>
    <w:rsid w:val="531D4F96"/>
    <w:rsid w:val="535B4061"/>
    <w:rsid w:val="558E5D68"/>
    <w:rsid w:val="55EA1D8B"/>
    <w:rsid w:val="58502ABA"/>
    <w:rsid w:val="58DA4B30"/>
    <w:rsid w:val="599A5C9D"/>
    <w:rsid w:val="59CF2E66"/>
    <w:rsid w:val="5A177392"/>
    <w:rsid w:val="5AD32765"/>
    <w:rsid w:val="5B6245B1"/>
    <w:rsid w:val="5D6A6CD1"/>
    <w:rsid w:val="5E257683"/>
    <w:rsid w:val="5E435D5B"/>
    <w:rsid w:val="5F530220"/>
    <w:rsid w:val="5F7D704B"/>
    <w:rsid w:val="5FBE7D8F"/>
    <w:rsid w:val="61F93300"/>
    <w:rsid w:val="62A45EB6"/>
    <w:rsid w:val="63EA5349"/>
    <w:rsid w:val="63FA510E"/>
    <w:rsid w:val="66247E7D"/>
    <w:rsid w:val="66A53A75"/>
    <w:rsid w:val="66D439BA"/>
    <w:rsid w:val="66EF4CD2"/>
    <w:rsid w:val="66F51102"/>
    <w:rsid w:val="673D3C8F"/>
    <w:rsid w:val="683A5F02"/>
    <w:rsid w:val="6C6611A8"/>
    <w:rsid w:val="6CD244C3"/>
    <w:rsid w:val="6CEB2C42"/>
    <w:rsid w:val="6D55144C"/>
    <w:rsid w:val="6D6369CC"/>
    <w:rsid w:val="6D731CF4"/>
    <w:rsid w:val="6DB93902"/>
    <w:rsid w:val="6E04220E"/>
    <w:rsid w:val="6EC01A90"/>
    <w:rsid w:val="6F4141C7"/>
    <w:rsid w:val="6F866FD6"/>
    <w:rsid w:val="6FCF279B"/>
    <w:rsid w:val="712E1E5A"/>
    <w:rsid w:val="716A2B09"/>
    <w:rsid w:val="723D4B43"/>
    <w:rsid w:val="732B47E1"/>
    <w:rsid w:val="767501D9"/>
    <w:rsid w:val="77700A86"/>
    <w:rsid w:val="789E0B94"/>
    <w:rsid w:val="78A11538"/>
    <w:rsid w:val="795E3E9C"/>
    <w:rsid w:val="7C321FB6"/>
    <w:rsid w:val="7C6333F8"/>
    <w:rsid w:val="7D3D4EC3"/>
    <w:rsid w:val="7DD87E16"/>
    <w:rsid w:val="7E443393"/>
    <w:rsid w:val="7ED35778"/>
    <w:rsid w:val="7FB62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qFormat="1" w:unhideWhenUsed="0" w:uiPriority="0" w:semiHidden="0" w:name="index 7"/>
    <w:lsdException w:uiPriority="0" w:name="index 8"/>
    <w:lsdException w:uiPriority="0"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5"/>
    <w:qFormat/>
    <w:uiPriority w:val="0"/>
    <w:pPr>
      <w:keepNext/>
      <w:keepLines/>
      <w:spacing w:before="340" w:after="330" w:line="576" w:lineRule="auto"/>
      <w:outlineLvl w:val="0"/>
    </w:pPr>
    <w:rPr>
      <w:rFonts w:ascii="time new roman" w:hAnsi="time new roman" w:eastAsia="长城粗隶书" w:cs="Courier New"/>
      <w:b/>
      <w:bCs/>
      <w:kern w:val="44"/>
      <w:sz w:val="44"/>
      <w:szCs w:val="44"/>
    </w:rPr>
  </w:style>
  <w:style w:type="paragraph" w:styleId="3">
    <w:name w:val="heading 2"/>
    <w:basedOn w:val="1"/>
    <w:next w:val="1"/>
    <w:link w:val="66"/>
    <w:qFormat/>
    <w:uiPriority w:val="9"/>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67"/>
    <w:qFormat/>
    <w:uiPriority w:val="0"/>
    <w:pPr>
      <w:keepNext/>
      <w:keepLines/>
      <w:spacing w:before="260" w:after="260" w:line="416" w:lineRule="auto"/>
      <w:outlineLvl w:val="2"/>
    </w:pPr>
    <w:rPr>
      <w:b/>
      <w:bCs/>
      <w:sz w:val="32"/>
      <w:szCs w:val="32"/>
    </w:rPr>
  </w:style>
  <w:style w:type="paragraph" w:styleId="5">
    <w:name w:val="heading 4"/>
    <w:basedOn w:val="1"/>
    <w:next w:val="1"/>
    <w:link w:val="68"/>
    <w:qFormat/>
    <w:uiPriority w:val="0"/>
    <w:pPr>
      <w:keepNext/>
      <w:keepLines/>
      <w:spacing w:before="280" w:after="290" w:line="376" w:lineRule="auto"/>
      <w:outlineLvl w:val="3"/>
    </w:pPr>
    <w:rPr>
      <w:rFonts w:ascii="Cambria" w:hAnsi="Cambria"/>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6">
    <w:name w:val="Note Heading"/>
    <w:basedOn w:val="1"/>
    <w:next w:val="1"/>
    <w:link w:val="70"/>
    <w:qFormat/>
    <w:uiPriority w:val="0"/>
    <w:pPr>
      <w:jc w:val="center"/>
    </w:pPr>
    <w:rPr>
      <w:rFonts w:ascii="time new roman" w:hAnsi="time new roman" w:eastAsia="长城粗隶书"/>
    </w:rPr>
  </w:style>
  <w:style w:type="paragraph" w:styleId="7">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8">
    <w:name w:val="Normal Indent"/>
    <w:basedOn w:val="1"/>
    <w:link w:val="71"/>
    <w:qFormat/>
    <w:uiPriority w:val="0"/>
    <w:pPr>
      <w:ind w:firstLine="420"/>
    </w:pPr>
    <w:rPr>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Document Map"/>
    <w:basedOn w:val="1"/>
    <w:link w:val="72"/>
    <w:qFormat/>
    <w:uiPriority w:val="0"/>
    <w:pPr>
      <w:shd w:val="clear" w:color="auto" w:fill="000080"/>
    </w:pPr>
  </w:style>
  <w:style w:type="paragraph" w:styleId="11">
    <w:name w:val="annotation text"/>
    <w:basedOn w:val="1"/>
    <w:link w:val="73"/>
    <w:qFormat/>
    <w:uiPriority w:val="0"/>
    <w:pPr>
      <w:jc w:val="left"/>
    </w:pPr>
  </w:style>
  <w:style w:type="paragraph" w:styleId="12">
    <w:name w:val="Body Text 3"/>
    <w:basedOn w:val="1"/>
    <w:link w:val="74"/>
    <w:qFormat/>
    <w:uiPriority w:val="0"/>
    <w:pPr>
      <w:snapToGrid w:val="0"/>
      <w:spacing w:before="50" w:after="50"/>
    </w:pPr>
    <w:rPr>
      <w:rFonts w:hAnsi="宋体" w:eastAsia="仿宋_GB2312"/>
      <w:b/>
      <w:bCs/>
      <w:sz w:val="24"/>
      <w:szCs w:val="20"/>
    </w:rPr>
  </w:style>
  <w:style w:type="paragraph" w:styleId="13">
    <w:name w:val="Body Text"/>
    <w:basedOn w:val="1"/>
    <w:link w:val="69"/>
    <w:qFormat/>
    <w:uiPriority w:val="0"/>
    <w:pPr>
      <w:spacing w:after="120"/>
    </w:pPr>
    <w:rPr>
      <w:sz w:val="28"/>
    </w:rPr>
  </w:style>
  <w:style w:type="paragraph" w:styleId="14">
    <w:name w:val="Body Text Indent"/>
    <w:basedOn w:val="1"/>
    <w:link w:val="75"/>
    <w:qFormat/>
    <w:uiPriority w:val="0"/>
    <w:pPr>
      <w:spacing w:line="200" w:lineRule="exact"/>
      <w:ind w:firstLine="301"/>
    </w:pPr>
    <w:rPr>
      <w:rFonts w:ascii="宋体" w:hAnsi="Courier New"/>
      <w:spacing w:val="-4"/>
      <w:sz w:val="18"/>
      <w:szCs w:val="20"/>
    </w:rPr>
  </w:style>
  <w:style w:type="paragraph" w:styleId="15">
    <w:name w:val="List Number 3"/>
    <w:basedOn w:val="1"/>
    <w:qFormat/>
    <w:uiPriority w:val="0"/>
    <w:pPr>
      <w:tabs>
        <w:tab w:val="left" w:pos="1200"/>
      </w:tabs>
      <w:ind w:left="1200" w:hanging="360"/>
    </w:pPr>
  </w:style>
  <w:style w:type="paragraph" w:styleId="16">
    <w:name w:val="List 2"/>
    <w:basedOn w:val="1"/>
    <w:qFormat/>
    <w:uiPriority w:val="0"/>
    <w:pPr>
      <w:ind w:left="100" w:leftChars="200" w:hanging="200" w:hangingChars="200"/>
    </w:pPr>
    <w:rPr>
      <w:sz w:val="28"/>
    </w:rPr>
  </w:style>
  <w:style w:type="paragraph" w:styleId="17">
    <w:name w:val="Block Text"/>
    <w:basedOn w:val="1"/>
    <w:qFormat/>
    <w:uiPriority w:val="0"/>
    <w:pPr>
      <w:spacing w:after="120"/>
      <w:ind w:left="1440" w:leftChars="700" w:right="1440" w:rightChars="700"/>
    </w:pPr>
    <w:rPr>
      <w:rFonts w:ascii="time new roman" w:hAnsi="time new roman" w:eastAsia="长城粗隶书" w:cs="Courier New"/>
    </w:rPr>
  </w:style>
  <w:style w:type="paragraph" w:styleId="18">
    <w:name w:val="Plain Text"/>
    <w:basedOn w:val="1"/>
    <w:link w:val="77"/>
    <w:qFormat/>
    <w:uiPriority w:val="0"/>
    <w:pPr>
      <w:spacing w:beforeLines="50" w:afterLines="50" w:line="400" w:lineRule="exact"/>
    </w:pPr>
    <w:rPr>
      <w:rFonts w:ascii="宋体" w:hAnsi="Courier New"/>
      <w:sz w:val="24"/>
    </w:rPr>
  </w:style>
  <w:style w:type="paragraph" w:styleId="19">
    <w:name w:val="Date"/>
    <w:basedOn w:val="1"/>
    <w:next w:val="1"/>
    <w:link w:val="78"/>
    <w:qFormat/>
    <w:uiPriority w:val="0"/>
    <w:pPr>
      <w:ind w:left="2500" w:leftChars="2500"/>
    </w:pPr>
    <w:rPr>
      <w:rFonts w:eastAsia="楷体_GB2312"/>
      <w:sz w:val="32"/>
      <w:szCs w:val="20"/>
    </w:rPr>
  </w:style>
  <w:style w:type="paragraph" w:styleId="20">
    <w:name w:val="Body Text Indent 2"/>
    <w:basedOn w:val="1"/>
    <w:link w:val="79"/>
    <w:qFormat/>
    <w:uiPriority w:val="0"/>
    <w:pPr>
      <w:snapToGrid w:val="0"/>
      <w:ind w:firstLine="542" w:firstLineChars="225"/>
    </w:pPr>
    <w:rPr>
      <w:rFonts w:ascii="仿宋_GB2312" w:hAnsi="宋体" w:cs="Arial"/>
      <w:b/>
      <w:bCs/>
      <w:color w:val="000000"/>
      <w:sz w:val="24"/>
    </w:rPr>
  </w:style>
  <w:style w:type="paragraph" w:styleId="21">
    <w:name w:val="Balloon Text"/>
    <w:basedOn w:val="1"/>
    <w:link w:val="80"/>
    <w:qFormat/>
    <w:uiPriority w:val="0"/>
    <w:rPr>
      <w:rFonts w:ascii="time new roman" w:hAnsi="time new roman" w:eastAsia="长城粗隶书" w:cs="Courier New"/>
      <w:sz w:val="18"/>
      <w:szCs w:val="18"/>
    </w:rPr>
  </w:style>
  <w:style w:type="paragraph" w:styleId="22">
    <w:name w:val="footer"/>
    <w:basedOn w:val="1"/>
    <w:link w:val="64"/>
    <w:unhideWhenUsed/>
    <w:qFormat/>
    <w:uiPriority w:val="99"/>
    <w:pPr>
      <w:tabs>
        <w:tab w:val="center" w:pos="4153"/>
        <w:tab w:val="right" w:pos="8306"/>
      </w:tabs>
      <w:snapToGrid w:val="0"/>
      <w:jc w:val="left"/>
    </w:pPr>
    <w:rPr>
      <w:sz w:val="18"/>
      <w:szCs w:val="18"/>
    </w:rPr>
  </w:style>
  <w:style w:type="paragraph" w:styleId="23">
    <w:name w:val="header"/>
    <w:basedOn w:val="1"/>
    <w:link w:val="63"/>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style>
  <w:style w:type="paragraph" w:styleId="25">
    <w:name w:val="List"/>
    <w:basedOn w:val="1"/>
    <w:qFormat/>
    <w:uiPriority w:val="0"/>
    <w:pPr>
      <w:ind w:left="200" w:hanging="200" w:hangingChars="200"/>
    </w:pPr>
    <w:rPr>
      <w:sz w:val="28"/>
    </w:rPr>
  </w:style>
  <w:style w:type="paragraph" w:styleId="26">
    <w:name w:val="Body Text Indent 3"/>
    <w:basedOn w:val="1"/>
    <w:link w:val="81"/>
    <w:qFormat/>
    <w:uiPriority w:val="0"/>
    <w:pPr>
      <w:snapToGrid w:val="0"/>
      <w:ind w:firstLine="480" w:firstLineChars="200"/>
      <w:jc w:val="left"/>
    </w:pPr>
    <w:rPr>
      <w:rFonts w:ascii="仿宋_GB2312" w:hAnsi="宋体" w:eastAsia="仿宋_GB2312"/>
      <w:color w:val="000000"/>
      <w:sz w:val="24"/>
    </w:rPr>
  </w:style>
  <w:style w:type="paragraph" w:styleId="27">
    <w:name w:val="index 7"/>
    <w:basedOn w:val="1"/>
    <w:next w:val="1"/>
    <w:qFormat/>
    <w:uiPriority w:val="0"/>
    <w:pPr>
      <w:ind w:left="1200" w:leftChars="1200"/>
    </w:pPr>
  </w:style>
  <w:style w:type="paragraph" w:styleId="28">
    <w:name w:val="Body Text 2"/>
    <w:basedOn w:val="1"/>
    <w:link w:val="82"/>
    <w:qFormat/>
    <w:uiPriority w:val="0"/>
    <w:pPr>
      <w:widowControl/>
      <w:snapToGrid w:val="0"/>
      <w:spacing w:before="50" w:afterLines="50" w:line="400" w:lineRule="exact"/>
      <w:jc w:val="left"/>
    </w:pPr>
    <w:rPr>
      <w:rFonts w:ascii="宋体" w:hAnsi="宋体"/>
      <w:color w:val="000000"/>
      <w:sz w:val="24"/>
    </w:rPr>
  </w:style>
  <w:style w:type="paragraph" w:styleId="29">
    <w:name w:val="Normal (Web)"/>
    <w:basedOn w:val="1"/>
    <w:qFormat/>
    <w:uiPriority w:val="0"/>
    <w:pPr>
      <w:widowControl/>
      <w:spacing w:line="300" w:lineRule="atLeast"/>
      <w:jc w:val="left"/>
    </w:pPr>
    <w:rPr>
      <w:rFonts w:ascii="宋体" w:hAnsi="宋体" w:cs="宋体"/>
      <w:kern w:val="0"/>
      <w:sz w:val="24"/>
    </w:rPr>
  </w:style>
  <w:style w:type="paragraph" w:styleId="30">
    <w:name w:val="Title"/>
    <w:basedOn w:val="1"/>
    <w:next w:val="1"/>
    <w:link w:val="83"/>
    <w:qFormat/>
    <w:uiPriority w:val="0"/>
    <w:pPr>
      <w:spacing w:before="240" w:after="60" w:line="480" w:lineRule="exact"/>
      <w:jc w:val="center"/>
      <w:outlineLvl w:val="0"/>
    </w:pPr>
    <w:rPr>
      <w:rFonts w:ascii="Cambria" w:hAnsi="Cambria"/>
      <w:b/>
      <w:bCs/>
      <w:sz w:val="32"/>
      <w:szCs w:val="32"/>
    </w:rPr>
  </w:style>
  <w:style w:type="paragraph" w:styleId="31">
    <w:name w:val="annotation subject"/>
    <w:basedOn w:val="11"/>
    <w:next w:val="11"/>
    <w:link w:val="84"/>
    <w:qFormat/>
    <w:uiPriority w:val="0"/>
    <w:rPr>
      <w:b/>
      <w:bCs/>
    </w:rPr>
  </w:style>
  <w:style w:type="paragraph" w:styleId="32">
    <w:name w:val="Body Text First Indent"/>
    <w:basedOn w:val="13"/>
    <w:link w:val="85"/>
    <w:qFormat/>
    <w:uiPriority w:val="0"/>
    <w:pPr>
      <w:spacing w:line="390" w:lineRule="atLeast"/>
      <w:ind w:firstLine="420" w:firstLineChars="100"/>
    </w:pPr>
    <w:rPr>
      <w:rFonts w:ascii="Calibri" w:hAnsi="Calibri"/>
    </w:rPr>
  </w:style>
  <w:style w:type="table" w:styleId="34">
    <w:name w:val="Table Grid"/>
    <w:basedOn w:val="33"/>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bCs/>
    </w:rPr>
  </w:style>
  <w:style w:type="character" w:styleId="37">
    <w:name w:val="page number"/>
    <w:qFormat/>
    <w:uiPriority w:val="0"/>
  </w:style>
  <w:style w:type="character" w:styleId="38">
    <w:name w:val="FollowedHyperlink"/>
    <w:qFormat/>
    <w:uiPriority w:val="0"/>
    <w:rPr>
      <w:color w:val="800080"/>
      <w:u w:val="single"/>
    </w:rPr>
  </w:style>
  <w:style w:type="character" w:styleId="39">
    <w:name w:val="Emphasis"/>
    <w:basedOn w:val="35"/>
    <w:qFormat/>
    <w:uiPriority w:val="20"/>
    <w:rPr>
      <w:i/>
      <w:iCs/>
    </w:rPr>
  </w:style>
  <w:style w:type="character" w:styleId="40">
    <w:name w:val="Hyperlink"/>
    <w:qFormat/>
    <w:uiPriority w:val="0"/>
    <w:rPr>
      <w:color w:val="0000FF"/>
      <w:u w:val="single"/>
    </w:rPr>
  </w:style>
  <w:style w:type="character" w:styleId="41">
    <w:name w:val="annotation reference"/>
    <w:qFormat/>
    <w:uiPriority w:val="0"/>
    <w:rPr>
      <w:sz w:val="21"/>
      <w:szCs w:val="21"/>
    </w:rPr>
  </w:style>
  <w:style w:type="paragraph" w:customStyle="1" w:styleId="42">
    <w:name w:val="Default"/>
    <w:next w:val="43"/>
    <w:qFormat/>
    <w:uiPriority w:val="0"/>
    <w:pPr>
      <w:widowControl w:val="0"/>
      <w:autoSpaceDE w:val="0"/>
      <w:autoSpaceDN w:val="0"/>
      <w:adjustRightInd w:val="0"/>
    </w:pPr>
    <w:rPr>
      <w:rFonts w:ascii="楷体" w:hAnsi="Arial" w:eastAsia="楷体" w:cs="Arial"/>
      <w:color w:val="000000"/>
      <w:sz w:val="24"/>
      <w:szCs w:val="24"/>
      <w:lang w:val="en-US" w:eastAsia="zh-CN" w:bidi="ar-SA"/>
    </w:rPr>
  </w:style>
  <w:style w:type="paragraph" w:customStyle="1" w:styleId="43">
    <w:name w:val="目录 71"/>
    <w:next w:val="1"/>
    <w:qFormat/>
    <w:uiPriority w:val="0"/>
    <w:pPr>
      <w:wordWrap w:val="0"/>
      <w:ind w:left="2550"/>
      <w:jc w:val="both"/>
    </w:pPr>
    <w:rPr>
      <w:rFonts w:ascii="Times New Roman" w:hAnsi="Times New Roman" w:eastAsia="宋体" w:cs="Times New Roman"/>
      <w:sz w:val="21"/>
      <w:lang w:val="en-US" w:eastAsia="zh-CN" w:bidi="ar-SA"/>
    </w:rPr>
  </w:style>
  <w:style w:type="paragraph" w:customStyle="1" w:styleId="44">
    <w:name w:val="列出段落1"/>
    <w:basedOn w:val="1"/>
    <w:link w:val="95"/>
    <w:qFormat/>
    <w:uiPriority w:val="34"/>
    <w:pPr>
      <w:ind w:firstLine="420" w:firstLineChars="200"/>
    </w:pPr>
    <w:rPr>
      <w:rFonts w:ascii="Calibri" w:hAnsi="Calibri" w:cs="黑体"/>
      <w:szCs w:val="22"/>
    </w:rPr>
  </w:style>
  <w:style w:type="paragraph" w:customStyle="1" w:styleId="45">
    <w:name w:val="正文2"/>
    <w:basedOn w:val="1"/>
    <w:qFormat/>
    <w:uiPriority w:val="0"/>
    <w:pPr>
      <w:spacing w:before="156" w:line="360" w:lineRule="auto"/>
      <w:ind w:firstLine="510" w:firstLineChars="200"/>
    </w:pPr>
    <w:rPr>
      <w:sz w:val="24"/>
      <w:szCs w:val="20"/>
    </w:rPr>
  </w:style>
  <w:style w:type="paragraph" w:customStyle="1" w:styleId="46">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47">
    <w:name w:val="正文段"/>
    <w:basedOn w:val="1"/>
    <w:qFormat/>
    <w:uiPriority w:val="0"/>
    <w:pPr>
      <w:widowControl/>
      <w:snapToGrid w:val="0"/>
      <w:spacing w:afterLines="50"/>
      <w:ind w:firstLine="200" w:firstLineChars="200"/>
    </w:pPr>
    <w:rPr>
      <w:kern w:val="0"/>
      <w:sz w:val="24"/>
      <w:szCs w:val="20"/>
    </w:rPr>
  </w:style>
  <w:style w:type="paragraph" w:customStyle="1" w:styleId="48">
    <w:name w:val="A_正文_注释"/>
    <w:basedOn w:val="1"/>
    <w:qFormat/>
    <w:uiPriority w:val="0"/>
    <w:pPr>
      <w:tabs>
        <w:tab w:val="left" w:pos="1547"/>
      </w:tabs>
      <w:spacing w:line="360" w:lineRule="auto"/>
      <w:ind w:left="200" w:leftChars="200" w:firstLine="600" w:firstLineChars="200"/>
    </w:pPr>
    <w:rPr>
      <w:rFonts w:eastAsia="仿宋"/>
      <w:color w:val="0070C0"/>
      <w:sz w:val="30"/>
      <w:szCs w:val="22"/>
    </w:rPr>
  </w:style>
  <w:style w:type="paragraph" w:customStyle="1" w:styleId="49">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0">
    <w:name w:val="Char"/>
    <w:basedOn w:val="1"/>
    <w:qFormat/>
    <w:uiPriority w:val="0"/>
    <w:pPr>
      <w:ind w:firstLine="640" w:firstLineChars="200"/>
    </w:pPr>
    <w:rPr>
      <w:rFonts w:ascii="宋体" w:hAnsi="宋体" w:cs="宋体"/>
      <w:color w:val="000000"/>
      <w:kern w:val="0"/>
      <w:szCs w:val="21"/>
    </w:rPr>
  </w:style>
  <w:style w:type="paragraph" w:customStyle="1" w:styleId="51">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52">
    <w:name w:val="默认段落字体 Para Char Char Char Char Char Char Char Char Char1 Char Char Char Char"/>
    <w:basedOn w:val="1"/>
    <w:qFormat/>
    <w:uiPriority w:val="0"/>
    <w:rPr>
      <w:rFonts w:ascii="Tahoma" w:hAnsi="Tahoma"/>
      <w:sz w:val="24"/>
      <w:szCs w:val="20"/>
    </w:rPr>
  </w:style>
  <w:style w:type="paragraph" w:customStyle="1" w:styleId="53">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p0"/>
    <w:next w:val="27"/>
    <w:qFormat/>
    <w:uiPriority w:val="0"/>
    <w:pPr>
      <w:snapToGrid w:val="0"/>
    </w:pPr>
    <w:rPr>
      <w:rFonts w:ascii="Times New Roman" w:hAnsi="Times New Roman" w:eastAsia="宋体" w:cs="Times New Roman"/>
      <w:sz w:val="21"/>
      <w:szCs w:val="21"/>
      <w:lang w:val="en-US" w:eastAsia="zh-CN" w:bidi="ar-SA"/>
    </w:rPr>
  </w:style>
  <w:style w:type="paragraph" w:customStyle="1" w:styleId="55">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Char1 Char Char1 Char"/>
    <w:basedOn w:val="1"/>
    <w:qFormat/>
    <w:uiPriority w:val="0"/>
    <w:pPr>
      <w:widowControl/>
      <w:spacing w:line="400" w:lineRule="exact"/>
      <w:jc w:val="center"/>
    </w:pPr>
    <w:rPr>
      <w:rFonts w:ascii="Verdana" w:hAnsi="Verdana"/>
      <w:kern w:val="0"/>
      <w:szCs w:val="20"/>
      <w:lang w:eastAsia="en-US"/>
    </w:rPr>
  </w:style>
  <w:style w:type="paragraph" w:customStyle="1" w:styleId="57">
    <w:name w:val="Char2"/>
    <w:basedOn w:val="10"/>
    <w:next w:val="1"/>
    <w:qFormat/>
    <w:uiPriority w:val="0"/>
    <w:rPr>
      <w:rFonts w:ascii="宋体" w:hAnsi="宋体"/>
    </w:rPr>
  </w:style>
  <w:style w:type="paragraph" w:customStyle="1" w:styleId="58">
    <w:name w:val="Char Char Char"/>
    <w:basedOn w:val="10"/>
    <w:qFormat/>
    <w:uiPriority w:val="0"/>
    <w:rPr>
      <w:rFonts w:ascii="Tahoma" w:hAnsi="Tahoma"/>
      <w:sz w:val="24"/>
    </w:rPr>
  </w:style>
  <w:style w:type="paragraph" w:customStyle="1" w:styleId="5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0">
    <w:name w:val="Char1"/>
    <w:basedOn w:val="1"/>
    <w:qFormat/>
    <w:uiPriority w:val="0"/>
    <w:rPr>
      <w:rFonts w:ascii="Tahoma" w:hAnsi="Tahoma"/>
      <w:sz w:val="24"/>
    </w:rPr>
  </w:style>
  <w:style w:type="paragraph" w:customStyle="1" w:styleId="61">
    <w:name w:val="正文文字"/>
    <w:basedOn w:val="1"/>
    <w:qFormat/>
    <w:uiPriority w:val="0"/>
    <w:pPr>
      <w:spacing w:line="360" w:lineRule="auto"/>
      <w:ind w:firstLine="420"/>
    </w:pPr>
    <w:rPr>
      <w:sz w:val="24"/>
    </w:rPr>
  </w:style>
  <w:style w:type="paragraph" w:customStyle="1" w:styleId="6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63">
    <w:name w:val="页眉 Char"/>
    <w:basedOn w:val="35"/>
    <w:link w:val="23"/>
    <w:qFormat/>
    <w:uiPriority w:val="99"/>
    <w:rPr>
      <w:sz w:val="18"/>
      <w:szCs w:val="18"/>
    </w:rPr>
  </w:style>
  <w:style w:type="character" w:customStyle="1" w:styleId="64">
    <w:name w:val="页脚 Char"/>
    <w:basedOn w:val="35"/>
    <w:link w:val="22"/>
    <w:semiHidden/>
    <w:qFormat/>
    <w:uiPriority w:val="99"/>
    <w:rPr>
      <w:sz w:val="18"/>
      <w:szCs w:val="18"/>
    </w:rPr>
  </w:style>
  <w:style w:type="character" w:customStyle="1" w:styleId="65">
    <w:name w:val="标题 1 Char"/>
    <w:basedOn w:val="35"/>
    <w:link w:val="2"/>
    <w:qFormat/>
    <w:uiPriority w:val="0"/>
    <w:rPr>
      <w:rFonts w:ascii="time new roman" w:hAnsi="time new roman" w:eastAsia="长城粗隶书" w:cs="Courier New"/>
      <w:b/>
      <w:bCs/>
      <w:kern w:val="44"/>
      <w:sz w:val="44"/>
      <w:szCs w:val="44"/>
    </w:rPr>
  </w:style>
  <w:style w:type="character" w:customStyle="1" w:styleId="66">
    <w:name w:val="标题 2 Char"/>
    <w:basedOn w:val="35"/>
    <w:link w:val="3"/>
    <w:qFormat/>
    <w:uiPriority w:val="9"/>
    <w:rPr>
      <w:rFonts w:ascii="Arial" w:hAnsi="Arial" w:eastAsia="黑体" w:cs="Times New Roman"/>
      <w:b/>
      <w:bCs/>
      <w:sz w:val="32"/>
      <w:szCs w:val="32"/>
    </w:rPr>
  </w:style>
  <w:style w:type="character" w:customStyle="1" w:styleId="67">
    <w:name w:val="标题 3 Char"/>
    <w:basedOn w:val="35"/>
    <w:link w:val="4"/>
    <w:qFormat/>
    <w:uiPriority w:val="0"/>
    <w:rPr>
      <w:rFonts w:ascii="Times New Roman" w:hAnsi="Times New Roman" w:eastAsia="宋体" w:cs="Times New Roman"/>
      <w:b/>
      <w:bCs/>
      <w:sz w:val="32"/>
      <w:szCs w:val="32"/>
    </w:rPr>
  </w:style>
  <w:style w:type="character" w:customStyle="1" w:styleId="68">
    <w:name w:val="标题 4 Char"/>
    <w:basedOn w:val="35"/>
    <w:link w:val="5"/>
    <w:qFormat/>
    <w:uiPriority w:val="0"/>
    <w:rPr>
      <w:rFonts w:ascii="Cambria" w:hAnsi="Cambria" w:eastAsia="宋体" w:cs="Times New Roman"/>
      <w:b/>
      <w:bCs/>
      <w:sz w:val="28"/>
      <w:szCs w:val="28"/>
    </w:rPr>
  </w:style>
  <w:style w:type="character" w:customStyle="1" w:styleId="69">
    <w:name w:val="正文文本 Char"/>
    <w:basedOn w:val="35"/>
    <w:link w:val="13"/>
    <w:qFormat/>
    <w:uiPriority w:val="0"/>
    <w:rPr>
      <w:rFonts w:ascii="Times New Roman" w:hAnsi="Times New Roman" w:eastAsia="宋体" w:cs="Times New Roman"/>
      <w:sz w:val="28"/>
      <w:szCs w:val="24"/>
    </w:rPr>
  </w:style>
  <w:style w:type="character" w:customStyle="1" w:styleId="70">
    <w:name w:val="注释标题 Char"/>
    <w:basedOn w:val="35"/>
    <w:link w:val="6"/>
    <w:qFormat/>
    <w:uiPriority w:val="0"/>
    <w:rPr>
      <w:rFonts w:ascii="time new roman" w:hAnsi="time new roman" w:eastAsia="长城粗隶书" w:cs="Times New Roman"/>
      <w:szCs w:val="24"/>
    </w:rPr>
  </w:style>
  <w:style w:type="character" w:customStyle="1" w:styleId="71">
    <w:name w:val="正文缩进 Char"/>
    <w:link w:val="8"/>
    <w:qFormat/>
    <w:uiPriority w:val="0"/>
    <w:rPr>
      <w:rFonts w:ascii="Times New Roman" w:hAnsi="Times New Roman" w:eastAsia="宋体" w:cs="Times New Roman"/>
      <w:szCs w:val="20"/>
    </w:rPr>
  </w:style>
  <w:style w:type="character" w:customStyle="1" w:styleId="72">
    <w:name w:val="文档结构图 Char"/>
    <w:basedOn w:val="35"/>
    <w:link w:val="10"/>
    <w:qFormat/>
    <w:uiPriority w:val="0"/>
    <w:rPr>
      <w:rFonts w:ascii="Times New Roman" w:hAnsi="Times New Roman" w:eastAsia="宋体" w:cs="Times New Roman"/>
      <w:szCs w:val="24"/>
      <w:shd w:val="clear" w:color="auto" w:fill="000080"/>
    </w:rPr>
  </w:style>
  <w:style w:type="character" w:customStyle="1" w:styleId="73">
    <w:name w:val="批注文字 Char"/>
    <w:basedOn w:val="35"/>
    <w:link w:val="11"/>
    <w:qFormat/>
    <w:uiPriority w:val="0"/>
    <w:rPr>
      <w:rFonts w:ascii="Times New Roman" w:hAnsi="Times New Roman" w:eastAsia="宋体" w:cs="Times New Roman"/>
      <w:szCs w:val="24"/>
    </w:rPr>
  </w:style>
  <w:style w:type="character" w:customStyle="1" w:styleId="74">
    <w:name w:val="正文文本 3 Char"/>
    <w:basedOn w:val="35"/>
    <w:link w:val="12"/>
    <w:qFormat/>
    <w:uiPriority w:val="0"/>
    <w:rPr>
      <w:rFonts w:ascii="Times New Roman" w:hAnsi="宋体" w:eastAsia="仿宋_GB2312" w:cs="Times New Roman"/>
      <w:b/>
      <w:bCs/>
      <w:sz w:val="24"/>
      <w:szCs w:val="20"/>
    </w:rPr>
  </w:style>
  <w:style w:type="character" w:customStyle="1" w:styleId="75">
    <w:name w:val="正文文本缩进 Char"/>
    <w:basedOn w:val="35"/>
    <w:link w:val="14"/>
    <w:qFormat/>
    <w:uiPriority w:val="0"/>
    <w:rPr>
      <w:rFonts w:ascii="宋体" w:hAnsi="Courier New" w:eastAsia="宋体" w:cs="Times New Roman"/>
      <w:spacing w:val="-4"/>
      <w:sz w:val="18"/>
      <w:szCs w:val="20"/>
    </w:rPr>
  </w:style>
  <w:style w:type="character" w:customStyle="1" w:styleId="76">
    <w:name w:val="纯文本 Char"/>
    <w:basedOn w:val="35"/>
    <w:qFormat/>
    <w:uiPriority w:val="0"/>
    <w:rPr>
      <w:rFonts w:ascii="宋体" w:hAnsi="Courier New" w:eastAsia="宋体" w:cs="Courier New"/>
      <w:szCs w:val="21"/>
    </w:rPr>
  </w:style>
  <w:style w:type="character" w:customStyle="1" w:styleId="77">
    <w:name w:val="纯文本 Char1"/>
    <w:link w:val="18"/>
    <w:qFormat/>
    <w:uiPriority w:val="0"/>
    <w:rPr>
      <w:rFonts w:ascii="宋体" w:hAnsi="Courier New" w:eastAsia="宋体" w:cs="Times New Roman"/>
      <w:sz w:val="24"/>
      <w:szCs w:val="24"/>
    </w:rPr>
  </w:style>
  <w:style w:type="character" w:customStyle="1" w:styleId="78">
    <w:name w:val="日期 Char"/>
    <w:basedOn w:val="35"/>
    <w:link w:val="19"/>
    <w:qFormat/>
    <w:uiPriority w:val="0"/>
    <w:rPr>
      <w:rFonts w:ascii="Times New Roman" w:hAnsi="Times New Roman" w:eastAsia="楷体_GB2312" w:cs="Times New Roman"/>
      <w:sz w:val="32"/>
      <w:szCs w:val="20"/>
    </w:rPr>
  </w:style>
  <w:style w:type="character" w:customStyle="1" w:styleId="79">
    <w:name w:val="正文文本缩进 2 Char"/>
    <w:basedOn w:val="35"/>
    <w:link w:val="20"/>
    <w:qFormat/>
    <w:uiPriority w:val="0"/>
    <w:rPr>
      <w:rFonts w:ascii="仿宋_GB2312" w:hAnsi="宋体" w:eastAsia="宋体" w:cs="Arial"/>
      <w:b/>
      <w:bCs/>
      <w:color w:val="000000"/>
      <w:sz w:val="24"/>
      <w:szCs w:val="24"/>
    </w:rPr>
  </w:style>
  <w:style w:type="character" w:customStyle="1" w:styleId="80">
    <w:name w:val="批注框文本 Char"/>
    <w:basedOn w:val="35"/>
    <w:link w:val="21"/>
    <w:qFormat/>
    <w:uiPriority w:val="0"/>
    <w:rPr>
      <w:rFonts w:ascii="time new roman" w:hAnsi="time new roman" w:eastAsia="长城粗隶书" w:cs="Courier New"/>
      <w:sz w:val="18"/>
      <w:szCs w:val="18"/>
    </w:rPr>
  </w:style>
  <w:style w:type="character" w:customStyle="1" w:styleId="81">
    <w:name w:val="正文文本缩进 3 Char"/>
    <w:basedOn w:val="35"/>
    <w:link w:val="26"/>
    <w:qFormat/>
    <w:uiPriority w:val="0"/>
    <w:rPr>
      <w:rFonts w:ascii="仿宋_GB2312" w:hAnsi="宋体" w:eastAsia="仿宋_GB2312" w:cs="Times New Roman"/>
      <w:color w:val="000000"/>
      <w:sz w:val="24"/>
      <w:szCs w:val="24"/>
    </w:rPr>
  </w:style>
  <w:style w:type="character" w:customStyle="1" w:styleId="82">
    <w:name w:val="正文文本 2 Char"/>
    <w:basedOn w:val="35"/>
    <w:link w:val="28"/>
    <w:qFormat/>
    <w:uiPriority w:val="0"/>
    <w:rPr>
      <w:rFonts w:ascii="宋体" w:hAnsi="宋体" w:eastAsia="宋体" w:cs="Times New Roman"/>
      <w:color w:val="000000"/>
      <w:sz w:val="24"/>
      <w:szCs w:val="24"/>
    </w:rPr>
  </w:style>
  <w:style w:type="character" w:customStyle="1" w:styleId="83">
    <w:name w:val="标题 Char"/>
    <w:basedOn w:val="35"/>
    <w:link w:val="30"/>
    <w:qFormat/>
    <w:uiPriority w:val="0"/>
    <w:rPr>
      <w:rFonts w:ascii="Cambria" w:hAnsi="Cambria" w:eastAsia="宋体" w:cs="Times New Roman"/>
      <w:b/>
      <w:bCs/>
      <w:sz w:val="32"/>
      <w:szCs w:val="32"/>
    </w:rPr>
  </w:style>
  <w:style w:type="character" w:customStyle="1" w:styleId="84">
    <w:name w:val="批注主题 Char"/>
    <w:basedOn w:val="73"/>
    <w:link w:val="31"/>
    <w:qFormat/>
    <w:uiPriority w:val="0"/>
    <w:rPr>
      <w:rFonts w:ascii="Times New Roman" w:hAnsi="Times New Roman" w:eastAsia="宋体" w:cs="Times New Roman"/>
      <w:b/>
      <w:bCs/>
      <w:szCs w:val="24"/>
    </w:rPr>
  </w:style>
  <w:style w:type="character" w:customStyle="1" w:styleId="85">
    <w:name w:val="正文首行缩进 Char"/>
    <w:basedOn w:val="69"/>
    <w:link w:val="32"/>
    <w:qFormat/>
    <w:uiPriority w:val="0"/>
    <w:rPr>
      <w:rFonts w:ascii="Calibri" w:hAnsi="Calibri" w:eastAsia="宋体" w:cs="Times New Roman"/>
      <w:sz w:val="28"/>
      <w:szCs w:val="24"/>
    </w:rPr>
  </w:style>
  <w:style w:type="character" w:customStyle="1" w:styleId="86">
    <w:name w:val="font51"/>
    <w:qFormat/>
    <w:uiPriority w:val="0"/>
    <w:rPr>
      <w:rFonts w:hint="eastAsia" w:ascii="宋体" w:hAnsi="宋体" w:eastAsia="宋体" w:cs="宋体"/>
      <w:color w:val="000000"/>
      <w:sz w:val="22"/>
      <w:szCs w:val="22"/>
      <w:u w:val="none"/>
    </w:rPr>
  </w:style>
  <w:style w:type="character" w:customStyle="1" w:styleId="87">
    <w:name w:val="font21"/>
    <w:qFormat/>
    <w:uiPriority w:val="0"/>
    <w:rPr>
      <w:rFonts w:hint="eastAsia" w:ascii="宋体" w:hAnsi="宋体" w:eastAsia="宋体" w:cs="宋体"/>
      <w:color w:val="000000"/>
      <w:sz w:val="22"/>
      <w:szCs w:val="22"/>
      <w:u w:val="none"/>
    </w:rPr>
  </w:style>
  <w:style w:type="character" w:customStyle="1" w:styleId="88">
    <w:name w:val="font11"/>
    <w:qFormat/>
    <w:uiPriority w:val="0"/>
    <w:rPr>
      <w:rFonts w:hint="default" w:ascii="Times New Roman" w:hAnsi="Times New Roman" w:cs="Times New Roman"/>
      <w:color w:val="000000"/>
      <w:sz w:val="21"/>
      <w:szCs w:val="21"/>
      <w:u w:val="none"/>
    </w:rPr>
  </w:style>
  <w:style w:type="character" w:customStyle="1" w:styleId="89">
    <w:name w:val="纯文本 Char3"/>
    <w:qFormat/>
    <w:uiPriority w:val="0"/>
    <w:rPr>
      <w:rFonts w:ascii="宋体" w:hAnsi="Courier New" w:eastAsia="宋体"/>
      <w:kern w:val="2"/>
      <w:sz w:val="24"/>
      <w:szCs w:val="24"/>
      <w:lang w:val="en-US" w:eastAsia="zh-CN" w:bidi="ar-SA"/>
    </w:rPr>
  </w:style>
  <w:style w:type="character" w:customStyle="1" w:styleId="90">
    <w:name w:val="font01"/>
    <w:qFormat/>
    <w:uiPriority w:val="0"/>
    <w:rPr>
      <w:rFonts w:hint="eastAsia" w:ascii="长城粗隶书" w:eastAsia="长城粗隶书"/>
      <w:color w:val="000000"/>
      <w:sz w:val="21"/>
      <w:szCs w:val="21"/>
      <w:u w:val="none"/>
    </w:rPr>
  </w:style>
  <w:style w:type="character" w:customStyle="1" w:styleId="91">
    <w:name w:val="ca-22"/>
    <w:qFormat/>
    <w:uiPriority w:val="0"/>
  </w:style>
  <w:style w:type="character" w:customStyle="1" w:styleId="92">
    <w:name w:val="apple-converted-space"/>
    <w:qFormat/>
    <w:uiPriority w:val="0"/>
  </w:style>
  <w:style w:type="character" w:customStyle="1" w:styleId="93">
    <w:name w:val="style8"/>
    <w:qFormat/>
    <w:uiPriority w:val="0"/>
  </w:style>
  <w:style w:type="character" w:customStyle="1" w:styleId="94">
    <w:name w:val="apple-style-span"/>
    <w:qFormat/>
    <w:uiPriority w:val="0"/>
  </w:style>
  <w:style w:type="character" w:customStyle="1" w:styleId="95">
    <w:name w:val="列出段落 Char"/>
    <w:link w:val="44"/>
    <w:qFormat/>
    <w:uiPriority w:val="34"/>
    <w:rPr>
      <w:rFonts w:ascii="Calibri" w:hAnsi="Calibri"/>
    </w:rPr>
  </w:style>
  <w:style w:type="character" w:customStyle="1" w:styleId="96">
    <w:name w:val="普通文字 Char1"/>
    <w:qFormat/>
    <w:uiPriority w:val="0"/>
    <w:rPr>
      <w:rFonts w:ascii="宋体" w:hAnsi="Courier New" w:eastAsia="宋体"/>
      <w:kern w:val="2"/>
      <w:sz w:val="21"/>
      <w:szCs w:val="24"/>
      <w:lang w:val="en-US" w:eastAsia="zh-CN" w:bidi="ar-SA"/>
    </w:rPr>
  </w:style>
  <w:style w:type="character" w:customStyle="1" w:styleId="97">
    <w:name w:val="unnamed11"/>
    <w:qFormat/>
    <w:uiPriority w:val="0"/>
    <w:rPr>
      <w:color w:val="000000"/>
      <w:sz w:val="20"/>
      <w:szCs w:val="20"/>
    </w:rPr>
  </w:style>
  <w:style w:type="character" w:customStyle="1" w:styleId="98">
    <w:name w:val="font81"/>
    <w:basedOn w:val="35"/>
    <w:qFormat/>
    <w:uiPriority w:val="0"/>
    <w:rPr>
      <w:rFonts w:hint="eastAsia" w:ascii="宋体" w:hAnsi="宋体" w:eastAsia="宋体" w:cs="宋体"/>
      <w:color w:val="000000"/>
      <w:sz w:val="20"/>
      <w:szCs w:val="20"/>
      <w:u w:val="none"/>
      <w:vertAlign w:val="superscript"/>
    </w:rPr>
  </w:style>
  <w:style w:type="character" w:customStyle="1" w:styleId="99">
    <w:name w:val="font91"/>
    <w:basedOn w:val="35"/>
    <w:qFormat/>
    <w:uiPriority w:val="0"/>
    <w:rPr>
      <w:rFonts w:hint="eastAsia" w:ascii="宋体" w:hAnsi="宋体" w:eastAsia="宋体" w:cs="宋体"/>
      <w:color w:val="000000"/>
      <w:sz w:val="20"/>
      <w:szCs w:val="20"/>
      <w:u w:val="none"/>
      <w:vertAlign w:val="superscript"/>
    </w:rPr>
  </w:style>
  <w:style w:type="character" w:customStyle="1" w:styleId="100">
    <w:name w:val="font161"/>
    <w:basedOn w:val="35"/>
    <w:qFormat/>
    <w:uiPriority w:val="0"/>
    <w:rPr>
      <w:rFonts w:hint="eastAsia" w:ascii="宋体" w:hAnsi="宋体" w:eastAsia="宋体" w:cs="宋体"/>
      <w:color w:val="000000"/>
      <w:sz w:val="22"/>
      <w:szCs w:val="22"/>
      <w:u w:val="none"/>
      <w:vertAlign w:val="superscript"/>
    </w:rPr>
  </w:style>
  <w:style w:type="character" w:customStyle="1" w:styleId="101">
    <w:name w:val="font61"/>
    <w:basedOn w:val="35"/>
    <w:qFormat/>
    <w:uiPriority w:val="0"/>
    <w:rPr>
      <w:rFonts w:hint="eastAsia" w:ascii="宋体" w:hAnsi="宋体" w:eastAsia="宋体" w:cs="宋体"/>
      <w:color w:val="000000"/>
      <w:sz w:val="20"/>
      <w:szCs w:val="20"/>
      <w:u w:val="none"/>
    </w:rPr>
  </w:style>
  <w:style w:type="character" w:customStyle="1" w:styleId="102">
    <w:name w:val="font71"/>
    <w:basedOn w:val="35"/>
    <w:qFormat/>
    <w:uiPriority w:val="0"/>
    <w:rPr>
      <w:rFonts w:hint="eastAsia" w:ascii="宋体" w:hAnsi="宋体" w:eastAsia="宋体" w:cs="宋体"/>
      <w:color w:val="000000"/>
      <w:sz w:val="20"/>
      <w:szCs w:val="20"/>
      <w:u w:val="none"/>
    </w:rPr>
  </w:style>
  <w:style w:type="character" w:customStyle="1" w:styleId="103">
    <w:name w:val="font141"/>
    <w:basedOn w:val="35"/>
    <w:qFormat/>
    <w:uiPriority w:val="0"/>
    <w:rPr>
      <w:rFonts w:hint="default" w:ascii="Times New Roman" w:hAnsi="Times New Roman" w:cs="Times New Roman"/>
      <w:color w:val="000000"/>
      <w:sz w:val="20"/>
      <w:szCs w:val="20"/>
      <w:u w:val="none"/>
    </w:rPr>
  </w:style>
  <w:style w:type="character" w:customStyle="1" w:styleId="104">
    <w:name w:val="font131"/>
    <w:basedOn w:val="35"/>
    <w:qFormat/>
    <w:uiPriority w:val="0"/>
    <w:rPr>
      <w:rFonts w:hint="default" w:ascii="Times New Roman" w:hAnsi="Times New Roman" w:cs="Times New Roman"/>
      <w:color w:val="000000"/>
      <w:sz w:val="20"/>
      <w:szCs w:val="20"/>
      <w:u w:val="none"/>
    </w:rPr>
  </w:style>
  <w:style w:type="character" w:customStyle="1" w:styleId="105">
    <w:name w:val="font122"/>
    <w:basedOn w:val="35"/>
    <w:qFormat/>
    <w:uiPriority w:val="0"/>
    <w:rPr>
      <w:rFonts w:hint="eastAsia" w:ascii="宋体" w:hAnsi="宋体" w:eastAsia="宋体" w:cs="宋体"/>
      <w:color w:val="FF0000"/>
      <w:sz w:val="20"/>
      <w:szCs w:val="20"/>
      <w:u w:val="none"/>
    </w:rPr>
  </w:style>
  <w:style w:type="character" w:customStyle="1" w:styleId="106">
    <w:name w:val="font171"/>
    <w:basedOn w:val="35"/>
    <w:qFormat/>
    <w:uiPriority w:val="0"/>
    <w:rPr>
      <w:rFonts w:hint="eastAsia" w:ascii="宋体" w:hAnsi="宋体" w:eastAsia="宋体" w:cs="宋体"/>
      <w:color w:val="000000"/>
      <w:sz w:val="22"/>
      <w:szCs w:val="22"/>
      <w:u w:val="none"/>
    </w:rPr>
  </w:style>
  <w:style w:type="character" w:customStyle="1" w:styleId="107">
    <w:name w:val="font111"/>
    <w:basedOn w:val="35"/>
    <w:qFormat/>
    <w:uiPriority w:val="0"/>
    <w:rPr>
      <w:rFonts w:ascii="Calibri" w:hAnsi="Calibri" w:cs="Calibri"/>
      <w:color w:val="000000"/>
      <w:sz w:val="22"/>
      <w:szCs w:val="22"/>
      <w:u w:val="none"/>
    </w:rPr>
  </w:style>
  <w:style w:type="character" w:customStyle="1" w:styleId="108">
    <w:name w:val="font12"/>
    <w:basedOn w:val="3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64</Pages>
  <Words>33286</Words>
  <Characters>36553</Characters>
  <Lines>287</Lines>
  <Paragraphs>80</Paragraphs>
  <TotalTime>131</TotalTime>
  <ScaleCrop>false</ScaleCrop>
  <LinksUpToDate>false</LinksUpToDate>
  <CharactersWithSpaces>37996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2021-11-25T08:30:00Z</dcterms:created>
  <dc:creator>NTKO</dc:creator>
  <cp:lastModifiedBy>NTKO</cp:lastModifiedBy>
  <dcterms:modified xsi:type="dcterms:W3CDTF">2022-06-23T02:15:37Z</dcterms:modified>
  <dc:title>湖州市吴兴区教育局升降式课桌椅项目</dc:title>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16B4CAE32E964FE19CA4465221180379</vt:lpwstr>
  </property>
</Properties>
</file>