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_GB2312" w:hAnsi="宋体" w:eastAsia="仿宋_GB2312"/>
          <w:b/>
          <w:sz w:val="52"/>
          <w:szCs w:val="52"/>
        </w:rPr>
      </w:pPr>
    </w:p>
    <w:p>
      <w:pPr>
        <w:spacing w:line="360" w:lineRule="auto"/>
        <w:jc w:val="center"/>
        <w:rPr>
          <w:rFonts w:ascii="宋体" w:hAnsi="宋体"/>
          <w:b/>
          <w:sz w:val="36"/>
          <w:szCs w:val="36"/>
        </w:rPr>
      </w:pPr>
      <w:r>
        <w:rPr>
          <w:rFonts w:hint="eastAsia" w:ascii="宋体" w:hAnsi="宋体"/>
          <w:b/>
          <w:sz w:val="36"/>
          <w:szCs w:val="36"/>
        </w:rPr>
        <w:t>湖州市爱山小学教育集团新型教学空间设施设备项目</w:t>
      </w:r>
    </w:p>
    <w:p>
      <w:pPr>
        <w:spacing w:line="360" w:lineRule="auto"/>
        <w:jc w:val="center"/>
        <w:rPr>
          <w:rFonts w:ascii="宋体" w:hAnsi="宋体"/>
          <w:b/>
          <w:sz w:val="28"/>
          <w:szCs w:val="28"/>
        </w:rPr>
      </w:pPr>
    </w:p>
    <w:p>
      <w:pPr>
        <w:spacing w:line="360" w:lineRule="auto"/>
        <w:jc w:val="center"/>
        <w:rPr>
          <w:rFonts w:ascii="宋体" w:hAnsi="宋体"/>
          <w:b/>
          <w:sz w:val="28"/>
          <w:szCs w:val="28"/>
        </w:rPr>
      </w:pPr>
    </w:p>
    <w:p>
      <w:pPr>
        <w:snapToGrid w:val="0"/>
        <w:spacing w:line="360" w:lineRule="auto"/>
        <w:jc w:val="center"/>
        <w:rPr>
          <w:rFonts w:ascii="宋体" w:hAnsi="宋体"/>
          <w:b/>
          <w:sz w:val="28"/>
          <w:szCs w:val="28"/>
        </w:rPr>
      </w:pPr>
      <w:r>
        <w:rPr>
          <w:rFonts w:hint="eastAsia" w:ascii="宋体" w:hAnsi="宋体"/>
          <w:b/>
          <w:sz w:val="28"/>
          <w:szCs w:val="28"/>
        </w:rPr>
        <w:t>（财政审批编号：临[2021]9202号）</w:t>
      </w:r>
    </w:p>
    <w:p>
      <w:pPr>
        <w:snapToGrid w:val="0"/>
        <w:spacing w:before="120" w:beforeLines="50" w:line="360" w:lineRule="auto"/>
        <w:jc w:val="center"/>
        <w:rPr>
          <w:rFonts w:ascii="隶书" w:hAnsi="Arial Narrow" w:eastAsia="楷体_GB2312"/>
          <w:sz w:val="30"/>
          <w:szCs w:val="72"/>
        </w:rPr>
      </w:pPr>
      <w:r>
        <w:rPr>
          <w:rFonts w:hint="eastAsia" w:ascii="宋体" w:hAnsi="宋体" w:cs="宋体"/>
          <w:b/>
          <w:sz w:val="52"/>
          <w:szCs w:val="52"/>
        </w:rPr>
        <w:t>（电子招投标）</w:t>
      </w:r>
    </w:p>
    <w:p>
      <w:pPr>
        <w:snapToGrid w:val="0"/>
        <w:spacing w:before="120" w:beforeLines="50" w:line="360" w:lineRule="auto"/>
        <w:rPr>
          <w:rFonts w:ascii="隶书" w:hAnsi="Arial Narrow" w:eastAsia="楷体_GB2312"/>
          <w:sz w:val="30"/>
          <w:szCs w:val="72"/>
        </w:rPr>
      </w:pPr>
    </w:p>
    <w:p>
      <w:pPr>
        <w:snapToGrid w:val="0"/>
        <w:spacing w:before="120" w:beforeLines="50" w:line="360" w:lineRule="auto"/>
        <w:rPr>
          <w:rFonts w:ascii="隶书" w:hAnsi="Arial Narrow" w:eastAsia="楷体_GB2312"/>
          <w:sz w:val="30"/>
          <w:szCs w:val="72"/>
        </w:rPr>
      </w:pPr>
    </w:p>
    <w:p>
      <w:pPr>
        <w:spacing w:before="120" w:beforeLines="50"/>
        <w:jc w:val="center"/>
        <w:rPr>
          <w:rFonts w:ascii="宋体" w:hAnsi="宋体"/>
          <w:sz w:val="72"/>
          <w:szCs w:val="72"/>
        </w:rPr>
      </w:pPr>
      <w:r>
        <w:rPr>
          <w:rFonts w:hint="eastAsia" w:ascii="宋体" w:hAnsi="宋体"/>
          <w:sz w:val="72"/>
          <w:szCs w:val="72"/>
        </w:rPr>
        <w:t>公开招标采购文件</w:t>
      </w:r>
    </w:p>
    <w:p>
      <w:pPr>
        <w:snapToGrid w:val="0"/>
        <w:spacing w:line="360" w:lineRule="auto"/>
        <w:rPr>
          <w:rFonts w:ascii="宋体" w:hAnsi="宋体"/>
          <w:sz w:val="30"/>
          <w:szCs w:val="72"/>
        </w:rPr>
      </w:pPr>
    </w:p>
    <w:p>
      <w:pPr>
        <w:snapToGrid w:val="0"/>
        <w:spacing w:line="360" w:lineRule="auto"/>
        <w:rPr>
          <w:rFonts w:ascii="宋体" w:hAnsi="宋体"/>
          <w:sz w:val="30"/>
          <w:szCs w:val="72"/>
        </w:rPr>
      </w:pPr>
    </w:p>
    <w:p>
      <w:pPr>
        <w:snapToGrid w:val="0"/>
        <w:spacing w:line="360" w:lineRule="auto"/>
        <w:rPr>
          <w:rFonts w:ascii="宋体" w:hAnsi="宋体"/>
          <w:sz w:val="30"/>
          <w:szCs w:val="72"/>
        </w:rPr>
      </w:pPr>
    </w:p>
    <w:p>
      <w:pPr>
        <w:pStyle w:val="24"/>
        <w:snapToGrid w:val="0"/>
        <w:spacing w:beforeLines="0" w:afterLines="0" w:line="360" w:lineRule="auto"/>
        <w:ind w:firstLine="596" w:firstLineChars="198"/>
        <w:rPr>
          <w:rFonts w:hAnsi="宋体"/>
          <w:b/>
          <w:sz w:val="30"/>
          <w:szCs w:val="30"/>
        </w:rPr>
      </w:pPr>
      <w:r>
        <w:rPr>
          <w:rFonts w:hAnsi="宋体"/>
          <w:b/>
          <w:sz w:val="30"/>
          <w:szCs w:val="30"/>
        </w:rPr>
        <w:t>项目编号：</w:t>
      </w:r>
      <w:r>
        <w:rPr>
          <w:rFonts w:hint="eastAsia" w:hAnsi="宋体"/>
          <w:b/>
          <w:sz w:val="30"/>
          <w:szCs w:val="30"/>
        </w:rPr>
        <w:t>HYHZ2021120W</w:t>
      </w:r>
    </w:p>
    <w:p>
      <w:pPr>
        <w:pStyle w:val="24"/>
        <w:snapToGrid w:val="0"/>
        <w:spacing w:beforeLines="0" w:afterLines="0" w:line="360" w:lineRule="auto"/>
        <w:ind w:left="2086" w:leftChars="282" w:hanging="1494" w:hangingChars="496"/>
        <w:rPr>
          <w:rFonts w:hAnsi="宋体"/>
          <w:b/>
          <w:sz w:val="30"/>
          <w:szCs w:val="30"/>
        </w:rPr>
      </w:pPr>
      <w:r>
        <w:rPr>
          <w:rFonts w:hint="eastAsia" w:hAnsi="宋体"/>
          <w:b/>
          <w:sz w:val="30"/>
          <w:szCs w:val="30"/>
        </w:rPr>
        <w:t>项目名称：</w:t>
      </w:r>
      <w:r>
        <w:rPr>
          <w:rFonts w:hint="eastAsia" w:hAnsi="宋体"/>
          <w:b/>
          <w:sz w:val="28"/>
          <w:szCs w:val="28"/>
        </w:rPr>
        <w:t>湖州市爱山小学教育集团新型教学空间设施设备项目</w:t>
      </w:r>
    </w:p>
    <w:p>
      <w:pPr>
        <w:pStyle w:val="24"/>
        <w:snapToGrid w:val="0"/>
        <w:spacing w:beforeLines="0" w:afterLines="0" w:line="360" w:lineRule="auto"/>
        <w:ind w:left="2087" w:leftChars="284" w:hanging="1491" w:hangingChars="495"/>
        <w:rPr>
          <w:rFonts w:hAnsi="宋体"/>
          <w:b/>
          <w:sz w:val="30"/>
          <w:szCs w:val="30"/>
        </w:rPr>
      </w:pPr>
      <w:r>
        <w:rPr>
          <w:rFonts w:hAnsi="宋体"/>
          <w:b/>
          <w:sz w:val="30"/>
          <w:szCs w:val="30"/>
        </w:rPr>
        <w:t>采购单位：</w:t>
      </w:r>
      <w:r>
        <w:rPr>
          <w:rFonts w:hint="eastAsia" w:hAnsi="宋体"/>
          <w:b/>
          <w:sz w:val="30"/>
          <w:szCs w:val="30"/>
        </w:rPr>
        <w:t>湖州市爱山小学教育集团</w:t>
      </w:r>
    </w:p>
    <w:p>
      <w:pPr>
        <w:pStyle w:val="24"/>
        <w:snapToGrid w:val="0"/>
        <w:spacing w:beforeLines="0" w:afterLines="0" w:line="360" w:lineRule="auto"/>
        <w:ind w:firstLine="590" w:firstLineChars="196"/>
        <w:rPr>
          <w:rFonts w:hAnsi="宋体"/>
          <w:b/>
          <w:sz w:val="30"/>
          <w:szCs w:val="30"/>
        </w:rPr>
      </w:pPr>
      <w:r>
        <w:rPr>
          <w:rFonts w:hAnsi="宋体"/>
          <w:b/>
          <w:sz w:val="30"/>
          <w:szCs w:val="30"/>
        </w:rPr>
        <w:t>代理机构：</w:t>
      </w:r>
      <w:r>
        <w:rPr>
          <w:rFonts w:hint="eastAsia" w:hAnsi="宋体"/>
          <w:b/>
          <w:sz w:val="30"/>
          <w:szCs w:val="30"/>
        </w:rPr>
        <w:t>浙江华耀建设咨询有限公司</w:t>
      </w:r>
    </w:p>
    <w:p>
      <w:pPr>
        <w:pStyle w:val="24"/>
        <w:snapToGrid w:val="0"/>
        <w:spacing w:beforeLines="0" w:afterLines="0" w:line="360" w:lineRule="auto"/>
        <w:ind w:firstLine="590" w:firstLineChars="196"/>
        <w:rPr>
          <w:rFonts w:hAnsi="宋体"/>
          <w:b/>
          <w:sz w:val="30"/>
          <w:szCs w:val="30"/>
        </w:rPr>
      </w:pPr>
    </w:p>
    <w:p>
      <w:pPr>
        <w:snapToGrid w:val="0"/>
        <w:spacing w:line="360" w:lineRule="auto"/>
        <w:jc w:val="center"/>
        <w:rPr>
          <w:rFonts w:ascii="宋体" w:hAnsi="宋体"/>
          <w:b/>
          <w:bCs/>
          <w:w w:val="95"/>
          <w:sz w:val="30"/>
          <w:szCs w:val="30"/>
        </w:rPr>
      </w:pPr>
      <w:r>
        <w:rPr>
          <w:rFonts w:hint="eastAsia" w:ascii="宋体" w:hAnsi="宋体"/>
          <w:b/>
          <w:bCs/>
          <w:w w:val="95"/>
          <w:sz w:val="30"/>
          <w:szCs w:val="30"/>
        </w:rPr>
        <w:t xml:space="preserve">                      2021年</w:t>
      </w:r>
      <w:r>
        <w:rPr>
          <w:rFonts w:hint="eastAsia" w:ascii="宋体" w:hAnsi="宋体"/>
          <w:b/>
          <w:bCs/>
          <w:w w:val="95"/>
          <w:sz w:val="30"/>
          <w:szCs w:val="30"/>
          <w:lang w:val="en-US" w:eastAsia="zh-CN"/>
        </w:rPr>
        <w:t>10</w:t>
      </w:r>
      <w:r>
        <w:rPr>
          <w:rFonts w:hint="eastAsia" w:ascii="宋体" w:hAnsi="宋体"/>
          <w:b/>
          <w:bCs/>
          <w:w w:val="95"/>
          <w:sz w:val="30"/>
          <w:szCs w:val="30"/>
        </w:rPr>
        <w:t>月</w:t>
      </w:r>
      <w:r>
        <w:rPr>
          <w:rFonts w:hint="eastAsia" w:ascii="宋体" w:hAnsi="宋体"/>
          <w:b/>
          <w:bCs/>
          <w:w w:val="95"/>
          <w:sz w:val="30"/>
          <w:szCs w:val="30"/>
          <w:lang w:val="en-US" w:eastAsia="zh-CN"/>
        </w:rPr>
        <w:t>14</w:t>
      </w:r>
      <w:r>
        <w:rPr>
          <w:rFonts w:hint="eastAsia" w:ascii="宋体" w:hAnsi="宋体"/>
          <w:b/>
          <w:bCs/>
          <w:w w:val="95"/>
          <w:sz w:val="30"/>
          <w:szCs w:val="30"/>
        </w:rPr>
        <w:t>日</w:t>
      </w:r>
    </w:p>
    <w:p>
      <w:pPr>
        <w:pStyle w:val="24"/>
        <w:spacing w:beforeLines="0" w:afterLines="0" w:line="360" w:lineRule="auto"/>
        <w:jc w:val="center"/>
        <w:rPr>
          <w:rFonts w:ascii="创艺简标宋" w:hAnsi="宋体" w:eastAsia="创艺简标宋"/>
          <w:b/>
          <w:sz w:val="44"/>
          <w:szCs w:val="44"/>
        </w:rPr>
      </w:pPr>
    </w:p>
    <w:p>
      <w:pPr>
        <w:pStyle w:val="24"/>
        <w:spacing w:beforeLines="0" w:afterLines="0" w:line="360" w:lineRule="auto"/>
        <w:jc w:val="center"/>
        <w:rPr>
          <w:rFonts w:ascii="创艺简标宋" w:hAnsi="宋体" w:eastAsia="创艺简标宋"/>
          <w:b/>
          <w:sz w:val="44"/>
          <w:szCs w:val="44"/>
        </w:rPr>
      </w:pPr>
    </w:p>
    <w:p>
      <w:pPr>
        <w:pStyle w:val="24"/>
        <w:spacing w:beforeLines="0" w:afterLines="0" w:line="360" w:lineRule="auto"/>
        <w:jc w:val="center"/>
        <w:rPr>
          <w:rFonts w:ascii="创艺简标宋" w:hAnsi="宋体" w:eastAsia="创艺简标宋"/>
          <w:b/>
          <w:sz w:val="44"/>
          <w:szCs w:val="44"/>
        </w:rPr>
      </w:pPr>
    </w:p>
    <w:p>
      <w:pPr>
        <w:pStyle w:val="24"/>
        <w:spacing w:beforeLines="0" w:afterLines="0" w:line="360" w:lineRule="auto"/>
        <w:jc w:val="center"/>
        <w:rPr>
          <w:rFonts w:ascii="创艺简标宋" w:hAnsi="宋体" w:eastAsia="创艺简标宋"/>
          <w:b/>
          <w:sz w:val="44"/>
          <w:szCs w:val="44"/>
        </w:rPr>
      </w:pPr>
      <w:r>
        <w:rPr>
          <w:rFonts w:hint="eastAsia" w:ascii="创艺简标宋" w:hAnsi="宋体" w:eastAsia="创艺简标宋"/>
          <w:b/>
          <w:sz w:val="44"/>
          <w:szCs w:val="44"/>
        </w:rPr>
        <w:t>目    录</w:t>
      </w:r>
    </w:p>
    <w:p>
      <w:pPr>
        <w:pStyle w:val="24"/>
        <w:spacing w:beforeLines="0" w:afterLines="0" w:line="360" w:lineRule="auto"/>
        <w:jc w:val="center"/>
        <w:rPr>
          <w:rFonts w:ascii="创艺简标宋" w:hAnsi="宋体" w:eastAsia="创艺简标宋"/>
          <w:sz w:val="44"/>
          <w:szCs w:val="44"/>
        </w:rPr>
      </w:pPr>
    </w:p>
    <w:p>
      <w:pPr>
        <w:numPr>
          <w:ilvl w:val="0"/>
          <w:numId w:val="1"/>
        </w:numPr>
        <w:spacing w:line="360" w:lineRule="auto"/>
        <w:rPr>
          <w:rFonts w:ascii="宋体" w:hAnsi="宋体"/>
          <w:sz w:val="30"/>
          <w:szCs w:val="20"/>
        </w:rPr>
      </w:pPr>
      <w:r>
        <w:rPr>
          <w:rFonts w:hint="eastAsia" w:ascii="宋体" w:hAnsi="宋体"/>
          <w:sz w:val="30"/>
        </w:rPr>
        <w:t>公开招标采购公告   -------------------------3</w:t>
      </w:r>
    </w:p>
    <w:p>
      <w:pPr>
        <w:numPr>
          <w:ilvl w:val="0"/>
          <w:numId w:val="1"/>
        </w:numPr>
        <w:spacing w:line="360" w:lineRule="auto"/>
        <w:rPr>
          <w:rFonts w:ascii="宋体" w:hAnsi="宋体"/>
          <w:sz w:val="30"/>
          <w:szCs w:val="20"/>
        </w:rPr>
      </w:pPr>
      <w:r>
        <w:rPr>
          <w:rFonts w:hint="eastAsia" w:ascii="宋体" w:hAnsi="宋体"/>
          <w:sz w:val="30"/>
        </w:rPr>
        <w:t>招标需求   ---------------------------------8</w:t>
      </w:r>
    </w:p>
    <w:p>
      <w:pPr>
        <w:numPr>
          <w:ilvl w:val="0"/>
          <w:numId w:val="1"/>
        </w:numPr>
        <w:spacing w:line="360" w:lineRule="auto"/>
        <w:rPr>
          <w:sz w:val="30"/>
          <w:szCs w:val="30"/>
        </w:rPr>
      </w:pPr>
      <w:r>
        <w:rPr>
          <w:rFonts w:hint="eastAsia" w:ascii="宋体" w:hAnsi="宋体"/>
          <w:sz w:val="30"/>
        </w:rPr>
        <w:t>投标人须知  -------------------------------40</w:t>
      </w:r>
    </w:p>
    <w:p>
      <w:pPr>
        <w:spacing w:line="360" w:lineRule="auto"/>
        <w:ind w:firstLine="1350" w:firstLineChars="450"/>
        <w:rPr>
          <w:rFonts w:ascii="宋体" w:hAnsi="宋体"/>
          <w:sz w:val="30"/>
        </w:rPr>
      </w:pPr>
      <w:r>
        <w:rPr>
          <w:rFonts w:hint="eastAsia"/>
          <w:sz w:val="30"/>
          <w:szCs w:val="30"/>
        </w:rPr>
        <w:t xml:space="preserve">一、总则 </w:t>
      </w:r>
      <w:r>
        <w:rPr>
          <w:rFonts w:hint="eastAsia" w:ascii="宋体" w:hAnsi="宋体"/>
          <w:sz w:val="30"/>
        </w:rPr>
        <w:t>-----------------------------------42</w:t>
      </w:r>
    </w:p>
    <w:p>
      <w:pPr>
        <w:spacing w:line="360" w:lineRule="auto"/>
        <w:ind w:firstLine="1350" w:firstLineChars="450"/>
        <w:rPr>
          <w:rFonts w:ascii="宋体" w:hAnsi="宋体"/>
          <w:sz w:val="30"/>
        </w:rPr>
      </w:pPr>
      <w:r>
        <w:rPr>
          <w:rFonts w:hint="eastAsia"/>
          <w:sz w:val="30"/>
          <w:szCs w:val="30"/>
        </w:rPr>
        <w:t xml:space="preserve">二、招标文件 </w:t>
      </w:r>
      <w:r>
        <w:rPr>
          <w:rFonts w:hint="eastAsia" w:ascii="宋体" w:hAnsi="宋体"/>
          <w:sz w:val="30"/>
        </w:rPr>
        <w:t>-------------------------------43</w:t>
      </w:r>
    </w:p>
    <w:p>
      <w:pPr>
        <w:spacing w:line="360" w:lineRule="auto"/>
        <w:ind w:firstLine="1350" w:firstLineChars="450"/>
        <w:rPr>
          <w:rFonts w:ascii="宋体" w:hAnsi="宋体"/>
          <w:sz w:val="30"/>
        </w:rPr>
      </w:pPr>
      <w:r>
        <w:rPr>
          <w:rFonts w:hint="eastAsia"/>
          <w:sz w:val="30"/>
          <w:szCs w:val="30"/>
        </w:rPr>
        <w:t xml:space="preserve">三、投标文件的编制 </w:t>
      </w:r>
      <w:r>
        <w:rPr>
          <w:rFonts w:hint="eastAsia" w:ascii="宋体" w:hAnsi="宋体"/>
          <w:sz w:val="30"/>
        </w:rPr>
        <w:t>-------------------------44</w:t>
      </w:r>
    </w:p>
    <w:p>
      <w:pPr>
        <w:spacing w:line="360" w:lineRule="auto"/>
        <w:ind w:firstLine="1350" w:firstLineChars="450"/>
        <w:rPr>
          <w:rFonts w:ascii="宋体" w:hAnsi="宋体"/>
          <w:sz w:val="30"/>
        </w:rPr>
      </w:pPr>
      <w:r>
        <w:rPr>
          <w:rFonts w:hint="eastAsia"/>
          <w:sz w:val="30"/>
          <w:szCs w:val="30"/>
        </w:rPr>
        <w:t xml:space="preserve">四、开标 </w:t>
      </w:r>
      <w:r>
        <w:rPr>
          <w:rFonts w:hint="eastAsia" w:ascii="宋体" w:hAnsi="宋体"/>
          <w:sz w:val="30"/>
        </w:rPr>
        <w:t>-----------------------------------50</w:t>
      </w:r>
    </w:p>
    <w:p>
      <w:pPr>
        <w:spacing w:line="360" w:lineRule="auto"/>
        <w:ind w:firstLine="1350" w:firstLineChars="450"/>
        <w:rPr>
          <w:rFonts w:ascii="宋体" w:hAnsi="宋体"/>
          <w:sz w:val="30"/>
        </w:rPr>
      </w:pPr>
      <w:r>
        <w:rPr>
          <w:rFonts w:hint="eastAsia"/>
          <w:sz w:val="30"/>
          <w:szCs w:val="30"/>
        </w:rPr>
        <w:t xml:space="preserve">五、评标   </w:t>
      </w:r>
      <w:r>
        <w:rPr>
          <w:rFonts w:hint="eastAsia" w:ascii="宋体" w:hAnsi="宋体"/>
          <w:sz w:val="30"/>
        </w:rPr>
        <w:t>---------------------------------51</w:t>
      </w:r>
    </w:p>
    <w:p>
      <w:pPr>
        <w:spacing w:line="360" w:lineRule="auto"/>
        <w:ind w:firstLine="1350" w:firstLineChars="450"/>
        <w:rPr>
          <w:rFonts w:ascii="宋体" w:hAnsi="宋体"/>
          <w:sz w:val="30"/>
        </w:rPr>
      </w:pPr>
      <w:r>
        <w:rPr>
          <w:rFonts w:hint="eastAsia"/>
          <w:sz w:val="30"/>
          <w:szCs w:val="30"/>
        </w:rPr>
        <w:t xml:space="preserve">六、定标   </w:t>
      </w:r>
      <w:r>
        <w:rPr>
          <w:rFonts w:hint="eastAsia" w:ascii="宋体" w:hAnsi="宋体"/>
          <w:sz w:val="30"/>
        </w:rPr>
        <w:t>---------------------------------53</w:t>
      </w:r>
    </w:p>
    <w:p>
      <w:pPr>
        <w:spacing w:line="360" w:lineRule="auto"/>
        <w:ind w:firstLine="1350" w:firstLineChars="450"/>
        <w:rPr>
          <w:sz w:val="30"/>
          <w:szCs w:val="30"/>
        </w:rPr>
      </w:pPr>
      <w:r>
        <w:rPr>
          <w:rFonts w:hint="eastAsia"/>
          <w:sz w:val="30"/>
          <w:szCs w:val="30"/>
        </w:rPr>
        <w:t xml:space="preserve">七、合同授予   </w:t>
      </w:r>
      <w:r>
        <w:rPr>
          <w:rFonts w:hint="eastAsia" w:ascii="宋体" w:hAnsi="宋体"/>
          <w:sz w:val="30"/>
        </w:rPr>
        <w:t>-----------------------------54</w:t>
      </w:r>
    </w:p>
    <w:p>
      <w:pPr>
        <w:numPr>
          <w:ilvl w:val="0"/>
          <w:numId w:val="1"/>
        </w:numPr>
        <w:spacing w:line="360" w:lineRule="auto"/>
        <w:rPr>
          <w:rFonts w:ascii="宋体" w:hAnsi="宋体"/>
          <w:sz w:val="30"/>
          <w:szCs w:val="20"/>
        </w:rPr>
      </w:pPr>
      <w:r>
        <w:rPr>
          <w:rFonts w:hint="eastAsia" w:ascii="宋体" w:hAnsi="宋体"/>
          <w:sz w:val="30"/>
        </w:rPr>
        <w:t>评标办法及评分标准-------------------------55</w:t>
      </w:r>
    </w:p>
    <w:p>
      <w:pPr>
        <w:numPr>
          <w:ilvl w:val="0"/>
          <w:numId w:val="1"/>
        </w:numPr>
        <w:spacing w:line="360" w:lineRule="auto"/>
        <w:rPr>
          <w:rFonts w:ascii="宋体" w:hAnsi="宋体"/>
          <w:sz w:val="30"/>
          <w:szCs w:val="20"/>
        </w:rPr>
      </w:pPr>
      <w:r>
        <w:rPr>
          <w:rFonts w:hint="eastAsia" w:ascii="宋体" w:hAnsi="宋体"/>
          <w:sz w:val="30"/>
        </w:rPr>
        <w:t>政府采购合同主要条款-----------------------58</w:t>
      </w:r>
    </w:p>
    <w:p>
      <w:pPr>
        <w:numPr>
          <w:ilvl w:val="0"/>
          <w:numId w:val="1"/>
        </w:numPr>
        <w:spacing w:line="360" w:lineRule="auto"/>
        <w:rPr>
          <w:rFonts w:ascii="宋体" w:hAnsi="宋体"/>
          <w:sz w:val="30"/>
          <w:szCs w:val="20"/>
        </w:rPr>
      </w:pPr>
      <w:r>
        <w:rPr>
          <w:rFonts w:hint="eastAsia" w:ascii="宋体" w:hAnsi="宋体"/>
          <w:sz w:val="30"/>
        </w:rPr>
        <w:t>投标文件格式    ---------------------------62</w:t>
      </w:r>
    </w:p>
    <w:p>
      <w:pPr>
        <w:spacing w:line="360" w:lineRule="auto"/>
        <w:ind w:left="165"/>
        <w:rPr>
          <w:rFonts w:ascii="宋体" w:hAnsi="宋体"/>
          <w:sz w:val="30"/>
          <w:szCs w:val="20"/>
        </w:rPr>
      </w:pPr>
    </w:p>
    <w:p/>
    <w:p>
      <w:pPr>
        <w:spacing w:line="360" w:lineRule="auto"/>
        <w:rPr>
          <w:rFonts w:ascii="宋体" w:hAnsi="宋体"/>
          <w:sz w:val="30"/>
          <w:szCs w:val="20"/>
        </w:rPr>
      </w:pPr>
    </w:p>
    <w:p>
      <w:pPr>
        <w:spacing w:line="360" w:lineRule="auto"/>
        <w:rPr>
          <w:rFonts w:ascii="宋体" w:hAnsi="宋体"/>
          <w:sz w:val="30"/>
        </w:rPr>
      </w:pPr>
    </w:p>
    <w:p>
      <w:pPr>
        <w:spacing w:line="360" w:lineRule="auto"/>
        <w:rPr>
          <w:rFonts w:ascii="宋体" w:hAnsi="宋体"/>
          <w:sz w:val="30"/>
          <w:szCs w:val="20"/>
        </w:rPr>
      </w:pPr>
    </w:p>
    <w:p>
      <w:pPr>
        <w:pStyle w:val="24"/>
        <w:numPr>
          <w:ilvl w:val="0"/>
          <w:numId w:val="2"/>
        </w:numPr>
        <w:snapToGrid w:val="0"/>
        <w:spacing w:beforeLines="0" w:afterLines="0" w:line="360" w:lineRule="auto"/>
        <w:jc w:val="center"/>
        <w:outlineLvl w:val="0"/>
        <w:rPr>
          <w:rFonts w:ascii="黑体" w:hAnsi="宋体" w:eastAsia="黑体"/>
          <w:sz w:val="30"/>
          <w:szCs w:val="30"/>
        </w:rPr>
      </w:pPr>
      <w:r>
        <w:rPr>
          <w:rFonts w:hAnsi="宋体"/>
        </w:rPr>
        <w:br w:type="page"/>
      </w:r>
      <w:r>
        <w:rPr>
          <w:rFonts w:hint="eastAsia" w:ascii="黑体" w:hAnsi="宋体" w:eastAsia="黑体"/>
          <w:sz w:val="30"/>
          <w:szCs w:val="30"/>
        </w:rPr>
        <w:t>公开招标采购公告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sz w:val="24"/>
        </w:rPr>
      </w:pPr>
      <w:r>
        <w:rPr>
          <w:rFonts w:hint="eastAsia" w:ascii="宋体" w:hAnsi="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sz w:val="24"/>
        </w:rPr>
      </w:pPr>
      <w:r>
        <w:rPr>
          <w:rFonts w:hint="eastAsia" w:ascii="宋体" w:hAnsi="宋体"/>
          <w:sz w:val="24"/>
        </w:rPr>
        <w:t>湖州市爱山小学教育集团新型教学空间设施设备项目招标项目的潜在投标人应在浙江政府采购网（http://zfcg.czt.zj.gov.cn/) 获取招标文件，并于2021年</w:t>
      </w:r>
      <w:r>
        <w:rPr>
          <w:rFonts w:hint="eastAsia" w:ascii="宋体" w:hAnsi="宋体"/>
          <w:sz w:val="24"/>
          <w:lang w:val="en-US" w:eastAsia="zh-CN"/>
        </w:rPr>
        <w:t>11</w:t>
      </w:r>
      <w:r>
        <w:rPr>
          <w:rFonts w:hint="eastAsia" w:ascii="宋体" w:hAnsi="宋体"/>
          <w:sz w:val="24"/>
        </w:rPr>
        <w:t>月</w:t>
      </w:r>
      <w:r>
        <w:rPr>
          <w:rFonts w:hint="eastAsia" w:ascii="宋体" w:hAnsi="宋体"/>
          <w:sz w:val="24"/>
          <w:lang w:val="en-US" w:eastAsia="zh-CN"/>
        </w:rPr>
        <w:t>4</w:t>
      </w:r>
      <w:r>
        <w:rPr>
          <w:rFonts w:hint="eastAsia" w:ascii="宋体" w:hAnsi="宋体"/>
          <w:sz w:val="24"/>
        </w:rPr>
        <w:t>日14 点00分（北京时间）前递交投标文件。</w:t>
      </w:r>
    </w:p>
    <w:p>
      <w:pPr>
        <w:snapToGrid w:val="0"/>
        <w:spacing w:line="360" w:lineRule="auto"/>
        <w:rPr>
          <w:rFonts w:ascii="宋体" w:hAnsi="宋体" w:cs="Arial"/>
          <w:b/>
          <w:sz w:val="24"/>
        </w:rPr>
      </w:pPr>
      <w:r>
        <w:rPr>
          <w:rFonts w:hint="eastAsia" w:ascii="宋体" w:hAnsi="宋体" w:cs="Arial"/>
          <w:b/>
          <w:sz w:val="24"/>
        </w:rPr>
        <w:t>一、项目基本情况</w:t>
      </w:r>
    </w:p>
    <w:p>
      <w:pPr>
        <w:spacing w:line="360" w:lineRule="auto"/>
        <w:ind w:firstLine="480" w:firstLineChars="200"/>
        <w:rPr>
          <w:rFonts w:ascii="宋体" w:hAnsi="宋体"/>
          <w:sz w:val="24"/>
        </w:rPr>
      </w:pPr>
      <w:r>
        <w:rPr>
          <w:rFonts w:hint="eastAsia" w:ascii="宋体" w:hAnsi="宋体"/>
          <w:sz w:val="24"/>
        </w:rPr>
        <w:t>项目编号：HYHZ2021120W</w:t>
      </w:r>
    </w:p>
    <w:p>
      <w:pPr>
        <w:spacing w:line="360" w:lineRule="auto"/>
        <w:ind w:firstLine="480" w:firstLineChars="200"/>
        <w:rPr>
          <w:rFonts w:ascii="宋体" w:hAnsi="宋体"/>
          <w:sz w:val="24"/>
        </w:rPr>
      </w:pPr>
      <w:r>
        <w:rPr>
          <w:rFonts w:hint="eastAsia" w:ascii="宋体" w:hAnsi="宋体"/>
          <w:sz w:val="24"/>
        </w:rPr>
        <w:t>项目名称：湖州市爱山小学教育集团新型教学空间设施设备项目</w:t>
      </w:r>
    </w:p>
    <w:p>
      <w:pPr>
        <w:spacing w:line="360" w:lineRule="auto"/>
        <w:ind w:firstLine="480" w:firstLineChars="200"/>
        <w:rPr>
          <w:rFonts w:ascii="宋体" w:hAnsi="宋体"/>
          <w:sz w:val="24"/>
        </w:rPr>
      </w:pPr>
      <w:r>
        <w:rPr>
          <w:rFonts w:hint="eastAsia" w:ascii="宋体" w:hAnsi="宋体"/>
          <w:sz w:val="24"/>
        </w:rPr>
        <w:t>预算金额：60万元</w:t>
      </w:r>
    </w:p>
    <w:p>
      <w:pPr>
        <w:spacing w:line="360" w:lineRule="auto"/>
        <w:ind w:firstLine="480" w:firstLineChars="200"/>
        <w:rPr>
          <w:rFonts w:ascii="宋体" w:hAnsi="宋体"/>
          <w:sz w:val="24"/>
        </w:rPr>
      </w:pPr>
      <w:r>
        <w:rPr>
          <w:rFonts w:hint="eastAsia" w:ascii="宋体" w:hAnsi="宋体"/>
          <w:sz w:val="24"/>
        </w:rPr>
        <w:t>最高限价：60万元</w:t>
      </w:r>
    </w:p>
    <w:p>
      <w:pPr>
        <w:spacing w:line="360" w:lineRule="auto"/>
        <w:ind w:firstLine="480" w:firstLineChars="200"/>
        <w:rPr>
          <w:rFonts w:ascii="宋体" w:hAnsi="宋体"/>
          <w:sz w:val="24"/>
        </w:rPr>
      </w:pPr>
      <w:r>
        <w:rPr>
          <w:rFonts w:hint="eastAsia" w:ascii="宋体" w:hAnsi="宋体"/>
          <w:sz w:val="24"/>
        </w:rPr>
        <w:t>采购需求：</w:t>
      </w:r>
    </w:p>
    <w:tbl>
      <w:tblPr>
        <w:tblStyle w:val="40"/>
        <w:tblW w:w="10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3"/>
        <w:gridCol w:w="4617"/>
        <w:gridCol w:w="2126"/>
        <w:gridCol w:w="2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303" w:type="dxa"/>
            <w:vAlign w:val="center"/>
          </w:tcPr>
          <w:p>
            <w:pPr>
              <w:spacing w:line="360" w:lineRule="auto"/>
              <w:ind w:firstLine="480" w:firstLineChars="200"/>
              <w:rPr>
                <w:rFonts w:ascii="宋体" w:hAnsi="宋体" w:eastAsia="宋体" w:cs="仿宋"/>
                <w:sz w:val="24"/>
              </w:rPr>
            </w:pPr>
            <w:r>
              <w:rPr>
                <w:rFonts w:hint="eastAsia" w:ascii="宋体" w:hAnsi="宋体" w:eastAsia="宋体" w:cs="仿宋"/>
                <w:sz w:val="24"/>
              </w:rPr>
              <w:t>序号</w:t>
            </w:r>
          </w:p>
        </w:tc>
        <w:tc>
          <w:tcPr>
            <w:tcW w:w="4617" w:type="dxa"/>
            <w:vAlign w:val="center"/>
          </w:tcPr>
          <w:p>
            <w:pPr>
              <w:spacing w:line="360" w:lineRule="auto"/>
              <w:ind w:firstLine="480" w:firstLineChars="200"/>
              <w:rPr>
                <w:rFonts w:ascii="宋体" w:hAnsi="宋体" w:eastAsia="宋体" w:cs="仿宋"/>
                <w:sz w:val="24"/>
              </w:rPr>
            </w:pPr>
            <w:r>
              <w:rPr>
                <w:rFonts w:hint="eastAsia" w:ascii="宋体" w:hAnsi="宋体" w:eastAsia="宋体" w:cs="仿宋"/>
                <w:sz w:val="24"/>
              </w:rPr>
              <w:t>项目名称</w:t>
            </w:r>
          </w:p>
        </w:tc>
        <w:tc>
          <w:tcPr>
            <w:tcW w:w="2126" w:type="dxa"/>
            <w:vAlign w:val="center"/>
          </w:tcPr>
          <w:p>
            <w:pPr>
              <w:spacing w:line="360" w:lineRule="auto"/>
              <w:rPr>
                <w:rFonts w:ascii="宋体" w:hAnsi="宋体" w:eastAsia="宋体" w:cs="仿宋"/>
                <w:sz w:val="24"/>
              </w:rPr>
            </w:pPr>
            <w:r>
              <w:rPr>
                <w:rFonts w:hint="eastAsia" w:ascii="宋体" w:hAnsi="宋体" w:eastAsia="宋体" w:cs="仿宋"/>
                <w:sz w:val="24"/>
              </w:rPr>
              <w:t>单位及数量</w:t>
            </w:r>
          </w:p>
        </w:tc>
        <w:tc>
          <w:tcPr>
            <w:tcW w:w="2059" w:type="dxa"/>
          </w:tcPr>
          <w:p>
            <w:pPr>
              <w:spacing w:line="360" w:lineRule="auto"/>
              <w:rPr>
                <w:rFonts w:ascii="宋体" w:hAnsi="宋体" w:eastAsia="宋体" w:cs="仿宋"/>
                <w:sz w:val="24"/>
              </w:rPr>
            </w:pPr>
            <w:r>
              <w:rPr>
                <w:rFonts w:hint="eastAsia" w:ascii="宋体" w:hAnsi="宋体" w:eastAsia="宋体" w:cs="仿宋"/>
                <w:sz w:val="24"/>
              </w:rPr>
              <w:t>简要技术要求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303" w:type="dxa"/>
            <w:vAlign w:val="center"/>
          </w:tcPr>
          <w:p>
            <w:pPr>
              <w:spacing w:line="360" w:lineRule="auto"/>
              <w:ind w:firstLine="480" w:firstLineChars="200"/>
              <w:rPr>
                <w:rFonts w:ascii="宋体" w:hAnsi="宋体" w:eastAsia="宋体" w:cs="仿宋"/>
                <w:sz w:val="24"/>
              </w:rPr>
            </w:pPr>
            <w:r>
              <w:rPr>
                <w:rFonts w:hint="eastAsia" w:ascii="宋体" w:hAnsi="宋体" w:eastAsia="宋体" w:cs="仿宋"/>
                <w:sz w:val="24"/>
              </w:rPr>
              <w:t>1</w:t>
            </w:r>
          </w:p>
        </w:tc>
        <w:tc>
          <w:tcPr>
            <w:tcW w:w="4617" w:type="dxa"/>
            <w:vAlign w:val="center"/>
          </w:tcPr>
          <w:p>
            <w:pPr>
              <w:spacing w:line="360" w:lineRule="auto"/>
              <w:rPr>
                <w:rFonts w:ascii="宋体" w:hAnsi="宋体" w:eastAsia="宋体" w:cs="仿宋"/>
                <w:sz w:val="24"/>
              </w:rPr>
            </w:pPr>
            <w:r>
              <w:rPr>
                <w:rFonts w:hint="eastAsia" w:ascii="宋体" w:hAnsi="宋体" w:eastAsia="宋体"/>
                <w:sz w:val="24"/>
              </w:rPr>
              <w:t>湖州市爱山小学教育集团新型教学空间设施设备项目</w:t>
            </w:r>
          </w:p>
        </w:tc>
        <w:tc>
          <w:tcPr>
            <w:tcW w:w="2126" w:type="dxa"/>
            <w:vAlign w:val="center"/>
          </w:tcPr>
          <w:p>
            <w:pPr>
              <w:spacing w:line="360" w:lineRule="auto"/>
              <w:ind w:firstLine="480" w:firstLineChars="200"/>
              <w:rPr>
                <w:rFonts w:ascii="宋体" w:hAnsi="宋体" w:eastAsia="宋体" w:cs="仿宋"/>
                <w:sz w:val="24"/>
              </w:rPr>
            </w:pPr>
            <w:r>
              <w:rPr>
                <w:rFonts w:hint="eastAsia" w:ascii="宋体" w:hAnsi="宋体" w:eastAsia="宋体" w:cs="仿宋"/>
                <w:sz w:val="24"/>
              </w:rPr>
              <w:t>1项</w:t>
            </w:r>
          </w:p>
        </w:tc>
        <w:tc>
          <w:tcPr>
            <w:tcW w:w="2059" w:type="dxa"/>
            <w:vAlign w:val="center"/>
          </w:tcPr>
          <w:p>
            <w:pPr>
              <w:spacing w:line="360" w:lineRule="auto"/>
              <w:rPr>
                <w:rFonts w:ascii="宋体" w:hAnsi="宋体" w:eastAsia="宋体" w:cs="仿宋"/>
                <w:sz w:val="24"/>
              </w:rPr>
            </w:pPr>
            <w:r>
              <w:rPr>
                <w:rFonts w:hint="eastAsia" w:ascii="宋体" w:hAnsi="宋体" w:eastAsia="宋体" w:cs="仿宋"/>
                <w:sz w:val="24"/>
              </w:rPr>
              <w:t>详见招标文件</w:t>
            </w:r>
          </w:p>
        </w:tc>
      </w:tr>
    </w:tbl>
    <w:p>
      <w:pPr>
        <w:spacing w:line="360" w:lineRule="auto"/>
        <w:ind w:firstLine="480" w:firstLineChars="200"/>
        <w:rPr>
          <w:rFonts w:ascii="宋体" w:hAnsi="宋体" w:cs="仿宋"/>
          <w:sz w:val="24"/>
        </w:rPr>
      </w:pPr>
      <w:r>
        <w:rPr>
          <w:rFonts w:hint="eastAsia" w:ascii="宋体" w:hAnsi="宋体" w:cs="仿宋"/>
          <w:sz w:val="24"/>
        </w:rPr>
        <w:t>合同履行期限：见招标文件第二章采购需求</w:t>
      </w:r>
    </w:p>
    <w:p>
      <w:pPr>
        <w:spacing w:line="360" w:lineRule="auto"/>
        <w:ind w:firstLine="480" w:firstLineChars="200"/>
        <w:rPr>
          <w:rFonts w:ascii="宋体" w:hAnsi="宋体" w:cs="仿宋"/>
          <w:sz w:val="24"/>
        </w:rPr>
      </w:pPr>
      <w:r>
        <w:rPr>
          <w:rFonts w:hint="eastAsia" w:ascii="宋体" w:hAnsi="宋体" w:cs="仿宋"/>
          <w:sz w:val="24"/>
        </w:rPr>
        <w:t>本项目</w:t>
      </w:r>
      <w:r>
        <w:rPr>
          <w:rFonts w:hint="eastAsia" w:ascii="宋体" w:hAnsi="宋体" w:cs="仿宋"/>
          <w:color w:val="FF0000"/>
          <w:sz w:val="24"/>
        </w:rPr>
        <w:t>（</w:t>
      </w:r>
      <w:r>
        <w:rPr>
          <w:rFonts w:hint="eastAsia" w:ascii="宋体" w:hAnsi="宋体" w:cs="仿宋"/>
          <w:i/>
          <w:color w:val="FF0000"/>
          <w:sz w:val="24"/>
        </w:rPr>
        <w:t>否</w:t>
      </w:r>
      <w:r>
        <w:rPr>
          <w:rFonts w:hint="eastAsia" w:ascii="宋体" w:hAnsi="宋体" w:cs="仿宋"/>
          <w:color w:val="FF0000"/>
          <w:sz w:val="24"/>
        </w:rPr>
        <w:t>）</w:t>
      </w:r>
      <w:r>
        <w:rPr>
          <w:rFonts w:hint="eastAsia" w:ascii="宋体" w:hAnsi="宋体" w:cs="仿宋"/>
          <w:sz w:val="24"/>
        </w:rPr>
        <w:t>接受联合体投标。</w:t>
      </w:r>
    </w:p>
    <w:p>
      <w:pPr>
        <w:snapToGrid w:val="0"/>
        <w:spacing w:line="360" w:lineRule="auto"/>
        <w:rPr>
          <w:rFonts w:ascii="宋体" w:hAnsi="宋体" w:cs="Arial"/>
          <w:b/>
          <w:sz w:val="24"/>
        </w:rPr>
      </w:pPr>
      <w:r>
        <w:rPr>
          <w:rFonts w:hint="eastAsia" w:ascii="宋体" w:hAnsi="宋体" w:cs="Arial"/>
          <w:b/>
          <w:sz w:val="24"/>
        </w:rPr>
        <w:t>二、申请人的资格要求：</w:t>
      </w:r>
    </w:p>
    <w:p>
      <w:pPr>
        <w:snapToGrid w:val="0"/>
        <w:spacing w:line="360" w:lineRule="auto"/>
        <w:ind w:firstLine="480" w:firstLineChars="200"/>
        <w:rPr>
          <w:rFonts w:ascii="宋体" w:hAnsi="宋体" w:cs="仿宋"/>
          <w:sz w:val="24"/>
        </w:rPr>
      </w:pPr>
      <w:r>
        <w:rPr>
          <w:rFonts w:hint="eastAsia" w:ascii="宋体" w:hAnsi="宋体" w:cs="仿宋"/>
          <w:sz w:val="24"/>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宋体" w:hAnsi="宋体" w:cs="仿宋"/>
          <w:sz w:val="24"/>
        </w:rPr>
      </w:pPr>
      <w:r>
        <w:rPr>
          <w:rFonts w:hint="eastAsia" w:ascii="宋体" w:hAnsi="宋体" w:cs="仿宋"/>
          <w:sz w:val="24"/>
        </w:rPr>
        <w:t>2.落实政府采购政策需满足的资格要求：本项目专门面向中小企业采购，供应商需提供符合《政府采购促进中小企业发展管理办法》（财库【2020】46号）和本采购文件规定的《中小企业声明函》（格式详见附件）</w:t>
      </w:r>
    </w:p>
    <w:p>
      <w:pPr>
        <w:spacing w:line="360" w:lineRule="auto"/>
        <w:ind w:firstLine="480" w:firstLineChars="200"/>
        <w:rPr>
          <w:rFonts w:ascii="宋体" w:hAnsi="宋体" w:cs="仿宋"/>
          <w:sz w:val="24"/>
        </w:rPr>
      </w:pPr>
      <w:r>
        <w:rPr>
          <w:rFonts w:hint="eastAsia" w:ascii="宋体" w:hAnsi="宋体" w:cs="仿宋"/>
          <w:sz w:val="24"/>
        </w:rPr>
        <w:t>3.本项目的特定资格要求：无</w:t>
      </w:r>
      <w:r>
        <w:rPr>
          <w:rFonts w:hint="eastAsia" w:ascii="宋体" w:hAnsi="宋体" w:cs="宋体"/>
          <w:sz w:val="24"/>
        </w:rPr>
        <w:t>；</w:t>
      </w:r>
    </w:p>
    <w:p>
      <w:pPr>
        <w:snapToGrid w:val="0"/>
        <w:spacing w:line="360" w:lineRule="auto"/>
        <w:rPr>
          <w:rFonts w:ascii="宋体" w:hAnsi="宋体" w:cs="Arial"/>
          <w:b/>
          <w:sz w:val="24"/>
        </w:rPr>
      </w:pPr>
      <w:r>
        <w:rPr>
          <w:rFonts w:hint="eastAsia" w:ascii="宋体" w:hAnsi="宋体" w:cs="Arial"/>
          <w:b/>
          <w:sz w:val="24"/>
        </w:rPr>
        <w:t>三、获取招标文件：</w:t>
      </w:r>
    </w:p>
    <w:p>
      <w:pPr>
        <w:snapToGrid w:val="0"/>
        <w:spacing w:line="360" w:lineRule="auto"/>
        <w:ind w:firstLine="480" w:firstLineChars="200"/>
        <w:rPr>
          <w:rFonts w:ascii="宋体" w:hAnsi="宋体" w:cs="仿宋"/>
          <w:sz w:val="24"/>
        </w:rPr>
      </w:pPr>
      <w:r>
        <w:rPr>
          <w:rFonts w:hint="eastAsia" w:ascii="宋体" w:hAnsi="宋体" w:cs="仿宋"/>
          <w:sz w:val="24"/>
        </w:rPr>
        <w:t>时间：2021年</w:t>
      </w:r>
      <w:r>
        <w:rPr>
          <w:rFonts w:hint="eastAsia" w:ascii="宋体" w:hAnsi="宋体" w:cs="仿宋"/>
          <w:sz w:val="24"/>
          <w:lang w:val="en-US" w:eastAsia="zh-CN"/>
        </w:rPr>
        <w:t>10</w:t>
      </w:r>
      <w:r>
        <w:rPr>
          <w:rFonts w:hint="eastAsia" w:ascii="宋体" w:hAnsi="宋体" w:cs="仿宋"/>
          <w:sz w:val="24"/>
        </w:rPr>
        <w:t>月</w:t>
      </w:r>
      <w:r>
        <w:rPr>
          <w:rFonts w:hint="eastAsia" w:ascii="宋体" w:hAnsi="宋体" w:cs="仿宋"/>
          <w:sz w:val="24"/>
          <w:lang w:val="en-US" w:eastAsia="zh-CN"/>
        </w:rPr>
        <w:t>14</w:t>
      </w:r>
      <w:r>
        <w:rPr>
          <w:rFonts w:hint="eastAsia" w:ascii="宋体" w:hAnsi="宋体" w:cs="仿宋"/>
          <w:sz w:val="24"/>
        </w:rPr>
        <w:t>日至2021年</w:t>
      </w:r>
      <w:r>
        <w:rPr>
          <w:rFonts w:hint="eastAsia" w:ascii="宋体" w:hAnsi="宋体"/>
          <w:sz w:val="24"/>
          <w:lang w:val="en-US" w:eastAsia="zh-CN"/>
        </w:rPr>
        <w:t>11</w:t>
      </w:r>
      <w:r>
        <w:rPr>
          <w:rFonts w:hint="eastAsia" w:ascii="宋体" w:hAnsi="宋体"/>
          <w:sz w:val="24"/>
        </w:rPr>
        <w:t>月</w:t>
      </w:r>
      <w:r>
        <w:rPr>
          <w:rFonts w:hint="eastAsia" w:ascii="宋体" w:hAnsi="宋体"/>
          <w:sz w:val="24"/>
          <w:lang w:val="en-US" w:eastAsia="zh-CN"/>
        </w:rPr>
        <w:t>4</w:t>
      </w:r>
      <w:r>
        <w:rPr>
          <w:rFonts w:hint="eastAsia" w:ascii="宋体" w:hAnsi="宋体"/>
          <w:sz w:val="24"/>
        </w:rPr>
        <w:t>日</w:t>
      </w:r>
      <w:r>
        <w:rPr>
          <w:rFonts w:hint="eastAsia" w:ascii="宋体" w:hAnsi="宋体" w:cs="仿宋"/>
          <w:sz w:val="24"/>
        </w:rPr>
        <w:t>，每天上午00:00至12:00，下午12:00至23:59</w:t>
      </w:r>
    </w:p>
    <w:p>
      <w:pPr>
        <w:snapToGrid w:val="0"/>
        <w:spacing w:line="360" w:lineRule="auto"/>
        <w:ind w:firstLine="480" w:firstLineChars="200"/>
        <w:rPr>
          <w:rFonts w:ascii="宋体" w:hAnsi="宋体" w:cs="仿宋"/>
          <w:sz w:val="24"/>
        </w:rPr>
      </w:pPr>
      <w:r>
        <w:rPr>
          <w:rFonts w:hint="eastAsia" w:ascii="宋体" w:hAnsi="宋体" w:cs="仿宋"/>
          <w:sz w:val="24"/>
        </w:rPr>
        <w:t>地点：本次招标文件实行网上获取，不接受供应商现场报名，供应商须登录浙江政府采购网（http://zfcg.czt.zj.gov.cn/）进入政采云系统“项目采购”模块“获取采购文件”菜单，进行网上获取招标文件（“政采云”注册账号、密码登录系统后获取招标文件）</w:t>
      </w:r>
    </w:p>
    <w:p>
      <w:pPr>
        <w:snapToGrid w:val="0"/>
        <w:spacing w:line="360" w:lineRule="auto"/>
        <w:ind w:firstLine="480" w:firstLineChars="200"/>
        <w:rPr>
          <w:rFonts w:ascii="宋体" w:hAnsi="宋体" w:cs="仿宋"/>
          <w:sz w:val="24"/>
        </w:rPr>
      </w:pPr>
      <w:r>
        <w:rPr>
          <w:rFonts w:hint="eastAsia" w:ascii="宋体" w:hAnsi="宋体" w:cs="仿宋"/>
          <w:sz w:val="24"/>
        </w:rPr>
        <w:t>方式：本次招标文件实行网上获取，不接受供应商现场报名。</w:t>
      </w:r>
    </w:p>
    <w:p>
      <w:pPr>
        <w:snapToGrid w:val="0"/>
        <w:spacing w:line="360" w:lineRule="auto"/>
        <w:ind w:firstLine="480" w:firstLineChars="200"/>
        <w:rPr>
          <w:rFonts w:ascii="宋体" w:hAnsi="宋体" w:cs="仿宋"/>
          <w:sz w:val="24"/>
        </w:rPr>
      </w:pPr>
      <w:r>
        <w:rPr>
          <w:rFonts w:hint="eastAsia" w:ascii="宋体" w:hAnsi="宋体" w:cs="仿宋"/>
          <w:sz w:val="24"/>
        </w:rPr>
        <w:t>售价：0</w:t>
      </w:r>
    </w:p>
    <w:p>
      <w:pPr>
        <w:snapToGrid w:val="0"/>
        <w:spacing w:line="360" w:lineRule="auto"/>
        <w:rPr>
          <w:rFonts w:ascii="宋体" w:hAnsi="宋体" w:cs="Arial"/>
          <w:b/>
          <w:sz w:val="24"/>
        </w:rPr>
      </w:pPr>
      <w:r>
        <w:rPr>
          <w:rFonts w:hint="eastAsia" w:ascii="宋体" w:hAnsi="宋体" w:cs="Arial"/>
          <w:b/>
          <w:sz w:val="24"/>
        </w:rPr>
        <w:t>四、提交投标文件截止时间、开标时间和地点：</w:t>
      </w:r>
    </w:p>
    <w:p>
      <w:pPr>
        <w:snapToGrid w:val="0"/>
        <w:spacing w:line="360" w:lineRule="auto"/>
        <w:rPr>
          <w:rFonts w:ascii="宋体" w:hAnsi="宋体" w:cs="宋体"/>
          <w:kern w:val="0"/>
          <w:sz w:val="24"/>
        </w:rPr>
      </w:pPr>
      <w:r>
        <w:rPr>
          <w:rFonts w:hint="eastAsia" w:ascii="宋体" w:hAnsi="宋体" w:cs="宋体"/>
          <w:kern w:val="0"/>
          <w:sz w:val="24"/>
        </w:rPr>
        <w:t>2021年</w:t>
      </w:r>
      <w:r>
        <w:rPr>
          <w:rFonts w:hint="eastAsia" w:ascii="宋体" w:hAnsi="宋体"/>
          <w:sz w:val="24"/>
          <w:lang w:val="en-US" w:eastAsia="zh-CN"/>
        </w:rPr>
        <w:t>11</w:t>
      </w:r>
      <w:r>
        <w:rPr>
          <w:rFonts w:hint="eastAsia" w:ascii="宋体" w:hAnsi="宋体"/>
          <w:sz w:val="24"/>
        </w:rPr>
        <w:t>月</w:t>
      </w:r>
      <w:r>
        <w:rPr>
          <w:rFonts w:hint="eastAsia" w:ascii="宋体" w:hAnsi="宋体"/>
          <w:sz w:val="24"/>
          <w:lang w:val="en-US" w:eastAsia="zh-CN"/>
        </w:rPr>
        <w:t>4</w:t>
      </w:r>
      <w:r>
        <w:rPr>
          <w:rFonts w:hint="eastAsia" w:ascii="宋体" w:hAnsi="宋体"/>
          <w:sz w:val="24"/>
        </w:rPr>
        <w:t>日14 点00分</w:t>
      </w:r>
      <w:r>
        <w:rPr>
          <w:rFonts w:hint="eastAsia" w:ascii="宋体" w:hAnsi="宋体" w:cs="宋体"/>
          <w:kern w:val="0"/>
          <w:sz w:val="24"/>
        </w:rPr>
        <w:t>（北京时间）</w:t>
      </w:r>
    </w:p>
    <w:p>
      <w:pPr>
        <w:snapToGrid w:val="0"/>
        <w:spacing w:line="360" w:lineRule="auto"/>
        <w:rPr>
          <w:rFonts w:ascii="宋体" w:hAnsi="宋体" w:cs="仿宋"/>
          <w:sz w:val="24"/>
        </w:rPr>
      </w:pPr>
      <w:r>
        <w:rPr>
          <w:rFonts w:hint="eastAsia" w:ascii="宋体" w:hAnsi="宋体" w:cs="仿宋"/>
          <w:sz w:val="24"/>
        </w:rPr>
        <w:t>地点：</w:t>
      </w:r>
      <w:r>
        <w:rPr>
          <w:rFonts w:hint="eastAsia" w:ascii="宋体" w:hAnsi="宋体" w:cs="宋体"/>
          <w:kern w:val="0"/>
          <w:sz w:val="24"/>
        </w:rPr>
        <w:t>湖州市吴兴区公共资源交易中心（湖州市吴兴区区府路1188号总部自由港E幢4楼）40</w:t>
      </w:r>
      <w:r>
        <w:rPr>
          <w:rFonts w:hint="eastAsia" w:ascii="宋体" w:hAnsi="宋体" w:cs="宋体"/>
          <w:kern w:val="0"/>
          <w:sz w:val="24"/>
          <w:lang w:val="en-US" w:eastAsia="zh-CN"/>
        </w:rPr>
        <w:t>4</w:t>
      </w:r>
      <w:r>
        <w:rPr>
          <w:rFonts w:hint="eastAsia" w:ascii="宋体" w:hAnsi="宋体" w:cs="宋体"/>
          <w:kern w:val="0"/>
          <w:sz w:val="24"/>
        </w:rPr>
        <w:t>开标室（通过“政府采购云平台（http://www.zc</w:t>
      </w:r>
      <w:r>
        <w:rPr>
          <w:rFonts w:hint="eastAsia" w:ascii="宋体" w:hAnsi="宋体" w:cs="仿宋"/>
          <w:sz w:val="24"/>
        </w:rPr>
        <w:t>ygov.cn）”实行在线投标及开标）</w:t>
      </w:r>
    </w:p>
    <w:p>
      <w:pPr>
        <w:snapToGrid w:val="0"/>
        <w:spacing w:line="360" w:lineRule="auto"/>
        <w:rPr>
          <w:rFonts w:ascii="宋体" w:hAnsi="宋体" w:cs="Arial"/>
          <w:b/>
          <w:sz w:val="24"/>
        </w:rPr>
      </w:pPr>
      <w:r>
        <w:rPr>
          <w:rFonts w:hint="eastAsia" w:ascii="宋体" w:hAnsi="宋体" w:cs="Arial"/>
          <w:b/>
          <w:sz w:val="24"/>
        </w:rPr>
        <w:t>五、公告期限</w:t>
      </w:r>
    </w:p>
    <w:p>
      <w:pPr>
        <w:snapToGrid w:val="0"/>
        <w:spacing w:line="360" w:lineRule="auto"/>
        <w:ind w:firstLine="480" w:firstLineChars="200"/>
        <w:rPr>
          <w:rFonts w:ascii="宋体" w:hAnsi="宋体" w:cs="仿宋"/>
          <w:kern w:val="0"/>
          <w:sz w:val="24"/>
        </w:rPr>
      </w:pPr>
      <w:r>
        <w:rPr>
          <w:rFonts w:hint="eastAsia" w:ascii="宋体" w:hAnsi="宋体" w:cs="仿宋"/>
          <w:kern w:val="0"/>
          <w:sz w:val="24"/>
        </w:rPr>
        <w:t>自本公告发布之日起5个工作日。</w:t>
      </w:r>
    </w:p>
    <w:p>
      <w:pPr>
        <w:spacing w:line="360" w:lineRule="auto"/>
        <w:rPr>
          <w:rFonts w:ascii="宋体" w:hAnsi="宋体" w:cs="仿宋"/>
          <w:b/>
          <w:sz w:val="24"/>
        </w:rPr>
      </w:pPr>
      <w:r>
        <w:rPr>
          <w:rFonts w:hint="eastAsia" w:ascii="宋体" w:hAnsi="宋体" w:cs="仿宋"/>
          <w:b/>
          <w:kern w:val="0"/>
          <w:sz w:val="24"/>
        </w:rPr>
        <w:t>六、</w:t>
      </w:r>
      <w:r>
        <w:rPr>
          <w:rFonts w:hint="eastAsia" w:ascii="宋体" w:hAnsi="宋体" w:cs="仿宋"/>
          <w:b/>
          <w:sz w:val="24"/>
        </w:rPr>
        <w:t>其他补充事宜</w:t>
      </w:r>
    </w:p>
    <w:p>
      <w:pPr>
        <w:spacing w:line="360" w:lineRule="auto"/>
        <w:ind w:firstLine="480" w:firstLineChars="200"/>
        <w:rPr>
          <w:rFonts w:ascii="宋体" w:hAnsi="宋体" w:cs="仿宋"/>
          <w:kern w:val="0"/>
          <w:sz w:val="24"/>
        </w:rPr>
      </w:pPr>
      <w:r>
        <w:rPr>
          <w:rFonts w:hint="eastAsia" w:ascii="宋体" w:hAnsi="宋体" w:cs="仿宋"/>
          <w:sz w:val="24"/>
        </w:rPr>
        <w:t>1、本项目公告期限为5个工作日，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360" w:firstLineChars="150"/>
        <w:rPr>
          <w:rFonts w:ascii="宋体" w:hAnsi="宋体" w:cs="仿宋"/>
          <w:kern w:val="0"/>
          <w:sz w:val="24"/>
        </w:rPr>
      </w:pPr>
      <w:r>
        <w:rPr>
          <w:rFonts w:hint="eastAsia" w:ascii="宋体" w:hAnsi="宋体" w:cs="仿宋"/>
          <w:sz w:val="24"/>
        </w:rPr>
        <w:t>2、根据《中华人民共和国财政部令第94号-政府采购质疑和投诉办法》规定，供应商在法定质疑期内须一次性提出针对同一采购程序环节的质疑。质疑供应商对采购人、采购代理机构的答复不满意或者采购人、采购代理机构未在规定的时间内作出答复的，可以在答复期满后十五个工作日内向同级政府采购监督管理部门投诉。</w:t>
      </w:r>
    </w:p>
    <w:p>
      <w:pPr>
        <w:spacing w:line="360" w:lineRule="auto"/>
        <w:ind w:firstLine="360" w:firstLineChars="150"/>
        <w:rPr>
          <w:rFonts w:ascii="宋体" w:hAnsi="宋体" w:cs="仿宋"/>
          <w:kern w:val="0"/>
          <w:sz w:val="24"/>
        </w:rPr>
      </w:pPr>
      <w:r>
        <w:rPr>
          <w:rFonts w:hint="eastAsia" w:ascii="宋体" w:hAnsi="宋体" w:cs="仿宋"/>
          <w:sz w:val="24"/>
        </w:rPr>
        <w:t>3、潜在供应商已依法获取（依法获取指：供应商按本项目招标公告要求在政采云系统上获取并报名成功）其可质疑的招标文件，可以对该文件提出质疑。未按照规定方式依法获取招标文件的，不得对招标文件提起质疑投诉。</w:t>
      </w:r>
    </w:p>
    <w:p>
      <w:pPr>
        <w:spacing w:line="360" w:lineRule="auto"/>
        <w:ind w:firstLine="360" w:firstLineChars="150"/>
        <w:rPr>
          <w:rFonts w:ascii="宋体" w:hAnsi="宋体" w:cs="仿宋"/>
          <w:kern w:val="0"/>
          <w:sz w:val="24"/>
        </w:rPr>
      </w:pPr>
      <w:r>
        <w:rPr>
          <w:rFonts w:hint="eastAsia" w:ascii="宋体" w:hAnsi="宋体" w:cs="仿宋"/>
          <w:sz w:val="24"/>
        </w:rPr>
        <w:t>4、答疑内容是招标文件的组成部分，并将在网上发布补充（答疑、澄清）文件，潜在供应商应自行关注网站公告，采购人不再一一通知，供应商因自身贻误行为导致投标失效的，责任自负。</w:t>
      </w:r>
    </w:p>
    <w:p>
      <w:pPr>
        <w:spacing w:line="360" w:lineRule="auto"/>
        <w:ind w:firstLine="360" w:firstLineChars="150"/>
        <w:rPr>
          <w:rFonts w:ascii="宋体" w:hAnsi="宋体" w:cs="仿宋"/>
          <w:sz w:val="24"/>
        </w:rPr>
      </w:pPr>
      <w:r>
        <w:rPr>
          <w:rFonts w:hint="eastAsia" w:ascii="宋体" w:hAnsi="宋体" w:cs="仿宋"/>
          <w:sz w:val="24"/>
        </w:rPr>
        <w:t>5、为有效破解当前中小微企业面临的“融资难、融资贵”困局，充分发挥好政府采购扶持小微企业发展的政策功能，本项目中标供应商可凭中标通知书等材料至“绿贷通平台”网页（https://lvdt.huzldt.com）或“政采贷”平台网页（www.zcygov.cn）申请相关融资产品。具体操作方式可在“绿贷通”或“政采贷”平台网站查询，也可向“绿贷通”或“政采贷”平台电话咨询（“绿贷通”联系电话：0572-2392590、“政采贷”联系电话：0572-2151055、18698580797）。</w:t>
      </w:r>
    </w:p>
    <w:p>
      <w:pPr>
        <w:spacing w:line="360" w:lineRule="auto"/>
        <w:ind w:firstLine="360" w:firstLineChars="150"/>
        <w:rPr>
          <w:rFonts w:ascii="宋体" w:hAnsi="宋体" w:cs="仿宋"/>
          <w:sz w:val="24"/>
        </w:rPr>
      </w:pPr>
      <w:r>
        <w:rPr>
          <w:rFonts w:hint="eastAsia" w:ascii="宋体" w:hAnsi="宋体" w:cs="仿宋"/>
          <w:sz w:val="24"/>
        </w:rPr>
        <w:t>6、根据《政府采购促进中小企业发展管理办法》，本项目是否专门面向中小企业采购：是。</w:t>
      </w:r>
    </w:p>
    <w:p>
      <w:pPr>
        <w:snapToGrid w:val="0"/>
        <w:spacing w:line="360" w:lineRule="auto"/>
        <w:ind w:firstLine="480" w:firstLineChars="200"/>
        <w:rPr>
          <w:rFonts w:ascii="宋体" w:hAnsi="宋体" w:cs="宋体"/>
          <w:kern w:val="0"/>
          <w:sz w:val="24"/>
        </w:rPr>
      </w:pPr>
      <w:r>
        <w:rPr>
          <w:rFonts w:hint="eastAsia" w:ascii="宋体" w:hAnsi="宋体" w:cs="仿宋"/>
          <w:sz w:val="24"/>
        </w:rPr>
        <w:t xml:space="preserve">7、本项目公告发布网站： </w:t>
      </w:r>
      <w:r>
        <w:rPr>
          <w:rFonts w:hint="eastAsia" w:ascii="宋体" w:hAnsi="宋体" w:cs="宋体"/>
          <w:kern w:val="0"/>
          <w:sz w:val="24"/>
        </w:rPr>
        <w:t>“浙江省政府采购网”(http://zfcg.czt.zj.gov.cn/)和吴兴区人民政府网http://www.wuxing.gov.cn/首页“吴兴区公共资源交易中心”专栏。</w:t>
      </w:r>
    </w:p>
    <w:p>
      <w:pPr>
        <w:snapToGrid w:val="0"/>
        <w:spacing w:line="360" w:lineRule="auto"/>
        <w:ind w:firstLine="480" w:firstLineChars="200"/>
        <w:rPr>
          <w:rFonts w:ascii="宋体" w:hAnsi="宋体" w:cs="仿宋"/>
          <w:kern w:val="0"/>
          <w:sz w:val="24"/>
        </w:rPr>
      </w:pPr>
      <w:r>
        <w:rPr>
          <w:rFonts w:hint="eastAsia" w:ascii="宋体" w:hAnsi="宋体" w:cs="仿宋"/>
          <w:sz w:val="24"/>
        </w:rPr>
        <w:t>8、投标事项：</w:t>
      </w:r>
    </w:p>
    <w:p>
      <w:pPr>
        <w:spacing w:line="360" w:lineRule="auto"/>
        <w:rPr>
          <w:rFonts w:ascii="宋体" w:hAnsi="宋体" w:cs="仿宋"/>
          <w:kern w:val="0"/>
          <w:sz w:val="24"/>
        </w:rPr>
      </w:pPr>
      <w:r>
        <w:rPr>
          <w:rFonts w:hint="eastAsia" w:ascii="宋体" w:hAnsi="宋体" w:cs="仿宋"/>
          <w:sz w:val="24"/>
        </w:rPr>
        <w:t>（1）本项目为电子招投标项目，实行网上招投标，应按照本招标文件及政采云平台的要求编制、加密，要求供应商通过政采云系统在线投标响应，投标截止时间前须完成电子投标文件的上传，供应商在使用系统进行投标的过程中遇到涉及平台使用的任何问题，可致电政采云平台技术支持热线咨询，联系方式：400-881-7190。</w:t>
      </w:r>
    </w:p>
    <w:p>
      <w:pPr>
        <w:spacing w:line="360" w:lineRule="auto"/>
        <w:rPr>
          <w:rFonts w:ascii="宋体" w:hAnsi="宋体" w:cs="仿宋"/>
          <w:kern w:val="0"/>
          <w:sz w:val="24"/>
        </w:rPr>
      </w:pPr>
      <w:r>
        <w:rPr>
          <w:rFonts w:hint="eastAsia" w:ascii="宋体" w:hAnsi="宋体" w:cs="仿宋"/>
          <w:sz w:val="24"/>
        </w:rPr>
        <w:t>（2）参与政府采购项目的注册供应商，需登录浙江政府采购云平台（http://www.zcygov.cn）进行网上报名，尚未注册的供应商应当先在浙江政府采购云平台上申请注册。</w:t>
      </w:r>
    </w:p>
    <w:p>
      <w:pPr>
        <w:spacing w:line="360" w:lineRule="auto"/>
        <w:rPr>
          <w:rFonts w:ascii="宋体" w:hAnsi="宋体" w:cs="仿宋"/>
          <w:kern w:val="0"/>
          <w:sz w:val="24"/>
        </w:rPr>
      </w:pPr>
      <w:r>
        <w:rPr>
          <w:rFonts w:hint="eastAsia" w:ascii="宋体" w:hAnsi="宋体" w:cs="仿宋"/>
          <w:sz w:val="24"/>
        </w:rPr>
        <w:t>（3）政府采购项目电子交易操作指南：</w:t>
      </w:r>
      <w:r>
        <w:t>https://service.zcygov.cn/#/knowledges/CW1EtGwBFdiHxlNd6I3m/6IMVAG0BFdiHxlNdQ8Na</w:t>
      </w:r>
    </w:p>
    <w:p>
      <w:pPr>
        <w:spacing w:line="360" w:lineRule="auto"/>
        <w:rPr>
          <w:rFonts w:ascii="宋体" w:hAnsi="宋体" w:cs="仿宋"/>
          <w:kern w:val="0"/>
          <w:sz w:val="24"/>
        </w:rPr>
      </w:pPr>
      <w:r>
        <w:rPr>
          <w:rFonts w:hint="eastAsia" w:ascii="宋体" w:hAnsi="宋体" w:cs="仿宋"/>
          <w:sz w:val="24"/>
        </w:rPr>
        <w:t>（4）为确保网上操作合法、有效和安全，供应商应当在投标截止时间前完成在“政府采购云平台”的身份认证，确保在电子投标过程中能够对相关数据电文进行加密和使用电子签章。使用“政采云电子交易客户端”需要提前申领CA数字证书（完成CA数字证书办理预计一周左右，建议各投标人自行把握时间），申领流程请自行前往“浙江政府采购网-下载专区-电子交易客户端-CA驱动和申领流程”进行查阅。办理流程详见http://zfcg.czt.zj.gov.cn/bidClientTemplate/2019-05-27/12945.html，并登陆“浙江政府采购网”（http://zfcg.czt.zj.gov.cn/），进入“下载专区”下载“政采云电子交易客户端”，制作投标文件。</w:t>
      </w:r>
    </w:p>
    <w:p>
      <w:pPr>
        <w:spacing w:line="360" w:lineRule="auto"/>
        <w:rPr>
          <w:rFonts w:ascii="宋体" w:hAnsi="宋体" w:cs="仿宋"/>
          <w:sz w:val="24"/>
        </w:rPr>
      </w:pPr>
      <w:r>
        <w:rPr>
          <w:rFonts w:hint="eastAsia" w:ascii="宋体" w:hAnsi="宋体" w:cs="仿宋"/>
          <w:sz w:val="24"/>
        </w:rPr>
        <w:t>（5）投标供应商应当在投标截止时间前，将生成的“电子加密投标文件”上传递交至“政府采购云平台”。投标截止时间以后上传递交的投标文件将被“政府采购云平台”拒收。</w:t>
      </w:r>
    </w:p>
    <w:p>
      <w:pPr>
        <w:spacing w:line="360" w:lineRule="auto"/>
        <w:rPr>
          <w:rFonts w:ascii="宋体" w:hAnsi="宋体"/>
          <w:sz w:val="24"/>
        </w:rPr>
      </w:pPr>
      <w:r>
        <w:rPr>
          <w:rFonts w:hint="eastAsia" w:ascii="宋体" w:hAnsi="宋体" w:cs="宋体"/>
          <w:kern w:val="0"/>
          <w:sz w:val="24"/>
        </w:rPr>
        <w:t>（6）备</w:t>
      </w:r>
      <w:r>
        <w:rPr>
          <w:rFonts w:hint="eastAsia" w:ascii="宋体" w:hAnsi="宋体"/>
          <w:sz w:val="24"/>
        </w:rPr>
        <w:t>份</w:t>
      </w:r>
      <w:r>
        <w:rPr>
          <w:rFonts w:hint="eastAsia" w:ascii="宋体" w:hAnsi="宋体" w:cs="宋体"/>
          <w:kern w:val="0"/>
          <w:sz w:val="24"/>
        </w:rPr>
        <w:t>投标文件</w:t>
      </w:r>
      <w:r>
        <w:rPr>
          <w:rFonts w:hint="eastAsia" w:ascii="宋体" w:hAnsi="宋体"/>
          <w:sz w:val="24"/>
        </w:rPr>
        <w:t>：根据“浙江省政府采购项目电子交易管理暂行办法”第二十条规定，本次招标允许供应商递交备份</w:t>
      </w:r>
      <w:r>
        <w:rPr>
          <w:rFonts w:hint="eastAsia" w:ascii="宋体" w:hAnsi="宋体" w:cs="宋体"/>
          <w:kern w:val="0"/>
          <w:sz w:val="24"/>
        </w:rPr>
        <w:t>投标文件</w:t>
      </w:r>
      <w:r>
        <w:rPr>
          <w:rFonts w:hint="eastAsia" w:ascii="宋体" w:hAnsi="宋体"/>
          <w:sz w:val="24"/>
        </w:rPr>
        <w:t>，仅提交备份</w:t>
      </w:r>
      <w:r>
        <w:rPr>
          <w:rFonts w:hint="eastAsia" w:ascii="宋体" w:hAnsi="宋体" w:cs="宋体"/>
          <w:kern w:val="0"/>
          <w:sz w:val="24"/>
        </w:rPr>
        <w:t>投标文件</w:t>
      </w:r>
      <w:r>
        <w:rPr>
          <w:rFonts w:hint="eastAsia" w:ascii="宋体" w:hAnsi="宋体"/>
          <w:sz w:val="24"/>
        </w:rPr>
        <w:t>的，</w:t>
      </w:r>
      <w:r>
        <w:rPr>
          <w:rFonts w:hint="eastAsia" w:ascii="宋体" w:hAnsi="宋体" w:cs="宋体"/>
          <w:kern w:val="0"/>
          <w:sz w:val="24"/>
        </w:rPr>
        <w:t>投标</w:t>
      </w:r>
      <w:r>
        <w:rPr>
          <w:rFonts w:hint="eastAsia" w:ascii="宋体" w:hAnsi="宋体"/>
          <w:sz w:val="24"/>
        </w:rPr>
        <w:t>无效。本项目不强制要求供应商提交备份</w:t>
      </w:r>
      <w:r>
        <w:rPr>
          <w:rFonts w:hint="eastAsia" w:ascii="宋体" w:hAnsi="宋体" w:cs="宋体"/>
          <w:kern w:val="0"/>
          <w:sz w:val="24"/>
        </w:rPr>
        <w:t>投标文件</w:t>
      </w:r>
      <w:r>
        <w:rPr>
          <w:rFonts w:hint="eastAsia" w:ascii="宋体" w:hAnsi="宋体"/>
          <w:sz w:val="24"/>
        </w:rPr>
        <w:t>，但由于未提交备份</w:t>
      </w:r>
      <w:r>
        <w:rPr>
          <w:rFonts w:hint="eastAsia" w:ascii="宋体" w:hAnsi="宋体" w:cs="宋体"/>
          <w:kern w:val="0"/>
          <w:sz w:val="24"/>
        </w:rPr>
        <w:t>投标文件</w:t>
      </w:r>
      <w:r>
        <w:rPr>
          <w:rFonts w:hint="eastAsia" w:ascii="宋体" w:hAnsi="宋体"/>
          <w:sz w:val="24"/>
        </w:rPr>
        <w:t>而造成项目开评标活动无法进行下去的，</w:t>
      </w:r>
      <w:r>
        <w:rPr>
          <w:rFonts w:hint="eastAsia" w:ascii="宋体" w:hAnsi="宋体" w:cs="宋体"/>
          <w:kern w:val="0"/>
          <w:sz w:val="24"/>
        </w:rPr>
        <w:t>投标</w:t>
      </w:r>
      <w:r>
        <w:rPr>
          <w:rFonts w:hint="eastAsia" w:ascii="宋体" w:hAnsi="宋体"/>
          <w:sz w:val="24"/>
        </w:rPr>
        <w:t>无效的，相关风险由供应商自行承担。</w:t>
      </w:r>
      <w:r>
        <w:rPr>
          <w:rFonts w:ascii="宋体" w:hAnsi="宋体"/>
          <w:sz w:val="24"/>
        </w:rPr>
        <w:t>备份</w:t>
      </w:r>
      <w:r>
        <w:rPr>
          <w:rFonts w:hint="eastAsia" w:ascii="宋体" w:hAnsi="宋体" w:cs="宋体"/>
          <w:kern w:val="0"/>
          <w:sz w:val="24"/>
        </w:rPr>
        <w:t>投标文件</w:t>
      </w:r>
      <w:r>
        <w:rPr>
          <w:rFonts w:ascii="宋体" w:hAnsi="宋体"/>
          <w:sz w:val="24"/>
        </w:rPr>
        <w:t>:</w:t>
      </w:r>
      <w:r>
        <w:rPr>
          <w:rFonts w:hint="eastAsia" w:ascii="宋体" w:hAnsi="宋体"/>
          <w:sz w:val="24"/>
        </w:rPr>
        <w:t>1份。</w:t>
      </w:r>
      <w:r>
        <w:rPr>
          <w:rFonts w:ascii="宋体" w:hAnsi="宋体"/>
          <w:sz w:val="24"/>
        </w:rPr>
        <w:t>以介质存储的数据电文形式的备份</w:t>
      </w:r>
      <w:r>
        <w:rPr>
          <w:rFonts w:hint="eastAsia" w:ascii="宋体" w:hAnsi="宋体" w:cs="宋体"/>
          <w:kern w:val="0"/>
          <w:sz w:val="24"/>
        </w:rPr>
        <w:t>投标文件</w:t>
      </w:r>
      <w:r>
        <w:rPr>
          <w:rFonts w:ascii="宋体" w:hAnsi="宋体"/>
          <w:sz w:val="24"/>
        </w:rPr>
        <w:t>(BFBS格式)，按政采云平台项</w:t>
      </w:r>
      <w:r>
        <w:rPr>
          <w:rFonts w:ascii="宋体" w:hAnsi="宋体" w:cs="宋体"/>
          <w:kern w:val="0"/>
          <w:sz w:val="24"/>
        </w:rPr>
        <w:t>目采购-电子交易操作指南中上传的电子</w:t>
      </w:r>
      <w:r>
        <w:rPr>
          <w:rFonts w:hint="eastAsia" w:ascii="宋体" w:hAnsi="宋体" w:cs="宋体"/>
          <w:kern w:val="0"/>
          <w:sz w:val="24"/>
        </w:rPr>
        <w:t>投标文件</w:t>
      </w:r>
      <w:r>
        <w:rPr>
          <w:rFonts w:ascii="宋体" w:hAnsi="宋体" w:cs="宋体"/>
          <w:kern w:val="0"/>
          <w:sz w:val="24"/>
        </w:rPr>
        <w:t>格式，以U盘形式存储提供)。U盘盘面上粘贴标签，标注单位名称，装入一个外包封袋中进行邮寄.邮寄时，总的外包封袋上</w:t>
      </w:r>
      <w:r>
        <w:rPr>
          <w:rFonts w:ascii="宋体" w:hAnsi="宋体"/>
          <w:sz w:val="24"/>
        </w:rPr>
        <w:t>可不注明单位名称，但应注明单位的联系人、联系电话及项目名称</w:t>
      </w:r>
      <w:r>
        <w:rPr>
          <w:rFonts w:hint="eastAsia" w:ascii="宋体" w:hAnsi="宋体"/>
          <w:sz w:val="24"/>
        </w:rPr>
        <w:t>。邮寄地址为：浙江华耀建设咨询有限公司（湖州市静江公寓1单元1101室），联系人：张治中，联系电话：0572-2198738</w:t>
      </w:r>
      <w:r>
        <w:rPr>
          <w:rFonts w:hint="eastAsia"/>
        </w:rPr>
        <w:t>。</w:t>
      </w:r>
      <w:r>
        <w:rPr>
          <w:rFonts w:hint="eastAsia" w:ascii="宋体" w:hAnsi="宋体"/>
          <w:sz w:val="24"/>
        </w:rPr>
        <w:t>拒绝到付。以收件人实际签收时间为准，逾期送达的将拒绝接收。若供应商派授权代表出席开标会议（授权代表必须携带身份证、法人授权委托书或法人身份证明文书等有效证明文件以及最近一个月个人社保缴纳证明文件。未</w:t>
      </w:r>
      <w:r>
        <w:rPr>
          <w:rFonts w:hint="eastAsia" w:ascii="宋体" w:hAnsi="宋体" w:cs="宋体"/>
          <w:kern w:val="0"/>
          <w:sz w:val="24"/>
        </w:rPr>
        <w:t>携带有效</w:t>
      </w:r>
      <w:r>
        <w:rPr>
          <w:rFonts w:hint="eastAsia" w:ascii="宋体" w:hAnsi="宋体"/>
          <w:sz w:val="24"/>
        </w:rPr>
        <w:t>证明文件或未提供社保缴纳证明文件的，其投标文件将被拒绝），数据电子备份投标文件（U盘）应在投标截止时间前送达，超过投标截止时间前送达的，按未提供处理。</w:t>
      </w:r>
    </w:p>
    <w:p>
      <w:pPr>
        <w:spacing w:line="360" w:lineRule="auto"/>
        <w:rPr>
          <w:rFonts w:ascii="宋体" w:hAnsi="宋体"/>
          <w:sz w:val="24"/>
        </w:rPr>
      </w:pPr>
      <w:r>
        <w:rPr>
          <w:rFonts w:hint="eastAsia" w:ascii="宋体" w:hAnsi="宋体"/>
          <w:sz w:val="24"/>
        </w:rPr>
        <w:t>（7）本项目开评标会议通过政采云电子交易系统在线完成，请潜在供应商代表自行准备联网的计算机设备、“政府采购云平台”CA数字证书。开评标会议开始后，应全程关注政采云电子交易系统的各类通知：在线询标等，及时澄清、响应，避免逾期无效等情况的发生。</w:t>
      </w:r>
    </w:p>
    <w:p>
      <w:pPr>
        <w:spacing w:line="360" w:lineRule="auto"/>
        <w:ind w:firstLine="361" w:firstLineChars="150"/>
        <w:rPr>
          <w:rFonts w:ascii="宋体" w:hAnsi="宋体" w:cs="仿宋"/>
          <w:b/>
          <w:sz w:val="24"/>
        </w:rPr>
      </w:pPr>
      <w:r>
        <w:rPr>
          <w:rFonts w:hint="eastAsia" w:ascii="宋体" w:hAnsi="宋体" w:cs="仿宋"/>
          <w:b/>
          <w:sz w:val="24"/>
        </w:rPr>
        <w:t>9.告知事项：</w:t>
      </w:r>
    </w:p>
    <w:p>
      <w:pPr>
        <w:snapToGrid w:val="0"/>
        <w:spacing w:line="460" w:lineRule="exact"/>
        <w:ind w:firstLine="470" w:firstLineChars="196"/>
        <w:rPr>
          <w:rFonts w:ascii="宋体" w:hAnsi="宋体" w:cs="宋体"/>
          <w:kern w:val="0"/>
          <w:sz w:val="24"/>
        </w:rPr>
      </w:pPr>
      <w:r>
        <w:rPr>
          <w:rFonts w:hint="eastAsia" w:ascii="宋体" w:hAnsi="宋体" w:cs="宋体"/>
          <w:kern w:val="0"/>
          <w:sz w:val="24"/>
        </w:rPr>
        <w:t>（1）投标单位必须指派无疫情接触史、身体健康且符合防控要求的人员参与开评标现场活动，请严格把关。每个投标单位一般只能指派1人参加现场开评标活动；</w:t>
      </w:r>
    </w:p>
    <w:p>
      <w:pPr>
        <w:snapToGrid w:val="0"/>
        <w:spacing w:line="460" w:lineRule="exact"/>
        <w:ind w:firstLine="470" w:firstLineChars="196"/>
        <w:rPr>
          <w:rFonts w:ascii="宋体" w:hAnsi="宋体" w:cs="宋体"/>
          <w:kern w:val="0"/>
          <w:sz w:val="24"/>
        </w:rPr>
      </w:pPr>
      <w:r>
        <w:rPr>
          <w:rFonts w:hint="eastAsia" w:ascii="宋体" w:hAnsi="宋体" w:cs="宋体"/>
          <w:kern w:val="0"/>
          <w:sz w:val="24"/>
        </w:rPr>
        <w:t>（2）参加投标的人员，请自觉做好个人防护工作，必须全程佩戴口罩（自备），听从交易中心工作人员引导，必须提供“一证一码”，即：身份证、“湖州健康码”（个人支付宝或浙里办APP中申领），主动配合做好体温测量等各项疫情防控措施。</w:t>
      </w:r>
    </w:p>
    <w:p>
      <w:pPr>
        <w:snapToGrid w:val="0"/>
        <w:spacing w:line="460" w:lineRule="exact"/>
        <w:ind w:firstLine="470" w:firstLineChars="196"/>
        <w:rPr>
          <w:rFonts w:ascii="宋体" w:hAnsi="宋体" w:cs="宋体"/>
          <w:kern w:val="0"/>
          <w:sz w:val="24"/>
        </w:rPr>
      </w:pPr>
      <w:r>
        <w:rPr>
          <w:rFonts w:hint="eastAsia" w:ascii="宋体" w:hAnsi="宋体" w:cs="宋体"/>
          <w:kern w:val="0"/>
          <w:sz w:val="24"/>
        </w:rPr>
        <w:t>（3）防控期间，参加投标的人员从吴兴区政务服务中心（公共资源交易中心）一楼北大门出入（测量体温、出示“湖州健康码”、登记身份证等信息），通过楼梯到达相应楼层（具体见指示牌或询问引导员）；</w:t>
      </w:r>
    </w:p>
    <w:p>
      <w:pPr>
        <w:snapToGrid w:val="0"/>
        <w:spacing w:line="460" w:lineRule="exact"/>
        <w:ind w:firstLine="470" w:firstLineChars="196"/>
        <w:rPr>
          <w:rFonts w:ascii="宋体" w:hAnsi="宋体" w:cs="宋体"/>
          <w:kern w:val="0"/>
          <w:sz w:val="24"/>
        </w:rPr>
      </w:pPr>
      <w:r>
        <w:rPr>
          <w:rFonts w:hint="eastAsia" w:ascii="宋体" w:hAnsi="宋体" w:cs="宋体"/>
          <w:kern w:val="0"/>
          <w:sz w:val="24"/>
        </w:rPr>
        <w:t>（4）“湖州健康码”显示为绿色可进入交易中心，“湖州健康码”显示为黄色、红色或者现场测量体温高于37.2℃且不符合防控管理要求的人员，一律谢绝进入交易中心参加开评标活动；</w:t>
      </w:r>
    </w:p>
    <w:p>
      <w:pPr>
        <w:snapToGrid w:val="0"/>
        <w:spacing w:line="460" w:lineRule="exact"/>
        <w:ind w:firstLine="470" w:firstLineChars="196"/>
        <w:rPr>
          <w:rFonts w:ascii="宋体" w:hAnsi="宋体" w:cs="宋体"/>
          <w:kern w:val="0"/>
          <w:sz w:val="24"/>
        </w:rPr>
      </w:pPr>
      <w:r>
        <w:rPr>
          <w:rFonts w:hint="eastAsia" w:ascii="宋体" w:hAnsi="宋体" w:cs="宋体"/>
          <w:kern w:val="0"/>
          <w:sz w:val="24"/>
        </w:rPr>
        <w:t>（5）请各潜在投标单位充分考虑因路程、卡口防疫检查等因素（注：不得违反国家、浙江省、湖州市、吴兴区等相关规定）。特殊时期，为避免各因素带来不便导致时间效率问题，请各潜在投标人提前30分钟到场，确保投标有效。</w:t>
      </w:r>
    </w:p>
    <w:p>
      <w:pPr>
        <w:snapToGrid w:val="0"/>
        <w:spacing w:line="460" w:lineRule="exact"/>
        <w:ind w:firstLine="470" w:firstLineChars="196"/>
        <w:rPr>
          <w:rFonts w:ascii="宋体" w:hAnsi="宋体" w:cs="宋体"/>
          <w:kern w:val="0"/>
          <w:sz w:val="24"/>
        </w:rPr>
      </w:pPr>
      <w:r>
        <w:rPr>
          <w:rFonts w:hint="eastAsia" w:ascii="宋体" w:hAnsi="宋体" w:cs="宋体"/>
          <w:kern w:val="0"/>
          <w:sz w:val="24"/>
        </w:rPr>
        <w:t xml:space="preserve">（6）所有进入吴兴区公共资源交易中心的相关人员应自觉遵守国家以及省、市、区有关疫情防控的其他规定。                   </w:t>
      </w:r>
    </w:p>
    <w:p>
      <w:pPr>
        <w:snapToGrid w:val="0"/>
        <w:spacing w:line="360" w:lineRule="auto"/>
        <w:ind w:firstLine="542" w:firstLineChars="225"/>
        <w:rPr>
          <w:rFonts w:ascii="宋体" w:hAnsi="宋体" w:cs="Arial"/>
          <w:b/>
          <w:sz w:val="24"/>
        </w:rPr>
      </w:pPr>
      <w:r>
        <w:rPr>
          <w:rFonts w:hint="eastAsia" w:ascii="宋体" w:hAnsi="宋体" w:cs="Arial"/>
          <w:b/>
          <w:sz w:val="24"/>
        </w:rPr>
        <w:t>十三、业务咨询：</w:t>
      </w:r>
    </w:p>
    <w:p>
      <w:pPr>
        <w:snapToGrid w:val="0"/>
        <w:spacing w:line="360" w:lineRule="auto"/>
        <w:ind w:firstLine="470" w:firstLineChars="196"/>
        <w:rPr>
          <w:rFonts w:ascii="宋体" w:hAnsi="宋体" w:cs="Arial"/>
          <w:b/>
          <w:sz w:val="24"/>
        </w:rPr>
      </w:pPr>
      <w:r>
        <w:rPr>
          <w:rFonts w:hint="eastAsia" w:ascii="宋体" w:hAnsi="宋体"/>
          <w:sz w:val="24"/>
        </w:rPr>
        <w:t>1.采购代理机构名称：浙江华耀建设咨询有限公司</w:t>
      </w:r>
    </w:p>
    <w:p>
      <w:pPr>
        <w:snapToGrid w:val="0"/>
        <w:spacing w:line="360" w:lineRule="auto"/>
        <w:ind w:firstLine="480" w:firstLineChars="200"/>
        <w:rPr>
          <w:rFonts w:ascii="宋体" w:hAnsi="宋体"/>
          <w:sz w:val="24"/>
        </w:rPr>
      </w:pPr>
      <w:r>
        <w:rPr>
          <w:rFonts w:hint="eastAsia" w:ascii="宋体" w:hAnsi="宋体"/>
          <w:sz w:val="24"/>
        </w:rPr>
        <w:t>地址：</w:t>
      </w:r>
      <w:r>
        <w:rPr>
          <w:rFonts w:hint="eastAsia" w:ascii="宋体" w:hAnsi="宋体" w:cs="宋体"/>
          <w:kern w:val="0"/>
          <w:sz w:val="24"/>
        </w:rPr>
        <w:t>浙江省湖州市静江公寓1单元1101室</w:t>
      </w:r>
    </w:p>
    <w:p>
      <w:pPr>
        <w:snapToGrid w:val="0"/>
        <w:spacing w:line="360" w:lineRule="auto"/>
        <w:ind w:firstLine="470" w:firstLineChars="196"/>
        <w:rPr>
          <w:rFonts w:ascii="宋体" w:hAnsi="宋体"/>
          <w:sz w:val="24"/>
        </w:rPr>
      </w:pPr>
      <w:r>
        <w:rPr>
          <w:rFonts w:hint="eastAsia" w:ascii="宋体" w:hAnsi="宋体"/>
          <w:sz w:val="24"/>
        </w:rPr>
        <w:t>联系人：小张；联系电话：0572-2198738；传真：0572-2198739。</w:t>
      </w:r>
    </w:p>
    <w:p>
      <w:pPr>
        <w:snapToGrid w:val="0"/>
        <w:spacing w:line="360" w:lineRule="auto"/>
        <w:ind w:firstLine="470" w:firstLineChars="196"/>
        <w:rPr>
          <w:rFonts w:ascii="宋体" w:hAnsi="宋体"/>
          <w:sz w:val="24"/>
        </w:rPr>
      </w:pPr>
      <w:r>
        <w:rPr>
          <w:rFonts w:hint="eastAsia" w:ascii="宋体" w:hAnsi="宋体"/>
          <w:sz w:val="24"/>
        </w:rPr>
        <w:t>供应商质疑函接收人：何女士   联系电话：0572-2198739</w:t>
      </w:r>
    </w:p>
    <w:p>
      <w:pPr>
        <w:snapToGrid w:val="0"/>
        <w:spacing w:line="360" w:lineRule="auto"/>
        <w:ind w:firstLine="470" w:firstLineChars="196"/>
        <w:rPr>
          <w:rFonts w:ascii="宋体" w:hAnsi="宋体"/>
          <w:sz w:val="24"/>
        </w:rPr>
      </w:pPr>
      <w:r>
        <w:rPr>
          <w:rFonts w:hint="eastAsia" w:ascii="宋体" w:hAnsi="宋体"/>
          <w:sz w:val="24"/>
        </w:rPr>
        <w:t>电子邮箱：</w:t>
      </w:r>
      <w:r>
        <w:fldChar w:fldCharType="begin"/>
      </w:r>
      <w:r>
        <w:instrText xml:space="preserve"> HYPERLINK "mailto:huayaohz@163.com。" </w:instrText>
      </w:r>
      <w:r>
        <w:fldChar w:fldCharType="separate"/>
      </w:r>
      <w:r>
        <w:rPr>
          <w:rFonts w:hint="eastAsia" w:ascii="宋体" w:hAnsi="宋体"/>
          <w:sz w:val="24"/>
        </w:rPr>
        <w:t>huayaohz@163.com</w:t>
      </w:r>
      <w:r>
        <w:rPr>
          <w:rFonts w:hint="eastAsia" w:ascii="宋体" w:hAnsi="宋体"/>
          <w:sz w:val="24"/>
        </w:rPr>
        <w:fldChar w:fldCharType="end"/>
      </w:r>
    </w:p>
    <w:p>
      <w:pPr>
        <w:snapToGrid w:val="0"/>
        <w:spacing w:line="360" w:lineRule="auto"/>
        <w:ind w:firstLine="420" w:firstLineChars="200"/>
      </w:pPr>
    </w:p>
    <w:p>
      <w:pPr>
        <w:snapToGrid w:val="0"/>
        <w:spacing w:line="360" w:lineRule="auto"/>
        <w:ind w:firstLine="470" w:firstLineChars="196"/>
        <w:rPr>
          <w:rFonts w:ascii="宋体" w:hAnsi="宋体"/>
          <w:sz w:val="24"/>
        </w:rPr>
      </w:pPr>
      <w:r>
        <w:rPr>
          <w:rFonts w:hint="eastAsia" w:ascii="宋体" w:hAnsi="宋体"/>
          <w:sz w:val="24"/>
        </w:rPr>
        <w:t xml:space="preserve">2.采购人名称：湖州市爱山小学教育集团 </w:t>
      </w:r>
    </w:p>
    <w:p>
      <w:pPr>
        <w:snapToGrid w:val="0"/>
        <w:spacing w:line="360" w:lineRule="auto"/>
        <w:ind w:firstLine="470" w:firstLineChars="196"/>
        <w:rPr>
          <w:rFonts w:ascii="宋体" w:hAnsi="宋体"/>
          <w:sz w:val="24"/>
        </w:rPr>
      </w:pPr>
      <w:r>
        <w:rPr>
          <w:rFonts w:hint="eastAsia" w:ascii="宋体" w:hAnsi="宋体"/>
          <w:sz w:val="24"/>
        </w:rPr>
        <w:t>联系人：柳老师                 联系电话：0572-2590856</w:t>
      </w:r>
    </w:p>
    <w:p>
      <w:pPr>
        <w:snapToGrid w:val="0"/>
        <w:spacing w:line="360" w:lineRule="auto"/>
        <w:ind w:firstLine="470" w:firstLineChars="196"/>
        <w:rPr>
          <w:rFonts w:ascii="宋体" w:hAnsi="宋体"/>
          <w:sz w:val="24"/>
        </w:rPr>
      </w:pPr>
      <w:r>
        <w:rPr>
          <w:rFonts w:hint="eastAsia" w:ascii="宋体" w:hAnsi="宋体"/>
          <w:sz w:val="24"/>
        </w:rPr>
        <w:t>采购单位质疑联系人：温老师     联系电话：0572-2111562</w:t>
      </w:r>
    </w:p>
    <w:p>
      <w:pPr>
        <w:pStyle w:val="2"/>
      </w:pPr>
    </w:p>
    <w:p>
      <w:pPr>
        <w:snapToGrid w:val="0"/>
        <w:spacing w:line="360" w:lineRule="auto"/>
        <w:ind w:firstLine="480" w:firstLineChars="200"/>
        <w:rPr>
          <w:rFonts w:ascii="宋体" w:hAnsi="宋体" w:cs="Arial"/>
          <w:sz w:val="24"/>
        </w:rPr>
      </w:pPr>
      <w:r>
        <w:rPr>
          <w:rFonts w:hint="eastAsia" w:ascii="宋体" w:hAnsi="宋体" w:cs="Arial"/>
          <w:sz w:val="24"/>
        </w:rPr>
        <w:t>3.同级政府采购监督管理部门名称：</w:t>
      </w:r>
    </w:p>
    <w:p>
      <w:pPr>
        <w:snapToGrid w:val="0"/>
        <w:spacing w:line="360" w:lineRule="auto"/>
        <w:ind w:firstLine="480" w:firstLineChars="200"/>
        <w:rPr>
          <w:rFonts w:ascii="宋体" w:hAnsi="宋体" w:cs="宋体"/>
          <w:sz w:val="24"/>
          <w:u w:val="single"/>
        </w:rPr>
      </w:pPr>
      <w:r>
        <w:rPr>
          <w:rFonts w:hint="eastAsia" w:ascii="宋体" w:hAnsi="宋体" w:cs="宋体"/>
          <w:sz w:val="24"/>
        </w:rPr>
        <w:t>湖州市吴兴区财政局政府采购监管科     联系电话：</w:t>
      </w:r>
      <w:r>
        <w:rPr>
          <w:rFonts w:hint="eastAsia" w:ascii="宋体" w:hAnsi="宋体" w:cs="宋体"/>
          <w:sz w:val="24"/>
          <w:u w:val="single"/>
        </w:rPr>
        <w:t>0572-2289702</w:t>
      </w:r>
    </w:p>
    <w:p>
      <w:pPr>
        <w:pStyle w:val="2"/>
      </w:pPr>
    </w:p>
    <w:p>
      <w:pPr>
        <w:pStyle w:val="3"/>
      </w:pPr>
    </w:p>
    <w:p>
      <w:pPr>
        <w:snapToGrid w:val="0"/>
        <w:spacing w:line="360" w:lineRule="auto"/>
        <w:ind w:left="238"/>
        <w:rPr>
          <w:rFonts w:ascii="宋体" w:hAnsi="宋体"/>
          <w:sz w:val="24"/>
        </w:rPr>
      </w:pPr>
      <w:r>
        <w:rPr>
          <w:rFonts w:hint="eastAsia" w:ascii="宋体" w:hAnsi="宋体" w:cs="Arial"/>
          <w:sz w:val="24"/>
        </w:rPr>
        <w:t xml:space="preserve">                                                   湖州市爱山小学教育集团</w:t>
      </w:r>
    </w:p>
    <w:p>
      <w:pPr>
        <w:snapToGrid w:val="0"/>
        <w:spacing w:line="360" w:lineRule="auto"/>
        <w:ind w:left="238"/>
        <w:jc w:val="center"/>
        <w:rPr>
          <w:rFonts w:ascii="宋体" w:hAnsi="宋体"/>
          <w:sz w:val="24"/>
        </w:rPr>
      </w:pPr>
      <w:r>
        <w:rPr>
          <w:rFonts w:hint="eastAsia" w:ascii="宋体" w:hAnsi="宋体"/>
          <w:sz w:val="24"/>
        </w:rPr>
        <w:t xml:space="preserve">                                            浙江华耀建设咨询有限公司</w:t>
      </w:r>
    </w:p>
    <w:p>
      <w:pPr>
        <w:snapToGrid w:val="0"/>
        <w:spacing w:line="360" w:lineRule="auto"/>
        <w:ind w:left="238"/>
        <w:jc w:val="center"/>
        <w:rPr>
          <w:rFonts w:ascii="宋体" w:hAnsi="宋体"/>
          <w:sz w:val="24"/>
        </w:rPr>
      </w:pPr>
      <w:r>
        <w:rPr>
          <w:rFonts w:hint="eastAsia" w:ascii="宋体" w:hAnsi="宋体"/>
          <w:sz w:val="24"/>
        </w:rPr>
        <w:t xml:space="preserve">                                             2021年</w:t>
      </w:r>
      <w:r>
        <w:rPr>
          <w:rFonts w:hint="eastAsia" w:ascii="宋体" w:hAnsi="宋体"/>
          <w:sz w:val="24"/>
          <w:lang w:val="en-US" w:eastAsia="zh-CN"/>
        </w:rPr>
        <w:t>10</w:t>
      </w:r>
      <w:r>
        <w:rPr>
          <w:rFonts w:hint="eastAsia" w:ascii="宋体" w:hAnsi="宋体"/>
          <w:sz w:val="24"/>
        </w:rPr>
        <w:t>月</w:t>
      </w:r>
      <w:r>
        <w:rPr>
          <w:rFonts w:hint="eastAsia" w:ascii="宋体" w:hAnsi="宋体"/>
          <w:sz w:val="24"/>
          <w:lang w:val="en-US" w:eastAsia="zh-CN"/>
        </w:rPr>
        <w:t>14</w:t>
      </w:r>
      <w:r>
        <w:rPr>
          <w:rFonts w:hint="eastAsia" w:ascii="宋体" w:hAnsi="宋体"/>
          <w:sz w:val="24"/>
        </w:rPr>
        <w:t>日</w:t>
      </w:r>
    </w:p>
    <w:p>
      <w:pPr>
        <w:pStyle w:val="2"/>
      </w:pPr>
    </w:p>
    <w:p>
      <w:pPr>
        <w:pStyle w:val="3"/>
      </w:pPr>
    </w:p>
    <w:p/>
    <w:p/>
    <w:p/>
    <w:p>
      <w:pPr>
        <w:jc w:val="left"/>
        <w:rPr>
          <w:rFonts w:ascii="宋体" w:hAnsi="宋体" w:cs="仿宋"/>
          <w:b/>
          <w:sz w:val="24"/>
        </w:rPr>
      </w:pPr>
      <w:r>
        <w:rPr>
          <w:rFonts w:hint="eastAsia" w:ascii="宋体" w:hAnsi="宋体" w:cs="仿宋"/>
          <w:b/>
          <w:sz w:val="24"/>
        </w:rPr>
        <w:t>若对项目采购电子交易系统操作有疑问，可登录政采云（https://www.zcygov.cn/），点击右侧咨询小采，获取采小蜜智能服务管家帮助，或拨打政采云服务热线400-881-7190获取热线服务帮助。</w:t>
      </w:r>
    </w:p>
    <w:p>
      <w:pPr>
        <w:rPr>
          <w:rFonts w:ascii="宋体" w:hAnsi="宋体" w:cs="仿宋"/>
          <w:b/>
          <w:sz w:val="24"/>
        </w:rPr>
      </w:pPr>
      <w:r>
        <w:rPr>
          <w:rFonts w:hint="eastAsia" w:ascii="宋体" w:hAnsi="宋体" w:cs="仿宋"/>
          <w:b/>
          <w:sz w:val="24"/>
        </w:rPr>
        <w:t>CA问题联系电话（人工）：汇信CA 400-888-4636；天谷CA 400-087-8198。</w:t>
      </w:r>
    </w:p>
    <w:p>
      <w:pPr>
        <w:pStyle w:val="3"/>
      </w:pPr>
    </w:p>
    <w:p/>
    <w:p/>
    <w:p/>
    <w:p/>
    <w:p/>
    <w:p>
      <w:pPr>
        <w:pStyle w:val="2"/>
      </w:pPr>
    </w:p>
    <w:p/>
    <w:p/>
    <w:p>
      <w:pPr>
        <w:pStyle w:val="2"/>
      </w:pPr>
    </w:p>
    <w:p/>
    <w:p/>
    <w:p/>
    <w:p>
      <w:pPr>
        <w:snapToGrid w:val="0"/>
        <w:spacing w:line="360" w:lineRule="auto"/>
        <w:ind w:left="238"/>
        <w:jc w:val="center"/>
        <w:rPr>
          <w:rFonts w:ascii="黑体" w:hAnsi="宋体" w:eastAsia="黑体"/>
          <w:sz w:val="30"/>
          <w:szCs w:val="30"/>
        </w:rPr>
      </w:pPr>
      <w:r>
        <w:rPr>
          <w:rFonts w:hint="eastAsia" w:ascii="黑体" w:hAnsi="宋体" w:eastAsia="黑体"/>
          <w:sz w:val="30"/>
          <w:szCs w:val="30"/>
        </w:rPr>
        <w:t xml:space="preserve">第二章  </w:t>
      </w:r>
      <w:r>
        <w:rPr>
          <w:rFonts w:hint="eastAsia" w:ascii="黑体" w:hAnsi="宋体" w:eastAsia="黑体"/>
          <w:bCs/>
          <w:sz w:val="30"/>
          <w:szCs w:val="30"/>
        </w:rPr>
        <w:t>招</w:t>
      </w:r>
      <w:r>
        <w:rPr>
          <w:rFonts w:hint="eastAsia" w:ascii="黑体" w:hAnsi="宋体" w:eastAsia="黑体"/>
          <w:sz w:val="30"/>
          <w:szCs w:val="30"/>
        </w:rPr>
        <w:t>标需求</w:t>
      </w:r>
    </w:p>
    <w:p>
      <w:pPr>
        <w:widowControl/>
        <w:spacing w:line="360" w:lineRule="auto"/>
        <w:jc w:val="left"/>
        <w:rPr>
          <w:rFonts w:ascii="宋体" w:hAnsi="宋体"/>
          <w:b/>
          <w:sz w:val="24"/>
        </w:rPr>
      </w:pPr>
    </w:p>
    <w:p>
      <w:pPr>
        <w:widowControl/>
        <w:spacing w:line="360" w:lineRule="auto"/>
        <w:jc w:val="left"/>
        <w:rPr>
          <w:rFonts w:ascii="宋体" w:hAnsi="宋体"/>
          <w:sz w:val="24"/>
          <w:szCs w:val="24"/>
        </w:rPr>
      </w:pPr>
      <w:r>
        <w:rPr>
          <w:rFonts w:hint="eastAsia" w:ascii="宋体" w:hAnsi="宋体"/>
          <w:b/>
          <w:sz w:val="24"/>
          <w:szCs w:val="24"/>
        </w:rPr>
        <w:t>一、采购项目名称：</w:t>
      </w:r>
      <w:r>
        <w:rPr>
          <w:rFonts w:hint="eastAsia" w:ascii="宋体" w:hAnsi="宋体"/>
          <w:sz w:val="24"/>
        </w:rPr>
        <w:t>湖州市爱山小学教育集团新型教学空间设施设备项目</w:t>
      </w:r>
    </w:p>
    <w:p>
      <w:pPr>
        <w:widowControl/>
        <w:spacing w:line="360" w:lineRule="auto"/>
        <w:jc w:val="left"/>
        <w:rPr>
          <w:rFonts w:ascii="宋体" w:hAnsi="宋体"/>
          <w:b/>
          <w:sz w:val="24"/>
          <w:szCs w:val="24"/>
        </w:rPr>
      </w:pPr>
      <w:r>
        <w:rPr>
          <w:rFonts w:hint="eastAsia" w:ascii="宋体" w:hAnsi="宋体"/>
          <w:b/>
          <w:sz w:val="24"/>
          <w:szCs w:val="24"/>
        </w:rPr>
        <w:t>二、采购项目编号：HYHZ2021120W</w:t>
      </w:r>
    </w:p>
    <w:p>
      <w:pPr>
        <w:widowControl/>
        <w:spacing w:line="360" w:lineRule="auto"/>
        <w:jc w:val="left"/>
        <w:rPr>
          <w:rFonts w:ascii="宋体" w:hAnsi="宋体" w:cs="宋体"/>
          <w:b/>
          <w:kern w:val="0"/>
          <w:sz w:val="24"/>
          <w:szCs w:val="24"/>
        </w:rPr>
      </w:pPr>
      <w:r>
        <w:rPr>
          <w:rFonts w:hint="eastAsia" w:ascii="宋体" w:hAnsi="宋体"/>
          <w:b/>
          <w:sz w:val="24"/>
          <w:szCs w:val="24"/>
        </w:rPr>
        <w:t>三、采购项目预算：</w:t>
      </w:r>
      <w:r>
        <w:rPr>
          <w:rFonts w:hint="eastAsia" w:ascii="宋体" w:hAnsi="宋体" w:cs="宋体"/>
          <w:b/>
          <w:kern w:val="0"/>
          <w:sz w:val="24"/>
          <w:szCs w:val="24"/>
        </w:rPr>
        <w:t>人民币陆拾万元整（￥600000.00）</w:t>
      </w:r>
    </w:p>
    <w:p>
      <w:pPr>
        <w:widowControl/>
        <w:spacing w:line="360" w:lineRule="auto"/>
        <w:jc w:val="left"/>
        <w:rPr>
          <w:rFonts w:ascii="宋体" w:hAnsi="宋体"/>
          <w:sz w:val="24"/>
          <w:szCs w:val="24"/>
        </w:rPr>
      </w:pPr>
      <w:r>
        <w:rPr>
          <w:rFonts w:hint="eastAsia" w:ascii="宋体" w:hAnsi="宋体"/>
          <w:sz w:val="24"/>
          <w:szCs w:val="24"/>
        </w:rPr>
        <w:t>本预算为采购最高限价，本采购预算已包含货物、运输、机械、保险、安装、调试、验收、培训、维保、服务和税金等一切费用。</w:t>
      </w:r>
    </w:p>
    <w:p>
      <w:pPr>
        <w:widowControl/>
        <w:spacing w:line="360" w:lineRule="auto"/>
        <w:jc w:val="left"/>
        <w:rPr>
          <w:rFonts w:ascii="宋体" w:hAnsi="宋体"/>
          <w:sz w:val="24"/>
          <w:szCs w:val="24"/>
        </w:rPr>
      </w:pPr>
      <w:r>
        <w:rPr>
          <w:rFonts w:hint="eastAsia" w:ascii="宋体" w:hAnsi="宋体"/>
          <w:b/>
          <w:sz w:val="24"/>
          <w:szCs w:val="24"/>
        </w:rPr>
        <w:t>四、采购项目实施地点：</w:t>
      </w:r>
      <w:r>
        <w:rPr>
          <w:rFonts w:hint="eastAsia" w:ascii="宋体" w:hAnsi="宋体"/>
          <w:sz w:val="24"/>
          <w:szCs w:val="24"/>
        </w:rPr>
        <w:t>湖州市爱山小学教育集团</w:t>
      </w:r>
    </w:p>
    <w:p>
      <w:pPr>
        <w:widowControl/>
        <w:spacing w:line="360" w:lineRule="auto"/>
        <w:jc w:val="left"/>
        <w:rPr>
          <w:rFonts w:hAnsi="宋体"/>
          <w:b/>
          <w:sz w:val="24"/>
          <w:szCs w:val="24"/>
        </w:rPr>
      </w:pPr>
      <w:r>
        <w:rPr>
          <w:rFonts w:hint="eastAsia" w:hAnsi="宋体"/>
          <w:b/>
          <w:sz w:val="24"/>
          <w:szCs w:val="24"/>
        </w:rPr>
        <w:t>五、采购项目采购清单和</w:t>
      </w:r>
      <w:r>
        <w:rPr>
          <w:rFonts w:hAnsi="宋体"/>
          <w:b/>
          <w:sz w:val="24"/>
          <w:szCs w:val="24"/>
        </w:rPr>
        <w:t>规格型号</w:t>
      </w:r>
      <w:r>
        <w:rPr>
          <w:rFonts w:hint="eastAsia" w:hAnsi="宋体"/>
          <w:b/>
          <w:sz w:val="24"/>
          <w:szCs w:val="24"/>
        </w:rPr>
        <w:t>、</w:t>
      </w:r>
      <w:r>
        <w:rPr>
          <w:rFonts w:hAnsi="宋体"/>
          <w:b/>
          <w:sz w:val="24"/>
          <w:szCs w:val="24"/>
        </w:rPr>
        <w:t>技术参数、</w:t>
      </w:r>
      <w:r>
        <w:rPr>
          <w:rFonts w:hint="eastAsia" w:hAnsi="宋体"/>
          <w:b/>
          <w:sz w:val="24"/>
          <w:szCs w:val="24"/>
        </w:rPr>
        <w:t>附件</w:t>
      </w:r>
      <w:r>
        <w:rPr>
          <w:rFonts w:hAnsi="宋体"/>
          <w:b/>
          <w:sz w:val="24"/>
          <w:szCs w:val="24"/>
        </w:rPr>
        <w:t>清单、</w:t>
      </w:r>
      <w:r>
        <w:rPr>
          <w:rFonts w:hint="eastAsia" w:hAnsi="宋体"/>
          <w:b/>
          <w:sz w:val="24"/>
          <w:szCs w:val="24"/>
        </w:rPr>
        <w:t>商务</w:t>
      </w:r>
      <w:r>
        <w:rPr>
          <w:rFonts w:hAnsi="宋体"/>
          <w:b/>
          <w:sz w:val="24"/>
          <w:szCs w:val="24"/>
        </w:rPr>
        <w:t>要求</w:t>
      </w:r>
      <w:r>
        <w:rPr>
          <w:rFonts w:hint="eastAsia" w:hAnsi="宋体"/>
          <w:b/>
          <w:sz w:val="24"/>
          <w:szCs w:val="24"/>
        </w:rPr>
        <w:t>等：</w:t>
      </w:r>
    </w:p>
    <w:tbl>
      <w:tblPr>
        <w:tblStyle w:val="40"/>
        <w:tblW w:w="9725" w:type="dxa"/>
        <w:tblInd w:w="93" w:type="dxa"/>
        <w:tblLayout w:type="fixed"/>
        <w:tblCellMar>
          <w:top w:w="0" w:type="dxa"/>
          <w:left w:w="108" w:type="dxa"/>
          <w:bottom w:w="0" w:type="dxa"/>
          <w:right w:w="108" w:type="dxa"/>
        </w:tblCellMar>
      </w:tblPr>
      <w:tblGrid>
        <w:gridCol w:w="698"/>
        <w:gridCol w:w="1077"/>
        <w:gridCol w:w="934"/>
        <w:gridCol w:w="567"/>
        <w:gridCol w:w="850"/>
        <w:gridCol w:w="709"/>
        <w:gridCol w:w="4890"/>
      </w:tblGrid>
      <w:tr>
        <w:tblPrEx>
          <w:tblCellMar>
            <w:top w:w="0" w:type="dxa"/>
            <w:left w:w="108" w:type="dxa"/>
            <w:bottom w:w="0" w:type="dxa"/>
            <w:right w:w="108" w:type="dxa"/>
          </w:tblCellMar>
        </w:tblPrEx>
        <w:trPr>
          <w:trHeight w:val="375" w:hRule="atLeast"/>
        </w:trPr>
        <w:tc>
          <w:tcPr>
            <w:tcW w:w="9725" w:type="dxa"/>
            <w:gridSpan w:val="7"/>
            <w:tcBorders>
              <w:top w:val="single" w:color="000000" w:sz="4" w:space="0"/>
              <w:left w:val="single" w:color="000000" w:sz="4" w:space="0"/>
              <w:bottom w:val="single" w:color="000000" w:sz="4" w:space="0"/>
              <w:right w:val="single" w:color="000000" w:sz="4" w:space="0"/>
            </w:tcBorders>
            <w:shd w:val="clear" w:color="auto" w:fill="CFCECE"/>
            <w:noWrap/>
            <w:vAlign w:val="center"/>
          </w:tcPr>
          <w:p>
            <w:pPr>
              <w:widowControl/>
              <w:jc w:val="center"/>
              <w:textAlignment w:val="center"/>
              <w:rPr>
                <w:rFonts w:cs="宋体" w:asciiTheme="majorEastAsia" w:hAnsiTheme="majorEastAsia" w:eastAsiaTheme="majorEastAsia"/>
                <w:b/>
                <w:bCs/>
                <w:color w:val="000000"/>
                <w:sz w:val="24"/>
                <w:szCs w:val="24"/>
              </w:rPr>
            </w:pPr>
            <w:r>
              <w:rPr>
                <w:rFonts w:asciiTheme="majorEastAsia" w:hAnsiTheme="majorEastAsia" w:eastAsiaTheme="majorEastAsia"/>
                <w:sz w:val="24"/>
                <w:szCs w:val="24"/>
              </w:rPr>
              <w:t xml:space="preserve"> </w:t>
            </w:r>
            <w:r>
              <w:rPr>
                <w:rFonts w:hint="eastAsia" w:cs="宋体" w:asciiTheme="majorEastAsia" w:hAnsiTheme="majorEastAsia" w:eastAsiaTheme="majorEastAsia"/>
                <w:b/>
                <w:bCs/>
                <w:color w:val="000000"/>
                <w:kern w:val="0"/>
                <w:sz w:val="24"/>
                <w:szCs w:val="24"/>
              </w:rPr>
              <w:t>青阳校区-设备&amp;基础设施</w:t>
            </w:r>
          </w:p>
        </w:tc>
      </w:tr>
      <w:tr>
        <w:tblPrEx>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DEEBF6"/>
            <w:noWrap/>
            <w:vAlign w:val="center"/>
          </w:tcPr>
          <w:p>
            <w:pPr>
              <w:widowControl/>
              <w:jc w:val="center"/>
              <w:textAlignment w:val="center"/>
              <w:rPr>
                <w:rFonts w:cs="宋体" w:asciiTheme="majorEastAsia" w:hAnsiTheme="majorEastAsia" w:eastAsiaTheme="majorEastAsia"/>
                <w:b/>
                <w:bCs/>
                <w:color w:val="000000"/>
                <w:sz w:val="24"/>
                <w:szCs w:val="24"/>
              </w:rPr>
            </w:pPr>
            <w:r>
              <w:rPr>
                <w:rFonts w:hint="eastAsia" w:cs="宋体" w:asciiTheme="majorEastAsia" w:hAnsiTheme="majorEastAsia" w:eastAsiaTheme="majorEastAsia"/>
                <w:b/>
                <w:bCs/>
                <w:color w:val="000000"/>
                <w:kern w:val="0"/>
                <w:sz w:val="24"/>
                <w:szCs w:val="24"/>
              </w:rPr>
              <w:t>序号</w:t>
            </w:r>
          </w:p>
        </w:tc>
        <w:tc>
          <w:tcPr>
            <w:tcW w:w="1077" w:type="dxa"/>
            <w:tcBorders>
              <w:top w:val="single" w:color="000000" w:sz="4" w:space="0"/>
              <w:left w:val="single" w:color="000000" w:sz="4" w:space="0"/>
              <w:bottom w:val="single" w:color="000000" w:sz="4" w:space="0"/>
              <w:right w:val="single" w:color="000000" w:sz="4" w:space="0"/>
            </w:tcBorders>
            <w:shd w:val="clear" w:color="auto" w:fill="DEEBF6"/>
            <w:noWrap/>
            <w:vAlign w:val="center"/>
          </w:tcPr>
          <w:p>
            <w:pPr>
              <w:widowControl/>
              <w:jc w:val="center"/>
              <w:textAlignment w:val="center"/>
              <w:rPr>
                <w:rFonts w:cs="宋体" w:asciiTheme="majorEastAsia" w:hAnsiTheme="majorEastAsia" w:eastAsiaTheme="majorEastAsia"/>
                <w:b/>
                <w:bCs/>
                <w:color w:val="000000"/>
                <w:sz w:val="24"/>
                <w:szCs w:val="24"/>
              </w:rPr>
            </w:pPr>
            <w:r>
              <w:rPr>
                <w:rFonts w:hint="eastAsia" w:cs="宋体" w:asciiTheme="majorEastAsia" w:hAnsiTheme="majorEastAsia" w:eastAsiaTheme="majorEastAsia"/>
                <w:b/>
                <w:bCs/>
                <w:color w:val="000000"/>
                <w:kern w:val="0"/>
                <w:sz w:val="24"/>
                <w:szCs w:val="24"/>
              </w:rPr>
              <w:t>类别</w:t>
            </w:r>
          </w:p>
        </w:tc>
        <w:tc>
          <w:tcPr>
            <w:tcW w:w="934" w:type="dxa"/>
            <w:tcBorders>
              <w:top w:val="single" w:color="000000" w:sz="4" w:space="0"/>
              <w:left w:val="single" w:color="000000" w:sz="4" w:space="0"/>
              <w:bottom w:val="single" w:color="000000" w:sz="4" w:space="0"/>
              <w:right w:val="single" w:color="000000" w:sz="4" w:space="0"/>
            </w:tcBorders>
            <w:shd w:val="clear" w:color="auto" w:fill="DEEBF6"/>
            <w:noWrap/>
            <w:vAlign w:val="center"/>
          </w:tcPr>
          <w:p>
            <w:pPr>
              <w:widowControl/>
              <w:jc w:val="center"/>
              <w:textAlignment w:val="center"/>
              <w:rPr>
                <w:rFonts w:cs="宋体" w:asciiTheme="majorEastAsia" w:hAnsiTheme="majorEastAsia" w:eastAsiaTheme="majorEastAsia"/>
                <w:b/>
                <w:bCs/>
                <w:color w:val="000000"/>
                <w:sz w:val="24"/>
                <w:szCs w:val="24"/>
              </w:rPr>
            </w:pPr>
            <w:r>
              <w:rPr>
                <w:rFonts w:hint="eastAsia" w:cs="宋体" w:asciiTheme="majorEastAsia" w:hAnsiTheme="majorEastAsia" w:eastAsiaTheme="majorEastAsia"/>
                <w:b/>
                <w:bCs/>
                <w:color w:val="000000"/>
                <w:kern w:val="0"/>
                <w:sz w:val="24"/>
                <w:szCs w:val="24"/>
              </w:rPr>
              <w:t>设备名称</w:t>
            </w:r>
          </w:p>
        </w:tc>
        <w:tc>
          <w:tcPr>
            <w:tcW w:w="567" w:type="dxa"/>
            <w:tcBorders>
              <w:top w:val="single" w:color="000000" w:sz="4" w:space="0"/>
              <w:left w:val="single" w:color="000000" w:sz="4" w:space="0"/>
              <w:bottom w:val="single" w:color="000000" w:sz="4" w:space="0"/>
              <w:right w:val="single" w:color="000000" w:sz="4" w:space="0"/>
            </w:tcBorders>
            <w:shd w:val="clear" w:color="auto" w:fill="DEEBF6"/>
            <w:noWrap/>
            <w:vAlign w:val="center"/>
          </w:tcPr>
          <w:p>
            <w:pPr>
              <w:widowControl/>
              <w:jc w:val="center"/>
              <w:textAlignment w:val="center"/>
              <w:rPr>
                <w:rFonts w:cs="宋体" w:asciiTheme="majorEastAsia" w:hAnsiTheme="majorEastAsia" w:eastAsiaTheme="majorEastAsia"/>
                <w:b/>
                <w:bCs/>
                <w:color w:val="000000"/>
                <w:sz w:val="24"/>
                <w:szCs w:val="24"/>
              </w:rPr>
            </w:pPr>
            <w:r>
              <w:rPr>
                <w:rFonts w:hint="eastAsia" w:cs="宋体" w:asciiTheme="majorEastAsia" w:hAnsiTheme="majorEastAsia" w:eastAsiaTheme="majorEastAsia"/>
                <w:b/>
                <w:bCs/>
                <w:color w:val="000000"/>
                <w:kern w:val="0"/>
                <w:sz w:val="24"/>
                <w:szCs w:val="24"/>
              </w:rPr>
              <w:t>数量</w:t>
            </w:r>
          </w:p>
        </w:tc>
        <w:tc>
          <w:tcPr>
            <w:tcW w:w="850" w:type="dxa"/>
            <w:tcBorders>
              <w:top w:val="single" w:color="000000" w:sz="4" w:space="0"/>
              <w:left w:val="single" w:color="000000" w:sz="4" w:space="0"/>
              <w:bottom w:val="single" w:color="000000" w:sz="4" w:space="0"/>
              <w:right w:val="single" w:color="000000" w:sz="4" w:space="0"/>
            </w:tcBorders>
            <w:shd w:val="clear" w:color="auto" w:fill="DEEBF6"/>
            <w:noWrap/>
            <w:vAlign w:val="center"/>
          </w:tcPr>
          <w:p>
            <w:pPr>
              <w:widowControl/>
              <w:jc w:val="center"/>
              <w:textAlignment w:val="center"/>
              <w:rPr>
                <w:rFonts w:cs="宋体" w:asciiTheme="majorEastAsia" w:hAnsiTheme="majorEastAsia" w:eastAsiaTheme="majorEastAsia"/>
                <w:b/>
                <w:bCs/>
                <w:color w:val="000000"/>
                <w:sz w:val="24"/>
                <w:szCs w:val="24"/>
              </w:rPr>
            </w:pPr>
            <w:r>
              <w:rPr>
                <w:rFonts w:hint="eastAsia" w:cs="宋体" w:asciiTheme="majorEastAsia" w:hAnsiTheme="majorEastAsia" w:eastAsiaTheme="majorEastAsia"/>
                <w:b/>
                <w:bCs/>
                <w:color w:val="000000"/>
                <w:kern w:val="0"/>
                <w:sz w:val="24"/>
                <w:szCs w:val="24"/>
              </w:rPr>
              <w:t>单位</w:t>
            </w:r>
          </w:p>
        </w:tc>
        <w:tc>
          <w:tcPr>
            <w:tcW w:w="709" w:type="dxa"/>
            <w:tcBorders>
              <w:top w:val="single" w:color="000000" w:sz="4" w:space="0"/>
              <w:left w:val="single" w:color="000000" w:sz="4" w:space="0"/>
              <w:bottom w:val="single" w:color="000000" w:sz="4" w:space="0"/>
              <w:right w:val="single" w:color="000000" w:sz="4" w:space="0"/>
            </w:tcBorders>
            <w:shd w:val="clear" w:color="auto" w:fill="DEEBF6"/>
            <w:noWrap/>
            <w:vAlign w:val="center"/>
          </w:tcPr>
          <w:p>
            <w:pPr>
              <w:widowControl/>
              <w:jc w:val="center"/>
              <w:textAlignment w:val="center"/>
              <w:rPr>
                <w:rFonts w:cs="宋体" w:asciiTheme="majorEastAsia" w:hAnsiTheme="majorEastAsia" w:eastAsiaTheme="majorEastAsia"/>
                <w:b/>
                <w:bCs/>
                <w:color w:val="000000"/>
                <w:sz w:val="24"/>
                <w:szCs w:val="24"/>
              </w:rPr>
            </w:pPr>
            <w:r>
              <w:rPr>
                <w:rFonts w:hint="eastAsia" w:cs="宋体" w:asciiTheme="majorEastAsia" w:hAnsiTheme="majorEastAsia" w:eastAsiaTheme="majorEastAsia"/>
                <w:b/>
                <w:bCs/>
                <w:color w:val="000000"/>
                <w:kern w:val="0"/>
                <w:sz w:val="24"/>
                <w:szCs w:val="24"/>
              </w:rPr>
              <w:t>课程</w:t>
            </w:r>
          </w:p>
        </w:tc>
        <w:tc>
          <w:tcPr>
            <w:tcW w:w="4890" w:type="dxa"/>
            <w:tcBorders>
              <w:top w:val="single" w:color="000000" w:sz="4" w:space="0"/>
              <w:left w:val="single" w:color="000000" w:sz="4" w:space="0"/>
              <w:bottom w:val="single" w:color="000000" w:sz="4" w:space="0"/>
              <w:right w:val="single" w:color="000000" w:sz="4" w:space="0"/>
            </w:tcBorders>
            <w:shd w:val="clear" w:color="auto" w:fill="DEEBF6"/>
            <w:noWrap/>
            <w:vAlign w:val="center"/>
          </w:tcPr>
          <w:p>
            <w:pPr>
              <w:widowControl/>
              <w:jc w:val="center"/>
              <w:textAlignment w:val="center"/>
              <w:rPr>
                <w:rFonts w:cs="宋体" w:asciiTheme="majorEastAsia" w:hAnsiTheme="majorEastAsia" w:eastAsiaTheme="majorEastAsia"/>
                <w:b/>
                <w:bCs/>
                <w:color w:val="000000"/>
                <w:sz w:val="24"/>
                <w:szCs w:val="24"/>
              </w:rPr>
            </w:pPr>
            <w:r>
              <w:rPr>
                <w:rFonts w:hint="eastAsia" w:cs="宋体" w:asciiTheme="majorEastAsia" w:hAnsiTheme="majorEastAsia" w:eastAsiaTheme="majorEastAsia"/>
                <w:b/>
                <w:bCs/>
                <w:color w:val="000000"/>
                <w:kern w:val="0"/>
                <w:sz w:val="24"/>
                <w:szCs w:val="24"/>
              </w:rPr>
              <w:t>参数</w:t>
            </w:r>
          </w:p>
        </w:tc>
      </w:tr>
      <w:tr>
        <w:tblPrEx>
          <w:tblCellMar>
            <w:top w:w="0" w:type="dxa"/>
            <w:left w:w="108" w:type="dxa"/>
            <w:bottom w:w="0" w:type="dxa"/>
            <w:right w:w="108" w:type="dxa"/>
          </w:tblCellMar>
        </w:tblPrEx>
        <w:trPr>
          <w:trHeight w:val="2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录播设备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互动终端</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cs="宋体" w:asciiTheme="majorEastAsia" w:hAnsiTheme="majorEastAsia" w:eastAsiaTheme="majorEastAsia"/>
                <w:color w:val="000000"/>
                <w:sz w:val="24"/>
                <w:szCs w:val="24"/>
              </w:rPr>
            </w:pPr>
          </w:p>
        </w:tc>
        <w:tc>
          <w:tcPr>
            <w:tcW w:w="4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1、支持19英寸机架安装，采用嵌入式操作系统、非PC架构，产品稳定可靠，支持7×24小时开机运行。</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2、具备1个HDMI输入接口和1个HDMI输出接口；2个XLR/大三芯平衡输入接口，1组RCA输入接口，1组RCA输出接口；支持2.4G/5G WiFi无线接入。</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3、最高支持1080P超高清视频处理能力，支持SVC分层编解码协议；支持G.711、G.722、OPUS通用音频协议，支持语音优化：回声消除、自动降噪、自动增益控制、自动增强、突出人声，支持唇音同步技术。                                                                 4、支持拍摄教师、学生、板书、课件等画面，画面可自动切换；听课端支持双屏画面输出，同时显示授课老师和分享课件的画面；授课端可对多画面模式进行手动调整，如只显示授课教室全景画面、特写画面、课件分享画面；多方互动教研场景，支持双屏画面输出，同时显示主讲人、内容分享画面。</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4、课件内容通过无线传屏器可支持无线传输，无需连接线缆，将教学电脑桌面内容进行分享，内容分享支持1080P、720P等多种分辨率，适应不同教学电脑的桌面分辨率。                                                                                                      5、支持录制视频的快速分享、回看功能，能通过微信、微博、互联网链接、邮件等不同方式进行便利分享；</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6、 支持课程、教研等活动日程提醒功能，能够自动同步约课、排课、教研安排等信息，并显示在课程表上，实现自动上课或手动一键上课；</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7、授课端可设置课堂密码，防止不相干人员进入课堂；授课老师可锁定课堂，锁定后，任何人不得加入课堂。授课端可对听课端的发言权限进行控制，老师可对任意听课终端进行手动静音、取消静音，避免互动教学课堂过于嘈杂。</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8、支持教学助手操控，可在教学平板、教学一体机上安装教学助手，通过教学平板、教学一体机，对互动终端进行触控操作；(提供教学助手软件截图)</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9、支持网络抗丢包算法，在丢包率30%的情况下能保证视频流畅传输，帧率不低于25帧/秒，在网络丢包率50%的情况下，声音清楚连贯,语音质量评测值MOS_LQO不低于3；丢包率80%时，语义依然可理解,语音质量评测值MOS_LQO不低于2.7（提供权威机构检测报告复印件）。</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10、终端支持与PC、PAD、手机等各类终端或微信进行互动，使互动课堂不局限于教室内的应用，还能实现不同空间的多元联通，如实现学校和家庭、学校和社区、学校和社会环境之间的联通。                                                                             11、终端支持3个软件客户端免费接入课堂，通过购买云服务可无限增加接入点。</w:t>
            </w:r>
          </w:p>
        </w:tc>
      </w:tr>
      <w:tr>
        <w:tblPrEx>
          <w:tblCellMar>
            <w:top w:w="0" w:type="dxa"/>
            <w:left w:w="108" w:type="dxa"/>
            <w:bottom w:w="0" w:type="dxa"/>
            <w:right w:w="108" w:type="dxa"/>
          </w:tblCellMar>
        </w:tblPrEx>
        <w:trPr>
          <w:trHeight w:val="2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2</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asciiTheme="majorEastAsia" w:hAnsiTheme="majorEastAsia" w:eastAsiaTheme="majorEastAsia"/>
                <w:color w:val="000000"/>
                <w:sz w:val="24"/>
                <w:szCs w:val="24"/>
              </w:rPr>
            </w:pP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互动终端云服务</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3</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年</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cs="宋体" w:asciiTheme="majorEastAsia" w:hAnsiTheme="majorEastAsia" w:eastAsiaTheme="majorEastAsia"/>
                <w:color w:val="000000"/>
                <w:sz w:val="24"/>
                <w:szCs w:val="24"/>
              </w:rPr>
            </w:pPr>
          </w:p>
        </w:tc>
        <w:tc>
          <w:tcPr>
            <w:tcW w:w="4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系统架构                                                                                                                 1) 采用先进云计算技术，基于x86通用服务器虚拟化部署，支持大规模服务器集群，保障平台计算性能、处理能力、扩展能力；</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2) 支持VMWare虚拟化部署，支持新型容器虚拟化部署；</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 xml:space="preserve">3) 支持负载均衡、自动迁移、分布式计算等智能化技术，保障平台的运行效率、稳定性和可靠性； </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4) 为了保证未来业务扩容，需提供不少于10000个应用节点并发接入，支持无限弹性扩容。（要求提供大规模并发接入案例证明）</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音视频能力</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1) 最高可支持4K超高清视频处理能力；</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2) 支持H.265高级编码协议，能在有限带宽下传输高质量网络视频；</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3) 支持SVC分层编解码协议，能适应不同带宽、不同设备能力、不同设备组网需求；</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4) 支持G.711、G.722、OPUS通用音频协议，支持48K采样率的全带音频；</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5) 为满足高品质互动体验，音视频发送端与接收端的延时不超过400ms</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 xml:space="preserve">网络适应性 </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1) 平台需支持跨网络连接，同时满足电信、移动、联通、教育网等不同网络终端设备的高速互联，平台机房不少于6线BGP网络接入；</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 xml:space="preserve">2) 云平台应具有多个接入节点，支持终端从就近节点接入，实现跨区域高速互联； </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 xml:space="preserve">3) 为满足3G/4G移动网络环境或偏远地区网络条件不好的用户接入，平台需支持低带宽呼叫速率，支持64Kbps带宽下进行呼叫； </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4) 在多方音视频互联中，平台可根据实际网络变化，自动动态调整互联带宽；</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5) 支持网络抗丢包算法，在丢包率30%的情况下能保证视频流畅传输，帧率不低于25帧/秒。（并提供权威机构检测报告以证明）</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6) 在网络丢包率50%的情况下，声音清楚连贯,语音质量评测值MOS_LQO不低于3；丢包率80%时，语义依然可理解,语音质量评测值MOS_LQO不低于2.7。（并提供权威机构检测报告以证明）</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7) 对于网络不稳定的终端接入，支持将终端从视频互联转换为语音接入；</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8) 提供防火墙穿越能力，TCP端口不高于2个，UDP端口不高于1个；</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 xml:space="preserve">系统可靠性 </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1) 支持集群式媒体资源池服务，媒体服务应支持自动负载均衡、异地多活；</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2) 为了保障教学业务的稳定可靠，任意服务器故障，都能自动切换到备用服务器，实现业务自动迁移，切换时间不大于5秒；</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3) 技术、产品、方案经过互联网公有云平台（阿里云、腾讯云、百度云、亚马逊云等）条件下大规模部署验证、运营和用户规模不低于30万，运营和使用时间不低于3年；（须提供原厂商运营后台业务数据统计证明）</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 xml:space="preserve"> 应用服务                                                           </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1) 支持与视频监控系统融合对接，实现对学校巡视督导、应急指挥；</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2) 支持个人电脑、手机平台移动接入，随时随地开展远程培训、互动教研、活动直播、会议会商等业务；</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3) 平台具备超大规模直播服务能力，无需通过第三方平台，可支持百万级观众同时在线观看；(需提供产品截图并加盖厂商公章)</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4) 平台具备音视频录制功能，对互动教学、远程培训、教研讨论、会议会商过程根据需要进行录制；录制文件可保存在平台或本地；</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5) 具备录制文件的快速分享、回看功能，能通过微信、微博、web链接、邮件等不同方式进行便利分享，广大老师、学生、家长可通过电脑浏览器、手机浏览器、微信app等常用方式进行观看；(需提供产品截图)</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6) 可提供在线答题功能，参与听课、培训的人员可以直接在系统上进行答题操作，系统自动统计答题结果；(需提供产品截图)</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7) 可提供在线签到功能，开展远程培训、教学研讨、会议会商等业务时，无需各单位、学校人工点名签到，通过系统可实现在线统计参与人员情况；(需提供产品截图)</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8) 支持版本更新服务，平台的运营由厂商保障，保持平台版本持续更新；平台可向接入终端设备推送最新的终端版本；                                                                          系统管理                                                                                                                   1) 平台支持分级、分组管理功能，各个学校能管理各自的终端设备和教学安排，管理部门能管理所有学校的终端设备及管理账号；</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2) 平台提供统一通讯录服务，终端入网更新后，通讯录自动更新下发到所有终端侧，方便系统内部老师、管理人员自主组织互动教学、直播录播、远程培训、会议会商；</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3) 支持业务管理功能，如预约课程、1+N结对课程、编辑课程信息、预约活动直播、发起互动研讨等，可对当前系统状态监测、课程记录查询、课程数据统计汇总等；</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4) 具备多种控制功能，如锁定课堂、听课端点名、多画面设置、静音闭音操作、添加删除终端等；</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5) 提供统计报表：报表内容包含Log日志，业务信息统计、设备状态统计；</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6）为每台互动终端提供100G云存储空间，可随时扩容。</w:t>
            </w:r>
          </w:p>
        </w:tc>
      </w:tr>
      <w:tr>
        <w:tblPrEx>
          <w:tblCellMar>
            <w:top w:w="0" w:type="dxa"/>
            <w:left w:w="108" w:type="dxa"/>
            <w:bottom w:w="0" w:type="dxa"/>
            <w:right w:w="108" w:type="dxa"/>
          </w:tblCellMar>
        </w:tblPrEx>
        <w:trPr>
          <w:trHeight w:val="2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3</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asciiTheme="majorEastAsia" w:hAnsiTheme="majorEastAsia" w:eastAsiaTheme="majorEastAsia"/>
                <w:color w:val="000000"/>
                <w:sz w:val="24"/>
                <w:szCs w:val="24"/>
              </w:rPr>
            </w:pP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高清摄像机（含三脚架）</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cs="宋体" w:asciiTheme="majorEastAsia" w:hAnsiTheme="majorEastAsia" w:eastAsiaTheme="majorEastAsia"/>
                <w:color w:val="000000"/>
                <w:sz w:val="24"/>
                <w:szCs w:val="24"/>
              </w:rPr>
            </w:pPr>
          </w:p>
        </w:tc>
        <w:tc>
          <w:tcPr>
            <w:tcW w:w="4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1、视频输出接口：HDMI*1</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2、传感器类型：CMOS、1/2.7英寸</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3、传感器像素：有效像素：207万</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4、变焦倍数：12倍光学变焦</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5、水平视场角：72.5° ~ 6.9°，垂直视场角：44.8° ~ 3.9°</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6、水平转动范围：±170°，垂直转动范围：±30°，水平转动速度范围：1.7° ~ 100°/s，垂直转动速度范围：0.7° ~ 28°/s</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7、预置位数量：255</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8、通讯接口：RS232、RS485</w:t>
            </w:r>
          </w:p>
        </w:tc>
      </w:tr>
      <w:tr>
        <w:tblPrEx>
          <w:tblCellMar>
            <w:top w:w="0" w:type="dxa"/>
            <w:left w:w="108" w:type="dxa"/>
            <w:bottom w:w="0" w:type="dxa"/>
            <w:right w:w="108" w:type="dxa"/>
          </w:tblCellMar>
        </w:tblPrEx>
        <w:trPr>
          <w:trHeight w:val="2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4</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asciiTheme="majorEastAsia" w:hAnsiTheme="majorEastAsia" w:eastAsiaTheme="majorEastAsia"/>
                <w:color w:val="000000"/>
                <w:sz w:val="24"/>
                <w:szCs w:val="24"/>
              </w:rPr>
            </w:pP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无线投屏器</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cs="宋体" w:asciiTheme="majorEastAsia" w:hAnsiTheme="majorEastAsia" w:eastAsiaTheme="majorEastAsia"/>
                <w:color w:val="000000"/>
                <w:sz w:val="24"/>
                <w:szCs w:val="24"/>
              </w:rPr>
            </w:pP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本地传屏与会议中传屏的无线传屏器，配合智能视频终端的无线连接，可将电脑屏幕传至终端大屏上显示，实现内容共享。数据接口：usb2.0*1，按键接口：传屏按键*1，操作频率：5.8Ghz，传输延时：≤100ms，视频帧率：1080P/15fps-30fps；支持操作系统：win7/8/10，Mac OS X 10.9及以上</w:t>
            </w:r>
          </w:p>
        </w:tc>
      </w:tr>
      <w:tr>
        <w:tblPrEx>
          <w:tblCellMar>
            <w:top w:w="0" w:type="dxa"/>
            <w:left w:w="108" w:type="dxa"/>
            <w:bottom w:w="0" w:type="dxa"/>
            <w:right w:w="108" w:type="dxa"/>
          </w:tblCellMar>
        </w:tblPrEx>
        <w:trPr>
          <w:trHeight w:val="2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5</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asciiTheme="majorEastAsia" w:hAnsiTheme="majorEastAsia" w:eastAsiaTheme="majorEastAsia"/>
                <w:color w:val="000000"/>
                <w:sz w:val="24"/>
                <w:szCs w:val="24"/>
              </w:rPr>
            </w:pP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全向麦克风</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cs="宋体" w:asciiTheme="majorEastAsia" w:hAnsiTheme="majorEastAsia" w:eastAsiaTheme="majorEastAsia"/>
                <w:color w:val="000000"/>
                <w:sz w:val="24"/>
                <w:szCs w:val="24"/>
              </w:rPr>
            </w:pP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频率响应: 48Hz-16kHz、灵敏度: -36.5dB±2.5dB (0dB=1V/Pa at 1kHz)、输出阻抗: 100Ω±30% (at 1kHz)、等效噪声级: ≤26dB A (IEC 581-5)、声压级: 130dB (THD ≤1.0％ at 1kHz)、低频衰减开关：80Hz 10dB/倍频、使用电压: 9-52V幻像电源 、拾音距离：8米</w:t>
            </w:r>
          </w:p>
        </w:tc>
      </w:tr>
      <w:tr>
        <w:tblPrEx>
          <w:tblCellMar>
            <w:top w:w="0" w:type="dxa"/>
            <w:left w:w="108" w:type="dxa"/>
            <w:bottom w:w="0" w:type="dxa"/>
            <w:right w:w="108" w:type="dxa"/>
          </w:tblCellMar>
        </w:tblPrEx>
        <w:trPr>
          <w:trHeight w:val="2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6</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asciiTheme="majorEastAsia" w:hAnsiTheme="majorEastAsia" w:eastAsiaTheme="majorEastAsia"/>
                <w:color w:val="000000"/>
                <w:sz w:val="24"/>
                <w:szCs w:val="24"/>
              </w:rPr>
            </w:pP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空间大脑</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cs="宋体" w:asciiTheme="majorEastAsia" w:hAnsiTheme="majorEastAsia" w:eastAsiaTheme="majorEastAsia"/>
                <w:color w:val="000000"/>
                <w:sz w:val="24"/>
                <w:szCs w:val="24"/>
              </w:rPr>
            </w:pP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1、具有空间融通功能，和之江汇无缝对接，教师在教学空间通过微信扫码绑定之江汇帐号后，可一键登录到之江汇个人空间,调取相关资源，可通过按键一键上传教学数据或资源到空间内；</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2、具有“显示课堂码”虚拟按键：快速调出本次课堂的空间二维码，学生扫码后进入微信公众号，可以进行笔记截图、浏览亮点笔记等；</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3、具有随堂微课虚拟按键：点击即可开启点、难点、题目知识讲解模式，采集课件、语音、板书内容，自动形成在线微课；</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4、具有“提问墙”虚拟按键：加入课堂的所有学生可以通过微信公众号在“提问墙”内提出问题，可以对问题进行文字描述并可以附加图片，老师打开软件提问墙模块可以看到学生提出的所有问题。</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5、具有“同步板书”虚拟按键，可对接互联黑板，点击即可实现同步课堂异地课堂板书同步、点评功能。</w:t>
            </w:r>
          </w:p>
        </w:tc>
      </w:tr>
      <w:tr>
        <w:tblPrEx>
          <w:tblCellMar>
            <w:top w:w="0" w:type="dxa"/>
            <w:left w:w="108" w:type="dxa"/>
            <w:bottom w:w="0" w:type="dxa"/>
            <w:right w:w="108" w:type="dxa"/>
          </w:tblCellMar>
        </w:tblPrEx>
        <w:trPr>
          <w:trHeight w:val="2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7</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asciiTheme="majorEastAsia" w:hAnsiTheme="majorEastAsia" w:eastAsiaTheme="majorEastAsia"/>
                <w:color w:val="000000"/>
                <w:sz w:val="24"/>
                <w:szCs w:val="24"/>
              </w:rPr>
            </w:pP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电子班牌</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cs="宋体" w:asciiTheme="majorEastAsia" w:hAnsiTheme="majorEastAsia" w:eastAsiaTheme="majorEastAsia"/>
                <w:color w:val="000000"/>
                <w:sz w:val="24"/>
                <w:szCs w:val="24"/>
              </w:rPr>
            </w:pP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一、硬件参数</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 xml:space="preserve">1.CPU RK3288 4核 1.8G处理器 </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2.2GB内存 16GB存储</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3.显示尺寸≥21.5"，LED 背光源液晶显示屏；</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4.显示比例16:9；</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5.屏体亮度≥450cd/m²；</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6.屏体对比度：4000:1；</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7.物理解析度:高清 1920*1080；</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8.屏体级别:A 规屏；</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9.工作电压:12V/5A；</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10.触摸方式: 十点电容触摸；</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11.安装方式:壁挂；</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12.功耗：标准＜45W，待机≤0.5W；</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13.色彩度:8bit；</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14.最大可视角度≥178 度；</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 xml:space="preserve">15.内置摄像头 ≥ 500万像素 </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16.内置摄像头的水平视角DFOV ≥ 95°，无畸变</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 xml:space="preserve">17.内置摄像头清晰度 中心线 ≥ 1100线 </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18.寿命 (typ)/(min)  ≥ 100,000 hrs (min.)；</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19.图片格式支持：支持 BMP、JPEG、PNG、GIF ；视频格式：支持AVI（H.264、DIVX、DIVX、XVID）, rm，rmvb， MKV（H.264、DIVX、DIVX、XVID），WMV，MOV，MP4（.H.264、MPEG、DIVX、 XVID），DAT（VCD 格式），VOB（DVD 格式），PMP,MPEG，.MPG,， FLV（H.263，H.264），ASF，TS， TP，3GP，MPG 等 30 种 格式以上；音频格式：MP3,WMA,WAV, APE, FLAC, AAC,OGG,M4A,3GPP 格式；</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20.支持全向麦克；</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21.班牌主体采用铸铝工艺，抗撞、抗划、抗腐蚀；</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22.表面无尖锐边缘或凸起,保证师生安全使用；</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23.LED 背光源采用 A 规液晶屏，屏幕表面采用 2mm 厚度钢化玻璃，防划防撞；要求钢化玻璃可见光透射比不低于 92%；钢化玻璃表面处理：AG处理；</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24.支持左右声道输出, 内置双通道 4Ω3W 功放；</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25.后置输出接口具备 1 路DC IN，1 路网口，2路 USB 2.0；</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26.内嵌式左右滑板设计 保障USB接口的安全性。</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27.Wifi 网口控制，可远程开关机，定时开关机；</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28.整机尺寸：530L*355W*26V （mm）；</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二、软件功能</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1.系统深度定制，无法随意跳出当前播放节目；</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2.支持远程统一升级，升级完成自动返回节目播放界面；</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3.支持竖屏节目及横屏节目，支持任意分割画面播放，可分区展示图片、视频、文字、时间、天气、班级圈、第三方内容等各类显示信息；</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4.无网络或网络状态较差时，支持单机播放，提供模板，可单机发布图片、视频轮播，可设置U盘节目里图片轮播间隔；</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5.实时数据显示，时间、天气、倒计时；</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6.班级圈可在终端点击放大并滑动，无触摸自动返回节目主页；</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7.终端播放互动节目，可通过手势滑动或控件，可快速切换到视频、图片、场景或网页；</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8.可实现第三方对接数据内容的显示，各班级电子班牌自动获取课表、考勤信息等；</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9.支持节目APK资源展示；</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10.支持通过刷卡或账号密码登录个人中心；</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11.可通过个人中心对接第三方系统数据，如一卡通消费、图书借阅、家长留言等内容；</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12.为保证终端设备显示内容的安全，终端提供USB接口密码保护；</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13.节目过期或无效支持自动清除；</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14.支持任意分割画面播放，可分区展示图片、视频、文字、时间、天气、班级圈、对接第三方内容等各类显示信息</w:t>
            </w:r>
          </w:p>
        </w:tc>
      </w:tr>
      <w:tr>
        <w:tblPrEx>
          <w:tblCellMar>
            <w:top w:w="0" w:type="dxa"/>
            <w:left w:w="108" w:type="dxa"/>
            <w:bottom w:w="0" w:type="dxa"/>
            <w:right w:w="108" w:type="dxa"/>
          </w:tblCellMar>
        </w:tblPrEx>
        <w:trPr>
          <w:trHeight w:val="2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8</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教学设备</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小车整备箱</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神奇的AI小车</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套件内有上396个积木件。学生通过模型来预测、观察、调整、记录各项指标，直接体验到力、能量、磁性等知识。</w:t>
            </w:r>
          </w:p>
          <w:p>
            <w:pPr>
              <w:widowControl/>
              <w:jc w:val="left"/>
              <w:textAlignment w:val="center"/>
            </w:pPr>
            <w:r>
              <w:rPr>
                <w:rFonts w:hint="eastAsia" w:cs="宋体" w:asciiTheme="majorEastAsia" w:hAnsiTheme="majorEastAsia" w:eastAsiaTheme="majorEastAsia"/>
                <w:color w:val="000000"/>
                <w:kern w:val="0"/>
                <w:sz w:val="24"/>
                <w:szCs w:val="24"/>
              </w:rPr>
              <w:t>★每套设备配套纸质教材1本，内容涵盖不少于12个STEAM实验项目。</w:t>
            </w:r>
            <w:r>
              <w:rPr>
                <w:rFonts w:hint="eastAsia" w:ascii="宋体" w:hAnsi="宋体" w:eastAsia="宋体" w:cs="宋体"/>
                <w:kern w:val="0"/>
                <w:sz w:val="24"/>
                <w:szCs w:val="24"/>
              </w:rPr>
              <w:t>（</w:t>
            </w:r>
            <w:r>
              <w:rPr>
                <w:rFonts w:ascii="宋体" w:hAnsi="宋体" w:eastAsia="宋体" w:cs="宋体"/>
                <w:kern w:val="0"/>
                <w:sz w:val="24"/>
                <w:szCs w:val="24"/>
              </w:rPr>
              <w:t>投标时提供教材封</w:t>
            </w:r>
            <w:r>
              <w:rPr>
                <w:rFonts w:hint="eastAsia" w:ascii="宋体" w:hAnsi="宋体" w:eastAsia="宋体" w:cs="宋体"/>
                <w:kern w:val="0"/>
                <w:sz w:val="24"/>
                <w:szCs w:val="24"/>
              </w:rPr>
              <w:t>面、目录、封底截图）</w:t>
            </w:r>
          </w:p>
        </w:tc>
      </w:tr>
      <w:tr>
        <w:tblPrEx>
          <w:tblCellMar>
            <w:top w:w="0" w:type="dxa"/>
            <w:left w:w="108" w:type="dxa"/>
            <w:bottom w:w="0" w:type="dxa"/>
            <w:right w:w="108" w:type="dxa"/>
          </w:tblCellMar>
        </w:tblPrEx>
        <w:trPr>
          <w:trHeight w:val="2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9</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asciiTheme="majorEastAsia" w:hAnsiTheme="majorEastAsia" w:eastAsiaTheme="majorEastAsia"/>
                <w:color w:val="000000"/>
                <w:sz w:val="24"/>
                <w:szCs w:val="24"/>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科学创意实验箱</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开物小工匠</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内含16个科学小实验模型，涉及力和运动（奔跑的毛刷、水中火箭、自制千斤顶、神奇的漩涡、简易变速箱），电和磁（旋风悬球、会跑的吸管、自制电磁铁、小小发电机、隔空传力），声和光（魔幻无底洞、旋转彩灯、变声小喇叭），热和能（自制温度计、威猛空气炮、吹气吸球）等STEAM项目。</w:t>
            </w:r>
            <w:r>
              <w:rPr>
                <w:rFonts w:hint="eastAsia" w:cs="宋体" w:asciiTheme="majorEastAsia" w:hAnsiTheme="majorEastAsia" w:eastAsiaTheme="majorEastAsia"/>
                <w:kern w:val="0"/>
                <w:sz w:val="24"/>
              </w:rPr>
              <w:br w:type="textWrapping"/>
            </w:r>
            <w:r>
              <w:rPr>
                <w:rFonts w:hint="eastAsia" w:cs="宋体" w:asciiTheme="majorEastAsia" w:hAnsiTheme="majorEastAsia" w:eastAsiaTheme="majorEastAsia"/>
                <w:color w:val="000000"/>
                <w:kern w:val="0"/>
                <w:sz w:val="24"/>
              </w:rPr>
              <w:t>★</w:t>
            </w:r>
            <w:r>
              <w:rPr>
                <w:rFonts w:hint="eastAsia" w:cs="宋体" w:asciiTheme="majorEastAsia" w:hAnsiTheme="majorEastAsia" w:eastAsiaTheme="majorEastAsia"/>
                <w:kern w:val="0"/>
                <w:sz w:val="24"/>
              </w:rPr>
              <w:t>2.每套器材配有</w:t>
            </w:r>
            <w:r>
              <w:rPr>
                <w:rFonts w:cs="宋体" w:asciiTheme="majorEastAsia" w:hAnsiTheme="majorEastAsia" w:eastAsiaTheme="majorEastAsia"/>
                <w:kern w:val="0"/>
                <w:sz w:val="24"/>
              </w:rPr>
              <w:t>纸质</w:t>
            </w:r>
            <w:r>
              <w:rPr>
                <w:rFonts w:hint="eastAsia" w:cs="宋体" w:asciiTheme="majorEastAsia" w:hAnsiTheme="majorEastAsia" w:eastAsiaTheme="majorEastAsia"/>
                <w:kern w:val="0"/>
                <w:sz w:val="24"/>
              </w:rPr>
              <w:t>配套教材1本，内容涵盖不少于16个科学实验项目。（</w:t>
            </w:r>
            <w:r>
              <w:rPr>
                <w:rFonts w:cs="宋体" w:asciiTheme="majorEastAsia" w:hAnsiTheme="majorEastAsia" w:eastAsiaTheme="majorEastAsia"/>
                <w:kern w:val="0"/>
                <w:sz w:val="24"/>
              </w:rPr>
              <w:t>投标时提供教材封</w:t>
            </w:r>
            <w:r>
              <w:rPr>
                <w:rFonts w:hint="eastAsia" w:cs="宋体" w:asciiTheme="majorEastAsia" w:hAnsiTheme="majorEastAsia" w:eastAsiaTheme="majorEastAsia"/>
                <w:kern w:val="0"/>
                <w:sz w:val="24"/>
              </w:rPr>
              <w:t>面、目录、封底截图）。提供样品演示。</w:t>
            </w:r>
          </w:p>
        </w:tc>
      </w:tr>
      <w:tr>
        <w:tblPrEx>
          <w:tblCellMar>
            <w:top w:w="0" w:type="dxa"/>
            <w:left w:w="108" w:type="dxa"/>
            <w:bottom w:w="0" w:type="dxa"/>
            <w:right w:w="108" w:type="dxa"/>
          </w:tblCellMar>
        </w:tblPrEx>
        <w:trPr>
          <w:trHeight w:val="2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10</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造物竞赛设备</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小尺寸3D打印机</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2</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台</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创意造物</w:t>
            </w:r>
          </w:p>
        </w:tc>
        <w:tc>
          <w:tcPr>
            <w:tcW w:w="4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打印尺寸：220*220*250mm</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机器尺寸：440*410*465mm</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成型技术：FDM熔融沉积成型</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喷嘴数量：1个</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厚层：0.1mm-0.4mm</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XY轴定位精度：0.012mm</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打印方式：联机或TF卡脱机</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操作界面：中文/英文</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支持格式：STL/OBJ/AMF</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切片软件：Cura/Repeiter-Host/Simplify3D</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电脑操作系统：Win/XP/Mac/Linux/Vista</w:t>
            </w:r>
          </w:p>
        </w:tc>
      </w:tr>
      <w:tr>
        <w:tblPrEx>
          <w:tblCellMar>
            <w:top w:w="0" w:type="dxa"/>
            <w:left w:w="108" w:type="dxa"/>
            <w:bottom w:w="0" w:type="dxa"/>
            <w:right w:w="108" w:type="dxa"/>
          </w:tblCellMar>
        </w:tblPrEx>
        <w:trPr>
          <w:trHeight w:val="2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11</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asciiTheme="majorEastAsia" w:hAnsiTheme="majorEastAsia" w:eastAsiaTheme="majorEastAsia"/>
                <w:color w:val="000000"/>
                <w:sz w:val="24"/>
                <w:szCs w:val="24"/>
              </w:rPr>
            </w:pP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3D打印耗材</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16</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卷</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cs="宋体" w:asciiTheme="majorEastAsia" w:hAnsiTheme="majorEastAsia" w:eastAsiaTheme="majorEastAsia"/>
                <w:color w:val="000000"/>
                <w:sz w:val="24"/>
                <w:szCs w:val="24"/>
              </w:rPr>
            </w:pPr>
          </w:p>
        </w:tc>
        <w:tc>
          <w:tcPr>
            <w:tcW w:w="4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3D打印耗材PLA</w:t>
            </w:r>
          </w:p>
        </w:tc>
      </w:tr>
      <w:tr>
        <w:tblPrEx>
          <w:tblCellMar>
            <w:top w:w="0" w:type="dxa"/>
            <w:left w:w="108" w:type="dxa"/>
            <w:bottom w:w="0" w:type="dxa"/>
            <w:right w:w="108" w:type="dxa"/>
          </w:tblCellMar>
        </w:tblPrEx>
        <w:trPr>
          <w:trHeight w:val="2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12</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asciiTheme="majorEastAsia" w:hAnsiTheme="majorEastAsia" w:eastAsiaTheme="majorEastAsia"/>
                <w:color w:val="000000"/>
                <w:sz w:val="24"/>
                <w:szCs w:val="24"/>
              </w:rPr>
            </w:pP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激光雕刻机</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台</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cs="宋体" w:asciiTheme="majorEastAsia" w:hAnsiTheme="majorEastAsia" w:eastAsiaTheme="majorEastAsia"/>
                <w:color w:val="000000"/>
                <w:sz w:val="24"/>
                <w:szCs w:val="24"/>
              </w:rPr>
            </w:pPr>
          </w:p>
        </w:tc>
        <w:tc>
          <w:tcPr>
            <w:tcW w:w="4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控制主板：睿达脱机</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驱动：内置驱动</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 xml:space="preserve">激光功率：80W </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 xml:space="preserve">工作幅面:400mmx600mm </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制冷方式：水循环</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吹气保护：有</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红光定位：有</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断水保护：有</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 xml:space="preserve">定位精度：0.1mm </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雕刻深度：≤2mm（视材质而定）</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切割厚度：≤20mm（视材质而定）</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通讯接口：USB/U盘</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 xml:space="preserve">支持系统：windowsXP/7/8/10 </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支持格式:BMP,PLT,AI,CDR,DXF等</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最小雕刻尺寸：汉字：2x2mm ,字母：1x1mm</w:t>
            </w:r>
          </w:p>
        </w:tc>
      </w:tr>
      <w:tr>
        <w:tblPrEx>
          <w:tblCellMar>
            <w:top w:w="0" w:type="dxa"/>
            <w:left w:w="108" w:type="dxa"/>
            <w:bottom w:w="0" w:type="dxa"/>
            <w:right w:w="108" w:type="dxa"/>
          </w:tblCellMar>
        </w:tblPrEx>
        <w:trPr>
          <w:trHeight w:val="270"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13</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asciiTheme="majorEastAsia" w:hAnsiTheme="majorEastAsia" w:eastAsiaTheme="majorEastAsia"/>
                <w:color w:val="000000"/>
                <w:sz w:val="24"/>
                <w:szCs w:val="24"/>
              </w:rPr>
            </w:pP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激光雕刻耗材</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100</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张</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cs="宋体" w:asciiTheme="majorEastAsia" w:hAnsiTheme="majorEastAsia" w:eastAsiaTheme="majorEastAsia"/>
                <w:color w:val="000000"/>
                <w:sz w:val="24"/>
                <w:szCs w:val="24"/>
              </w:rPr>
            </w:pPr>
          </w:p>
        </w:tc>
        <w:tc>
          <w:tcPr>
            <w:tcW w:w="4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 xml:space="preserve">300*450*3mm椴木板 </w:t>
            </w:r>
          </w:p>
        </w:tc>
      </w:tr>
      <w:tr>
        <w:tblPrEx>
          <w:tblCellMar>
            <w:top w:w="0" w:type="dxa"/>
            <w:left w:w="108" w:type="dxa"/>
            <w:bottom w:w="0" w:type="dxa"/>
            <w:right w:w="108" w:type="dxa"/>
          </w:tblCellMar>
        </w:tblPrEx>
        <w:trPr>
          <w:trHeight w:val="2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14</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asciiTheme="majorEastAsia" w:hAnsiTheme="majorEastAsia" w:eastAsiaTheme="majorEastAsia"/>
                <w:color w:val="000000"/>
                <w:sz w:val="24"/>
                <w:szCs w:val="24"/>
              </w:rPr>
            </w:pP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Arduino创客套件</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4</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套</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创意智造</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它是一款基于ATmega328P的开放式开发板，板载模拟输入管脚8个，数字输入输出管脚22个，PWM管脚6个，Flash Memory：32kb,套件含arduino nano开发板*1，拓展板*1 ，红外遥控器*1，液晶屏*1，10K电位器模块*1，4位数码管模块*1，超声波模块*1，三色灯模块*1，按键模块*2，DHT11模块*1，IIC1602模块*1，有源蜂鸣器模块*1，红色LED模块*2，绿色LED模块*2，黄色LED模块*2，光敏模块*1， 1路循迹模块*1，红外接收模块*1，9g舵机*1，红外对射槽型开关*1，磁控开关模块*1，倾斜开关模块*1，旋转编码器模块*1，3144霍尔模块*1，声音模块*1，七彩LED灯模块*1，钢琴模块*1，火焰传感器模块*1，水位传感器*1，无源蜂鸣器模块*1，双轴按键摇杆传感器*1，土壤温度计检测探头*1，土壤湿度计检测模块*1，20kg舵机*1，蓝牙模块*1，直流马达灭火模块*1，2P/3P/4P排线若干，USB数据线*1，18650电池*2，充电器*1。主控板外接电源接口使用DC5.5*2.1电源插头，支持mixly图形化编程，连接线为XH2.54排线。</w:t>
            </w:r>
          </w:p>
        </w:tc>
      </w:tr>
      <w:tr>
        <w:tblPrEx>
          <w:tblCellMar>
            <w:top w:w="0" w:type="dxa"/>
            <w:left w:w="108" w:type="dxa"/>
            <w:bottom w:w="0" w:type="dxa"/>
            <w:right w:w="108" w:type="dxa"/>
          </w:tblCellMar>
        </w:tblPrEx>
        <w:trPr>
          <w:trHeight w:val="2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15</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asciiTheme="majorEastAsia" w:hAnsiTheme="majorEastAsia" w:eastAsiaTheme="majorEastAsia"/>
                <w:color w:val="000000"/>
                <w:sz w:val="24"/>
                <w:szCs w:val="24"/>
              </w:rPr>
            </w:pP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Micro：bit AI视觉创客套件</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4</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套</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cs="宋体" w:asciiTheme="majorEastAsia" w:hAnsiTheme="majorEastAsia" w:eastAsiaTheme="majorEastAsia"/>
                <w:color w:val="000000"/>
                <w:sz w:val="24"/>
                <w:szCs w:val="24"/>
              </w:rPr>
            </w:pP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1.AI视觉模块：搭载了全新Kendryte K210 AI芯片，内置64位400MHZ双核RISC-V处理器，模块内置2.0寸IPS屏幕，分辨率320×240。</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内置人脸识别、物品识别、图像分类、特征学习、颜色识别、视觉巡线、标签识别、条形码识别、二维码识别功能。</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2.套件含18650电池*2，充电器*1，主控板外接电源接口使用DC5.5*2.1电源插头，支持网页/离线图形化编程。</w:t>
            </w:r>
          </w:p>
          <w:p>
            <w:pPr>
              <w:pStyle w:val="2"/>
            </w:pPr>
            <w:r>
              <w:rPr>
                <w:rFonts w:hint="eastAsia" w:cs="宋体" w:asciiTheme="majorEastAsia" w:hAnsiTheme="majorEastAsia" w:eastAsiaTheme="majorEastAsia"/>
                <w:color w:val="000000"/>
                <w:kern w:val="0"/>
                <w:sz w:val="24"/>
              </w:rPr>
              <w:t>★3.麦克纳姆轮四驱结构，可完成红绿灯识别、行走路标识别、停车区域识别任务。</w:t>
            </w:r>
          </w:p>
        </w:tc>
      </w:tr>
      <w:tr>
        <w:tblPrEx>
          <w:tblCellMar>
            <w:top w:w="0" w:type="dxa"/>
            <w:left w:w="108" w:type="dxa"/>
            <w:bottom w:w="0" w:type="dxa"/>
            <w:right w:w="108" w:type="dxa"/>
          </w:tblCellMar>
        </w:tblPrEx>
        <w:trPr>
          <w:trHeight w:val="2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16</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基础设施</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1.08米边柜</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14</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cs="宋体" w:asciiTheme="majorEastAsia" w:hAnsiTheme="majorEastAsia" w:eastAsiaTheme="majorEastAsia"/>
                <w:color w:val="000000"/>
                <w:sz w:val="24"/>
                <w:szCs w:val="24"/>
              </w:rPr>
            </w:pP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尺寸：1080*550*800mm(长×宽×高),E1生态板台面，三合一固定</w:t>
            </w:r>
          </w:p>
        </w:tc>
      </w:tr>
      <w:tr>
        <w:tblPrEx>
          <w:tblCellMar>
            <w:top w:w="0" w:type="dxa"/>
            <w:left w:w="108" w:type="dxa"/>
            <w:bottom w:w="0" w:type="dxa"/>
            <w:right w:w="108" w:type="dxa"/>
          </w:tblCellMar>
        </w:tblPrEx>
        <w:trPr>
          <w:trHeight w:val="2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17</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asciiTheme="majorEastAsia" w:hAnsiTheme="majorEastAsia" w:eastAsiaTheme="majorEastAsia"/>
                <w:color w:val="000000"/>
                <w:sz w:val="24"/>
                <w:szCs w:val="24"/>
              </w:rPr>
            </w:pP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高柜</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组</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cs="宋体" w:asciiTheme="majorEastAsia" w:hAnsiTheme="majorEastAsia" w:eastAsiaTheme="majorEastAsia"/>
                <w:color w:val="000000"/>
                <w:sz w:val="24"/>
                <w:szCs w:val="24"/>
              </w:rPr>
            </w:pP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高柜4800*1200*2400（长*宽*高）。E1级生态板，双贴面，板厚≥16MM，三合一+角码固定</w:t>
            </w:r>
          </w:p>
        </w:tc>
      </w:tr>
      <w:tr>
        <w:tblPrEx>
          <w:tblCellMar>
            <w:top w:w="0" w:type="dxa"/>
            <w:left w:w="108" w:type="dxa"/>
            <w:bottom w:w="0" w:type="dxa"/>
            <w:right w:w="108" w:type="dxa"/>
          </w:tblCellMar>
        </w:tblPrEx>
        <w:trPr>
          <w:trHeight w:val="2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18</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asciiTheme="majorEastAsia" w:hAnsiTheme="majorEastAsia" w:eastAsiaTheme="majorEastAsia"/>
                <w:color w:val="000000"/>
                <w:sz w:val="24"/>
                <w:szCs w:val="24"/>
              </w:rPr>
            </w:pP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异形桌（六人位）</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8</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组</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cs="宋体" w:asciiTheme="majorEastAsia" w:hAnsiTheme="majorEastAsia" w:eastAsiaTheme="majorEastAsia"/>
                <w:color w:val="000000"/>
                <w:sz w:val="24"/>
                <w:szCs w:val="24"/>
              </w:rPr>
            </w:pP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尺寸1400*1400*750（长*宽*高），E1级生态板，双贴面，板厚≥16MM。</w:t>
            </w:r>
          </w:p>
        </w:tc>
      </w:tr>
      <w:tr>
        <w:tblPrEx>
          <w:tblCellMar>
            <w:top w:w="0" w:type="dxa"/>
            <w:left w:w="108" w:type="dxa"/>
            <w:bottom w:w="0" w:type="dxa"/>
            <w:right w:w="108" w:type="dxa"/>
          </w:tblCellMar>
        </w:tblPrEx>
        <w:trPr>
          <w:trHeight w:val="2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19</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asciiTheme="majorEastAsia" w:hAnsiTheme="majorEastAsia" w:eastAsiaTheme="majorEastAsia"/>
                <w:color w:val="000000"/>
                <w:sz w:val="24"/>
                <w:szCs w:val="24"/>
              </w:rPr>
            </w:pP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圆凳</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48</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cs="宋体" w:asciiTheme="majorEastAsia" w:hAnsiTheme="majorEastAsia" w:eastAsiaTheme="majorEastAsia"/>
                <w:color w:val="000000"/>
                <w:sz w:val="24"/>
                <w:szCs w:val="24"/>
              </w:rPr>
            </w:pP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直径32cm,凳面材料为多层实木片高温压制，凳面加厚，天然纹理。</w:t>
            </w:r>
          </w:p>
        </w:tc>
      </w:tr>
    </w:tbl>
    <w:p>
      <w:pPr>
        <w:rPr>
          <w:rFonts w:asciiTheme="majorEastAsia" w:hAnsiTheme="majorEastAsia" w:eastAsiaTheme="majorEastAsia"/>
          <w:sz w:val="24"/>
          <w:szCs w:val="24"/>
        </w:rPr>
      </w:pPr>
    </w:p>
    <w:tbl>
      <w:tblPr>
        <w:tblStyle w:val="40"/>
        <w:tblW w:w="9712" w:type="dxa"/>
        <w:tblInd w:w="93" w:type="dxa"/>
        <w:tblLayout w:type="fixed"/>
        <w:tblCellMar>
          <w:top w:w="0" w:type="dxa"/>
          <w:left w:w="108" w:type="dxa"/>
          <w:bottom w:w="0" w:type="dxa"/>
          <w:right w:w="108" w:type="dxa"/>
        </w:tblCellMar>
      </w:tblPr>
      <w:tblGrid>
        <w:gridCol w:w="712"/>
        <w:gridCol w:w="1050"/>
        <w:gridCol w:w="947"/>
        <w:gridCol w:w="567"/>
        <w:gridCol w:w="850"/>
        <w:gridCol w:w="709"/>
        <w:gridCol w:w="4877"/>
      </w:tblGrid>
      <w:tr>
        <w:tblPrEx>
          <w:tblCellMar>
            <w:top w:w="0" w:type="dxa"/>
            <w:left w:w="108" w:type="dxa"/>
            <w:bottom w:w="0" w:type="dxa"/>
            <w:right w:w="108" w:type="dxa"/>
          </w:tblCellMar>
        </w:tblPrEx>
        <w:trPr>
          <w:trHeight w:val="375" w:hRule="atLeast"/>
        </w:trPr>
        <w:tc>
          <w:tcPr>
            <w:tcW w:w="9712" w:type="dxa"/>
            <w:gridSpan w:val="7"/>
            <w:tcBorders>
              <w:top w:val="single" w:color="000000" w:sz="4" w:space="0"/>
              <w:left w:val="single" w:color="000000" w:sz="4" w:space="0"/>
              <w:bottom w:val="single" w:color="000000" w:sz="4" w:space="0"/>
              <w:right w:val="single" w:color="000000" w:sz="4" w:space="0"/>
            </w:tcBorders>
            <w:shd w:val="clear" w:color="auto" w:fill="CFCECE"/>
            <w:noWrap/>
            <w:vAlign w:val="center"/>
          </w:tcPr>
          <w:p>
            <w:pPr>
              <w:widowControl/>
              <w:jc w:val="center"/>
              <w:textAlignment w:val="center"/>
              <w:rPr>
                <w:rFonts w:cs="宋体" w:asciiTheme="majorEastAsia" w:hAnsiTheme="majorEastAsia" w:eastAsiaTheme="majorEastAsia"/>
                <w:b/>
                <w:bCs/>
                <w:color w:val="000000"/>
                <w:sz w:val="24"/>
                <w:szCs w:val="24"/>
              </w:rPr>
            </w:pPr>
            <w:r>
              <w:rPr>
                <w:rFonts w:hint="eastAsia" w:cs="宋体" w:asciiTheme="majorEastAsia" w:hAnsiTheme="majorEastAsia" w:eastAsiaTheme="majorEastAsia"/>
                <w:b/>
                <w:bCs/>
                <w:color w:val="000000"/>
                <w:kern w:val="0"/>
                <w:sz w:val="24"/>
                <w:szCs w:val="24"/>
              </w:rPr>
              <w:t>仁皇校区-设备&amp;基础设施</w:t>
            </w:r>
          </w:p>
        </w:tc>
      </w:tr>
      <w:tr>
        <w:tblPrEx>
          <w:tblCellMar>
            <w:top w:w="0" w:type="dxa"/>
            <w:left w:w="108" w:type="dxa"/>
            <w:bottom w:w="0" w:type="dxa"/>
            <w:right w:w="108" w:type="dxa"/>
          </w:tblCellMar>
        </w:tblPrEx>
        <w:trPr>
          <w:trHeight w:val="285" w:hRule="atLeast"/>
        </w:trPr>
        <w:tc>
          <w:tcPr>
            <w:tcW w:w="712" w:type="dxa"/>
            <w:tcBorders>
              <w:top w:val="single" w:color="000000" w:sz="4" w:space="0"/>
              <w:left w:val="single" w:color="000000" w:sz="4" w:space="0"/>
              <w:bottom w:val="single" w:color="000000" w:sz="4" w:space="0"/>
              <w:right w:val="single" w:color="000000" w:sz="4" w:space="0"/>
            </w:tcBorders>
            <w:shd w:val="clear" w:color="auto" w:fill="DEEBF6"/>
            <w:noWrap/>
            <w:vAlign w:val="center"/>
          </w:tcPr>
          <w:p>
            <w:pPr>
              <w:widowControl/>
              <w:jc w:val="center"/>
              <w:textAlignment w:val="center"/>
              <w:rPr>
                <w:rFonts w:cs="宋体" w:asciiTheme="majorEastAsia" w:hAnsiTheme="majorEastAsia" w:eastAsiaTheme="majorEastAsia"/>
                <w:b/>
                <w:bCs/>
                <w:color w:val="000000"/>
                <w:sz w:val="24"/>
                <w:szCs w:val="24"/>
              </w:rPr>
            </w:pPr>
            <w:r>
              <w:rPr>
                <w:rFonts w:hint="eastAsia" w:cs="宋体" w:asciiTheme="majorEastAsia" w:hAnsiTheme="majorEastAsia" w:eastAsiaTheme="majorEastAsia"/>
                <w:b/>
                <w:bCs/>
                <w:color w:val="000000"/>
                <w:kern w:val="0"/>
                <w:sz w:val="24"/>
                <w:szCs w:val="24"/>
              </w:rPr>
              <w:t>序号</w:t>
            </w:r>
          </w:p>
        </w:tc>
        <w:tc>
          <w:tcPr>
            <w:tcW w:w="1050" w:type="dxa"/>
            <w:tcBorders>
              <w:top w:val="single" w:color="000000" w:sz="4" w:space="0"/>
              <w:left w:val="nil"/>
              <w:bottom w:val="single" w:color="000000" w:sz="4" w:space="0"/>
              <w:right w:val="single" w:color="000000" w:sz="4" w:space="0"/>
            </w:tcBorders>
            <w:shd w:val="clear" w:color="auto" w:fill="DEEBF6"/>
            <w:noWrap/>
            <w:vAlign w:val="center"/>
          </w:tcPr>
          <w:p>
            <w:pPr>
              <w:widowControl/>
              <w:jc w:val="center"/>
              <w:textAlignment w:val="center"/>
              <w:rPr>
                <w:rFonts w:cs="宋体" w:asciiTheme="majorEastAsia" w:hAnsiTheme="majorEastAsia" w:eastAsiaTheme="majorEastAsia"/>
                <w:b/>
                <w:bCs/>
                <w:color w:val="000000"/>
                <w:sz w:val="24"/>
                <w:szCs w:val="24"/>
              </w:rPr>
            </w:pPr>
            <w:r>
              <w:rPr>
                <w:rFonts w:hint="eastAsia" w:cs="宋体" w:asciiTheme="majorEastAsia" w:hAnsiTheme="majorEastAsia" w:eastAsiaTheme="majorEastAsia"/>
                <w:b/>
                <w:bCs/>
                <w:color w:val="000000"/>
                <w:kern w:val="0"/>
                <w:sz w:val="24"/>
                <w:szCs w:val="24"/>
              </w:rPr>
              <w:t>类别</w:t>
            </w:r>
          </w:p>
        </w:tc>
        <w:tc>
          <w:tcPr>
            <w:tcW w:w="947" w:type="dxa"/>
            <w:tcBorders>
              <w:top w:val="single" w:color="000000" w:sz="4" w:space="0"/>
              <w:left w:val="single" w:color="000000" w:sz="4" w:space="0"/>
              <w:bottom w:val="single" w:color="000000" w:sz="4" w:space="0"/>
              <w:right w:val="single" w:color="000000" w:sz="4" w:space="0"/>
            </w:tcBorders>
            <w:shd w:val="clear" w:color="auto" w:fill="DEEBF6"/>
            <w:noWrap/>
            <w:vAlign w:val="center"/>
          </w:tcPr>
          <w:p>
            <w:pPr>
              <w:widowControl/>
              <w:jc w:val="center"/>
              <w:textAlignment w:val="center"/>
              <w:rPr>
                <w:rFonts w:cs="宋体" w:asciiTheme="majorEastAsia" w:hAnsiTheme="majorEastAsia" w:eastAsiaTheme="majorEastAsia"/>
                <w:b/>
                <w:bCs/>
                <w:color w:val="000000"/>
                <w:sz w:val="24"/>
                <w:szCs w:val="24"/>
              </w:rPr>
            </w:pPr>
            <w:r>
              <w:rPr>
                <w:rFonts w:hint="eastAsia" w:cs="宋体" w:asciiTheme="majorEastAsia" w:hAnsiTheme="majorEastAsia" w:eastAsiaTheme="majorEastAsia"/>
                <w:b/>
                <w:bCs/>
                <w:color w:val="000000"/>
                <w:kern w:val="0"/>
                <w:sz w:val="24"/>
                <w:szCs w:val="24"/>
              </w:rPr>
              <w:t>设备名称</w:t>
            </w:r>
          </w:p>
        </w:tc>
        <w:tc>
          <w:tcPr>
            <w:tcW w:w="567" w:type="dxa"/>
            <w:tcBorders>
              <w:top w:val="single" w:color="000000" w:sz="4" w:space="0"/>
              <w:left w:val="single" w:color="000000" w:sz="4" w:space="0"/>
              <w:bottom w:val="single" w:color="000000" w:sz="4" w:space="0"/>
              <w:right w:val="single" w:color="000000" w:sz="4" w:space="0"/>
            </w:tcBorders>
            <w:shd w:val="clear" w:color="auto" w:fill="DEEBF6"/>
            <w:noWrap/>
            <w:vAlign w:val="center"/>
          </w:tcPr>
          <w:p>
            <w:pPr>
              <w:widowControl/>
              <w:jc w:val="center"/>
              <w:textAlignment w:val="center"/>
              <w:rPr>
                <w:rFonts w:cs="宋体" w:asciiTheme="majorEastAsia" w:hAnsiTheme="majorEastAsia" w:eastAsiaTheme="majorEastAsia"/>
                <w:b/>
                <w:bCs/>
                <w:color w:val="000000"/>
                <w:sz w:val="24"/>
                <w:szCs w:val="24"/>
              </w:rPr>
            </w:pPr>
            <w:r>
              <w:rPr>
                <w:rFonts w:hint="eastAsia" w:cs="宋体" w:asciiTheme="majorEastAsia" w:hAnsiTheme="majorEastAsia" w:eastAsiaTheme="majorEastAsia"/>
                <w:b/>
                <w:bCs/>
                <w:color w:val="000000"/>
                <w:kern w:val="0"/>
                <w:sz w:val="24"/>
                <w:szCs w:val="24"/>
              </w:rPr>
              <w:t>数量</w:t>
            </w:r>
          </w:p>
        </w:tc>
        <w:tc>
          <w:tcPr>
            <w:tcW w:w="850" w:type="dxa"/>
            <w:tcBorders>
              <w:top w:val="single" w:color="000000" w:sz="4" w:space="0"/>
              <w:left w:val="single" w:color="000000" w:sz="4" w:space="0"/>
              <w:bottom w:val="single" w:color="000000" w:sz="4" w:space="0"/>
              <w:right w:val="single" w:color="000000" w:sz="4" w:space="0"/>
            </w:tcBorders>
            <w:shd w:val="clear" w:color="auto" w:fill="DEEBF6"/>
            <w:noWrap/>
            <w:vAlign w:val="center"/>
          </w:tcPr>
          <w:p>
            <w:pPr>
              <w:widowControl/>
              <w:jc w:val="center"/>
              <w:textAlignment w:val="center"/>
              <w:rPr>
                <w:rFonts w:cs="宋体" w:asciiTheme="majorEastAsia" w:hAnsiTheme="majorEastAsia" w:eastAsiaTheme="majorEastAsia"/>
                <w:b/>
                <w:bCs/>
                <w:color w:val="000000"/>
                <w:sz w:val="24"/>
                <w:szCs w:val="24"/>
              </w:rPr>
            </w:pPr>
            <w:r>
              <w:rPr>
                <w:rFonts w:hint="eastAsia" w:cs="宋体" w:asciiTheme="majorEastAsia" w:hAnsiTheme="majorEastAsia" w:eastAsiaTheme="majorEastAsia"/>
                <w:b/>
                <w:bCs/>
                <w:color w:val="000000"/>
                <w:kern w:val="0"/>
                <w:sz w:val="24"/>
                <w:szCs w:val="24"/>
              </w:rPr>
              <w:t>单位</w:t>
            </w:r>
          </w:p>
        </w:tc>
        <w:tc>
          <w:tcPr>
            <w:tcW w:w="709" w:type="dxa"/>
            <w:tcBorders>
              <w:top w:val="single" w:color="000000" w:sz="4" w:space="0"/>
              <w:left w:val="single" w:color="000000" w:sz="4" w:space="0"/>
              <w:bottom w:val="single" w:color="000000" w:sz="4" w:space="0"/>
              <w:right w:val="single" w:color="000000" w:sz="4" w:space="0"/>
            </w:tcBorders>
            <w:shd w:val="clear" w:color="auto" w:fill="DEEBF6"/>
            <w:noWrap/>
            <w:vAlign w:val="center"/>
          </w:tcPr>
          <w:p>
            <w:pPr>
              <w:widowControl/>
              <w:jc w:val="center"/>
              <w:textAlignment w:val="center"/>
              <w:rPr>
                <w:rFonts w:cs="宋体" w:asciiTheme="majorEastAsia" w:hAnsiTheme="majorEastAsia" w:eastAsiaTheme="majorEastAsia"/>
                <w:b/>
                <w:bCs/>
                <w:color w:val="000000"/>
                <w:sz w:val="24"/>
                <w:szCs w:val="24"/>
              </w:rPr>
            </w:pPr>
            <w:r>
              <w:rPr>
                <w:rFonts w:hint="eastAsia" w:cs="宋体" w:asciiTheme="majorEastAsia" w:hAnsiTheme="majorEastAsia" w:eastAsiaTheme="majorEastAsia"/>
                <w:b/>
                <w:bCs/>
                <w:color w:val="000000"/>
                <w:kern w:val="0"/>
                <w:sz w:val="24"/>
                <w:szCs w:val="24"/>
              </w:rPr>
              <w:t>课程</w:t>
            </w:r>
          </w:p>
        </w:tc>
        <w:tc>
          <w:tcPr>
            <w:tcW w:w="4877" w:type="dxa"/>
            <w:tcBorders>
              <w:top w:val="single" w:color="000000" w:sz="4" w:space="0"/>
              <w:left w:val="single" w:color="000000" w:sz="4" w:space="0"/>
              <w:bottom w:val="single" w:color="000000" w:sz="4" w:space="0"/>
              <w:right w:val="single" w:color="000000" w:sz="4" w:space="0"/>
            </w:tcBorders>
            <w:shd w:val="clear" w:color="auto" w:fill="DEEBF6"/>
            <w:noWrap/>
            <w:vAlign w:val="center"/>
          </w:tcPr>
          <w:p>
            <w:pPr>
              <w:widowControl/>
              <w:jc w:val="center"/>
              <w:textAlignment w:val="center"/>
              <w:rPr>
                <w:rFonts w:cs="宋体" w:asciiTheme="majorEastAsia" w:hAnsiTheme="majorEastAsia" w:eastAsiaTheme="majorEastAsia"/>
                <w:b/>
                <w:bCs/>
                <w:color w:val="000000"/>
                <w:sz w:val="24"/>
                <w:szCs w:val="24"/>
              </w:rPr>
            </w:pPr>
            <w:r>
              <w:rPr>
                <w:rFonts w:hint="eastAsia" w:cs="宋体" w:asciiTheme="majorEastAsia" w:hAnsiTheme="majorEastAsia" w:eastAsiaTheme="majorEastAsia"/>
                <w:b/>
                <w:bCs/>
                <w:color w:val="000000"/>
                <w:kern w:val="0"/>
                <w:sz w:val="24"/>
                <w:szCs w:val="24"/>
              </w:rPr>
              <w:t>参数</w:t>
            </w:r>
          </w:p>
        </w:tc>
      </w:tr>
      <w:tr>
        <w:tblPrEx>
          <w:tblCellMar>
            <w:top w:w="0" w:type="dxa"/>
            <w:left w:w="108" w:type="dxa"/>
            <w:bottom w:w="0" w:type="dxa"/>
            <w:right w:w="108" w:type="dxa"/>
          </w:tblCellMar>
        </w:tblPrEx>
        <w:trPr>
          <w:trHeight w:val="2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录播设备</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互动终端</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cs="宋体" w:asciiTheme="majorEastAsia" w:hAnsiTheme="majorEastAsia" w:eastAsiaTheme="majorEastAsia"/>
                <w:color w:val="000000"/>
                <w:sz w:val="24"/>
                <w:szCs w:val="24"/>
              </w:rPr>
            </w:pPr>
          </w:p>
        </w:tc>
        <w:tc>
          <w:tcPr>
            <w:tcW w:w="48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1、支持19英寸机架安装，采用嵌入式操作系统、非PC架构，产品稳定可靠，支持7×24小时开机运行。</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2、具备1个HDMI输入接口和1个HDMI输出接口；2个XLR/大三芯平衡输入接口，1组RCA输入接口，1组RCA输出接口；支持2.4G/5G WiFi无线接入。</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3、最高支持1080P超高清视频处理能力，支持SVC分层编解码协议；支持G.711、G.722、OPUS通用音频协议，支持语音优化：回声消除、自动降噪、自动增益控制、自动增强、突出人声，支持唇音同步技术。                                                                 4、支持拍摄教师、学生、板书、课件等画面，画面可自动切换；听课端支持双屏画面输出，同时显示授课老师和分享课件的画面；授课端可对多画面模式进行手动调整，如只显示授课教室全景画面、特写画面、课件分享画面；多方互动教研场景，支持双屏画面输出，同时显示主讲人、内容分享画面。</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4、课件内容通过无线传屏器可支持无线传输，无需连接线缆，将教学电脑桌面内容进行分享，内容分享支持1080P、720P等多种分辨率，适应不同教学电脑的桌面分辨率。                                                                                                      5、支持录制视频的快速分享、回看功能，能通过微信、微博、互联网链接、邮件等不同方式进行便利分享；</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6、 支持课程、教研等活动日程提醒功能，能够自动同步约课、排课、教研安排等信息，并显示在课程表上，实现自动上课或手动一键上课；</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7、授课端可设置课堂密码，防止不相干人员进入课堂；授课老师可锁定课堂，锁定后，任何人不得加入课堂。授课端可对听课端的发言权限进行控制，老师可对任意听课终端进行手动静音、取消静音，避免互动教学课堂过于嘈杂。</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8、支持教学助手操控，可在教学平板、教学一体机上安装教学助手，通过教学平板、教学一体机，对互动终端进行触控操作；(提供教学助手软件截图)</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9、支持网络抗丢包算法，在丢包率30%的情况下能保证视频流畅传输，帧率不低于25帧/秒，在网络丢包率50%的情况下，声音清楚连贯,语音质量评测值MOS_LQO不低于3；丢包率80%时，语义依然可理解,语音质量评测值MOS_LQO不低于2.7（提供权威机构检测报告复印件）。</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10、终端支持与PC、PAD、手机等各类终端或微信进行互动，使互动课堂不局限于教室内的应用，还能实现不同空间的多元联通，如实现学校和家庭、学校和社区、学校和社会环境之间的联通。                                                                             11、终端支持3个软件客户端免费接入课堂，通过购买云服务可无限增加接入点。</w:t>
            </w:r>
          </w:p>
        </w:tc>
      </w:tr>
      <w:tr>
        <w:tblPrEx>
          <w:tblCellMar>
            <w:top w:w="0" w:type="dxa"/>
            <w:left w:w="108" w:type="dxa"/>
            <w:bottom w:w="0" w:type="dxa"/>
            <w:right w:w="108" w:type="dxa"/>
          </w:tblCellMar>
        </w:tblPrEx>
        <w:trPr>
          <w:trHeight w:val="2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2</w:t>
            </w: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asciiTheme="majorEastAsia" w:hAnsiTheme="majorEastAsia" w:eastAsiaTheme="majorEastAsia"/>
                <w:color w:val="000000"/>
                <w:sz w:val="24"/>
                <w:szCs w:val="24"/>
              </w:rPr>
            </w:pP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互动终端云服务</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3</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年</w:t>
            </w:r>
          </w:p>
        </w:tc>
        <w:tc>
          <w:tcPr>
            <w:tcW w:w="709" w:type="dxa"/>
            <w:tcBorders>
              <w:top w:val="single" w:color="000000" w:sz="4" w:space="0"/>
              <w:left w:val="single" w:color="000000" w:sz="4" w:space="0"/>
              <w:bottom w:val="nil"/>
              <w:right w:val="single" w:color="000000" w:sz="4" w:space="0"/>
            </w:tcBorders>
            <w:shd w:val="clear" w:color="auto" w:fill="FFFFFF"/>
            <w:vAlign w:val="center"/>
          </w:tcPr>
          <w:p>
            <w:pPr>
              <w:jc w:val="center"/>
              <w:rPr>
                <w:rFonts w:cs="宋体" w:asciiTheme="majorEastAsia" w:hAnsiTheme="majorEastAsia" w:eastAsiaTheme="majorEastAsia"/>
                <w:color w:val="000000"/>
                <w:sz w:val="24"/>
                <w:szCs w:val="24"/>
              </w:rPr>
            </w:pPr>
          </w:p>
        </w:tc>
        <w:tc>
          <w:tcPr>
            <w:tcW w:w="4877" w:type="dxa"/>
            <w:tcBorders>
              <w:top w:val="single" w:color="000000" w:sz="4" w:space="0"/>
              <w:left w:val="single" w:color="000000" w:sz="4" w:space="0"/>
              <w:bottom w:val="nil"/>
              <w:right w:val="single" w:color="000000" w:sz="4" w:space="0"/>
            </w:tcBorders>
            <w:shd w:val="clear" w:color="auto" w:fill="FFFFFF"/>
            <w:vAlign w:val="center"/>
          </w:tcPr>
          <w:p>
            <w:pPr>
              <w:widowControl/>
              <w:jc w:val="lef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系统架构                                                                                                                 1) 采用先进云计算技术，基于x86通用服务器虚拟化部署，支持大规模服务器集群，保障平台计算性能、处理能力、扩展能力；</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2) 支持VMWare虚拟化部署，支持新型容器虚拟化部署；</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 xml:space="preserve">3) 支持负载均衡、自动迁移、分布式计算等智能化技术，保障平台的运行效率、稳定性和可靠性； </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4) 为了保证未来业务扩容，需提供不少于10000个应用节点并发接入，支持无限弹性扩容。（要求提供大规模并发接入案例证明）</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音视频能力</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1) 最高可支持4K超高清视频处理能力；</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2) 支持H.265高级编码协议，能在有限带宽下传输高质量网络视频；</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3) 支持SVC分层编解码协议，能适应不同带宽、不同设备能力、不同设备组网需求；</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4) 支持G.711、G.722、OPUS通用音频协议，支持48K采样率的全带音频；</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5) 为满足高品质互动体验，音视频发送端与接收端的延时不超过400ms</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 xml:space="preserve">网络适应性 </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1) 平台需支持跨网络连接，同时满足电信、移动、联通、教育网等不同网络终端设备的高速互联，平台机房不少于6线BGP网络接入；</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 xml:space="preserve">2) 云平台应具有多个接入节点，支持终端从就近节点接入，实现跨区域高速互联； </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 xml:space="preserve">3) 为满足3G/4G移动网络环境或偏远地区网络条件不好的用户接入，平台需支持低带宽呼叫速率，支持64Kbps带宽下进行呼叫； </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4) 在多方音视频互联中，平台可根据实际网络变化，自动动态调整互联带宽；</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5) 支持网络抗丢包算法，在丢包率30%的情况下能保证视频流畅传输，帧率不低于25帧/秒。（并提供权威机构检测报告以证明）</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6) 在网络丢包率50%的情况下，声音清楚连贯,语音质量评测值MOS_LQO不低于3；丢包率80%时，语义依然可理解,语音质量评测值MOS_LQO不低于2.7。（并提供权威机构检测报告以证明）</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7) 对于网络不稳定的终端接入，支持将终端从视频互联转换为语音接入；</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8) 提供防火墙穿越能力，TCP端口不高于2个，UDP端口不高于1个；</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 xml:space="preserve">系统可靠性 </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1) 支持集群式媒体资源池服务，媒体服务应支持自动负载均衡、异地多活；</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2) 为了保障教学业务的稳定可靠，任意服务器故障，都能自动切换到备用服务器，实现业务自动迁移，切换时间不大于5秒；</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3) 技术、产品、方案经过互联网公有云平台（阿里云、腾讯云、百度云、亚马逊云等）条件下大规模部署验证、运营和用户规模不低于30万，运营和使用时间不低于3年；（须提供原厂商运营后台业务数据统计证明）</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 xml:space="preserve"> 应用服务                                                           </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1) 支持与视频监控系统融合对接，实现对学校巡视督导、应急指挥；</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2) 支持个人电脑、手机平台移动接入，随时随地开展远程培训、互动教研、活动直播、会议会商等业务；</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3) 平台具备超大规模直播服务能力，无需通过第三方平台，可支持百万级观众同时在线观看；(需提供产品截图并加盖厂商公章)</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4) 平台具备音视频录制功能，对互动教学、远程培训、教研讨论、会议会商过程根据需要进行录制；录制文件可保存在平台或本地；</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5) 具备录制文件的快速分享、回看功能，能通过微信、微博、web链接、邮件等不同方式进行便利分享，广大老师、学生、家长可通过电脑浏览器、手机浏览器、微信app等常用方式进行观看；(需提供产品截图)</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6) 可提供在线答题功能，参与听课、培训的人员可以直接在系统上进行答题操作，系统自动统计答题结果；(需提供产品截图)</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7) 可提供在线签到功能，开展远程培训、教学研讨、会议会商等业务时，无需各单位、学校人工点名签到，通过系统可实现在线统计参与人员情况；(需提供产品截图)</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8) 支持版本更新服务，平台的运营由厂商保障，保持平台版本持续更新；平台可向接入终端设备推送最新的终端版本；                                                                          系统管理                                                                                                                   1) 平台支持分级、分组管理功能，各个学校能管理各自的终端设备和教学安排，管理部门能管理所有学校的终端设备及管理账号；</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2) 平台提供统一通讯录服务，终端入网更新后，通讯录自动更新下发到所有终端侧，方便系统内部老师、管理人员自主组织互动教学、直播录播、远程培训、会议会商；</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3) 支持业务管理功能，如预约课程、1+N结对课程、编辑课程信息、预约活动直播、发起互动研讨等，可对当前系统状态监测、课程记录查询、课程数据统计汇总等；</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4) 具备多种控制功能，如锁定课堂、听课端点名、多画面设置、静音闭音操作、添加删除终端等；</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5) 提供统计报表：报表内容包含Log日志，业务信息统计、设备状态统计；</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6）为每台互动终端提供100G云存储空间，可随时扩容。</w:t>
            </w:r>
          </w:p>
        </w:tc>
      </w:tr>
      <w:tr>
        <w:tblPrEx>
          <w:tblCellMar>
            <w:top w:w="0" w:type="dxa"/>
            <w:left w:w="108" w:type="dxa"/>
            <w:bottom w:w="0" w:type="dxa"/>
            <w:right w:w="108" w:type="dxa"/>
          </w:tblCellMar>
        </w:tblPrEx>
        <w:trPr>
          <w:trHeight w:val="2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3</w:t>
            </w: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asciiTheme="majorEastAsia" w:hAnsiTheme="majorEastAsia" w:eastAsiaTheme="majorEastAsia"/>
                <w:color w:val="000000"/>
                <w:sz w:val="24"/>
                <w:szCs w:val="24"/>
              </w:rPr>
            </w:pP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高清摄像机（含三脚架）</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台</w:t>
            </w:r>
          </w:p>
        </w:tc>
        <w:tc>
          <w:tcPr>
            <w:tcW w:w="709" w:type="dxa"/>
            <w:tcBorders>
              <w:top w:val="single" w:color="000000" w:sz="4" w:space="0"/>
              <w:left w:val="single" w:color="000000" w:sz="4" w:space="0"/>
              <w:bottom w:val="nil"/>
              <w:right w:val="single" w:color="000000" w:sz="4" w:space="0"/>
            </w:tcBorders>
            <w:shd w:val="clear" w:color="auto" w:fill="FFFFFF"/>
            <w:vAlign w:val="center"/>
          </w:tcPr>
          <w:p>
            <w:pPr>
              <w:jc w:val="center"/>
              <w:rPr>
                <w:rFonts w:cs="宋体" w:asciiTheme="majorEastAsia" w:hAnsiTheme="majorEastAsia" w:eastAsiaTheme="majorEastAsia"/>
                <w:color w:val="000000"/>
                <w:sz w:val="24"/>
                <w:szCs w:val="24"/>
              </w:rPr>
            </w:pPr>
          </w:p>
        </w:tc>
        <w:tc>
          <w:tcPr>
            <w:tcW w:w="4877" w:type="dxa"/>
            <w:tcBorders>
              <w:top w:val="single" w:color="000000" w:sz="4" w:space="0"/>
              <w:left w:val="single" w:color="000000" w:sz="4" w:space="0"/>
              <w:bottom w:val="nil"/>
              <w:right w:val="single" w:color="000000" w:sz="4" w:space="0"/>
            </w:tcBorders>
            <w:shd w:val="clear" w:color="auto" w:fill="FFFFFF"/>
            <w:vAlign w:val="center"/>
          </w:tcPr>
          <w:p>
            <w:pPr>
              <w:widowControl/>
              <w:jc w:val="lef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1、视频输出接口：HDMI*1</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2、传感器类型：CMOS、1/2.7英寸</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3、传感器像素：有效像素：207万</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4、变焦倍数：12倍光学变焦</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5、水平视场角：72.5° ~ 6.9°，垂直视场角：44.8° ~ 3.9°</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6、水平转动范围：±170°，垂直转动范围：±30°，水平转动速度范围：1.7° ~ 100°/s，垂直转动速度范围：0.7° ~ 28°/s</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7、预置位数量：255</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8、通讯接口：RS232、RS485</w:t>
            </w:r>
          </w:p>
        </w:tc>
      </w:tr>
      <w:tr>
        <w:tblPrEx>
          <w:tblCellMar>
            <w:top w:w="0" w:type="dxa"/>
            <w:left w:w="108" w:type="dxa"/>
            <w:bottom w:w="0" w:type="dxa"/>
            <w:right w:w="108" w:type="dxa"/>
          </w:tblCellMar>
        </w:tblPrEx>
        <w:trPr>
          <w:trHeight w:val="2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4</w:t>
            </w: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asciiTheme="majorEastAsia" w:hAnsiTheme="majorEastAsia" w:eastAsiaTheme="majorEastAsia"/>
                <w:color w:val="000000"/>
                <w:sz w:val="24"/>
                <w:szCs w:val="24"/>
              </w:rPr>
            </w:pP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无线投屏器</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cs="宋体" w:asciiTheme="majorEastAsia" w:hAnsiTheme="majorEastAsia" w:eastAsiaTheme="majorEastAsia"/>
                <w:color w:val="000000"/>
                <w:sz w:val="24"/>
                <w:szCs w:val="24"/>
              </w:rPr>
            </w:pPr>
          </w:p>
        </w:tc>
        <w:tc>
          <w:tcPr>
            <w:tcW w:w="4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本地传屏与会议中传屏的无线传屏器，配合智能视频终端的无线连接，可将电脑屏幕传至终端大屏上显示，实现内容共享。数据接口：usb2.0*1，按键接口：传屏按键*1，操作频率：5.8Ghz，传输延时：≤100ms，视频帧率：1080P/15fps-30fps；支持操作系统：win7/8/10，Mac OS X 10.9及以上</w:t>
            </w:r>
          </w:p>
        </w:tc>
      </w:tr>
      <w:tr>
        <w:tblPrEx>
          <w:tblCellMar>
            <w:top w:w="0" w:type="dxa"/>
            <w:left w:w="108" w:type="dxa"/>
            <w:bottom w:w="0" w:type="dxa"/>
            <w:right w:w="108" w:type="dxa"/>
          </w:tblCellMar>
        </w:tblPrEx>
        <w:trPr>
          <w:trHeight w:val="2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5</w:t>
            </w: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asciiTheme="majorEastAsia" w:hAnsiTheme="majorEastAsia" w:eastAsiaTheme="majorEastAsia"/>
                <w:color w:val="000000"/>
                <w:sz w:val="24"/>
                <w:szCs w:val="24"/>
              </w:rPr>
            </w:pP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全向麦克风</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cs="宋体" w:asciiTheme="majorEastAsia" w:hAnsiTheme="majorEastAsia" w:eastAsiaTheme="majorEastAsia"/>
                <w:color w:val="000000"/>
                <w:sz w:val="24"/>
                <w:szCs w:val="24"/>
              </w:rPr>
            </w:pPr>
          </w:p>
        </w:tc>
        <w:tc>
          <w:tcPr>
            <w:tcW w:w="4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频率响应: 48Hz-16kHz、灵敏度: -36.5dB±2.5dB (0dB=1V/Pa at 1kHz)、输出阻抗: 100Ω±30% (at 1kHz)、等效噪声级: ≤26dB A (IEC 581-5)、声压级: 130dB (THD ≤1.0％ at 1kHz)、低频衰减开关：80Hz 10dB/倍频、使用电压: 9-52V幻像电源 、拾音距离：8米</w:t>
            </w:r>
          </w:p>
        </w:tc>
      </w:tr>
      <w:tr>
        <w:tblPrEx>
          <w:tblCellMar>
            <w:top w:w="0" w:type="dxa"/>
            <w:left w:w="108" w:type="dxa"/>
            <w:bottom w:w="0" w:type="dxa"/>
            <w:right w:w="108" w:type="dxa"/>
          </w:tblCellMar>
        </w:tblPrEx>
        <w:trPr>
          <w:trHeight w:val="2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6</w:t>
            </w: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asciiTheme="majorEastAsia" w:hAnsiTheme="majorEastAsia" w:eastAsiaTheme="majorEastAsia"/>
                <w:color w:val="000000"/>
                <w:sz w:val="24"/>
                <w:szCs w:val="24"/>
              </w:rPr>
            </w:pP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空间大脑</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cs="宋体" w:asciiTheme="majorEastAsia" w:hAnsiTheme="majorEastAsia" w:eastAsiaTheme="majorEastAsia"/>
                <w:color w:val="000000"/>
                <w:sz w:val="24"/>
                <w:szCs w:val="24"/>
              </w:rPr>
            </w:pPr>
          </w:p>
        </w:tc>
        <w:tc>
          <w:tcPr>
            <w:tcW w:w="4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1、具有空间融通功能，和之江汇无缝对接，教师在教学空间通过微信扫码绑定之江汇帐号后，可一键登录到之江汇个人空间,调取相关资源，可通过按键一键上传教学数据或资源到空间内；</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2、具有“显示课堂码”虚拟按键：快速调出本次课堂的空间二维码，学生扫码后进入微信公众号，可以进行笔记截图、浏览亮点笔记等；</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3、具有随堂微课虚拟按键：点击即可开启点、难点、题目知识讲解模式，采集课件、语音、板书内容，自动形成在线微课；</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4、具有“提问墙”虚拟按键：加入课堂的所有学生可以通过微信公众号在“提问墙”内提出问题，可以对问题进行文字描述并可以附加图片，老师打开软件提问墙模块可以看到学生提出的所有问题。</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5、具有“同步板书”虚拟按键，可对接互联黑板，点击即可实现同步课堂异地课堂板书同步、点评功能。</w:t>
            </w:r>
          </w:p>
        </w:tc>
      </w:tr>
      <w:tr>
        <w:tblPrEx>
          <w:tblCellMar>
            <w:top w:w="0" w:type="dxa"/>
            <w:left w:w="108" w:type="dxa"/>
            <w:bottom w:w="0" w:type="dxa"/>
            <w:right w:w="108" w:type="dxa"/>
          </w:tblCellMar>
        </w:tblPrEx>
        <w:trPr>
          <w:trHeight w:val="2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7</w:t>
            </w: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asciiTheme="majorEastAsia" w:hAnsiTheme="majorEastAsia" w:eastAsiaTheme="majorEastAsia"/>
                <w:color w:val="000000"/>
                <w:sz w:val="24"/>
                <w:szCs w:val="24"/>
              </w:rPr>
            </w:pP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电子班牌</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cs="宋体" w:asciiTheme="majorEastAsia" w:hAnsiTheme="majorEastAsia" w:eastAsiaTheme="majorEastAsia"/>
                <w:color w:val="000000"/>
                <w:sz w:val="24"/>
                <w:szCs w:val="24"/>
              </w:rPr>
            </w:pPr>
          </w:p>
        </w:tc>
        <w:tc>
          <w:tcPr>
            <w:tcW w:w="4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一、硬件参数</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 xml:space="preserve">1.CPU RK3288 4核 1.8G处理器 </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2.2GB内存 16GB存储</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3.显示尺寸≥21.5"，LED 背光源液晶显示屏；</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4.显示比例16:9；</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5.屏体亮度≥450cd/m²；</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6.屏体对比度：4000:1；</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7.物理解析度:高清 1920*1080；</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8.屏体级别:A 规屏；</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9.工作电压:12V/5A；</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10.触摸方式: 十点电容触摸；</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11.安装方式:壁挂；</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12.功耗：标准＜45W，待机≤0.5W；</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13.色彩度:8bit；</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14.最大可视角度≥178 度；</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 xml:space="preserve">15.内置摄像头 ≥ 500万像素 </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16.内置摄像头的水平视角DFOV ≥ 95°，无畸变</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 xml:space="preserve">17.内置摄像头清晰度 中心线 ≥ 1100线 </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18.寿命 (typ)/(min)  ≥ 100,000 hrs (min.)；</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19.图片格式支持：支持 BMP、JPEG、PNG、GIF ；视频格式：支持AVI（H.264、DIVX、DIVX、XVID）, rm，rmvb， MKV（H.264、DIVX、DIVX、XVID），WMV，MOV，MP4（.H.264、MPEG、DIVX、 XVID），DAT（VCD 格式），VOB（DVD 格式），PMP,MPEG，.MPG,， FLV（H.263，H.264），ASF，TS， TP，3GP，MPG 等 30 种 格式以上；音频格式：MP3,WMA,WAV, APE, FLAC, AAC,OGG,M4A,3GPP 格式；</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20.支持全向麦克；</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21.班牌主体采用铸铝工艺，抗撞、抗划、抗腐蚀；</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22.表面无尖锐边缘或凸起,保证师生安全使用；</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23.LED 背光源采用 A 规液晶屏，屏幕表面采用 2mm 厚度钢化玻璃，防划防撞；要求钢化玻璃可见光透射比不低于 92%；钢化玻璃表面处理：AG处理；</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24.支持左右声道输出, 内置双通道 4Ω3W 功放；</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25.后置输出接口具备 1 路DC IN，1 路网口，2路 USB 2.0；</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26.内嵌式左右滑板设计 保障USB接口的安全性。</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27.Wifi 网口控制，可远程开关机，定时开关机；</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28.整机尺寸：530L*355W*26V （mm）；</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二、软件功能</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1.系统深度定制，无法随意跳出当前播放节目；</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2.支持远程统一升级，升级完成自动返回节目播放界面；</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3.支持竖屏节目及横屏节目，支持任意分割画面播放，可分区展示图片、视频、文字、时间、天气、班级圈、第三方内容等各类显示信息；</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4.无网络或网络状态较差时，支持单机播放，提供模板，可单机发布图片、视频轮播，可设置U盘节目里图片轮播间隔；</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5.实时数据显示，时间、天气、倒计时；</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6.班级圈可在终端点击放大并滑动，无触摸自动返回节目主页；</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7.终端播放互动节目，可通过手势滑动或控件，可快速切换到视频、图片、场景或网页；</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8.可实现第三方对接数据内容的显示，各班级电子班牌自动获取课表、考勤信息等；</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9.支持节目APK资源展示；</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10.支持通过刷卡或账号密码登录个人中心；</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11.可通过个人中心对接第三方系统数据，如一卡通消费、图书借阅、家长留言等内容；</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12.为保证终端设备显示内容的安全，终端提供USB接口密码保护；</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13.节目过期或无效支持自动清除；</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14.支持任意分割画面播放，可分区展示图片、视频、文字、时间、天气、班级圈、对接第三方内容等各类显示信息</w:t>
            </w:r>
          </w:p>
        </w:tc>
      </w:tr>
      <w:tr>
        <w:tblPrEx>
          <w:tblCellMar>
            <w:top w:w="0" w:type="dxa"/>
            <w:left w:w="108" w:type="dxa"/>
            <w:bottom w:w="0" w:type="dxa"/>
            <w:right w:w="108" w:type="dxa"/>
          </w:tblCellMar>
        </w:tblPrEx>
        <w:trPr>
          <w:trHeight w:val="2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8</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教学设备</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AI可编程机器人</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22</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套</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智能小乌龟</w:t>
            </w:r>
          </w:p>
        </w:tc>
        <w:tc>
          <w:tcPr>
            <w:tcW w:w="4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它是一个增强的工具包，基于易于使用和灵活的Arduino平台，可以学习如何开始使用Arduino平台和Mixly块编码。有完整的Arduino编程语言教程和Mixly图形程序来控制机器人，实现了线跟踪、自动避障等功能。</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此外，它还添加了一个8*8矩阵，可以显示机器人的运行状态。</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1.电机电压范围：1-6V；电机轴长：10 mm；转速：6.0V，100 rpm/min。</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2.电机控制由TB6612驱动。</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3.四组直线跟踪模块，检测黑白线具有较高的精度，也可用于防坠落控制。</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4.超声波模块用于检测是否存在障碍。</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5.添加8*8点矩阵模块，显示机器人状态。</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6.可接入外部电压6~12V</w:t>
            </w:r>
          </w:p>
          <w:p>
            <w:pPr>
              <w:pStyle w:val="2"/>
            </w:pPr>
            <w:r>
              <w:rPr>
                <w:rFonts w:hint="eastAsia" w:asciiTheme="majorEastAsia" w:hAnsiTheme="majorEastAsia" w:eastAsiaTheme="majorEastAsia"/>
                <w:sz w:val="24"/>
              </w:rPr>
              <w:t>★</w:t>
            </w:r>
            <w:r>
              <w:rPr>
                <w:rFonts w:hint="eastAsia" w:cs="宋体" w:asciiTheme="majorEastAsia" w:hAnsiTheme="majorEastAsia" w:eastAsiaTheme="majorEastAsia"/>
                <w:kern w:val="0"/>
                <w:sz w:val="24"/>
              </w:rPr>
              <w:t>7.每套器材配有</w:t>
            </w:r>
            <w:r>
              <w:rPr>
                <w:rFonts w:cs="宋体" w:asciiTheme="majorEastAsia" w:hAnsiTheme="majorEastAsia" w:eastAsiaTheme="majorEastAsia"/>
                <w:kern w:val="0"/>
                <w:sz w:val="24"/>
              </w:rPr>
              <w:t>纸质</w:t>
            </w:r>
            <w:r>
              <w:rPr>
                <w:rFonts w:hint="eastAsia" w:cs="宋体" w:asciiTheme="majorEastAsia" w:hAnsiTheme="majorEastAsia" w:eastAsiaTheme="majorEastAsia"/>
                <w:kern w:val="0"/>
                <w:sz w:val="24"/>
              </w:rPr>
              <w:t>配套教材1本。（</w:t>
            </w:r>
            <w:r>
              <w:rPr>
                <w:rFonts w:cs="宋体" w:asciiTheme="majorEastAsia" w:hAnsiTheme="majorEastAsia" w:eastAsiaTheme="majorEastAsia"/>
                <w:kern w:val="0"/>
                <w:sz w:val="24"/>
              </w:rPr>
              <w:t>投标时提供教材封</w:t>
            </w:r>
            <w:r>
              <w:rPr>
                <w:rFonts w:hint="eastAsia" w:cs="宋体" w:asciiTheme="majorEastAsia" w:hAnsiTheme="majorEastAsia" w:eastAsiaTheme="majorEastAsia"/>
                <w:kern w:val="0"/>
                <w:sz w:val="24"/>
              </w:rPr>
              <w:t>面、目录、封底截图）</w:t>
            </w:r>
          </w:p>
        </w:tc>
      </w:tr>
      <w:tr>
        <w:tblPrEx>
          <w:tblCellMar>
            <w:top w:w="0" w:type="dxa"/>
            <w:left w:w="108" w:type="dxa"/>
            <w:bottom w:w="0" w:type="dxa"/>
            <w:right w:w="108" w:type="dxa"/>
          </w:tblCellMar>
        </w:tblPrEx>
        <w:trPr>
          <w:trHeight w:val="2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9</w:t>
            </w: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asciiTheme="majorEastAsia" w:hAnsiTheme="majorEastAsia" w:eastAsiaTheme="majorEastAsia"/>
                <w:color w:val="000000"/>
                <w:sz w:val="24"/>
                <w:szCs w:val="24"/>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AI可编程机器人场地（低段）</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套</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cs="宋体" w:asciiTheme="majorEastAsia" w:hAnsiTheme="majorEastAsia" w:eastAsiaTheme="majorEastAsia"/>
                <w:color w:val="000000"/>
                <w:sz w:val="24"/>
                <w:szCs w:val="24"/>
              </w:rPr>
            </w:pPr>
          </w:p>
        </w:tc>
        <w:tc>
          <w:tcPr>
            <w:tcW w:w="4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场地大小为2米x2米的方形场地内，引导线为黑色，宽为2.8cm。起点、终点圈尺寸为：长15cm*宽20cm。</w:t>
            </w:r>
          </w:p>
        </w:tc>
      </w:tr>
      <w:tr>
        <w:tblPrEx>
          <w:tblCellMar>
            <w:top w:w="0" w:type="dxa"/>
            <w:left w:w="108" w:type="dxa"/>
            <w:bottom w:w="0" w:type="dxa"/>
            <w:right w:w="108" w:type="dxa"/>
          </w:tblCellMar>
        </w:tblPrEx>
        <w:trPr>
          <w:trHeight w:val="2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10</w:t>
            </w: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asciiTheme="majorEastAsia" w:hAnsiTheme="majorEastAsia" w:eastAsiaTheme="majorEastAsia"/>
                <w:color w:val="000000"/>
                <w:sz w:val="24"/>
                <w:szCs w:val="24"/>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AI可编程机器人场地（高段）</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套</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cs="宋体" w:asciiTheme="majorEastAsia" w:hAnsiTheme="majorEastAsia" w:eastAsiaTheme="majorEastAsia"/>
                <w:color w:val="000000"/>
                <w:sz w:val="24"/>
                <w:szCs w:val="24"/>
              </w:rPr>
            </w:pPr>
          </w:p>
        </w:tc>
        <w:tc>
          <w:tcPr>
            <w:tcW w:w="4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物块大小为：长10cm*宽10cm*高10cm正方体。引导线为黑色，宽为18mm。起点、终点圈尺寸为：长15cm*宽15cm。物块ABCD到引导线垂直距离为10cm。</w:t>
            </w:r>
          </w:p>
        </w:tc>
      </w:tr>
      <w:tr>
        <w:tblPrEx>
          <w:tblCellMar>
            <w:top w:w="0" w:type="dxa"/>
            <w:left w:w="108" w:type="dxa"/>
            <w:bottom w:w="0" w:type="dxa"/>
            <w:right w:w="108" w:type="dxa"/>
          </w:tblCellMar>
        </w:tblPrEx>
        <w:trPr>
          <w:trHeight w:val="2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11</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竞赛设备</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任务挑战机器人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套</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任务挑战</w:t>
            </w:r>
          </w:p>
        </w:tc>
        <w:tc>
          <w:tcPr>
            <w:tcW w:w="4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处理器:ARM 9处理器 300MHz 基于Linux操作系统；输入端口:4个输入端口，1000/s的采样率；输出端口:4个；存储:内置16MB的ROM和64MB的RAM；支持最高32GB Micro SD卡拓展；按键:可发出三种颜色的六个按钮，并且通过颜色表明活动状态；屏幕:分辨率178*128像素；它包含一个可编程控制器,使得它可以控制机器人和收集传感器反馈的信息；支持BT和WIFI以及提供自主编程和数据日志记录；</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主要零件包括：三个互动伺服电机（内置旋转传感器）、超声波传感器、颜色传感器、陀螺仪传感器和两个触摸传感器、可充电电池、球轮、连接电缆、拼装说明。</w:t>
            </w:r>
          </w:p>
        </w:tc>
      </w:tr>
      <w:tr>
        <w:tblPrEx>
          <w:tblCellMar>
            <w:top w:w="0" w:type="dxa"/>
            <w:left w:w="108" w:type="dxa"/>
            <w:bottom w:w="0" w:type="dxa"/>
            <w:right w:w="108" w:type="dxa"/>
          </w:tblCellMar>
        </w:tblPrEx>
        <w:trPr>
          <w:trHeight w:val="2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12</w:t>
            </w: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asciiTheme="majorEastAsia" w:hAnsiTheme="majorEastAsia" w:eastAsiaTheme="majorEastAsia"/>
                <w:color w:val="000000"/>
                <w:sz w:val="24"/>
                <w:szCs w:val="24"/>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小学任务挑战配件包</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套</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24"/>
                <w:szCs w:val="24"/>
              </w:rPr>
            </w:pPr>
          </w:p>
        </w:tc>
        <w:tc>
          <w:tcPr>
            <w:tcW w:w="4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定制小球（PLA材质，直径4cm，重量7g±0.2g，蓝色非透明）3个，黑色插销1000个，履带100个，直15孔梁200根，H型积木120个，方形积木230个。</w:t>
            </w:r>
          </w:p>
        </w:tc>
      </w:tr>
      <w:tr>
        <w:tblPrEx>
          <w:tblCellMar>
            <w:top w:w="0" w:type="dxa"/>
            <w:left w:w="108" w:type="dxa"/>
            <w:bottom w:w="0" w:type="dxa"/>
            <w:right w:w="108" w:type="dxa"/>
          </w:tblCellMar>
        </w:tblPrEx>
        <w:trPr>
          <w:trHeight w:val="2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13</w:t>
            </w: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asciiTheme="majorEastAsia" w:hAnsiTheme="majorEastAsia" w:eastAsiaTheme="majorEastAsia"/>
                <w:color w:val="000000"/>
                <w:sz w:val="24"/>
                <w:szCs w:val="24"/>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金刚人形机器人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套</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人形微电影</w:t>
            </w:r>
          </w:p>
        </w:tc>
        <w:tc>
          <w:tcPr>
            <w:tcW w:w="4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1.可编程自由活动关节数：</w:t>
            </w:r>
            <m:oMath>
              <m:r>
                <m:rPr>
                  <m:sty m:val="p"/>
                </m:rPr>
                <w:rPr>
                  <w:rFonts w:ascii="Cambria Math" w:hAnsi="Cambria Math" w:eastAsia="宋体" w:cs="宋体"/>
                  <w:kern w:val="0"/>
                  <w:sz w:val="24"/>
                  <w:szCs w:val="24"/>
                </w:rPr>
                <m:t>≥</m:t>
              </m:r>
            </m:oMath>
            <w:r>
              <w:rPr>
                <w:rFonts w:hint="eastAsia" w:ascii="宋体" w:hAnsi="宋体" w:eastAsia="宋体" w:cs="宋体"/>
                <w:kern w:val="0"/>
                <w:sz w:val="24"/>
                <w:szCs w:val="24"/>
              </w:rPr>
              <w:t>18</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2.电池额定电压：7.4V（DC）</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3.电池容量：</w:t>
            </w:r>
            <m:oMath>
              <m:r>
                <m:rPr>
                  <m:sty m:val="p"/>
                </m:rPr>
                <w:rPr>
                  <w:rFonts w:ascii="Cambria Math" w:hAnsi="Cambria Math" w:eastAsia="宋体" w:cs="宋体"/>
                  <w:kern w:val="0"/>
                  <w:sz w:val="24"/>
                  <w:szCs w:val="24"/>
                </w:rPr>
                <m:t>≥</m:t>
              </m:r>
            </m:oMath>
            <w:r>
              <w:rPr>
                <w:rFonts w:hint="eastAsia" w:ascii="宋体" w:hAnsi="宋体" w:eastAsia="宋体" w:cs="宋体"/>
                <w:kern w:val="0"/>
                <w:sz w:val="24"/>
                <w:szCs w:val="24"/>
              </w:rPr>
              <w:t>2200mAh</w:t>
            </w:r>
            <w:r>
              <w:rPr>
                <w:rFonts w:hint="eastAsia" w:ascii="宋体" w:hAnsi="宋体" w:eastAsia="宋体" w:cs="宋体"/>
                <w:kern w:val="0"/>
                <w:sz w:val="24"/>
                <w:szCs w:val="24"/>
              </w:rPr>
              <w:br w:type="textWrapping"/>
            </w:r>
            <w:r>
              <w:rPr>
                <w:rFonts w:hint="eastAsia" w:ascii="宋体" w:hAnsi="宋体" w:eastAsia="宋体" w:cs="宋体"/>
                <w:kern w:val="0"/>
                <w:sz w:val="24"/>
                <w:szCs w:val="24"/>
              </w:rPr>
              <w:t>4.通讯输入：WIFI</w:t>
            </w:r>
            <w:r>
              <w:rPr>
                <w:rFonts w:hint="eastAsia" w:ascii="宋体" w:hAnsi="宋体" w:eastAsia="宋体" w:cs="宋体"/>
                <w:kern w:val="0"/>
                <w:sz w:val="24"/>
                <w:szCs w:val="24"/>
              </w:rPr>
              <w:br w:type="textWrapping"/>
            </w:r>
            <w:r>
              <w:rPr>
                <w:rFonts w:hint="eastAsia" w:ascii="宋体" w:hAnsi="宋体" w:eastAsia="宋体" w:cs="宋体"/>
                <w:kern w:val="0"/>
                <w:sz w:val="24"/>
                <w:szCs w:val="24"/>
              </w:rPr>
              <w:t>5.存储空间：</w:t>
            </w:r>
            <m:oMath>
              <m:r>
                <m:rPr>
                  <m:sty m:val="p"/>
                </m:rPr>
                <w:rPr>
                  <w:rFonts w:ascii="Cambria Math" w:hAnsi="Cambria Math" w:eastAsia="宋体" w:cs="宋体"/>
                  <w:kern w:val="0"/>
                  <w:sz w:val="24"/>
                  <w:szCs w:val="24"/>
                </w:rPr>
                <m:t>≥</m:t>
              </m:r>
            </m:oMath>
            <w:r>
              <w:rPr>
                <w:rFonts w:hint="eastAsia" w:ascii="宋体" w:hAnsi="宋体" w:eastAsia="宋体" w:cs="宋体"/>
                <w:kern w:val="0"/>
                <w:sz w:val="24"/>
                <w:szCs w:val="24"/>
              </w:rPr>
              <w:t>8G</w:t>
            </w:r>
            <w:r>
              <w:rPr>
                <w:rFonts w:hint="eastAsia" w:ascii="宋体" w:hAnsi="宋体" w:eastAsia="宋体" w:cs="宋体"/>
                <w:kern w:val="0"/>
                <w:sz w:val="24"/>
                <w:szCs w:val="24"/>
              </w:rPr>
              <w:br w:type="textWrapping"/>
            </w:r>
            <w:r>
              <w:rPr>
                <w:rFonts w:hint="eastAsia" w:ascii="宋体" w:hAnsi="宋体" w:eastAsia="宋体" w:cs="宋体"/>
                <w:kern w:val="0"/>
                <w:sz w:val="24"/>
                <w:szCs w:val="24"/>
              </w:rPr>
              <w:t>6.外形尺寸（mm）：收缩状态：</w:t>
            </w:r>
            <m:oMath>
              <m:r>
                <m:rPr>
                  <m:sty m:val="p"/>
                </m:rPr>
                <w:rPr>
                  <w:rFonts w:ascii="Cambria Math" w:hAnsi="Cambria Math" w:eastAsia="宋体" w:cs="宋体"/>
                  <w:kern w:val="0"/>
                  <w:sz w:val="24"/>
                  <w:szCs w:val="24"/>
                </w:rPr>
                <m:t>≥</m:t>
              </m:r>
            </m:oMath>
            <w:r>
              <w:rPr>
                <w:rFonts w:hint="eastAsia" w:ascii="宋体" w:hAnsi="宋体" w:eastAsia="宋体" w:cs="宋体"/>
                <w:kern w:val="0"/>
                <w:sz w:val="24"/>
                <w:szCs w:val="24"/>
              </w:rPr>
              <w:t>205×155×315，展开状态：</w:t>
            </w:r>
            <m:oMath>
              <m:r>
                <m:rPr>
                  <m:sty m:val="p"/>
                </m:rPr>
                <w:rPr>
                  <w:rFonts w:ascii="Cambria Math" w:hAnsi="Cambria Math" w:eastAsia="宋体" w:cs="宋体"/>
                  <w:kern w:val="0"/>
                  <w:sz w:val="24"/>
                  <w:szCs w:val="24"/>
                </w:rPr>
                <m:t>≥</m:t>
              </m:r>
            </m:oMath>
            <w:r>
              <w:rPr>
                <w:rFonts w:hint="eastAsia" w:ascii="宋体" w:hAnsi="宋体" w:eastAsia="宋体" w:cs="宋体"/>
                <w:kern w:val="0"/>
                <w:sz w:val="24"/>
                <w:szCs w:val="24"/>
              </w:rPr>
              <w:t>515×125×410</w:t>
            </w:r>
            <w:r>
              <w:rPr>
                <w:rFonts w:hint="eastAsia" w:ascii="宋体" w:hAnsi="宋体" w:eastAsia="宋体" w:cs="宋体"/>
                <w:kern w:val="0"/>
                <w:sz w:val="24"/>
                <w:szCs w:val="24"/>
              </w:rPr>
              <w:br w:type="textWrapping"/>
            </w:r>
            <w:r>
              <w:rPr>
                <w:rFonts w:hint="eastAsia" w:ascii="宋体" w:hAnsi="宋体" w:eastAsia="宋体" w:cs="宋体"/>
                <w:kern w:val="0"/>
                <w:sz w:val="24"/>
                <w:szCs w:val="24"/>
              </w:rPr>
              <w:t>7.具有远程控制功能，可通过软件、遥控等操作实现机器人指定动作</w:t>
            </w:r>
            <w:r>
              <w:rPr>
                <w:rFonts w:hint="eastAsia" w:ascii="宋体" w:hAnsi="宋体" w:eastAsia="宋体" w:cs="宋体"/>
                <w:kern w:val="0"/>
                <w:sz w:val="24"/>
                <w:szCs w:val="24"/>
              </w:rPr>
              <w:br w:type="textWrapping"/>
            </w:r>
            <w:r>
              <w:rPr>
                <w:rFonts w:hint="eastAsia" w:ascii="宋体" w:hAnsi="宋体" w:eastAsia="宋体" w:cs="宋体"/>
                <w:kern w:val="0"/>
                <w:sz w:val="24"/>
                <w:szCs w:val="24"/>
              </w:rPr>
              <w:t>★8.机器人下巴可活动</w:t>
            </w:r>
            <w:r>
              <w:rPr>
                <w:rFonts w:hint="eastAsia" w:ascii="宋体" w:hAnsi="宋体" w:eastAsia="宋体" w:cs="宋体"/>
                <w:kern w:val="0"/>
                <w:sz w:val="24"/>
                <w:szCs w:val="24"/>
              </w:rPr>
              <w:br w:type="textWrapping"/>
            </w:r>
            <w:r>
              <w:rPr>
                <w:rFonts w:hint="eastAsia" w:ascii="宋体" w:hAnsi="宋体" w:eastAsia="宋体" w:cs="宋体"/>
                <w:kern w:val="0"/>
                <w:sz w:val="24"/>
                <w:szCs w:val="24"/>
              </w:rPr>
              <w:t>9.可播放音乐并根据语音命令执行相应动作</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★10.厂家需提供配套自有知识产权54课时</w:t>
            </w:r>
            <w:r>
              <w:rPr>
                <w:rFonts w:ascii="宋体" w:hAnsi="宋体" w:eastAsia="宋体" w:cs="宋体"/>
                <w:kern w:val="0"/>
                <w:sz w:val="24"/>
                <w:szCs w:val="24"/>
              </w:rPr>
              <w:t>纸质</w:t>
            </w:r>
            <w:r>
              <w:rPr>
                <w:rFonts w:hint="eastAsia" w:ascii="宋体" w:hAnsi="宋体" w:eastAsia="宋体" w:cs="宋体"/>
                <w:kern w:val="0"/>
                <w:sz w:val="24"/>
                <w:szCs w:val="24"/>
              </w:rPr>
              <w:t>配套教材，提供教材封面及目录截图</w:t>
            </w:r>
          </w:p>
          <w:p>
            <w:pPr>
              <w:widowControl/>
              <w:jc w:val="left"/>
              <w:textAlignment w:val="center"/>
              <w:rPr>
                <w:rFonts w:cs="宋体" w:asciiTheme="majorEastAsia" w:hAnsiTheme="majorEastAsia" w:eastAsiaTheme="majorEastAsia"/>
                <w:color w:val="000000"/>
                <w:sz w:val="24"/>
                <w:szCs w:val="24"/>
              </w:rPr>
            </w:pPr>
            <w:r>
              <w:rPr>
                <w:rFonts w:hint="eastAsia" w:ascii="宋体" w:hAnsi="宋体" w:eastAsia="宋体" w:cs="宋体"/>
                <w:kern w:val="0"/>
                <w:sz w:val="24"/>
                <w:szCs w:val="24"/>
              </w:rPr>
              <w:t>★11.提供样品演示</w:t>
            </w:r>
          </w:p>
        </w:tc>
      </w:tr>
      <w:tr>
        <w:tblPrEx>
          <w:tblCellMar>
            <w:top w:w="0" w:type="dxa"/>
            <w:left w:w="108" w:type="dxa"/>
            <w:bottom w:w="0" w:type="dxa"/>
            <w:right w:w="108" w:type="dxa"/>
          </w:tblCellMar>
        </w:tblPrEx>
        <w:trPr>
          <w:trHeight w:val="2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14</w:t>
            </w: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asciiTheme="majorEastAsia" w:hAnsiTheme="majorEastAsia" w:eastAsiaTheme="majorEastAsia"/>
                <w:color w:val="000000"/>
                <w:sz w:val="24"/>
                <w:szCs w:val="24"/>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18自由度配件包</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套</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24"/>
                <w:szCs w:val="24"/>
              </w:rPr>
            </w:pPr>
          </w:p>
        </w:tc>
        <w:tc>
          <w:tcPr>
            <w:tcW w:w="4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机器人电池2块、舵机4个、舵机连接线4条、常用螺丝刀1把、电显1个。</w:t>
            </w:r>
          </w:p>
        </w:tc>
      </w:tr>
      <w:tr>
        <w:tblPrEx>
          <w:tblCellMar>
            <w:top w:w="0" w:type="dxa"/>
            <w:left w:w="108" w:type="dxa"/>
            <w:bottom w:w="0" w:type="dxa"/>
            <w:right w:w="108" w:type="dxa"/>
          </w:tblCellMar>
        </w:tblPrEx>
        <w:trPr>
          <w:trHeight w:val="2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15</w:t>
            </w: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asciiTheme="majorEastAsia" w:hAnsiTheme="majorEastAsia" w:eastAsiaTheme="majorEastAsia"/>
                <w:color w:val="000000"/>
                <w:sz w:val="24"/>
                <w:szCs w:val="24"/>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常用工具包</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套</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24"/>
                <w:szCs w:val="24"/>
              </w:rPr>
            </w:pPr>
          </w:p>
        </w:tc>
        <w:tc>
          <w:tcPr>
            <w:tcW w:w="4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万能工具包1套（含数显万用表、斜嘴钳、尖嘴钳、剥线钳、镊子、数显电笔、电烙铁、吸锡器、胶布、焊锡丝、美工刀各1个），电动螺丝刀1套（含33个批头、8个套头、2个钻头，1个电钻，带充电器），25合1精密螺丝批组套1套。</w:t>
            </w:r>
          </w:p>
        </w:tc>
      </w:tr>
      <w:tr>
        <w:tblPrEx>
          <w:tblCellMar>
            <w:top w:w="0" w:type="dxa"/>
            <w:left w:w="108" w:type="dxa"/>
            <w:bottom w:w="0" w:type="dxa"/>
            <w:right w:w="108" w:type="dxa"/>
          </w:tblCellMar>
        </w:tblPrEx>
        <w:trPr>
          <w:trHeight w:val="2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基础设施</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1.08米边柜</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16</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cs="宋体" w:asciiTheme="majorEastAsia" w:hAnsiTheme="majorEastAsia" w:eastAsiaTheme="majorEastAsia"/>
                <w:color w:val="000000"/>
                <w:sz w:val="24"/>
                <w:szCs w:val="24"/>
              </w:rPr>
            </w:pPr>
          </w:p>
        </w:tc>
        <w:tc>
          <w:tcPr>
            <w:tcW w:w="4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尺寸：1080*550*800mm(长×宽×高),E1生态板台面，三合一固定</w:t>
            </w:r>
          </w:p>
        </w:tc>
      </w:tr>
    </w:tbl>
    <w:p>
      <w:pPr>
        <w:rPr>
          <w:rFonts w:asciiTheme="majorEastAsia" w:hAnsiTheme="majorEastAsia" w:eastAsiaTheme="majorEastAsia"/>
          <w:sz w:val="24"/>
          <w:szCs w:val="24"/>
        </w:rPr>
      </w:pPr>
    </w:p>
    <w:p>
      <w:pPr>
        <w:rPr>
          <w:rFonts w:asciiTheme="majorEastAsia" w:hAnsiTheme="majorEastAsia" w:eastAsiaTheme="majorEastAsia"/>
          <w:sz w:val="24"/>
          <w:szCs w:val="24"/>
        </w:rPr>
      </w:pPr>
    </w:p>
    <w:tbl>
      <w:tblPr>
        <w:tblStyle w:val="40"/>
        <w:tblW w:w="9712" w:type="dxa"/>
        <w:tblInd w:w="93" w:type="dxa"/>
        <w:tblLayout w:type="fixed"/>
        <w:tblCellMar>
          <w:top w:w="0" w:type="dxa"/>
          <w:left w:w="108" w:type="dxa"/>
          <w:bottom w:w="0" w:type="dxa"/>
          <w:right w:w="108" w:type="dxa"/>
        </w:tblCellMar>
      </w:tblPr>
      <w:tblGrid>
        <w:gridCol w:w="698"/>
        <w:gridCol w:w="1101"/>
        <w:gridCol w:w="1563"/>
        <w:gridCol w:w="1150"/>
        <w:gridCol w:w="775"/>
        <w:gridCol w:w="887"/>
        <w:gridCol w:w="3538"/>
      </w:tblGrid>
      <w:tr>
        <w:tblPrEx>
          <w:tblCellMar>
            <w:top w:w="0" w:type="dxa"/>
            <w:left w:w="108" w:type="dxa"/>
            <w:bottom w:w="0" w:type="dxa"/>
            <w:right w:w="108" w:type="dxa"/>
          </w:tblCellMar>
        </w:tblPrEx>
        <w:trPr>
          <w:trHeight w:val="375" w:hRule="atLeast"/>
        </w:trPr>
        <w:tc>
          <w:tcPr>
            <w:tcW w:w="9712" w:type="dxa"/>
            <w:gridSpan w:val="7"/>
            <w:tcBorders>
              <w:top w:val="single" w:color="000000" w:sz="4" w:space="0"/>
              <w:left w:val="single" w:color="000000" w:sz="4" w:space="0"/>
              <w:bottom w:val="single" w:color="000000" w:sz="4" w:space="0"/>
              <w:right w:val="single" w:color="000000" w:sz="4" w:space="0"/>
            </w:tcBorders>
            <w:shd w:val="clear" w:color="auto" w:fill="CFCECE"/>
            <w:noWrap/>
            <w:vAlign w:val="center"/>
          </w:tcPr>
          <w:p>
            <w:pPr>
              <w:widowControl/>
              <w:jc w:val="center"/>
              <w:textAlignment w:val="center"/>
              <w:rPr>
                <w:rFonts w:cs="宋体" w:asciiTheme="majorEastAsia" w:hAnsiTheme="majorEastAsia" w:eastAsiaTheme="majorEastAsia"/>
                <w:b/>
                <w:bCs/>
                <w:color w:val="000000"/>
                <w:sz w:val="24"/>
                <w:szCs w:val="24"/>
              </w:rPr>
            </w:pPr>
            <w:r>
              <w:rPr>
                <w:rFonts w:hint="eastAsia" w:cs="宋体" w:asciiTheme="majorEastAsia" w:hAnsiTheme="majorEastAsia" w:eastAsiaTheme="majorEastAsia"/>
                <w:b/>
                <w:bCs/>
                <w:color w:val="000000"/>
                <w:kern w:val="0"/>
                <w:sz w:val="24"/>
                <w:szCs w:val="24"/>
              </w:rPr>
              <w:t>仁北校区-设备&amp;基础设施</w:t>
            </w:r>
          </w:p>
        </w:tc>
      </w:tr>
      <w:tr>
        <w:tblPrEx>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DEEBF6"/>
            <w:noWrap/>
            <w:vAlign w:val="center"/>
          </w:tcPr>
          <w:p>
            <w:pPr>
              <w:widowControl/>
              <w:jc w:val="center"/>
              <w:textAlignment w:val="center"/>
              <w:rPr>
                <w:rFonts w:cs="宋体" w:asciiTheme="majorEastAsia" w:hAnsiTheme="majorEastAsia" w:eastAsiaTheme="majorEastAsia"/>
                <w:b/>
                <w:bCs/>
                <w:color w:val="000000"/>
                <w:sz w:val="24"/>
                <w:szCs w:val="24"/>
              </w:rPr>
            </w:pPr>
            <w:r>
              <w:rPr>
                <w:rFonts w:hint="eastAsia" w:cs="宋体" w:asciiTheme="majorEastAsia" w:hAnsiTheme="majorEastAsia" w:eastAsiaTheme="majorEastAsia"/>
                <w:b/>
                <w:bCs/>
                <w:color w:val="000000"/>
                <w:kern w:val="0"/>
                <w:sz w:val="24"/>
                <w:szCs w:val="24"/>
              </w:rPr>
              <w:t>序号</w:t>
            </w:r>
          </w:p>
        </w:tc>
        <w:tc>
          <w:tcPr>
            <w:tcW w:w="1101" w:type="dxa"/>
            <w:tcBorders>
              <w:top w:val="single" w:color="000000" w:sz="4" w:space="0"/>
              <w:left w:val="single" w:color="000000" w:sz="4" w:space="0"/>
              <w:bottom w:val="single" w:color="000000" w:sz="4" w:space="0"/>
              <w:right w:val="single" w:color="000000" w:sz="4" w:space="0"/>
            </w:tcBorders>
            <w:shd w:val="clear" w:color="auto" w:fill="DEEBF6"/>
            <w:noWrap/>
            <w:vAlign w:val="center"/>
          </w:tcPr>
          <w:p>
            <w:pPr>
              <w:widowControl/>
              <w:jc w:val="center"/>
              <w:textAlignment w:val="center"/>
              <w:rPr>
                <w:rFonts w:cs="宋体" w:asciiTheme="majorEastAsia" w:hAnsiTheme="majorEastAsia" w:eastAsiaTheme="majorEastAsia"/>
                <w:b/>
                <w:bCs/>
                <w:color w:val="000000"/>
                <w:sz w:val="24"/>
                <w:szCs w:val="24"/>
              </w:rPr>
            </w:pPr>
            <w:r>
              <w:rPr>
                <w:rFonts w:hint="eastAsia" w:cs="宋体" w:asciiTheme="majorEastAsia" w:hAnsiTheme="majorEastAsia" w:eastAsiaTheme="majorEastAsia"/>
                <w:b/>
                <w:bCs/>
                <w:color w:val="000000"/>
                <w:kern w:val="0"/>
                <w:sz w:val="24"/>
                <w:szCs w:val="24"/>
              </w:rPr>
              <w:t>类别</w:t>
            </w:r>
          </w:p>
        </w:tc>
        <w:tc>
          <w:tcPr>
            <w:tcW w:w="1563" w:type="dxa"/>
            <w:tcBorders>
              <w:top w:val="single" w:color="000000" w:sz="4" w:space="0"/>
              <w:left w:val="single" w:color="000000" w:sz="4" w:space="0"/>
              <w:bottom w:val="single" w:color="000000" w:sz="4" w:space="0"/>
              <w:right w:val="single" w:color="000000" w:sz="4" w:space="0"/>
            </w:tcBorders>
            <w:shd w:val="clear" w:color="auto" w:fill="DEEBF6"/>
            <w:noWrap/>
            <w:vAlign w:val="center"/>
          </w:tcPr>
          <w:p>
            <w:pPr>
              <w:widowControl/>
              <w:jc w:val="center"/>
              <w:textAlignment w:val="center"/>
              <w:rPr>
                <w:rFonts w:cs="宋体" w:asciiTheme="majorEastAsia" w:hAnsiTheme="majorEastAsia" w:eastAsiaTheme="majorEastAsia"/>
                <w:b/>
                <w:bCs/>
                <w:color w:val="000000"/>
                <w:sz w:val="24"/>
                <w:szCs w:val="24"/>
              </w:rPr>
            </w:pPr>
            <w:r>
              <w:rPr>
                <w:rFonts w:hint="eastAsia" w:cs="宋体" w:asciiTheme="majorEastAsia" w:hAnsiTheme="majorEastAsia" w:eastAsiaTheme="majorEastAsia"/>
                <w:b/>
                <w:bCs/>
                <w:color w:val="000000"/>
                <w:kern w:val="0"/>
                <w:sz w:val="24"/>
                <w:szCs w:val="24"/>
              </w:rPr>
              <w:t>设备名称</w:t>
            </w:r>
          </w:p>
        </w:tc>
        <w:tc>
          <w:tcPr>
            <w:tcW w:w="1150" w:type="dxa"/>
            <w:tcBorders>
              <w:top w:val="single" w:color="000000" w:sz="4" w:space="0"/>
              <w:left w:val="single" w:color="000000" w:sz="4" w:space="0"/>
              <w:bottom w:val="single" w:color="000000" w:sz="4" w:space="0"/>
              <w:right w:val="single" w:color="000000" w:sz="4" w:space="0"/>
            </w:tcBorders>
            <w:shd w:val="clear" w:color="auto" w:fill="DEEBF6"/>
            <w:noWrap/>
            <w:vAlign w:val="center"/>
          </w:tcPr>
          <w:p>
            <w:pPr>
              <w:widowControl/>
              <w:jc w:val="center"/>
              <w:textAlignment w:val="center"/>
              <w:rPr>
                <w:rFonts w:cs="宋体" w:asciiTheme="majorEastAsia" w:hAnsiTheme="majorEastAsia" w:eastAsiaTheme="majorEastAsia"/>
                <w:b/>
                <w:bCs/>
                <w:color w:val="000000"/>
                <w:sz w:val="24"/>
                <w:szCs w:val="24"/>
              </w:rPr>
            </w:pPr>
            <w:r>
              <w:rPr>
                <w:rFonts w:hint="eastAsia" w:cs="宋体" w:asciiTheme="majorEastAsia" w:hAnsiTheme="majorEastAsia" w:eastAsiaTheme="majorEastAsia"/>
                <w:b/>
                <w:bCs/>
                <w:color w:val="000000"/>
                <w:kern w:val="0"/>
                <w:sz w:val="24"/>
                <w:szCs w:val="24"/>
              </w:rPr>
              <w:t>数量</w:t>
            </w:r>
          </w:p>
        </w:tc>
        <w:tc>
          <w:tcPr>
            <w:tcW w:w="775" w:type="dxa"/>
            <w:tcBorders>
              <w:top w:val="single" w:color="000000" w:sz="4" w:space="0"/>
              <w:left w:val="single" w:color="000000" w:sz="4" w:space="0"/>
              <w:bottom w:val="single" w:color="000000" w:sz="4" w:space="0"/>
              <w:right w:val="single" w:color="000000" w:sz="4" w:space="0"/>
            </w:tcBorders>
            <w:shd w:val="clear" w:color="auto" w:fill="DEEBF6"/>
            <w:noWrap/>
            <w:vAlign w:val="center"/>
          </w:tcPr>
          <w:p>
            <w:pPr>
              <w:widowControl/>
              <w:jc w:val="center"/>
              <w:textAlignment w:val="center"/>
              <w:rPr>
                <w:rFonts w:cs="宋体" w:asciiTheme="majorEastAsia" w:hAnsiTheme="majorEastAsia" w:eastAsiaTheme="majorEastAsia"/>
                <w:b/>
                <w:bCs/>
                <w:color w:val="000000"/>
                <w:sz w:val="24"/>
                <w:szCs w:val="24"/>
              </w:rPr>
            </w:pPr>
            <w:r>
              <w:rPr>
                <w:rFonts w:hint="eastAsia" w:cs="宋体" w:asciiTheme="majorEastAsia" w:hAnsiTheme="majorEastAsia" w:eastAsiaTheme="majorEastAsia"/>
                <w:b/>
                <w:bCs/>
                <w:color w:val="000000"/>
                <w:kern w:val="0"/>
                <w:sz w:val="24"/>
                <w:szCs w:val="24"/>
              </w:rPr>
              <w:t>单位</w:t>
            </w:r>
          </w:p>
        </w:tc>
        <w:tc>
          <w:tcPr>
            <w:tcW w:w="887" w:type="dxa"/>
            <w:tcBorders>
              <w:top w:val="single" w:color="000000" w:sz="4" w:space="0"/>
              <w:left w:val="single" w:color="000000" w:sz="4" w:space="0"/>
              <w:bottom w:val="single" w:color="000000" w:sz="4" w:space="0"/>
              <w:right w:val="single" w:color="000000" w:sz="4" w:space="0"/>
            </w:tcBorders>
            <w:shd w:val="clear" w:color="auto" w:fill="DEEBF6"/>
            <w:noWrap/>
            <w:vAlign w:val="center"/>
          </w:tcPr>
          <w:p>
            <w:pPr>
              <w:widowControl/>
              <w:jc w:val="center"/>
              <w:textAlignment w:val="center"/>
              <w:rPr>
                <w:rFonts w:cs="宋体" w:asciiTheme="majorEastAsia" w:hAnsiTheme="majorEastAsia" w:eastAsiaTheme="majorEastAsia"/>
                <w:b/>
                <w:bCs/>
                <w:color w:val="000000"/>
                <w:sz w:val="24"/>
                <w:szCs w:val="24"/>
              </w:rPr>
            </w:pPr>
            <w:r>
              <w:rPr>
                <w:rFonts w:hint="eastAsia" w:cs="宋体" w:asciiTheme="majorEastAsia" w:hAnsiTheme="majorEastAsia" w:eastAsiaTheme="majorEastAsia"/>
                <w:b/>
                <w:bCs/>
                <w:color w:val="000000"/>
                <w:kern w:val="0"/>
                <w:sz w:val="24"/>
                <w:szCs w:val="24"/>
              </w:rPr>
              <w:t>课程</w:t>
            </w:r>
          </w:p>
        </w:tc>
        <w:tc>
          <w:tcPr>
            <w:tcW w:w="3538" w:type="dxa"/>
            <w:tcBorders>
              <w:top w:val="single" w:color="000000" w:sz="4" w:space="0"/>
              <w:left w:val="single" w:color="000000" w:sz="4" w:space="0"/>
              <w:bottom w:val="single" w:color="000000" w:sz="4" w:space="0"/>
              <w:right w:val="single" w:color="000000" w:sz="4" w:space="0"/>
            </w:tcBorders>
            <w:shd w:val="clear" w:color="auto" w:fill="DEEBF6"/>
            <w:noWrap/>
            <w:vAlign w:val="center"/>
          </w:tcPr>
          <w:p>
            <w:pPr>
              <w:widowControl/>
              <w:jc w:val="center"/>
              <w:textAlignment w:val="center"/>
              <w:rPr>
                <w:rFonts w:cs="宋体" w:asciiTheme="majorEastAsia" w:hAnsiTheme="majorEastAsia" w:eastAsiaTheme="majorEastAsia"/>
                <w:b/>
                <w:bCs/>
                <w:color w:val="000000"/>
                <w:sz w:val="24"/>
                <w:szCs w:val="24"/>
              </w:rPr>
            </w:pPr>
            <w:r>
              <w:rPr>
                <w:rFonts w:hint="eastAsia" w:cs="宋体" w:asciiTheme="majorEastAsia" w:hAnsiTheme="majorEastAsia" w:eastAsiaTheme="majorEastAsia"/>
                <w:b/>
                <w:bCs/>
                <w:color w:val="000000"/>
                <w:kern w:val="0"/>
                <w:sz w:val="24"/>
                <w:szCs w:val="24"/>
              </w:rPr>
              <w:t>参数</w:t>
            </w:r>
          </w:p>
        </w:tc>
      </w:tr>
      <w:tr>
        <w:tblPrEx>
          <w:tblCellMar>
            <w:top w:w="0" w:type="dxa"/>
            <w:left w:w="108" w:type="dxa"/>
            <w:bottom w:w="0" w:type="dxa"/>
            <w:right w:w="108" w:type="dxa"/>
          </w:tblCellMar>
        </w:tblPrEx>
        <w:trPr>
          <w:trHeight w:val="2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w:t>
            </w:r>
          </w:p>
        </w:tc>
        <w:tc>
          <w:tcPr>
            <w:tcW w:w="11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录播设备</w:t>
            </w:r>
          </w:p>
        </w:tc>
        <w:tc>
          <w:tcPr>
            <w:tcW w:w="1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互动终端</w:t>
            </w:r>
          </w:p>
        </w:tc>
        <w:tc>
          <w:tcPr>
            <w:tcW w:w="11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台</w:t>
            </w:r>
          </w:p>
        </w:tc>
        <w:tc>
          <w:tcPr>
            <w:tcW w:w="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cs="宋体" w:asciiTheme="majorEastAsia" w:hAnsiTheme="majorEastAsia" w:eastAsiaTheme="majorEastAsia"/>
                <w:color w:val="000000"/>
                <w:sz w:val="24"/>
                <w:szCs w:val="24"/>
              </w:rPr>
            </w:pPr>
          </w:p>
        </w:tc>
        <w:tc>
          <w:tcPr>
            <w:tcW w:w="3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1、支持19英寸机架安装，采用嵌入式操作系统、非PC架构，产品稳定可靠，支持7×24小时开机运行。</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2、具备1个HDMI输入接口和1个HDMI输出接口；2个XLR/大三芯平衡输入接口，1组RCA输入接口，1组RCA输出接口；支持2.4G/5G WiFi无线接入。</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3、最高支持1080P超高清视频处理能力，支持SVC分层编解码协议；支持G.711、G.722、OPUS通用音频协议，支持语音优化：回声消除、自动降噪、自动增益控制、自动增强、突出人声，支持唇音同步技术。                                                                 4、支持拍摄教师、学生、板书、课件等画面，画面可自动切换；听课端支持双屏画面输出，同时显示授课老师和分享课件的画面；授课端可对多画面模式进行手动调整，如只显示授课教室全景画面、特写画面、课件分享画面；多方互动教研场景，支持双屏画面输出，同时显示主讲人、内容分享画面。</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4、课件内容通过无线传屏器可支持无线传输，无需连接线缆，将教学电脑桌面内容进行分享，内容分享支持1080P、720P等多种分辨率，适应不同教学电脑的桌面分辨率。                                                                                                      5、支持录制视频的快速分享、回看功能，能通过微信、微博、互联网链接、邮件等不同方式进行便利分享；</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6、 支持课程、教研等活动日程提醒功能，能够自动同步约课、排课、教研安排等信息，并显示在课程表上，实现自动上课或手动一键上课；</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7、授课端可设置课堂密码，防止不相干人员进入课堂；授课老师可锁定课堂，锁定后，任何人不得加入课堂。授课端可对听课端的发言权限进行控制，老师可对任意听课终端进行手动静音、取消静音，避免互动教学课堂过于嘈杂。</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8、支持教学助手操控，可在教学平板、教学一体机上安装教学助手，通过教学平板、教学一体机，对互动终端进行触控操作；(提供教学助手软件截图)</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9、支持网络抗丢包算法，在丢包率30%的情况下能保证视频流畅传输，帧率不低于25帧/秒，在网络丢包率50%的情况下，声音清楚连贯,语音质量评测值MOS_LQO不低于3；丢包率80%时，语义依然可理解,语音质量评测值MOS_LQO不低于2.7（提供权威机构检测报告复印件）。</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10、终端支持与PC、PAD、手机等各类终端或微信进行互动，使互动课堂不局限于教室内的应用，还能实现不同空间的多元联通，如实现学校和家庭、学校和社区、学校和社会环境之间的联通。                                                                             11、终端支持3个软件客户端免费接入课堂，通过购买云服务可无限增加接入点。</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12、终端具有CCC检测报告，终端配套软件提供计算机软件著作权登记证书复印件。</w:t>
            </w:r>
          </w:p>
        </w:tc>
      </w:tr>
      <w:tr>
        <w:tblPrEx>
          <w:tblCellMar>
            <w:top w:w="0" w:type="dxa"/>
            <w:left w:w="108" w:type="dxa"/>
            <w:bottom w:w="0" w:type="dxa"/>
            <w:right w:w="108" w:type="dxa"/>
          </w:tblCellMar>
        </w:tblPrEx>
        <w:trPr>
          <w:trHeight w:val="2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2</w:t>
            </w: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asciiTheme="majorEastAsia" w:hAnsiTheme="majorEastAsia" w:eastAsiaTheme="majorEastAsia"/>
                <w:color w:val="000000"/>
                <w:sz w:val="24"/>
                <w:szCs w:val="24"/>
              </w:rPr>
            </w:pPr>
          </w:p>
        </w:tc>
        <w:tc>
          <w:tcPr>
            <w:tcW w:w="1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互动终端云服务</w:t>
            </w:r>
          </w:p>
        </w:tc>
        <w:tc>
          <w:tcPr>
            <w:tcW w:w="11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3</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年</w:t>
            </w:r>
          </w:p>
        </w:tc>
        <w:tc>
          <w:tcPr>
            <w:tcW w:w="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cs="宋体" w:asciiTheme="majorEastAsia" w:hAnsiTheme="majorEastAsia" w:eastAsiaTheme="majorEastAsia"/>
                <w:color w:val="000000"/>
                <w:sz w:val="24"/>
                <w:szCs w:val="24"/>
              </w:rPr>
            </w:pPr>
          </w:p>
        </w:tc>
        <w:tc>
          <w:tcPr>
            <w:tcW w:w="3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系统架构                                                                                                                 1) 采用先进云计算技术，基于x86通用服务器虚拟化部署，支持大规模服务器集群，保障平台计算性能、处理能力、扩展能力；</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2) 支持VMWare虚拟化部署，支持新型容器虚拟化部署；</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 xml:space="preserve">3) 支持负载均衡、自动迁移、分布式计算等智能化技术，保障平台的运行效率、稳定性和可靠性； </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4) 为了保证未来业务扩容，需提供不少于10000个应用节点并发接入，支持无限弹性扩容。（要求提供大规模并发接入案例证明）</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音视频能力</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1) 最高可支持4K超高清视频处理能力；</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2) 支持H.265高级编码协议，能在有限带宽下传输高质量网络视频；</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3) 支持SVC分层编解码协议，能适应不同带宽、不同设备能力、不同设备组网需求；</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4) 支持G.711、G.722、OPUS通用音频协议，支持48K采样率的全带音频；</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5) 为满足高品质互动体验，音视频发送端与接收端的延时不超过400ms</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 xml:space="preserve">网络适应性 </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1) 平台需支持跨网络连接，同时满足电信、移动、联通、教育网等不同网络终端设备的高速互联，平台机房不少于6线BGP网络接入；</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 xml:space="preserve">2) 云平台应具有多个接入节点，支持终端从就近节点接入，实现跨区域高速互联； </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 xml:space="preserve">3) 为满足3G/4G移动网络环境或偏远地区网络条件不好的用户接入，平台需支持低带宽呼叫速率，支持64Kbps带宽下进行呼叫； </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4) 在多方音视频互联中，平台可根据实际网络变化，自动动态调整互联带宽；</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5) 支持网络抗丢包算法，在丢包率30%的情况下能保证视频流畅传输，帧率不低于25帧/秒。（并提供权威机构检测报告以证明）</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6) 在网络丢包率50%的情况下，声音清楚连贯,语音质量评测值MOS_LQO不低于3；丢包率80%时，语义依然可理解,语音质量评测值MOS_LQO不低于2.7。（并提供权威机构检测报告以证明）</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7) 对于网络不稳定的终端接入，支持将终端从视频互联转换为语音接入；</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8) 提供防火墙穿越能力，TCP端口不高于2个，UDP端口不高于1个；</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 xml:space="preserve">系统可靠性 </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1) 支持集群式媒体资源池服务，媒体服务应支持自动负载均衡、异地多活；</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2) 为了保障教学业务的稳定可靠，任意服务器故障，都能自动切换到备用服务器，实现业务自动迁移，切换时间不大于5秒；</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3) 技术、产品、方案经过互联网公有云平台（阿里云、腾讯云、百度云、亚马逊云等）条件下大规模部署验证、运营和用户规模不低于30万，运营和使用时间不低于3年；（须提供原厂商运营后台业务数据统计证明）</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 xml:space="preserve"> 应用服务                                                           </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1) 支持与视频监控系统融合对接，实现对学校巡视督导、应急指挥；</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2) 支持个人电脑、手机平台移动接入，随时随地开展远程培训、互动教研、活动直播、会议会商等业务；</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3) 平台具备超大规模直播服务能力，无需通过第三方平台，可支持百万级观众同时在线观看；(需提供产品截图并加盖厂商公章)</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4) 平台具备音视频录制功能，对互动教学、远程培训、教研讨论、会议会商过程根据需要进行录制；录制文件可保存在平台或本地；</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5) 具备录制文件的快速分享、回看功能，能通过微信、微博、web链接、邮件等不同方式进行便利分享，广大老师、学生、家长可通过电脑浏览器、手机浏览器、微信app等常用方式进行观看；(需提供产品截图)</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6) 可提供在线答题功能，参与听课、培训的人员可以直接在系统上进行答题操作，系统自动统计答题结果；(需提供产品截图)</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7) 可提供在线签到功能，开展远程培训、教学研讨、会议会商等业务时，无需各单位、学校人工点名签到，通过系统可实现在线统计参与人员情况；(需提供产品截图)</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8) 支持版本更新服务，平台的运营由厂商保障，保持平台版本持续更新；平台可向接入终端设备推送最新的终端版本；                                                                          系统管理                                                                                                                   1) 平台支持分级、分组管理功能，各个学校能管理各自的终端设备和教学安排，管理部门能管理所有学校的终端设备及管理账号；</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2) 平台提供统一通讯录服务，终端入网更新后，通讯录自动更新下发到所有终端侧，方便系统内部老师、管理人员自主组织互动教学、直播录播、远程培训、会议会商；</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3) 支持业务管理功能，如预约课程、1+N结对课程、编辑课程信息、预约活动直播、发起互动研讨等，可对当前系统状态监测、课程记录查询、课程数据统计汇总等；</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4) 具备多种控制功能，如锁定课堂、听课端点名、多画面设置、静音闭音操作、添加删除终端等；</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5) 提供统计报表：报表内容包含Log日志，业务信息统计、设备状态统计；</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6）为每台互动终端提供100G云存储空间，可随时扩容。</w:t>
            </w:r>
          </w:p>
        </w:tc>
      </w:tr>
      <w:tr>
        <w:tblPrEx>
          <w:tblCellMar>
            <w:top w:w="0" w:type="dxa"/>
            <w:left w:w="108" w:type="dxa"/>
            <w:bottom w:w="0" w:type="dxa"/>
            <w:right w:w="108" w:type="dxa"/>
          </w:tblCellMar>
        </w:tblPrEx>
        <w:trPr>
          <w:trHeight w:val="2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3</w:t>
            </w: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asciiTheme="majorEastAsia" w:hAnsiTheme="majorEastAsia" w:eastAsiaTheme="majorEastAsia"/>
                <w:color w:val="000000"/>
                <w:sz w:val="24"/>
                <w:szCs w:val="24"/>
              </w:rPr>
            </w:pPr>
          </w:p>
        </w:tc>
        <w:tc>
          <w:tcPr>
            <w:tcW w:w="1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高清摄像机（含三脚架）</w:t>
            </w:r>
          </w:p>
        </w:tc>
        <w:tc>
          <w:tcPr>
            <w:tcW w:w="11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台</w:t>
            </w:r>
          </w:p>
        </w:tc>
        <w:tc>
          <w:tcPr>
            <w:tcW w:w="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cs="宋体" w:asciiTheme="majorEastAsia" w:hAnsiTheme="majorEastAsia" w:eastAsiaTheme="majorEastAsia"/>
                <w:color w:val="000000"/>
                <w:sz w:val="24"/>
                <w:szCs w:val="24"/>
              </w:rPr>
            </w:pPr>
          </w:p>
        </w:tc>
        <w:tc>
          <w:tcPr>
            <w:tcW w:w="3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1、视频输出接口：HDMI*1</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2、传感器类型：CMOS、1/2.7英寸</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3、传感器像素：有效像素：207万</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4、变焦倍数：12倍光学变焦</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5、水平视场角：72.5° ~ 6.9°，垂直视场角：44.8° ~ 3.9°</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6、水平转动范围：±170°，垂直转动范围：±30°，水平转动速度范围：1.7° ~ 100°/s，垂直转动速度范围：0.7° ~ 28°/s</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7、预置位数量：255</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8、通讯接口：RS232、RS485</w:t>
            </w:r>
          </w:p>
        </w:tc>
      </w:tr>
      <w:tr>
        <w:tblPrEx>
          <w:tblCellMar>
            <w:top w:w="0" w:type="dxa"/>
            <w:left w:w="108" w:type="dxa"/>
            <w:bottom w:w="0" w:type="dxa"/>
            <w:right w:w="108" w:type="dxa"/>
          </w:tblCellMar>
        </w:tblPrEx>
        <w:trPr>
          <w:trHeight w:val="2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4</w:t>
            </w: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asciiTheme="majorEastAsia" w:hAnsiTheme="majorEastAsia" w:eastAsiaTheme="majorEastAsia"/>
                <w:color w:val="000000"/>
                <w:sz w:val="24"/>
                <w:szCs w:val="24"/>
              </w:rPr>
            </w:pPr>
          </w:p>
        </w:tc>
        <w:tc>
          <w:tcPr>
            <w:tcW w:w="1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无线投屏器</w:t>
            </w:r>
          </w:p>
        </w:tc>
        <w:tc>
          <w:tcPr>
            <w:tcW w:w="11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台</w:t>
            </w:r>
          </w:p>
        </w:tc>
        <w:tc>
          <w:tcPr>
            <w:tcW w:w="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cs="宋体" w:asciiTheme="majorEastAsia" w:hAnsiTheme="majorEastAsia" w:eastAsiaTheme="majorEastAsia"/>
                <w:color w:val="000000"/>
                <w:sz w:val="24"/>
                <w:szCs w:val="24"/>
              </w:rPr>
            </w:pPr>
          </w:p>
        </w:tc>
        <w:tc>
          <w:tcPr>
            <w:tcW w:w="3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本地传屏与会议中传屏的无线传屏器，配合智能视频终端的无线连接，可将电脑屏幕传至终端大屏上显示，实现内容共享。数据接口：usb2.0*1，按键接口：传屏按键*1，操作频率：5.8Ghz，传输延时：≤100ms，视频帧率：1080P/15fps-30fps；支持操作系统：win7/8/10，Mac OS X 10.9及以上</w:t>
            </w:r>
          </w:p>
        </w:tc>
      </w:tr>
      <w:tr>
        <w:tblPrEx>
          <w:tblCellMar>
            <w:top w:w="0" w:type="dxa"/>
            <w:left w:w="108" w:type="dxa"/>
            <w:bottom w:w="0" w:type="dxa"/>
            <w:right w:w="108" w:type="dxa"/>
          </w:tblCellMar>
        </w:tblPrEx>
        <w:trPr>
          <w:trHeight w:val="2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5</w:t>
            </w: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asciiTheme="majorEastAsia" w:hAnsiTheme="majorEastAsia" w:eastAsiaTheme="majorEastAsia"/>
                <w:color w:val="000000"/>
                <w:sz w:val="24"/>
                <w:szCs w:val="24"/>
              </w:rPr>
            </w:pPr>
          </w:p>
        </w:tc>
        <w:tc>
          <w:tcPr>
            <w:tcW w:w="1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全向麦克风</w:t>
            </w:r>
          </w:p>
        </w:tc>
        <w:tc>
          <w:tcPr>
            <w:tcW w:w="11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套</w:t>
            </w:r>
          </w:p>
        </w:tc>
        <w:tc>
          <w:tcPr>
            <w:tcW w:w="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cs="宋体" w:asciiTheme="majorEastAsia" w:hAnsiTheme="majorEastAsia" w:eastAsiaTheme="majorEastAsia"/>
                <w:color w:val="000000"/>
                <w:sz w:val="24"/>
                <w:szCs w:val="24"/>
              </w:rPr>
            </w:pPr>
          </w:p>
        </w:tc>
        <w:tc>
          <w:tcPr>
            <w:tcW w:w="3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频率响应: 48Hz-16kHz、灵敏度: -36.5dB±2.5dB (0dB=1V/Pa at 1kHz)、输出阻抗: 100Ω±30% (at 1kHz)、等效噪声级: ≤26dB A (IEC 581-5)、声压级: 130dB (THD ≤1.0％ at 1kHz)、低频衰减开关：80Hz 10dB/倍频、使用电压: 9-52V幻像电源 、拾音距离：8米</w:t>
            </w:r>
          </w:p>
        </w:tc>
      </w:tr>
      <w:tr>
        <w:tblPrEx>
          <w:tblCellMar>
            <w:top w:w="0" w:type="dxa"/>
            <w:left w:w="108" w:type="dxa"/>
            <w:bottom w:w="0" w:type="dxa"/>
            <w:right w:w="108" w:type="dxa"/>
          </w:tblCellMar>
        </w:tblPrEx>
        <w:trPr>
          <w:trHeight w:val="2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6</w:t>
            </w: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asciiTheme="majorEastAsia" w:hAnsiTheme="majorEastAsia" w:eastAsiaTheme="majorEastAsia"/>
                <w:color w:val="000000"/>
                <w:sz w:val="24"/>
                <w:szCs w:val="24"/>
              </w:rPr>
            </w:pPr>
          </w:p>
        </w:tc>
        <w:tc>
          <w:tcPr>
            <w:tcW w:w="1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空间大脑</w:t>
            </w:r>
          </w:p>
        </w:tc>
        <w:tc>
          <w:tcPr>
            <w:tcW w:w="11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套</w:t>
            </w:r>
          </w:p>
        </w:tc>
        <w:tc>
          <w:tcPr>
            <w:tcW w:w="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cs="宋体" w:asciiTheme="majorEastAsia" w:hAnsiTheme="majorEastAsia" w:eastAsiaTheme="majorEastAsia"/>
                <w:color w:val="000000"/>
                <w:sz w:val="24"/>
                <w:szCs w:val="24"/>
              </w:rPr>
            </w:pPr>
          </w:p>
        </w:tc>
        <w:tc>
          <w:tcPr>
            <w:tcW w:w="3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1、具有空间融通功能，和之江汇无缝对接，教师在教学空间通过微信扫码绑定之江汇帐号后，可一键登录到之江汇个人空间,调取相关资源，可通过按键一键上传教学数据或资源到空间内；</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2、具有“显示课堂码”虚拟按键：快速调出本次课堂的空间二维码，学生扫码后进入微信公众号，可以进行笔记截图、浏览亮点笔记等；</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3、具有随堂微课虚拟按键：点击即可开启点、难点、题目知识讲解模式，采集课件、语音、板书内容，自动形成在线微课；</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4、具有“提问墙”虚拟按键：加入课堂的所有学生可以通过微信公众号在“提问墙”内提出问题，可以对问题进行文字描述并可以附加图片，老师打开软件提问墙模块可以看到学生提出的所有问题。</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5、具有“同步板书”虚拟按键，可对接互联黑板，点击即可实现同步课堂异地课堂板书同步、点评功能。</w:t>
            </w:r>
          </w:p>
        </w:tc>
      </w:tr>
      <w:tr>
        <w:tblPrEx>
          <w:tblCellMar>
            <w:top w:w="0" w:type="dxa"/>
            <w:left w:w="108" w:type="dxa"/>
            <w:bottom w:w="0" w:type="dxa"/>
            <w:right w:w="108" w:type="dxa"/>
          </w:tblCellMar>
        </w:tblPrEx>
        <w:trPr>
          <w:trHeight w:val="2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7</w:t>
            </w: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asciiTheme="majorEastAsia" w:hAnsiTheme="majorEastAsia" w:eastAsiaTheme="majorEastAsia"/>
                <w:color w:val="000000"/>
                <w:sz w:val="24"/>
                <w:szCs w:val="24"/>
              </w:rPr>
            </w:pPr>
          </w:p>
        </w:tc>
        <w:tc>
          <w:tcPr>
            <w:tcW w:w="1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电子班牌</w:t>
            </w:r>
          </w:p>
        </w:tc>
        <w:tc>
          <w:tcPr>
            <w:tcW w:w="11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套</w:t>
            </w:r>
          </w:p>
        </w:tc>
        <w:tc>
          <w:tcPr>
            <w:tcW w:w="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cs="宋体" w:asciiTheme="majorEastAsia" w:hAnsiTheme="majorEastAsia" w:eastAsiaTheme="majorEastAsia"/>
                <w:color w:val="000000"/>
                <w:sz w:val="24"/>
                <w:szCs w:val="24"/>
              </w:rPr>
            </w:pPr>
          </w:p>
        </w:tc>
        <w:tc>
          <w:tcPr>
            <w:tcW w:w="3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一、硬件参数</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 xml:space="preserve">1.CPU RK3288 4核 1.8G处理器 </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2.2GB内存 16GB存储</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3.显示尺寸≥21.5"，LED 背光源液晶显示屏；</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4.显示比例16:9；</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5.屏体亮度≥450cd/m²；</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6.屏体对比度：4000:1；</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7.物理解析度:高清 1920*1080；</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8.屏体级别:A 规屏；</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9.工作电压:12V/5A；</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10.触摸方式: 十点电容触摸；</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11.安装方式:壁挂；</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12.功耗：标准＜45W，待机≤0.5W；</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13.色彩度:8bit；</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14.最大可视角度≥178 度；</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 xml:space="preserve">15.内置摄像头 ≥ 500万像素 </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16.内置摄像头的水平视角DFOV ≥ 95°，无畸变</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 xml:space="preserve">17.内置摄像头清晰度 中心线 ≥ 1100线 </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18.寿命 (typ)/(min)  ≥ 100,000 hrs (min.)；</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19.图片格式支持：支持 BMP、JPEG、PNG、GIF ；视频格式：支持AVI（H.264、DIVX、DIVX、XVID）, rm，rmvb， MKV（H.264、DIVX、DIVX、XVID），WMV，MOV，MP4（.H.264、MPEG、DIVX、 XVID），DAT（VCD 格式），VOB（DVD 格式），PMP,MPEG，.MPG,， FLV（H.263，H.264），ASF，TS， TP，3GP，MPG 等 30 种 格式以上；音频格式：MP3,WMA,WAV, APE, FLAC, AAC,OGG,M4A,3GPP 格式；</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20.支持全向麦克；</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21.班牌主体采用铸铝工艺，抗撞、抗划、抗腐蚀；</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22.表面无尖锐边缘或凸起,保证师生安全使用；</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23.LED 背光源采用 A 规液晶屏，屏幕表面采用 2mm 厚度钢化玻璃，防划防撞；要求钢化玻璃可见光透射比不低于 92%；钢化玻璃表面处理：AG处理；</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24.支持左右声道输出, 内置双通道 4Ω3W 功放；</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25.后置输出接口具备 1 路DC IN，1 路网口，2路 USB 2.0；</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26.内嵌式左右滑板设计 保障USB接口的安全性。</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27.Wifi 网口控制，可远程开关机，定时开关机；</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28.整机尺寸：530L*355W*26V （mm）；</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二、软件功能</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1.系统深度定制，无法随意跳出当前播放节目；</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2.支持远程统一升级，升级完成自动返回节目播放界面；</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3.支持竖屏节目及横屏节目，支持任意分割画面播放，可分区展示图片、视频、文字、时间、天气、班级圈、第三方内容等各类显示信息；</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4.无网络或网络状态较差时，支持单机播放，提供模板，可单机发布图片、视频轮播，可设置U盘节目里图片轮播间隔；</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5.实时数据显示，时间、天气、倒计时；</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6.班级圈可在终端点击放大并滑动，无触摸自动返回节目主页；</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7.终端播放互动节目，可通过手势滑动或控件，可快速切换到视频、图片、场景或网页；</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8.可实现第三方对接数据内容的显示，各班级电子班牌自动获取课表、考勤信息等；</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9.支持节目APK资源展示；</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10.支持通过刷卡或账号密码登录个人中心；</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11.可通过个人中心对接第三方系统数据，如一卡通消费、图书借阅、家长留言等内容；</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12.为保证终端设备显示内容的安全，终端提供USB接口密码保护；</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13.节目过期或无效支持自动清除；</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14.支持任意分割画面播放，可分区展示图片、视频、文字、时间、天气、班级圈、对接第三方内容等各类显示信息</w:t>
            </w:r>
          </w:p>
        </w:tc>
      </w:tr>
      <w:tr>
        <w:tblPrEx>
          <w:tblCellMar>
            <w:top w:w="0" w:type="dxa"/>
            <w:left w:w="108" w:type="dxa"/>
            <w:bottom w:w="0" w:type="dxa"/>
            <w:right w:w="108" w:type="dxa"/>
          </w:tblCellMar>
        </w:tblPrEx>
        <w:trPr>
          <w:trHeight w:val="2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8</w:t>
            </w:r>
          </w:p>
        </w:tc>
        <w:tc>
          <w:tcPr>
            <w:tcW w:w="11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竞赛设备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超级轨迹机器人</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2</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套</w:t>
            </w:r>
          </w:p>
        </w:tc>
        <w:tc>
          <w:tcPr>
            <w:tcW w:w="8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 xml:space="preserve">机器人超级轨迹 </w:t>
            </w:r>
          </w:p>
        </w:tc>
        <w:tc>
          <w:tcPr>
            <w:tcW w:w="3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控制器选用SKCON9，配备3.5寸彩色触摸屏，可以通过触摸，完成程序运行、读取传感器（外置与内置）、读写数据、快速编程、调试电机与设置，更可以显示表情、文字。SKCON9兼备USB有线接口与Wi-Fi无线功能，支持有线升级固件与联网更新系统！内置蓝牙、扬声器、麦克风、陀螺仪 ，支持多种外置传感器执行器，支持图像模块，支持智能电机（舵机）、闭环电机。核心参数如下：</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(1)双处理器：MTK6580 CPU，1.3GHz，4G FLASH、512M RAM；32位Cortex-M3（STM32F103VET6）CPU，72MHz，512K FLASH、64K SRAM。</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(2)I/O接口：共12路，采用RJ11插座，配合使用RJ11插头的线缆，结构牢固且便于插拔。端口具备模拟输入（AI）、数字输入（DI）、数字输出（DO）、UART串行通用异步通讯接口和可复用的I²C总线同步串行通讯接口。</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(3)电机接口：共4路（RJ11）。端口具备闭环控制功能，支持控制电机的转向，输出电压为电池电压，单路支持最大电流为1.5A。端口还支持读取电机编码器返回值。(演示电机调试)</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(4)SERVO接口：共1路（RJ11），485总线控制，可读取并控制智能电机的ID、角度、速度。（演示控制智能电机）</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(5)人工智能模块接口：共1路，采用标准USB-A接口，支持图像模块，用于机器人学习与识别。（可演示识别图像、二维码、机器人学习等功能）</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(6)有线联机接口：共1路，采用标准USB-C接口，配合使用通用数据线，操作便捷又可靠。支持有线下载用户程序。</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(7)内置wifi，支持WLAN（仅2.4G）及热点2种无线模式，支持无线下载用户程序与无线升级固件。</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(8)内置陀螺仪，支持获取3轴角度返回值。（可现场演示陀螺仪实时数值）</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 xml:space="preserve">(9)内置麦克风，支持获取声强返回值（模拟量），支持录音。 </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 xml:space="preserve">(10)内置扬声器，支持播放“你好、再见”“钢琴、架子鼓”等内置音频以及录音文件。 </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(11)使用专用锂电池供电（7.4V，1500mAh，11.1Wh，支持独立充电），SKCON9工作电压7-8.4V。</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(12)SKCON9支持流程图编程、C语言编程、条形图编程（本机快速编程）与Python语言编程，交互友好、功能强大，初学者门槛低，进阶快，高阶扩展空间广。（用触摸屏现场演示快速编程，实现快速简单调试）</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2.全套产品组件包含结构件、传动件、传感器、执行器和其他功能性组件。组件数量1070个种类90种：</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(1)结构件：设计比例基于标准的10毫米积木，拼插式搭建方式，无螺丝搭建设计。主要元器件包含六面搭建立方体若干、4种点结构、6种面结构、8种线结构、6种轴、2种丝杠等。各种类型结构部件还以颜色区分，全套产品颜色多于5种。提供使用手册。（可演示介绍六面搭建）</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(2)传动件：9 种齿轮齿条86 个，包含：六面搭建立方体的 5：1 减速齿轮箱、1：1 转向齿轮箱、丝杠、12 半高锥齿轮、20 半高锥齿轮、12 锥直齿轮、20 锥直齿 轮、8 直齿、24 直齿、52 转盘齿底盖、52 转盘齿底盘、28 差速齿、36 锥直齿轮、40 直齿轮、16 直齿轮、齿条、蜗杆等。</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(3)传感器：组件数量13个，种类8种，包含：摄像头1个，超声波传感器1个，红外线传感器1个，颜色传感器1个，碰撞传感器1个，灰度传感器6个，磁敏传感器1个，角度传感器1个。（自动识别传感器类型，可现场演示）</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(4)执行器：小闭环电机4套,大闭环电机2套，智能电机1套，智能灯2个，电磁铁1个。</w:t>
            </w:r>
          </w:p>
        </w:tc>
      </w:tr>
      <w:tr>
        <w:tblPrEx>
          <w:tblCellMar>
            <w:top w:w="0" w:type="dxa"/>
            <w:left w:w="108" w:type="dxa"/>
            <w:bottom w:w="0" w:type="dxa"/>
            <w:right w:w="108" w:type="dxa"/>
          </w:tblCellMar>
        </w:tblPrEx>
        <w:trPr>
          <w:trHeight w:val="2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9</w:t>
            </w: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asciiTheme="majorEastAsia" w:hAnsiTheme="majorEastAsia" w:eastAsiaTheme="majorEastAsia"/>
                <w:color w:val="000000"/>
                <w:sz w:val="24"/>
                <w:szCs w:val="24"/>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电教超级轨迹场地纸（含道具）</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套</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24"/>
                <w:szCs w:val="24"/>
              </w:rPr>
            </w:pPr>
          </w:p>
        </w:tc>
        <w:tc>
          <w:tcPr>
            <w:tcW w:w="3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  结构件：设计比例基于标准的10毫米积木，拼插式搭建方式，无螺丝搭建设计。组件数量1783个，组件种类48种。主要元器件包含：3种点结构、4种面结构、7种线结构、7种轴。</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2  传动件：10种齿轮齿条38个，包含：齿条、蜗杆、36锥直齿轮、12半高锥齿轮、20半高锥齿轮、12锥直齿轮、40直齿轮、24直齿、52转盘齿底盘、52转盘齿底盘盖。</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3  模型套装包含2021年电教WER比赛场地喷绘布（一层和二层各一张）、场地斜坡地贴、护栏贴。附场地布置方法说明和任务模型搭建说明。能够完成2021年电教WER规则要求的所有任务模型的搭建，可以直接将任务模型通过魔术贴粘在场地上且方便位置调换。</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4图像识别（可以演示）</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5 二维码识别/数字识别/文字识别/万物识别（可以演示）</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6 属于全国电脑制作活动WER能力挑战赛指定场地。</w:t>
            </w:r>
          </w:p>
        </w:tc>
      </w:tr>
      <w:tr>
        <w:tblPrEx>
          <w:tblCellMar>
            <w:top w:w="0" w:type="dxa"/>
            <w:left w:w="108" w:type="dxa"/>
            <w:bottom w:w="0" w:type="dxa"/>
            <w:right w:w="108" w:type="dxa"/>
          </w:tblCellMar>
        </w:tblPrEx>
        <w:trPr>
          <w:trHeight w:val="2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10</w:t>
            </w: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asciiTheme="majorEastAsia" w:hAnsiTheme="majorEastAsia" w:eastAsiaTheme="majorEastAsia"/>
                <w:color w:val="000000"/>
                <w:sz w:val="24"/>
                <w:szCs w:val="24"/>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能力风暴积木教育机器人</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套</w:t>
            </w:r>
          </w:p>
        </w:tc>
        <w:tc>
          <w:tcPr>
            <w:tcW w:w="8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WER能力挑战</w:t>
            </w:r>
          </w:p>
        </w:tc>
        <w:tc>
          <w:tcPr>
            <w:tcW w:w="3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 xml:space="preserve">双层折叠式金属框架，展开规格尺寸不小于2m＊2m。 </w:t>
            </w:r>
          </w:p>
        </w:tc>
      </w:tr>
      <w:tr>
        <w:tblPrEx>
          <w:tblCellMar>
            <w:top w:w="0" w:type="dxa"/>
            <w:left w:w="108" w:type="dxa"/>
            <w:bottom w:w="0" w:type="dxa"/>
            <w:right w:w="108" w:type="dxa"/>
          </w:tblCellMar>
        </w:tblPrEx>
        <w:trPr>
          <w:trHeight w:val="2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11</w:t>
            </w: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asciiTheme="majorEastAsia" w:hAnsiTheme="majorEastAsia" w:eastAsiaTheme="majorEastAsia"/>
                <w:color w:val="000000"/>
                <w:sz w:val="24"/>
                <w:szCs w:val="24"/>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WER能力挑战赛任务模型及地图套装</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套</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24"/>
                <w:szCs w:val="24"/>
              </w:rPr>
            </w:pPr>
          </w:p>
        </w:tc>
        <w:tc>
          <w:tcPr>
            <w:tcW w:w="3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1、属于浙江省学生信息素养提升实践活动准入器材；</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2、设计比例基于标准的10毫米积木，无螺丝的搭建设计，不少于545个积木件，种类不少于95种。</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3、控制器最低为32位高性能ARM处理器（主频72MHz，512K程序存储器，64K数据缓冲器）；内置 LCD彩色触摸屏，液晶显示屏尺寸不小于2.4英寸，分辨率不低于320*240，色彩不低于65K；内置音量检测（探测范围40-120分贝，精度不低于1%，频率范围20－16000Hz）和发声模块；端口不少于12路，采用六芯RJ11接口设计，其中8路数字/模拟复用端口、4路自带驱动的伺服马达端口（具有自我保护功能）；支持U盘程序下载模式；提供外接电源和内置6节AA电池的两种供电方式,带MP3功能。</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4、至少有光电传感器（峰值频段940nm，带宽400－1100nm）5个，2.4G无线遥控手柄1套。</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5、至少有2个伺服马达（内置高精度编码器，既可作直流马达使用，也可以作伺服马达使用，转速300+10%RPM，额定电压5－7.2V，工作电流135mA@6V）和两个全彩灯。转速260-280RPM，运行扭矩10Ncm，失速扭矩15Ncm的马达2个。</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6、配套的机器人编程软件具备课程管理功能，同时支持图形化编程和代码编程方式。</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7、能和电子积木搭配使用，完成功能拓展；</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8、内含锂电池2块，1个充电器。</w:t>
            </w:r>
            <w:r>
              <w:rPr>
                <w:rFonts w:hint="eastAsia" w:cs="宋体" w:asciiTheme="majorEastAsia" w:hAnsiTheme="majorEastAsia" w:eastAsiaTheme="majorEastAsia"/>
                <w:color w:val="000000"/>
                <w:kern w:val="0"/>
                <w:sz w:val="24"/>
                <w:szCs w:val="24"/>
              </w:rPr>
              <w:br w:type="textWrapping"/>
            </w:r>
            <w:r>
              <w:rPr>
                <w:rFonts w:hint="eastAsia" w:cs="宋体" w:asciiTheme="majorEastAsia" w:hAnsiTheme="majorEastAsia" w:eastAsiaTheme="majorEastAsia"/>
                <w:color w:val="000000"/>
                <w:kern w:val="0"/>
                <w:sz w:val="24"/>
                <w:szCs w:val="24"/>
              </w:rPr>
              <w:t>9、机器人软件为机器人快车软件，提供电子课程。</w:t>
            </w:r>
          </w:p>
        </w:tc>
      </w:tr>
      <w:tr>
        <w:tblPrEx>
          <w:tblCellMar>
            <w:top w:w="0" w:type="dxa"/>
            <w:left w:w="108" w:type="dxa"/>
            <w:bottom w:w="0" w:type="dxa"/>
            <w:right w:w="108" w:type="dxa"/>
          </w:tblCellMar>
        </w:tblPrEx>
        <w:trPr>
          <w:trHeight w:val="2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12</w:t>
            </w: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asciiTheme="majorEastAsia" w:hAnsiTheme="majorEastAsia" w:eastAsiaTheme="majorEastAsia"/>
                <w:color w:val="000000"/>
                <w:sz w:val="24"/>
                <w:szCs w:val="24"/>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WER能力挑战赛场地框架</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套</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24"/>
                <w:szCs w:val="24"/>
              </w:rPr>
            </w:pPr>
          </w:p>
        </w:tc>
        <w:tc>
          <w:tcPr>
            <w:tcW w:w="3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符合2021年电教超级轨迹规则，场地纸2米*5米</w:t>
            </w:r>
          </w:p>
        </w:tc>
      </w:tr>
      <w:tr>
        <w:tblPrEx>
          <w:tblCellMar>
            <w:top w:w="0" w:type="dxa"/>
            <w:left w:w="108" w:type="dxa"/>
            <w:bottom w:w="0" w:type="dxa"/>
            <w:right w:w="108" w:type="dxa"/>
          </w:tblCellMar>
        </w:tblPrEx>
        <w:trPr>
          <w:trHeight w:val="2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13</w:t>
            </w:r>
          </w:p>
        </w:tc>
        <w:tc>
          <w:tcPr>
            <w:tcW w:w="11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基础设施</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讲桌</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张</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24"/>
                <w:szCs w:val="24"/>
              </w:rPr>
            </w:pPr>
          </w:p>
        </w:tc>
        <w:tc>
          <w:tcPr>
            <w:tcW w:w="3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2000*600*1000，柜体、台面E1级三聚氰胺板（双贴面厚度≧16mm）。封四边，三合一体连接件固定</w:t>
            </w:r>
          </w:p>
        </w:tc>
      </w:tr>
      <w:tr>
        <w:tblPrEx>
          <w:tblCellMar>
            <w:top w:w="0" w:type="dxa"/>
            <w:left w:w="108" w:type="dxa"/>
            <w:bottom w:w="0" w:type="dxa"/>
            <w:right w:w="108" w:type="dxa"/>
          </w:tblCellMar>
        </w:tblPrEx>
        <w:trPr>
          <w:trHeight w:val="2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14</w:t>
            </w: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asciiTheme="majorEastAsia" w:hAnsiTheme="majorEastAsia" w:eastAsiaTheme="majorEastAsia"/>
                <w:color w:val="000000"/>
                <w:sz w:val="24"/>
                <w:szCs w:val="24"/>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学生桌</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8</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组</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24"/>
                <w:szCs w:val="24"/>
              </w:rPr>
            </w:pPr>
          </w:p>
        </w:tc>
        <w:tc>
          <w:tcPr>
            <w:tcW w:w="3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1400mm×700mm×780mm台面采用25mmE1级三聚氰胺板，两个等腰梯形桌拼起来一套六边桌。台身采用16mm厚E1级三聚氰胺防火板，其它部位均采用2mm厚塑制优质封边条机械封边。</w:t>
            </w:r>
          </w:p>
        </w:tc>
      </w:tr>
      <w:tr>
        <w:tblPrEx>
          <w:tblCellMar>
            <w:top w:w="0" w:type="dxa"/>
            <w:left w:w="108" w:type="dxa"/>
            <w:bottom w:w="0" w:type="dxa"/>
            <w:right w:w="108" w:type="dxa"/>
          </w:tblCellMar>
        </w:tblPrEx>
        <w:trPr>
          <w:trHeight w:val="2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15</w:t>
            </w: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asciiTheme="majorEastAsia" w:hAnsiTheme="majorEastAsia" w:eastAsiaTheme="majorEastAsia"/>
                <w:color w:val="000000"/>
                <w:sz w:val="24"/>
                <w:szCs w:val="24"/>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凳子</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48</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个</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24"/>
                <w:szCs w:val="24"/>
              </w:rPr>
            </w:pPr>
          </w:p>
        </w:tc>
        <w:tc>
          <w:tcPr>
            <w:tcW w:w="3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方凳子370*265*450(长*宽*高）</w:t>
            </w:r>
          </w:p>
        </w:tc>
      </w:tr>
      <w:tr>
        <w:tblPrEx>
          <w:tblCellMar>
            <w:top w:w="0" w:type="dxa"/>
            <w:left w:w="108" w:type="dxa"/>
            <w:bottom w:w="0" w:type="dxa"/>
            <w:right w:w="108" w:type="dxa"/>
          </w:tblCellMar>
        </w:tblPrEx>
        <w:trPr>
          <w:trHeight w:val="2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16</w:t>
            </w: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asciiTheme="majorEastAsia" w:hAnsiTheme="majorEastAsia" w:eastAsiaTheme="majorEastAsia"/>
                <w:color w:val="000000"/>
                <w:sz w:val="24"/>
                <w:szCs w:val="24"/>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矮柜操作台</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8</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组</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24"/>
                <w:szCs w:val="24"/>
              </w:rPr>
            </w:pPr>
          </w:p>
        </w:tc>
        <w:tc>
          <w:tcPr>
            <w:tcW w:w="3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尺寸：1080*550*800,多层生态板结构，双贴面厚度≧16mm，封四边.台面厚度≧25mE1级三聚氰胺板m，三合一固定，蓝色桌面，下面对开门。</w:t>
            </w:r>
          </w:p>
        </w:tc>
      </w:tr>
      <w:tr>
        <w:tblPrEx>
          <w:tblCellMar>
            <w:top w:w="0" w:type="dxa"/>
            <w:left w:w="108" w:type="dxa"/>
            <w:bottom w:w="0" w:type="dxa"/>
            <w:right w:w="108" w:type="dxa"/>
          </w:tblCellMar>
        </w:tblPrEx>
        <w:trPr>
          <w:trHeight w:val="2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17</w:t>
            </w: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asciiTheme="majorEastAsia" w:hAnsiTheme="majorEastAsia" w:eastAsiaTheme="majorEastAsia"/>
                <w:color w:val="000000"/>
                <w:sz w:val="24"/>
                <w:szCs w:val="24"/>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展示柜</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4</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组</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24"/>
                <w:szCs w:val="24"/>
              </w:rPr>
            </w:pPr>
          </w:p>
        </w:tc>
        <w:tc>
          <w:tcPr>
            <w:tcW w:w="3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尺寸：1000*400*2400,25*25铁艺框架焊接，（壁厚≧1.2mm）。静电喷涂工艺，白哑光。E1级生态多层板框架造型，柜门及立柱均为16MM，白色</w:t>
            </w:r>
          </w:p>
        </w:tc>
      </w:tr>
    </w:tbl>
    <w:p>
      <w:pPr>
        <w:rPr>
          <w:rFonts w:asciiTheme="majorEastAsia" w:hAnsiTheme="majorEastAsia" w:eastAsiaTheme="majorEastAsia"/>
          <w:sz w:val="24"/>
          <w:szCs w:val="24"/>
        </w:rPr>
      </w:pPr>
    </w:p>
    <w:tbl>
      <w:tblPr>
        <w:tblStyle w:val="40"/>
        <w:tblW w:w="9724" w:type="dxa"/>
        <w:tblInd w:w="93" w:type="dxa"/>
        <w:tblLayout w:type="fixed"/>
        <w:tblCellMar>
          <w:top w:w="0" w:type="dxa"/>
          <w:left w:w="108" w:type="dxa"/>
          <w:bottom w:w="0" w:type="dxa"/>
          <w:right w:w="108" w:type="dxa"/>
        </w:tblCellMar>
      </w:tblPr>
      <w:tblGrid>
        <w:gridCol w:w="852"/>
        <w:gridCol w:w="1285"/>
        <w:gridCol w:w="2375"/>
        <w:gridCol w:w="1596"/>
        <w:gridCol w:w="3616"/>
      </w:tblGrid>
      <w:tr>
        <w:tblPrEx>
          <w:tblCellMar>
            <w:top w:w="0" w:type="dxa"/>
            <w:left w:w="108" w:type="dxa"/>
            <w:bottom w:w="0" w:type="dxa"/>
            <w:right w:w="108" w:type="dxa"/>
          </w:tblCellMar>
        </w:tblPrEx>
        <w:trPr>
          <w:trHeight w:val="375" w:hRule="atLeast"/>
        </w:trPr>
        <w:tc>
          <w:tcPr>
            <w:tcW w:w="9724" w:type="dxa"/>
            <w:gridSpan w:val="5"/>
            <w:tcBorders>
              <w:top w:val="single" w:color="000000" w:sz="4" w:space="0"/>
              <w:left w:val="single" w:color="000000" w:sz="4" w:space="0"/>
              <w:bottom w:val="single" w:color="000000" w:sz="4" w:space="0"/>
              <w:right w:val="single" w:color="000000" w:sz="4" w:space="0"/>
            </w:tcBorders>
            <w:shd w:val="clear" w:color="auto" w:fill="CFCECE"/>
            <w:noWrap/>
            <w:vAlign w:val="center"/>
          </w:tcPr>
          <w:p>
            <w:pPr>
              <w:widowControl/>
              <w:jc w:val="center"/>
              <w:textAlignment w:val="center"/>
              <w:rPr>
                <w:rFonts w:cs="宋体" w:asciiTheme="majorEastAsia" w:hAnsiTheme="majorEastAsia" w:eastAsiaTheme="majorEastAsia"/>
                <w:b/>
                <w:bCs/>
                <w:color w:val="000000"/>
                <w:sz w:val="24"/>
                <w:szCs w:val="24"/>
              </w:rPr>
            </w:pPr>
            <w:r>
              <w:rPr>
                <w:rFonts w:hint="eastAsia" w:cs="宋体" w:asciiTheme="majorEastAsia" w:hAnsiTheme="majorEastAsia" w:eastAsiaTheme="majorEastAsia"/>
                <w:b/>
                <w:bCs/>
                <w:color w:val="000000"/>
                <w:kern w:val="0"/>
                <w:sz w:val="24"/>
                <w:szCs w:val="24"/>
              </w:rPr>
              <w:t>青阳校区-装修</w:t>
            </w:r>
          </w:p>
        </w:tc>
      </w:tr>
      <w:tr>
        <w:tblPrEx>
          <w:tblCellMar>
            <w:top w:w="0" w:type="dxa"/>
            <w:left w:w="108" w:type="dxa"/>
            <w:bottom w:w="0" w:type="dxa"/>
            <w:right w:w="108" w:type="dxa"/>
          </w:tblCellMar>
        </w:tblPrEx>
        <w:trPr>
          <w:trHeight w:val="285" w:hRule="atLeast"/>
        </w:trPr>
        <w:tc>
          <w:tcPr>
            <w:tcW w:w="852" w:type="dxa"/>
            <w:tcBorders>
              <w:top w:val="single" w:color="000000" w:sz="4" w:space="0"/>
              <w:left w:val="single" w:color="000000" w:sz="4" w:space="0"/>
              <w:bottom w:val="single" w:color="000000" w:sz="4" w:space="0"/>
              <w:right w:val="single" w:color="000000" w:sz="4" w:space="0"/>
            </w:tcBorders>
            <w:shd w:val="clear" w:color="auto" w:fill="DEEBF6"/>
            <w:noWrap/>
            <w:vAlign w:val="center"/>
          </w:tcPr>
          <w:p>
            <w:pPr>
              <w:widowControl/>
              <w:jc w:val="center"/>
              <w:textAlignment w:val="center"/>
              <w:rPr>
                <w:rFonts w:cs="宋体" w:asciiTheme="majorEastAsia" w:hAnsiTheme="majorEastAsia" w:eastAsiaTheme="majorEastAsia"/>
                <w:b/>
                <w:bCs/>
                <w:color w:val="000000"/>
                <w:sz w:val="24"/>
                <w:szCs w:val="24"/>
              </w:rPr>
            </w:pPr>
            <w:r>
              <w:rPr>
                <w:rFonts w:hint="eastAsia" w:cs="宋体" w:asciiTheme="majorEastAsia" w:hAnsiTheme="majorEastAsia" w:eastAsiaTheme="majorEastAsia"/>
                <w:b/>
                <w:bCs/>
                <w:color w:val="000000"/>
                <w:kern w:val="0"/>
                <w:sz w:val="24"/>
                <w:szCs w:val="24"/>
              </w:rPr>
              <w:t>序号</w:t>
            </w:r>
          </w:p>
        </w:tc>
        <w:tc>
          <w:tcPr>
            <w:tcW w:w="1285" w:type="dxa"/>
            <w:tcBorders>
              <w:top w:val="single" w:color="000000" w:sz="4" w:space="0"/>
              <w:left w:val="single" w:color="000000" w:sz="4" w:space="0"/>
              <w:bottom w:val="single" w:color="000000" w:sz="4" w:space="0"/>
              <w:right w:val="single" w:color="000000" w:sz="4" w:space="0"/>
            </w:tcBorders>
            <w:shd w:val="clear" w:color="auto" w:fill="DEEBF6"/>
            <w:noWrap/>
            <w:vAlign w:val="center"/>
          </w:tcPr>
          <w:p>
            <w:pPr>
              <w:widowControl/>
              <w:jc w:val="center"/>
              <w:textAlignment w:val="center"/>
              <w:rPr>
                <w:rFonts w:cs="宋体" w:asciiTheme="majorEastAsia" w:hAnsiTheme="majorEastAsia" w:eastAsiaTheme="majorEastAsia"/>
                <w:b/>
                <w:bCs/>
                <w:color w:val="000000"/>
                <w:sz w:val="24"/>
                <w:szCs w:val="24"/>
              </w:rPr>
            </w:pPr>
            <w:r>
              <w:rPr>
                <w:rFonts w:hint="eastAsia" w:cs="宋体" w:asciiTheme="majorEastAsia" w:hAnsiTheme="majorEastAsia" w:eastAsiaTheme="majorEastAsia"/>
                <w:b/>
                <w:bCs/>
                <w:color w:val="000000"/>
                <w:kern w:val="0"/>
                <w:sz w:val="24"/>
                <w:szCs w:val="24"/>
              </w:rPr>
              <w:t>类别</w:t>
            </w:r>
          </w:p>
        </w:tc>
        <w:tc>
          <w:tcPr>
            <w:tcW w:w="2375" w:type="dxa"/>
            <w:tcBorders>
              <w:top w:val="single" w:color="000000" w:sz="4" w:space="0"/>
              <w:left w:val="single" w:color="000000" w:sz="4" w:space="0"/>
              <w:bottom w:val="single" w:color="000000" w:sz="4" w:space="0"/>
              <w:right w:val="single" w:color="000000" w:sz="4" w:space="0"/>
            </w:tcBorders>
            <w:shd w:val="clear" w:color="auto" w:fill="DEEBF6"/>
            <w:noWrap/>
            <w:vAlign w:val="center"/>
          </w:tcPr>
          <w:p>
            <w:pPr>
              <w:widowControl/>
              <w:jc w:val="center"/>
              <w:textAlignment w:val="center"/>
              <w:rPr>
                <w:rFonts w:cs="宋体" w:asciiTheme="majorEastAsia" w:hAnsiTheme="majorEastAsia" w:eastAsiaTheme="majorEastAsia"/>
                <w:b/>
                <w:bCs/>
                <w:color w:val="000000"/>
                <w:sz w:val="24"/>
                <w:szCs w:val="24"/>
              </w:rPr>
            </w:pPr>
            <w:r>
              <w:rPr>
                <w:rFonts w:hint="eastAsia" w:cs="宋体" w:asciiTheme="majorEastAsia" w:hAnsiTheme="majorEastAsia" w:eastAsiaTheme="majorEastAsia"/>
                <w:b/>
                <w:bCs/>
                <w:color w:val="000000"/>
                <w:kern w:val="0"/>
                <w:sz w:val="24"/>
                <w:szCs w:val="24"/>
              </w:rPr>
              <w:t>工程项目</w:t>
            </w:r>
          </w:p>
        </w:tc>
        <w:tc>
          <w:tcPr>
            <w:tcW w:w="1596" w:type="dxa"/>
            <w:tcBorders>
              <w:top w:val="single" w:color="000000" w:sz="4" w:space="0"/>
              <w:left w:val="single" w:color="000000" w:sz="4" w:space="0"/>
              <w:bottom w:val="single" w:color="000000" w:sz="4" w:space="0"/>
              <w:right w:val="single" w:color="000000" w:sz="4" w:space="0"/>
            </w:tcBorders>
            <w:shd w:val="clear" w:color="auto" w:fill="DEEBF6"/>
            <w:noWrap/>
            <w:vAlign w:val="center"/>
          </w:tcPr>
          <w:p>
            <w:pPr>
              <w:widowControl/>
              <w:jc w:val="center"/>
              <w:textAlignment w:val="center"/>
              <w:rPr>
                <w:rFonts w:cs="宋体" w:asciiTheme="majorEastAsia" w:hAnsiTheme="majorEastAsia" w:eastAsiaTheme="majorEastAsia"/>
                <w:b/>
                <w:bCs/>
                <w:color w:val="000000"/>
                <w:sz w:val="24"/>
                <w:szCs w:val="24"/>
              </w:rPr>
            </w:pPr>
            <w:r>
              <w:rPr>
                <w:rFonts w:hint="eastAsia" w:cs="宋体" w:asciiTheme="majorEastAsia" w:hAnsiTheme="majorEastAsia" w:eastAsiaTheme="majorEastAsia"/>
                <w:b/>
                <w:bCs/>
                <w:color w:val="000000"/>
                <w:kern w:val="0"/>
                <w:sz w:val="24"/>
                <w:szCs w:val="24"/>
              </w:rPr>
              <w:t>数量</w:t>
            </w:r>
          </w:p>
        </w:tc>
        <w:tc>
          <w:tcPr>
            <w:tcW w:w="3616" w:type="dxa"/>
            <w:tcBorders>
              <w:top w:val="single" w:color="000000" w:sz="4" w:space="0"/>
              <w:left w:val="single" w:color="000000" w:sz="4" w:space="0"/>
              <w:bottom w:val="single" w:color="000000" w:sz="4" w:space="0"/>
              <w:right w:val="single" w:color="000000" w:sz="4" w:space="0"/>
            </w:tcBorders>
            <w:shd w:val="clear" w:color="auto" w:fill="DEEBF6"/>
            <w:noWrap/>
            <w:vAlign w:val="center"/>
          </w:tcPr>
          <w:p>
            <w:pPr>
              <w:widowControl/>
              <w:jc w:val="center"/>
              <w:textAlignment w:val="center"/>
              <w:rPr>
                <w:rFonts w:cs="宋体" w:asciiTheme="majorEastAsia" w:hAnsiTheme="majorEastAsia" w:eastAsiaTheme="majorEastAsia"/>
                <w:b/>
                <w:bCs/>
                <w:color w:val="000000"/>
                <w:sz w:val="24"/>
                <w:szCs w:val="24"/>
              </w:rPr>
            </w:pPr>
            <w:r>
              <w:rPr>
                <w:rFonts w:hint="eastAsia" w:cs="宋体" w:asciiTheme="majorEastAsia" w:hAnsiTheme="majorEastAsia" w:eastAsiaTheme="majorEastAsia"/>
                <w:b/>
                <w:bCs/>
                <w:color w:val="000000"/>
                <w:kern w:val="0"/>
                <w:sz w:val="24"/>
                <w:szCs w:val="24"/>
              </w:rPr>
              <w:t>单位</w:t>
            </w:r>
          </w:p>
        </w:tc>
      </w:tr>
      <w:tr>
        <w:tblPrEx>
          <w:tblCellMar>
            <w:top w:w="0" w:type="dxa"/>
            <w:left w:w="108" w:type="dxa"/>
            <w:bottom w:w="0" w:type="dxa"/>
            <w:right w:w="108" w:type="dxa"/>
          </w:tblCellMar>
        </w:tblPrEx>
        <w:trPr>
          <w:trHeight w:val="27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w:t>
            </w:r>
          </w:p>
        </w:tc>
        <w:tc>
          <w:tcPr>
            <w:tcW w:w="128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装修</w:t>
            </w:r>
          </w:p>
        </w:tc>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天棚石膏板造型</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平方</w:t>
            </w:r>
          </w:p>
        </w:tc>
        <w:tc>
          <w:tcPr>
            <w:tcW w:w="3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120</w:t>
            </w:r>
          </w:p>
        </w:tc>
      </w:tr>
      <w:tr>
        <w:tblPrEx>
          <w:tblCellMar>
            <w:top w:w="0" w:type="dxa"/>
            <w:left w:w="108" w:type="dxa"/>
            <w:bottom w:w="0" w:type="dxa"/>
            <w:right w:w="108" w:type="dxa"/>
          </w:tblCellMar>
        </w:tblPrEx>
        <w:trPr>
          <w:trHeight w:val="27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2</w:t>
            </w:r>
          </w:p>
        </w:tc>
        <w:tc>
          <w:tcPr>
            <w:tcW w:w="128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cs="宋体" w:asciiTheme="majorEastAsia" w:hAnsiTheme="majorEastAsia" w:eastAsiaTheme="majorEastAsia"/>
                <w:color w:val="000000"/>
                <w:sz w:val="24"/>
                <w:szCs w:val="24"/>
              </w:rPr>
            </w:pPr>
          </w:p>
        </w:tc>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线路改造</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米</w:t>
            </w:r>
          </w:p>
        </w:tc>
        <w:tc>
          <w:tcPr>
            <w:tcW w:w="3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50</w:t>
            </w:r>
          </w:p>
        </w:tc>
      </w:tr>
      <w:tr>
        <w:tblPrEx>
          <w:tblCellMar>
            <w:top w:w="0" w:type="dxa"/>
            <w:left w:w="108" w:type="dxa"/>
            <w:bottom w:w="0" w:type="dxa"/>
            <w:right w:w="108" w:type="dxa"/>
          </w:tblCellMar>
        </w:tblPrEx>
        <w:trPr>
          <w:trHeight w:val="27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3</w:t>
            </w:r>
          </w:p>
        </w:tc>
        <w:tc>
          <w:tcPr>
            <w:tcW w:w="128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cs="宋体" w:asciiTheme="majorEastAsia" w:hAnsiTheme="majorEastAsia" w:eastAsiaTheme="majorEastAsia"/>
                <w:color w:val="000000"/>
                <w:sz w:val="24"/>
                <w:szCs w:val="24"/>
              </w:rPr>
            </w:pPr>
          </w:p>
        </w:tc>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多媒体黑板拆装</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项</w:t>
            </w:r>
          </w:p>
        </w:tc>
        <w:tc>
          <w:tcPr>
            <w:tcW w:w="3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w:t>
            </w:r>
          </w:p>
        </w:tc>
      </w:tr>
      <w:tr>
        <w:tblPrEx>
          <w:tblCellMar>
            <w:top w:w="0" w:type="dxa"/>
            <w:left w:w="108" w:type="dxa"/>
            <w:bottom w:w="0" w:type="dxa"/>
            <w:right w:w="108" w:type="dxa"/>
          </w:tblCellMar>
        </w:tblPrEx>
        <w:trPr>
          <w:trHeight w:val="27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4</w:t>
            </w:r>
          </w:p>
        </w:tc>
        <w:tc>
          <w:tcPr>
            <w:tcW w:w="128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cs="宋体" w:asciiTheme="majorEastAsia" w:hAnsiTheme="majorEastAsia" w:eastAsiaTheme="majorEastAsia"/>
                <w:color w:val="000000"/>
                <w:sz w:val="24"/>
                <w:szCs w:val="24"/>
              </w:rPr>
            </w:pPr>
          </w:p>
        </w:tc>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墙面工具柜</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项</w:t>
            </w:r>
          </w:p>
        </w:tc>
        <w:tc>
          <w:tcPr>
            <w:tcW w:w="3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w:t>
            </w:r>
          </w:p>
        </w:tc>
      </w:tr>
      <w:tr>
        <w:tblPrEx>
          <w:tblCellMar>
            <w:top w:w="0" w:type="dxa"/>
            <w:left w:w="108" w:type="dxa"/>
            <w:bottom w:w="0" w:type="dxa"/>
            <w:right w:w="108" w:type="dxa"/>
          </w:tblCellMar>
        </w:tblPrEx>
        <w:trPr>
          <w:trHeight w:val="27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5</w:t>
            </w:r>
          </w:p>
        </w:tc>
        <w:tc>
          <w:tcPr>
            <w:tcW w:w="128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cs="宋体" w:asciiTheme="majorEastAsia" w:hAnsiTheme="majorEastAsia" w:eastAsiaTheme="majorEastAsia"/>
                <w:color w:val="000000"/>
                <w:sz w:val="24"/>
                <w:szCs w:val="24"/>
              </w:rPr>
            </w:pPr>
          </w:p>
        </w:tc>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黑色地脚线</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米</w:t>
            </w:r>
          </w:p>
        </w:tc>
        <w:tc>
          <w:tcPr>
            <w:tcW w:w="3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46</w:t>
            </w:r>
          </w:p>
        </w:tc>
      </w:tr>
      <w:tr>
        <w:tblPrEx>
          <w:tblCellMar>
            <w:top w:w="0" w:type="dxa"/>
            <w:left w:w="108" w:type="dxa"/>
            <w:bottom w:w="0" w:type="dxa"/>
            <w:right w:w="108" w:type="dxa"/>
          </w:tblCellMar>
        </w:tblPrEx>
        <w:trPr>
          <w:trHeight w:val="27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6</w:t>
            </w:r>
          </w:p>
        </w:tc>
        <w:tc>
          <w:tcPr>
            <w:tcW w:w="128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cs="宋体" w:asciiTheme="majorEastAsia" w:hAnsiTheme="majorEastAsia" w:eastAsiaTheme="majorEastAsia"/>
                <w:color w:val="000000"/>
                <w:sz w:val="24"/>
                <w:szCs w:val="24"/>
              </w:rPr>
            </w:pPr>
          </w:p>
        </w:tc>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水槽（包含水管）</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项</w:t>
            </w:r>
          </w:p>
        </w:tc>
        <w:tc>
          <w:tcPr>
            <w:tcW w:w="3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w:t>
            </w:r>
          </w:p>
        </w:tc>
      </w:tr>
      <w:tr>
        <w:tblPrEx>
          <w:tblCellMar>
            <w:top w:w="0" w:type="dxa"/>
            <w:left w:w="108" w:type="dxa"/>
            <w:bottom w:w="0" w:type="dxa"/>
            <w:right w:w="108" w:type="dxa"/>
          </w:tblCellMar>
        </w:tblPrEx>
        <w:trPr>
          <w:trHeight w:val="27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7</w:t>
            </w:r>
          </w:p>
        </w:tc>
        <w:tc>
          <w:tcPr>
            <w:tcW w:w="128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cs="宋体" w:asciiTheme="majorEastAsia" w:hAnsiTheme="majorEastAsia" w:eastAsiaTheme="majorEastAsia"/>
                <w:color w:val="000000"/>
                <w:sz w:val="24"/>
                <w:szCs w:val="24"/>
              </w:rPr>
            </w:pPr>
          </w:p>
        </w:tc>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天棚、四壁批腻子</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平</w:t>
            </w:r>
          </w:p>
        </w:tc>
        <w:tc>
          <w:tcPr>
            <w:tcW w:w="3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213</w:t>
            </w:r>
          </w:p>
        </w:tc>
      </w:tr>
      <w:tr>
        <w:tblPrEx>
          <w:tblCellMar>
            <w:top w:w="0" w:type="dxa"/>
            <w:left w:w="108" w:type="dxa"/>
            <w:bottom w:w="0" w:type="dxa"/>
            <w:right w:w="108" w:type="dxa"/>
          </w:tblCellMar>
        </w:tblPrEx>
        <w:trPr>
          <w:trHeight w:val="27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8</w:t>
            </w:r>
          </w:p>
        </w:tc>
        <w:tc>
          <w:tcPr>
            <w:tcW w:w="128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cs="宋体" w:asciiTheme="majorEastAsia" w:hAnsiTheme="majorEastAsia" w:eastAsiaTheme="majorEastAsia"/>
                <w:color w:val="000000"/>
                <w:sz w:val="24"/>
                <w:szCs w:val="24"/>
              </w:rPr>
            </w:pPr>
          </w:p>
        </w:tc>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天棚、四壁批涂料</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平</w:t>
            </w:r>
          </w:p>
        </w:tc>
        <w:tc>
          <w:tcPr>
            <w:tcW w:w="3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214</w:t>
            </w:r>
          </w:p>
        </w:tc>
      </w:tr>
      <w:tr>
        <w:tblPrEx>
          <w:tblCellMar>
            <w:top w:w="0" w:type="dxa"/>
            <w:left w:w="108" w:type="dxa"/>
            <w:bottom w:w="0" w:type="dxa"/>
            <w:right w:w="108" w:type="dxa"/>
          </w:tblCellMar>
        </w:tblPrEx>
        <w:trPr>
          <w:trHeight w:val="27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9</w:t>
            </w:r>
          </w:p>
        </w:tc>
        <w:tc>
          <w:tcPr>
            <w:tcW w:w="128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cs="宋体" w:asciiTheme="majorEastAsia" w:hAnsiTheme="majorEastAsia" w:eastAsiaTheme="majorEastAsia"/>
                <w:color w:val="000000"/>
                <w:sz w:val="24"/>
                <w:szCs w:val="24"/>
              </w:rPr>
            </w:pPr>
          </w:p>
        </w:tc>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天棚布灯线</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平</w:t>
            </w:r>
          </w:p>
        </w:tc>
        <w:tc>
          <w:tcPr>
            <w:tcW w:w="3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165</w:t>
            </w:r>
          </w:p>
        </w:tc>
      </w:tr>
      <w:tr>
        <w:tblPrEx>
          <w:tblCellMar>
            <w:top w:w="0" w:type="dxa"/>
            <w:left w:w="108" w:type="dxa"/>
            <w:bottom w:w="0" w:type="dxa"/>
            <w:right w:w="108" w:type="dxa"/>
          </w:tblCellMar>
        </w:tblPrEx>
        <w:trPr>
          <w:trHeight w:val="27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10</w:t>
            </w:r>
          </w:p>
        </w:tc>
        <w:tc>
          <w:tcPr>
            <w:tcW w:w="128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cs="宋体" w:asciiTheme="majorEastAsia" w:hAnsiTheme="majorEastAsia" w:eastAsiaTheme="majorEastAsia"/>
                <w:color w:val="000000"/>
                <w:sz w:val="24"/>
                <w:szCs w:val="24"/>
              </w:rPr>
            </w:pPr>
          </w:p>
        </w:tc>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装饰灯（含灯带）</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个</w:t>
            </w:r>
          </w:p>
        </w:tc>
        <w:tc>
          <w:tcPr>
            <w:tcW w:w="3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10</w:t>
            </w:r>
          </w:p>
        </w:tc>
      </w:tr>
      <w:tr>
        <w:tblPrEx>
          <w:tblCellMar>
            <w:top w:w="0" w:type="dxa"/>
            <w:left w:w="108" w:type="dxa"/>
            <w:bottom w:w="0" w:type="dxa"/>
            <w:right w:w="108" w:type="dxa"/>
          </w:tblCellMar>
        </w:tblPrEx>
        <w:trPr>
          <w:trHeight w:val="27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11</w:t>
            </w:r>
          </w:p>
        </w:tc>
        <w:tc>
          <w:tcPr>
            <w:tcW w:w="128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cs="宋体" w:asciiTheme="majorEastAsia" w:hAnsiTheme="majorEastAsia" w:eastAsiaTheme="majorEastAsia"/>
                <w:color w:val="000000"/>
                <w:sz w:val="24"/>
                <w:szCs w:val="24"/>
              </w:rPr>
            </w:pPr>
          </w:p>
        </w:tc>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其他工程</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项</w:t>
            </w:r>
          </w:p>
        </w:tc>
        <w:tc>
          <w:tcPr>
            <w:tcW w:w="3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w:t>
            </w:r>
          </w:p>
        </w:tc>
      </w:tr>
    </w:tbl>
    <w:p>
      <w:pPr>
        <w:rPr>
          <w:rFonts w:hint="eastAsia"/>
        </w:rPr>
      </w:pPr>
      <w:r>
        <w:rPr>
          <w:rFonts w:hint="eastAsia" w:ascii="宋体" w:hAnsi="宋体" w:eastAsia="宋体" w:cs="宋体"/>
        </w:rPr>
        <w:drawing>
          <wp:inline distT="0" distB="0" distL="0" distR="0">
            <wp:extent cx="5760085" cy="5537200"/>
            <wp:effectExtent l="0" t="0" r="0" b="0"/>
            <wp:docPr id="11" name="图片 11" descr="/Users/cjg/Desktop/爱山小学（青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Users/cjg/Desktop/爱山小学（青阳）.jpg"/>
                    <pic:cNvPicPr>
                      <a:picLocks noChangeAspect="1" noChangeArrowheads="1"/>
                    </pic:cNvPicPr>
                  </pic:nvPicPr>
                  <pic:blipFill>
                    <a:blip r:embed="rId12" cstate="print">
                      <a:extLst>
                        <a:ext uri="{28A0092B-C50C-407E-A947-70E740481C1C}">
                          <a14:useLocalDpi xmlns:a14="http://schemas.microsoft.com/office/drawing/2010/main" val="0"/>
                        </a:ext>
                      </a:extLst>
                    </a:blip>
                    <a:srcRect l="14110" r="18362" b="8274"/>
                    <a:stretch>
                      <a:fillRect/>
                    </a:stretch>
                  </pic:blipFill>
                  <pic:spPr>
                    <a:xfrm>
                      <a:off x="0" y="0"/>
                      <a:ext cx="5788499" cy="5564035"/>
                    </a:xfrm>
                    <a:prstGeom prst="rect">
                      <a:avLst/>
                    </a:prstGeom>
                    <a:noFill/>
                    <a:ln>
                      <a:noFill/>
                    </a:ln>
                  </pic:spPr>
                </pic:pic>
              </a:graphicData>
            </a:graphic>
          </wp:inline>
        </w:drawing>
      </w:r>
    </w:p>
    <w:p>
      <w:pPr>
        <w:rPr>
          <w:rFonts w:hint="eastAsia"/>
        </w:rPr>
      </w:pPr>
    </w:p>
    <w:p>
      <w:pPr>
        <w:rPr>
          <w:rFonts w:hint="eastAsia"/>
        </w:rPr>
      </w:pPr>
    </w:p>
    <w:p>
      <w:pPr>
        <w:rPr>
          <w:rFonts w:asciiTheme="majorEastAsia" w:hAnsiTheme="majorEastAsia" w:eastAsiaTheme="majorEastAsia"/>
          <w:sz w:val="24"/>
          <w:szCs w:val="24"/>
        </w:rPr>
      </w:pPr>
    </w:p>
    <w:tbl>
      <w:tblPr>
        <w:tblStyle w:val="40"/>
        <w:tblW w:w="9712" w:type="dxa"/>
        <w:tblInd w:w="93" w:type="dxa"/>
        <w:tblLayout w:type="fixed"/>
        <w:tblCellMar>
          <w:top w:w="0" w:type="dxa"/>
          <w:left w:w="108" w:type="dxa"/>
          <w:bottom w:w="0" w:type="dxa"/>
          <w:right w:w="108" w:type="dxa"/>
        </w:tblCellMar>
      </w:tblPr>
      <w:tblGrid>
        <w:gridCol w:w="837"/>
        <w:gridCol w:w="1300"/>
        <w:gridCol w:w="2375"/>
        <w:gridCol w:w="1600"/>
        <w:gridCol w:w="3600"/>
      </w:tblGrid>
      <w:tr>
        <w:tblPrEx>
          <w:tblCellMar>
            <w:top w:w="0" w:type="dxa"/>
            <w:left w:w="108" w:type="dxa"/>
            <w:bottom w:w="0" w:type="dxa"/>
            <w:right w:w="108" w:type="dxa"/>
          </w:tblCellMar>
        </w:tblPrEx>
        <w:trPr>
          <w:trHeight w:val="375" w:hRule="atLeast"/>
        </w:trPr>
        <w:tc>
          <w:tcPr>
            <w:tcW w:w="9712" w:type="dxa"/>
            <w:gridSpan w:val="5"/>
            <w:tcBorders>
              <w:top w:val="single" w:color="000000" w:sz="4" w:space="0"/>
              <w:left w:val="single" w:color="000000" w:sz="4" w:space="0"/>
              <w:bottom w:val="single" w:color="000000" w:sz="4" w:space="0"/>
              <w:right w:val="single" w:color="000000" w:sz="4" w:space="0"/>
            </w:tcBorders>
            <w:shd w:val="clear" w:color="auto" w:fill="CFCECE"/>
            <w:noWrap/>
            <w:vAlign w:val="center"/>
          </w:tcPr>
          <w:p>
            <w:pPr>
              <w:widowControl/>
              <w:jc w:val="center"/>
              <w:textAlignment w:val="center"/>
              <w:rPr>
                <w:rFonts w:cs="宋体" w:asciiTheme="majorEastAsia" w:hAnsiTheme="majorEastAsia" w:eastAsiaTheme="majorEastAsia"/>
                <w:b/>
                <w:bCs/>
                <w:color w:val="000000"/>
                <w:sz w:val="24"/>
                <w:szCs w:val="24"/>
              </w:rPr>
            </w:pPr>
            <w:r>
              <w:rPr>
                <w:rFonts w:hint="eastAsia" w:cs="宋体" w:asciiTheme="majorEastAsia" w:hAnsiTheme="majorEastAsia" w:eastAsiaTheme="majorEastAsia"/>
                <w:b/>
                <w:bCs/>
                <w:color w:val="000000"/>
                <w:kern w:val="0"/>
                <w:sz w:val="24"/>
                <w:szCs w:val="24"/>
              </w:rPr>
              <w:t>仁皇校区-装修</w:t>
            </w:r>
          </w:p>
        </w:tc>
      </w:tr>
      <w:tr>
        <w:tblPrEx>
          <w:tblCellMar>
            <w:top w:w="0" w:type="dxa"/>
            <w:left w:w="108" w:type="dxa"/>
            <w:bottom w:w="0" w:type="dxa"/>
            <w:right w:w="108" w:type="dxa"/>
          </w:tblCellMar>
        </w:tblPrEx>
        <w:trPr>
          <w:trHeight w:val="285" w:hRule="atLeast"/>
        </w:trPr>
        <w:tc>
          <w:tcPr>
            <w:tcW w:w="837" w:type="dxa"/>
            <w:tcBorders>
              <w:top w:val="single" w:color="000000" w:sz="4" w:space="0"/>
              <w:left w:val="single" w:color="000000" w:sz="4" w:space="0"/>
              <w:bottom w:val="single" w:color="000000" w:sz="4" w:space="0"/>
              <w:right w:val="single" w:color="000000" w:sz="4" w:space="0"/>
            </w:tcBorders>
            <w:shd w:val="clear" w:color="auto" w:fill="DEEBF6"/>
            <w:noWrap/>
            <w:vAlign w:val="center"/>
          </w:tcPr>
          <w:p>
            <w:pPr>
              <w:widowControl/>
              <w:jc w:val="center"/>
              <w:textAlignment w:val="center"/>
              <w:rPr>
                <w:rFonts w:cs="宋体" w:asciiTheme="majorEastAsia" w:hAnsiTheme="majorEastAsia" w:eastAsiaTheme="majorEastAsia"/>
                <w:b/>
                <w:bCs/>
                <w:color w:val="000000"/>
                <w:sz w:val="24"/>
                <w:szCs w:val="24"/>
              </w:rPr>
            </w:pPr>
            <w:r>
              <w:rPr>
                <w:rFonts w:hint="eastAsia" w:cs="宋体" w:asciiTheme="majorEastAsia" w:hAnsiTheme="majorEastAsia" w:eastAsiaTheme="majorEastAsia"/>
                <w:b/>
                <w:bCs/>
                <w:color w:val="000000"/>
                <w:kern w:val="0"/>
                <w:sz w:val="24"/>
                <w:szCs w:val="24"/>
              </w:rPr>
              <w:t>序号</w:t>
            </w:r>
          </w:p>
        </w:tc>
        <w:tc>
          <w:tcPr>
            <w:tcW w:w="1300" w:type="dxa"/>
            <w:tcBorders>
              <w:top w:val="single" w:color="000000" w:sz="4" w:space="0"/>
              <w:left w:val="single" w:color="000000" w:sz="4" w:space="0"/>
              <w:bottom w:val="single" w:color="000000" w:sz="4" w:space="0"/>
              <w:right w:val="single" w:color="000000" w:sz="4" w:space="0"/>
            </w:tcBorders>
            <w:shd w:val="clear" w:color="auto" w:fill="DEEBF6"/>
            <w:noWrap/>
            <w:vAlign w:val="center"/>
          </w:tcPr>
          <w:p>
            <w:pPr>
              <w:widowControl/>
              <w:jc w:val="center"/>
              <w:textAlignment w:val="center"/>
              <w:rPr>
                <w:rFonts w:cs="宋体" w:asciiTheme="majorEastAsia" w:hAnsiTheme="majorEastAsia" w:eastAsiaTheme="majorEastAsia"/>
                <w:b/>
                <w:bCs/>
                <w:color w:val="000000"/>
                <w:sz w:val="24"/>
                <w:szCs w:val="24"/>
              </w:rPr>
            </w:pPr>
            <w:r>
              <w:rPr>
                <w:rFonts w:hint="eastAsia" w:cs="宋体" w:asciiTheme="majorEastAsia" w:hAnsiTheme="majorEastAsia" w:eastAsiaTheme="majorEastAsia"/>
                <w:b/>
                <w:bCs/>
                <w:color w:val="000000"/>
                <w:kern w:val="0"/>
                <w:sz w:val="24"/>
                <w:szCs w:val="24"/>
              </w:rPr>
              <w:t>类别</w:t>
            </w:r>
          </w:p>
        </w:tc>
        <w:tc>
          <w:tcPr>
            <w:tcW w:w="2375" w:type="dxa"/>
            <w:tcBorders>
              <w:top w:val="single" w:color="000000" w:sz="4" w:space="0"/>
              <w:left w:val="single" w:color="000000" w:sz="4" w:space="0"/>
              <w:bottom w:val="single" w:color="000000" w:sz="4" w:space="0"/>
              <w:right w:val="single" w:color="000000" w:sz="4" w:space="0"/>
            </w:tcBorders>
            <w:shd w:val="clear" w:color="auto" w:fill="DEEBF6"/>
            <w:noWrap/>
            <w:vAlign w:val="center"/>
          </w:tcPr>
          <w:p>
            <w:pPr>
              <w:widowControl/>
              <w:jc w:val="center"/>
              <w:textAlignment w:val="center"/>
              <w:rPr>
                <w:rFonts w:cs="宋体" w:asciiTheme="majorEastAsia" w:hAnsiTheme="majorEastAsia" w:eastAsiaTheme="majorEastAsia"/>
                <w:b/>
                <w:bCs/>
                <w:color w:val="000000"/>
                <w:sz w:val="24"/>
                <w:szCs w:val="24"/>
              </w:rPr>
            </w:pPr>
            <w:r>
              <w:rPr>
                <w:rFonts w:hint="eastAsia" w:cs="宋体" w:asciiTheme="majorEastAsia" w:hAnsiTheme="majorEastAsia" w:eastAsiaTheme="majorEastAsia"/>
                <w:b/>
                <w:bCs/>
                <w:color w:val="000000"/>
                <w:kern w:val="0"/>
                <w:sz w:val="24"/>
                <w:szCs w:val="24"/>
              </w:rPr>
              <w:t>工程项目</w:t>
            </w:r>
          </w:p>
        </w:tc>
        <w:tc>
          <w:tcPr>
            <w:tcW w:w="1600" w:type="dxa"/>
            <w:tcBorders>
              <w:top w:val="single" w:color="000000" w:sz="4" w:space="0"/>
              <w:left w:val="single" w:color="000000" w:sz="4" w:space="0"/>
              <w:bottom w:val="single" w:color="000000" w:sz="4" w:space="0"/>
              <w:right w:val="single" w:color="000000" w:sz="4" w:space="0"/>
            </w:tcBorders>
            <w:shd w:val="clear" w:color="auto" w:fill="DEEBF6"/>
            <w:noWrap/>
            <w:vAlign w:val="center"/>
          </w:tcPr>
          <w:p>
            <w:pPr>
              <w:widowControl/>
              <w:jc w:val="center"/>
              <w:textAlignment w:val="center"/>
              <w:rPr>
                <w:rFonts w:cs="宋体" w:asciiTheme="majorEastAsia" w:hAnsiTheme="majorEastAsia" w:eastAsiaTheme="majorEastAsia"/>
                <w:b/>
                <w:bCs/>
                <w:color w:val="000000"/>
                <w:sz w:val="24"/>
                <w:szCs w:val="24"/>
              </w:rPr>
            </w:pPr>
            <w:r>
              <w:rPr>
                <w:rFonts w:hint="eastAsia" w:cs="宋体" w:asciiTheme="majorEastAsia" w:hAnsiTheme="majorEastAsia" w:eastAsiaTheme="majorEastAsia"/>
                <w:b/>
                <w:bCs/>
                <w:color w:val="000000"/>
                <w:kern w:val="0"/>
                <w:sz w:val="24"/>
                <w:szCs w:val="24"/>
              </w:rPr>
              <w:t>数量</w:t>
            </w:r>
          </w:p>
        </w:tc>
        <w:tc>
          <w:tcPr>
            <w:tcW w:w="3600" w:type="dxa"/>
            <w:tcBorders>
              <w:top w:val="single" w:color="000000" w:sz="4" w:space="0"/>
              <w:left w:val="single" w:color="000000" w:sz="4" w:space="0"/>
              <w:bottom w:val="single" w:color="000000" w:sz="4" w:space="0"/>
              <w:right w:val="single" w:color="000000" w:sz="4" w:space="0"/>
            </w:tcBorders>
            <w:shd w:val="clear" w:color="auto" w:fill="DEEBF6"/>
            <w:noWrap/>
            <w:vAlign w:val="center"/>
          </w:tcPr>
          <w:p>
            <w:pPr>
              <w:widowControl/>
              <w:jc w:val="center"/>
              <w:textAlignment w:val="center"/>
              <w:rPr>
                <w:rFonts w:cs="宋体" w:asciiTheme="majorEastAsia" w:hAnsiTheme="majorEastAsia" w:eastAsiaTheme="majorEastAsia"/>
                <w:b/>
                <w:bCs/>
                <w:color w:val="000000"/>
                <w:sz w:val="24"/>
                <w:szCs w:val="24"/>
              </w:rPr>
            </w:pPr>
            <w:r>
              <w:rPr>
                <w:rFonts w:hint="eastAsia" w:cs="宋体" w:asciiTheme="majorEastAsia" w:hAnsiTheme="majorEastAsia" w:eastAsiaTheme="majorEastAsia"/>
                <w:b/>
                <w:bCs/>
                <w:color w:val="000000"/>
                <w:kern w:val="0"/>
                <w:sz w:val="24"/>
                <w:szCs w:val="24"/>
              </w:rPr>
              <w:t>单位</w:t>
            </w:r>
          </w:p>
        </w:tc>
      </w:tr>
      <w:tr>
        <w:tblPrEx>
          <w:tblCellMar>
            <w:top w:w="0" w:type="dxa"/>
            <w:left w:w="108" w:type="dxa"/>
            <w:bottom w:w="0" w:type="dxa"/>
            <w:right w:w="108" w:type="dxa"/>
          </w:tblCellMar>
        </w:tblPrEx>
        <w:trPr>
          <w:trHeight w:val="27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装修</w:t>
            </w:r>
          </w:p>
        </w:tc>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天棚石膏板造型</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平方</w:t>
            </w: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120</w:t>
            </w:r>
          </w:p>
        </w:tc>
      </w:tr>
      <w:tr>
        <w:tblPrEx>
          <w:tblCellMar>
            <w:top w:w="0" w:type="dxa"/>
            <w:left w:w="108" w:type="dxa"/>
            <w:bottom w:w="0" w:type="dxa"/>
            <w:right w:w="108" w:type="dxa"/>
          </w:tblCellMar>
        </w:tblPrEx>
        <w:trPr>
          <w:trHeight w:val="27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2</w:t>
            </w: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cs="宋体" w:asciiTheme="majorEastAsia" w:hAnsiTheme="majorEastAsia" w:eastAsiaTheme="majorEastAsia"/>
                <w:color w:val="000000"/>
                <w:sz w:val="24"/>
                <w:szCs w:val="24"/>
              </w:rPr>
            </w:pPr>
          </w:p>
        </w:tc>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线路改造</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米</w:t>
            </w: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50</w:t>
            </w:r>
          </w:p>
        </w:tc>
      </w:tr>
      <w:tr>
        <w:tblPrEx>
          <w:tblCellMar>
            <w:top w:w="0" w:type="dxa"/>
            <w:left w:w="108" w:type="dxa"/>
            <w:bottom w:w="0" w:type="dxa"/>
            <w:right w:w="108" w:type="dxa"/>
          </w:tblCellMar>
        </w:tblPrEx>
        <w:trPr>
          <w:trHeight w:val="27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3</w:t>
            </w: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cs="宋体" w:asciiTheme="majorEastAsia" w:hAnsiTheme="majorEastAsia" w:eastAsiaTheme="majorEastAsia"/>
                <w:color w:val="000000"/>
                <w:sz w:val="24"/>
                <w:szCs w:val="24"/>
              </w:rPr>
            </w:pPr>
          </w:p>
        </w:tc>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多媒体黑板拆装</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项</w:t>
            </w: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w:t>
            </w:r>
          </w:p>
        </w:tc>
      </w:tr>
      <w:tr>
        <w:tblPrEx>
          <w:tblCellMar>
            <w:top w:w="0" w:type="dxa"/>
            <w:left w:w="108" w:type="dxa"/>
            <w:bottom w:w="0" w:type="dxa"/>
            <w:right w:w="108" w:type="dxa"/>
          </w:tblCellMar>
        </w:tblPrEx>
        <w:trPr>
          <w:trHeight w:val="27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4</w:t>
            </w: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cs="宋体" w:asciiTheme="majorEastAsia" w:hAnsiTheme="majorEastAsia" w:eastAsiaTheme="majorEastAsia"/>
                <w:color w:val="000000"/>
                <w:sz w:val="24"/>
                <w:szCs w:val="24"/>
              </w:rPr>
            </w:pPr>
          </w:p>
        </w:tc>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墙面工具柜</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项</w:t>
            </w: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w:t>
            </w:r>
          </w:p>
        </w:tc>
      </w:tr>
      <w:tr>
        <w:tblPrEx>
          <w:tblCellMar>
            <w:top w:w="0" w:type="dxa"/>
            <w:left w:w="108" w:type="dxa"/>
            <w:bottom w:w="0" w:type="dxa"/>
            <w:right w:w="108" w:type="dxa"/>
          </w:tblCellMar>
        </w:tblPrEx>
        <w:trPr>
          <w:trHeight w:val="27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5</w:t>
            </w: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cs="宋体" w:asciiTheme="majorEastAsia" w:hAnsiTheme="majorEastAsia" w:eastAsiaTheme="majorEastAsia"/>
                <w:color w:val="000000"/>
                <w:sz w:val="24"/>
                <w:szCs w:val="24"/>
              </w:rPr>
            </w:pPr>
          </w:p>
        </w:tc>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黑色地脚线</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米</w:t>
            </w: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46</w:t>
            </w:r>
          </w:p>
        </w:tc>
      </w:tr>
      <w:tr>
        <w:tblPrEx>
          <w:tblCellMar>
            <w:top w:w="0" w:type="dxa"/>
            <w:left w:w="108" w:type="dxa"/>
            <w:bottom w:w="0" w:type="dxa"/>
            <w:right w:w="108" w:type="dxa"/>
          </w:tblCellMar>
        </w:tblPrEx>
        <w:trPr>
          <w:trHeight w:val="27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6</w:t>
            </w: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cs="宋体" w:asciiTheme="majorEastAsia" w:hAnsiTheme="majorEastAsia" w:eastAsiaTheme="majorEastAsia"/>
                <w:color w:val="000000"/>
                <w:sz w:val="24"/>
                <w:szCs w:val="24"/>
              </w:rPr>
            </w:pPr>
          </w:p>
        </w:tc>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水槽（包含水管）</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项</w:t>
            </w: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w:t>
            </w:r>
          </w:p>
        </w:tc>
      </w:tr>
      <w:tr>
        <w:tblPrEx>
          <w:tblCellMar>
            <w:top w:w="0" w:type="dxa"/>
            <w:left w:w="108" w:type="dxa"/>
            <w:bottom w:w="0" w:type="dxa"/>
            <w:right w:w="108" w:type="dxa"/>
          </w:tblCellMar>
        </w:tblPrEx>
        <w:trPr>
          <w:trHeight w:val="27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7</w:t>
            </w: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cs="宋体" w:asciiTheme="majorEastAsia" w:hAnsiTheme="majorEastAsia" w:eastAsiaTheme="majorEastAsia"/>
                <w:color w:val="000000"/>
                <w:sz w:val="24"/>
                <w:szCs w:val="24"/>
              </w:rPr>
            </w:pPr>
          </w:p>
        </w:tc>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天棚、四壁批腻子</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平</w:t>
            </w: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213</w:t>
            </w:r>
          </w:p>
        </w:tc>
      </w:tr>
      <w:tr>
        <w:tblPrEx>
          <w:tblCellMar>
            <w:top w:w="0" w:type="dxa"/>
            <w:left w:w="108" w:type="dxa"/>
            <w:bottom w:w="0" w:type="dxa"/>
            <w:right w:w="108" w:type="dxa"/>
          </w:tblCellMar>
        </w:tblPrEx>
        <w:trPr>
          <w:trHeight w:val="27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8</w:t>
            </w: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cs="宋体" w:asciiTheme="majorEastAsia" w:hAnsiTheme="majorEastAsia" w:eastAsiaTheme="majorEastAsia"/>
                <w:color w:val="000000"/>
                <w:sz w:val="24"/>
                <w:szCs w:val="24"/>
              </w:rPr>
            </w:pPr>
          </w:p>
        </w:tc>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天棚、四壁批涂料</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平</w:t>
            </w: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214</w:t>
            </w:r>
          </w:p>
        </w:tc>
      </w:tr>
      <w:tr>
        <w:tblPrEx>
          <w:tblCellMar>
            <w:top w:w="0" w:type="dxa"/>
            <w:left w:w="108" w:type="dxa"/>
            <w:bottom w:w="0" w:type="dxa"/>
            <w:right w:w="108" w:type="dxa"/>
          </w:tblCellMar>
        </w:tblPrEx>
        <w:trPr>
          <w:trHeight w:val="27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9</w:t>
            </w: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cs="宋体" w:asciiTheme="majorEastAsia" w:hAnsiTheme="majorEastAsia" w:eastAsiaTheme="majorEastAsia"/>
                <w:color w:val="000000"/>
                <w:sz w:val="24"/>
                <w:szCs w:val="24"/>
              </w:rPr>
            </w:pPr>
          </w:p>
        </w:tc>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天棚布灯线</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平</w:t>
            </w: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165</w:t>
            </w:r>
          </w:p>
        </w:tc>
      </w:tr>
      <w:tr>
        <w:tblPrEx>
          <w:tblCellMar>
            <w:top w:w="0" w:type="dxa"/>
            <w:left w:w="108" w:type="dxa"/>
            <w:bottom w:w="0" w:type="dxa"/>
            <w:right w:w="108" w:type="dxa"/>
          </w:tblCellMar>
        </w:tblPrEx>
        <w:trPr>
          <w:trHeight w:val="27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10</w:t>
            </w: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cs="宋体" w:asciiTheme="majorEastAsia" w:hAnsiTheme="majorEastAsia" w:eastAsiaTheme="majorEastAsia"/>
                <w:color w:val="000000"/>
                <w:sz w:val="24"/>
                <w:szCs w:val="24"/>
              </w:rPr>
            </w:pPr>
          </w:p>
        </w:tc>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装饰灯（含灯带）</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个</w:t>
            </w: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10</w:t>
            </w:r>
          </w:p>
        </w:tc>
      </w:tr>
      <w:tr>
        <w:tblPrEx>
          <w:tblCellMar>
            <w:top w:w="0" w:type="dxa"/>
            <w:left w:w="108" w:type="dxa"/>
            <w:bottom w:w="0" w:type="dxa"/>
            <w:right w:w="108" w:type="dxa"/>
          </w:tblCellMar>
        </w:tblPrEx>
        <w:trPr>
          <w:trHeight w:val="27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11</w:t>
            </w: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cs="宋体" w:asciiTheme="majorEastAsia" w:hAnsiTheme="majorEastAsia" w:eastAsiaTheme="majorEastAsia"/>
                <w:color w:val="000000"/>
                <w:sz w:val="24"/>
                <w:szCs w:val="24"/>
              </w:rPr>
            </w:pPr>
          </w:p>
        </w:tc>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其他工程</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项</w:t>
            </w: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w:t>
            </w:r>
          </w:p>
        </w:tc>
      </w:tr>
    </w:tbl>
    <w:p>
      <w:pPr>
        <w:rPr>
          <w:rFonts w:asciiTheme="majorEastAsia" w:hAnsiTheme="majorEastAsia" w:eastAsiaTheme="majorEastAsia"/>
          <w:sz w:val="24"/>
          <w:szCs w:val="24"/>
        </w:rPr>
      </w:pPr>
      <w:r>
        <w:drawing>
          <wp:inline distT="0" distB="0" distL="114300" distR="114300">
            <wp:extent cx="5826760" cy="516001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rcRect l="3973" t="5432" r="13040" b="6659"/>
                    <a:stretch>
                      <a:fillRect/>
                    </a:stretch>
                  </pic:blipFill>
                  <pic:spPr>
                    <a:xfrm>
                      <a:off x="0" y="0"/>
                      <a:ext cx="5863070" cy="5192134"/>
                    </a:xfrm>
                    <a:prstGeom prst="rect">
                      <a:avLst/>
                    </a:prstGeom>
                    <a:noFill/>
                    <a:ln>
                      <a:noFill/>
                    </a:ln>
                  </pic:spPr>
                </pic:pic>
              </a:graphicData>
            </a:graphic>
          </wp:inline>
        </w:drawing>
      </w:r>
    </w:p>
    <w:tbl>
      <w:tblPr>
        <w:tblStyle w:val="40"/>
        <w:tblW w:w="9699" w:type="dxa"/>
        <w:tblInd w:w="93" w:type="dxa"/>
        <w:tblLayout w:type="fixed"/>
        <w:tblCellMar>
          <w:top w:w="0" w:type="dxa"/>
          <w:left w:w="108" w:type="dxa"/>
          <w:bottom w:w="0" w:type="dxa"/>
          <w:right w:w="108" w:type="dxa"/>
        </w:tblCellMar>
      </w:tblPr>
      <w:tblGrid>
        <w:gridCol w:w="849"/>
        <w:gridCol w:w="1275"/>
        <w:gridCol w:w="2388"/>
        <w:gridCol w:w="1500"/>
        <w:gridCol w:w="3687"/>
      </w:tblGrid>
      <w:tr>
        <w:tblPrEx>
          <w:tblCellMar>
            <w:top w:w="0" w:type="dxa"/>
            <w:left w:w="108" w:type="dxa"/>
            <w:bottom w:w="0" w:type="dxa"/>
            <w:right w:w="108" w:type="dxa"/>
          </w:tblCellMar>
        </w:tblPrEx>
        <w:trPr>
          <w:trHeight w:val="375" w:hRule="atLeast"/>
        </w:trPr>
        <w:tc>
          <w:tcPr>
            <w:tcW w:w="9699" w:type="dxa"/>
            <w:gridSpan w:val="5"/>
            <w:tcBorders>
              <w:top w:val="single" w:color="000000" w:sz="4" w:space="0"/>
              <w:left w:val="single" w:color="000000" w:sz="4" w:space="0"/>
              <w:bottom w:val="single" w:color="000000" w:sz="4" w:space="0"/>
              <w:right w:val="single" w:color="000000" w:sz="4" w:space="0"/>
            </w:tcBorders>
            <w:shd w:val="clear" w:color="auto" w:fill="CFCECE"/>
            <w:noWrap/>
            <w:vAlign w:val="center"/>
          </w:tcPr>
          <w:p>
            <w:pPr>
              <w:widowControl/>
              <w:jc w:val="center"/>
              <w:textAlignment w:val="center"/>
              <w:rPr>
                <w:rFonts w:cs="宋体" w:asciiTheme="majorEastAsia" w:hAnsiTheme="majorEastAsia" w:eastAsiaTheme="majorEastAsia"/>
                <w:b/>
                <w:bCs/>
                <w:color w:val="000000"/>
                <w:sz w:val="24"/>
                <w:szCs w:val="24"/>
              </w:rPr>
            </w:pPr>
            <w:r>
              <w:rPr>
                <w:rFonts w:hint="eastAsia" w:cs="宋体" w:asciiTheme="majorEastAsia" w:hAnsiTheme="majorEastAsia" w:eastAsiaTheme="majorEastAsia"/>
                <w:b/>
                <w:bCs/>
                <w:color w:val="000000"/>
                <w:kern w:val="0"/>
                <w:sz w:val="24"/>
                <w:szCs w:val="24"/>
              </w:rPr>
              <w:t>仁北校区-装修</w:t>
            </w:r>
          </w:p>
        </w:tc>
      </w:tr>
      <w:tr>
        <w:tblPrEx>
          <w:tblCellMar>
            <w:top w:w="0" w:type="dxa"/>
            <w:left w:w="108" w:type="dxa"/>
            <w:bottom w:w="0" w:type="dxa"/>
            <w:right w:w="108" w:type="dxa"/>
          </w:tblCellMar>
        </w:tblPrEx>
        <w:trPr>
          <w:trHeight w:val="285" w:hRule="atLeast"/>
        </w:trPr>
        <w:tc>
          <w:tcPr>
            <w:tcW w:w="849" w:type="dxa"/>
            <w:tcBorders>
              <w:top w:val="single" w:color="000000" w:sz="4" w:space="0"/>
              <w:left w:val="single" w:color="000000" w:sz="4" w:space="0"/>
              <w:bottom w:val="single" w:color="000000" w:sz="4" w:space="0"/>
              <w:right w:val="single" w:color="000000" w:sz="4" w:space="0"/>
            </w:tcBorders>
            <w:shd w:val="clear" w:color="auto" w:fill="DEEBF6"/>
            <w:noWrap/>
            <w:vAlign w:val="center"/>
          </w:tcPr>
          <w:p>
            <w:pPr>
              <w:widowControl/>
              <w:jc w:val="center"/>
              <w:textAlignment w:val="center"/>
              <w:rPr>
                <w:rFonts w:cs="宋体" w:asciiTheme="majorEastAsia" w:hAnsiTheme="majorEastAsia" w:eastAsiaTheme="majorEastAsia"/>
                <w:b/>
                <w:bCs/>
                <w:color w:val="000000"/>
                <w:sz w:val="24"/>
                <w:szCs w:val="24"/>
              </w:rPr>
            </w:pPr>
            <w:r>
              <w:rPr>
                <w:rFonts w:hint="eastAsia" w:cs="宋体" w:asciiTheme="majorEastAsia" w:hAnsiTheme="majorEastAsia" w:eastAsiaTheme="majorEastAsia"/>
                <w:b/>
                <w:bCs/>
                <w:color w:val="000000"/>
                <w:kern w:val="0"/>
                <w:sz w:val="24"/>
                <w:szCs w:val="24"/>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DEEBF6"/>
            <w:noWrap/>
            <w:vAlign w:val="center"/>
          </w:tcPr>
          <w:p>
            <w:pPr>
              <w:widowControl/>
              <w:jc w:val="center"/>
              <w:textAlignment w:val="center"/>
              <w:rPr>
                <w:rFonts w:cs="宋体" w:asciiTheme="majorEastAsia" w:hAnsiTheme="majorEastAsia" w:eastAsiaTheme="majorEastAsia"/>
                <w:b/>
                <w:bCs/>
                <w:color w:val="000000"/>
                <w:sz w:val="24"/>
                <w:szCs w:val="24"/>
              </w:rPr>
            </w:pPr>
            <w:r>
              <w:rPr>
                <w:rFonts w:hint="eastAsia" w:cs="宋体" w:asciiTheme="majorEastAsia" w:hAnsiTheme="majorEastAsia" w:eastAsiaTheme="majorEastAsia"/>
                <w:b/>
                <w:bCs/>
                <w:color w:val="000000"/>
                <w:kern w:val="0"/>
                <w:sz w:val="24"/>
                <w:szCs w:val="24"/>
              </w:rPr>
              <w:t>类别</w:t>
            </w:r>
          </w:p>
        </w:tc>
        <w:tc>
          <w:tcPr>
            <w:tcW w:w="2388" w:type="dxa"/>
            <w:tcBorders>
              <w:top w:val="single" w:color="000000" w:sz="4" w:space="0"/>
              <w:left w:val="single" w:color="000000" w:sz="4" w:space="0"/>
              <w:bottom w:val="single" w:color="000000" w:sz="4" w:space="0"/>
              <w:right w:val="single" w:color="000000" w:sz="4" w:space="0"/>
            </w:tcBorders>
            <w:shd w:val="clear" w:color="auto" w:fill="DEEBF6"/>
            <w:noWrap/>
            <w:vAlign w:val="center"/>
          </w:tcPr>
          <w:p>
            <w:pPr>
              <w:widowControl/>
              <w:jc w:val="center"/>
              <w:textAlignment w:val="center"/>
              <w:rPr>
                <w:rFonts w:cs="宋体" w:asciiTheme="majorEastAsia" w:hAnsiTheme="majorEastAsia" w:eastAsiaTheme="majorEastAsia"/>
                <w:b/>
                <w:bCs/>
                <w:color w:val="000000"/>
                <w:sz w:val="24"/>
                <w:szCs w:val="24"/>
              </w:rPr>
            </w:pPr>
            <w:r>
              <w:rPr>
                <w:rFonts w:hint="eastAsia" w:cs="宋体" w:asciiTheme="majorEastAsia" w:hAnsiTheme="majorEastAsia" w:eastAsiaTheme="majorEastAsia"/>
                <w:b/>
                <w:bCs/>
                <w:color w:val="000000"/>
                <w:kern w:val="0"/>
                <w:sz w:val="24"/>
                <w:szCs w:val="24"/>
              </w:rPr>
              <w:t>工程项目</w:t>
            </w:r>
          </w:p>
        </w:tc>
        <w:tc>
          <w:tcPr>
            <w:tcW w:w="1500" w:type="dxa"/>
            <w:tcBorders>
              <w:top w:val="single" w:color="000000" w:sz="4" w:space="0"/>
              <w:left w:val="single" w:color="000000" w:sz="4" w:space="0"/>
              <w:bottom w:val="single" w:color="000000" w:sz="4" w:space="0"/>
              <w:right w:val="single" w:color="000000" w:sz="4" w:space="0"/>
            </w:tcBorders>
            <w:shd w:val="clear" w:color="auto" w:fill="DEEBF6"/>
            <w:noWrap/>
            <w:vAlign w:val="center"/>
          </w:tcPr>
          <w:p>
            <w:pPr>
              <w:widowControl/>
              <w:jc w:val="center"/>
              <w:textAlignment w:val="center"/>
              <w:rPr>
                <w:rFonts w:cs="宋体" w:asciiTheme="majorEastAsia" w:hAnsiTheme="majorEastAsia" w:eastAsiaTheme="majorEastAsia"/>
                <w:b/>
                <w:bCs/>
                <w:color w:val="000000"/>
                <w:sz w:val="24"/>
                <w:szCs w:val="24"/>
              </w:rPr>
            </w:pPr>
            <w:r>
              <w:rPr>
                <w:rFonts w:hint="eastAsia" w:cs="宋体" w:asciiTheme="majorEastAsia" w:hAnsiTheme="majorEastAsia" w:eastAsiaTheme="majorEastAsia"/>
                <w:b/>
                <w:bCs/>
                <w:color w:val="000000"/>
                <w:kern w:val="0"/>
                <w:sz w:val="24"/>
                <w:szCs w:val="24"/>
              </w:rPr>
              <w:t>数量</w:t>
            </w:r>
          </w:p>
        </w:tc>
        <w:tc>
          <w:tcPr>
            <w:tcW w:w="3687" w:type="dxa"/>
            <w:tcBorders>
              <w:top w:val="single" w:color="000000" w:sz="4" w:space="0"/>
              <w:left w:val="single" w:color="000000" w:sz="4" w:space="0"/>
              <w:bottom w:val="single" w:color="000000" w:sz="4" w:space="0"/>
              <w:right w:val="single" w:color="000000" w:sz="4" w:space="0"/>
            </w:tcBorders>
            <w:shd w:val="clear" w:color="auto" w:fill="DEEBF6"/>
            <w:noWrap/>
            <w:vAlign w:val="center"/>
          </w:tcPr>
          <w:p>
            <w:pPr>
              <w:widowControl/>
              <w:jc w:val="center"/>
              <w:textAlignment w:val="center"/>
              <w:rPr>
                <w:rFonts w:cs="宋体" w:asciiTheme="majorEastAsia" w:hAnsiTheme="majorEastAsia" w:eastAsiaTheme="majorEastAsia"/>
                <w:b/>
                <w:bCs/>
                <w:color w:val="000000"/>
                <w:sz w:val="24"/>
                <w:szCs w:val="24"/>
              </w:rPr>
            </w:pPr>
            <w:r>
              <w:rPr>
                <w:rFonts w:hint="eastAsia" w:cs="宋体" w:asciiTheme="majorEastAsia" w:hAnsiTheme="majorEastAsia" w:eastAsiaTheme="majorEastAsia"/>
                <w:b/>
                <w:bCs/>
                <w:color w:val="000000"/>
                <w:kern w:val="0"/>
                <w:sz w:val="24"/>
                <w:szCs w:val="24"/>
              </w:rPr>
              <w:t>单位</w:t>
            </w:r>
          </w:p>
        </w:tc>
      </w:tr>
      <w:tr>
        <w:tblPrEx>
          <w:tblCellMar>
            <w:top w:w="0" w:type="dxa"/>
            <w:left w:w="108" w:type="dxa"/>
            <w:bottom w:w="0" w:type="dxa"/>
            <w:right w:w="108" w:type="dxa"/>
          </w:tblCellMar>
        </w:tblPrEx>
        <w:trPr>
          <w:trHeight w:val="27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装修</w:t>
            </w:r>
          </w:p>
        </w:tc>
        <w:tc>
          <w:tcPr>
            <w:tcW w:w="2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天棚石膏板吊顶</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平</w:t>
            </w:r>
          </w:p>
        </w:tc>
        <w:tc>
          <w:tcPr>
            <w:tcW w:w="3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99.6</w:t>
            </w:r>
          </w:p>
        </w:tc>
      </w:tr>
      <w:tr>
        <w:tblPrEx>
          <w:tblCellMar>
            <w:top w:w="0" w:type="dxa"/>
            <w:left w:w="108" w:type="dxa"/>
            <w:bottom w:w="0" w:type="dxa"/>
            <w:right w:w="108" w:type="dxa"/>
          </w:tblCellMar>
        </w:tblPrEx>
        <w:trPr>
          <w:trHeight w:val="27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2</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cs="宋体" w:asciiTheme="majorEastAsia" w:hAnsiTheme="majorEastAsia" w:eastAsiaTheme="majorEastAsia"/>
                <w:color w:val="000000"/>
                <w:sz w:val="24"/>
                <w:szCs w:val="24"/>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窗帘盒制作</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米</w:t>
            </w:r>
          </w:p>
        </w:tc>
        <w:tc>
          <w:tcPr>
            <w:tcW w:w="3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8</w:t>
            </w:r>
          </w:p>
        </w:tc>
      </w:tr>
      <w:tr>
        <w:tblPrEx>
          <w:tblCellMar>
            <w:top w:w="0" w:type="dxa"/>
            <w:left w:w="108" w:type="dxa"/>
            <w:bottom w:w="0" w:type="dxa"/>
            <w:right w:w="108" w:type="dxa"/>
          </w:tblCellMar>
        </w:tblPrEx>
        <w:trPr>
          <w:trHeight w:val="27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3</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cs="宋体" w:asciiTheme="majorEastAsia" w:hAnsiTheme="majorEastAsia" w:eastAsiaTheme="majorEastAsia"/>
                <w:color w:val="000000"/>
                <w:sz w:val="24"/>
                <w:szCs w:val="24"/>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地面布线</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米</w:t>
            </w:r>
          </w:p>
        </w:tc>
        <w:tc>
          <w:tcPr>
            <w:tcW w:w="3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28</w:t>
            </w:r>
          </w:p>
        </w:tc>
      </w:tr>
      <w:tr>
        <w:tblPrEx>
          <w:tblCellMar>
            <w:top w:w="0" w:type="dxa"/>
            <w:left w:w="108" w:type="dxa"/>
            <w:bottom w:w="0" w:type="dxa"/>
            <w:right w:w="108" w:type="dxa"/>
          </w:tblCellMar>
        </w:tblPrEx>
        <w:trPr>
          <w:trHeight w:val="27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4</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cs="宋体" w:asciiTheme="majorEastAsia" w:hAnsiTheme="majorEastAsia" w:eastAsiaTheme="majorEastAsia"/>
                <w:color w:val="000000"/>
                <w:sz w:val="24"/>
                <w:szCs w:val="24"/>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背景墙装饰</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平</w:t>
            </w:r>
          </w:p>
        </w:tc>
        <w:tc>
          <w:tcPr>
            <w:tcW w:w="3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9</w:t>
            </w:r>
          </w:p>
        </w:tc>
      </w:tr>
      <w:tr>
        <w:tblPrEx>
          <w:tblCellMar>
            <w:top w:w="0" w:type="dxa"/>
            <w:left w:w="108" w:type="dxa"/>
            <w:bottom w:w="0" w:type="dxa"/>
            <w:right w:w="108" w:type="dxa"/>
          </w:tblCellMar>
        </w:tblPrEx>
        <w:trPr>
          <w:trHeight w:val="27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5</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cs="宋体" w:asciiTheme="majorEastAsia" w:hAnsiTheme="majorEastAsia" w:eastAsiaTheme="majorEastAsia"/>
                <w:color w:val="000000"/>
                <w:sz w:val="24"/>
                <w:szCs w:val="24"/>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墙面工具板</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项</w:t>
            </w:r>
          </w:p>
        </w:tc>
        <w:tc>
          <w:tcPr>
            <w:tcW w:w="3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w:t>
            </w:r>
          </w:p>
        </w:tc>
      </w:tr>
      <w:tr>
        <w:tblPrEx>
          <w:tblCellMar>
            <w:top w:w="0" w:type="dxa"/>
            <w:left w:w="108" w:type="dxa"/>
            <w:bottom w:w="0" w:type="dxa"/>
            <w:right w:w="108" w:type="dxa"/>
          </w:tblCellMar>
        </w:tblPrEx>
        <w:trPr>
          <w:trHeight w:val="27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6</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cs="宋体" w:asciiTheme="majorEastAsia" w:hAnsiTheme="majorEastAsia" w:eastAsiaTheme="majorEastAsia"/>
                <w:color w:val="000000"/>
                <w:sz w:val="24"/>
                <w:szCs w:val="24"/>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地面铺PVC地胶</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平</w:t>
            </w:r>
          </w:p>
        </w:tc>
        <w:tc>
          <w:tcPr>
            <w:tcW w:w="3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99.6</w:t>
            </w:r>
          </w:p>
        </w:tc>
      </w:tr>
      <w:tr>
        <w:tblPrEx>
          <w:tblCellMar>
            <w:top w:w="0" w:type="dxa"/>
            <w:left w:w="108" w:type="dxa"/>
            <w:bottom w:w="0" w:type="dxa"/>
            <w:right w:w="108" w:type="dxa"/>
          </w:tblCellMar>
        </w:tblPrEx>
        <w:trPr>
          <w:trHeight w:val="27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7</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cs="宋体" w:asciiTheme="majorEastAsia" w:hAnsiTheme="majorEastAsia" w:eastAsiaTheme="majorEastAsia"/>
                <w:color w:val="000000"/>
                <w:sz w:val="24"/>
                <w:szCs w:val="24"/>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黑色地脚线</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米</w:t>
            </w:r>
          </w:p>
        </w:tc>
        <w:tc>
          <w:tcPr>
            <w:tcW w:w="3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40.6</w:t>
            </w:r>
          </w:p>
        </w:tc>
      </w:tr>
      <w:tr>
        <w:tblPrEx>
          <w:tblCellMar>
            <w:top w:w="0" w:type="dxa"/>
            <w:left w:w="108" w:type="dxa"/>
            <w:bottom w:w="0" w:type="dxa"/>
            <w:right w:w="108" w:type="dxa"/>
          </w:tblCellMar>
        </w:tblPrEx>
        <w:trPr>
          <w:trHeight w:val="27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8</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cs="宋体" w:asciiTheme="majorEastAsia" w:hAnsiTheme="majorEastAsia" w:eastAsiaTheme="majorEastAsia"/>
                <w:color w:val="000000"/>
                <w:sz w:val="24"/>
                <w:szCs w:val="24"/>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地插</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个</w:t>
            </w:r>
          </w:p>
        </w:tc>
        <w:tc>
          <w:tcPr>
            <w:tcW w:w="3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10</w:t>
            </w:r>
          </w:p>
        </w:tc>
      </w:tr>
      <w:tr>
        <w:tblPrEx>
          <w:tblCellMar>
            <w:top w:w="0" w:type="dxa"/>
            <w:left w:w="108" w:type="dxa"/>
            <w:bottom w:w="0" w:type="dxa"/>
            <w:right w:w="108" w:type="dxa"/>
          </w:tblCellMar>
        </w:tblPrEx>
        <w:trPr>
          <w:trHeight w:val="27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9</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cs="宋体" w:asciiTheme="majorEastAsia" w:hAnsiTheme="majorEastAsia" w:eastAsiaTheme="majorEastAsia"/>
                <w:color w:val="000000"/>
                <w:sz w:val="24"/>
                <w:szCs w:val="24"/>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天棚、四壁批腻子</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平</w:t>
            </w:r>
          </w:p>
        </w:tc>
        <w:tc>
          <w:tcPr>
            <w:tcW w:w="3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250.7</w:t>
            </w:r>
          </w:p>
        </w:tc>
      </w:tr>
      <w:tr>
        <w:tblPrEx>
          <w:tblCellMar>
            <w:top w:w="0" w:type="dxa"/>
            <w:left w:w="108" w:type="dxa"/>
            <w:bottom w:w="0" w:type="dxa"/>
            <w:right w:w="108" w:type="dxa"/>
          </w:tblCellMar>
        </w:tblPrEx>
        <w:trPr>
          <w:trHeight w:val="27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10</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cs="宋体" w:asciiTheme="majorEastAsia" w:hAnsiTheme="majorEastAsia" w:eastAsiaTheme="majorEastAsia"/>
                <w:color w:val="000000"/>
                <w:sz w:val="24"/>
                <w:szCs w:val="24"/>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天棚、四壁批涂料</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平</w:t>
            </w:r>
          </w:p>
        </w:tc>
        <w:tc>
          <w:tcPr>
            <w:tcW w:w="3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251.7</w:t>
            </w:r>
          </w:p>
        </w:tc>
      </w:tr>
      <w:tr>
        <w:tblPrEx>
          <w:tblCellMar>
            <w:top w:w="0" w:type="dxa"/>
            <w:left w:w="108" w:type="dxa"/>
            <w:bottom w:w="0" w:type="dxa"/>
            <w:right w:w="108" w:type="dxa"/>
          </w:tblCellMar>
        </w:tblPrEx>
        <w:trPr>
          <w:trHeight w:val="27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11</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cs="宋体" w:asciiTheme="majorEastAsia" w:hAnsiTheme="majorEastAsia" w:eastAsiaTheme="majorEastAsia"/>
                <w:color w:val="000000"/>
                <w:sz w:val="24"/>
                <w:szCs w:val="24"/>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水槽（包含水管）</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项</w:t>
            </w:r>
          </w:p>
        </w:tc>
        <w:tc>
          <w:tcPr>
            <w:tcW w:w="3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w:t>
            </w:r>
          </w:p>
        </w:tc>
      </w:tr>
      <w:tr>
        <w:tblPrEx>
          <w:tblCellMar>
            <w:top w:w="0" w:type="dxa"/>
            <w:left w:w="108" w:type="dxa"/>
            <w:bottom w:w="0" w:type="dxa"/>
            <w:right w:w="108" w:type="dxa"/>
          </w:tblCellMar>
        </w:tblPrEx>
        <w:trPr>
          <w:trHeight w:val="27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12</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cs="宋体" w:asciiTheme="majorEastAsia" w:hAnsiTheme="majorEastAsia" w:eastAsiaTheme="majorEastAsia"/>
                <w:color w:val="000000"/>
                <w:sz w:val="24"/>
                <w:szCs w:val="24"/>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手动图案窗帘</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个</w:t>
            </w:r>
          </w:p>
        </w:tc>
        <w:tc>
          <w:tcPr>
            <w:tcW w:w="3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4</w:t>
            </w:r>
          </w:p>
        </w:tc>
      </w:tr>
      <w:tr>
        <w:tblPrEx>
          <w:tblCellMar>
            <w:top w:w="0" w:type="dxa"/>
            <w:left w:w="108" w:type="dxa"/>
            <w:bottom w:w="0" w:type="dxa"/>
            <w:right w:w="108" w:type="dxa"/>
          </w:tblCellMar>
        </w:tblPrEx>
        <w:trPr>
          <w:trHeight w:val="27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13</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cs="宋体" w:asciiTheme="majorEastAsia" w:hAnsiTheme="majorEastAsia" w:eastAsiaTheme="majorEastAsia"/>
                <w:color w:val="000000"/>
                <w:sz w:val="24"/>
                <w:szCs w:val="24"/>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其他工程</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项</w:t>
            </w:r>
          </w:p>
        </w:tc>
        <w:tc>
          <w:tcPr>
            <w:tcW w:w="3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1</w:t>
            </w:r>
          </w:p>
        </w:tc>
      </w:tr>
    </w:tbl>
    <w:p>
      <w:pPr>
        <w:rPr>
          <w:rFonts w:asciiTheme="majorEastAsia" w:hAnsiTheme="majorEastAsia" w:eastAsiaTheme="majorEastAsia"/>
          <w:sz w:val="24"/>
          <w:szCs w:val="24"/>
        </w:rPr>
      </w:pPr>
      <w:r>
        <w:rPr>
          <w:rFonts w:hint="eastAsia"/>
        </w:rPr>
        <w:drawing>
          <wp:inline distT="0" distB="0" distL="0" distR="0">
            <wp:extent cx="5944870" cy="386524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cstate="print">
                      <a:extLst>
                        <a:ext uri="{28A0092B-C50C-407E-A947-70E740481C1C}">
                          <a14:useLocalDpi xmlns:a14="http://schemas.microsoft.com/office/drawing/2010/main" val="0"/>
                        </a:ext>
                      </a:extLst>
                    </a:blip>
                    <a:srcRect b="8060"/>
                    <a:stretch>
                      <a:fillRect/>
                    </a:stretch>
                  </pic:blipFill>
                  <pic:spPr>
                    <a:xfrm>
                      <a:off x="0" y="0"/>
                      <a:ext cx="5965956" cy="3879216"/>
                    </a:xfrm>
                    <a:prstGeom prst="rect">
                      <a:avLst/>
                    </a:prstGeom>
                    <a:ln>
                      <a:noFill/>
                    </a:ln>
                  </pic:spPr>
                </pic:pic>
              </a:graphicData>
            </a:graphic>
          </wp:inline>
        </w:drawing>
      </w:r>
    </w:p>
    <w:p>
      <w:pPr>
        <w:pStyle w:val="24"/>
        <w:spacing w:beforeLines="0" w:afterLines="0" w:line="360" w:lineRule="auto"/>
        <w:outlineLvl w:val="0"/>
        <w:rPr>
          <w:rFonts w:hAnsi="宋体" w:cs="宋体"/>
          <w:b/>
        </w:rPr>
      </w:pPr>
      <w:r>
        <w:rPr>
          <w:rFonts w:hint="eastAsia" w:hAnsi="宋体" w:cs="宋体"/>
          <w:b/>
          <w:sz w:val="28"/>
          <w:szCs w:val="28"/>
        </w:rPr>
        <w:t>六、商务要求</w:t>
      </w:r>
    </w:p>
    <w:tbl>
      <w:tblPr>
        <w:tblStyle w:val="40"/>
        <w:tblW w:w="964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09"/>
        <w:gridCol w:w="78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809"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cs="宋体"/>
                <w:kern w:val="0"/>
                <w:sz w:val="24"/>
              </w:rPr>
            </w:pPr>
            <w:r>
              <w:rPr>
                <w:rFonts w:hint="eastAsia" w:ascii="宋体" w:hAnsi="宋体" w:cs="宋体"/>
                <w:kern w:val="0"/>
                <w:sz w:val="24"/>
              </w:rPr>
              <w:t>质保期</w:t>
            </w:r>
          </w:p>
        </w:tc>
        <w:tc>
          <w:tcPr>
            <w:tcW w:w="7839"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cs="宋体"/>
                <w:kern w:val="0"/>
                <w:sz w:val="24"/>
              </w:rPr>
            </w:pPr>
            <w:r>
              <w:rPr>
                <w:rFonts w:hint="eastAsia" w:ascii="宋体" w:hAnsi="宋体" w:cs="宋体"/>
                <w:kern w:val="0"/>
                <w:sz w:val="24"/>
              </w:rPr>
              <w:t>▲验收合格后，质保期3年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8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售后服务要求</w:t>
            </w:r>
          </w:p>
        </w:tc>
        <w:tc>
          <w:tcPr>
            <w:tcW w:w="783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1.本项目须具备较强的本地化优质履约服务能力，以确保对用户方现场服务的快速响应及优质履约服务。 2.交货期（含安装调试）：合同签订后，在15个工作日内交货并安装；供货地点：用户指定安装地点。 3.本项目整体质保期为三年。在质保期内，中标人应负责对其提供的硬件及软件进行现场维修、损坏件更换，不收取额外费用，响应时间必须满足采购人工作正常运行的要求。 4.中标人在接到采购方报修服务请求后在2小时内到达现场提供服务，24小时内完成修复。超过24小时不能修复的需要提供备件进行更换。 5.中标人应对采购人的操作人员提供技术培训，使其能对硬件及软件进行日常操作和维护保养及能对一般故障进行维修。 6.供货、调试过程中发生的一切费用由中标人负责。 7.质量标准：符合我国国家有关技术规范要求和技术标准。8.其他问题双方友好协商解决。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18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sz w:val="24"/>
              </w:rPr>
            </w:pPr>
            <w:r>
              <w:rPr>
                <w:rFonts w:hint="eastAsia" w:ascii="宋体" w:hAnsi="宋体" w:cs="宋体"/>
                <w:kern w:val="0"/>
                <w:sz w:val="24"/>
              </w:rPr>
              <w:t>交货时间及实施地点</w:t>
            </w:r>
          </w:p>
        </w:tc>
        <w:tc>
          <w:tcPr>
            <w:tcW w:w="78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sz w:val="24"/>
              </w:rPr>
            </w:pPr>
            <w:r>
              <w:rPr>
                <w:rFonts w:hint="eastAsia" w:ascii="宋体" w:hAnsi="宋体" w:cs="宋体"/>
                <w:kern w:val="0"/>
                <w:sz w:val="24"/>
              </w:rPr>
              <w:t>▲交货时间：在合同签订后天15内交货并完成安装调试。</w:t>
            </w:r>
          </w:p>
          <w:p>
            <w:pPr>
              <w:widowControl/>
              <w:spacing w:line="360" w:lineRule="auto"/>
              <w:rPr>
                <w:rFonts w:ascii="宋体" w:hAnsi="宋体" w:cs="宋体"/>
                <w:kern w:val="0"/>
                <w:sz w:val="24"/>
              </w:rPr>
            </w:pPr>
            <w:r>
              <w:rPr>
                <w:rFonts w:hint="eastAsia" w:ascii="宋体" w:hAnsi="宋体" w:cs="宋体"/>
                <w:kern w:val="0"/>
                <w:sz w:val="24"/>
              </w:rPr>
              <w:t>实施地点：由采购人指定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80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kern w:val="0"/>
                <w:sz w:val="24"/>
              </w:rPr>
            </w:pPr>
            <w:r>
              <w:rPr>
                <w:rFonts w:hint="eastAsia" w:ascii="宋体" w:hAnsi="宋体" w:cs="宋体"/>
                <w:kern w:val="0"/>
                <w:sz w:val="24"/>
              </w:rPr>
              <w:t>付款条件</w:t>
            </w:r>
          </w:p>
        </w:tc>
        <w:tc>
          <w:tcPr>
            <w:tcW w:w="783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kern w:val="0"/>
                <w:sz w:val="24"/>
              </w:rPr>
            </w:pPr>
            <w:r>
              <w:rPr>
                <w:rFonts w:hint="eastAsia" w:ascii="宋体" w:hAnsi="宋体" w:cs="宋体"/>
                <w:kern w:val="0"/>
                <w:sz w:val="24"/>
              </w:rPr>
              <w:t>▲根据《保障中小企业款项支付条例》</w:t>
            </w:r>
            <w:r>
              <w:rPr>
                <w:rFonts w:ascii="宋体" w:hAnsi="宋体" w:cs="宋体"/>
                <w:kern w:val="0"/>
                <w:sz w:val="24"/>
              </w:rPr>
              <w:t>、</w:t>
            </w:r>
            <w:r>
              <w:rPr>
                <w:rFonts w:hint="eastAsia" w:ascii="宋体" w:hAnsi="宋体" w:cs="宋体"/>
                <w:kern w:val="0"/>
                <w:sz w:val="24"/>
              </w:rPr>
              <w:t>省财政厅《关于坚决打赢疫情防控阻击战进一步做好政府采购资金支持企业发展工作的通知》（浙财采监【2020】3号）要求，制定如下付款方式：在合同签订后采购人在15个工作日内预付合同金额的的30%，余款安装调试完毕、验收合格后付清。</w:t>
            </w:r>
          </w:p>
        </w:tc>
      </w:tr>
    </w:tbl>
    <w:p>
      <w:pPr>
        <w:pStyle w:val="2"/>
        <w:spacing w:after="0" w:line="360" w:lineRule="auto"/>
        <w:rPr>
          <w:rFonts w:ascii="宋体" w:hAnsi="宋体" w:cs="宋体"/>
          <w:b/>
          <w:kern w:val="0"/>
          <w:sz w:val="24"/>
          <w:szCs w:val="22"/>
        </w:rPr>
      </w:pPr>
      <w:r>
        <w:rPr>
          <w:rFonts w:hint="eastAsia" w:ascii="宋体" w:hAnsi="宋体" w:cs="宋体"/>
          <w:b/>
          <w:kern w:val="0"/>
          <w:sz w:val="24"/>
        </w:rPr>
        <w:t>注：</w:t>
      </w:r>
      <w:r>
        <w:rPr>
          <w:rFonts w:hint="eastAsia" w:ascii="宋体" w:hAnsi="宋体" w:eastAsia="宋体" w:cs="Times New Roman"/>
          <w:b/>
          <w:sz w:val="24"/>
          <w:szCs w:val="22"/>
        </w:rPr>
        <w:t>1、本项目</w:t>
      </w:r>
      <w:r>
        <w:rPr>
          <w:rFonts w:ascii="宋体" w:hAnsi="宋体" w:eastAsia="宋体" w:cs="Times New Roman"/>
          <w:b/>
          <w:sz w:val="24"/>
          <w:szCs w:val="22"/>
        </w:rPr>
        <w:t>采购标的对应的中小企业划分标准所属行业</w:t>
      </w:r>
      <w:r>
        <w:rPr>
          <w:rFonts w:hint="eastAsia" w:ascii="宋体" w:hAnsi="宋体" w:eastAsia="宋体" w:cs="Times New Roman"/>
          <w:b/>
          <w:sz w:val="24"/>
          <w:szCs w:val="22"/>
        </w:rPr>
        <w:t>为工业或</w:t>
      </w:r>
      <w:r>
        <w:rPr>
          <w:rFonts w:ascii="宋体" w:hAnsi="宋体" w:eastAsia="宋体" w:cs="Times New Roman"/>
          <w:b/>
          <w:sz w:val="24"/>
          <w:szCs w:val="22"/>
        </w:rPr>
        <w:t>其他未列明行业</w:t>
      </w:r>
      <w:r>
        <w:rPr>
          <w:rFonts w:hint="eastAsia" w:ascii="宋体" w:hAnsi="宋体" w:eastAsia="宋体" w:cs="Times New Roman"/>
          <w:b/>
          <w:sz w:val="24"/>
          <w:szCs w:val="22"/>
        </w:rPr>
        <w:t>。</w:t>
      </w:r>
    </w:p>
    <w:p>
      <w:pPr>
        <w:spacing w:line="360" w:lineRule="auto"/>
        <w:rPr>
          <w:rFonts w:ascii="宋体" w:hAnsi="宋体" w:cs="宋体"/>
          <w:kern w:val="0"/>
          <w:sz w:val="24"/>
        </w:rPr>
      </w:pPr>
      <w:r>
        <w:rPr>
          <w:rFonts w:hint="eastAsia" w:ascii="宋体" w:hAnsi="宋体" w:cs="宋体"/>
          <w:kern w:val="0"/>
          <w:sz w:val="24"/>
        </w:rPr>
        <w:t>2.</w:t>
      </w:r>
      <w:r>
        <w:rPr>
          <w:rFonts w:ascii="宋体" w:hAnsi="宋体" w:cs="宋体"/>
          <w:kern w:val="0"/>
          <w:sz w:val="24"/>
        </w:rPr>
        <w:t>依据《</w:t>
      </w:r>
      <w:r>
        <w:rPr>
          <w:rFonts w:hint="eastAsia" w:ascii="宋体" w:hAnsi="宋体" w:cs="宋体"/>
          <w:kern w:val="0"/>
          <w:sz w:val="24"/>
        </w:rPr>
        <w:t>政府采购促进中小企业发展管理办法</w:t>
      </w:r>
      <w:r>
        <w:rPr>
          <w:rFonts w:ascii="宋体" w:hAnsi="宋体" w:cs="宋体"/>
          <w:kern w:val="0"/>
          <w:sz w:val="24"/>
        </w:rPr>
        <w:t>》</w:t>
      </w:r>
      <w:r>
        <w:rPr>
          <w:rFonts w:hint="eastAsia" w:ascii="宋体" w:hAnsi="宋体" w:cs="宋体"/>
          <w:kern w:val="0"/>
          <w:sz w:val="24"/>
        </w:rPr>
        <w:t>（财库【2020】46号）</w:t>
      </w:r>
      <w:r>
        <w:rPr>
          <w:rFonts w:ascii="宋体" w:hAnsi="宋体" w:cs="宋体"/>
          <w:kern w:val="0"/>
          <w:sz w:val="24"/>
        </w:rPr>
        <w:t xml:space="preserve">规定享受扶持政策获得政府采购合同的，小微企业不得将合同分包给大中型企业，中型企业不得将合同分包给大型企业。 </w:t>
      </w:r>
    </w:p>
    <w:p>
      <w:pPr>
        <w:pStyle w:val="2"/>
      </w:pPr>
    </w:p>
    <w:p>
      <w:pPr>
        <w:pStyle w:val="3"/>
      </w:pPr>
    </w:p>
    <w:p>
      <w:pPr>
        <w:pStyle w:val="3"/>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2"/>
      </w:pPr>
    </w:p>
    <w:p>
      <w:pPr>
        <w:pStyle w:val="3"/>
      </w:pPr>
    </w:p>
    <w:p/>
    <w:p/>
    <w:p>
      <w:pPr>
        <w:pStyle w:val="2"/>
      </w:pPr>
    </w:p>
    <w:p>
      <w:pPr>
        <w:snapToGrid w:val="0"/>
        <w:spacing w:line="360" w:lineRule="auto"/>
        <w:rPr>
          <w:rFonts w:ascii="黑体" w:hAnsi="宋体" w:eastAsia="黑体"/>
          <w:sz w:val="30"/>
          <w:szCs w:val="30"/>
        </w:rPr>
      </w:pPr>
    </w:p>
    <w:p>
      <w:pPr>
        <w:snapToGrid w:val="0"/>
        <w:spacing w:line="360" w:lineRule="auto"/>
        <w:jc w:val="center"/>
        <w:rPr>
          <w:rFonts w:hint="eastAsia" w:ascii="黑体" w:hAnsi="宋体" w:eastAsia="黑体"/>
          <w:sz w:val="30"/>
          <w:szCs w:val="30"/>
        </w:rPr>
      </w:pPr>
    </w:p>
    <w:p>
      <w:pPr>
        <w:snapToGrid w:val="0"/>
        <w:spacing w:line="360" w:lineRule="auto"/>
        <w:jc w:val="center"/>
        <w:rPr>
          <w:rFonts w:hint="eastAsia" w:ascii="黑体" w:hAnsi="宋体" w:eastAsia="黑体"/>
          <w:sz w:val="30"/>
          <w:szCs w:val="30"/>
        </w:rPr>
      </w:pPr>
    </w:p>
    <w:p>
      <w:pPr>
        <w:snapToGrid w:val="0"/>
        <w:spacing w:line="360" w:lineRule="auto"/>
        <w:jc w:val="center"/>
        <w:rPr>
          <w:rFonts w:hint="eastAsia" w:ascii="黑体" w:hAnsi="宋体" w:eastAsia="黑体"/>
          <w:sz w:val="30"/>
          <w:szCs w:val="30"/>
        </w:rPr>
      </w:pPr>
    </w:p>
    <w:p>
      <w:pPr>
        <w:snapToGrid w:val="0"/>
        <w:spacing w:line="360" w:lineRule="auto"/>
        <w:jc w:val="center"/>
        <w:rPr>
          <w:rFonts w:ascii="黑体" w:hAnsi="宋体" w:eastAsia="黑体"/>
          <w:sz w:val="30"/>
          <w:szCs w:val="30"/>
        </w:rPr>
      </w:pPr>
      <w:r>
        <w:rPr>
          <w:rFonts w:hint="eastAsia" w:ascii="黑体" w:hAnsi="宋体" w:eastAsia="黑体"/>
          <w:sz w:val="30"/>
          <w:szCs w:val="30"/>
        </w:rPr>
        <w:t>第三章  投标人须知</w:t>
      </w:r>
    </w:p>
    <w:p>
      <w:pPr>
        <w:snapToGrid w:val="0"/>
        <w:spacing w:line="360" w:lineRule="auto"/>
        <w:ind w:left="238"/>
        <w:jc w:val="center"/>
        <w:outlineLvl w:val="1"/>
        <w:rPr>
          <w:rFonts w:ascii="宋体" w:hAnsi="宋体"/>
          <w:b/>
          <w:sz w:val="30"/>
          <w:szCs w:val="30"/>
        </w:rPr>
      </w:pPr>
      <w:r>
        <w:rPr>
          <w:rFonts w:hint="eastAsia" w:ascii="宋体" w:hAnsi="宋体"/>
          <w:b/>
          <w:sz w:val="30"/>
          <w:szCs w:val="30"/>
        </w:rPr>
        <w:t>前附表</w:t>
      </w:r>
    </w:p>
    <w:tbl>
      <w:tblPr>
        <w:tblStyle w:val="40"/>
        <w:tblW w:w="9956"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90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rPr>
              <w:t>序号</w:t>
            </w:r>
          </w:p>
        </w:tc>
        <w:tc>
          <w:tcPr>
            <w:tcW w:w="90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ascii="宋体" w:hAnsi="宋体"/>
                <w:sz w:val="24"/>
              </w:rPr>
              <w:t>1</w:t>
            </w:r>
          </w:p>
        </w:tc>
        <w:tc>
          <w:tcPr>
            <w:tcW w:w="90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rPr>
            </w:pPr>
            <w:r>
              <w:rPr>
                <w:rFonts w:hint="eastAsia" w:ascii="宋体" w:hAnsi="宋体"/>
                <w:sz w:val="24"/>
              </w:rPr>
              <w:t xml:space="preserve">项目名称：湖州市爱山小学教育集团新型教学空间设施设备项目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ascii="宋体" w:hAnsi="宋体"/>
                <w:sz w:val="24"/>
              </w:rPr>
              <w:t>2</w:t>
            </w:r>
          </w:p>
        </w:tc>
        <w:tc>
          <w:tcPr>
            <w:tcW w:w="90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rPr>
            </w:pPr>
            <w:r>
              <w:rPr>
                <w:rFonts w:hint="eastAsia" w:ascii="宋体" w:hAnsi="宋体"/>
                <w:sz w:val="24"/>
              </w:rPr>
              <w:t>采购数量及单位：详见招标文件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3</w:t>
            </w:r>
          </w:p>
        </w:tc>
        <w:tc>
          <w:tcPr>
            <w:tcW w:w="90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rPr>
            </w:pPr>
            <w:r>
              <w:rPr>
                <w:rFonts w:hint="eastAsia" w:ascii="宋体" w:hAnsi="宋体"/>
                <w:sz w:val="24"/>
              </w:rPr>
              <w:t>投标报价及费用：</w:t>
            </w:r>
            <w:r>
              <w:rPr>
                <w:rFonts w:ascii="宋体" w:hAnsi="宋体"/>
                <w:sz w:val="24"/>
              </w:rPr>
              <w:t>1</w:t>
            </w:r>
            <w:r>
              <w:rPr>
                <w:rFonts w:hint="eastAsia" w:ascii="宋体" w:hAnsi="宋体"/>
                <w:sz w:val="24"/>
              </w:rPr>
              <w:t>.本项目投标应以人民币报价；</w:t>
            </w:r>
            <w:r>
              <w:rPr>
                <w:rFonts w:ascii="宋体" w:hAnsi="宋体"/>
                <w:sz w:val="24"/>
              </w:rPr>
              <w:t>2</w:t>
            </w:r>
            <w:r>
              <w:rPr>
                <w:rFonts w:hint="eastAsia" w:ascii="宋体" w:hAnsi="宋体"/>
                <w:sz w:val="24"/>
              </w:rPr>
              <w:t>.不论投标结果如何，投标人均应自行承担所有与投标有关的全部费用。3.本项目招标代理服务费人民币柒仟柒佰捌拾元整，由中标人全额支付。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ascii="宋体" w:hAnsi="宋体"/>
                <w:sz w:val="24"/>
              </w:rPr>
              <w:t>4</w:t>
            </w:r>
          </w:p>
        </w:tc>
        <w:tc>
          <w:tcPr>
            <w:tcW w:w="90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rPr>
            </w:pPr>
            <w:r>
              <w:rPr>
                <w:rFonts w:hint="eastAsia" w:ascii="宋体" w:hAnsi="宋体"/>
                <w:sz w:val="24"/>
              </w:rPr>
              <w:t>投标保证金：不缴纳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ascii="宋体" w:hAnsi="宋体"/>
                <w:sz w:val="24"/>
              </w:rPr>
              <w:t>5</w:t>
            </w:r>
          </w:p>
        </w:tc>
        <w:tc>
          <w:tcPr>
            <w:tcW w:w="90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rPr>
            </w:pPr>
            <w:r>
              <w:rPr>
                <w:rFonts w:hint="eastAsia" w:ascii="宋体" w:hAnsi="宋体"/>
                <w:sz w:val="24"/>
              </w:rPr>
              <w:t>现场踏勘：不组织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2"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szCs w:val="20"/>
              </w:rPr>
              <w:t>6</w:t>
            </w:r>
          </w:p>
        </w:tc>
        <w:tc>
          <w:tcPr>
            <w:tcW w:w="90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rPr>
            </w:pPr>
            <w:r>
              <w:rPr>
                <w:rFonts w:hint="eastAsia" w:ascii="宋体" w:hAnsi="宋体"/>
                <w:sz w:val="24"/>
              </w:rPr>
              <w:t>答疑与澄清：投标人如认为招标文件表述不清晰、存在歧视性、排他性或者其他违法内容的，应当于2021年</w:t>
            </w:r>
            <w:r>
              <w:rPr>
                <w:rFonts w:hint="eastAsia" w:ascii="宋体" w:hAnsi="宋体"/>
                <w:sz w:val="24"/>
                <w:lang w:val="en-US" w:eastAsia="zh-CN"/>
              </w:rPr>
              <w:t>10</w:t>
            </w:r>
            <w:r>
              <w:rPr>
                <w:rFonts w:hint="eastAsia" w:ascii="宋体" w:hAnsi="宋体"/>
                <w:sz w:val="24"/>
              </w:rPr>
              <w:t>月</w:t>
            </w:r>
            <w:r>
              <w:rPr>
                <w:rFonts w:hint="eastAsia" w:ascii="宋体" w:hAnsi="宋体"/>
                <w:sz w:val="24"/>
                <w:lang w:val="en-US" w:eastAsia="zh-CN"/>
              </w:rPr>
              <w:t>27</w:t>
            </w:r>
            <w:r>
              <w:rPr>
                <w:rFonts w:hint="eastAsia" w:ascii="宋体" w:hAnsi="宋体"/>
                <w:sz w:val="24"/>
              </w:rPr>
              <w:t>日16:00前，以书面形式要求招标采购单位作出书面解释、澄清或者向招标采购单位提出书面质疑；招标采购单位将于2021年</w:t>
            </w:r>
            <w:r>
              <w:rPr>
                <w:rFonts w:hint="eastAsia" w:ascii="宋体" w:hAnsi="宋体"/>
                <w:sz w:val="24"/>
                <w:lang w:val="en-US" w:eastAsia="zh-CN"/>
              </w:rPr>
              <w:t>10</w:t>
            </w:r>
            <w:r>
              <w:rPr>
                <w:rFonts w:hint="eastAsia" w:ascii="宋体" w:hAnsi="宋体"/>
                <w:sz w:val="24"/>
              </w:rPr>
              <w:t>月</w:t>
            </w:r>
            <w:r>
              <w:rPr>
                <w:rFonts w:hint="eastAsia" w:ascii="宋体" w:hAnsi="宋体"/>
                <w:sz w:val="24"/>
                <w:lang w:val="en-US" w:eastAsia="zh-CN"/>
              </w:rPr>
              <w:t>29</w:t>
            </w:r>
            <w:r>
              <w:rPr>
                <w:rFonts w:hint="eastAsia" w:ascii="宋体" w:hAnsi="宋体"/>
                <w:sz w:val="24"/>
              </w:rPr>
              <w:t>日前组织答疑；答疑内容是招标文件的组成部份，将在网上发布补充（答疑、澄清）文件，潜在投标人应自行关注网站公告，招标人不再一一通知。投标人因自身贻误行为导致投标失败的，责任自负。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2"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rPr>
            </w:pPr>
            <w:r>
              <w:rPr>
                <w:rFonts w:hint="eastAsia" w:ascii="宋体" w:hAnsi="宋体"/>
                <w:sz w:val="24"/>
              </w:rPr>
              <w:t>7</w:t>
            </w:r>
          </w:p>
        </w:tc>
        <w:tc>
          <w:tcPr>
            <w:tcW w:w="90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rPr>
            </w:pPr>
            <w:r>
              <w:rPr>
                <w:rFonts w:hint="eastAsia" w:ascii="宋体" w:hAnsi="宋体"/>
                <w:sz w:val="24"/>
              </w:rPr>
              <w:t>投标文件组成：1、电子投标文件（包括“电子加密投标文件”和“备份投标文件”，在投标文件编制完成后同时生成）</w:t>
            </w:r>
          </w:p>
          <w:p>
            <w:pPr>
              <w:snapToGrid w:val="0"/>
              <w:spacing w:line="360" w:lineRule="auto"/>
              <w:rPr>
                <w:rFonts w:ascii="宋体" w:hAnsi="宋体"/>
                <w:sz w:val="24"/>
              </w:rPr>
            </w:pPr>
            <w:r>
              <w:rPr>
                <w:rFonts w:hint="eastAsia" w:ascii="宋体" w:hAnsi="宋体"/>
                <w:sz w:val="24"/>
              </w:rPr>
              <w:t>（1）“电子加密投标文件”是指通过“政采云电子交易客户端”完成投标文件编制后生成并加密的数据电文形式的投标文件。</w:t>
            </w:r>
          </w:p>
          <w:p>
            <w:pPr>
              <w:snapToGrid w:val="0"/>
              <w:spacing w:line="360" w:lineRule="auto"/>
              <w:rPr>
                <w:rFonts w:ascii="宋体" w:hAnsi="宋体"/>
                <w:sz w:val="24"/>
              </w:rPr>
            </w:pPr>
            <w:r>
              <w:rPr>
                <w:rFonts w:hint="eastAsia" w:ascii="宋体" w:hAnsi="宋体"/>
                <w:sz w:val="24"/>
              </w:rPr>
              <w:t>（2）“备份投标文件”是指与“电子加密投标文件”同时生成的数据电文形式的电子文件（备份标书），其他方式编制的备份投标文件视为无效备份投标文件。仅在出现解密异常情况下使用。</w:t>
            </w:r>
          </w:p>
          <w:p>
            <w:pPr>
              <w:autoSpaceDE w:val="0"/>
              <w:autoSpaceDN w:val="0"/>
              <w:snapToGrid w:val="0"/>
              <w:spacing w:line="360" w:lineRule="auto"/>
              <w:textAlignment w:val="bottom"/>
              <w:rPr>
                <w:rFonts w:ascii="宋体" w:hAnsi="宋体"/>
                <w:sz w:val="24"/>
              </w:rPr>
            </w:pPr>
            <w:r>
              <w:rPr>
                <w:rFonts w:hint="eastAsia" w:ascii="宋体" w:hAnsi="宋体"/>
                <w:sz w:val="24"/>
              </w:rPr>
              <w:t>2、中标后，中标单位需在领取中标通知书时，向招标代理机构提交与投标时电子投标文件一致的纸质版本一式三份（按照招标文件要求签字盖章）。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2"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rPr>
            </w:pPr>
            <w:r>
              <w:rPr>
                <w:rFonts w:hint="eastAsia" w:ascii="宋体" w:hAnsi="宋体"/>
                <w:sz w:val="24"/>
              </w:rPr>
              <w:t>8</w:t>
            </w:r>
          </w:p>
        </w:tc>
        <w:tc>
          <w:tcPr>
            <w:tcW w:w="90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rPr>
            </w:pPr>
            <w:r>
              <w:rPr>
                <w:rFonts w:hint="eastAsia" w:ascii="宋体" w:hAnsi="宋体"/>
                <w:sz w:val="24"/>
              </w:rPr>
              <w:t>投标文件份数：1、“电子加密投标文件”：在线上传递交、一份。2、 “备份投标文件”：一份。</w:t>
            </w:r>
            <w:r>
              <w:rPr>
                <w:rFonts w:ascii="宋体" w:hAnsi="宋体"/>
                <w:sz w:val="24"/>
              </w:rPr>
              <w:t>以介质存储的数据电文形式的备份</w:t>
            </w:r>
            <w:r>
              <w:rPr>
                <w:rFonts w:hint="eastAsia" w:ascii="宋体" w:hAnsi="宋体"/>
                <w:sz w:val="24"/>
              </w:rPr>
              <w:t>投标</w:t>
            </w:r>
            <w:r>
              <w:rPr>
                <w:rFonts w:ascii="宋体" w:hAnsi="宋体"/>
                <w:sz w:val="24"/>
              </w:rPr>
              <w:t>文件(BFBS格式)，按政采云平台项目采购-电子交易操作指南中上传的电子</w:t>
            </w:r>
            <w:r>
              <w:rPr>
                <w:rFonts w:hint="eastAsia" w:ascii="宋体" w:hAnsi="宋体"/>
                <w:sz w:val="24"/>
              </w:rPr>
              <w:t>投标</w:t>
            </w:r>
            <w:r>
              <w:rPr>
                <w:rFonts w:ascii="宋体" w:hAnsi="宋体"/>
                <w:sz w:val="24"/>
              </w:rPr>
              <w:t>文件格式，以U盘形式存储提供)。U盘盘面上粘贴标签，标注单位名称，装入一个外包封袋中进行邮寄.邮寄时，总的外包封袋上可不注明单位名称，但应注明单位的联系人、联系电话及项目名称</w:t>
            </w:r>
            <w:r>
              <w:rPr>
                <w:rFonts w:hint="eastAsia" w:ascii="宋体" w:hAnsi="宋体"/>
                <w:sz w:val="24"/>
              </w:rPr>
              <w:t>。邮寄地址为：浙江华耀建设咨询有限公司（湖州市静江公寓1单元1101室），联系人：张治中，联系电话：0572-2198738</w:t>
            </w:r>
            <w:r>
              <w:fldChar w:fldCharType="begin"/>
            </w:r>
            <w:r>
              <w:instrText xml:space="preserve"> HYPERLINK "mailto:huayaohz@163.com。供应商应于2020年9月" </w:instrText>
            </w:r>
            <w:r>
              <w:fldChar w:fldCharType="separate"/>
            </w:r>
            <w:r>
              <w:rPr>
                <w:rFonts w:hint="eastAsia" w:ascii="宋体" w:hAnsi="宋体"/>
                <w:sz w:val="24"/>
              </w:rPr>
              <w:t>。供应商应于2021年</w:t>
            </w:r>
            <w:r>
              <w:rPr>
                <w:rFonts w:hint="eastAsia" w:ascii="宋体" w:hAnsi="宋体"/>
                <w:sz w:val="24"/>
              </w:rPr>
              <w:fldChar w:fldCharType="end"/>
            </w:r>
            <w:r>
              <w:rPr>
                <w:rFonts w:hint="eastAsia" w:ascii="宋体" w:hAnsi="宋体"/>
                <w:sz w:val="24"/>
                <w:lang w:val="en-US" w:eastAsia="zh-CN"/>
              </w:rPr>
              <w:t>11</w:t>
            </w:r>
            <w:r>
              <w:rPr>
                <w:rFonts w:hint="eastAsia" w:ascii="宋体" w:hAnsi="宋体"/>
                <w:sz w:val="24"/>
              </w:rPr>
              <w:t>月</w:t>
            </w:r>
            <w:r>
              <w:rPr>
                <w:rFonts w:hint="eastAsia" w:ascii="宋体" w:hAnsi="宋体"/>
                <w:sz w:val="24"/>
                <w:lang w:val="en-US" w:eastAsia="zh-CN"/>
              </w:rPr>
              <w:t>4</w:t>
            </w:r>
            <w:r>
              <w:rPr>
                <w:rFonts w:hint="eastAsia" w:ascii="宋体" w:hAnsi="宋体"/>
                <w:sz w:val="24"/>
              </w:rPr>
              <w:t>日1</w:t>
            </w:r>
            <w:r>
              <w:rPr>
                <w:rFonts w:hint="eastAsia" w:ascii="宋体" w:hAnsi="宋体"/>
                <w:sz w:val="24"/>
                <w:lang w:val="en-US" w:eastAsia="zh-CN"/>
              </w:rPr>
              <w:t>1</w:t>
            </w:r>
            <w:r>
              <w:rPr>
                <w:rFonts w:hint="eastAsia" w:ascii="宋体" w:hAnsi="宋体"/>
                <w:sz w:val="24"/>
              </w:rPr>
              <w:t>:00时前准时送达，拒绝到付。以收件人实际签收时间为准，逾期送达的将拒绝接收。若供应商派授权代表出席开标会议（授权代表必须携带身份证、法人授权委托书或法人身份证明文书等有效证明文件以及最近一个月个人社保缴纳证明文件。未携带有效证明文件或未提供社保缴纳证明文件的，其投标文件将被拒绝），数据电子备份投标文件（U盘）应在投标截止时间前送达，超过投标截止时间送达的，按未提供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szCs w:val="20"/>
              </w:rPr>
              <w:t>9</w:t>
            </w:r>
          </w:p>
        </w:tc>
        <w:tc>
          <w:tcPr>
            <w:tcW w:w="90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rPr>
            </w:pPr>
            <w:r>
              <w:rPr>
                <w:rFonts w:hint="eastAsia" w:ascii="宋体" w:hAnsi="宋体"/>
                <w:sz w:val="24"/>
              </w:rPr>
              <w:t>电子加密投标文件的解密和异常情况处理：</w:t>
            </w:r>
          </w:p>
          <w:p>
            <w:pPr>
              <w:snapToGrid w:val="0"/>
              <w:spacing w:line="360" w:lineRule="auto"/>
              <w:rPr>
                <w:rFonts w:ascii="宋体" w:hAnsi="宋体"/>
                <w:sz w:val="24"/>
              </w:rPr>
            </w:pPr>
            <w:r>
              <w:rPr>
                <w:rFonts w:hint="eastAsia" w:ascii="宋体" w:hAnsi="宋体"/>
                <w:sz w:val="24"/>
              </w:rPr>
              <w:t>（1）开标后，采购组织机构将向各投标供应商发出“电子加密投标文件”的解密通知，各投标供应商代表应当在接到解密通知后30分钟内自行完成“电子加密投标文件”的在线解密。</w:t>
            </w:r>
          </w:p>
          <w:p>
            <w:pPr>
              <w:snapToGrid w:val="0"/>
              <w:spacing w:line="360" w:lineRule="auto"/>
              <w:rPr>
                <w:rFonts w:ascii="宋体" w:hAnsi="宋体"/>
                <w:sz w:val="24"/>
              </w:rPr>
            </w:pPr>
            <w:r>
              <w:rPr>
                <w:rFonts w:hint="eastAsia" w:ascii="宋体" w:hAnsi="宋体"/>
                <w:sz w:val="24"/>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napToGrid w:val="0"/>
              <w:spacing w:line="360" w:lineRule="auto"/>
              <w:rPr>
                <w:rFonts w:ascii="宋体" w:hAnsi="宋体"/>
                <w:sz w:val="24"/>
              </w:rPr>
            </w:pPr>
            <w:r>
              <w:rPr>
                <w:rFonts w:hint="eastAsia" w:ascii="宋体" w:hAnsi="宋体"/>
                <w:sz w:val="24"/>
              </w:rPr>
              <w:t>（3）投标截止时间前，投标供应商仅递交了“备份投标文件”而未将电子加密投标文件上传至“政府采购云平台”的，投标无效。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rPr>
              <w:t>10</w:t>
            </w:r>
          </w:p>
        </w:tc>
        <w:tc>
          <w:tcPr>
            <w:tcW w:w="90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rPr>
            </w:pPr>
            <w:r>
              <w:rPr>
                <w:rFonts w:hint="eastAsia" w:ascii="宋体" w:hAnsi="宋体"/>
                <w:sz w:val="24"/>
              </w:rPr>
              <w:t>开标时间及地点：2021年</w:t>
            </w:r>
            <w:r>
              <w:rPr>
                <w:rFonts w:hint="eastAsia" w:ascii="宋体" w:hAnsi="宋体"/>
                <w:sz w:val="24"/>
                <w:lang w:val="en-US" w:eastAsia="zh-CN"/>
              </w:rPr>
              <w:t>11</w:t>
            </w:r>
            <w:r>
              <w:rPr>
                <w:rFonts w:hint="eastAsia" w:ascii="宋体" w:hAnsi="宋体"/>
                <w:sz w:val="24"/>
              </w:rPr>
              <w:t>月</w:t>
            </w:r>
            <w:r>
              <w:rPr>
                <w:rFonts w:hint="eastAsia" w:ascii="宋体" w:hAnsi="宋体"/>
                <w:sz w:val="24"/>
                <w:lang w:val="en-US" w:eastAsia="zh-CN"/>
              </w:rPr>
              <w:t>4</w:t>
            </w:r>
            <w:r>
              <w:rPr>
                <w:rFonts w:hint="eastAsia" w:ascii="宋体" w:hAnsi="宋体"/>
                <w:sz w:val="24"/>
              </w:rPr>
              <w:t>日14 点00分整</w:t>
            </w:r>
          </w:p>
          <w:p>
            <w:pPr>
              <w:snapToGrid w:val="0"/>
              <w:spacing w:line="360" w:lineRule="auto"/>
              <w:rPr>
                <w:rFonts w:ascii="宋体" w:hAnsi="宋体"/>
                <w:sz w:val="24"/>
              </w:rPr>
            </w:pPr>
            <w:r>
              <w:rPr>
                <w:rFonts w:hint="eastAsia" w:ascii="宋体" w:hAnsi="宋体" w:cs="宋体"/>
                <w:kern w:val="0"/>
                <w:sz w:val="24"/>
              </w:rPr>
              <w:t>湖州市吴兴区公共资源交易中心（湖州市吴兴区区府路1188号总部自由港E幢4楼）404开标室</w:t>
            </w:r>
            <w:r>
              <w:rPr>
                <w:rFonts w:hint="eastAsia" w:ascii="宋体" w:hAnsi="宋体" w:cs="宋体"/>
                <w:sz w:val="24"/>
              </w:rPr>
              <w:t>，供应商应在响应截止时间前登入“政府采购云平台（www.zcygov.cn）”在线参与开标，并完成CA锁在线解密响应文件等相关工作。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ascii="宋体" w:hAnsi="宋体"/>
                <w:sz w:val="24"/>
              </w:rPr>
              <w:t>10</w:t>
            </w:r>
          </w:p>
        </w:tc>
        <w:tc>
          <w:tcPr>
            <w:tcW w:w="90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rPr>
            </w:pPr>
            <w:r>
              <w:rPr>
                <w:rFonts w:hint="eastAsia" w:ascii="宋体" w:hAnsi="宋体"/>
                <w:sz w:val="24"/>
              </w:rPr>
              <w:t>评标办法及评分标准：详见招标文件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ascii="宋体" w:hAnsi="宋体"/>
                <w:sz w:val="24"/>
              </w:rPr>
              <w:t>11</w:t>
            </w:r>
          </w:p>
        </w:tc>
        <w:tc>
          <w:tcPr>
            <w:tcW w:w="9056"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ascii="宋体" w:hAnsi="宋体" w:cs="宋体"/>
                <w:kern w:val="0"/>
                <w:sz w:val="24"/>
              </w:rPr>
            </w:pPr>
            <w:r>
              <w:rPr>
                <w:rFonts w:hint="eastAsia" w:ascii="宋体" w:hAnsi="宋体"/>
                <w:sz w:val="24"/>
              </w:rPr>
              <w:t>中标公告：中标供应商确定后，中标公告于</w:t>
            </w:r>
            <w:r>
              <w:rPr>
                <w:rFonts w:hint="eastAsia" w:ascii="宋体" w:hAnsi="宋体" w:cs="宋体"/>
                <w:kern w:val="0"/>
                <w:sz w:val="24"/>
              </w:rPr>
              <w:t>“浙江省政府采购网”(http://zfcg.czt.zj.gov.cn/)和吴兴区人民政府网http://www.wuxing.gov.cn/首页“吴兴区公共资源交易中心”专栏。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ascii="宋体" w:hAnsi="宋体"/>
                <w:sz w:val="24"/>
              </w:rPr>
              <w:t>12</w:t>
            </w:r>
          </w:p>
        </w:tc>
        <w:tc>
          <w:tcPr>
            <w:tcW w:w="905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sz w:val="24"/>
                <w:szCs w:val="20"/>
              </w:rPr>
            </w:pPr>
            <w:r>
              <w:rPr>
                <w:rFonts w:hint="eastAsia" w:ascii="宋体" w:hAnsi="宋体"/>
                <w:sz w:val="24"/>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ascii="宋体" w:hAnsi="宋体"/>
                <w:sz w:val="24"/>
              </w:rPr>
              <w:t>13</w:t>
            </w:r>
          </w:p>
        </w:tc>
        <w:tc>
          <w:tcPr>
            <w:tcW w:w="905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sz w:val="24"/>
                <w:szCs w:val="20"/>
              </w:rPr>
            </w:pPr>
            <w:r>
              <w:rPr>
                <w:rFonts w:hint="eastAsia" w:ascii="宋体" w:hAnsi="宋体"/>
                <w:sz w:val="24"/>
              </w:rPr>
              <w:t>履约保证金：无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ascii="宋体" w:hAnsi="宋体"/>
                <w:sz w:val="24"/>
              </w:rPr>
              <w:t>14</w:t>
            </w:r>
          </w:p>
        </w:tc>
        <w:tc>
          <w:tcPr>
            <w:tcW w:w="905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sz w:val="24"/>
              </w:rPr>
            </w:pPr>
            <w:r>
              <w:rPr>
                <w:rFonts w:hint="eastAsia" w:ascii="宋体" w:hAnsi="宋体"/>
                <w:sz w:val="24"/>
              </w:rPr>
              <w:t>采购资金来源：财政资金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ascii="宋体" w:hAnsi="宋体"/>
                <w:sz w:val="24"/>
              </w:rPr>
              <w:t>15</w:t>
            </w:r>
          </w:p>
        </w:tc>
        <w:tc>
          <w:tcPr>
            <w:tcW w:w="905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sz w:val="24"/>
                <w:szCs w:val="20"/>
              </w:rPr>
            </w:pPr>
            <w:r>
              <w:rPr>
                <w:rFonts w:hint="eastAsia" w:ascii="宋体" w:hAnsi="宋体"/>
                <w:sz w:val="24"/>
              </w:rPr>
              <w:t>付款方式：采购人自行支付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ascii="宋体" w:hAnsi="宋体"/>
                <w:sz w:val="24"/>
              </w:rPr>
              <w:t>16</w:t>
            </w:r>
          </w:p>
        </w:tc>
        <w:tc>
          <w:tcPr>
            <w:tcW w:w="90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szCs w:val="20"/>
              </w:rPr>
            </w:pPr>
            <w:r>
              <w:rPr>
                <w:rFonts w:hint="eastAsia" w:ascii="宋体" w:hAnsi="宋体"/>
                <w:sz w:val="24"/>
              </w:rPr>
              <w:t>投标文件有效期：</w:t>
            </w:r>
            <w:r>
              <w:rPr>
                <w:rFonts w:hint="eastAsia" w:ascii="宋体" w:hAnsi="宋体" w:cs="Arial"/>
                <w:sz w:val="24"/>
                <w:u w:val="single"/>
              </w:rPr>
              <w:t>120</w:t>
            </w:r>
            <w:r>
              <w:rPr>
                <w:rFonts w:hint="eastAsia" w:ascii="宋体" w:hAnsi="宋体" w:cs="Arial"/>
                <w:sz w:val="24"/>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szCs w:val="20"/>
              </w:rPr>
              <w:t>17</w:t>
            </w:r>
          </w:p>
        </w:tc>
        <w:tc>
          <w:tcPr>
            <w:tcW w:w="90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 w:val="24"/>
              </w:rPr>
            </w:pPr>
            <w:r>
              <w:rPr>
                <w:rFonts w:hint="eastAsia" w:ascii="宋体" w:hAnsi="宋体"/>
                <w:sz w:val="24"/>
              </w:rPr>
              <w:t xml:space="preserve">招标单位：湖州市爱山小学教育集团  </w:t>
            </w:r>
            <w:r>
              <w:rPr>
                <w:rFonts w:hint="eastAsia" w:ascii="宋体" w:hAnsi="宋体" w:cs="宋体"/>
                <w:sz w:val="24"/>
              </w:rPr>
              <w:t xml:space="preserve">联系人：柳老师     联系电话：0572-2590856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szCs w:val="20"/>
              </w:rPr>
              <w:t>18</w:t>
            </w:r>
          </w:p>
        </w:tc>
        <w:tc>
          <w:tcPr>
            <w:tcW w:w="90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szCs w:val="20"/>
              </w:rPr>
            </w:pPr>
            <w:r>
              <w:rPr>
                <w:rFonts w:hint="eastAsia" w:ascii="宋体" w:hAnsi="宋体"/>
                <w:sz w:val="24"/>
              </w:rPr>
              <w:t>解释：本招标文件的解释权属于招标采购单位</w:t>
            </w:r>
          </w:p>
        </w:tc>
      </w:tr>
    </w:tbl>
    <w:p>
      <w:pPr>
        <w:pStyle w:val="24"/>
        <w:snapToGrid w:val="0"/>
        <w:spacing w:beforeLines="0" w:afterLines="0" w:line="360" w:lineRule="auto"/>
        <w:rPr>
          <w:rFonts w:hAnsi="宋体"/>
          <w:b/>
          <w:sz w:val="28"/>
          <w:szCs w:val="28"/>
        </w:rPr>
      </w:pPr>
      <w:r>
        <w:rPr>
          <w:rFonts w:hint="eastAsia" w:hAnsi="宋体"/>
          <w:b/>
          <w:sz w:val="28"/>
          <w:szCs w:val="28"/>
        </w:rPr>
        <w:t>一   总  则</w:t>
      </w:r>
    </w:p>
    <w:p>
      <w:pPr>
        <w:snapToGrid w:val="0"/>
        <w:spacing w:line="360" w:lineRule="auto"/>
        <w:ind w:firstLine="472" w:firstLineChars="196"/>
        <w:jc w:val="left"/>
        <w:outlineLvl w:val="1"/>
        <w:rPr>
          <w:rFonts w:ascii="宋体" w:hAnsi="宋体"/>
          <w:b/>
          <w:sz w:val="24"/>
          <w:szCs w:val="20"/>
        </w:rPr>
      </w:pPr>
      <w:r>
        <w:rPr>
          <w:rFonts w:hint="eastAsia" w:ascii="宋体" w:hAnsi="宋体"/>
          <w:b/>
          <w:sz w:val="24"/>
        </w:rPr>
        <w:t>（一）</w:t>
      </w:r>
      <w:r>
        <w:rPr>
          <w:rFonts w:ascii="宋体" w:hAnsi="宋体"/>
          <w:b/>
          <w:sz w:val="24"/>
        </w:rPr>
        <w:t xml:space="preserve"> 适用范围</w:t>
      </w:r>
    </w:p>
    <w:p>
      <w:pPr>
        <w:snapToGrid w:val="0"/>
        <w:spacing w:line="360" w:lineRule="auto"/>
        <w:ind w:firstLine="480" w:firstLineChars="200"/>
        <w:jc w:val="left"/>
        <w:rPr>
          <w:rFonts w:ascii="宋体" w:hAnsi="宋体"/>
          <w:sz w:val="24"/>
          <w:szCs w:val="20"/>
        </w:rPr>
      </w:pPr>
      <w:r>
        <w:rPr>
          <w:rFonts w:hint="eastAsia" w:ascii="宋体" w:hAnsi="宋体"/>
          <w:sz w:val="24"/>
        </w:rPr>
        <w:t>本招标文件适用于湖州市爱山小学教育集团新型教学空间设施设备项目的招标、评标、定标、验收、合同履约、付款等（法律、法规另有规定的，从其规定）。</w:t>
      </w:r>
    </w:p>
    <w:p>
      <w:pPr>
        <w:snapToGrid w:val="0"/>
        <w:spacing w:line="360" w:lineRule="auto"/>
        <w:ind w:firstLine="354" w:firstLineChars="147"/>
        <w:jc w:val="left"/>
        <w:outlineLvl w:val="1"/>
        <w:rPr>
          <w:rFonts w:ascii="宋体" w:hAnsi="宋体"/>
          <w:b/>
          <w:sz w:val="24"/>
          <w:szCs w:val="20"/>
        </w:rPr>
      </w:pPr>
      <w:r>
        <w:rPr>
          <w:rFonts w:hint="eastAsia" w:ascii="宋体" w:hAnsi="宋体"/>
          <w:b/>
          <w:sz w:val="24"/>
        </w:rPr>
        <w:t>（二）定义</w:t>
      </w:r>
    </w:p>
    <w:p>
      <w:pPr>
        <w:snapToGrid w:val="0"/>
        <w:spacing w:line="360" w:lineRule="auto"/>
        <w:ind w:firstLine="480" w:firstLineChars="200"/>
        <w:jc w:val="left"/>
        <w:rPr>
          <w:rFonts w:ascii="宋体" w:hAnsi="宋体"/>
          <w:sz w:val="24"/>
          <w:szCs w:val="20"/>
        </w:rPr>
      </w:pPr>
      <w:r>
        <w:rPr>
          <w:rFonts w:ascii="宋体" w:hAnsi="宋体"/>
          <w:sz w:val="24"/>
        </w:rPr>
        <w:t>1</w:t>
      </w:r>
      <w:r>
        <w:rPr>
          <w:rFonts w:hint="eastAsia" w:ascii="宋体" w:hAnsi="宋体"/>
          <w:sz w:val="24"/>
        </w:rPr>
        <w:t>.</w:t>
      </w:r>
      <w:r>
        <w:rPr>
          <w:rFonts w:ascii="宋体" w:hAnsi="宋体"/>
          <w:sz w:val="24"/>
        </w:rPr>
        <w:t>招标采购单位系指组织本次招标的代理机构和采购单位</w:t>
      </w:r>
      <w:r>
        <w:rPr>
          <w:rFonts w:hint="eastAsia" w:ascii="宋体" w:hAnsi="宋体"/>
          <w:sz w:val="24"/>
        </w:rPr>
        <w:t>（湖州市爱山小学教育集团）</w:t>
      </w:r>
      <w:r>
        <w:rPr>
          <w:rFonts w:ascii="宋体" w:hAnsi="宋体"/>
          <w:sz w:val="24"/>
        </w:rPr>
        <w:t>。</w:t>
      </w:r>
    </w:p>
    <w:p>
      <w:pPr>
        <w:snapToGrid w:val="0"/>
        <w:spacing w:line="360" w:lineRule="auto"/>
        <w:ind w:firstLine="480" w:firstLineChars="200"/>
        <w:jc w:val="left"/>
        <w:rPr>
          <w:rFonts w:ascii="宋体" w:hAnsi="宋体"/>
          <w:sz w:val="24"/>
          <w:szCs w:val="20"/>
        </w:rPr>
      </w:pPr>
      <w:r>
        <w:rPr>
          <w:rFonts w:ascii="宋体" w:hAnsi="宋体"/>
          <w:sz w:val="24"/>
        </w:rPr>
        <w:t>2</w:t>
      </w:r>
      <w:r>
        <w:rPr>
          <w:rFonts w:hint="eastAsia" w:ascii="宋体" w:hAnsi="宋体"/>
          <w:sz w:val="24"/>
        </w:rPr>
        <w:t>.“</w:t>
      </w:r>
      <w:r>
        <w:rPr>
          <w:rFonts w:ascii="宋体" w:hAnsi="宋体"/>
          <w:sz w:val="24"/>
        </w:rPr>
        <w:t>投标人”系指向招标方提交投标文件的单位或个人。</w:t>
      </w:r>
    </w:p>
    <w:p>
      <w:pPr>
        <w:snapToGrid w:val="0"/>
        <w:spacing w:line="360" w:lineRule="auto"/>
        <w:ind w:firstLine="480" w:firstLineChars="200"/>
        <w:jc w:val="left"/>
        <w:rPr>
          <w:rFonts w:ascii="宋体" w:hAnsi="宋体"/>
          <w:sz w:val="24"/>
          <w:szCs w:val="20"/>
        </w:rPr>
      </w:pPr>
      <w:r>
        <w:rPr>
          <w:rFonts w:ascii="宋体" w:hAnsi="宋体"/>
          <w:sz w:val="24"/>
        </w:rPr>
        <w:t>3</w:t>
      </w:r>
      <w:r>
        <w:rPr>
          <w:rFonts w:hint="eastAsia" w:ascii="宋体" w:hAnsi="宋体"/>
          <w:sz w:val="24"/>
        </w:rPr>
        <w:t>.</w:t>
      </w:r>
      <w:r>
        <w:rPr>
          <w:rFonts w:ascii="宋体" w:hAnsi="宋体"/>
          <w:sz w:val="24"/>
        </w:rPr>
        <w:t>“产品”系指供方按招标文件规定，须向采购人提供的一切设备、保险、税金、备品备件、工具、手册及其它有关技术资料和材料。</w:t>
      </w:r>
    </w:p>
    <w:p>
      <w:pPr>
        <w:snapToGrid w:val="0"/>
        <w:spacing w:line="360" w:lineRule="auto"/>
        <w:ind w:firstLine="480" w:firstLineChars="200"/>
        <w:jc w:val="left"/>
        <w:rPr>
          <w:rFonts w:ascii="宋体" w:hAnsi="宋体"/>
          <w:sz w:val="24"/>
          <w:szCs w:val="20"/>
        </w:rPr>
      </w:pPr>
      <w:r>
        <w:rPr>
          <w:rFonts w:ascii="宋体" w:hAnsi="宋体"/>
          <w:sz w:val="24"/>
        </w:rPr>
        <w:t>4</w:t>
      </w:r>
      <w:r>
        <w:rPr>
          <w:rFonts w:hint="eastAsia" w:ascii="宋体" w:hAnsi="宋体"/>
          <w:sz w:val="24"/>
        </w:rPr>
        <w:t>.</w:t>
      </w:r>
      <w:r>
        <w:rPr>
          <w:rFonts w:ascii="宋体" w:hAnsi="宋体"/>
          <w:sz w:val="24"/>
        </w:rPr>
        <w:t>“服务”系指招标文件规定投标人须承担的安装、调试、技术协助、校准、培训、技术指导以及其他类似的义务。</w:t>
      </w:r>
    </w:p>
    <w:p>
      <w:pPr>
        <w:snapToGrid w:val="0"/>
        <w:spacing w:line="360" w:lineRule="auto"/>
        <w:ind w:firstLine="480" w:firstLineChars="200"/>
        <w:jc w:val="left"/>
        <w:rPr>
          <w:rFonts w:ascii="宋体" w:hAnsi="宋体"/>
          <w:sz w:val="24"/>
          <w:szCs w:val="20"/>
        </w:rPr>
      </w:pPr>
      <w:r>
        <w:rPr>
          <w:rFonts w:ascii="宋体" w:hAnsi="宋体"/>
          <w:sz w:val="24"/>
        </w:rPr>
        <w:t>5</w:t>
      </w:r>
      <w:r>
        <w:rPr>
          <w:rFonts w:hint="eastAsia" w:ascii="宋体" w:hAnsi="宋体"/>
          <w:sz w:val="24"/>
        </w:rPr>
        <w:t>.</w:t>
      </w:r>
      <w:r>
        <w:rPr>
          <w:rFonts w:ascii="宋体" w:hAnsi="宋体"/>
          <w:sz w:val="24"/>
        </w:rPr>
        <w:t>“项目”系指投标人按招标文件规定向采购人提供的产品和服务。</w:t>
      </w:r>
    </w:p>
    <w:p>
      <w:pPr>
        <w:snapToGrid w:val="0"/>
        <w:spacing w:line="360" w:lineRule="auto"/>
        <w:ind w:firstLine="480" w:firstLineChars="200"/>
        <w:jc w:val="left"/>
        <w:rPr>
          <w:rFonts w:ascii="宋体" w:hAnsi="宋体"/>
          <w:sz w:val="24"/>
          <w:szCs w:val="20"/>
        </w:rPr>
      </w:pPr>
      <w:r>
        <w:rPr>
          <w:rFonts w:ascii="宋体" w:hAnsi="宋体"/>
          <w:sz w:val="24"/>
        </w:rPr>
        <w:t>6</w:t>
      </w:r>
      <w:r>
        <w:rPr>
          <w:rFonts w:hint="eastAsia" w:ascii="宋体" w:hAnsi="宋体"/>
          <w:sz w:val="24"/>
        </w:rPr>
        <w:t>.</w:t>
      </w:r>
      <w:r>
        <w:rPr>
          <w:rFonts w:ascii="宋体" w:hAnsi="宋体"/>
          <w:sz w:val="24"/>
        </w:rPr>
        <w:t>“书面形式”包括信函、传真、电报等。</w:t>
      </w:r>
    </w:p>
    <w:p>
      <w:pPr>
        <w:snapToGrid w:val="0"/>
        <w:spacing w:line="360" w:lineRule="auto"/>
        <w:ind w:firstLine="480" w:firstLineChars="200"/>
        <w:jc w:val="left"/>
        <w:rPr>
          <w:rFonts w:ascii="宋体" w:hAnsi="宋体"/>
          <w:sz w:val="24"/>
          <w:szCs w:val="20"/>
        </w:rPr>
      </w:pPr>
      <w:r>
        <w:rPr>
          <w:rFonts w:ascii="宋体" w:hAnsi="宋体"/>
          <w:sz w:val="24"/>
        </w:rPr>
        <w:t>7</w:t>
      </w:r>
      <w:r>
        <w:rPr>
          <w:rFonts w:hint="eastAsia" w:ascii="宋体" w:hAnsi="宋体"/>
          <w:sz w:val="24"/>
        </w:rPr>
        <w:t>.</w:t>
      </w:r>
      <w:r>
        <w:rPr>
          <w:rFonts w:ascii="宋体" w:hAnsi="宋体"/>
          <w:sz w:val="24"/>
        </w:rPr>
        <w:t>“▲”系指实质性要求条款。</w:t>
      </w:r>
    </w:p>
    <w:p>
      <w:pPr>
        <w:snapToGrid w:val="0"/>
        <w:spacing w:line="360" w:lineRule="auto"/>
        <w:ind w:firstLine="472" w:firstLineChars="196"/>
        <w:jc w:val="left"/>
        <w:outlineLvl w:val="1"/>
        <w:rPr>
          <w:rFonts w:ascii="宋体" w:hAnsi="宋体"/>
          <w:b/>
          <w:sz w:val="24"/>
          <w:szCs w:val="20"/>
        </w:rPr>
      </w:pPr>
      <w:r>
        <w:rPr>
          <w:rFonts w:hint="eastAsia" w:ascii="宋体" w:hAnsi="宋体"/>
          <w:b/>
          <w:sz w:val="24"/>
        </w:rPr>
        <w:t>（三）招标方式</w:t>
      </w:r>
    </w:p>
    <w:p>
      <w:pPr>
        <w:snapToGrid w:val="0"/>
        <w:spacing w:line="360" w:lineRule="auto"/>
        <w:ind w:firstLine="480" w:firstLineChars="200"/>
        <w:jc w:val="left"/>
        <w:rPr>
          <w:rFonts w:ascii="宋体" w:hAnsi="宋体"/>
          <w:sz w:val="24"/>
          <w:szCs w:val="20"/>
        </w:rPr>
      </w:pPr>
      <w:r>
        <w:rPr>
          <w:rFonts w:ascii="宋体" w:hAnsi="宋体"/>
          <w:sz w:val="24"/>
        </w:rPr>
        <w:t>本次招标采用公开招标方式进行。</w:t>
      </w:r>
    </w:p>
    <w:p>
      <w:pPr>
        <w:snapToGrid w:val="0"/>
        <w:spacing w:line="360" w:lineRule="auto"/>
        <w:ind w:firstLine="472" w:firstLineChars="196"/>
        <w:jc w:val="left"/>
        <w:outlineLvl w:val="1"/>
        <w:rPr>
          <w:rFonts w:ascii="宋体" w:hAnsi="宋体"/>
          <w:b/>
          <w:sz w:val="24"/>
          <w:szCs w:val="20"/>
        </w:rPr>
      </w:pPr>
      <w:r>
        <w:rPr>
          <w:rFonts w:hint="eastAsia" w:ascii="宋体" w:hAnsi="宋体"/>
          <w:b/>
          <w:sz w:val="24"/>
        </w:rPr>
        <w:t>（四）投标委托</w:t>
      </w:r>
    </w:p>
    <w:p>
      <w:pPr>
        <w:pStyle w:val="20"/>
        <w:snapToGrid w:val="0"/>
        <w:spacing w:line="360" w:lineRule="auto"/>
        <w:ind w:firstLine="580" w:firstLineChars="250"/>
        <w:jc w:val="left"/>
        <w:rPr>
          <w:rFonts w:hAnsi="宋体"/>
          <w:sz w:val="24"/>
          <w:szCs w:val="24"/>
        </w:rPr>
      </w:pPr>
      <w:r>
        <w:rPr>
          <w:rFonts w:hAnsi="宋体"/>
          <w:sz w:val="24"/>
          <w:szCs w:val="24"/>
        </w:rPr>
        <w:t>投标人代表须携带</w:t>
      </w:r>
      <w:r>
        <w:rPr>
          <w:rFonts w:hint="eastAsia" w:hAnsi="宋体"/>
          <w:sz w:val="24"/>
          <w:szCs w:val="24"/>
        </w:rPr>
        <w:t>有效</w:t>
      </w:r>
      <w:r>
        <w:rPr>
          <w:rFonts w:hAnsi="宋体"/>
          <w:sz w:val="24"/>
          <w:szCs w:val="24"/>
        </w:rPr>
        <w:t>身份证</w:t>
      </w:r>
      <w:r>
        <w:rPr>
          <w:rFonts w:hint="eastAsia" w:hAnsi="宋体"/>
          <w:sz w:val="24"/>
          <w:szCs w:val="24"/>
        </w:rPr>
        <w:t>件</w:t>
      </w:r>
      <w:r>
        <w:rPr>
          <w:rFonts w:hAnsi="宋体"/>
          <w:sz w:val="24"/>
          <w:szCs w:val="24"/>
        </w:rPr>
        <w:t>。如投标人代表不是法定代表人，须有法定代表人出具的授权委托书</w:t>
      </w:r>
      <w:r>
        <w:rPr>
          <w:rFonts w:hint="eastAsia" w:hAnsi="宋体"/>
          <w:sz w:val="24"/>
          <w:szCs w:val="24"/>
        </w:rPr>
        <w:t>及近1个月的社保证明复印件加盖公章</w:t>
      </w:r>
      <w:r>
        <w:rPr>
          <w:rFonts w:hAnsi="宋体"/>
          <w:sz w:val="24"/>
          <w:szCs w:val="24"/>
        </w:rPr>
        <w:t>（格式见第四部分）。</w:t>
      </w:r>
    </w:p>
    <w:p>
      <w:pPr>
        <w:snapToGrid w:val="0"/>
        <w:spacing w:line="360" w:lineRule="auto"/>
        <w:ind w:firstLine="472" w:firstLineChars="196"/>
        <w:jc w:val="left"/>
        <w:outlineLvl w:val="1"/>
        <w:rPr>
          <w:rFonts w:ascii="宋体" w:hAnsi="宋体"/>
          <w:b/>
          <w:sz w:val="24"/>
          <w:szCs w:val="20"/>
        </w:rPr>
      </w:pPr>
      <w:r>
        <w:rPr>
          <w:rFonts w:hint="eastAsia" w:ascii="宋体" w:hAnsi="宋体"/>
          <w:b/>
          <w:sz w:val="24"/>
        </w:rPr>
        <w:t>（五）投标费用</w:t>
      </w:r>
    </w:p>
    <w:p>
      <w:pPr>
        <w:snapToGrid w:val="0"/>
        <w:spacing w:line="360" w:lineRule="auto"/>
        <w:ind w:firstLine="600" w:firstLineChars="250"/>
        <w:jc w:val="left"/>
        <w:rPr>
          <w:rFonts w:ascii="宋体" w:hAnsi="宋体"/>
          <w:sz w:val="24"/>
        </w:rPr>
      </w:pPr>
      <w:r>
        <w:rPr>
          <w:rFonts w:hint="eastAsia" w:ascii="宋体" w:hAnsi="宋体"/>
          <w:sz w:val="24"/>
        </w:rPr>
        <w:t>1.不论投标结果如何，投标人均应自行承担所有与投标有关的全部费用（招标文件有相反规定除外）。</w:t>
      </w:r>
    </w:p>
    <w:p>
      <w:pPr>
        <w:snapToGrid w:val="0"/>
        <w:spacing w:line="360" w:lineRule="auto"/>
        <w:ind w:firstLine="600" w:firstLineChars="250"/>
        <w:jc w:val="left"/>
        <w:rPr>
          <w:rFonts w:ascii="宋体" w:hAnsi="宋体"/>
          <w:sz w:val="24"/>
        </w:rPr>
      </w:pPr>
      <w:r>
        <w:rPr>
          <w:rFonts w:hint="eastAsia" w:ascii="宋体" w:hAnsi="宋体"/>
          <w:sz w:val="24"/>
        </w:rPr>
        <w:t>2.本项目招标代理服务费人民币柒仟柒佰捌拾元整，由</w:t>
      </w:r>
      <w:r>
        <w:rPr>
          <w:rFonts w:hint="eastAsia"/>
          <w:sz w:val="24"/>
        </w:rPr>
        <w:t>中标人全额支付</w:t>
      </w:r>
      <w:r>
        <w:rPr>
          <w:rFonts w:hint="eastAsia" w:ascii="宋体" w:hAnsi="宋体"/>
          <w:sz w:val="24"/>
        </w:rPr>
        <w:t>。在</w:t>
      </w:r>
      <w:r>
        <w:rPr>
          <w:rFonts w:hint="eastAsia" w:ascii="宋体" w:hAnsi="宋体"/>
          <w:bCs/>
          <w:sz w:val="24"/>
        </w:rPr>
        <w:t>中标通知书发出后</w:t>
      </w:r>
      <w:r>
        <w:rPr>
          <w:rFonts w:hint="eastAsia" w:ascii="宋体" w:hAnsi="宋体"/>
          <w:sz w:val="24"/>
        </w:rPr>
        <w:t>当日内一次性结清。</w:t>
      </w:r>
    </w:p>
    <w:p>
      <w:pPr>
        <w:snapToGrid w:val="0"/>
        <w:spacing w:line="360" w:lineRule="auto"/>
        <w:ind w:firstLine="482" w:firstLineChars="200"/>
        <w:jc w:val="left"/>
        <w:rPr>
          <w:rFonts w:ascii="宋体" w:hAnsi="宋体"/>
          <w:b/>
          <w:sz w:val="24"/>
          <w:szCs w:val="20"/>
        </w:rPr>
      </w:pPr>
      <w:r>
        <w:rPr>
          <w:rFonts w:hint="eastAsia" w:ascii="宋体" w:hAnsi="宋体"/>
          <w:b/>
          <w:sz w:val="24"/>
        </w:rPr>
        <w:t>（六）联合体投标</w:t>
      </w:r>
    </w:p>
    <w:p>
      <w:pPr>
        <w:snapToGrid w:val="0"/>
        <w:spacing w:line="360" w:lineRule="auto"/>
        <w:ind w:firstLine="720" w:firstLineChars="300"/>
        <w:jc w:val="left"/>
        <w:rPr>
          <w:rFonts w:ascii="宋体" w:hAnsi="宋体" w:cs="Arial"/>
          <w:sz w:val="24"/>
        </w:rPr>
      </w:pPr>
      <w:r>
        <w:rPr>
          <w:rFonts w:hint="eastAsia" w:ascii="宋体" w:hAnsi="宋体" w:cs="Arial"/>
          <w:sz w:val="24"/>
        </w:rPr>
        <w:t>本项目不接受联合体投标。</w:t>
      </w:r>
    </w:p>
    <w:p>
      <w:pPr>
        <w:snapToGrid w:val="0"/>
        <w:spacing w:line="360" w:lineRule="auto"/>
        <w:ind w:firstLine="472" w:firstLineChars="196"/>
        <w:rPr>
          <w:rFonts w:ascii="宋体" w:hAnsi="宋体" w:cs="宋体"/>
          <w:b/>
          <w:kern w:val="0"/>
          <w:sz w:val="24"/>
          <w:szCs w:val="20"/>
        </w:rPr>
      </w:pPr>
      <w:r>
        <w:rPr>
          <w:rFonts w:hint="eastAsia" w:ascii="宋体" w:hAnsi="宋体"/>
          <w:b/>
          <w:sz w:val="24"/>
        </w:rPr>
        <w:t>（七）</w:t>
      </w:r>
      <w:r>
        <w:rPr>
          <w:rFonts w:hint="eastAsia" w:ascii="宋体" w:hAnsi="宋体" w:cs="宋体"/>
          <w:b/>
          <w:kern w:val="0"/>
          <w:sz w:val="24"/>
        </w:rPr>
        <w:t>转包与分包</w:t>
      </w:r>
    </w:p>
    <w:p>
      <w:pPr>
        <w:snapToGrid w:val="0"/>
        <w:spacing w:line="360" w:lineRule="auto"/>
        <w:ind w:firstLine="480" w:firstLineChars="200"/>
        <w:rPr>
          <w:rFonts w:ascii="宋体" w:hAnsi="宋体" w:cs="宋体"/>
          <w:kern w:val="0"/>
          <w:sz w:val="24"/>
          <w:szCs w:val="20"/>
        </w:rPr>
      </w:pPr>
      <w:r>
        <w:rPr>
          <w:rFonts w:ascii="宋体" w:hAnsi="宋体" w:cs="宋体"/>
          <w:kern w:val="0"/>
          <w:sz w:val="24"/>
        </w:rPr>
        <w:t>1</w:t>
      </w:r>
      <w:r>
        <w:rPr>
          <w:rFonts w:hint="eastAsia" w:ascii="宋体" w:hAnsi="宋体" w:cs="宋体"/>
          <w:kern w:val="0"/>
          <w:sz w:val="24"/>
        </w:rPr>
        <w:t>.</w:t>
      </w:r>
      <w:r>
        <w:rPr>
          <w:rFonts w:ascii="宋体" w:hAnsi="宋体" w:cs="宋体"/>
          <w:kern w:val="0"/>
          <w:sz w:val="24"/>
        </w:rPr>
        <w:t>本项目不允许转包。</w:t>
      </w:r>
    </w:p>
    <w:p>
      <w:pPr>
        <w:snapToGrid w:val="0"/>
        <w:spacing w:line="360" w:lineRule="auto"/>
        <w:ind w:firstLine="480" w:firstLineChars="200"/>
        <w:rPr>
          <w:rFonts w:ascii="宋体" w:hAnsi="宋体"/>
          <w:sz w:val="24"/>
          <w:szCs w:val="20"/>
        </w:rPr>
      </w:pPr>
      <w:r>
        <w:rPr>
          <w:rFonts w:ascii="宋体" w:hAnsi="宋体" w:cs="宋体"/>
          <w:kern w:val="0"/>
          <w:sz w:val="24"/>
        </w:rPr>
        <w:t>2</w:t>
      </w:r>
      <w:r>
        <w:rPr>
          <w:rFonts w:hint="eastAsia" w:ascii="宋体" w:hAnsi="宋体" w:cs="宋体"/>
          <w:kern w:val="0"/>
          <w:sz w:val="24"/>
        </w:rPr>
        <w:t>.</w:t>
      </w:r>
      <w:r>
        <w:rPr>
          <w:rFonts w:ascii="宋体" w:hAnsi="宋体" w:cs="宋体"/>
          <w:kern w:val="0"/>
          <w:sz w:val="24"/>
        </w:rPr>
        <w:t>本项目不可以分包</w:t>
      </w:r>
      <w:r>
        <w:rPr>
          <w:rFonts w:hint="eastAsia" w:ascii="宋体" w:hAnsi="宋体" w:cs="宋体"/>
          <w:kern w:val="0"/>
          <w:sz w:val="24"/>
        </w:rPr>
        <w:t>。</w:t>
      </w:r>
    </w:p>
    <w:p>
      <w:pPr>
        <w:snapToGrid w:val="0"/>
        <w:spacing w:line="360" w:lineRule="auto"/>
        <w:ind w:firstLine="472" w:firstLineChars="196"/>
        <w:jc w:val="left"/>
        <w:outlineLvl w:val="1"/>
        <w:rPr>
          <w:rFonts w:ascii="宋体" w:hAnsi="宋体"/>
          <w:b/>
          <w:sz w:val="24"/>
        </w:rPr>
      </w:pPr>
      <w:r>
        <w:rPr>
          <w:rFonts w:hint="eastAsia" w:ascii="宋体" w:hAnsi="宋体"/>
          <w:b/>
          <w:sz w:val="24"/>
        </w:rPr>
        <w:t>（八）特别说明：</w:t>
      </w:r>
    </w:p>
    <w:p>
      <w:pPr>
        <w:widowControl/>
        <w:spacing w:line="360" w:lineRule="auto"/>
        <w:ind w:firstLine="420" w:firstLineChars="200"/>
        <w:jc w:val="left"/>
        <w:rPr>
          <w:rFonts w:ascii="宋体" w:hAnsi="宋体"/>
          <w:sz w:val="24"/>
        </w:rPr>
      </w:pPr>
      <w:r>
        <w:rPr>
          <w:rFonts w:ascii="宋体" w:hAnsi="宋体"/>
        </w:rPr>
        <w:t>▲</w:t>
      </w:r>
      <w:r>
        <w:rPr>
          <w:rFonts w:hint="eastAsia" w:ascii="宋体" w:hAnsi="宋体"/>
          <w:sz w:val="24"/>
        </w:rPr>
        <w:t>1.提供相同品牌产品且通过资格审查、符合性审查的不同投标人参加本项目投标的，按一家投标人计算，评审后得分最高的同品牌投标人获得中标人推荐资格;评审得分相同的，由采购人或者采购人委托评标委员会确定报价最低的投标人获得中标人资格；当报价相同时，采取随机抽取方式确定，其他同品牌投标人不作为中标人。</w:t>
      </w:r>
    </w:p>
    <w:p>
      <w:pPr>
        <w:pStyle w:val="24"/>
        <w:snapToGrid w:val="0"/>
        <w:spacing w:beforeLines="0" w:afterLines="0" w:line="360" w:lineRule="auto"/>
        <w:ind w:left="2" w:leftChars="1" w:firstLine="480" w:firstLineChars="200"/>
        <w:rPr>
          <w:rFonts w:hAnsi="宋体"/>
        </w:rPr>
      </w:pPr>
      <w:r>
        <w:rPr>
          <w:rFonts w:hAnsi="宋体"/>
        </w:rPr>
        <w:t>▲</w:t>
      </w:r>
      <w:r>
        <w:rPr>
          <w:rFonts w:hint="eastAsia" w:hAnsi="宋体"/>
        </w:rPr>
        <w:t>2.</w:t>
      </w:r>
      <w:r>
        <w:rPr>
          <w:rFonts w:hAnsi="宋体"/>
        </w:rPr>
        <w:t>投标人投标所使用的资格、信誉、荣誉、业绩与企业认证必须为本法人所拥有。投标人投标所使用的采购项目实施人员必须为本法人员工（或必须为本法人或控股公司正式员工）。</w:t>
      </w:r>
    </w:p>
    <w:p>
      <w:pPr>
        <w:pStyle w:val="24"/>
        <w:snapToGrid w:val="0"/>
        <w:spacing w:beforeLines="0" w:afterLines="0" w:line="360" w:lineRule="auto"/>
        <w:ind w:left="2" w:leftChars="1" w:firstLine="480" w:firstLineChars="200"/>
        <w:rPr>
          <w:rFonts w:hAnsi="宋体"/>
        </w:rPr>
      </w:pPr>
      <w:r>
        <w:rPr>
          <w:rFonts w:hAnsi="宋体"/>
        </w:rPr>
        <w:t>▲</w:t>
      </w:r>
      <w:r>
        <w:rPr>
          <w:rFonts w:hint="eastAsia" w:hAnsi="宋体"/>
        </w:rPr>
        <w:t>3.</w:t>
      </w:r>
      <w:r>
        <w:rPr>
          <w:rFonts w:hAnsi="宋体"/>
        </w:rPr>
        <w:t>投标人应仔细阅读招标文件的所有内容，按照招标文件的要求提交投标文件，并对所提供的全部资料的真实性承担法律责任。</w:t>
      </w:r>
    </w:p>
    <w:p>
      <w:pPr>
        <w:pStyle w:val="24"/>
        <w:snapToGrid w:val="0"/>
        <w:spacing w:beforeLines="0" w:afterLines="0" w:line="360" w:lineRule="auto"/>
        <w:ind w:left="2" w:leftChars="1" w:firstLine="480" w:firstLineChars="200"/>
        <w:rPr>
          <w:rFonts w:hAnsi="宋体"/>
          <w:b/>
        </w:rPr>
      </w:pPr>
      <w:r>
        <w:rPr>
          <w:rFonts w:hAnsi="宋体"/>
        </w:rPr>
        <w:t>▲</w:t>
      </w:r>
      <w:r>
        <w:rPr>
          <w:rFonts w:hint="eastAsia" w:hAnsi="宋体"/>
        </w:rPr>
        <w:t>4.</w:t>
      </w:r>
      <w:r>
        <w:rPr>
          <w:rFonts w:hAnsi="宋体"/>
        </w:rPr>
        <w:t>投标人在投标活动中提供任何虚假材料,其投标无效，并报监管部门查处；中标后发现的,中标人须依照《中华人民共和国消费者权益保护法》第49条之规定双倍赔偿采购人</w:t>
      </w:r>
      <w:r>
        <w:rPr>
          <w:rFonts w:hint="eastAsia" w:hAnsi="宋体"/>
        </w:rPr>
        <w:t>，</w:t>
      </w:r>
      <w:r>
        <w:rPr>
          <w:rFonts w:hAnsi="宋体"/>
        </w:rPr>
        <w:t>且民事赔偿并不免除违法投标人的行政与刑事责任。</w:t>
      </w:r>
    </w:p>
    <w:p>
      <w:pPr>
        <w:pStyle w:val="24"/>
        <w:snapToGrid w:val="0"/>
        <w:spacing w:beforeLines="0" w:afterLines="0" w:line="360" w:lineRule="auto"/>
        <w:ind w:firstLine="472" w:firstLineChars="196"/>
        <w:outlineLvl w:val="1"/>
        <w:rPr>
          <w:rFonts w:hAnsi="宋体"/>
          <w:b/>
          <w:bCs/>
        </w:rPr>
      </w:pPr>
      <w:r>
        <w:rPr>
          <w:rFonts w:hAnsi="宋体"/>
          <w:b/>
          <w:bCs/>
        </w:rPr>
        <w:t>（九）质疑和投诉</w:t>
      </w:r>
    </w:p>
    <w:p>
      <w:pPr>
        <w:pStyle w:val="24"/>
        <w:snapToGrid w:val="0"/>
        <w:spacing w:beforeLines="0" w:afterLines="0" w:line="360" w:lineRule="auto"/>
        <w:ind w:left="2" w:leftChars="1" w:firstLine="480" w:firstLineChars="200"/>
        <w:rPr>
          <w:rFonts w:hAnsi="宋体"/>
        </w:rPr>
      </w:pPr>
      <w:r>
        <w:rPr>
          <w:rFonts w:hint="eastAsia" w:hAnsi="宋体"/>
        </w:rPr>
        <w:t>提出质疑的供应商应当是参与所质疑项目采购活动的供应商。潜在供应商已依法获取其可质疑的采购文件的，可以对该文件提出质疑。对采购文件提出质疑的，应当在获取采购文件或者采购文件公告期限届满之日起7个工作日内,</w:t>
      </w:r>
      <w:r>
        <w:rPr>
          <w:rFonts w:hAnsi="宋体"/>
        </w:rPr>
        <w:t>以书面形式向采购人、采购代理机构提出质疑</w:t>
      </w:r>
      <w:r>
        <w:rPr>
          <w:rFonts w:hint="eastAsia" w:hAnsi="宋体"/>
        </w:rPr>
        <w:t>，并电话联系代理公司，由代理公司书面回复“已知悉”，否则代理公司有权不予认可该质疑</w:t>
      </w:r>
      <w:r>
        <w:rPr>
          <w:rFonts w:hAnsi="宋体"/>
        </w:rPr>
        <w:t>。</w:t>
      </w:r>
    </w:p>
    <w:p>
      <w:pPr>
        <w:pStyle w:val="24"/>
        <w:snapToGrid w:val="0"/>
        <w:spacing w:beforeLines="0" w:afterLines="0" w:line="360" w:lineRule="auto"/>
        <w:ind w:left="2" w:leftChars="1" w:firstLine="480" w:firstLineChars="200"/>
        <w:rPr>
          <w:rFonts w:hAnsi="宋体"/>
        </w:rPr>
      </w:pPr>
      <w:r>
        <w:rPr>
          <w:rFonts w:hint="eastAsia" w:hAnsi="宋体"/>
        </w:rPr>
        <w:t>供应商在法定质疑期内一次性提出针对同一采购程序环节的质疑。</w:t>
      </w:r>
    </w:p>
    <w:p>
      <w:pPr>
        <w:pStyle w:val="24"/>
        <w:snapToGrid w:val="0"/>
        <w:spacing w:beforeLines="0" w:afterLines="0" w:line="360" w:lineRule="auto"/>
        <w:ind w:left="2" w:leftChars="1" w:firstLine="480" w:firstLineChars="200"/>
        <w:rPr>
          <w:rFonts w:hAnsi="宋体"/>
        </w:rPr>
      </w:pPr>
      <w:r>
        <w:rPr>
          <w:rFonts w:hint="eastAsia" w:hAnsi="宋体"/>
        </w:rPr>
        <w:t>1.供应商认为采购文件、采购过程、中标或者成交结果使自己的权益受到损害的，可以在知道或者应知其权益受到损害之日起7个工作日内，以书面形式向采购人、采购代理机构提出质疑。供应商对招标采购单位的质疑答复不满意或者招标采购单位未在规定时间内作出答复的，可以在答复期满后十五个工作日内向同级采购监管部门提起投诉。</w:t>
      </w:r>
    </w:p>
    <w:p>
      <w:pPr>
        <w:pStyle w:val="24"/>
        <w:snapToGrid w:val="0"/>
        <w:spacing w:beforeLines="0" w:afterLines="0" w:line="360" w:lineRule="auto"/>
        <w:ind w:left="2" w:leftChars="1" w:firstLine="480" w:firstLineChars="200"/>
        <w:rPr>
          <w:rFonts w:hAnsi="宋体"/>
        </w:rPr>
      </w:pPr>
      <w:r>
        <w:rPr>
          <w:rFonts w:hint="eastAsia" w:hAnsi="宋体"/>
        </w:rPr>
        <w:t>2.供应商提出质疑应当提交质疑函和必要的证明材料。质疑函应当包括下列内容：</w:t>
      </w:r>
    </w:p>
    <w:p>
      <w:pPr>
        <w:pStyle w:val="24"/>
        <w:snapToGrid w:val="0"/>
        <w:spacing w:beforeLines="0" w:afterLines="0" w:line="360" w:lineRule="auto"/>
        <w:ind w:left="2" w:leftChars="1" w:firstLine="480" w:firstLineChars="200"/>
        <w:rPr>
          <w:rFonts w:hAnsi="宋体"/>
        </w:rPr>
      </w:pPr>
      <w:r>
        <w:rPr>
          <w:rFonts w:hint="eastAsia" w:hAnsi="宋体"/>
        </w:rPr>
        <w:t>1）供应商的姓名或者名称、地址、邮编、联系人及联系电话；</w:t>
      </w:r>
    </w:p>
    <w:p>
      <w:pPr>
        <w:pStyle w:val="24"/>
        <w:snapToGrid w:val="0"/>
        <w:spacing w:beforeLines="0" w:afterLines="0" w:line="360" w:lineRule="auto"/>
        <w:ind w:left="2" w:leftChars="1" w:firstLine="480" w:firstLineChars="200"/>
        <w:rPr>
          <w:rFonts w:hAnsi="宋体"/>
        </w:rPr>
      </w:pPr>
      <w:r>
        <w:rPr>
          <w:rFonts w:hint="eastAsia" w:hAnsi="宋体"/>
        </w:rPr>
        <w:t>2）质疑项目的名称、编号；</w:t>
      </w:r>
    </w:p>
    <w:p>
      <w:pPr>
        <w:pStyle w:val="24"/>
        <w:snapToGrid w:val="0"/>
        <w:spacing w:beforeLines="0" w:afterLines="0" w:line="360" w:lineRule="auto"/>
        <w:ind w:left="2" w:leftChars="1" w:firstLine="480" w:firstLineChars="200"/>
        <w:rPr>
          <w:rFonts w:hAnsi="宋体"/>
        </w:rPr>
      </w:pPr>
      <w:r>
        <w:rPr>
          <w:rFonts w:hint="eastAsia" w:hAnsi="宋体"/>
        </w:rPr>
        <w:t>3）具体、明确的质疑事项和与质疑事项相关的请求；</w:t>
      </w:r>
    </w:p>
    <w:p>
      <w:pPr>
        <w:pStyle w:val="24"/>
        <w:snapToGrid w:val="0"/>
        <w:spacing w:beforeLines="0" w:afterLines="0" w:line="360" w:lineRule="auto"/>
        <w:ind w:left="2" w:leftChars="1" w:firstLine="480" w:firstLineChars="200"/>
        <w:rPr>
          <w:rFonts w:hAnsi="宋体"/>
        </w:rPr>
      </w:pPr>
      <w:r>
        <w:rPr>
          <w:rFonts w:hint="eastAsia" w:hAnsi="宋体"/>
        </w:rPr>
        <w:t>4）事实依据；</w:t>
      </w:r>
    </w:p>
    <w:p>
      <w:pPr>
        <w:pStyle w:val="24"/>
        <w:snapToGrid w:val="0"/>
        <w:spacing w:beforeLines="0" w:afterLines="0" w:line="360" w:lineRule="auto"/>
        <w:ind w:left="2" w:leftChars="1" w:firstLine="480" w:firstLineChars="200"/>
        <w:rPr>
          <w:rFonts w:hAnsi="宋体"/>
        </w:rPr>
      </w:pPr>
      <w:r>
        <w:rPr>
          <w:rFonts w:hint="eastAsia" w:hAnsi="宋体"/>
        </w:rPr>
        <w:t>5）必要的法律依据；</w:t>
      </w:r>
    </w:p>
    <w:p>
      <w:pPr>
        <w:pStyle w:val="24"/>
        <w:snapToGrid w:val="0"/>
        <w:spacing w:beforeLines="0" w:afterLines="0" w:line="360" w:lineRule="auto"/>
        <w:ind w:left="2" w:leftChars="1" w:firstLine="480" w:firstLineChars="200"/>
        <w:rPr>
          <w:rFonts w:hAnsi="宋体"/>
        </w:rPr>
      </w:pPr>
      <w:r>
        <w:rPr>
          <w:rFonts w:hint="eastAsia" w:hAnsi="宋体"/>
        </w:rPr>
        <w:t>6）提出质疑的日期。</w:t>
      </w:r>
    </w:p>
    <w:p>
      <w:pPr>
        <w:pStyle w:val="24"/>
        <w:snapToGrid w:val="0"/>
        <w:spacing w:beforeLines="0" w:afterLines="0" w:line="360" w:lineRule="auto"/>
        <w:ind w:left="2" w:leftChars="1" w:firstLine="480" w:firstLineChars="200"/>
        <w:rPr>
          <w:rFonts w:hAnsi="宋体"/>
        </w:rPr>
      </w:pPr>
      <w:r>
        <w:rPr>
          <w:rFonts w:hint="eastAsia" w:hAnsi="宋体"/>
        </w:rPr>
        <w:t>3.投诉人提起投诉应当符合下列条件：</w:t>
      </w:r>
    </w:p>
    <w:p>
      <w:pPr>
        <w:pStyle w:val="24"/>
        <w:snapToGrid w:val="0"/>
        <w:spacing w:beforeLines="0" w:afterLines="0" w:line="360" w:lineRule="auto"/>
        <w:ind w:left="2" w:leftChars="1" w:firstLine="480" w:firstLineChars="200"/>
        <w:rPr>
          <w:rFonts w:hAnsi="宋体"/>
        </w:rPr>
      </w:pPr>
      <w:r>
        <w:rPr>
          <w:rFonts w:hint="eastAsia" w:hAnsi="宋体"/>
        </w:rPr>
        <w:t>1）提起投诉前已依法进行质疑；</w:t>
      </w:r>
    </w:p>
    <w:p>
      <w:pPr>
        <w:pStyle w:val="24"/>
        <w:snapToGrid w:val="0"/>
        <w:spacing w:beforeLines="0" w:afterLines="0" w:line="360" w:lineRule="auto"/>
        <w:ind w:left="2" w:leftChars="1" w:firstLine="480" w:firstLineChars="200"/>
        <w:rPr>
          <w:rFonts w:hAnsi="宋体"/>
        </w:rPr>
      </w:pPr>
      <w:r>
        <w:rPr>
          <w:rFonts w:hint="eastAsia" w:hAnsi="宋体"/>
        </w:rPr>
        <w:t>2）投诉书内容符合本办法的规定；</w:t>
      </w:r>
    </w:p>
    <w:p>
      <w:pPr>
        <w:pStyle w:val="24"/>
        <w:snapToGrid w:val="0"/>
        <w:spacing w:beforeLines="0" w:afterLines="0" w:line="360" w:lineRule="auto"/>
        <w:ind w:left="2" w:leftChars="1" w:firstLine="480" w:firstLineChars="200"/>
        <w:rPr>
          <w:rFonts w:hAnsi="宋体"/>
        </w:rPr>
      </w:pPr>
      <w:r>
        <w:rPr>
          <w:rFonts w:hint="eastAsia" w:hAnsi="宋体"/>
        </w:rPr>
        <w:t>3）在投诉有效期限内提起投诉；</w:t>
      </w:r>
    </w:p>
    <w:p>
      <w:pPr>
        <w:pStyle w:val="24"/>
        <w:snapToGrid w:val="0"/>
        <w:spacing w:beforeLines="0" w:afterLines="0" w:line="360" w:lineRule="auto"/>
        <w:ind w:left="2" w:leftChars="1" w:firstLine="480" w:firstLineChars="200"/>
        <w:rPr>
          <w:rFonts w:hAnsi="宋体"/>
        </w:rPr>
      </w:pPr>
      <w:r>
        <w:rPr>
          <w:rFonts w:hint="eastAsia" w:hAnsi="宋体"/>
        </w:rPr>
        <w:t>4）同一投诉事项未经财政部门投诉处理；</w:t>
      </w:r>
    </w:p>
    <w:p>
      <w:pPr>
        <w:pStyle w:val="24"/>
        <w:snapToGrid w:val="0"/>
        <w:spacing w:beforeLines="0" w:afterLines="0" w:line="360" w:lineRule="auto"/>
        <w:ind w:left="2" w:leftChars="1" w:firstLine="480" w:firstLineChars="200"/>
        <w:rPr>
          <w:rFonts w:hAnsi="宋体"/>
        </w:rPr>
      </w:pPr>
      <w:r>
        <w:rPr>
          <w:rFonts w:hint="eastAsia" w:hAnsi="宋体"/>
        </w:rPr>
        <w:t>5）财政部规定的其他条件。</w:t>
      </w:r>
    </w:p>
    <w:p>
      <w:pPr>
        <w:pStyle w:val="24"/>
        <w:snapToGrid w:val="0"/>
        <w:spacing w:beforeLines="0" w:afterLines="0" w:line="360" w:lineRule="auto"/>
        <w:ind w:left="2" w:leftChars="1" w:firstLine="480" w:firstLineChars="200"/>
        <w:rPr>
          <w:rFonts w:hAnsi="宋体"/>
        </w:rPr>
      </w:pPr>
      <w:r>
        <w:rPr>
          <w:rFonts w:hint="eastAsia" w:hAnsi="宋体"/>
        </w:rPr>
        <w:t>4.投诉人投诉时,应当提交投诉书和必要的证明材料，并按照被投诉采购人、采购代理机构和与投诉事项有关的供应商数量提供投诉书的副本。投诉书应当包括下列内容：</w:t>
      </w:r>
    </w:p>
    <w:p>
      <w:pPr>
        <w:pStyle w:val="24"/>
        <w:snapToGrid w:val="0"/>
        <w:spacing w:beforeLines="0" w:afterLines="0" w:line="360" w:lineRule="auto"/>
        <w:ind w:left="2" w:leftChars="1" w:firstLine="480" w:firstLineChars="200"/>
        <w:rPr>
          <w:rFonts w:hAnsi="宋体"/>
        </w:rPr>
      </w:pPr>
      <w:r>
        <w:rPr>
          <w:rFonts w:hint="eastAsia" w:hAnsi="宋体"/>
        </w:rPr>
        <w:t>1）投诉人和被投诉人的姓名或者名称、通讯地址、邮编、联系人及联系电话；</w:t>
      </w:r>
    </w:p>
    <w:p>
      <w:pPr>
        <w:pStyle w:val="24"/>
        <w:snapToGrid w:val="0"/>
        <w:spacing w:beforeLines="0" w:afterLines="0" w:line="360" w:lineRule="auto"/>
        <w:ind w:left="2" w:leftChars="1" w:firstLine="480" w:firstLineChars="200"/>
        <w:rPr>
          <w:rFonts w:hAnsi="宋体"/>
        </w:rPr>
      </w:pPr>
      <w:r>
        <w:rPr>
          <w:rFonts w:hint="eastAsia" w:hAnsi="宋体"/>
        </w:rPr>
        <w:t>2）质疑和质疑答复情况说明及相关证明材料；</w:t>
      </w:r>
    </w:p>
    <w:p>
      <w:pPr>
        <w:pStyle w:val="24"/>
        <w:snapToGrid w:val="0"/>
        <w:spacing w:beforeLines="0" w:afterLines="0" w:line="360" w:lineRule="auto"/>
        <w:ind w:left="2" w:leftChars="1" w:firstLine="480" w:firstLineChars="200"/>
        <w:rPr>
          <w:rFonts w:hAnsi="宋体"/>
        </w:rPr>
      </w:pPr>
      <w:r>
        <w:rPr>
          <w:rFonts w:hint="eastAsia" w:hAnsi="宋体"/>
        </w:rPr>
        <w:t>3）具体、明确的投诉事项和与投诉事项相关的投诉请求；</w:t>
      </w:r>
    </w:p>
    <w:p>
      <w:pPr>
        <w:pStyle w:val="24"/>
        <w:snapToGrid w:val="0"/>
        <w:spacing w:beforeLines="0" w:afterLines="0" w:line="360" w:lineRule="auto"/>
        <w:ind w:left="2" w:leftChars="1" w:firstLine="480" w:firstLineChars="200"/>
        <w:rPr>
          <w:rFonts w:hAnsi="宋体"/>
        </w:rPr>
      </w:pPr>
      <w:r>
        <w:rPr>
          <w:rFonts w:hint="eastAsia" w:hAnsi="宋体"/>
        </w:rPr>
        <w:t>4）事实依据；</w:t>
      </w:r>
    </w:p>
    <w:p>
      <w:pPr>
        <w:pStyle w:val="24"/>
        <w:snapToGrid w:val="0"/>
        <w:spacing w:beforeLines="0" w:afterLines="0" w:line="360" w:lineRule="auto"/>
        <w:ind w:left="2" w:leftChars="1" w:firstLine="480" w:firstLineChars="200"/>
        <w:rPr>
          <w:rFonts w:hAnsi="宋体"/>
        </w:rPr>
      </w:pPr>
      <w:r>
        <w:rPr>
          <w:rFonts w:hint="eastAsia" w:hAnsi="宋体"/>
        </w:rPr>
        <w:t>5）法律依据；</w:t>
      </w:r>
    </w:p>
    <w:p>
      <w:pPr>
        <w:pStyle w:val="24"/>
        <w:snapToGrid w:val="0"/>
        <w:spacing w:beforeLines="0" w:afterLines="0" w:line="360" w:lineRule="auto"/>
        <w:ind w:left="2" w:leftChars="1" w:firstLine="480" w:firstLineChars="200"/>
        <w:rPr>
          <w:rFonts w:hAnsi="宋体"/>
        </w:rPr>
      </w:pPr>
      <w:r>
        <w:rPr>
          <w:rFonts w:hint="eastAsia" w:hAnsi="宋体"/>
        </w:rPr>
        <w:t>6）提起投诉的日期。</w:t>
      </w:r>
    </w:p>
    <w:p>
      <w:pPr>
        <w:pStyle w:val="24"/>
        <w:snapToGrid w:val="0"/>
        <w:spacing w:beforeLines="0" w:afterLines="0" w:line="360" w:lineRule="auto"/>
        <w:ind w:left="2" w:leftChars="1" w:firstLine="480" w:firstLineChars="200"/>
        <w:rPr>
          <w:rFonts w:hAnsi="宋体"/>
        </w:rPr>
      </w:pPr>
      <w:r>
        <w:rPr>
          <w:rFonts w:hAnsi="宋体"/>
        </w:rPr>
        <w:t>质疑供应商对采购人、采购代理机构的答复不满意，或者采购人、采购代理机构未在规定时间内作出答复的，可以在答复期满后15个工作日内向本办法第六条规定的财政部门提起投诉。</w:t>
      </w:r>
    </w:p>
    <w:p>
      <w:pPr>
        <w:pStyle w:val="24"/>
        <w:snapToGrid w:val="0"/>
        <w:spacing w:beforeLines="0" w:afterLines="0" w:line="360" w:lineRule="auto"/>
        <w:ind w:left="2" w:leftChars="1" w:firstLine="480" w:firstLineChars="200"/>
        <w:rPr>
          <w:rFonts w:hAnsi="宋体"/>
        </w:rPr>
      </w:pPr>
      <w:r>
        <w:rPr>
          <w:rFonts w:hint="eastAsia" w:hAnsi="宋体"/>
        </w:rPr>
        <w:t>供应商可通过邮寄方式寄递政府采购投诉材料，邮寄地址为涉及政府采购项目采购人预算级次相应的财政部门。政府采购投诉材料中须写明邮箱地址、传真号码，财政部门审查受理、处理决定等相关文书可通过电子邮件、传真等形式送达 ，供应商明确表示需要邮寄的除外。</w:t>
      </w:r>
    </w:p>
    <w:p>
      <w:pPr>
        <w:pStyle w:val="24"/>
        <w:snapToGrid w:val="0"/>
        <w:spacing w:beforeLines="0" w:afterLines="0" w:line="360" w:lineRule="auto"/>
        <w:ind w:left="2" w:leftChars="1" w:firstLine="480" w:firstLineChars="200"/>
        <w:rPr>
          <w:rFonts w:hAnsi="宋体"/>
        </w:rPr>
      </w:pPr>
      <w:r>
        <w:rPr>
          <w:rFonts w:hint="eastAsia" w:hAnsi="宋体"/>
        </w:rPr>
        <w:t>5.质疑函须采用财政部发布的政府采购供应商质疑函范本（参考样式可从</w:t>
      </w:r>
      <w:r>
        <w:rPr>
          <w:rFonts w:hAnsi="宋体"/>
        </w:rPr>
        <w:t>浙江政府采购网下载专区下载</w:t>
      </w:r>
      <w:r>
        <w:rPr>
          <w:rFonts w:hint="eastAsia" w:hAnsi="宋体"/>
        </w:rPr>
        <w:t>），否则采购代理机构有权要求质疑供应商改正后重新提出。</w:t>
      </w:r>
    </w:p>
    <w:p>
      <w:pPr>
        <w:pStyle w:val="24"/>
        <w:snapToGrid w:val="0"/>
        <w:spacing w:beforeLines="0" w:afterLines="0" w:line="360" w:lineRule="auto"/>
        <w:ind w:firstLine="551" w:firstLineChars="196"/>
        <w:outlineLvl w:val="0"/>
        <w:rPr>
          <w:rFonts w:hAnsi="宋体"/>
          <w:b/>
          <w:sz w:val="28"/>
          <w:szCs w:val="28"/>
        </w:rPr>
      </w:pPr>
      <w:r>
        <w:rPr>
          <w:rFonts w:hAnsi="宋体"/>
          <w:b/>
          <w:sz w:val="28"/>
          <w:szCs w:val="28"/>
        </w:rPr>
        <w:t>二  招标文件</w:t>
      </w:r>
    </w:p>
    <w:p>
      <w:pPr>
        <w:snapToGrid w:val="0"/>
        <w:spacing w:line="360" w:lineRule="auto"/>
        <w:ind w:firstLine="472" w:firstLineChars="196"/>
        <w:jc w:val="left"/>
        <w:rPr>
          <w:rFonts w:ascii="宋体" w:hAnsi="宋体"/>
          <w:b/>
          <w:sz w:val="24"/>
          <w:szCs w:val="20"/>
        </w:rPr>
      </w:pPr>
      <w:r>
        <w:rPr>
          <w:rFonts w:hint="eastAsia" w:ascii="宋体" w:hAnsi="宋体"/>
          <w:b/>
          <w:sz w:val="24"/>
        </w:rPr>
        <w:t>（一）招标文件的构成。本招标文件由以下部份组成：</w:t>
      </w:r>
    </w:p>
    <w:p>
      <w:pPr>
        <w:snapToGrid w:val="0"/>
        <w:spacing w:line="360" w:lineRule="auto"/>
        <w:ind w:firstLine="480" w:firstLineChars="200"/>
        <w:jc w:val="left"/>
        <w:rPr>
          <w:rFonts w:ascii="宋体" w:hAnsi="宋体"/>
          <w:sz w:val="24"/>
          <w:szCs w:val="20"/>
        </w:rPr>
      </w:pPr>
      <w:r>
        <w:rPr>
          <w:rFonts w:ascii="宋体" w:hAnsi="宋体"/>
          <w:sz w:val="24"/>
        </w:rPr>
        <w:t>1</w:t>
      </w:r>
      <w:r>
        <w:rPr>
          <w:rFonts w:hint="eastAsia" w:ascii="宋体" w:hAnsi="宋体"/>
          <w:sz w:val="24"/>
        </w:rPr>
        <w:t>.</w:t>
      </w:r>
      <w:r>
        <w:rPr>
          <w:rFonts w:ascii="宋体" w:hAnsi="宋体"/>
          <w:sz w:val="24"/>
        </w:rPr>
        <w:t>招标公告</w:t>
      </w:r>
    </w:p>
    <w:p>
      <w:pPr>
        <w:snapToGrid w:val="0"/>
        <w:spacing w:line="360" w:lineRule="auto"/>
        <w:ind w:firstLine="480" w:firstLineChars="200"/>
        <w:jc w:val="left"/>
        <w:rPr>
          <w:rFonts w:ascii="宋体" w:hAnsi="宋体"/>
          <w:sz w:val="24"/>
          <w:szCs w:val="20"/>
        </w:rPr>
      </w:pPr>
      <w:r>
        <w:rPr>
          <w:rFonts w:ascii="宋体" w:hAnsi="宋体"/>
          <w:sz w:val="24"/>
        </w:rPr>
        <w:t>2</w:t>
      </w:r>
      <w:r>
        <w:rPr>
          <w:rFonts w:hint="eastAsia" w:ascii="宋体" w:hAnsi="宋体"/>
          <w:sz w:val="24"/>
        </w:rPr>
        <w:t>.</w:t>
      </w:r>
      <w:r>
        <w:rPr>
          <w:rFonts w:ascii="宋体" w:hAnsi="宋体"/>
          <w:sz w:val="24"/>
        </w:rPr>
        <w:t>招标需求</w:t>
      </w:r>
    </w:p>
    <w:p>
      <w:pPr>
        <w:snapToGrid w:val="0"/>
        <w:spacing w:line="360" w:lineRule="auto"/>
        <w:ind w:firstLine="480" w:firstLineChars="200"/>
        <w:jc w:val="left"/>
        <w:rPr>
          <w:rFonts w:ascii="宋体" w:hAnsi="宋体"/>
          <w:sz w:val="24"/>
          <w:szCs w:val="20"/>
        </w:rPr>
      </w:pPr>
      <w:r>
        <w:rPr>
          <w:rFonts w:ascii="宋体" w:hAnsi="宋体"/>
          <w:sz w:val="24"/>
        </w:rPr>
        <w:t>3</w:t>
      </w:r>
      <w:r>
        <w:rPr>
          <w:rFonts w:hint="eastAsia" w:ascii="宋体" w:hAnsi="宋体"/>
          <w:sz w:val="24"/>
        </w:rPr>
        <w:t>.</w:t>
      </w:r>
      <w:r>
        <w:rPr>
          <w:rFonts w:ascii="宋体" w:hAnsi="宋体"/>
          <w:sz w:val="24"/>
        </w:rPr>
        <w:t>投标人须知</w:t>
      </w:r>
    </w:p>
    <w:p>
      <w:pPr>
        <w:snapToGrid w:val="0"/>
        <w:spacing w:line="360" w:lineRule="auto"/>
        <w:ind w:firstLine="480" w:firstLineChars="200"/>
        <w:jc w:val="left"/>
        <w:rPr>
          <w:rFonts w:ascii="宋体" w:hAnsi="宋体"/>
          <w:sz w:val="24"/>
          <w:szCs w:val="20"/>
        </w:rPr>
      </w:pPr>
      <w:r>
        <w:rPr>
          <w:rFonts w:ascii="宋体" w:hAnsi="宋体"/>
          <w:sz w:val="24"/>
        </w:rPr>
        <w:t>4</w:t>
      </w:r>
      <w:r>
        <w:rPr>
          <w:rFonts w:hint="eastAsia" w:ascii="宋体" w:hAnsi="宋体"/>
          <w:sz w:val="24"/>
        </w:rPr>
        <w:t>.</w:t>
      </w:r>
      <w:r>
        <w:rPr>
          <w:rFonts w:ascii="宋体" w:hAnsi="宋体"/>
          <w:sz w:val="24"/>
        </w:rPr>
        <w:t>评标办法及标准</w:t>
      </w:r>
    </w:p>
    <w:p>
      <w:pPr>
        <w:snapToGrid w:val="0"/>
        <w:spacing w:line="360" w:lineRule="auto"/>
        <w:ind w:firstLine="480" w:firstLineChars="200"/>
        <w:jc w:val="left"/>
        <w:rPr>
          <w:rFonts w:ascii="宋体" w:hAnsi="宋体"/>
          <w:sz w:val="24"/>
          <w:szCs w:val="20"/>
        </w:rPr>
      </w:pPr>
      <w:r>
        <w:rPr>
          <w:rFonts w:ascii="宋体" w:hAnsi="宋体"/>
          <w:sz w:val="24"/>
        </w:rPr>
        <w:t>5</w:t>
      </w:r>
      <w:r>
        <w:rPr>
          <w:rFonts w:hint="eastAsia" w:ascii="宋体" w:hAnsi="宋体"/>
          <w:sz w:val="24"/>
        </w:rPr>
        <w:t>.</w:t>
      </w:r>
      <w:r>
        <w:rPr>
          <w:rFonts w:ascii="宋体" w:hAnsi="宋体"/>
          <w:sz w:val="24"/>
        </w:rPr>
        <w:t>合同主要条款</w:t>
      </w:r>
    </w:p>
    <w:p>
      <w:pPr>
        <w:snapToGrid w:val="0"/>
        <w:spacing w:line="360" w:lineRule="auto"/>
        <w:ind w:firstLine="480" w:firstLineChars="200"/>
        <w:jc w:val="left"/>
        <w:rPr>
          <w:rFonts w:ascii="宋体" w:hAnsi="宋体"/>
          <w:sz w:val="24"/>
        </w:rPr>
      </w:pPr>
      <w:r>
        <w:rPr>
          <w:rFonts w:ascii="宋体" w:hAnsi="宋体"/>
          <w:sz w:val="24"/>
        </w:rPr>
        <w:t>6</w:t>
      </w:r>
      <w:r>
        <w:rPr>
          <w:rFonts w:hint="eastAsia" w:ascii="宋体" w:hAnsi="宋体"/>
          <w:sz w:val="24"/>
        </w:rPr>
        <w:t>.</w:t>
      </w:r>
      <w:r>
        <w:rPr>
          <w:rFonts w:ascii="宋体" w:hAnsi="宋体"/>
          <w:sz w:val="24"/>
        </w:rPr>
        <w:t>投标文件格式</w:t>
      </w:r>
    </w:p>
    <w:p>
      <w:pPr>
        <w:snapToGrid w:val="0"/>
        <w:spacing w:line="360" w:lineRule="auto"/>
        <w:ind w:firstLine="480" w:firstLineChars="200"/>
        <w:jc w:val="left"/>
        <w:rPr>
          <w:rFonts w:ascii="宋体" w:hAnsi="宋体"/>
          <w:sz w:val="24"/>
          <w:szCs w:val="20"/>
        </w:rPr>
      </w:pPr>
      <w:r>
        <w:rPr>
          <w:rFonts w:hint="eastAsia" w:ascii="宋体" w:hAnsi="宋体"/>
          <w:sz w:val="24"/>
        </w:rPr>
        <w:t>7.本项目</w:t>
      </w:r>
      <w:r>
        <w:rPr>
          <w:rFonts w:ascii="宋体" w:hAnsi="宋体"/>
          <w:sz w:val="24"/>
        </w:rPr>
        <w:t>招标文件</w:t>
      </w:r>
      <w:r>
        <w:rPr>
          <w:rFonts w:hint="eastAsia" w:ascii="宋体" w:hAnsi="宋体"/>
          <w:sz w:val="24"/>
        </w:rPr>
        <w:t>的</w:t>
      </w:r>
      <w:r>
        <w:rPr>
          <w:rFonts w:ascii="宋体" w:hAnsi="宋体"/>
          <w:sz w:val="24"/>
        </w:rPr>
        <w:t>澄清、答复、修改、补充的内容</w:t>
      </w:r>
    </w:p>
    <w:p>
      <w:pPr>
        <w:snapToGrid w:val="0"/>
        <w:spacing w:line="360" w:lineRule="auto"/>
        <w:ind w:firstLine="472" w:firstLineChars="196"/>
        <w:jc w:val="left"/>
        <w:rPr>
          <w:rFonts w:ascii="宋体" w:hAnsi="宋体"/>
          <w:b/>
          <w:sz w:val="24"/>
          <w:szCs w:val="20"/>
        </w:rPr>
      </w:pPr>
      <w:r>
        <w:rPr>
          <w:rFonts w:hint="eastAsia" w:ascii="宋体" w:hAnsi="宋体"/>
          <w:b/>
          <w:sz w:val="24"/>
        </w:rPr>
        <w:t>（二）投标人的风险</w:t>
      </w:r>
    </w:p>
    <w:p>
      <w:pPr>
        <w:pStyle w:val="32"/>
        <w:spacing w:line="360" w:lineRule="auto"/>
        <w:rPr>
          <w:rFonts w:ascii="宋体" w:eastAsia="宋体"/>
          <w:color w:val="auto"/>
          <w:szCs w:val="20"/>
        </w:rPr>
      </w:pPr>
      <w:r>
        <w:rPr>
          <w:rFonts w:hint="eastAsia" w:ascii="宋体" w:eastAsia="宋体"/>
          <w:color w:val="auto"/>
        </w:rPr>
        <w:t>投标人没有按照招标文件要求提供全部资料，或者投标人没有对招标文件在各方面作出实质性响应是投标人的风险，并可能导致其投标被拒绝。</w:t>
      </w:r>
    </w:p>
    <w:p>
      <w:pPr>
        <w:pStyle w:val="15"/>
        <w:widowControl w:val="0"/>
        <w:tabs>
          <w:tab w:val="clear" w:pos="454"/>
        </w:tabs>
        <w:snapToGrid w:val="0"/>
        <w:spacing w:afterLines="0" w:line="360" w:lineRule="auto"/>
        <w:ind w:left="0" w:firstLine="472" w:firstLineChars="196"/>
        <w:rPr>
          <w:rFonts w:ascii="宋体" w:hAnsi="宋体"/>
          <w:b/>
          <w:szCs w:val="24"/>
        </w:rPr>
      </w:pPr>
      <w:r>
        <w:rPr>
          <w:rFonts w:hint="eastAsia" w:ascii="宋体" w:hAnsi="宋体"/>
          <w:b/>
          <w:szCs w:val="24"/>
        </w:rPr>
        <w:t>（三）招标文件的澄清与修改</w:t>
      </w:r>
    </w:p>
    <w:p>
      <w:pPr>
        <w:pStyle w:val="24"/>
        <w:snapToGrid w:val="0"/>
        <w:spacing w:beforeLines="0" w:afterLines="0" w:line="360" w:lineRule="auto"/>
        <w:ind w:firstLine="480" w:firstLineChars="200"/>
        <w:rPr>
          <w:rFonts w:hAnsi="宋体"/>
        </w:rPr>
      </w:pPr>
      <w:r>
        <w:rPr>
          <w:rFonts w:hAnsi="宋体"/>
        </w:rPr>
        <w:t>1</w:t>
      </w:r>
      <w:r>
        <w:rPr>
          <w:rFonts w:hint="eastAsia" w:hAnsi="宋体"/>
        </w:rPr>
        <w:t>.</w:t>
      </w:r>
      <w:r>
        <w:rPr>
          <w:rFonts w:hAnsi="宋体"/>
          <w:bCs/>
        </w:rPr>
        <w:t>投标人应认真阅读本招标文件，发现其中有误或有不合理要求的，投标人必须在</w:t>
      </w:r>
      <w:r>
        <w:rPr>
          <w:rFonts w:hint="eastAsia" w:hAnsi="宋体"/>
          <w:u w:val="single"/>
        </w:rPr>
        <w:t>2021年</w:t>
      </w:r>
      <w:r>
        <w:rPr>
          <w:rFonts w:hint="eastAsia" w:hAnsi="宋体"/>
          <w:u w:val="single"/>
          <w:lang w:val="en-US" w:eastAsia="zh-CN"/>
        </w:rPr>
        <w:t>10</w:t>
      </w:r>
      <w:r>
        <w:rPr>
          <w:rFonts w:hint="eastAsia" w:hAnsi="宋体"/>
        </w:rPr>
        <w:t>月</w:t>
      </w:r>
      <w:r>
        <w:rPr>
          <w:rFonts w:hint="eastAsia" w:hAnsi="宋体"/>
          <w:lang w:val="en-US" w:eastAsia="zh-CN"/>
        </w:rPr>
        <w:t>27</w:t>
      </w:r>
      <w:bookmarkStart w:id="23" w:name="_GoBack"/>
      <w:bookmarkEnd w:id="23"/>
      <w:r>
        <w:rPr>
          <w:rFonts w:hint="eastAsia" w:hAnsi="宋体"/>
        </w:rPr>
        <w:t>日</w:t>
      </w:r>
      <w:r>
        <w:rPr>
          <w:rFonts w:hint="eastAsia" w:hAnsi="宋体"/>
          <w:bCs/>
        </w:rPr>
        <w:t>17：00</w:t>
      </w:r>
      <w:r>
        <w:rPr>
          <w:rFonts w:hAnsi="宋体"/>
          <w:bCs/>
        </w:rPr>
        <w:t>前以书面形式要求招标采购单位澄清</w:t>
      </w:r>
      <w:r>
        <w:rPr>
          <w:rFonts w:hAnsi="宋体"/>
        </w:rPr>
        <w:t>。采购代理机构对已发出的招标文件进行必要澄清、答复、修改或补充的，应当在招标文件要求提交投标文件截止时间五日前，在财政部门指定的政府采购信息发布媒体上发布更正公告，并以书面形式通知所有招标文件收受人。</w:t>
      </w:r>
    </w:p>
    <w:p>
      <w:pPr>
        <w:pStyle w:val="24"/>
        <w:snapToGrid w:val="0"/>
        <w:spacing w:beforeLines="0" w:afterLines="0" w:line="360" w:lineRule="auto"/>
        <w:ind w:firstLine="480" w:firstLineChars="200"/>
        <w:rPr>
          <w:rFonts w:hAnsi="宋体"/>
        </w:rPr>
      </w:pPr>
      <w:r>
        <w:rPr>
          <w:rFonts w:hAnsi="宋体"/>
        </w:rPr>
        <w:t>2</w:t>
      </w:r>
      <w:r>
        <w:rPr>
          <w:rFonts w:hint="eastAsia" w:hAnsi="宋体"/>
        </w:rPr>
        <w:t>.</w:t>
      </w:r>
      <w:r>
        <w:rPr>
          <w:rFonts w:hAnsi="宋体"/>
        </w:rPr>
        <w:t>采购代理机构必须以书面形式答复投标人要求澄清的问题，并将不包含问题来源的答复书面通知所有购买招标文件的投标人；除书面答复以外的其他澄清方式及澄清内容均无效。</w:t>
      </w:r>
    </w:p>
    <w:p>
      <w:pPr>
        <w:pStyle w:val="24"/>
        <w:snapToGrid w:val="0"/>
        <w:spacing w:beforeLines="0" w:afterLines="0" w:line="360" w:lineRule="auto"/>
        <w:ind w:firstLine="480" w:firstLineChars="200"/>
        <w:rPr>
          <w:rFonts w:hAnsi="宋体"/>
        </w:rPr>
      </w:pPr>
      <w:r>
        <w:rPr>
          <w:rFonts w:hint="eastAsia" w:hAnsi="宋体"/>
        </w:rPr>
        <w:t>3.</w:t>
      </w:r>
      <w:r>
        <w:rPr>
          <w:rFonts w:hAnsi="宋体"/>
        </w:rPr>
        <w:t>招标文件澄清、答复、修改、补充的内容为招标文件的组成部分。当招标文件与招标文件的答复、澄清、修改、补充通知就同一内容的表述不一致时，以最后发出的书面文件为准。</w:t>
      </w:r>
    </w:p>
    <w:p>
      <w:pPr>
        <w:pStyle w:val="24"/>
        <w:snapToGrid w:val="0"/>
        <w:spacing w:beforeLines="0" w:afterLines="0" w:line="360" w:lineRule="auto"/>
        <w:ind w:firstLine="480" w:firstLineChars="200"/>
        <w:rPr>
          <w:rFonts w:hAnsi="宋体"/>
        </w:rPr>
      </w:pPr>
      <w:r>
        <w:rPr>
          <w:rFonts w:hint="eastAsia" w:hAnsi="宋体"/>
        </w:rPr>
        <w:t>4.</w:t>
      </w:r>
      <w:r>
        <w:rPr>
          <w:rFonts w:hAnsi="宋体"/>
        </w:rPr>
        <w:t>招标文件的澄清、答复、修改或补充都应该通过本代理机构以法定形式发布，采购人非通过本机构，不得擅自澄清、答复、修改或补充招标文件。</w:t>
      </w:r>
    </w:p>
    <w:p>
      <w:pPr>
        <w:pStyle w:val="24"/>
        <w:snapToGrid w:val="0"/>
        <w:spacing w:beforeLines="0" w:afterLines="0" w:line="360" w:lineRule="auto"/>
        <w:ind w:firstLine="551" w:firstLineChars="196"/>
        <w:outlineLvl w:val="1"/>
        <w:rPr>
          <w:rFonts w:hAnsi="宋体"/>
          <w:b/>
          <w:sz w:val="28"/>
          <w:szCs w:val="28"/>
        </w:rPr>
      </w:pPr>
      <w:r>
        <w:rPr>
          <w:rFonts w:hAnsi="宋体"/>
          <w:b/>
          <w:sz w:val="28"/>
          <w:szCs w:val="28"/>
        </w:rPr>
        <w:t>三、投标文件的编制</w:t>
      </w:r>
    </w:p>
    <w:p>
      <w:pPr>
        <w:snapToGrid w:val="0"/>
        <w:spacing w:line="360" w:lineRule="auto"/>
        <w:ind w:firstLine="472" w:firstLineChars="196"/>
        <w:jc w:val="left"/>
        <w:outlineLvl w:val="0"/>
        <w:rPr>
          <w:rFonts w:ascii="宋体" w:hAnsi="宋体"/>
          <w:b/>
          <w:sz w:val="24"/>
        </w:rPr>
      </w:pPr>
      <w:r>
        <w:rPr>
          <w:rFonts w:hint="eastAsia" w:ascii="宋体" w:hAnsi="宋体"/>
          <w:b/>
          <w:sz w:val="24"/>
        </w:rPr>
        <w:t>（一）投标文件的组成</w:t>
      </w:r>
    </w:p>
    <w:p>
      <w:pPr>
        <w:snapToGrid w:val="0"/>
        <w:spacing w:line="360" w:lineRule="auto"/>
        <w:ind w:firstLine="480" w:firstLineChars="200"/>
        <w:jc w:val="left"/>
        <w:outlineLvl w:val="0"/>
        <w:rPr>
          <w:rFonts w:ascii="宋体" w:hAnsi="宋体"/>
          <w:sz w:val="24"/>
        </w:rPr>
      </w:pPr>
      <w:r>
        <w:rPr>
          <w:rFonts w:hint="eastAsia" w:ascii="宋体" w:hAnsi="宋体"/>
          <w:sz w:val="24"/>
        </w:rPr>
        <w:t>投标文件由</w:t>
      </w:r>
      <w:r>
        <w:rPr>
          <w:rFonts w:hint="eastAsia" w:ascii="宋体" w:hAnsi="宋体" w:cs="宋体"/>
          <w:sz w:val="22"/>
        </w:rPr>
        <w:t>《</w:t>
      </w:r>
      <w:r>
        <w:rPr>
          <w:rFonts w:hint="eastAsia" w:ascii="宋体" w:hAnsi="宋体"/>
          <w:sz w:val="24"/>
        </w:rPr>
        <w:t>资格文件</w:t>
      </w:r>
      <w:r>
        <w:rPr>
          <w:rFonts w:hint="eastAsia" w:ascii="宋体" w:hAnsi="宋体" w:cs="宋体"/>
          <w:sz w:val="22"/>
        </w:rPr>
        <w:t>》</w:t>
      </w:r>
      <w:r>
        <w:rPr>
          <w:rFonts w:hint="eastAsia" w:ascii="宋体" w:hAnsi="宋体"/>
          <w:sz w:val="24"/>
        </w:rPr>
        <w:t>、</w:t>
      </w:r>
      <w:r>
        <w:rPr>
          <w:rFonts w:hint="eastAsia" w:ascii="宋体" w:hAnsi="宋体" w:cs="宋体"/>
          <w:sz w:val="22"/>
        </w:rPr>
        <w:t>《</w:t>
      </w:r>
      <w:r>
        <w:rPr>
          <w:rFonts w:hint="eastAsia" w:ascii="宋体" w:hAnsi="宋体"/>
          <w:sz w:val="24"/>
        </w:rPr>
        <w:t>技术/资信/商务文件</w:t>
      </w:r>
      <w:r>
        <w:rPr>
          <w:rFonts w:hint="eastAsia" w:ascii="宋体" w:hAnsi="宋体" w:cs="宋体"/>
          <w:sz w:val="22"/>
        </w:rPr>
        <w:t>》</w:t>
      </w:r>
      <w:r>
        <w:rPr>
          <w:rFonts w:hint="eastAsia" w:ascii="宋体" w:hAnsi="宋体"/>
          <w:sz w:val="24"/>
        </w:rPr>
        <w:t>、</w:t>
      </w:r>
      <w:r>
        <w:rPr>
          <w:rFonts w:hint="eastAsia" w:ascii="宋体" w:hAnsi="宋体" w:cs="宋体"/>
          <w:sz w:val="22"/>
        </w:rPr>
        <w:t>《</w:t>
      </w:r>
      <w:r>
        <w:rPr>
          <w:rFonts w:hint="eastAsia" w:ascii="宋体" w:hAnsi="宋体"/>
          <w:sz w:val="24"/>
        </w:rPr>
        <w:t>投标报价</w:t>
      </w:r>
      <w:r>
        <w:rPr>
          <w:rFonts w:hint="eastAsia" w:ascii="宋体" w:hAnsi="宋体" w:cs="宋体"/>
          <w:sz w:val="22"/>
        </w:rPr>
        <w:t>》</w:t>
      </w:r>
      <w:r>
        <w:rPr>
          <w:rFonts w:hint="eastAsia" w:ascii="宋体" w:hAnsi="宋体"/>
          <w:sz w:val="24"/>
        </w:rPr>
        <w:t>文件三部份组成。（电子投标文件中所盖公章均采用CA签章）。</w:t>
      </w:r>
    </w:p>
    <w:p>
      <w:pPr>
        <w:snapToGrid w:val="0"/>
        <w:spacing w:line="360" w:lineRule="auto"/>
        <w:ind w:firstLine="482" w:firstLineChars="200"/>
        <w:jc w:val="left"/>
        <w:rPr>
          <w:rFonts w:ascii="宋体" w:hAnsi="宋体" w:cs="宋体"/>
          <w:b/>
          <w:bCs/>
          <w:sz w:val="24"/>
        </w:rPr>
      </w:pPr>
      <w:r>
        <w:rPr>
          <w:rFonts w:hint="eastAsia" w:ascii="宋体" w:hAnsi="宋体" w:cs="宋体"/>
          <w:b/>
          <w:bCs/>
          <w:sz w:val="24"/>
        </w:rPr>
        <w:t>1.资格文件</w:t>
      </w:r>
    </w:p>
    <w:p>
      <w:pPr>
        <w:spacing w:line="360" w:lineRule="auto"/>
        <w:ind w:firstLine="470" w:firstLineChars="196"/>
        <w:jc w:val="left"/>
        <w:rPr>
          <w:rFonts w:ascii="宋体" w:hAnsi="宋体"/>
          <w:sz w:val="24"/>
        </w:rPr>
      </w:pPr>
      <w:r>
        <w:rPr>
          <w:rFonts w:hint="eastAsia" w:ascii="宋体" w:hAnsi="宋体"/>
          <w:sz w:val="24"/>
        </w:rPr>
        <w:t>（1）投标声明书</w:t>
      </w:r>
      <w:r>
        <w:rPr>
          <w:rFonts w:ascii="宋体" w:hAnsi="宋体"/>
          <w:sz w:val="24"/>
        </w:rPr>
        <w:t>(格式见附件)；</w:t>
      </w:r>
    </w:p>
    <w:p>
      <w:pPr>
        <w:spacing w:line="360" w:lineRule="auto"/>
        <w:ind w:firstLine="470" w:firstLineChars="196"/>
        <w:jc w:val="left"/>
        <w:rPr>
          <w:rFonts w:ascii="宋体" w:hAnsi="宋体"/>
          <w:sz w:val="24"/>
        </w:rPr>
      </w:pPr>
      <w:r>
        <w:rPr>
          <w:rFonts w:hint="eastAsia" w:ascii="宋体" w:hAnsi="宋体"/>
          <w:sz w:val="24"/>
        </w:rPr>
        <w:t>（2）投标人基本情况介绍；</w:t>
      </w:r>
    </w:p>
    <w:p>
      <w:pPr>
        <w:spacing w:line="360" w:lineRule="auto"/>
        <w:ind w:firstLine="470" w:firstLineChars="196"/>
        <w:jc w:val="left"/>
        <w:rPr>
          <w:rFonts w:ascii="宋体" w:hAnsi="宋体"/>
          <w:sz w:val="24"/>
        </w:rPr>
      </w:pPr>
      <w:r>
        <w:rPr>
          <w:rFonts w:hint="eastAsia" w:ascii="宋体" w:hAnsi="宋体"/>
          <w:sz w:val="24"/>
        </w:rPr>
        <w:t>（3）</w:t>
      </w:r>
      <w:r>
        <w:rPr>
          <w:rFonts w:ascii="宋体" w:hAnsi="宋体"/>
          <w:sz w:val="24"/>
        </w:rPr>
        <w:t>法定代表人授权委托书(格式见附件)</w:t>
      </w:r>
      <w:r>
        <w:rPr>
          <w:rFonts w:hint="eastAsia" w:ascii="宋体" w:hAnsi="宋体"/>
          <w:sz w:val="24"/>
        </w:rPr>
        <w:t>及</w:t>
      </w:r>
      <w:r>
        <w:rPr>
          <w:rFonts w:ascii="宋体" w:hAnsi="宋体"/>
          <w:sz w:val="24"/>
        </w:rPr>
        <w:t>授权代理人社保证明复印件（社保机构出具的由本单位或分公司为其缴纳的</w:t>
      </w:r>
      <w:r>
        <w:rPr>
          <w:rFonts w:hint="eastAsia" w:ascii="宋体" w:hAnsi="宋体" w:cs="宋体"/>
          <w:kern w:val="0"/>
          <w:sz w:val="24"/>
        </w:rPr>
        <w:t>最近一个月</w:t>
      </w:r>
      <w:r>
        <w:rPr>
          <w:rFonts w:ascii="宋体" w:hAnsi="宋体"/>
          <w:sz w:val="24"/>
        </w:rPr>
        <w:t>的社保证明）；</w:t>
      </w:r>
    </w:p>
    <w:p>
      <w:pPr>
        <w:snapToGrid w:val="0"/>
        <w:spacing w:line="360" w:lineRule="auto"/>
        <w:ind w:firstLine="480" w:firstLineChars="200"/>
        <w:jc w:val="left"/>
        <w:rPr>
          <w:rFonts w:ascii="宋体" w:hAnsi="宋体"/>
          <w:sz w:val="24"/>
        </w:rPr>
      </w:pPr>
      <w:r>
        <w:rPr>
          <w:rFonts w:hint="eastAsia" w:ascii="宋体" w:hAnsi="宋体"/>
          <w:sz w:val="24"/>
        </w:rPr>
        <w:t>（4）最近3个月依法缴纳税收和社保费的证明【税费凭证，或者依法缴纳税费或依法免缴税费的证明】（</w:t>
      </w:r>
      <w:r>
        <w:rPr>
          <w:rFonts w:hint="eastAsia" w:ascii="宋体" w:hAnsi="宋体"/>
          <w:bCs/>
          <w:sz w:val="24"/>
        </w:rPr>
        <w:t>复印件各一份</w:t>
      </w:r>
      <w:r>
        <w:rPr>
          <w:rFonts w:hint="eastAsia" w:ascii="宋体" w:hAnsi="宋体"/>
          <w:sz w:val="24"/>
        </w:rPr>
        <w:t>）；</w:t>
      </w:r>
    </w:p>
    <w:p>
      <w:pPr>
        <w:spacing w:line="360" w:lineRule="auto"/>
        <w:ind w:firstLine="480" w:firstLineChars="200"/>
        <w:jc w:val="left"/>
        <w:rPr>
          <w:rFonts w:ascii="宋体" w:hAnsi="宋体"/>
          <w:sz w:val="24"/>
        </w:rPr>
      </w:pPr>
      <w:r>
        <w:rPr>
          <w:rFonts w:hint="eastAsia" w:ascii="宋体" w:hAnsi="宋体"/>
          <w:sz w:val="24"/>
        </w:rPr>
        <w:t>（5）有效的营业执照副本（复印件各一份）；</w:t>
      </w:r>
    </w:p>
    <w:p>
      <w:pPr>
        <w:widowControl/>
        <w:spacing w:line="360" w:lineRule="auto"/>
        <w:ind w:right="60" w:firstLine="480" w:firstLineChars="200"/>
        <w:rPr>
          <w:rFonts w:ascii="宋体" w:hAnsi="宋体"/>
          <w:sz w:val="24"/>
        </w:rPr>
      </w:pPr>
      <w:r>
        <w:rPr>
          <w:rFonts w:hint="eastAsia" w:ascii="宋体" w:hAnsi="宋体"/>
          <w:sz w:val="24"/>
        </w:rPr>
        <w:t>（6）近二年度企业的财务报表或银行资信证明（复印件一份）；</w:t>
      </w:r>
    </w:p>
    <w:p>
      <w:pPr>
        <w:widowControl/>
        <w:spacing w:line="360" w:lineRule="auto"/>
        <w:ind w:right="60" w:firstLine="480" w:firstLineChars="200"/>
        <w:rPr>
          <w:rFonts w:ascii="宋体" w:hAnsi="宋体"/>
          <w:sz w:val="24"/>
        </w:rPr>
      </w:pPr>
      <w:r>
        <w:rPr>
          <w:rFonts w:hint="eastAsia" w:ascii="宋体" w:hAnsi="宋体"/>
          <w:sz w:val="24"/>
        </w:rPr>
        <w:t>（7） 提供自采购公告发布之后任意时间的“信用中国”（www.creditchina.gov.cn ）、</w:t>
      </w:r>
      <w:r>
        <w:rPr>
          <w:rFonts w:ascii="宋体" w:hAnsi="宋体"/>
          <w:sz w:val="24"/>
        </w:rPr>
        <w:t>“</w:t>
      </w:r>
      <w:r>
        <w:rPr>
          <w:rFonts w:hint="eastAsia" w:ascii="宋体" w:hAnsi="宋体"/>
          <w:sz w:val="24"/>
        </w:rPr>
        <w:t>中国政府采购</w:t>
      </w:r>
      <w:r>
        <w:rPr>
          <w:rFonts w:ascii="宋体" w:hAnsi="宋体"/>
          <w:sz w:val="24"/>
        </w:rPr>
        <w:t>”</w:t>
      </w:r>
      <w:r>
        <w:rPr>
          <w:rFonts w:hint="eastAsia" w:ascii="宋体" w:hAnsi="宋体"/>
          <w:sz w:val="24"/>
        </w:rPr>
        <w:t>（www.ccgp.gov.cn ）供应商信用查询网页截图（二者缺一不可）（以开标当日采购人或由采购代理机构核实的查询结果为准）。</w:t>
      </w:r>
    </w:p>
    <w:p>
      <w:pPr>
        <w:widowControl/>
        <w:spacing w:line="360" w:lineRule="auto"/>
        <w:ind w:right="60" w:firstLine="480" w:firstLineChars="200"/>
        <w:rPr>
          <w:rFonts w:ascii="宋体" w:hAnsi="宋体"/>
          <w:sz w:val="24"/>
        </w:rPr>
      </w:pPr>
      <w:r>
        <w:rPr>
          <w:rFonts w:hint="eastAsia" w:ascii="宋体" w:hAnsi="宋体"/>
          <w:sz w:val="24"/>
        </w:rPr>
        <w:t>（7）《中小企业声明函》（格式见附件）</w:t>
      </w:r>
    </w:p>
    <w:p>
      <w:pPr>
        <w:spacing w:line="360" w:lineRule="auto"/>
        <w:ind w:firstLine="472" w:firstLineChars="196"/>
        <w:jc w:val="left"/>
        <w:rPr>
          <w:rFonts w:ascii="宋体" w:hAnsi="宋体"/>
          <w:b/>
          <w:bCs/>
          <w:sz w:val="24"/>
        </w:rPr>
      </w:pPr>
      <w:r>
        <w:rPr>
          <w:rFonts w:hint="eastAsia" w:ascii="宋体" w:hAnsi="宋体"/>
          <w:b/>
          <w:sz w:val="24"/>
        </w:rPr>
        <w:t>2.</w:t>
      </w:r>
      <w:r>
        <w:rPr>
          <w:rFonts w:ascii="宋体" w:hAnsi="宋体"/>
          <w:b/>
          <w:bCs/>
          <w:sz w:val="24"/>
        </w:rPr>
        <w:t xml:space="preserve"> 技术文件</w:t>
      </w:r>
    </w:p>
    <w:p>
      <w:pPr>
        <w:spacing w:line="360" w:lineRule="auto"/>
        <w:ind w:firstLine="470" w:firstLineChars="196"/>
        <w:jc w:val="left"/>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设计图纸</w:t>
      </w:r>
      <w:r>
        <w:rPr>
          <w:rFonts w:ascii="宋体" w:hAnsi="宋体"/>
          <w:sz w:val="24"/>
        </w:rPr>
        <w:t>；</w:t>
      </w:r>
    </w:p>
    <w:p>
      <w:pPr>
        <w:spacing w:line="360" w:lineRule="auto"/>
        <w:ind w:firstLine="470" w:firstLineChars="196"/>
        <w:jc w:val="left"/>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确保供应货物质量的设施及措施；</w:t>
      </w:r>
    </w:p>
    <w:p>
      <w:pPr>
        <w:spacing w:line="360" w:lineRule="auto"/>
        <w:ind w:firstLine="470" w:firstLineChars="196"/>
        <w:jc w:val="left"/>
        <w:rPr>
          <w:rFonts w:ascii="宋体" w:hAnsi="宋体" w:cs="宋体"/>
          <w:iCs/>
          <w:kern w:val="0"/>
          <w:sz w:val="24"/>
        </w:rPr>
      </w:pPr>
      <w:bookmarkStart w:id="0" w:name="_Hlk17288685"/>
      <w:r>
        <w:rPr>
          <w:rFonts w:hint="eastAsia" w:ascii="宋体" w:hAnsi="宋体"/>
          <w:sz w:val="24"/>
        </w:rPr>
        <w:t>（</w:t>
      </w:r>
      <w:r>
        <w:rPr>
          <w:rFonts w:ascii="宋体" w:hAnsi="宋体"/>
          <w:sz w:val="24"/>
        </w:rPr>
        <w:t>3）</w:t>
      </w:r>
      <w:r>
        <w:rPr>
          <w:rFonts w:hint="eastAsia" w:ascii="宋体" w:hAnsi="宋体"/>
          <w:sz w:val="24"/>
        </w:rPr>
        <w:t>安装、调试、验收的方案和措施</w:t>
      </w:r>
      <w:r>
        <w:rPr>
          <w:rFonts w:ascii="宋体" w:hAnsi="宋体"/>
          <w:sz w:val="24"/>
        </w:rPr>
        <w:t>；</w:t>
      </w:r>
    </w:p>
    <w:bookmarkEnd w:id="0"/>
    <w:p>
      <w:pPr>
        <w:spacing w:line="360" w:lineRule="auto"/>
        <w:ind w:firstLine="470" w:firstLineChars="196"/>
        <w:jc w:val="left"/>
        <w:rPr>
          <w:rFonts w:ascii="宋体" w:hAnsi="宋体"/>
          <w:sz w:val="24"/>
        </w:rPr>
      </w:pPr>
      <w:r>
        <w:rPr>
          <w:rFonts w:hint="eastAsia" w:ascii="宋体" w:hAnsi="宋体"/>
          <w:sz w:val="24"/>
        </w:rPr>
        <w:t>（4</w:t>
      </w:r>
      <w:r>
        <w:rPr>
          <w:rFonts w:ascii="宋体" w:hAnsi="宋体"/>
          <w:sz w:val="24"/>
        </w:rPr>
        <w:t>）设备配置清单（均不含报价）；</w:t>
      </w:r>
    </w:p>
    <w:p>
      <w:pPr>
        <w:spacing w:line="360" w:lineRule="auto"/>
        <w:ind w:firstLine="470" w:firstLineChars="196"/>
        <w:jc w:val="left"/>
        <w:rPr>
          <w:rFonts w:ascii="宋体" w:hAnsi="宋体"/>
          <w:sz w:val="24"/>
        </w:rPr>
      </w:pPr>
      <w:r>
        <w:rPr>
          <w:rFonts w:hint="eastAsia" w:ascii="宋体" w:hAnsi="宋体"/>
          <w:sz w:val="24"/>
        </w:rPr>
        <w:t>（5</w:t>
      </w:r>
      <w:r>
        <w:rPr>
          <w:rFonts w:ascii="宋体" w:hAnsi="宋体"/>
          <w:sz w:val="24"/>
        </w:rPr>
        <w:t>）技术响应表；</w:t>
      </w:r>
    </w:p>
    <w:p>
      <w:pPr>
        <w:spacing w:line="360" w:lineRule="auto"/>
        <w:ind w:firstLine="470" w:firstLineChars="196"/>
        <w:jc w:val="left"/>
        <w:rPr>
          <w:rFonts w:ascii="宋体" w:hAnsi="宋体"/>
          <w:sz w:val="24"/>
        </w:rPr>
      </w:pPr>
      <w:r>
        <w:rPr>
          <w:rFonts w:hint="eastAsia" w:ascii="宋体" w:hAnsi="宋体"/>
          <w:sz w:val="24"/>
        </w:rPr>
        <w:t>（6</w:t>
      </w:r>
      <w:r>
        <w:rPr>
          <w:rFonts w:ascii="宋体" w:hAnsi="宋体"/>
          <w:sz w:val="24"/>
        </w:rPr>
        <w:t>）项目实施人员一览表</w:t>
      </w:r>
      <w:r>
        <w:rPr>
          <w:rFonts w:hint="eastAsia" w:ascii="宋体" w:hAnsi="宋体"/>
          <w:sz w:val="24"/>
        </w:rPr>
        <w:t>；</w:t>
      </w:r>
    </w:p>
    <w:p>
      <w:pPr>
        <w:spacing w:line="360" w:lineRule="auto"/>
        <w:ind w:firstLine="470" w:firstLineChars="196"/>
        <w:jc w:val="left"/>
        <w:rPr>
          <w:rFonts w:ascii="宋体" w:hAnsi="宋体"/>
          <w:sz w:val="24"/>
        </w:rPr>
      </w:pPr>
      <w:r>
        <w:rPr>
          <w:rFonts w:hint="eastAsia" w:ascii="宋体" w:hAnsi="宋体"/>
          <w:sz w:val="24"/>
        </w:rPr>
        <w:t>（7</w:t>
      </w:r>
      <w:r>
        <w:rPr>
          <w:rFonts w:ascii="宋体" w:hAnsi="宋体"/>
          <w:sz w:val="24"/>
        </w:rPr>
        <w:t>）投标人对本项目的合理化建议和改进措施</w:t>
      </w:r>
      <w:r>
        <w:rPr>
          <w:rFonts w:hint="eastAsia" w:ascii="宋体" w:hAnsi="宋体"/>
          <w:sz w:val="24"/>
        </w:rPr>
        <w:t>；</w:t>
      </w:r>
    </w:p>
    <w:p>
      <w:pPr>
        <w:spacing w:line="360" w:lineRule="auto"/>
        <w:ind w:firstLine="470" w:firstLineChars="196"/>
        <w:jc w:val="left"/>
        <w:rPr>
          <w:rFonts w:ascii="宋体" w:hAnsi="宋体"/>
          <w:sz w:val="24"/>
        </w:rPr>
      </w:pPr>
      <w:r>
        <w:rPr>
          <w:rFonts w:hint="eastAsia" w:ascii="宋体" w:hAnsi="宋体"/>
          <w:sz w:val="24"/>
        </w:rPr>
        <w:t>（8</w:t>
      </w:r>
      <w:r>
        <w:rPr>
          <w:rFonts w:ascii="宋体" w:hAnsi="宋体"/>
          <w:sz w:val="24"/>
        </w:rPr>
        <w:t>）投标人需要说明的其他文件和说明（格式略）</w:t>
      </w:r>
      <w:r>
        <w:rPr>
          <w:rFonts w:hint="eastAsia" w:ascii="宋体" w:hAnsi="宋体"/>
          <w:sz w:val="24"/>
        </w:rPr>
        <w:t>；</w:t>
      </w:r>
    </w:p>
    <w:p>
      <w:pPr>
        <w:spacing w:line="360" w:lineRule="auto"/>
        <w:ind w:firstLine="472" w:firstLineChars="196"/>
        <w:jc w:val="left"/>
        <w:rPr>
          <w:rFonts w:ascii="宋体" w:hAnsi="宋体"/>
          <w:b/>
          <w:sz w:val="24"/>
        </w:rPr>
      </w:pPr>
      <w:r>
        <w:rPr>
          <w:rFonts w:ascii="宋体" w:hAnsi="宋体"/>
          <w:b/>
          <w:sz w:val="24"/>
        </w:rPr>
        <w:t>资信文件：</w:t>
      </w:r>
    </w:p>
    <w:p>
      <w:pPr>
        <w:spacing w:line="360" w:lineRule="auto"/>
        <w:ind w:firstLine="470" w:firstLineChars="196"/>
        <w:jc w:val="left"/>
        <w:rPr>
          <w:rFonts w:ascii="宋体" w:hAnsi="宋体"/>
          <w:sz w:val="24"/>
        </w:rPr>
      </w:pPr>
      <w:r>
        <w:rPr>
          <w:rFonts w:hint="eastAsia" w:ascii="宋体" w:hAnsi="宋体"/>
          <w:sz w:val="24"/>
        </w:rPr>
        <w:t>（9</w:t>
      </w:r>
      <w:r>
        <w:rPr>
          <w:rFonts w:ascii="宋体" w:hAnsi="宋体"/>
          <w:sz w:val="24"/>
        </w:rPr>
        <w:t>）</w:t>
      </w:r>
      <w:r>
        <w:rPr>
          <w:rFonts w:hint="eastAsia" w:ascii="宋体" w:hAnsi="宋体"/>
          <w:sz w:val="24"/>
        </w:rPr>
        <w:t>类似案例成功的业绩（投标人同类项目实施情况一览表、合同复印件）；</w:t>
      </w:r>
    </w:p>
    <w:p>
      <w:pPr>
        <w:spacing w:line="360" w:lineRule="auto"/>
        <w:ind w:firstLine="470" w:firstLineChars="196"/>
        <w:jc w:val="left"/>
        <w:rPr>
          <w:rFonts w:ascii="宋体" w:hAnsi="宋体"/>
          <w:sz w:val="24"/>
        </w:rPr>
      </w:pPr>
      <w:r>
        <w:rPr>
          <w:rFonts w:hint="eastAsia" w:ascii="宋体" w:hAnsi="宋体"/>
          <w:sz w:val="24"/>
        </w:rPr>
        <w:t>（10</w:t>
      </w:r>
      <w:r>
        <w:rPr>
          <w:rFonts w:ascii="宋体" w:hAnsi="宋体"/>
          <w:sz w:val="24"/>
        </w:rPr>
        <w:t>）</w:t>
      </w:r>
      <w:r>
        <w:rPr>
          <w:rFonts w:hint="eastAsia" w:ascii="宋体" w:hAnsi="宋体"/>
          <w:sz w:val="24"/>
        </w:rPr>
        <w:t>售后服务网点；</w:t>
      </w:r>
    </w:p>
    <w:p>
      <w:pPr>
        <w:spacing w:line="360" w:lineRule="auto"/>
        <w:ind w:firstLine="470" w:firstLineChars="196"/>
        <w:jc w:val="left"/>
        <w:rPr>
          <w:rFonts w:ascii="宋体" w:hAnsi="宋体"/>
          <w:sz w:val="24"/>
        </w:rPr>
      </w:pPr>
      <w:r>
        <w:rPr>
          <w:rFonts w:hint="eastAsia" w:ascii="宋体" w:hAnsi="宋体"/>
          <w:sz w:val="24"/>
        </w:rPr>
        <w:t>（11</w:t>
      </w:r>
      <w:r>
        <w:rPr>
          <w:rFonts w:ascii="宋体" w:hAnsi="宋体"/>
          <w:sz w:val="24"/>
        </w:rPr>
        <w:t>）</w:t>
      </w:r>
      <w:r>
        <w:rPr>
          <w:rFonts w:hint="eastAsia" w:ascii="宋体" w:hAnsi="宋体"/>
          <w:sz w:val="24"/>
        </w:rPr>
        <w:t>投标人认为可以证明其能力或业绩的其他材料；</w:t>
      </w:r>
    </w:p>
    <w:p>
      <w:pPr>
        <w:spacing w:line="360" w:lineRule="auto"/>
        <w:ind w:firstLine="472" w:firstLineChars="196"/>
        <w:jc w:val="left"/>
        <w:rPr>
          <w:rFonts w:ascii="宋体" w:hAnsi="宋体"/>
          <w:b/>
          <w:sz w:val="24"/>
        </w:rPr>
      </w:pPr>
      <w:r>
        <w:rPr>
          <w:rFonts w:ascii="宋体" w:hAnsi="宋体"/>
          <w:b/>
          <w:sz w:val="24"/>
        </w:rPr>
        <w:t>商务文件</w:t>
      </w:r>
    </w:p>
    <w:p>
      <w:pPr>
        <w:spacing w:line="360" w:lineRule="auto"/>
        <w:ind w:firstLine="470" w:firstLineChars="196"/>
        <w:jc w:val="left"/>
        <w:rPr>
          <w:rFonts w:ascii="宋体" w:hAnsi="宋体"/>
          <w:sz w:val="24"/>
        </w:rPr>
      </w:pPr>
      <w:r>
        <w:rPr>
          <w:rFonts w:hint="eastAsia" w:ascii="宋体" w:hAnsi="宋体"/>
          <w:sz w:val="24"/>
        </w:rPr>
        <w:t>（12）商务响应表（格式见附件）；</w:t>
      </w:r>
    </w:p>
    <w:p>
      <w:pPr>
        <w:spacing w:line="360" w:lineRule="auto"/>
        <w:ind w:firstLine="470" w:firstLineChars="196"/>
        <w:jc w:val="left"/>
        <w:rPr>
          <w:rFonts w:ascii="宋体" w:hAnsi="宋体"/>
          <w:sz w:val="24"/>
        </w:rPr>
      </w:pPr>
      <w:r>
        <w:rPr>
          <w:rFonts w:hint="eastAsia" w:ascii="宋体" w:hAnsi="宋体"/>
          <w:sz w:val="24"/>
        </w:rPr>
        <w:t>（13</w:t>
      </w:r>
      <w:r>
        <w:rPr>
          <w:rFonts w:ascii="宋体" w:hAnsi="宋体"/>
          <w:sz w:val="24"/>
        </w:rPr>
        <w:t>）售后服务的内容</w:t>
      </w:r>
      <w:r>
        <w:rPr>
          <w:rFonts w:hint="eastAsia" w:ascii="宋体" w:hAnsi="宋体"/>
          <w:sz w:val="24"/>
        </w:rPr>
        <w:t>、</w:t>
      </w:r>
      <w:r>
        <w:rPr>
          <w:rFonts w:ascii="宋体" w:hAnsi="宋体"/>
          <w:sz w:val="24"/>
        </w:rPr>
        <w:t>措施</w:t>
      </w:r>
      <w:r>
        <w:rPr>
          <w:rFonts w:hint="eastAsia" w:ascii="宋体" w:hAnsi="宋体"/>
          <w:sz w:val="24"/>
        </w:rPr>
        <w:t>、承诺</w:t>
      </w:r>
      <w:r>
        <w:rPr>
          <w:rFonts w:ascii="宋体" w:hAnsi="宋体"/>
          <w:sz w:val="24"/>
        </w:rPr>
        <w:t>；</w:t>
      </w:r>
    </w:p>
    <w:p>
      <w:pPr>
        <w:spacing w:line="360" w:lineRule="auto"/>
        <w:ind w:firstLine="470" w:firstLineChars="196"/>
        <w:jc w:val="left"/>
        <w:rPr>
          <w:rFonts w:ascii="宋体" w:hAnsi="宋体"/>
          <w:sz w:val="24"/>
        </w:rPr>
      </w:pPr>
      <w:r>
        <w:rPr>
          <w:rFonts w:hint="eastAsia" w:ascii="宋体" w:hAnsi="宋体"/>
          <w:sz w:val="24"/>
        </w:rPr>
        <w:t>（14）</w:t>
      </w:r>
      <w:r>
        <w:rPr>
          <w:rFonts w:ascii="宋体" w:hAnsi="宋体"/>
          <w:sz w:val="24"/>
        </w:rPr>
        <w:t>培训计划</w:t>
      </w:r>
      <w:r>
        <w:rPr>
          <w:rFonts w:hint="eastAsia" w:ascii="宋体" w:hAnsi="宋体"/>
          <w:sz w:val="24"/>
        </w:rPr>
        <w:t>；</w:t>
      </w:r>
    </w:p>
    <w:p>
      <w:pPr>
        <w:spacing w:line="360" w:lineRule="auto"/>
        <w:ind w:firstLine="470" w:firstLineChars="196"/>
        <w:jc w:val="left"/>
        <w:rPr>
          <w:rFonts w:ascii="宋体" w:hAnsi="宋体"/>
          <w:sz w:val="24"/>
        </w:rPr>
      </w:pPr>
      <w:r>
        <w:rPr>
          <w:rFonts w:hint="eastAsia" w:ascii="宋体" w:hAnsi="宋体"/>
          <w:sz w:val="24"/>
        </w:rPr>
        <w:t>（15）响应时间；</w:t>
      </w:r>
    </w:p>
    <w:p>
      <w:pPr>
        <w:spacing w:line="360" w:lineRule="auto"/>
        <w:ind w:firstLine="470" w:firstLineChars="196"/>
        <w:jc w:val="left"/>
        <w:rPr>
          <w:rFonts w:ascii="宋体" w:hAnsi="宋体"/>
          <w:sz w:val="24"/>
        </w:rPr>
      </w:pPr>
      <w:r>
        <w:rPr>
          <w:rFonts w:hint="eastAsia" w:ascii="宋体" w:hAnsi="宋体"/>
          <w:sz w:val="24"/>
        </w:rPr>
        <w:t>（16）信用承诺书；</w:t>
      </w:r>
    </w:p>
    <w:p>
      <w:pPr>
        <w:spacing w:line="360" w:lineRule="auto"/>
        <w:ind w:firstLine="470" w:firstLineChars="196"/>
        <w:jc w:val="left"/>
        <w:rPr>
          <w:rFonts w:ascii="宋体" w:hAnsi="宋体"/>
          <w:sz w:val="24"/>
        </w:rPr>
      </w:pPr>
      <w:r>
        <w:rPr>
          <w:rFonts w:hint="eastAsia" w:ascii="宋体" w:hAnsi="宋体"/>
          <w:sz w:val="24"/>
        </w:rPr>
        <w:t>（17）技术、商务、资信及其他分自评表。</w:t>
      </w:r>
    </w:p>
    <w:p>
      <w:pPr>
        <w:spacing w:line="360" w:lineRule="auto"/>
        <w:ind w:firstLine="472" w:firstLineChars="196"/>
        <w:jc w:val="left"/>
        <w:rPr>
          <w:rFonts w:ascii="宋体" w:hAnsi="宋体"/>
          <w:b/>
          <w:sz w:val="24"/>
        </w:rPr>
      </w:pPr>
      <w:r>
        <w:rPr>
          <w:rFonts w:hint="eastAsia" w:ascii="宋体" w:hAnsi="宋体"/>
          <w:b/>
          <w:sz w:val="24"/>
        </w:rPr>
        <w:t>3.</w:t>
      </w:r>
      <w:r>
        <w:rPr>
          <w:rFonts w:ascii="宋体" w:hAnsi="宋体"/>
          <w:b/>
          <w:sz w:val="24"/>
        </w:rPr>
        <w:t>报价文件：</w:t>
      </w:r>
    </w:p>
    <w:p>
      <w:pPr>
        <w:spacing w:line="360" w:lineRule="auto"/>
        <w:ind w:firstLine="470" w:firstLineChars="196"/>
        <w:jc w:val="left"/>
        <w:rPr>
          <w:rFonts w:ascii="宋体" w:hAnsi="宋体"/>
          <w:sz w:val="24"/>
        </w:rPr>
      </w:pPr>
      <w:r>
        <w:rPr>
          <w:rFonts w:hint="eastAsia" w:ascii="宋体" w:hAnsi="宋体"/>
          <w:sz w:val="24"/>
        </w:rPr>
        <w:t xml:space="preserve">（1）投标函（格式见附件）； </w:t>
      </w:r>
    </w:p>
    <w:p>
      <w:pPr>
        <w:spacing w:line="360" w:lineRule="auto"/>
        <w:ind w:firstLine="470" w:firstLineChars="196"/>
        <w:jc w:val="left"/>
        <w:rPr>
          <w:rFonts w:ascii="宋体" w:hAnsi="宋体"/>
          <w:sz w:val="24"/>
        </w:rPr>
      </w:pPr>
      <w:r>
        <w:rPr>
          <w:rFonts w:hint="eastAsia" w:ascii="宋体" w:hAnsi="宋体"/>
          <w:sz w:val="24"/>
        </w:rPr>
        <w:t>（2</w:t>
      </w:r>
      <w:r>
        <w:rPr>
          <w:rFonts w:ascii="宋体" w:hAnsi="宋体"/>
          <w:sz w:val="24"/>
        </w:rPr>
        <w:t>）投标报价明细表（格式见附件）；</w:t>
      </w:r>
    </w:p>
    <w:p>
      <w:pPr>
        <w:spacing w:line="360" w:lineRule="auto"/>
        <w:ind w:firstLine="470" w:firstLineChars="196"/>
        <w:jc w:val="left"/>
        <w:rPr>
          <w:rFonts w:ascii="宋体" w:hAnsi="宋体"/>
          <w:sz w:val="24"/>
        </w:rPr>
      </w:pPr>
      <w:r>
        <w:rPr>
          <w:rFonts w:hint="eastAsia" w:ascii="宋体" w:hAnsi="宋体"/>
          <w:sz w:val="24"/>
        </w:rPr>
        <w:t>（3</w:t>
      </w:r>
      <w:r>
        <w:rPr>
          <w:rFonts w:ascii="宋体" w:hAnsi="宋体"/>
          <w:sz w:val="24"/>
        </w:rPr>
        <w:t>）投标人</w:t>
      </w:r>
      <w:r>
        <w:rPr>
          <w:rFonts w:hint="eastAsia" w:ascii="宋体" w:hAnsi="宋体"/>
          <w:sz w:val="24"/>
        </w:rPr>
        <w:t>针对报价</w:t>
      </w:r>
      <w:r>
        <w:rPr>
          <w:rFonts w:ascii="宋体" w:hAnsi="宋体"/>
          <w:sz w:val="24"/>
        </w:rPr>
        <w:t>需要说明的其他文件和说明（格式</w:t>
      </w:r>
      <w:r>
        <w:rPr>
          <w:rFonts w:hint="eastAsia" w:ascii="宋体" w:hAnsi="宋体"/>
          <w:sz w:val="24"/>
        </w:rPr>
        <w:t>自拟</w:t>
      </w:r>
      <w:r>
        <w:rPr>
          <w:rFonts w:ascii="宋体" w:hAnsi="宋体"/>
          <w:sz w:val="24"/>
        </w:rPr>
        <w:t>）</w:t>
      </w:r>
      <w:r>
        <w:rPr>
          <w:rFonts w:hint="eastAsia" w:ascii="宋体" w:hAnsi="宋体"/>
          <w:sz w:val="24"/>
        </w:rPr>
        <w:t>；</w:t>
      </w:r>
    </w:p>
    <w:p>
      <w:pPr>
        <w:spacing w:line="360" w:lineRule="auto"/>
        <w:ind w:firstLine="470" w:firstLineChars="196"/>
        <w:jc w:val="lef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招标代理费承诺函；</w:t>
      </w:r>
    </w:p>
    <w:p>
      <w:pPr>
        <w:spacing w:line="360" w:lineRule="auto"/>
        <w:ind w:firstLine="470" w:firstLineChars="196"/>
        <w:jc w:val="left"/>
        <w:rPr>
          <w:rFonts w:ascii="宋体" w:hAnsi="宋体"/>
          <w:sz w:val="24"/>
        </w:rPr>
      </w:pPr>
      <w:r>
        <w:rPr>
          <w:rFonts w:hint="eastAsia" w:ascii="宋体" w:hAnsi="宋体"/>
          <w:sz w:val="24"/>
        </w:rPr>
        <w:t>（5）</w:t>
      </w:r>
      <w:r>
        <w:rPr>
          <w:rFonts w:ascii="宋体" w:hAnsi="宋体"/>
          <w:sz w:val="24"/>
        </w:rPr>
        <w:t>开标一览表（格式见附件）</w:t>
      </w:r>
      <w:r>
        <w:rPr>
          <w:rFonts w:hint="eastAsia" w:ascii="宋体" w:hAnsi="宋体"/>
          <w:sz w:val="24"/>
        </w:rPr>
        <w:t>。</w:t>
      </w:r>
    </w:p>
    <w:p>
      <w:pPr>
        <w:pStyle w:val="34"/>
        <w:widowControl w:val="0"/>
        <w:spacing w:before="0" w:afterLines="0" w:line="360" w:lineRule="auto"/>
        <w:ind w:firstLine="482" w:firstLineChars="200"/>
        <w:rPr>
          <w:b/>
          <w:bCs/>
          <w:color w:val="auto"/>
        </w:rPr>
      </w:pPr>
      <w:r>
        <w:rPr>
          <w:b/>
          <w:color w:val="auto"/>
        </w:rPr>
        <w:t>▲</w:t>
      </w:r>
      <w:r>
        <w:rPr>
          <w:b/>
          <w:bCs/>
          <w:color w:val="auto"/>
        </w:rPr>
        <w:t>注：法定代表人授权委托书、投标声明书、投标函、开标一览表必须由法定代表人签名并加盖单位公章。</w:t>
      </w:r>
    </w:p>
    <w:p>
      <w:pPr>
        <w:snapToGrid w:val="0"/>
        <w:spacing w:line="360" w:lineRule="auto"/>
        <w:ind w:firstLine="472" w:firstLineChars="196"/>
        <w:jc w:val="left"/>
        <w:outlineLvl w:val="0"/>
        <w:rPr>
          <w:rFonts w:ascii="宋体" w:hAnsi="宋体"/>
          <w:b/>
          <w:sz w:val="24"/>
          <w:szCs w:val="20"/>
        </w:rPr>
      </w:pPr>
      <w:r>
        <w:rPr>
          <w:rFonts w:hint="eastAsia" w:ascii="宋体" w:hAnsi="宋体"/>
          <w:b/>
          <w:sz w:val="24"/>
        </w:rPr>
        <w:t>（二）投标文件的语言及计量</w:t>
      </w:r>
    </w:p>
    <w:p>
      <w:pPr>
        <w:snapToGrid w:val="0"/>
        <w:spacing w:line="360" w:lineRule="auto"/>
        <w:ind w:firstLine="480" w:firstLineChars="200"/>
        <w:jc w:val="left"/>
        <w:rPr>
          <w:rFonts w:ascii="宋体" w:hAnsi="宋体"/>
          <w:sz w:val="24"/>
          <w:szCs w:val="20"/>
        </w:rPr>
      </w:pPr>
      <w:r>
        <w:rPr>
          <w:rFonts w:hint="eastAsia" w:ascii="宋体" w:hAnsi="宋体"/>
          <w:sz w:val="24"/>
        </w:rPr>
        <w:t>▲</w:t>
      </w:r>
      <w:r>
        <w:rPr>
          <w:rFonts w:ascii="宋体" w:hAnsi="宋体"/>
          <w:sz w:val="24"/>
        </w:rPr>
        <w:t>1投标文件以及投标方与招标方就有关投标事宜的所有来往函电，均应以中文汉语书写。除签名、盖章、专用名称等特殊情形外，以中文汉语以外的文字表述的投标文件视同未提供。</w:t>
      </w:r>
    </w:p>
    <w:p>
      <w:pPr>
        <w:snapToGrid w:val="0"/>
        <w:spacing w:line="360" w:lineRule="auto"/>
        <w:ind w:firstLine="480" w:firstLineChars="200"/>
        <w:jc w:val="left"/>
        <w:rPr>
          <w:rFonts w:ascii="宋体" w:hAnsi="宋体"/>
          <w:sz w:val="24"/>
          <w:szCs w:val="20"/>
        </w:rPr>
      </w:pPr>
      <w:r>
        <w:rPr>
          <w:rFonts w:hint="eastAsia" w:ascii="宋体" w:hAnsi="宋体"/>
          <w:sz w:val="24"/>
        </w:rPr>
        <w:t>▲</w:t>
      </w:r>
      <w:r>
        <w:rPr>
          <w:rFonts w:ascii="宋体" w:hAnsi="宋体"/>
          <w:sz w:val="24"/>
        </w:rPr>
        <w:t>2投标计量单位，招标文件已有明确规定的，使用招标文件规定的计量单位；招标文件没有规定的，应采用中华人民共和国法定计量单位（货币单位：人民币元），否则视同未响应。</w:t>
      </w:r>
    </w:p>
    <w:p>
      <w:pPr>
        <w:snapToGrid w:val="0"/>
        <w:spacing w:line="360" w:lineRule="auto"/>
        <w:ind w:firstLine="472" w:firstLineChars="196"/>
        <w:jc w:val="left"/>
        <w:outlineLvl w:val="0"/>
        <w:rPr>
          <w:rFonts w:ascii="宋体" w:hAnsi="宋体"/>
          <w:b/>
          <w:sz w:val="24"/>
          <w:szCs w:val="20"/>
        </w:rPr>
      </w:pPr>
      <w:r>
        <w:rPr>
          <w:rFonts w:hint="eastAsia" w:ascii="宋体" w:hAnsi="宋体"/>
          <w:b/>
          <w:sz w:val="24"/>
        </w:rPr>
        <w:t>（三）投标报价</w:t>
      </w:r>
    </w:p>
    <w:p>
      <w:pPr>
        <w:snapToGrid w:val="0"/>
        <w:spacing w:line="360" w:lineRule="auto"/>
        <w:ind w:firstLine="411" w:firstLineChars="196"/>
        <w:jc w:val="left"/>
        <w:outlineLvl w:val="0"/>
        <w:rPr>
          <w:rFonts w:ascii="宋体" w:hAnsi="宋体"/>
          <w:b/>
          <w:sz w:val="24"/>
        </w:rPr>
      </w:pPr>
      <w:r>
        <w:rPr>
          <w:rFonts w:hAnsi="宋体"/>
        </w:rPr>
        <w:t>▲</w:t>
      </w:r>
      <w:r>
        <w:rPr>
          <w:rFonts w:ascii="宋体" w:hAnsi="宋体"/>
          <w:sz w:val="24"/>
        </w:rPr>
        <w:t>1</w:t>
      </w:r>
      <w:r>
        <w:rPr>
          <w:rFonts w:hint="eastAsia" w:ascii="宋体" w:hAnsi="宋体"/>
          <w:sz w:val="24"/>
        </w:rPr>
        <w:t>.</w:t>
      </w:r>
      <w:r>
        <w:rPr>
          <w:rFonts w:ascii="宋体" w:hAnsi="宋体"/>
          <w:sz w:val="24"/>
        </w:rPr>
        <w:t>投标报价应按招标文件中相关附表格式填写。</w:t>
      </w:r>
      <w:r>
        <w:rPr>
          <w:rFonts w:hint="eastAsia" w:ascii="宋体" w:hAnsi="宋体"/>
          <w:sz w:val="24"/>
        </w:rPr>
        <w:t>投标人在填报投标项目报价明细表时必须按照采购需求货物清单内容逐项报价，不得随意更改序号、货物名称、单位、数量。否则作无效标处理。</w:t>
      </w:r>
    </w:p>
    <w:p>
      <w:pPr>
        <w:pStyle w:val="24"/>
        <w:snapToGrid w:val="0"/>
        <w:spacing w:beforeLines="0" w:afterLines="0" w:line="360" w:lineRule="auto"/>
        <w:ind w:firstLine="480" w:firstLineChars="200"/>
        <w:jc w:val="left"/>
        <w:rPr>
          <w:rFonts w:hAnsi="宋体"/>
        </w:rPr>
      </w:pPr>
      <w:r>
        <w:rPr>
          <w:rFonts w:hAnsi="宋体"/>
        </w:rPr>
        <w:t>▲2</w:t>
      </w:r>
      <w:r>
        <w:rPr>
          <w:rFonts w:hint="eastAsia" w:hAnsi="宋体"/>
        </w:rPr>
        <w:t>.</w:t>
      </w:r>
      <w:r>
        <w:rPr>
          <w:rFonts w:hAnsi="宋体"/>
        </w:rPr>
        <w:t>投标报价是履行合同的最终价格，应包括货款、标准附件、备品备件、专用工具、包装、运输、装卸、保险、税金、货到就位以及安装、调试、培训、保修等一切税金和费用。</w:t>
      </w:r>
    </w:p>
    <w:p>
      <w:pPr>
        <w:tabs>
          <w:tab w:val="left" w:pos="525"/>
        </w:tabs>
        <w:snapToGrid w:val="0"/>
        <w:spacing w:line="360" w:lineRule="auto"/>
        <w:ind w:firstLine="480" w:firstLineChars="200"/>
        <w:jc w:val="left"/>
        <w:rPr>
          <w:rFonts w:ascii="宋体" w:hAnsi="宋体"/>
          <w:sz w:val="24"/>
          <w:szCs w:val="20"/>
        </w:rPr>
      </w:pPr>
      <w:r>
        <w:rPr>
          <w:rFonts w:hint="eastAsia" w:ascii="宋体" w:hAnsi="宋体"/>
          <w:sz w:val="24"/>
        </w:rPr>
        <w:t>▲</w:t>
      </w:r>
      <w:r>
        <w:rPr>
          <w:rFonts w:ascii="宋体" w:hAnsi="宋体"/>
          <w:sz w:val="24"/>
        </w:rPr>
        <w:t>3</w:t>
      </w:r>
      <w:r>
        <w:rPr>
          <w:rFonts w:hint="eastAsia" w:ascii="宋体" w:hAnsi="宋体"/>
          <w:sz w:val="24"/>
        </w:rPr>
        <w:t>.</w:t>
      </w:r>
      <w:r>
        <w:rPr>
          <w:rFonts w:ascii="宋体" w:hAnsi="宋体"/>
          <w:sz w:val="24"/>
        </w:rPr>
        <w:t>投标文件只允许有一个报价，有选择的</w:t>
      </w:r>
      <w:r>
        <w:rPr>
          <w:rFonts w:hint="eastAsia" w:ascii="宋体" w:hAnsi="宋体"/>
          <w:sz w:val="24"/>
        </w:rPr>
        <w:t>或有条件的</w:t>
      </w:r>
      <w:r>
        <w:rPr>
          <w:rFonts w:ascii="宋体" w:hAnsi="宋体"/>
          <w:sz w:val="24"/>
        </w:rPr>
        <w:t>报价将不予接受。</w:t>
      </w:r>
    </w:p>
    <w:p>
      <w:pPr>
        <w:pStyle w:val="15"/>
        <w:widowControl w:val="0"/>
        <w:tabs>
          <w:tab w:val="clear" w:pos="454"/>
        </w:tabs>
        <w:snapToGrid w:val="0"/>
        <w:spacing w:afterLines="0" w:line="360" w:lineRule="auto"/>
        <w:ind w:left="0" w:firstLine="472" w:firstLineChars="196"/>
        <w:rPr>
          <w:rFonts w:ascii="宋体" w:hAnsi="宋体"/>
          <w:b/>
          <w:szCs w:val="24"/>
        </w:rPr>
      </w:pPr>
      <w:r>
        <w:rPr>
          <w:rFonts w:hint="eastAsia" w:ascii="宋体" w:hAnsi="宋体"/>
          <w:b/>
          <w:szCs w:val="24"/>
        </w:rPr>
        <w:t>（四）投标文件的有效期</w:t>
      </w:r>
    </w:p>
    <w:p>
      <w:pPr>
        <w:pStyle w:val="15"/>
        <w:widowControl w:val="0"/>
        <w:tabs>
          <w:tab w:val="clear" w:pos="454"/>
        </w:tabs>
        <w:snapToGrid w:val="0"/>
        <w:spacing w:afterLines="0" w:line="360" w:lineRule="auto"/>
        <w:ind w:left="0" w:firstLine="480" w:firstLineChars="200"/>
        <w:rPr>
          <w:rFonts w:ascii="宋体" w:hAnsi="宋体"/>
          <w:szCs w:val="24"/>
        </w:rPr>
      </w:pPr>
      <w:r>
        <w:rPr>
          <w:rFonts w:hint="eastAsia" w:ascii="宋体" w:hAnsi="宋体"/>
          <w:szCs w:val="24"/>
        </w:rPr>
        <w:t>▲</w:t>
      </w:r>
      <w:r>
        <w:rPr>
          <w:rFonts w:ascii="宋体" w:hAnsi="宋体"/>
          <w:szCs w:val="24"/>
        </w:rPr>
        <w:t>1</w:t>
      </w:r>
      <w:r>
        <w:rPr>
          <w:rFonts w:hint="eastAsia" w:ascii="宋体" w:hAnsi="宋体"/>
          <w:szCs w:val="24"/>
        </w:rPr>
        <w:t>.</w:t>
      </w:r>
      <w:r>
        <w:rPr>
          <w:rFonts w:ascii="宋体" w:hAnsi="宋体"/>
          <w:szCs w:val="24"/>
        </w:rPr>
        <w:t>自投标截止日起</w:t>
      </w:r>
      <w:r>
        <w:rPr>
          <w:rFonts w:hint="eastAsia" w:ascii="宋体" w:hAnsi="宋体"/>
          <w:szCs w:val="24"/>
          <w:u w:val="single"/>
        </w:rPr>
        <w:t>120</w:t>
      </w:r>
      <w:r>
        <w:rPr>
          <w:rFonts w:ascii="宋体" w:hAnsi="宋体"/>
          <w:szCs w:val="24"/>
        </w:rPr>
        <w:t>天投标</w:t>
      </w:r>
      <w:r>
        <w:rPr>
          <w:rFonts w:hint="eastAsia" w:ascii="宋体" w:hAnsi="宋体"/>
          <w:szCs w:val="24"/>
        </w:rPr>
        <w:t>文件</w:t>
      </w:r>
      <w:r>
        <w:rPr>
          <w:rFonts w:ascii="宋体" w:hAnsi="宋体"/>
          <w:szCs w:val="24"/>
        </w:rPr>
        <w:t>应保持有效。有效期</w:t>
      </w:r>
      <w:r>
        <w:rPr>
          <w:rFonts w:hint="eastAsia" w:ascii="宋体" w:hAnsi="宋体"/>
          <w:szCs w:val="24"/>
        </w:rPr>
        <w:t>不足</w:t>
      </w:r>
      <w:r>
        <w:rPr>
          <w:rFonts w:ascii="宋体" w:hAnsi="宋体"/>
          <w:szCs w:val="24"/>
        </w:rPr>
        <w:t>的投标</w:t>
      </w:r>
      <w:r>
        <w:rPr>
          <w:rFonts w:hint="eastAsia" w:ascii="宋体" w:hAnsi="宋体"/>
          <w:szCs w:val="24"/>
        </w:rPr>
        <w:t>文件</w:t>
      </w:r>
      <w:r>
        <w:rPr>
          <w:rFonts w:ascii="宋体" w:hAnsi="宋体"/>
          <w:szCs w:val="24"/>
        </w:rPr>
        <w:t>将被拒绝。</w:t>
      </w:r>
    </w:p>
    <w:p>
      <w:pPr>
        <w:pStyle w:val="15"/>
        <w:widowControl w:val="0"/>
        <w:tabs>
          <w:tab w:val="clear" w:pos="454"/>
        </w:tabs>
        <w:snapToGrid w:val="0"/>
        <w:spacing w:afterLines="0" w:line="360" w:lineRule="auto"/>
        <w:ind w:left="0" w:firstLine="480" w:firstLineChars="200"/>
        <w:rPr>
          <w:rFonts w:ascii="宋体" w:hAnsi="宋体"/>
          <w:szCs w:val="24"/>
        </w:rPr>
      </w:pPr>
      <w:r>
        <w:rPr>
          <w:rFonts w:ascii="宋体" w:hAnsi="宋体"/>
          <w:szCs w:val="24"/>
        </w:rPr>
        <w:t>2</w:t>
      </w:r>
      <w:r>
        <w:rPr>
          <w:rFonts w:hint="eastAsia" w:ascii="宋体" w:hAnsi="宋体"/>
          <w:szCs w:val="24"/>
        </w:rPr>
        <w:t>.</w:t>
      </w:r>
      <w:r>
        <w:rPr>
          <w:rFonts w:ascii="宋体" w:hAnsi="宋体"/>
          <w:szCs w:val="24"/>
        </w:rPr>
        <w:t>在特殊情况下，招标人可与投标人协商延长投标书的有效期，这种要求和答复均以书面形式进行。</w:t>
      </w:r>
    </w:p>
    <w:p>
      <w:pPr>
        <w:snapToGrid w:val="0"/>
        <w:spacing w:line="360" w:lineRule="auto"/>
        <w:ind w:firstLine="480" w:firstLineChars="200"/>
        <w:jc w:val="left"/>
        <w:outlineLvl w:val="0"/>
        <w:rPr>
          <w:rFonts w:ascii="宋体" w:hAnsi="宋体"/>
          <w:b/>
          <w:sz w:val="24"/>
          <w:szCs w:val="20"/>
        </w:rPr>
      </w:pPr>
      <w:r>
        <w:rPr>
          <w:rFonts w:ascii="宋体" w:hAnsi="宋体"/>
          <w:sz w:val="24"/>
        </w:rPr>
        <w:t>3</w:t>
      </w:r>
      <w:r>
        <w:rPr>
          <w:rFonts w:hint="eastAsia" w:ascii="宋体" w:hAnsi="宋体"/>
          <w:sz w:val="24"/>
        </w:rPr>
        <w:t>.</w:t>
      </w:r>
      <w:r>
        <w:rPr>
          <w:rFonts w:ascii="宋体" w:hAnsi="宋体"/>
          <w:sz w:val="24"/>
        </w:rPr>
        <w:t>投标人可拒绝接受延期要求。同意延长有效期的投标人不能修改投标文件。</w:t>
      </w:r>
    </w:p>
    <w:p>
      <w:pPr>
        <w:snapToGrid w:val="0"/>
        <w:spacing w:line="360" w:lineRule="auto"/>
        <w:ind w:firstLine="480" w:firstLineChars="200"/>
        <w:jc w:val="left"/>
        <w:outlineLvl w:val="0"/>
        <w:rPr>
          <w:rFonts w:ascii="宋体" w:hAnsi="宋体"/>
          <w:b/>
          <w:sz w:val="24"/>
        </w:rPr>
      </w:pPr>
      <w:r>
        <w:rPr>
          <w:rFonts w:ascii="宋体" w:hAnsi="宋体"/>
          <w:sz w:val="24"/>
        </w:rPr>
        <w:t>4</w:t>
      </w:r>
      <w:r>
        <w:rPr>
          <w:rFonts w:hint="eastAsia" w:ascii="宋体" w:hAnsi="宋体"/>
          <w:sz w:val="24"/>
        </w:rPr>
        <w:t>.</w:t>
      </w:r>
      <w:r>
        <w:rPr>
          <w:rFonts w:ascii="宋体" w:hAnsi="宋体"/>
          <w:sz w:val="24"/>
        </w:rPr>
        <w:t>中标人的投标文件自开标之日起至合同履行完毕止均应保持有效。</w:t>
      </w:r>
    </w:p>
    <w:p>
      <w:pPr>
        <w:snapToGrid w:val="0"/>
        <w:spacing w:line="360" w:lineRule="auto"/>
        <w:ind w:firstLine="482" w:firstLineChars="200"/>
        <w:jc w:val="left"/>
        <w:outlineLvl w:val="0"/>
        <w:rPr>
          <w:rFonts w:ascii="宋体" w:hAnsi="宋体"/>
          <w:b/>
          <w:sz w:val="24"/>
        </w:rPr>
      </w:pPr>
      <w:r>
        <w:rPr>
          <w:rFonts w:hint="eastAsia" w:ascii="宋体" w:hAnsi="宋体"/>
          <w:b/>
          <w:sz w:val="24"/>
        </w:rPr>
        <w:t>（五）投标文件的签署和份数</w:t>
      </w:r>
    </w:p>
    <w:p>
      <w:pPr>
        <w:snapToGrid w:val="0"/>
        <w:spacing w:line="360" w:lineRule="auto"/>
        <w:ind w:firstLine="480" w:firstLineChars="200"/>
        <w:jc w:val="left"/>
        <w:outlineLvl w:val="0"/>
        <w:rPr>
          <w:rFonts w:ascii="宋体" w:hAnsi="宋体"/>
          <w:sz w:val="24"/>
        </w:rPr>
      </w:pPr>
      <w:r>
        <w:rPr>
          <w:rFonts w:hint="eastAsia" w:ascii="宋体" w:hAnsi="宋体"/>
          <w:sz w:val="24"/>
        </w:rPr>
        <w:t>本项目通过“政府采购云平台（www.zcygov.cn）”实行在线投标响应（电子投标）。供应商应通过“政采云电子交易客户端”，并按照本招标文件和“政府采购云平台”的要求编制并加密投标文件。</w:t>
      </w:r>
    </w:p>
    <w:p>
      <w:pPr>
        <w:snapToGrid w:val="0"/>
        <w:spacing w:line="360" w:lineRule="auto"/>
        <w:ind w:firstLine="480" w:firstLineChars="200"/>
        <w:jc w:val="left"/>
        <w:outlineLvl w:val="0"/>
        <w:rPr>
          <w:rFonts w:ascii="宋体" w:hAnsi="宋体"/>
          <w:sz w:val="24"/>
        </w:rPr>
      </w:pPr>
      <w:r>
        <w:rPr>
          <w:rFonts w:hint="eastAsia" w:ascii="宋体" w:hAnsi="宋体"/>
          <w:sz w:val="24"/>
        </w:rPr>
        <w:t>1.投标供应商应当按照本章节 “投标文件组成”规定的内容及顺序在“政采云电子交易客户端”编制投标文件。其中《资格文件》和《技术/资信/商务文件》中不得出现本项目投标报价，如因投标人原因提前泄露投标报价，是投标人的责任。</w:t>
      </w:r>
    </w:p>
    <w:p>
      <w:pPr>
        <w:snapToGrid w:val="0"/>
        <w:spacing w:line="360" w:lineRule="auto"/>
        <w:ind w:firstLine="480" w:firstLineChars="200"/>
        <w:jc w:val="left"/>
        <w:outlineLvl w:val="0"/>
        <w:rPr>
          <w:rFonts w:ascii="宋体" w:hAnsi="宋体"/>
          <w:sz w:val="24"/>
        </w:rPr>
      </w:pPr>
      <w:r>
        <w:rPr>
          <w:rFonts w:hint="eastAsia" w:ascii="宋体" w:hAnsi="宋体"/>
          <w:sz w:val="24"/>
        </w:rPr>
        <w:t>2.本文件《第六章  投标文件格式》中有提供格式的，投标供应商须参照格式进行编制（格式中要求提供相关证明材料的还需后附相关证明材料），并按格式要求在指定位置根据要求进行签章，否则视为未提供；本文件《第六章  投标文件格式》未提供格式的，请各投标单位自行拟定格式，并加盖单位公章并由法定代表人或其授权代表签署（签字或盖章），否则视为未提供。</w:t>
      </w:r>
    </w:p>
    <w:p>
      <w:pPr>
        <w:snapToGrid w:val="0"/>
        <w:spacing w:line="360" w:lineRule="auto"/>
        <w:ind w:firstLine="480" w:firstLineChars="200"/>
        <w:jc w:val="left"/>
        <w:outlineLvl w:val="0"/>
        <w:rPr>
          <w:rFonts w:ascii="宋体" w:hAnsi="宋体"/>
          <w:sz w:val="24"/>
        </w:rPr>
      </w:pPr>
      <w:r>
        <w:rPr>
          <w:rFonts w:hint="eastAsia" w:ascii="宋体" w:hAnsi="宋体"/>
          <w:sz w:val="24"/>
        </w:rPr>
        <w:t>3.投标文件内容不完整、编排混乱导致投标文件被误读、漏读或者查找不到相关内容的，是投标供应商的责任。</w:t>
      </w:r>
    </w:p>
    <w:p>
      <w:pPr>
        <w:tabs>
          <w:tab w:val="left" w:pos="8460"/>
        </w:tabs>
        <w:snapToGrid w:val="0"/>
        <w:spacing w:line="360" w:lineRule="auto"/>
        <w:ind w:firstLine="480" w:firstLineChars="200"/>
        <w:jc w:val="left"/>
        <w:outlineLvl w:val="0"/>
        <w:rPr>
          <w:rFonts w:ascii="宋体" w:hAnsi="宋体"/>
          <w:sz w:val="24"/>
        </w:rPr>
      </w:pPr>
      <w:r>
        <w:rPr>
          <w:rFonts w:hint="eastAsia" w:ascii="宋体" w:hAnsi="宋体"/>
          <w:sz w:val="24"/>
        </w:rPr>
        <w:t>4.投标文件因字迹潦草或表达不清所引起的后果由投标供应商负责。</w:t>
      </w:r>
      <w:r>
        <w:rPr>
          <w:rFonts w:ascii="宋体" w:hAnsi="宋体"/>
          <w:sz w:val="24"/>
        </w:rPr>
        <w:tab/>
      </w:r>
    </w:p>
    <w:p>
      <w:pPr>
        <w:tabs>
          <w:tab w:val="left" w:pos="8460"/>
        </w:tabs>
        <w:snapToGrid w:val="0"/>
        <w:spacing w:line="360" w:lineRule="auto"/>
        <w:ind w:firstLine="480" w:firstLineChars="200"/>
        <w:jc w:val="left"/>
        <w:outlineLvl w:val="0"/>
        <w:rPr>
          <w:rFonts w:ascii="宋体" w:hAnsi="宋体"/>
          <w:sz w:val="24"/>
        </w:rPr>
      </w:pPr>
      <w:r>
        <w:rPr>
          <w:rFonts w:hint="eastAsia" w:ascii="宋体" w:hAnsi="宋体"/>
          <w:sz w:val="24"/>
        </w:rPr>
        <w:t>5.投标供应商没有按照本章节 “投标文件组成”要求提供全部资料，或者没有仔细阅读招标文件，或者没有对招标文件在各方面的要求作出实质性响应是投标供应商的风险，由此造成的一切后果由投标供应商自行承担。</w:t>
      </w:r>
    </w:p>
    <w:p>
      <w:pPr>
        <w:tabs>
          <w:tab w:val="left" w:pos="8460"/>
        </w:tabs>
        <w:snapToGrid w:val="0"/>
        <w:spacing w:line="360" w:lineRule="auto"/>
        <w:ind w:firstLine="482" w:firstLineChars="200"/>
        <w:jc w:val="left"/>
        <w:outlineLvl w:val="0"/>
        <w:rPr>
          <w:rFonts w:ascii="宋体" w:hAnsi="宋体"/>
          <w:b/>
          <w:sz w:val="24"/>
        </w:rPr>
      </w:pPr>
      <w:r>
        <w:rPr>
          <w:rFonts w:hint="eastAsia" w:ascii="宋体" w:hAnsi="宋体"/>
          <w:b/>
          <w:sz w:val="24"/>
        </w:rPr>
        <w:t>（六）投标文件的签署</w:t>
      </w:r>
    </w:p>
    <w:p>
      <w:pPr>
        <w:tabs>
          <w:tab w:val="left" w:pos="8460"/>
        </w:tabs>
        <w:snapToGrid w:val="0"/>
        <w:spacing w:line="360" w:lineRule="auto"/>
        <w:ind w:firstLine="480" w:firstLineChars="200"/>
        <w:jc w:val="left"/>
        <w:outlineLvl w:val="0"/>
        <w:rPr>
          <w:rFonts w:ascii="宋体" w:hAnsi="宋体"/>
          <w:sz w:val="24"/>
        </w:rPr>
      </w:pPr>
      <w:r>
        <w:rPr>
          <w:rFonts w:hint="eastAsia" w:ascii="宋体" w:hAnsi="宋体"/>
          <w:sz w:val="24"/>
        </w:rPr>
        <w:t>《投标文件》应由投标供应商法定代表人或其授权代表签字（或盖章），并加盖投标供应商公章。</w:t>
      </w:r>
    </w:p>
    <w:p>
      <w:pPr>
        <w:tabs>
          <w:tab w:val="left" w:pos="8460"/>
        </w:tabs>
        <w:snapToGrid w:val="0"/>
        <w:spacing w:line="360" w:lineRule="auto"/>
        <w:ind w:firstLine="482" w:firstLineChars="200"/>
        <w:jc w:val="left"/>
        <w:outlineLvl w:val="0"/>
        <w:rPr>
          <w:rFonts w:ascii="宋体" w:hAnsi="宋体"/>
          <w:b/>
          <w:sz w:val="24"/>
        </w:rPr>
      </w:pPr>
      <w:r>
        <w:rPr>
          <w:rFonts w:hint="eastAsia" w:ascii="宋体" w:hAnsi="宋体"/>
          <w:b/>
          <w:sz w:val="24"/>
        </w:rPr>
        <w:t>（七）投标文件的形式</w:t>
      </w:r>
    </w:p>
    <w:p>
      <w:pPr>
        <w:tabs>
          <w:tab w:val="left" w:pos="8460"/>
        </w:tabs>
        <w:snapToGrid w:val="0"/>
        <w:spacing w:line="360" w:lineRule="auto"/>
        <w:ind w:firstLine="480" w:firstLineChars="200"/>
        <w:jc w:val="left"/>
        <w:outlineLvl w:val="0"/>
        <w:rPr>
          <w:rFonts w:ascii="宋体" w:hAnsi="宋体"/>
          <w:sz w:val="24"/>
        </w:rPr>
      </w:pPr>
      <w:r>
        <w:rPr>
          <w:rFonts w:hint="eastAsia" w:ascii="宋体" w:hAnsi="宋体"/>
          <w:sz w:val="24"/>
        </w:rPr>
        <w:t>1.投标文件的形式：见《前附表》；</w:t>
      </w:r>
    </w:p>
    <w:p>
      <w:pPr>
        <w:tabs>
          <w:tab w:val="left" w:pos="8460"/>
        </w:tabs>
        <w:snapToGrid w:val="0"/>
        <w:spacing w:line="360" w:lineRule="auto"/>
        <w:ind w:firstLine="480" w:firstLineChars="200"/>
        <w:jc w:val="left"/>
        <w:outlineLvl w:val="0"/>
        <w:rPr>
          <w:rFonts w:ascii="宋体" w:hAnsi="宋体"/>
          <w:sz w:val="24"/>
        </w:rPr>
      </w:pPr>
      <w:r>
        <w:rPr>
          <w:rFonts w:hint="eastAsia" w:ascii="宋体" w:hAnsi="宋体"/>
          <w:sz w:val="24"/>
        </w:rPr>
        <w:t>2.“电子加密投标文件”：“电子加密投标文件”是指通过“政采云电子交易客户端”完成投标文件编制后生成并加密的数据电文形式的投标文件。</w:t>
      </w:r>
    </w:p>
    <w:p>
      <w:pPr>
        <w:tabs>
          <w:tab w:val="left" w:pos="8460"/>
        </w:tabs>
        <w:snapToGrid w:val="0"/>
        <w:spacing w:line="360" w:lineRule="auto"/>
        <w:ind w:firstLine="480" w:firstLineChars="200"/>
        <w:jc w:val="left"/>
        <w:outlineLvl w:val="0"/>
        <w:rPr>
          <w:rFonts w:ascii="宋体" w:hAnsi="宋体"/>
          <w:sz w:val="24"/>
        </w:rPr>
      </w:pPr>
      <w:r>
        <w:rPr>
          <w:rFonts w:hint="eastAsia" w:ascii="宋体" w:hAnsi="宋体"/>
          <w:sz w:val="24"/>
        </w:rPr>
        <w:t>3.“备份投标文件”：“备份投标文件”是指与“电子加密投标文件”同时生成的数据电文形式的电子文件（备份标书），其他方式编制的“备份投标文件”视为无效的“备份投标文件”。</w:t>
      </w:r>
    </w:p>
    <w:p>
      <w:pPr>
        <w:snapToGrid w:val="0"/>
        <w:spacing w:line="360" w:lineRule="auto"/>
        <w:ind w:firstLine="482" w:firstLineChars="200"/>
        <w:jc w:val="left"/>
        <w:outlineLvl w:val="0"/>
        <w:rPr>
          <w:rFonts w:ascii="宋体" w:hAnsi="宋体"/>
          <w:b/>
          <w:sz w:val="24"/>
        </w:rPr>
      </w:pPr>
      <w:r>
        <w:rPr>
          <w:rFonts w:hint="eastAsia" w:ascii="宋体" w:hAnsi="宋体"/>
          <w:b/>
          <w:sz w:val="24"/>
        </w:rPr>
        <w:t>（八）投标文件的份数：见《前附表》。</w:t>
      </w:r>
    </w:p>
    <w:p>
      <w:pPr>
        <w:snapToGrid w:val="0"/>
        <w:spacing w:line="360" w:lineRule="auto"/>
        <w:ind w:firstLine="482" w:firstLineChars="200"/>
        <w:jc w:val="left"/>
        <w:outlineLvl w:val="0"/>
        <w:rPr>
          <w:rFonts w:ascii="宋体" w:hAnsi="宋体"/>
          <w:b/>
          <w:sz w:val="24"/>
        </w:rPr>
      </w:pPr>
      <w:r>
        <w:rPr>
          <w:rFonts w:hint="eastAsia" w:ascii="宋体" w:hAnsi="宋体"/>
          <w:b/>
          <w:sz w:val="24"/>
        </w:rPr>
        <w:t>（九）投标文件的上传和递交：见《前附表》。</w:t>
      </w:r>
    </w:p>
    <w:p>
      <w:pPr>
        <w:snapToGrid w:val="0"/>
        <w:spacing w:line="360" w:lineRule="auto"/>
        <w:ind w:firstLine="482" w:firstLineChars="200"/>
        <w:jc w:val="left"/>
        <w:outlineLvl w:val="0"/>
        <w:rPr>
          <w:rFonts w:ascii="宋体" w:hAnsi="宋体"/>
          <w:b/>
          <w:sz w:val="24"/>
        </w:rPr>
      </w:pPr>
      <w:r>
        <w:rPr>
          <w:rFonts w:hint="eastAsia" w:ascii="宋体" w:hAnsi="宋体"/>
          <w:b/>
          <w:sz w:val="24"/>
        </w:rPr>
        <w:t>（十）“电子加密投标文件”解密和异常情况处理：见《前附表》。</w:t>
      </w:r>
    </w:p>
    <w:p>
      <w:pPr>
        <w:snapToGrid w:val="0"/>
        <w:spacing w:line="360" w:lineRule="auto"/>
        <w:ind w:firstLine="482" w:firstLineChars="200"/>
        <w:jc w:val="left"/>
        <w:outlineLvl w:val="0"/>
        <w:rPr>
          <w:rFonts w:ascii="宋体" w:hAnsi="宋体"/>
          <w:b/>
          <w:sz w:val="24"/>
        </w:rPr>
      </w:pPr>
      <w:r>
        <w:rPr>
          <w:rFonts w:hint="eastAsia" w:ascii="宋体" w:hAnsi="宋体"/>
          <w:b/>
          <w:sz w:val="24"/>
        </w:rPr>
        <w:t>（十一）投标文件的补充、修改或撤回</w:t>
      </w:r>
    </w:p>
    <w:p>
      <w:pPr>
        <w:snapToGrid w:val="0"/>
        <w:spacing w:line="360" w:lineRule="auto"/>
        <w:ind w:firstLine="480" w:firstLineChars="200"/>
        <w:jc w:val="left"/>
        <w:outlineLvl w:val="0"/>
        <w:rPr>
          <w:rFonts w:ascii="宋体" w:hAnsi="宋体"/>
          <w:sz w:val="24"/>
        </w:rPr>
      </w:pPr>
      <w:r>
        <w:rPr>
          <w:rFonts w:hint="eastAsia" w:ascii="宋体" w:hAnsi="宋体"/>
          <w:sz w:val="24"/>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snapToGrid w:val="0"/>
        <w:spacing w:line="360" w:lineRule="auto"/>
        <w:ind w:firstLine="480" w:firstLineChars="200"/>
        <w:jc w:val="left"/>
        <w:outlineLvl w:val="0"/>
        <w:rPr>
          <w:rFonts w:ascii="宋体" w:hAnsi="宋体"/>
          <w:sz w:val="24"/>
        </w:rPr>
      </w:pPr>
      <w:r>
        <w:rPr>
          <w:rFonts w:hint="eastAsia" w:ascii="宋体" w:hAnsi="宋体"/>
          <w:sz w:val="24"/>
        </w:rPr>
        <w:t>2.投标截止时间后，投标供应商不得撤回、修改投标文件。</w:t>
      </w:r>
    </w:p>
    <w:p>
      <w:pPr>
        <w:snapToGrid w:val="0"/>
        <w:spacing w:line="360" w:lineRule="auto"/>
        <w:ind w:firstLine="482" w:firstLineChars="200"/>
        <w:jc w:val="left"/>
        <w:outlineLvl w:val="0"/>
        <w:rPr>
          <w:rFonts w:ascii="宋体" w:hAnsi="宋体"/>
          <w:b/>
          <w:sz w:val="24"/>
        </w:rPr>
      </w:pPr>
      <w:r>
        <w:rPr>
          <w:rFonts w:hint="eastAsia" w:ascii="宋体" w:hAnsi="宋体"/>
          <w:b/>
          <w:sz w:val="24"/>
        </w:rPr>
        <w:t>（十二）投标文件的备选方案</w:t>
      </w:r>
    </w:p>
    <w:p>
      <w:pPr>
        <w:snapToGrid w:val="0"/>
        <w:spacing w:line="360" w:lineRule="auto"/>
        <w:ind w:firstLine="480" w:firstLineChars="200"/>
        <w:jc w:val="left"/>
        <w:outlineLvl w:val="0"/>
        <w:rPr>
          <w:rFonts w:ascii="宋体" w:hAnsi="宋体"/>
          <w:sz w:val="24"/>
        </w:rPr>
      </w:pPr>
      <w:r>
        <w:rPr>
          <w:rFonts w:hint="eastAsia" w:ascii="宋体" w:hAnsi="宋体"/>
          <w:sz w:val="24"/>
        </w:rPr>
        <w:t>投标供应商不得递交任何的投标备选（替代）方案，否则其投标文件将作无效标处理。与“电子加密投标文件”同时生成的“备份投标文件”不是投标备选（替代）方案。</w:t>
      </w:r>
    </w:p>
    <w:p>
      <w:pPr>
        <w:snapToGrid w:val="0"/>
        <w:spacing w:before="120" w:beforeLines="50" w:line="360" w:lineRule="auto"/>
        <w:ind w:firstLine="472" w:firstLineChars="196"/>
        <w:outlineLvl w:val="2"/>
        <w:rPr>
          <w:rFonts w:ascii="宋体" w:hAnsi="宋体"/>
          <w:b/>
          <w:sz w:val="24"/>
        </w:rPr>
      </w:pPr>
      <w:r>
        <w:rPr>
          <w:rFonts w:hint="eastAsia" w:ascii="宋体" w:hAnsi="宋体"/>
          <w:b/>
          <w:sz w:val="24"/>
        </w:rPr>
        <w:t>（十三）投标无效的情形</w:t>
      </w:r>
    </w:p>
    <w:p>
      <w:pPr>
        <w:snapToGrid w:val="0"/>
        <w:spacing w:line="360" w:lineRule="auto"/>
        <w:ind w:firstLine="480" w:firstLineChars="200"/>
        <w:rPr>
          <w:rFonts w:ascii="宋体" w:hAnsi="宋体"/>
          <w:bCs/>
          <w:sz w:val="24"/>
        </w:rPr>
      </w:pPr>
      <w:r>
        <w:rPr>
          <w:rFonts w:hint="eastAsia" w:ascii="宋体" w:hAnsi="宋体"/>
          <w:bCs/>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napToGrid w:val="0"/>
        <w:spacing w:line="360" w:lineRule="auto"/>
        <w:ind w:firstLine="472" w:firstLineChars="196"/>
        <w:rPr>
          <w:rFonts w:ascii="宋体" w:hAnsi="宋体"/>
          <w:b/>
          <w:bCs/>
          <w:sz w:val="24"/>
        </w:rPr>
      </w:pPr>
      <w:r>
        <w:rPr>
          <w:rFonts w:ascii="宋体" w:hAnsi="宋体"/>
          <w:b/>
          <w:bCs/>
          <w:sz w:val="24"/>
        </w:rPr>
        <w:t>1</w:t>
      </w:r>
      <w:r>
        <w:rPr>
          <w:rFonts w:hint="eastAsia" w:ascii="宋体" w:hAnsi="宋体"/>
          <w:b/>
          <w:bCs/>
          <w:sz w:val="24"/>
        </w:rPr>
        <w:t>.</w:t>
      </w:r>
      <w:r>
        <w:rPr>
          <w:rFonts w:ascii="宋体" w:hAnsi="宋体"/>
          <w:b/>
          <w:bCs/>
          <w:sz w:val="24"/>
        </w:rPr>
        <w:t>在符合性审查和商务评审时，如发现下列情形之一的，投标文件将被视为无效：</w:t>
      </w:r>
    </w:p>
    <w:p>
      <w:pPr>
        <w:snapToGrid w:val="0"/>
        <w:spacing w:line="360" w:lineRule="auto"/>
        <w:ind w:firstLine="470" w:firstLineChars="196"/>
        <w:rPr>
          <w:rFonts w:ascii="宋体" w:hAnsi="宋体"/>
          <w:bCs/>
          <w:sz w:val="24"/>
        </w:rPr>
      </w:pPr>
      <w:r>
        <w:rPr>
          <w:rFonts w:hint="eastAsia" w:ascii="宋体" w:hAnsi="宋体"/>
          <w:bCs/>
          <w:sz w:val="24"/>
        </w:rPr>
        <w:t>（1</w:t>
      </w:r>
      <w:r>
        <w:rPr>
          <w:rFonts w:ascii="宋体" w:hAnsi="宋体"/>
          <w:bCs/>
          <w:sz w:val="24"/>
        </w:rPr>
        <w:t>）</w:t>
      </w:r>
      <w:r>
        <w:rPr>
          <w:rFonts w:hint="eastAsia" w:ascii="宋体" w:hAnsi="宋体"/>
          <w:bCs/>
          <w:sz w:val="24"/>
        </w:rPr>
        <w:t>资质条件不符合招标文件要求的；</w:t>
      </w:r>
    </w:p>
    <w:p>
      <w:pPr>
        <w:snapToGrid w:val="0"/>
        <w:spacing w:line="360" w:lineRule="auto"/>
        <w:ind w:firstLine="470" w:firstLineChars="196"/>
        <w:rPr>
          <w:rFonts w:ascii="宋体" w:hAnsi="宋体"/>
          <w:bCs/>
          <w:sz w:val="24"/>
        </w:rPr>
      </w:pPr>
      <w:r>
        <w:rPr>
          <w:rFonts w:hint="eastAsia" w:ascii="宋体" w:hAnsi="宋体"/>
          <w:bCs/>
          <w:sz w:val="24"/>
        </w:rPr>
        <w:t>（2</w:t>
      </w:r>
      <w:r>
        <w:rPr>
          <w:rFonts w:ascii="宋体" w:hAnsi="宋体"/>
          <w:bCs/>
          <w:sz w:val="24"/>
        </w:rPr>
        <w:t>）投标文件无法定代表人签字,或未</w:t>
      </w:r>
      <w:r>
        <w:rPr>
          <w:rFonts w:hint="eastAsia" w:ascii="宋体" w:hAnsi="宋体"/>
          <w:bCs/>
          <w:sz w:val="24"/>
        </w:rPr>
        <w:t>提供法定代表人授权委托书、投标声明书或者填写项目不齐全的；</w:t>
      </w:r>
    </w:p>
    <w:p>
      <w:pPr>
        <w:snapToGrid w:val="0"/>
        <w:spacing w:line="360" w:lineRule="auto"/>
        <w:ind w:firstLine="470" w:firstLineChars="196"/>
        <w:rPr>
          <w:rFonts w:ascii="宋体" w:hAnsi="宋体"/>
          <w:bCs/>
          <w:sz w:val="24"/>
        </w:rPr>
      </w:pPr>
      <w:r>
        <w:rPr>
          <w:rFonts w:hint="eastAsia" w:ascii="宋体" w:hAnsi="宋体"/>
          <w:bCs/>
          <w:sz w:val="24"/>
        </w:rPr>
        <w:t>（3</w:t>
      </w:r>
      <w:r>
        <w:rPr>
          <w:rFonts w:ascii="宋体" w:hAnsi="宋体"/>
          <w:bCs/>
          <w:sz w:val="24"/>
        </w:rPr>
        <w:t>）</w:t>
      </w:r>
      <w:r>
        <w:rPr>
          <w:rFonts w:hint="eastAsia" w:ascii="宋体" w:hAnsi="宋体"/>
          <w:bCs/>
          <w:sz w:val="24"/>
        </w:rPr>
        <w:t>投标代表人未能出具身份证明或与法定代表人授权委托人身份不符的；</w:t>
      </w:r>
    </w:p>
    <w:p>
      <w:pPr>
        <w:pStyle w:val="20"/>
        <w:snapToGrid w:val="0"/>
        <w:spacing w:line="360" w:lineRule="auto"/>
        <w:ind w:firstLine="470" w:firstLineChars="196"/>
        <w:rPr>
          <w:rFonts w:hAnsi="宋体"/>
          <w:bCs/>
          <w:spacing w:val="0"/>
          <w:sz w:val="24"/>
          <w:szCs w:val="24"/>
        </w:rPr>
      </w:pPr>
      <w:r>
        <w:rPr>
          <w:rFonts w:hAnsi="宋体"/>
          <w:bCs/>
          <w:spacing w:val="0"/>
          <w:sz w:val="24"/>
          <w:szCs w:val="24"/>
        </w:rPr>
        <w:t>（</w:t>
      </w:r>
      <w:r>
        <w:rPr>
          <w:rFonts w:hint="eastAsia" w:hAnsi="宋体"/>
          <w:bCs/>
          <w:spacing w:val="0"/>
          <w:sz w:val="24"/>
          <w:szCs w:val="24"/>
        </w:rPr>
        <w:t>4</w:t>
      </w:r>
      <w:r>
        <w:rPr>
          <w:rFonts w:hAnsi="宋体"/>
          <w:bCs/>
          <w:spacing w:val="0"/>
          <w:sz w:val="24"/>
          <w:szCs w:val="24"/>
        </w:rPr>
        <w:t>）投标文件格式不规范、项目不齐全或者内容虚假的；</w:t>
      </w:r>
    </w:p>
    <w:p>
      <w:pPr>
        <w:pStyle w:val="20"/>
        <w:snapToGrid w:val="0"/>
        <w:spacing w:line="360" w:lineRule="auto"/>
        <w:ind w:firstLine="470" w:firstLineChars="196"/>
        <w:rPr>
          <w:rFonts w:hAnsi="宋体"/>
          <w:bCs/>
          <w:spacing w:val="0"/>
          <w:sz w:val="24"/>
          <w:szCs w:val="24"/>
        </w:rPr>
      </w:pPr>
      <w:r>
        <w:rPr>
          <w:rFonts w:hAnsi="宋体"/>
          <w:bCs/>
          <w:spacing w:val="0"/>
          <w:sz w:val="24"/>
          <w:szCs w:val="24"/>
        </w:rPr>
        <w:t>（</w:t>
      </w:r>
      <w:r>
        <w:rPr>
          <w:rFonts w:hint="eastAsia" w:hAnsi="宋体"/>
          <w:bCs/>
          <w:spacing w:val="0"/>
          <w:sz w:val="24"/>
          <w:szCs w:val="24"/>
        </w:rPr>
        <w:t>5</w:t>
      </w:r>
      <w:r>
        <w:rPr>
          <w:rFonts w:hAnsi="宋体"/>
          <w:bCs/>
          <w:spacing w:val="0"/>
          <w:sz w:val="24"/>
          <w:szCs w:val="24"/>
        </w:rPr>
        <w:t>）投标文件的实质性内容未使用中文表述、意思表述不明确、前后矛盾或者使用计量单位不符合招标文件要求的（经评标委员会认定</w:t>
      </w:r>
      <w:r>
        <w:rPr>
          <w:rFonts w:hint="eastAsia" w:hAnsi="宋体"/>
          <w:bCs/>
          <w:spacing w:val="0"/>
          <w:sz w:val="24"/>
          <w:szCs w:val="24"/>
        </w:rPr>
        <w:t>并</w:t>
      </w:r>
      <w:r>
        <w:rPr>
          <w:rFonts w:hAnsi="宋体"/>
          <w:bCs/>
          <w:spacing w:val="0"/>
          <w:sz w:val="24"/>
          <w:szCs w:val="24"/>
        </w:rPr>
        <w:t>允许其当场更正的笔误除外）</w:t>
      </w:r>
      <w:r>
        <w:rPr>
          <w:rFonts w:hint="eastAsia" w:hAnsi="宋体"/>
          <w:bCs/>
          <w:spacing w:val="0"/>
          <w:sz w:val="24"/>
          <w:szCs w:val="24"/>
        </w:rPr>
        <w:t>；</w:t>
      </w:r>
    </w:p>
    <w:p>
      <w:pPr>
        <w:pStyle w:val="20"/>
        <w:snapToGrid w:val="0"/>
        <w:spacing w:line="360" w:lineRule="auto"/>
        <w:ind w:firstLine="470" w:firstLineChars="196"/>
        <w:rPr>
          <w:rFonts w:hAnsi="宋体"/>
          <w:bCs/>
          <w:spacing w:val="0"/>
          <w:sz w:val="24"/>
          <w:szCs w:val="24"/>
        </w:rPr>
      </w:pPr>
      <w:r>
        <w:rPr>
          <w:rFonts w:hAnsi="宋体"/>
          <w:bCs/>
          <w:spacing w:val="0"/>
          <w:sz w:val="24"/>
          <w:szCs w:val="24"/>
        </w:rPr>
        <w:t>（</w:t>
      </w:r>
      <w:r>
        <w:rPr>
          <w:rFonts w:hint="eastAsia" w:hAnsi="宋体"/>
          <w:bCs/>
          <w:spacing w:val="0"/>
          <w:sz w:val="24"/>
          <w:szCs w:val="24"/>
        </w:rPr>
        <w:t>6</w:t>
      </w:r>
      <w:r>
        <w:rPr>
          <w:rFonts w:hAnsi="宋体"/>
          <w:bCs/>
          <w:spacing w:val="0"/>
          <w:sz w:val="24"/>
          <w:szCs w:val="24"/>
        </w:rPr>
        <w:t>）投标有效期、</w:t>
      </w:r>
      <w:r>
        <w:rPr>
          <w:rFonts w:hint="eastAsia" w:hAnsi="宋体"/>
          <w:bCs/>
          <w:spacing w:val="0"/>
          <w:sz w:val="24"/>
          <w:szCs w:val="24"/>
        </w:rPr>
        <w:t>交货期</w:t>
      </w:r>
      <w:r>
        <w:rPr>
          <w:rFonts w:hAnsi="宋体"/>
          <w:bCs/>
          <w:spacing w:val="0"/>
          <w:sz w:val="24"/>
          <w:szCs w:val="24"/>
        </w:rPr>
        <w:t>、质保期等商务条款不能满足招标文件要求的；</w:t>
      </w:r>
    </w:p>
    <w:p>
      <w:pPr>
        <w:pStyle w:val="20"/>
        <w:snapToGrid w:val="0"/>
        <w:spacing w:line="360" w:lineRule="auto"/>
        <w:ind w:firstLine="470" w:firstLineChars="196"/>
        <w:rPr>
          <w:sz w:val="24"/>
          <w:szCs w:val="24"/>
        </w:rPr>
      </w:pPr>
      <w:r>
        <w:rPr>
          <w:rFonts w:hAnsi="宋体"/>
          <w:bCs/>
          <w:spacing w:val="0"/>
          <w:sz w:val="24"/>
          <w:szCs w:val="24"/>
        </w:rPr>
        <w:t>（</w:t>
      </w:r>
      <w:r>
        <w:rPr>
          <w:rFonts w:hint="eastAsia" w:hAnsi="宋体"/>
          <w:bCs/>
          <w:spacing w:val="0"/>
          <w:sz w:val="24"/>
          <w:szCs w:val="24"/>
        </w:rPr>
        <w:t>7</w:t>
      </w:r>
      <w:r>
        <w:rPr>
          <w:rFonts w:hAnsi="宋体"/>
          <w:bCs/>
          <w:spacing w:val="0"/>
          <w:sz w:val="24"/>
          <w:szCs w:val="24"/>
        </w:rPr>
        <w:t>）</w:t>
      </w:r>
      <w:r>
        <w:rPr>
          <w:rFonts w:hint="eastAsia" w:hAnsi="宋体"/>
          <w:bCs/>
          <w:spacing w:val="0"/>
          <w:sz w:val="24"/>
          <w:szCs w:val="24"/>
        </w:rPr>
        <w:t>未实质性</w:t>
      </w:r>
      <w:r>
        <w:rPr>
          <w:rFonts w:hAnsi="宋体"/>
          <w:bCs/>
          <w:spacing w:val="0"/>
          <w:sz w:val="24"/>
          <w:szCs w:val="24"/>
        </w:rPr>
        <w:t>响应招标文件要求或者投标文件有招标方不能接受</w:t>
      </w:r>
      <w:r>
        <w:rPr>
          <w:sz w:val="24"/>
          <w:szCs w:val="24"/>
        </w:rPr>
        <w:t>的附加条件的；</w:t>
      </w:r>
    </w:p>
    <w:p>
      <w:pPr>
        <w:pStyle w:val="20"/>
        <w:snapToGrid w:val="0"/>
        <w:spacing w:line="360" w:lineRule="auto"/>
        <w:ind w:firstLine="454" w:firstLineChars="196"/>
        <w:rPr>
          <w:rFonts w:hAnsi="宋体"/>
          <w:bCs/>
          <w:spacing w:val="0"/>
          <w:sz w:val="24"/>
          <w:szCs w:val="24"/>
        </w:rPr>
      </w:pPr>
      <w:r>
        <w:rPr>
          <w:rFonts w:hint="eastAsia"/>
          <w:sz w:val="24"/>
          <w:szCs w:val="24"/>
        </w:rPr>
        <w:t>（8）</w:t>
      </w:r>
      <w:r>
        <w:rPr>
          <w:rFonts w:hint="eastAsia" w:hAnsi="宋体"/>
          <w:bCs/>
          <w:spacing w:val="0"/>
          <w:sz w:val="24"/>
          <w:szCs w:val="24"/>
        </w:rPr>
        <w:t>供应商提供的《中小企业声明函》未采用本采购文件的模板或提供的《中小企业声明函》未填写完整的或未如实填写《中小企业声明函》的。</w:t>
      </w:r>
    </w:p>
    <w:p>
      <w:pPr>
        <w:pStyle w:val="20"/>
        <w:snapToGrid w:val="0"/>
        <w:spacing w:line="360" w:lineRule="auto"/>
        <w:ind w:firstLine="470" w:firstLineChars="196"/>
        <w:rPr>
          <w:sz w:val="24"/>
          <w:szCs w:val="24"/>
        </w:rPr>
      </w:pPr>
      <w:r>
        <w:rPr>
          <w:rFonts w:hint="eastAsia" w:hAnsi="宋体"/>
          <w:bCs/>
          <w:spacing w:val="0"/>
          <w:sz w:val="24"/>
          <w:szCs w:val="24"/>
        </w:rPr>
        <w:t>（9）</w:t>
      </w:r>
      <w:r>
        <w:rPr>
          <w:rFonts w:hAnsi="宋体" w:cs="宋体"/>
          <w:sz w:val="24"/>
          <w:szCs w:val="24"/>
        </w:rPr>
        <w:t>供应商在《中小企业声明函》中所填企业规模不是中型、小型或微型企业的。</w:t>
      </w:r>
    </w:p>
    <w:p>
      <w:pPr>
        <w:pStyle w:val="20"/>
        <w:snapToGrid w:val="0"/>
        <w:spacing w:line="360" w:lineRule="auto"/>
        <w:ind w:firstLine="457" w:firstLineChars="196"/>
        <w:rPr>
          <w:rFonts w:hAnsi="宋体"/>
          <w:b/>
          <w:bCs/>
          <w:sz w:val="24"/>
          <w:szCs w:val="24"/>
        </w:rPr>
      </w:pPr>
      <w:r>
        <w:rPr>
          <w:rFonts w:hAnsi="宋体"/>
          <w:b/>
          <w:bCs/>
          <w:sz w:val="24"/>
          <w:szCs w:val="24"/>
        </w:rPr>
        <w:t>2</w:t>
      </w:r>
      <w:r>
        <w:rPr>
          <w:rFonts w:hint="eastAsia" w:hAnsi="宋体"/>
          <w:b/>
          <w:bCs/>
          <w:sz w:val="24"/>
          <w:szCs w:val="24"/>
        </w:rPr>
        <w:t>.</w:t>
      </w:r>
      <w:r>
        <w:rPr>
          <w:rFonts w:hAnsi="宋体"/>
          <w:b/>
          <w:bCs/>
          <w:sz w:val="24"/>
          <w:szCs w:val="24"/>
        </w:rPr>
        <w:t>在技术评审时，如发现下列情形之一的，投标文件将被视为无效：</w:t>
      </w:r>
    </w:p>
    <w:p>
      <w:pPr>
        <w:pStyle w:val="20"/>
        <w:snapToGrid w:val="0"/>
        <w:spacing w:line="360" w:lineRule="auto"/>
        <w:ind w:firstLine="457" w:firstLineChars="196"/>
        <w:rPr>
          <w:rFonts w:hAnsi="宋体"/>
          <w:sz w:val="24"/>
          <w:szCs w:val="24"/>
        </w:rPr>
      </w:pPr>
      <w:r>
        <w:rPr>
          <w:rFonts w:hAnsi="宋体"/>
          <w:b/>
          <w:sz w:val="24"/>
          <w:szCs w:val="24"/>
        </w:rPr>
        <w:t>（</w:t>
      </w:r>
      <w:r>
        <w:rPr>
          <w:rFonts w:hAnsi="宋体"/>
          <w:sz w:val="24"/>
          <w:szCs w:val="24"/>
        </w:rPr>
        <w:t>1）未提供或未如实提供投标货物的技术参数，或者投标文件标明的响应或偏离与事实不符或虚假投标的；</w:t>
      </w:r>
    </w:p>
    <w:p>
      <w:pPr>
        <w:pStyle w:val="20"/>
        <w:snapToGrid w:val="0"/>
        <w:spacing w:line="360" w:lineRule="auto"/>
        <w:ind w:firstLine="470" w:firstLineChars="196"/>
        <w:rPr>
          <w:rFonts w:hAnsi="Times New Roman"/>
          <w:spacing w:val="0"/>
          <w:sz w:val="24"/>
          <w:szCs w:val="24"/>
        </w:rPr>
      </w:pPr>
      <w:r>
        <w:rPr>
          <w:rFonts w:hAnsi="Times New Roman"/>
          <w:spacing w:val="0"/>
          <w:sz w:val="24"/>
          <w:szCs w:val="24"/>
        </w:rPr>
        <w:t>（2）明显不符合招标文件</w:t>
      </w:r>
      <w:r>
        <w:rPr>
          <w:rFonts w:hint="eastAsia" w:hAnsi="Times New Roman"/>
          <w:spacing w:val="0"/>
          <w:sz w:val="24"/>
          <w:szCs w:val="24"/>
        </w:rPr>
        <w:t>要求</w:t>
      </w:r>
      <w:r>
        <w:rPr>
          <w:rFonts w:hAnsi="Times New Roman"/>
          <w:spacing w:val="0"/>
          <w:sz w:val="24"/>
          <w:szCs w:val="24"/>
        </w:rPr>
        <w:t>的规格型号、质量标准，或者</w:t>
      </w:r>
      <w:r>
        <w:rPr>
          <w:rFonts w:hint="eastAsia" w:hAnsi="Times New Roman"/>
          <w:spacing w:val="0"/>
          <w:sz w:val="24"/>
          <w:szCs w:val="24"/>
        </w:rPr>
        <w:t>与</w:t>
      </w:r>
      <w:r>
        <w:rPr>
          <w:rFonts w:hAnsi="Times New Roman"/>
          <w:spacing w:val="0"/>
          <w:sz w:val="24"/>
          <w:szCs w:val="24"/>
        </w:rPr>
        <w:t>招标文件中标“▲”的技术指标、主要功能项目发生实质性偏离的；</w:t>
      </w:r>
    </w:p>
    <w:p>
      <w:pPr>
        <w:pStyle w:val="20"/>
        <w:snapToGrid w:val="0"/>
        <w:spacing w:line="360" w:lineRule="auto"/>
        <w:ind w:firstLine="470" w:firstLineChars="196"/>
        <w:rPr>
          <w:rFonts w:hAnsi="Times New Roman"/>
          <w:spacing w:val="0"/>
          <w:sz w:val="24"/>
          <w:szCs w:val="24"/>
        </w:rPr>
      </w:pPr>
      <w:r>
        <w:rPr>
          <w:rFonts w:hAnsi="Times New Roman"/>
          <w:spacing w:val="0"/>
          <w:sz w:val="24"/>
          <w:szCs w:val="24"/>
        </w:rPr>
        <w:t>（3）投标技术方案不明确，存在一个或一个以上备选（替代）投标方案的；</w:t>
      </w:r>
    </w:p>
    <w:p>
      <w:pPr>
        <w:pStyle w:val="20"/>
        <w:snapToGrid w:val="0"/>
        <w:spacing w:line="360" w:lineRule="auto"/>
        <w:ind w:firstLine="470" w:firstLineChars="196"/>
        <w:rPr>
          <w:rFonts w:hAnsi="Times New Roman"/>
          <w:spacing w:val="0"/>
          <w:sz w:val="24"/>
          <w:szCs w:val="24"/>
        </w:rPr>
      </w:pPr>
      <w:r>
        <w:rPr>
          <w:rFonts w:hAnsi="Times New Roman"/>
          <w:spacing w:val="0"/>
          <w:sz w:val="24"/>
          <w:szCs w:val="24"/>
        </w:rPr>
        <w:t>（4）</w:t>
      </w:r>
      <w:r>
        <w:rPr>
          <w:rFonts w:hint="eastAsia" w:hAnsi="Times New Roman"/>
          <w:spacing w:val="0"/>
          <w:sz w:val="24"/>
          <w:szCs w:val="24"/>
        </w:rPr>
        <w:t>与其他参加本次投标供应商的投标文件（技术文件）的文字表述内容相同连续20行以上或者差错相同2处以上的；</w:t>
      </w:r>
    </w:p>
    <w:p>
      <w:pPr>
        <w:pStyle w:val="20"/>
        <w:snapToGrid w:val="0"/>
        <w:spacing w:line="360" w:lineRule="auto"/>
        <w:ind w:firstLine="457" w:firstLineChars="196"/>
        <w:rPr>
          <w:rFonts w:hAnsi="宋体"/>
          <w:b/>
          <w:bCs/>
          <w:sz w:val="24"/>
          <w:szCs w:val="24"/>
        </w:rPr>
      </w:pPr>
      <w:r>
        <w:rPr>
          <w:rFonts w:hAnsi="宋体"/>
          <w:b/>
          <w:bCs/>
          <w:sz w:val="24"/>
          <w:szCs w:val="24"/>
        </w:rPr>
        <w:t>3</w:t>
      </w:r>
      <w:r>
        <w:rPr>
          <w:rFonts w:hint="eastAsia" w:hAnsi="宋体"/>
          <w:b/>
          <w:bCs/>
          <w:sz w:val="24"/>
          <w:szCs w:val="24"/>
        </w:rPr>
        <w:t>.</w:t>
      </w:r>
      <w:r>
        <w:rPr>
          <w:rFonts w:hAnsi="宋体"/>
          <w:b/>
          <w:bCs/>
          <w:sz w:val="24"/>
          <w:szCs w:val="24"/>
        </w:rPr>
        <w:t>在报价评审时，如发现下列情形之一的，投标文件将被视为无效：</w:t>
      </w:r>
    </w:p>
    <w:p>
      <w:pPr>
        <w:pStyle w:val="20"/>
        <w:snapToGrid w:val="0"/>
        <w:spacing w:line="360" w:lineRule="auto"/>
        <w:ind w:firstLine="457" w:firstLineChars="196"/>
        <w:rPr>
          <w:rFonts w:hAnsi="宋体"/>
          <w:sz w:val="24"/>
          <w:szCs w:val="24"/>
        </w:rPr>
      </w:pPr>
      <w:r>
        <w:rPr>
          <w:rFonts w:hAnsi="宋体"/>
          <w:b/>
          <w:sz w:val="24"/>
          <w:szCs w:val="24"/>
        </w:rPr>
        <w:t>（</w:t>
      </w:r>
      <w:r>
        <w:rPr>
          <w:rFonts w:hAnsi="宋体"/>
          <w:sz w:val="24"/>
          <w:szCs w:val="24"/>
        </w:rPr>
        <w:t>1）未采用人民币报价或者未按照招标文件标明的币种报价的；</w:t>
      </w:r>
    </w:p>
    <w:p>
      <w:pPr>
        <w:pStyle w:val="20"/>
        <w:snapToGrid w:val="0"/>
        <w:spacing w:line="360" w:lineRule="auto"/>
        <w:ind w:firstLine="457" w:firstLineChars="196"/>
        <w:rPr>
          <w:rFonts w:hAnsi="宋体"/>
          <w:sz w:val="24"/>
          <w:szCs w:val="24"/>
        </w:rPr>
      </w:pPr>
      <w:r>
        <w:rPr>
          <w:rFonts w:hAnsi="宋体"/>
          <w:b/>
          <w:sz w:val="24"/>
          <w:szCs w:val="24"/>
        </w:rPr>
        <w:t>（</w:t>
      </w:r>
      <w:r>
        <w:rPr>
          <w:rFonts w:hAnsi="宋体"/>
          <w:sz w:val="24"/>
          <w:szCs w:val="24"/>
        </w:rPr>
        <w:t>2）报价超出最高限价，采购人不能支付的</w:t>
      </w:r>
      <w:r>
        <w:rPr>
          <w:rFonts w:hint="eastAsia" w:hAnsi="宋体"/>
          <w:sz w:val="24"/>
          <w:szCs w:val="24"/>
        </w:rPr>
        <w:t>；</w:t>
      </w:r>
    </w:p>
    <w:p>
      <w:pPr>
        <w:pStyle w:val="20"/>
        <w:snapToGrid w:val="0"/>
        <w:spacing w:line="360" w:lineRule="auto"/>
        <w:ind w:firstLine="464" w:firstLineChars="200"/>
        <w:rPr>
          <w:rFonts w:hAnsi="宋体"/>
          <w:sz w:val="24"/>
          <w:szCs w:val="24"/>
        </w:rPr>
      </w:pPr>
      <w:r>
        <w:rPr>
          <w:rFonts w:hint="eastAsia" w:hAnsi="宋体"/>
          <w:sz w:val="24"/>
          <w:szCs w:val="24"/>
        </w:rPr>
        <w:t>（3） 投标报价具有选择性，或者开标价格与投标文件承诺的优惠（折扣）价格不一致的；</w:t>
      </w:r>
    </w:p>
    <w:p>
      <w:pPr>
        <w:pStyle w:val="20"/>
        <w:snapToGrid w:val="0"/>
        <w:spacing w:line="360" w:lineRule="auto"/>
        <w:ind w:firstLine="457" w:firstLineChars="196"/>
        <w:rPr>
          <w:rFonts w:hAnsi="宋体"/>
          <w:b/>
          <w:sz w:val="24"/>
          <w:szCs w:val="24"/>
        </w:rPr>
      </w:pPr>
      <w:r>
        <w:rPr>
          <w:rFonts w:hAnsi="宋体"/>
          <w:b/>
          <w:sz w:val="24"/>
          <w:szCs w:val="24"/>
        </w:rPr>
        <w:t>4</w:t>
      </w:r>
      <w:r>
        <w:rPr>
          <w:rFonts w:hint="eastAsia" w:hAnsi="宋体"/>
          <w:b/>
          <w:sz w:val="24"/>
          <w:szCs w:val="24"/>
        </w:rPr>
        <w:t>.</w:t>
      </w:r>
      <w:r>
        <w:rPr>
          <w:rFonts w:hAnsi="宋体"/>
          <w:b/>
          <w:sz w:val="24"/>
          <w:szCs w:val="24"/>
        </w:rPr>
        <w:t>被拒绝的投标文件为无效。</w:t>
      </w:r>
    </w:p>
    <w:p>
      <w:pPr>
        <w:pStyle w:val="20"/>
        <w:snapToGrid w:val="0"/>
        <w:spacing w:line="360" w:lineRule="auto"/>
        <w:ind w:firstLine="457" w:firstLineChars="196"/>
        <w:rPr>
          <w:rFonts w:hAnsi="宋体"/>
          <w:b/>
          <w:sz w:val="24"/>
          <w:szCs w:val="24"/>
        </w:rPr>
      </w:pPr>
      <w:r>
        <w:rPr>
          <w:rFonts w:hint="eastAsia" w:hAnsi="宋体"/>
          <w:b/>
          <w:sz w:val="24"/>
          <w:szCs w:val="24"/>
        </w:rPr>
        <w:t>5.仅提供备份投标文件的无效。</w:t>
      </w:r>
    </w:p>
    <w:p>
      <w:pPr>
        <w:pStyle w:val="20"/>
        <w:snapToGrid w:val="0"/>
        <w:spacing w:line="360" w:lineRule="auto"/>
        <w:ind w:firstLine="457" w:firstLineChars="196"/>
        <w:outlineLvl w:val="1"/>
        <w:rPr>
          <w:rFonts w:hAnsi="宋体"/>
          <w:b/>
          <w:snapToGrid w:val="0"/>
          <w:sz w:val="24"/>
          <w:szCs w:val="24"/>
        </w:rPr>
      </w:pPr>
      <w:r>
        <w:rPr>
          <w:rFonts w:hint="eastAsia" w:hAnsi="宋体"/>
          <w:b/>
          <w:sz w:val="24"/>
          <w:szCs w:val="24"/>
        </w:rPr>
        <w:t>四、开标</w:t>
      </w:r>
    </w:p>
    <w:p>
      <w:pPr>
        <w:pStyle w:val="20"/>
        <w:snapToGrid w:val="0"/>
        <w:spacing w:line="360" w:lineRule="auto"/>
        <w:ind w:firstLine="457" w:firstLineChars="196"/>
        <w:rPr>
          <w:rFonts w:hAnsi="宋体"/>
          <w:b/>
          <w:sz w:val="24"/>
          <w:szCs w:val="24"/>
        </w:rPr>
      </w:pPr>
      <w:r>
        <w:rPr>
          <w:rFonts w:hAnsi="宋体"/>
          <w:b/>
          <w:sz w:val="24"/>
          <w:szCs w:val="24"/>
        </w:rPr>
        <w:t>（一）开标准备</w:t>
      </w:r>
    </w:p>
    <w:p>
      <w:pPr>
        <w:pStyle w:val="20"/>
        <w:snapToGrid w:val="0"/>
        <w:spacing w:line="360" w:lineRule="auto"/>
        <w:ind w:firstLine="454" w:firstLineChars="196"/>
        <w:rPr>
          <w:rFonts w:hAnsi="宋体"/>
          <w:sz w:val="24"/>
          <w:szCs w:val="24"/>
        </w:rPr>
      </w:pPr>
      <w:r>
        <w:rPr>
          <w:rFonts w:hint="eastAsia" w:hAnsi="宋体"/>
          <w:sz w:val="24"/>
          <w:szCs w:val="24"/>
        </w:rPr>
        <w:t>1.组织机构将按照招标文件规定的时间通过“政府采购云平台”组织开标、开启投标文件，所有供应商均应当准时在线参加。</w:t>
      </w:r>
    </w:p>
    <w:p>
      <w:pPr>
        <w:pStyle w:val="20"/>
        <w:snapToGrid w:val="0"/>
        <w:spacing w:line="360" w:lineRule="auto"/>
        <w:ind w:firstLine="454" w:firstLineChars="196"/>
        <w:rPr>
          <w:rFonts w:hAnsi="宋体"/>
          <w:sz w:val="24"/>
          <w:szCs w:val="24"/>
        </w:rPr>
      </w:pPr>
      <w:r>
        <w:rPr>
          <w:rFonts w:hint="eastAsia" w:hAnsi="宋体"/>
          <w:sz w:val="24"/>
          <w:szCs w:val="24"/>
        </w:rPr>
        <w:t>2. 按照“不见面、少接触”的原则，本项目原则上采取“不见面”形式进行开评标活动,法定代表人或其授权代表无须到场，在线响应即可（通过指定的电子邮箱、传真等），但也允许供应商派授权代表出席开标会议。</w:t>
      </w:r>
    </w:p>
    <w:p>
      <w:pPr>
        <w:pStyle w:val="20"/>
        <w:snapToGrid w:val="0"/>
        <w:spacing w:line="360" w:lineRule="auto"/>
        <w:ind w:firstLine="457" w:firstLineChars="196"/>
        <w:rPr>
          <w:rFonts w:hAnsi="宋体"/>
          <w:b/>
          <w:sz w:val="24"/>
          <w:szCs w:val="24"/>
        </w:rPr>
      </w:pPr>
      <w:r>
        <w:rPr>
          <w:rFonts w:hAnsi="宋体"/>
          <w:b/>
          <w:sz w:val="24"/>
          <w:szCs w:val="24"/>
        </w:rPr>
        <w:t>（二） 开标程序：</w:t>
      </w:r>
    </w:p>
    <w:p>
      <w:pPr>
        <w:pStyle w:val="20"/>
        <w:snapToGrid w:val="0"/>
        <w:spacing w:line="360" w:lineRule="auto"/>
        <w:ind w:firstLine="454" w:firstLineChars="196"/>
        <w:rPr>
          <w:rFonts w:hAnsi="宋体"/>
          <w:sz w:val="24"/>
          <w:szCs w:val="24"/>
        </w:rPr>
      </w:pPr>
      <w:r>
        <w:rPr>
          <w:rFonts w:hint="eastAsia" w:hAnsi="宋体"/>
          <w:sz w:val="24"/>
          <w:szCs w:val="24"/>
        </w:rPr>
        <w:t>1.开标的准备工作由采购组织机构负责落实；</w:t>
      </w:r>
    </w:p>
    <w:p>
      <w:pPr>
        <w:pStyle w:val="20"/>
        <w:snapToGrid w:val="0"/>
        <w:spacing w:line="360" w:lineRule="auto"/>
        <w:ind w:firstLine="454" w:firstLineChars="196"/>
        <w:rPr>
          <w:rFonts w:hAnsi="宋体"/>
          <w:sz w:val="24"/>
          <w:szCs w:val="24"/>
        </w:rPr>
      </w:pPr>
      <w:r>
        <w:rPr>
          <w:rFonts w:hint="eastAsia" w:hAnsi="宋体"/>
          <w:sz w:val="24"/>
          <w:szCs w:val="24"/>
        </w:rPr>
        <w:t>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pPr>
        <w:pStyle w:val="20"/>
        <w:snapToGrid w:val="0"/>
        <w:spacing w:line="360" w:lineRule="auto"/>
        <w:ind w:firstLine="457" w:firstLineChars="196"/>
        <w:rPr>
          <w:rFonts w:hAnsi="宋体"/>
          <w:b/>
          <w:sz w:val="24"/>
          <w:szCs w:val="24"/>
        </w:rPr>
      </w:pPr>
      <w:r>
        <w:rPr>
          <w:rFonts w:hint="eastAsia" w:hAnsi="宋体"/>
          <w:b/>
          <w:sz w:val="24"/>
          <w:szCs w:val="24"/>
        </w:rPr>
        <w:t>（三）开标流程</w:t>
      </w:r>
    </w:p>
    <w:p>
      <w:pPr>
        <w:pStyle w:val="20"/>
        <w:snapToGrid w:val="0"/>
        <w:spacing w:line="360" w:lineRule="auto"/>
        <w:ind w:firstLine="454" w:firstLineChars="196"/>
        <w:rPr>
          <w:rFonts w:hAnsi="宋体"/>
          <w:sz w:val="24"/>
          <w:szCs w:val="24"/>
        </w:rPr>
      </w:pPr>
      <w:r>
        <w:rPr>
          <w:rFonts w:hint="eastAsia" w:hAnsi="宋体"/>
          <w:sz w:val="24"/>
          <w:szCs w:val="24"/>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pStyle w:val="20"/>
        <w:snapToGrid w:val="0"/>
        <w:spacing w:line="360" w:lineRule="auto"/>
        <w:ind w:firstLine="454" w:firstLineChars="196"/>
        <w:rPr>
          <w:rFonts w:hAnsi="宋体"/>
          <w:sz w:val="24"/>
          <w:szCs w:val="24"/>
        </w:rPr>
      </w:pPr>
      <w:r>
        <w:rPr>
          <w:rFonts w:hint="eastAsia" w:hAnsi="宋体"/>
          <w:sz w:val="24"/>
          <w:szCs w:val="24"/>
        </w:rPr>
        <w:t>2.投标文件解密结束；</w:t>
      </w:r>
    </w:p>
    <w:p>
      <w:pPr>
        <w:pStyle w:val="20"/>
        <w:snapToGrid w:val="0"/>
        <w:spacing w:line="360" w:lineRule="auto"/>
        <w:ind w:firstLine="454" w:firstLineChars="196"/>
        <w:rPr>
          <w:rFonts w:hAnsi="宋体"/>
          <w:sz w:val="24"/>
          <w:szCs w:val="24"/>
        </w:rPr>
      </w:pPr>
      <w:r>
        <w:rPr>
          <w:rFonts w:hint="eastAsia" w:hAnsi="宋体"/>
          <w:sz w:val="24"/>
          <w:szCs w:val="24"/>
        </w:rPr>
        <w:t>3.开启投标文件，进入资格审查；</w:t>
      </w:r>
    </w:p>
    <w:p>
      <w:pPr>
        <w:pStyle w:val="20"/>
        <w:snapToGrid w:val="0"/>
        <w:spacing w:line="360" w:lineRule="auto"/>
        <w:ind w:firstLine="454" w:firstLineChars="196"/>
        <w:rPr>
          <w:rFonts w:hAnsi="宋体"/>
          <w:sz w:val="24"/>
          <w:szCs w:val="24"/>
        </w:rPr>
      </w:pPr>
      <w:r>
        <w:rPr>
          <w:rFonts w:hint="eastAsia" w:hAnsi="宋体"/>
          <w:sz w:val="24"/>
          <w:szCs w:val="24"/>
        </w:rPr>
        <w:t>4.开启资格审查通过的投标供应商的商务技术文件进入符合性审查、商务技术评审；</w:t>
      </w:r>
    </w:p>
    <w:p>
      <w:pPr>
        <w:pStyle w:val="20"/>
        <w:snapToGrid w:val="0"/>
        <w:spacing w:line="360" w:lineRule="auto"/>
        <w:ind w:firstLine="454" w:firstLineChars="196"/>
        <w:rPr>
          <w:rFonts w:hAnsi="宋体"/>
          <w:sz w:val="24"/>
          <w:szCs w:val="24"/>
        </w:rPr>
      </w:pPr>
      <w:r>
        <w:rPr>
          <w:rFonts w:hint="eastAsia" w:hAnsi="宋体"/>
          <w:sz w:val="24"/>
          <w:szCs w:val="24"/>
        </w:rPr>
        <w:t>1）符合性审查、商务技术评审结束后，公布符合性审查、商务技术评审无效供应商名称及理由；公布经商务技术评审后有效投标供应商的名单，同时公布其商务技术部分得分情况。</w:t>
      </w:r>
    </w:p>
    <w:p>
      <w:pPr>
        <w:pStyle w:val="20"/>
        <w:snapToGrid w:val="0"/>
        <w:spacing w:line="360" w:lineRule="auto"/>
        <w:ind w:firstLine="454" w:firstLineChars="196"/>
        <w:rPr>
          <w:rFonts w:hAnsi="宋体"/>
          <w:sz w:val="24"/>
          <w:szCs w:val="24"/>
        </w:rPr>
      </w:pPr>
      <w:r>
        <w:rPr>
          <w:rFonts w:hint="eastAsia" w:hAnsi="宋体"/>
          <w:sz w:val="24"/>
          <w:szCs w:val="24"/>
        </w:rPr>
        <w:t>2）开启符合性审查、商务技术评审有效投标供应商的《报价文件》，公布开标一览表有关内容，同时当场制作开标记录表，唱标结束后，由评标委员会对报价的合理性、准确性等进行审查核实。</w:t>
      </w:r>
    </w:p>
    <w:p>
      <w:pPr>
        <w:pStyle w:val="20"/>
        <w:snapToGrid w:val="0"/>
        <w:spacing w:line="360" w:lineRule="auto"/>
        <w:ind w:firstLine="454" w:firstLineChars="196"/>
        <w:rPr>
          <w:rFonts w:hAnsi="宋体"/>
          <w:sz w:val="24"/>
          <w:szCs w:val="24"/>
        </w:rPr>
      </w:pPr>
      <w:r>
        <w:rPr>
          <w:rFonts w:hint="eastAsia" w:hAnsi="宋体"/>
          <w:sz w:val="24"/>
          <w:szCs w:val="24"/>
        </w:rPr>
        <w:t>3）公布报价部分得分情况；</w:t>
      </w:r>
    </w:p>
    <w:p>
      <w:pPr>
        <w:pStyle w:val="20"/>
        <w:snapToGrid w:val="0"/>
        <w:spacing w:line="360" w:lineRule="auto"/>
        <w:ind w:firstLine="454" w:firstLineChars="196"/>
        <w:rPr>
          <w:rFonts w:hAnsi="宋体"/>
          <w:sz w:val="24"/>
          <w:szCs w:val="24"/>
        </w:rPr>
      </w:pPr>
      <w:r>
        <w:rPr>
          <w:rFonts w:hint="eastAsia" w:hAnsi="宋体"/>
          <w:sz w:val="24"/>
          <w:szCs w:val="24"/>
        </w:rPr>
        <w:t>4）评审结束后，公布中标（成交）候选供应商名单等。</w:t>
      </w:r>
    </w:p>
    <w:p>
      <w:pPr>
        <w:pStyle w:val="20"/>
        <w:snapToGrid w:val="0"/>
        <w:spacing w:line="360" w:lineRule="auto"/>
        <w:ind w:firstLine="454" w:firstLineChars="196"/>
        <w:rPr>
          <w:rFonts w:hAnsi="宋体"/>
          <w:sz w:val="24"/>
          <w:szCs w:val="24"/>
        </w:rPr>
      </w:pPr>
      <w:r>
        <w:rPr>
          <w:rFonts w:hint="eastAsia" w:hAnsi="宋体"/>
          <w:sz w:val="24"/>
          <w:szCs w:val="24"/>
        </w:rPr>
        <w:t>5）开标结束。</w:t>
      </w:r>
    </w:p>
    <w:p>
      <w:pPr>
        <w:pStyle w:val="20"/>
        <w:snapToGrid w:val="0"/>
        <w:spacing w:line="360" w:lineRule="auto"/>
        <w:ind w:firstLine="454" w:firstLineChars="196"/>
        <w:rPr>
          <w:rFonts w:hAnsi="宋体"/>
          <w:sz w:val="24"/>
          <w:szCs w:val="24"/>
        </w:rPr>
      </w:pPr>
      <w:r>
        <w:rPr>
          <w:rFonts w:hint="eastAsia" w:hAnsi="宋体"/>
          <w:sz w:val="24"/>
          <w:szCs w:val="24"/>
        </w:rPr>
        <w:t>特别说明：如遇“政府采购云平台”电子化开标或评审程序调整的，按调整后程序执行。</w:t>
      </w:r>
      <w:bookmarkStart w:id="1" w:name="_Toc33194393"/>
      <w:bookmarkStart w:id="2" w:name="_Toc24550037"/>
    </w:p>
    <w:p>
      <w:pPr>
        <w:pStyle w:val="20"/>
        <w:snapToGrid w:val="0"/>
        <w:spacing w:line="360" w:lineRule="auto"/>
        <w:ind w:firstLine="457" w:firstLineChars="196"/>
        <w:rPr>
          <w:rFonts w:hAnsi="宋体"/>
          <w:b/>
          <w:sz w:val="24"/>
          <w:szCs w:val="24"/>
        </w:rPr>
      </w:pPr>
      <w:r>
        <w:rPr>
          <w:rFonts w:hint="eastAsia" w:hAnsi="宋体"/>
          <w:b/>
          <w:sz w:val="24"/>
          <w:szCs w:val="24"/>
        </w:rPr>
        <w:t>（四）投标供应商资格审查</w:t>
      </w:r>
      <w:bookmarkEnd w:id="1"/>
      <w:bookmarkEnd w:id="2"/>
    </w:p>
    <w:p>
      <w:pPr>
        <w:pStyle w:val="20"/>
        <w:snapToGrid w:val="0"/>
        <w:spacing w:line="360" w:lineRule="auto"/>
        <w:ind w:firstLine="454" w:firstLineChars="196"/>
        <w:rPr>
          <w:rFonts w:hAnsi="宋体"/>
          <w:sz w:val="24"/>
          <w:szCs w:val="24"/>
        </w:rPr>
      </w:pPr>
      <w:r>
        <w:rPr>
          <w:rFonts w:hint="eastAsia" w:hAnsi="宋体"/>
          <w:sz w:val="24"/>
          <w:szCs w:val="24"/>
        </w:rPr>
        <w:t>1.开标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pPr>
        <w:pStyle w:val="24"/>
        <w:snapToGrid w:val="0"/>
        <w:spacing w:beforeLines="0" w:afterLines="0" w:line="360" w:lineRule="auto"/>
        <w:ind w:firstLine="480" w:firstLineChars="200"/>
        <w:rPr>
          <w:rFonts w:hAnsi="宋体"/>
        </w:rPr>
      </w:pPr>
      <w:r>
        <w:rPr>
          <w:rFonts w:hint="eastAsia" w:hAnsi="宋体"/>
        </w:rPr>
        <w:t>2.投标供应商提交的资格证明材料无法证明其符合招标文件规定的“投标供应商资格要求”的，采购人或采购代理机构将对其作资格审查不通过处理（无效投标），并不再将其投标提交评标委员会进行后续评审。</w:t>
      </w:r>
    </w:p>
    <w:p>
      <w:pPr>
        <w:pStyle w:val="24"/>
        <w:snapToGrid w:val="0"/>
        <w:spacing w:beforeLines="0" w:afterLines="0" w:line="360" w:lineRule="auto"/>
        <w:ind w:firstLine="480" w:firstLineChars="200"/>
        <w:rPr>
          <w:rFonts w:hAnsi="宋体"/>
          <w:bCs/>
        </w:rPr>
      </w:pPr>
      <w:r>
        <w:rPr>
          <w:rFonts w:hint="eastAsia" w:hAnsi="宋体"/>
        </w:rPr>
        <w:t>3.单位负责人为同一人或者存在直接控股、管理关系的不同供应商参加同一合同项下的政府采购活动的，相关投标供应商均作资格无效处理。</w:t>
      </w:r>
    </w:p>
    <w:p>
      <w:pPr>
        <w:pStyle w:val="24"/>
        <w:snapToGrid w:val="0"/>
        <w:spacing w:beforeLines="0" w:afterLines="0" w:line="360" w:lineRule="auto"/>
        <w:ind w:left="842" w:leftChars="267" w:hanging="281" w:hangingChars="100"/>
        <w:outlineLvl w:val="1"/>
        <w:rPr>
          <w:rFonts w:hAnsi="宋体"/>
          <w:b/>
          <w:sz w:val="28"/>
          <w:szCs w:val="28"/>
        </w:rPr>
      </w:pPr>
      <w:r>
        <w:rPr>
          <w:rFonts w:hint="eastAsia" w:hAnsi="宋体"/>
          <w:b/>
          <w:sz w:val="28"/>
          <w:szCs w:val="28"/>
        </w:rPr>
        <w:t>五、评标</w:t>
      </w:r>
    </w:p>
    <w:p>
      <w:pPr>
        <w:pStyle w:val="24"/>
        <w:snapToGrid w:val="0"/>
        <w:spacing w:beforeLines="0" w:afterLines="0" w:line="360" w:lineRule="auto"/>
        <w:ind w:left="720" w:leftChars="228" w:hanging="241" w:hangingChars="100"/>
        <w:rPr>
          <w:rFonts w:hAnsi="宋体"/>
          <w:b/>
        </w:rPr>
      </w:pPr>
      <w:r>
        <w:rPr>
          <w:rFonts w:hAnsi="宋体"/>
          <w:b/>
        </w:rPr>
        <w:t>（一）组建评标委员会</w:t>
      </w:r>
    </w:p>
    <w:p>
      <w:pPr>
        <w:pStyle w:val="24"/>
        <w:snapToGrid w:val="0"/>
        <w:spacing w:beforeLines="0" w:afterLines="0" w:line="360" w:lineRule="auto"/>
        <w:ind w:firstLine="480" w:firstLineChars="200"/>
        <w:rPr>
          <w:rFonts w:hAnsi="宋体"/>
        </w:rPr>
      </w:pPr>
      <w:r>
        <w:rPr>
          <w:rFonts w:hAnsi="宋体"/>
        </w:rPr>
        <w:t>本项目评标委员会由政府</w:t>
      </w:r>
      <w:r>
        <w:rPr>
          <w:rFonts w:hint="eastAsia" w:hAnsi="宋体"/>
        </w:rPr>
        <w:t>采购评审专家</w:t>
      </w:r>
      <w:r>
        <w:rPr>
          <w:rFonts w:hint="eastAsia" w:hAnsi="宋体"/>
          <w:u w:val="single"/>
        </w:rPr>
        <w:t>4</w:t>
      </w:r>
      <w:r>
        <w:rPr>
          <w:rFonts w:hint="eastAsia" w:hAnsi="宋体"/>
        </w:rPr>
        <w:t>人和采购人代表</w:t>
      </w:r>
      <w:r>
        <w:rPr>
          <w:rFonts w:hint="eastAsia" w:hAnsi="宋体"/>
          <w:u w:val="single"/>
        </w:rPr>
        <w:t>1</w:t>
      </w:r>
      <w:r>
        <w:rPr>
          <w:rFonts w:hint="eastAsia" w:hAnsi="宋体"/>
        </w:rPr>
        <w:t>人</w:t>
      </w:r>
      <w:r>
        <w:rPr>
          <w:rFonts w:hAnsi="宋体"/>
        </w:rPr>
        <w:t>,</w:t>
      </w:r>
      <w:r>
        <w:rPr>
          <w:rFonts w:hint="eastAsia" w:hAnsi="宋体"/>
        </w:rPr>
        <w:t>共</w:t>
      </w:r>
      <w:r>
        <w:rPr>
          <w:rFonts w:hint="eastAsia" w:hAnsi="宋体"/>
          <w:u w:val="single"/>
        </w:rPr>
        <w:t>5</w:t>
      </w:r>
      <w:r>
        <w:rPr>
          <w:rFonts w:hint="eastAsia" w:hAnsi="宋体"/>
        </w:rPr>
        <w:t>人组成。</w:t>
      </w:r>
    </w:p>
    <w:p>
      <w:pPr>
        <w:pStyle w:val="24"/>
        <w:snapToGrid w:val="0"/>
        <w:spacing w:beforeLines="0" w:afterLines="0" w:line="360" w:lineRule="auto"/>
        <w:ind w:firstLine="482" w:firstLineChars="200"/>
        <w:rPr>
          <w:rFonts w:hAnsi="宋体"/>
          <w:b/>
        </w:rPr>
      </w:pPr>
      <w:r>
        <w:rPr>
          <w:rFonts w:hAnsi="宋体"/>
          <w:b/>
        </w:rPr>
        <w:t>（二）评标的方式</w:t>
      </w:r>
    </w:p>
    <w:p>
      <w:pPr>
        <w:pStyle w:val="24"/>
        <w:snapToGrid w:val="0"/>
        <w:spacing w:beforeLines="0" w:afterLines="0" w:line="360" w:lineRule="auto"/>
        <w:ind w:left="719" w:leftChars="228" w:hanging="240" w:hangingChars="100"/>
        <w:rPr>
          <w:rFonts w:hAnsi="宋体"/>
        </w:rPr>
      </w:pPr>
      <w:r>
        <w:rPr>
          <w:rFonts w:hAnsi="宋体"/>
        </w:rPr>
        <w:t>本项目采用不公开方式评标，评标的依据为招标文件和投标文件。</w:t>
      </w:r>
    </w:p>
    <w:p>
      <w:pPr>
        <w:pStyle w:val="24"/>
        <w:snapToGrid w:val="0"/>
        <w:spacing w:beforeLines="0" w:afterLines="0" w:line="360" w:lineRule="auto"/>
        <w:ind w:left="720" w:leftChars="228" w:hanging="241" w:hangingChars="100"/>
        <w:rPr>
          <w:rFonts w:hAnsi="宋体"/>
          <w:b/>
          <w:bCs/>
        </w:rPr>
      </w:pPr>
      <w:r>
        <w:rPr>
          <w:rFonts w:hAnsi="宋体"/>
          <w:b/>
        </w:rPr>
        <w:t>（三）</w:t>
      </w:r>
      <w:r>
        <w:rPr>
          <w:rFonts w:hAnsi="宋体"/>
          <w:b/>
          <w:bCs/>
        </w:rPr>
        <w:t>评标程序</w:t>
      </w:r>
    </w:p>
    <w:p>
      <w:pPr>
        <w:pStyle w:val="24"/>
        <w:snapToGrid w:val="0"/>
        <w:spacing w:beforeLines="0" w:afterLines="0" w:line="360" w:lineRule="auto"/>
        <w:ind w:firstLine="470" w:firstLineChars="196"/>
        <w:rPr>
          <w:rFonts w:hAnsi="宋体"/>
        </w:rPr>
      </w:pPr>
      <w:r>
        <w:rPr>
          <w:rFonts w:hint="eastAsia" w:hAnsi="宋体"/>
        </w:rPr>
        <w:t>1.对所有通过资格审查的投标供应商的投标文件进行初步审查，审查、评价投标文件是否符合招标文件的商务、技术、服务等实质性要求。</w:t>
      </w:r>
    </w:p>
    <w:p>
      <w:pPr>
        <w:pStyle w:val="24"/>
        <w:snapToGrid w:val="0"/>
        <w:spacing w:beforeLines="0" w:afterLines="0" w:line="360" w:lineRule="auto"/>
        <w:ind w:firstLine="470" w:firstLineChars="196"/>
        <w:rPr>
          <w:rFonts w:hAnsi="宋体"/>
        </w:rPr>
      </w:pPr>
      <w:r>
        <w:rPr>
          <w:rFonts w:hint="eastAsia" w:hAnsi="宋体"/>
        </w:rPr>
        <w:t>2.评标委员会应当按照招标文件中规定的评审方法和标准，对符合性审查合格的投标文件进行商务和技术评估，综合比较与评价。评标时，评标委员会各成员将独立对每个投标人的投标文件进行评价，并汇总每个投标人的得分。</w:t>
      </w:r>
    </w:p>
    <w:p>
      <w:pPr>
        <w:pStyle w:val="24"/>
        <w:snapToGrid w:val="0"/>
        <w:spacing w:beforeLines="0" w:afterLines="0" w:line="360" w:lineRule="auto"/>
        <w:ind w:firstLine="470" w:firstLineChars="196"/>
        <w:rPr>
          <w:rFonts w:hAnsi="宋体"/>
        </w:rPr>
      </w:pPr>
      <w:r>
        <w:rPr>
          <w:rFonts w:hint="eastAsia" w:hAnsi="宋体"/>
        </w:rPr>
        <w:t>3.对采购组织机构工作人员汇总的评审结果进行确认。如发现分值汇总计算错误、分项评分超出评分标准范围、客观评分不一致以及存在畸高、畸低（其总评分偏离平均分30%以上的）情形的，评审小组组长（评标委员会主任委员）应提醒相关评审人员当场改正或书面说明理由，拒不改正又不作书面说明的，由现场监督员如实记载后存入项目档案资料。</w:t>
      </w:r>
    </w:p>
    <w:p>
      <w:pPr>
        <w:snapToGrid w:val="0"/>
        <w:spacing w:line="360" w:lineRule="auto"/>
        <w:ind w:firstLine="482" w:firstLineChars="200"/>
        <w:rPr>
          <w:rFonts w:ascii="宋体" w:hAnsi="宋体"/>
          <w:b/>
          <w:sz w:val="24"/>
        </w:rPr>
      </w:pPr>
      <w:r>
        <w:rPr>
          <w:rFonts w:hint="eastAsia" w:ascii="宋体" w:hAnsi="宋体"/>
          <w:b/>
          <w:sz w:val="24"/>
        </w:rPr>
        <w:t>（四）澄清问题的形式</w:t>
      </w:r>
    </w:p>
    <w:p>
      <w:pPr>
        <w:snapToGrid w:val="0"/>
        <w:spacing w:line="360" w:lineRule="auto"/>
        <w:ind w:firstLine="480" w:firstLineChars="200"/>
        <w:rPr>
          <w:rFonts w:ascii="宋体" w:hAnsi="宋体"/>
          <w:sz w:val="24"/>
        </w:rPr>
      </w:pPr>
      <w:r>
        <w:rPr>
          <w:rFonts w:hint="eastAsia" w:ascii="宋体" w:hAnsi="宋体"/>
          <w:sz w:val="24"/>
        </w:rPr>
        <w:t>1.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pPr>
        <w:snapToGrid w:val="0"/>
        <w:spacing w:line="360" w:lineRule="auto"/>
        <w:ind w:firstLine="480" w:firstLineChars="200"/>
        <w:rPr>
          <w:rFonts w:ascii="宋体" w:hAnsi="宋体"/>
          <w:sz w:val="24"/>
        </w:rPr>
      </w:pPr>
      <w:r>
        <w:rPr>
          <w:rFonts w:hint="eastAsia" w:ascii="宋体" w:hAnsi="宋体"/>
          <w:sz w:val="24"/>
        </w:rPr>
        <w:t>2.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pPr>
        <w:snapToGrid w:val="0"/>
        <w:spacing w:line="360" w:lineRule="auto"/>
        <w:ind w:firstLine="482" w:firstLineChars="200"/>
        <w:rPr>
          <w:b/>
          <w:sz w:val="24"/>
        </w:rPr>
      </w:pPr>
      <w:r>
        <w:rPr>
          <w:b/>
          <w:sz w:val="24"/>
        </w:rPr>
        <w:t>（五）错误修正</w:t>
      </w:r>
    </w:p>
    <w:p>
      <w:pPr>
        <w:snapToGrid w:val="0"/>
        <w:spacing w:line="360" w:lineRule="auto"/>
        <w:ind w:firstLine="480" w:firstLineChars="200"/>
        <w:rPr>
          <w:rFonts w:ascii="宋体" w:hAnsi="宋体"/>
          <w:sz w:val="24"/>
        </w:rPr>
      </w:pPr>
      <w:r>
        <w:rPr>
          <w:rFonts w:ascii="宋体" w:hAnsi="宋体"/>
          <w:sz w:val="24"/>
        </w:rPr>
        <w:t>投标文件如果出现计算或表达上的错误，修正错误的原则如下：</w:t>
      </w:r>
    </w:p>
    <w:p>
      <w:pPr>
        <w:snapToGrid w:val="0"/>
        <w:spacing w:line="360" w:lineRule="auto"/>
        <w:ind w:firstLine="480" w:firstLineChars="200"/>
        <w:rPr>
          <w:rFonts w:ascii="宋体" w:hAnsi="宋体" w:cs="Arial"/>
          <w:kern w:val="0"/>
          <w:sz w:val="24"/>
        </w:rPr>
      </w:pPr>
      <w:r>
        <w:rPr>
          <w:rFonts w:ascii="宋体" w:hAnsi="宋体"/>
          <w:sz w:val="24"/>
        </w:rPr>
        <w:t>1</w:t>
      </w:r>
      <w:r>
        <w:rPr>
          <w:rFonts w:hint="eastAsia" w:ascii="宋体" w:hAnsi="宋体"/>
          <w:sz w:val="24"/>
        </w:rPr>
        <w:t>.开标一览表总价与投标报价明细表汇总数不一致的，</w:t>
      </w:r>
      <w:r>
        <w:rPr>
          <w:rFonts w:hint="eastAsia" w:ascii="宋体" w:hAnsi="宋体" w:cs="Arial"/>
          <w:kern w:val="0"/>
          <w:sz w:val="24"/>
        </w:rPr>
        <w:t>以开标一览表为准；</w:t>
      </w:r>
    </w:p>
    <w:p>
      <w:pPr>
        <w:snapToGrid w:val="0"/>
        <w:spacing w:line="360" w:lineRule="auto"/>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投标文件的大写金额和小写金额不一致的，以大写金额为准；</w:t>
      </w:r>
    </w:p>
    <w:p>
      <w:pPr>
        <w:snapToGrid w:val="0"/>
        <w:spacing w:line="360" w:lineRule="auto"/>
        <w:ind w:firstLine="480" w:firstLineChars="200"/>
        <w:rPr>
          <w:rFonts w:ascii="宋体" w:hAnsi="宋体"/>
          <w:sz w:val="24"/>
        </w:rPr>
      </w:pPr>
      <w:r>
        <w:rPr>
          <w:rFonts w:ascii="宋体" w:hAnsi="宋体"/>
          <w:sz w:val="24"/>
        </w:rPr>
        <w:t>3</w:t>
      </w:r>
      <w:r>
        <w:rPr>
          <w:rFonts w:hint="eastAsia" w:ascii="宋体" w:hAnsi="宋体"/>
          <w:sz w:val="24"/>
        </w:rPr>
        <w:t>.</w:t>
      </w:r>
      <w:r>
        <w:rPr>
          <w:rFonts w:ascii="宋体" w:hAnsi="宋体"/>
          <w:sz w:val="24"/>
        </w:rPr>
        <w:t>总价金额与按单价汇总金额不一致的，以单价金额计算结果为准；</w:t>
      </w:r>
    </w:p>
    <w:p>
      <w:pPr>
        <w:snapToGrid w:val="0"/>
        <w:spacing w:line="360" w:lineRule="auto"/>
        <w:ind w:firstLine="480" w:firstLineChars="200"/>
        <w:rPr>
          <w:rFonts w:ascii="宋体" w:hAnsi="宋体"/>
          <w:sz w:val="24"/>
        </w:rPr>
      </w:pPr>
      <w:r>
        <w:rPr>
          <w:rFonts w:ascii="宋体" w:hAnsi="宋体"/>
          <w:sz w:val="24"/>
        </w:rPr>
        <w:t>4</w:t>
      </w:r>
      <w:r>
        <w:rPr>
          <w:rFonts w:hint="eastAsia" w:ascii="宋体" w:hAnsi="宋体"/>
          <w:sz w:val="24"/>
        </w:rPr>
        <w:t>.</w:t>
      </w:r>
      <w:r>
        <w:rPr>
          <w:rFonts w:ascii="宋体" w:hAnsi="宋体"/>
          <w:sz w:val="24"/>
        </w:rPr>
        <w:t>对不同文字文本投标文件的解释发生异议的，以中文文本为准。</w:t>
      </w:r>
    </w:p>
    <w:p>
      <w:pPr>
        <w:pStyle w:val="24"/>
        <w:snapToGrid w:val="0"/>
        <w:spacing w:beforeLines="0" w:afterLines="0" w:line="360" w:lineRule="auto"/>
        <w:ind w:firstLine="482" w:firstLineChars="200"/>
        <w:rPr>
          <w:rFonts w:hAnsi="宋体"/>
          <w:b/>
          <w:bCs/>
        </w:rPr>
      </w:pPr>
      <w:r>
        <w:rPr>
          <w:rFonts w:hAnsi="宋体"/>
          <w:b/>
          <w:bCs/>
        </w:rPr>
        <w:t>按上述修正错误的原则及方法调整或修正投标文件的投标报价，投标人同意</w:t>
      </w:r>
      <w:r>
        <w:rPr>
          <w:rFonts w:hint="eastAsia" w:hAnsi="宋体"/>
          <w:b/>
          <w:bCs/>
        </w:rPr>
        <w:t>并签字确认</w:t>
      </w:r>
      <w:r>
        <w:rPr>
          <w:rFonts w:hAnsi="宋体"/>
          <w:b/>
          <w:bCs/>
        </w:rPr>
        <w:t>后，调整后的投标报价对投标人具有约束作用。如果投标人不接受修正后的报价，则其投标将</w:t>
      </w:r>
      <w:r>
        <w:rPr>
          <w:rFonts w:hint="eastAsia" w:hAnsi="宋体"/>
          <w:b/>
          <w:bCs/>
        </w:rPr>
        <w:t>作为无效投标处理</w:t>
      </w:r>
      <w:r>
        <w:rPr>
          <w:rFonts w:hAnsi="宋体"/>
          <w:b/>
          <w:bCs/>
        </w:rPr>
        <w:t>。</w:t>
      </w:r>
    </w:p>
    <w:p>
      <w:pPr>
        <w:pStyle w:val="24"/>
        <w:tabs>
          <w:tab w:val="left" w:pos="630"/>
        </w:tabs>
        <w:snapToGrid w:val="0"/>
        <w:spacing w:beforeLines="0" w:afterLines="0" w:line="360" w:lineRule="auto"/>
        <w:ind w:firstLine="472" w:firstLineChars="196"/>
        <w:rPr>
          <w:rFonts w:hAnsi="宋体"/>
          <w:b/>
        </w:rPr>
      </w:pPr>
      <w:r>
        <w:rPr>
          <w:rFonts w:hAnsi="宋体"/>
          <w:b/>
        </w:rPr>
        <w:t>（六）评标原则和评标办法</w:t>
      </w:r>
    </w:p>
    <w:p>
      <w:pPr>
        <w:pStyle w:val="24"/>
        <w:snapToGrid w:val="0"/>
        <w:spacing w:beforeLines="0" w:afterLines="0" w:line="360" w:lineRule="auto"/>
        <w:ind w:firstLine="480" w:firstLineChars="200"/>
        <w:rPr>
          <w:rFonts w:hAnsi="宋体"/>
        </w:rPr>
      </w:pPr>
      <w:r>
        <w:rPr>
          <w:rFonts w:hAnsi="宋体"/>
        </w:rPr>
        <w:t>1</w:t>
      </w:r>
      <w:r>
        <w:rPr>
          <w:rFonts w:hint="eastAsia" w:hAnsi="宋体"/>
        </w:rPr>
        <w:t>.</w:t>
      </w:r>
      <w:r>
        <w:rPr>
          <w:rFonts w:hAnsi="宋体"/>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4"/>
        <w:snapToGrid w:val="0"/>
        <w:spacing w:beforeLines="0" w:afterLines="0" w:line="360" w:lineRule="auto"/>
        <w:ind w:firstLine="480" w:firstLineChars="200"/>
        <w:rPr>
          <w:rFonts w:hAnsi="宋体"/>
        </w:rPr>
      </w:pPr>
      <w:r>
        <w:rPr>
          <w:rFonts w:hAnsi="宋体"/>
        </w:rPr>
        <w:t>2</w:t>
      </w:r>
      <w:r>
        <w:rPr>
          <w:rFonts w:hint="eastAsia" w:hAnsi="宋体"/>
        </w:rPr>
        <w:t>.</w:t>
      </w:r>
      <w:r>
        <w:rPr>
          <w:rFonts w:hAnsi="宋体"/>
        </w:rPr>
        <w:t>评标办法。本项目评标办法是本项目采取综合评分法，具体评标内容及评分标准等详见《第四章：评标办法及评分标准》。</w:t>
      </w:r>
    </w:p>
    <w:p>
      <w:pPr>
        <w:pStyle w:val="24"/>
        <w:snapToGrid w:val="0"/>
        <w:spacing w:beforeLines="0" w:afterLines="0" w:line="360" w:lineRule="auto"/>
        <w:ind w:firstLine="482" w:firstLineChars="200"/>
        <w:rPr>
          <w:rFonts w:hAnsi="宋体"/>
          <w:b/>
        </w:rPr>
      </w:pPr>
      <w:r>
        <w:rPr>
          <w:rFonts w:hint="eastAsia" w:hAnsi="宋体"/>
          <w:b/>
        </w:rPr>
        <w:t>（七）废标</w:t>
      </w:r>
    </w:p>
    <w:p>
      <w:pPr>
        <w:pStyle w:val="24"/>
        <w:snapToGrid w:val="0"/>
        <w:spacing w:beforeLines="0" w:afterLines="0" w:line="360" w:lineRule="auto"/>
        <w:ind w:firstLine="480" w:firstLineChars="200"/>
        <w:rPr>
          <w:rFonts w:hAnsi="宋体"/>
        </w:rPr>
      </w:pPr>
      <w:r>
        <w:rPr>
          <w:rFonts w:hint="eastAsia" w:hAnsi="宋体"/>
        </w:rPr>
        <w:t>在采购中，出现下列情形之一的，应予废标：</w:t>
      </w:r>
    </w:p>
    <w:p>
      <w:pPr>
        <w:pStyle w:val="24"/>
        <w:snapToGrid w:val="0"/>
        <w:spacing w:beforeLines="0" w:afterLines="0" w:line="360" w:lineRule="auto"/>
        <w:ind w:firstLine="480" w:firstLineChars="200"/>
        <w:rPr>
          <w:rFonts w:hAnsi="宋体"/>
        </w:rPr>
      </w:pPr>
      <w:r>
        <w:rPr>
          <w:rFonts w:hint="eastAsia" w:hAnsi="宋体"/>
        </w:rPr>
        <w:t>1.符合专业条件的供应商或者对招标文件作实质响应的供应商不足3家的；</w:t>
      </w:r>
    </w:p>
    <w:p>
      <w:pPr>
        <w:pStyle w:val="24"/>
        <w:snapToGrid w:val="0"/>
        <w:spacing w:beforeLines="0" w:afterLines="0" w:line="360" w:lineRule="auto"/>
        <w:ind w:firstLine="480" w:firstLineChars="200"/>
        <w:rPr>
          <w:rFonts w:hAnsi="宋体"/>
        </w:rPr>
      </w:pPr>
      <w:r>
        <w:rPr>
          <w:rFonts w:hint="eastAsia" w:hAnsi="宋体"/>
        </w:rPr>
        <w:t>2.出现影响采购公正的违法、违规行为的；</w:t>
      </w:r>
    </w:p>
    <w:p>
      <w:pPr>
        <w:pStyle w:val="24"/>
        <w:snapToGrid w:val="0"/>
        <w:spacing w:beforeLines="0" w:afterLines="0" w:line="360" w:lineRule="auto"/>
        <w:ind w:firstLine="480" w:firstLineChars="200"/>
        <w:rPr>
          <w:rFonts w:hAnsi="宋体"/>
        </w:rPr>
      </w:pPr>
      <w:r>
        <w:rPr>
          <w:rFonts w:hint="eastAsia" w:hAnsi="宋体"/>
        </w:rPr>
        <w:t>3.报价均超过预算，不能支付的；</w:t>
      </w:r>
    </w:p>
    <w:p>
      <w:pPr>
        <w:pStyle w:val="24"/>
        <w:snapToGrid w:val="0"/>
        <w:spacing w:beforeLines="0" w:afterLines="0" w:line="360" w:lineRule="auto"/>
        <w:ind w:firstLine="480" w:firstLineChars="200"/>
        <w:rPr>
          <w:rFonts w:hAnsi="宋体"/>
        </w:rPr>
      </w:pPr>
      <w:r>
        <w:rPr>
          <w:rFonts w:hint="eastAsia" w:hAnsi="宋体"/>
        </w:rPr>
        <w:t>4.因重大变故，采购任务取消的。</w:t>
      </w:r>
    </w:p>
    <w:p>
      <w:pPr>
        <w:pStyle w:val="24"/>
        <w:snapToGrid w:val="0"/>
        <w:spacing w:beforeLines="0" w:afterLines="0" w:line="360" w:lineRule="auto"/>
        <w:ind w:firstLine="482" w:firstLineChars="200"/>
        <w:rPr>
          <w:rFonts w:hAnsi="宋体"/>
          <w:b/>
        </w:rPr>
      </w:pPr>
      <w:r>
        <w:rPr>
          <w:rFonts w:hint="eastAsia" w:hAnsi="宋体"/>
          <w:b/>
        </w:rPr>
        <w:t>（八）可中止电子交易活动的情形</w:t>
      </w:r>
    </w:p>
    <w:p>
      <w:pPr>
        <w:pStyle w:val="24"/>
        <w:snapToGrid w:val="0"/>
        <w:spacing w:beforeLines="0" w:afterLines="0" w:line="360" w:lineRule="auto"/>
        <w:ind w:firstLine="480" w:firstLineChars="200"/>
        <w:rPr>
          <w:rFonts w:hAnsi="宋体"/>
        </w:rPr>
      </w:pPr>
      <w:r>
        <w:rPr>
          <w:rFonts w:hint="eastAsia" w:hAnsi="宋体"/>
        </w:rPr>
        <w:t>采购过程中出现以下情形，导致电子交易平台无法正常运行，或者无法保证电子交易的公平、公正和安全时，采购组织机构可中止电子交易活动：</w:t>
      </w:r>
    </w:p>
    <w:p>
      <w:pPr>
        <w:pStyle w:val="24"/>
        <w:snapToGrid w:val="0"/>
        <w:spacing w:beforeLines="0" w:afterLines="0" w:line="360" w:lineRule="auto"/>
        <w:ind w:firstLine="480" w:firstLineChars="200"/>
        <w:rPr>
          <w:rFonts w:hAnsi="宋体"/>
        </w:rPr>
      </w:pPr>
      <w:r>
        <w:rPr>
          <w:rFonts w:hint="eastAsia" w:hAnsi="宋体"/>
        </w:rPr>
        <w:t>1、电子交易平台发生故障而无法登录访问的；</w:t>
      </w:r>
    </w:p>
    <w:p>
      <w:pPr>
        <w:pStyle w:val="24"/>
        <w:snapToGrid w:val="0"/>
        <w:spacing w:beforeLines="0" w:afterLines="0" w:line="360" w:lineRule="auto"/>
        <w:ind w:firstLine="480" w:firstLineChars="200"/>
        <w:rPr>
          <w:rFonts w:hAnsi="宋体"/>
        </w:rPr>
      </w:pPr>
      <w:r>
        <w:rPr>
          <w:rFonts w:hint="eastAsia" w:hAnsi="宋体"/>
        </w:rPr>
        <w:t>2、电子交易平台应用或数据库出现错误，不能进行正常操作的；</w:t>
      </w:r>
    </w:p>
    <w:p>
      <w:pPr>
        <w:pStyle w:val="24"/>
        <w:snapToGrid w:val="0"/>
        <w:spacing w:beforeLines="0" w:afterLines="0" w:line="360" w:lineRule="auto"/>
        <w:ind w:firstLine="480" w:firstLineChars="200"/>
        <w:rPr>
          <w:rFonts w:hAnsi="宋体"/>
        </w:rPr>
      </w:pPr>
      <w:r>
        <w:rPr>
          <w:rFonts w:hint="eastAsia" w:hAnsi="宋体"/>
        </w:rPr>
        <w:t>3、电子交易平台发现严重安全漏洞，有潜在泄密危险的；</w:t>
      </w:r>
    </w:p>
    <w:p>
      <w:pPr>
        <w:pStyle w:val="24"/>
        <w:snapToGrid w:val="0"/>
        <w:spacing w:beforeLines="0" w:afterLines="0" w:line="360" w:lineRule="auto"/>
        <w:ind w:firstLine="480" w:firstLineChars="200"/>
        <w:rPr>
          <w:rFonts w:hAnsi="宋体"/>
        </w:rPr>
      </w:pPr>
      <w:r>
        <w:rPr>
          <w:rFonts w:hint="eastAsia" w:hAnsi="宋体"/>
        </w:rPr>
        <w:t>4、病毒发作导致不能进行正常操作的；</w:t>
      </w:r>
    </w:p>
    <w:p>
      <w:pPr>
        <w:pStyle w:val="24"/>
        <w:snapToGrid w:val="0"/>
        <w:spacing w:beforeLines="0" w:afterLines="0" w:line="360" w:lineRule="auto"/>
        <w:ind w:firstLine="480" w:firstLineChars="200"/>
        <w:rPr>
          <w:rFonts w:hAnsi="宋体"/>
        </w:rPr>
      </w:pPr>
      <w:r>
        <w:rPr>
          <w:rFonts w:hint="eastAsia" w:hAnsi="宋体"/>
        </w:rPr>
        <w:t>5、其他无法保证电子交易的公平、公正和安全的情况。</w:t>
      </w:r>
    </w:p>
    <w:p>
      <w:pPr>
        <w:pStyle w:val="24"/>
        <w:snapToGrid w:val="0"/>
        <w:spacing w:beforeLines="0" w:afterLines="0" w:line="360" w:lineRule="auto"/>
        <w:ind w:firstLine="480" w:firstLineChars="200"/>
        <w:rPr>
          <w:rFonts w:hAnsi="宋体"/>
        </w:rPr>
      </w:pPr>
      <w:r>
        <w:rPr>
          <w:rFonts w:hint="eastAsia" w:hAnsi="宋体"/>
        </w:rPr>
        <w:t>出现前款规定情形，不影响采购公平、公正性的，采购组织机构可以待上述情形消除后继续组织电子交易活动；影响或可能影响采购公平、公正性的，应当重新采购。</w:t>
      </w:r>
    </w:p>
    <w:p>
      <w:pPr>
        <w:pStyle w:val="24"/>
        <w:snapToGrid w:val="0"/>
        <w:spacing w:beforeLines="0" w:afterLines="0" w:line="360" w:lineRule="auto"/>
        <w:ind w:firstLine="551" w:firstLineChars="196"/>
        <w:outlineLvl w:val="1"/>
        <w:rPr>
          <w:rFonts w:hAnsi="宋体"/>
          <w:b/>
          <w:sz w:val="28"/>
          <w:szCs w:val="28"/>
        </w:rPr>
      </w:pPr>
      <w:r>
        <w:rPr>
          <w:rFonts w:hint="eastAsia" w:hAnsi="宋体"/>
          <w:b/>
          <w:sz w:val="28"/>
          <w:szCs w:val="28"/>
        </w:rPr>
        <w:t>六、定标</w:t>
      </w:r>
    </w:p>
    <w:p>
      <w:pPr>
        <w:pStyle w:val="24"/>
        <w:snapToGrid w:val="0"/>
        <w:spacing w:beforeLines="0" w:afterLines="0" w:line="360" w:lineRule="auto"/>
        <w:ind w:firstLine="472" w:firstLineChars="196"/>
        <w:rPr>
          <w:b/>
          <w:bCs/>
        </w:rPr>
      </w:pPr>
      <w:r>
        <w:rPr>
          <w:rFonts w:hint="eastAsia"/>
          <w:b/>
          <w:bCs/>
        </w:rPr>
        <w:t>（一）确定中标人。</w:t>
      </w:r>
      <w:r>
        <w:rPr>
          <w:rFonts w:hint="eastAsia" w:hAnsi="宋体"/>
          <w:b/>
        </w:rPr>
        <w:t>本项目由采购人授权评标委员会确定中标人。</w:t>
      </w:r>
    </w:p>
    <w:p>
      <w:pPr>
        <w:pStyle w:val="24"/>
        <w:snapToGrid w:val="0"/>
        <w:spacing w:beforeLines="0" w:afterLines="0" w:line="360" w:lineRule="auto"/>
        <w:ind w:firstLine="470" w:firstLineChars="196"/>
      </w:pPr>
      <w:r>
        <w:rPr>
          <w:rFonts w:hint="eastAsia"/>
        </w:rPr>
        <w:t>1.采购人在收到评标报告后五个工作日内，依法确认中标供应商。</w:t>
      </w:r>
    </w:p>
    <w:p>
      <w:pPr>
        <w:pStyle w:val="24"/>
        <w:snapToGrid w:val="0"/>
        <w:spacing w:beforeLines="0" w:afterLines="0" w:line="360" w:lineRule="auto"/>
        <w:ind w:firstLine="470" w:firstLineChars="196"/>
      </w:pPr>
      <w:r>
        <w:rPr>
          <w:rFonts w:hint="eastAsia"/>
        </w:rPr>
        <w:t>2.中标供应商确定后，中标结果在财政部门指定的政府采购信息发布媒体上公告。</w:t>
      </w:r>
    </w:p>
    <w:p>
      <w:pPr>
        <w:pStyle w:val="24"/>
        <w:snapToGrid w:val="0"/>
        <w:spacing w:beforeLines="0" w:afterLines="0" w:line="360" w:lineRule="auto"/>
        <w:ind w:firstLine="470" w:firstLineChars="196"/>
      </w:pPr>
      <w:r>
        <w:rPr>
          <w:rFonts w:hint="eastAsia"/>
        </w:rPr>
        <w:t>3.在发布公告的同时，招标采购单位向中标供应商发出中标通知书，中标通知书对采购人和中标供应商具有同等法律效力。</w:t>
      </w:r>
    </w:p>
    <w:p>
      <w:pPr>
        <w:pStyle w:val="24"/>
        <w:snapToGrid w:val="0"/>
        <w:spacing w:beforeLines="0" w:afterLines="0" w:line="360" w:lineRule="auto"/>
        <w:ind w:firstLine="472" w:firstLineChars="196"/>
        <w:rPr>
          <w:b/>
        </w:rPr>
      </w:pPr>
      <w:r>
        <w:rPr>
          <w:rFonts w:hint="eastAsia"/>
          <w:b/>
        </w:rPr>
        <w:t>4根据浙江省财政厅《</w:t>
      </w:r>
      <w:r>
        <w:rPr>
          <w:b/>
        </w:rPr>
        <w:t>关于印发浙江省政府采购供应商注册及诚信管理暂行办法的通知</w:t>
      </w:r>
      <w:r>
        <w:rPr>
          <w:rFonts w:hint="eastAsia"/>
          <w:b/>
        </w:rPr>
        <w:t>》[</w:t>
      </w:r>
      <w:r>
        <w:rPr>
          <w:b/>
        </w:rPr>
        <w:t>浙财采监字〔2009〕28号</w:t>
      </w:r>
      <w:r>
        <w:rPr>
          <w:rFonts w:hint="eastAsia"/>
          <w:b/>
        </w:rPr>
        <w:t>]精神，中标供应商在领取中标通知书前，必须在《浙江政府采购网》上完成供应商的注册工作，经初审、终审及公示后方可正式领取中标通知书。</w:t>
      </w:r>
    </w:p>
    <w:p>
      <w:pPr>
        <w:pStyle w:val="24"/>
        <w:snapToGrid w:val="0"/>
        <w:spacing w:beforeLines="0" w:afterLines="0" w:line="360" w:lineRule="auto"/>
        <w:ind w:firstLine="472" w:firstLineChars="196"/>
        <w:rPr>
          <w:rFonts w:hAnsi="宋体"/>
        </w:rPr>
      </w:pPr>
      <w:r>
        <w:rPr>
          <w:rFonts w:hint="eastAsia"/>
          <w:b/>
        </w:rPr>
        <w:t>5.</w:t>
      </w:r>
      <w:r>
        <w:rPr>
          <w:rFonts w:hint="eastAsia" w:hAnsi="宋体"/>
        </w:rPr>
        <w:t>中标通知书发出后，采购人改变中标结果，或者中标供应商放弃中标，应当承担相应的法律责任。</w:t>
      </w:r>
    </w:p>
    <w:p>
      <w:pPr>
        <w:pStyle w:val="24"/>
        <w:snapToGrid w:val="0"/>
        <w:spacing w:beforeLines="0" w:afterLines="0" w:line="360" w:lineRule="auto"/>
        <w:ind w:firstLine="472" w:firstLineChars="196"/>
        <w:rPr>
          <w:rFonts w:hAnsi="宋体"/>
          <w:b/>
        </w:rPr>
      </w:pPr>
      <w:r>
        <w:rPr>
          <w:rFonts w:hint="eastAsia" w:hAnsi="宋体"/>
          <w:b/>
        </w:rPr>
        <w:t>（二）中标通知书</w:t>
      </w:r>
    </w:p>
    <w:p>
      <w:pPr>
        <w:pStyle w:val="24"/>
        <w:snapToGrid w:val="0"/>
        <w:spacing w:beforeLines="0" w:afterLines="0" w:line="360" w:lineRule="auto"/>
        <w:ind w:firstLine="470" w:firstLineChars="196"/>
      </w:pPr>
      <w:r>
        <w:rPr>
          <w:rFonts w:hint="eastAsia"/>
        </w:rPr>
        <w:t>1.确定中标供应商后，招标采购单位将以书面形式发出中标通知书，通知中标的投标人其投标被接受。</w:t>
      </w:r>
    </w:p>
    <w:p>
      <w:pPr>
        <w:pStyle w:val="24"/>
        <w:snapToGrid w:val="0"/>
        <w:spacing w:beforeLines="0" w:afterLines="0" w:line="360" w:lineRule="auto"/>
        <w:ind w:firstLine="470" w:firstLineChars="196"/>
      </w:pPr>
      <w:r>
        <w:rPr>
          <w:rFonts w:hint="eastAsia"/>
        </w:rPr>
        <w:t>2.中标通知书为双方签订合同的依据。</w:t>
      </w:r>
    </w:p>
    <w:p>
      <w:pPr>
        <w:pStyle w:val="24"/>
        <w:snapToGrid w:val="0"/>
        <w:spacing w:beforeLines="0" w:afterLines="0" w:line="360" w:lineRule="auto"/>
        <w:ind w:firstLine="470" w:firstLineChars="196"/>
      </w:pPr>
      <w:r>
        <w:rPr>
          <w:rFonts w:hint="eastAsia"/>
        </w:rPr>
        <w:t>3.中标供应商应根据中标通知书中规定的时间内，由法定代表人或其授权代理人与采购人签订合同。</w:t>
      </w:r>
    </w:p>
    <w:p>
      <w:pPr>
        <w:pStyle w:val="24"/>
        <w:snapToGrid w:val="0"/>
        <w:spacing w:beforeLines="0" w:afterLines="0" w:line="360" w:lineRule="auto"/>
        <w:ind w:firstLine="551" w:firstLineChars="196"/>
        <w:outlineLvl w:val="1"/>
        <w:rPr>
          <w:rFonts w:hAnsi="宋体"/>
          <w:b/>
          <w:sz w:val="28"/>
          <w:szCs w:val="28"/>
        </w:rPr>
      </w:pPr>
      <w:r>
        <w:rPr>
          <w:rFonts w:hint="eastAsia" w:hAnsi="宋体"/>
          <w:b/>
          <w:sz w:val="28"/>
          <w:szCs w:val="28"/>
        </w:rPr>
        <w:t>七、合同授予</w:t>
      </w:r>
    </w:p>
    <w:p>
      <w:pPr>
        <w:snapToGrid w:val="0"/>
        <w:spacing w:line="360" w:lineRule="auto"/>
        <w:ind w:firstLine="472" w:firstLineChars="196"/>
        <w:rPr>
          <w:rFonts w:ascii="宋体" w:hAnsi="宋体"/>
          <w:b/>
          <w:bCs/>
          <w:sz w:val="24"/>
          <w:szCs w:val="20"/>
        </w:rPr>
      </w:pPr>
      <w:r>
        <w:rPr>
          <w:rFonts w:hint="eastAsia" w:ascii="宋体" w:hAnsi="宋体"/>
          <w:b/>
          <w:bCs/>
          <w:sz w:val="24"/>
        </w:rPr>
        <w:t>（一）签订合同</w:t>
      </w:r>
    </w:p>
    <w:p>
      <w:pPr>
        <w:snapToGrid w:val="0"/>
        <w:spacing w:line="360" w:lineRule="auto"/>
        <w:ind w:firstLine="480" w:firstLineChars="200"/>
        <w:rPr>
          <w:rFonts w:ascii="宋体" w:hAnsi="宋体"/>
          <w:sz w:val="24"/>
          <w:szCs w:val="20"/>
        </w:rPr>
      </w:pPr>
      <w:r>
        <w:rPr>
          <w:rFonts w:ascii="宋体" w:hAnsi="宋体"/>
          <w:sz w:val="24"/>
        </w:rPr>
        <w:t>1</w:t>
      </w:r>
      <w:r>
        <w:rPr>
          <w:rFonts w:hint="eastAsia" w:ascii="宋体" w:hAnsi="宋体"/>
          <w:sz w:val="24"/>
        </w:rPr>
        <w:t>.采购人与</w:t>
      </w:r>
      <w:r>
        <w:rPr>
          <w:rFonts w:ascii="宋体" w:hAnsi="宋体"/>
          <w:sz w:val="24"/>
        </w:rPr>
        <w:t>中标人应</w:t>
      </w:r>
      <w:r>
        <w:rPr>
          <w:rFonts w:hint="eastAsia" w:ascii="宋体" w:hAnsi="宋体"/>
          <w:sz w:val="24"/>
        </w:rPr>
        <w:t>当在《</w:t>
      </w:r>
      <w:r>
        <w:rPr>
          <w:rFonts w:ascii="宋体" w:hAnsi="宋体"/>
          <w:sz w:val="24"/>
        </w:rPr>
        <w:t>中标通知书</w:t>
      </w:r>
      <w:r>
        <w:rPr>
          <w:rFonts w:hint="eastAsia" w:ascii="宋体" w:hAnsi="宋体"/>
          <w:sz w:val="24"/>
        </w:rPr>
        <w:t>》发出之日起30日内签订政府采购合同。同时，采购代理机构对合同内容进行审查，如发现与采购结果和投标承诺内容不一致的，应予以纠正。</w:t>
      </w:r>
    </w:p>
    <w:p>
      <w:pPr>
        <w:snapToGrid w:val="0"/>
        <w:spacing w:line="360" w:lineRule="auto"/>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中标人拖延、拒签合同的,将被取消中标资格。</w:t>
      </w:r>
    </w:p>
    <w:p>
      <w:pPr>
        <w:pStyle w:val="24"/>
        <w:snapToGrid w:val="0"/>
        <w:spacing w:beforeLines="0" w:afterLines="0" w:line="360" w:lineRule="auto"/>
        <w:ind w:firstLine="472" w:firstLineChars="196"/>
        <w:rPr>
          <w:rFonts w:hAnsi="宋体"/>
        </w:rPr>
      </w:pPr>
      <w:r>
        <w:rPr>
          <w:rFonts w:hAnsi="宋体"/>
          <w:b/>
        </w:rPr>
        <w:t>（二）履约保证金</w:t>
      </w:r>
      <w:r>
        <w:rPr>
          <w:rFonts w:hint="eastAsia" w:hAnsi="宋体"/>
          <w:b/>
        </w:rPr>
        <w:t>：无</w:t>
      </w:r>
    </w:p>
    <w:p>
      <w:pPr>
        <w:pStyle w:val="24"/>
        <w:snapToGrid w:val="0"/>
        <w:spacing w:beforeLines="0" w:afterLines="0" w:line="360" w:lineRule="auto"/>
        <w:ind w:firstLine="562" w:firstLineChars="200"/>
        <w:rPr>
          <w:rFonts w:hAnsi="宋体"/>
          <w:b/>
          <w:sz w:val="28"/>
          <w:szCs w:val="28"/>
        </w:rPr>
      </w:pPr>
      <w:r>
        <w:rPr>
          <w:rFonts w:hint="eastAsia" w:hAnsi="宋体"/>
          <w:b/>
          <w:sz w:val="28"/>
          <w:szCs w:val="28"/>
        </w:rPr>
        <w:t>(三)其他</w:t>
      </w:r>
    </w:p>
    <w:p>
      <w:pPr>
        <w:snapToGrid w:val="0"/>
        <w:spacing w:line="360" w:lineRule="auto"/>
        <w:ind w:firstLine="470" w:firstLineChars="196"/>
        <w:jc w:val="left"/>
        <w:rPr>
          <w:rFonts w:ascii="宋体" w:hAnsi="宋体"/>
          <w:sz w:val="24"/>
        </w:rPr>
      </w:pPr>
      <w:r>
        <w:rPr>
          <w:rFonts w:hint="eastAsia" w:ascii="宋体" w:hAnsi="宋体"/>
          <w:sz w:val="24"/>
        </w:rPr>
        <w:t>供应商有下列情形之一的，自愿接受取消投标资格；如已中标的，自动放弃中标资格，并承担全部法律责任；给采购人造成损失的，依法承担赔偿责任：</w:t>
      </w:r>
    </w:p>
    <w:p>
      <w:pPr>
        <w:snapToGrid w:val="0"/>
        <w:spacing w:line="360" w:lineRule="auto"/>
        <w:ind w:firstLine="470" w:firstLineChars="196"/>
        <w:rPr>
          <w:rFonts w:ascii="宋体" w:hAnsi="宋体"/>
          <w:sz w:val="24"/>
        </w:rPr>
      </w:pPr>
      <w:r>
        <w:rPr>
          <w:rFonts w:hint="eastAsia" w:ascii="宋体" w:hAnsi="宋体"/>
          <w:sz w:val="24"/>
        </w:rPr>
        <w:t>（1）供应商在投标有效期内撤回投标文件的；</w:t>
      </w:r>
    </w:p>
    <w:p>
      <w:pPr>
        <w:snapToGrid w:val="0"/>
        <w:spacing w:line="360" w:lineRule="auto"/>
        <w:ind w:firstLine="470" w:firstLineChars="196"/>
        <w:rPr>
          <w:rFonts w:ascii="宋体" w:hAnsi="宋体"/>
          <w:sz w:val="24"/>
        </w:rPr>
      </w:pPr>
      <w:r>
        <w:rPr>
          <w:rFonts w:hint="eastAsia" w:ascii="宋体" w:hAnsi="宋体"/>
          <w:sz w:val="24"/>
        </w:rPr>
        <w:t>（2）供应商在投标过程中弄虚作假，提供虚假材料的；</w:t>
      </w:r>
    </w:p>
    <w:p>
      <w:pPr>
        <w:snapToGrid w:val="0"/>
        <w:spacing w:line="360" w:lineRule="auto"/>
        <w:ind w:firstLine="470" w:firstLineChars="196"/>
        <w:rPr>
          <w:rFonts w:ascii="宋体" w:hAnsi="宋体"/>
          <w:sz w:val="24"/>
        </w:rPr>
      </w:pPr>
      <w:r>
        <w:rPr>
          <w:rFonts w:hint="eastAsia" w:ascii="宋体" w:hAnsi="宋体"/>
          <w:sz w:val="24"/>
        </w:rPr>
        <w:t>（3）中标供应商无正当理由不与采购人签订合同的；</w:t>
      </w:r>
    </w:p>
    <w:p>
      <w:pPr>
        <w:snapToGrid w:val="0"/>
        <w:spacing w:line="360" w:lineRule="auto"/>
        <w:ind w:firstLine="470" w:firstLineChars="196"/>
        <w:rPr>
          <w:rFonts w:ascii="宋体" w:hAnsi="宋体"/>
          <w:sz w:val="24"/>
        </w:rPr>
      </w:pPr>
      <w:r>
        <w:rPr>
          <w:rFonts w:hint="eastAsia" w:ascii="宋体" w:hAnsi="宋体"/>
          <w:sz w:val="24"/>
        </w:rPr>
        <w:t>（4）将中标项目转让给他人或者在投标文件中未说明且未经招标采购人同意，将中标项目分包给他人的；</w:t>
      </w:r>
    </w:p>
    <w:p>
      <w:pPr>
        <w:snapToGrid w:val="0"/>
        <w:spacing w:line="360" w:lineRule="auto"/>
        <w:ind w:firstLine="470" w:firstLineChars="196"/>
        <w:rPr>
          <w:rFonts w:ascii="宋体" w:hAnsi="宋体"/>
          <w:sz w:val="24"/>
        </w:rPr>
      </w:pPr>
      <w:r>
        <w:rPr>
          <w:rFonts w:hint="eastAsia" w:ascii="宋体" w:hAnsi="宋体"/>
          <w:sz w:val="24"/>
        </w:rPr>
        <w:t>（5）拒绝履行合同义务的；</w:t>
      </w:r>
    </w:p>
    <w:p>
      <w:pPr>
        <w:snapToGrid w:val="0"/>
        <w:spacing w:line="360" w:lineRule="auto"/>
        <w:ind w:firstLine="470" w:firstLineChars="196"/>
        <w:rPr>
          <w:rFonts w:ascii="宋体" w:hAnsi="宋体"/>
          <w:sz w:val="24"/>
        </w:rPr>
      </w:pPr>
      <w:r>
        <w:rPr>
          <w:rFonts w:hint="eastAsia" w:ascii="宋体" w:hAnsi="宋体"/>
          <w:sz w:val="24"/>
        </w:rPr>
        <w:t>（6）其他严重扰乱招投标程序的。</w:t>
      </w:r>
    </w:p>
    <w:p>
      <w:pPr>
        <w:pStyle w:val="24"/>
        <w:snapToGrid w:val="0"/>
        <w:spacing w:beforeLines="0" w:afterLines="0" w:line="360" w:lineRule="auto"/>
        <w:ind w:firstLine="470" w:firstLineChars="196"/>
        <w:outlineLvl w:val="1"/>
        <w:rPr>
          <w:rFonts w:hAnsi="宋体"/>
        </w:rPr>
      </w:pPr>
    </w:p>
    <w:p>
      <w:pPr>
        <w:pStyle w:val="24"/>
        <w:snapToGrid w:val="0"/>
        <w:spacing w:beforeLines="0" w:afterLines="0" w:line="360" w:lineRule="auto"/>
        <w:jc w:val="center"/>
        <w:rPr>
          <w:rFonts w:ascii="黑体" w:hAnsi="宋体" w:eastAsia="黑体"/>
          <w:sz w:val="30"/>
          <w:szCs w:val="30"/>
        </w:rPr>
      </w:pPr>
    </w:p>
    <w:p>
      <w:pPr>
        <w:pStyle w:val="24"/>
        <w:snapToGrid w:val="0"/>
        <w:spacing w:beforeLines="0" w:afterLines="0" w:line="360" w:lineRule="auto"/>
        <w:rPr>
          <w:rFonts w:ascii="黑体" w:hAnsi="宋体" w:eastAsia="黑体"/>
          <w:sz w:val="30"/>
          <w:szCs w:val="30"/>
        </w:rPr>
      </w:pPr>
    </w:p>
    <w:p>
      <w:pPr>
        <w:pStyle w:val="24"/>
        <w:snapToGrid w:val="0"/>
        <w:spacing w:beforeLines="0" w:afterLines="0" w:line="360" w:lineRule="auto"/>
        <w:rPr>
          <w:rFonts w:ascii="黑体" w:hAnsi="宋体" w:eastAsia="黑体"/>
          <w:sz w:val="30"/>
          <w:szCs w:val="30"/>
        </w:rPr>
      </w:pPr>
    </w:p>
    <w:p>
      <w:pPr>
        <w:pStyle w:val="24"/>
        <w:snapToGrid w:val="0"/>
        <w:spacing w:beforeLines="0" w:afterLines="0" w:line="360" w:lineRule="auto"/>
        <w:rPr>
          <w:rFonts w:ascii="黑体" w:hAnsi="宋体" w:eastAsia="黑体"/>
          <w:sz w:val="30"/>
          <w:szCs w:val="30"/>
        </w:rPr>
      </w:pPr>
    </w:p>
    <w:p>
      <w:pPr>
        <w:pStyle w:val="24"/>
        <w:snapToGrid w:val="0"/>
        <w:spacing w:beforeLines="0" w:afterLines="0" w:line="360" w:lineRule="auto"/>
        <w:rPr>
          <w:rFonts w:ascii="黑体" w:hAnsi="宋体" w:eastAsia="黑体"/>
          <w:sz w:val="30"/>
          <w:szCs w:val="30"/>
        </w:rPr>
      </w:pPr>
    </w:p>
    <w:p>
      <w:pPr>
        <w:pStyle w:val="24"/>
        <w:snapToGrid w:val="0"/>
        <w:spacing w:beforeLines="0" w:afterLines="0" w:line="360" w:lineRule="auto"/>
        <w:rPr>
          <w:rFonts w:ascii="黑体" w:hAnsi="宋体" w:eastAsia="黑体"/>
          <w:sz w:val="30"/>
          <w:szCs w:val="30"/>
        </w:rPr>
      </w:pPr>
    </w:p>
    <w:p>
      <w:pPr>
        <w:pStyle w:val="24"/>
        <w:snapToGrid w:val="0"/>
        <w:spacing w:beforeLines="0" w:afterLines="0" w:line="360" w:lineRule="auto"/>
        <w:rPr>
          <w:rFonts w:ascii="黑体" w:hAnsi="宋体" w:eastAsia="黑体"/>
          <w:sz w:val="30"/>
          <w:szCs w:val="30"/>
        </w:rPr>
      </w:pPr>
    </w:p>
    <w:p>
      <w:pPr>
        <w:pStyle w:val="24"/>
        <w:snapToGrid w:val="0"/>
        <w:spacing w:beforeLines="0" w:afterLines="0" w:line="360" w:lineRule="auto"/>
        <w:jc w:val="center"/>
        <w:rPr>
          <w:rFonts w:ascii="黑体" w:hAnsi="宋体" w:eastAsia="黑体"/>
          <w:sz w:val="30"/>
          <w:szCs w:val="30"/>
        </w:rPr>
      </w:pPr>
      <w:r>
        <w:rPr>
          <w:rFonts w:hint="eastAsia" w:ascii="黑体" w:hAnsi="宋体" w:eastAsia="黑体"/>
          <w:sz w:val="30"/>
          <w:szCs w:val="30"/>
        </w:rPr>
        <w:t>第四章  评标办法及评分标准</w:t>
      </w:r>
    </w:p>
    <w:p>
      <w:pPr>
        <w:spacing w:line="360" w:lineRule="auto"/>
        <w:ind w:firstLine="420"/>
        <w:rPr>
          <w:rFonts w:asciiTheme="majorEastAsia" w:hAnsiTheme="majorEastAsia" w:eastAsiaTheme="majorEastAsia"/>
          <w:sz w:val="24"/>
          <w:szCs w:val="24"/>
        </w:rPr>
      </w:pPr>
      <w:r>
        <w:rPr>
          <w:rFonts w:hint="eastAsia" w:asciiTheme="majorEastAsia" w:hAnsiTheme="majorEastAsia" w:eastAsiaTheme="majorEastAsia"/>
          <w:sz w:val="24"/>
          <w:szCs w:val="24"/>
        </w:rPr>
        <w:t>为公正、公平、科学地选择中标人，根据《中华人民共和国政府采购法》等有关法律法规的规定和《湖州市爱山小学教育集团新型教学空间设施设备项目采购文件》规定，并结合本项目的实际，制定本办法。</w:t>
      </w:r>
    </w:p>
    <w:p>
      <w:pPr>
        <w:spacing w:line="360" w:lineRule="auto"/>
        <w:ind w:firstLine="420"/>
        <w:rPr>
          <w:rFonts w:asciiTheme="majorEastAsia" w:hAnsiTheme="majorEastAsia" w:eastAsiaTheme="majorEastAsia"/>
          <w:bCs/>
          <w:sz w:val="24"/>
          <w:szCs w:val="24"/>
        </w:rPr>
      </w:pPr>
      <w:r>
        <w:rPr>
          <w:rFonts w:hint="eastAsia" w:asciiTheme="majorEastAsia" w:hAnsiTheme="majorEastAsia" w:eastAsiaTheme="majorEastAsia"/>
          <w:sz w:val="24"/>
          <w:szCs w:val="24"/>
        </w:rPr>
        <w:t>本办法适用于</w:t>
      </w:r>
      <w:r>
        <w:rPr>
          <w:rFonts w:hint="eastAsia" w:asciiTheme="majorEastAsia" w:hAnsiTheme="majorEastAsia" w:eastAsiaTheme="majorEastAsia"/>
          <w:b/>
          <w:bCs/>
          <w:sz w:val="24"/>
          <w:szCs w:val="24"/>
        </w:rPr>
        <w:t>湖州市爱山小学教育集团新型教学空间设施设备项目</w:t>
      </w:r>
      <w:r>
        <w:rPr>
          <w:rFonts w:hint="eastAsia" w:asciiTheme="majorEastAsia" w:hAnsiTheme="majorEastAsia" w:eastAsiaTheme="majorEastAsia"/>
          <w:bCs/>
          <w:sz w:val="24"/>
          <w:szCs w:val="24"/>
        </w:rPr>
        <w:t>的评标。</w:t>
      </w:r>
    </w:p>
    <w:p>
      <w:pPr>
        <w:spacing w:line="360" w:lineRule="auto"/>
        <w:ind w:firstLine="472" w:firstLineChars="196"/>
        <w:rPr>
          <w:rFonts w:asciiTheme="majorEastAsia" w:hAnsiTheme="majorEastAsia" w:eastAsiaTheme="majorEastAsia"/>
          <w:b/>
          <w:sz w:val="24"/>
          <w:szCs w:val="24"/>
        </w:rPr>
      </w:pPr>
      <w:r>
        <w:rPr>
          <w:rFonts w:hint="eastAsia" w:asciiTheme="majorEastAsia" w:hAnsiTheme="majorEastAsia" w:eastAsiaTheme="majorEastAsia"/>
          <w:b/>
          <w:sz w:val="24"/>
          <w:szCs w:val="24"/>
        </w:rPr>
        <w:t>一、总则</w:t>
      </w:r>
    </w:p>
    <w:p>
      <w:pPr>
        <w:spacing w:line="360" w:lineRule="auto"/>
        <w:ind w:firstLine="480" w:firstLineChars="200"/>
        <w:rPr>
          <w:rFonts w:asciiTheme="majorEastAsia" w:hAnsiTheme="majorEastAsia" w:eastAsiaTheme="majorEastAsia"/>
          <w:bCs/>
          <w:sz w:val="24"/>
          <w:szCs w:val="24"/>
        </w:rPr>
      </w:pPr>
      <w:r>
        <w:rPr>
          <w:rFonts w:hint="eastAsia" w:asciiTheme="majorEastAsia" w:hAnsiTheme="majorEastAsia" w:eastAsiaTheme="majorEastAsia"/>
          <w:sz w:val="24"/>
          <w:szCs w:val="24"/>
        </w:rPr>
        <w:t>本次评标采用综合评分法，</w:t>
      </w:r>
      <w:r>
        <w:rPr>
          <w:rFonts w:hint="eastAsia" w:asciiTheme="majorEastAsia" w:hAnsiTheme="majorEastAsia" w:eastAsiaTheme="majorEastAsia"/>
          <w:b/>
          <w:sz w:val="24"/>
          <w:szCs w:val="24"/>
        </w:rPr>
        <w:t>总分为100分，包含：价格分（30分）、技术、商务、资信及其他分（70分）三部分</w:t>
      </w:r>
      <w:r>
        <w:rPr>
          <w:rFonts w:hint="eastAsia" w:asciiTheme="majorEastAsia" w:hAnsiTheme="majorEastAsia" w:eastAsiaTheme="majorEastAsia"/>
          <w:sz w:val="24"/>
          <w:szCs w:val="24"/>
        </w:rPr>
        <w:t>。合格投标人的评标得分为各项目汇总得分，按评标得分由高到低顺序排列，得分相同的，按投标报价由低到高顺序排列；得分且投标报价相同的，按技术得分由高到低顺序排列。本项目由采购人授权评标委员会直接确定排名第一的投标人为中标人。</w:t>
      </w:r>
      <w:r>
        <w:rPr>
          <w:rFonts w:hint="eastAsia" w:asciiTheme="majorEastAsia" w:hAnsiTheme="majorEastAsia" w:eastAsiaTheme="majorEastAsia"/>
          <w:bCs/>
          <w:sz w:val="24"/>
          <w:szCs w:val="24"/>
        </w:rPr>
        <w:t>评分过程中采用四舍五入法，并保留小数2位。</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投标人评标</w:t>
      </w:r>
      <w:r>
        <w:rPr>
          <w:rFonts w:hint="eastAsia" w:asciiTheme="majorEastAsia" w:hAnsiTheme="majorEastAsia" w:eastAsiaTheme="majorEastAsia"/>
          <w:bCs/>
          <w:sz w:val="24"/>
          <w:szCs w:val="24"/>
        </w:rPr>
        <w:t>综合得分=价格分+(技术分+商务、资信及其他分)</w:t>
      </w:r>
    </w:p>
    <w:p>
      <w:pPr>
        <w:spacing w:line="360" w:lineRule="auto"/>
        <w:ind w:firstLine="482" w:firstLineChars="200"/>
        <w:rPr>
          <w:rFonts w:asciiTheme="majorEastAsia" w:hAnsiTheme="majorEastAsia" w:eastAsiaTheme="majorEastAsia"/>
          <w:b/>
          <w:sz w:val="24"/>
          <w:szCs w:val="24"/>
        </w:rPr>
      </w:pPr>
      <w:r>
        <w:rPr>
          <w:rFonts w:hint="eastAsia" w:asciiTheme="majorEastAsia" w:hAnsiTheme="majorEastAsia" w:eastAsiaTheme="majorEastAsia"/>
          <w:b/>
          <w:sz w:val="24"/>
          <w:szCs w:val="24"/>
        </w:rPr>
        <w:t>二、评标内容及标准</w:t>
      </w:r>
    </w:p>
    <w:p>
      <w:pPr>
        <w:pStyle w:val="20"/>
        <w:spacing w:before="120" w:beforeLines="50" w:after="120" w:afterLines="50" w:line="400" w:lineRule="exact"/>
        <w:ind w:firstLine="466" w:firstLineChars="200"/>
        <w:rPr>
          <w:rFonts w:hAnsi="宋体"/>
          <w:b/>
          <w:bCs/>
          <w:sz w:val="24"/>
        </w:rPr>
      </w:pPr>
      <w:r>
        <w:rPr>
          <w:rFonts w:hint="eastAsia" w:hAnsi="宋体"/>
          <w:b/>
          <w:sz w:val="24"/>
        </w:rPr>
        <w:t>（一）</w:t>
      </w:r>
      <w:r>
        <w:rPr>
          <w:rFonts w:hint="eastAsia" w:hAnsi="宋体"/>
          <w:b/>
          <w:bCs/>
          <w:sz w:val="24"/>
        </w:rPr>
        <w:t>价格分（30分）</w:t>
      </w:r>
    </w:p>
    <w:p>
      <w:pPr>
        <w:pStyle w:val="20"/>
        <w:spacing w:before="120" w:beforeLines="50" w:after="120" w:afterLines="50" w:line="400" w:lineRule="exact"/>
        <w:ind w:firstLine="464" w:firstLineChars="200"/>
        <w:rPr>
          <w:rFonts w:hAnsi="宋体"/>
          <w:bCs/>
          <w:sz w:val="24"/>
          <w:szCs w:val="24"/>
        </w:rPr>
      </w:pPr>
      <w:r>
        <w:rPr>
          <w:rFonts w:hint="eastAsia" w:hAnsi="宋体"/>
          <w:bCs/>
          <w:sz w:val="24"/>
        </w:rPr>
        <w:t>价格分</w:t>
      </w:r>
      <w:r>
        <w:rPr>
          <w:rFonts w:hint="eastAsia" w:hAnsi="宋体"/>
          <w:bCs/>
          <w:sz w:val="24"/>
          <w:szCs w:val="24"/>
        </w:rPr>
        <w:t>采用低价优先法计算，即满足招标文件要求且投标价格最低的投标报价为评标基准价，其他投标人的价格分按照下列公式计算：</w:t>
      </w:r>
    </w:p>
    <w:p>
      <w:pPr>
        <w:spacing w:before="120" w:beforeLines="50" w:after="120" w:afterLines="50" w:line="400" w:lineRule="exact"/>
        <w:ind w:firstLine="480" w:firstLineChars="200"/>
        <w:rPr>
          <w:rFonts w:ascii="宋体" w:hAnsi="宋体"/>
          <w:sz w:val="24"/>
        </w:rPr>
      </w:pPr>
      <w:r>
        <w:rPr>
          <w:rFonts w:hint="eastAsia" w:ascii="宋体" w:hAnsi="宋体"/>
          <w:sz w:val="24"/>
        </w:rPr>
        <w:t>价格分=（评标基准价/投标报价）×30%×100</w:t>
      </w:r>
    </w:p>
    <w:p>
      <w:pPr>
        <w:spacing w:before="120" w:beforeLines="50" w:after="120" w:afterLines="50" w:line="400" w:lineRule="exact"/>
        <w:ind w:firstLine="472" w:firstLineChars="196"/>
        <w:rPr>
          <w:rFonts w:ascii="宋体" w:hAnsi="宋体"/>
          <w:b/>
          <w:bCs/>
          <w:sz w:val="24"/>
        </w:rPr>
      </w:pPr>
      <w:r>
        <w:rPr>
          <w:rFonts w:hint="eastAsia" w:ascii="宋体" w:hAnsi="宋体"/>
          <w:b/>
          <w:bCs/>
          <w:sz w:val="24"/>
        </w:rPr>
        <w:t>（二）</w:t>
      </w:r>
      <w:r>
        <w:rPr>
          <w:rFonts w:hint="eastAsia" w:ascii="宋体" w:hAnsi="宋体"/>
          <w:b/>
          <w:sz w:val="24"/>
        </w:rPr>
        <w:t>技术、</w:t>
      </w:r>
      <w:r>
        <w:rPr>
          <w:rFonts w:hint="eastAsia" w:asciiTheme="majorEastAsia" w:hAnsiTheme="majorEastAsia" w:eastAsiaTheme="majorEastAsia"/>
          <w:b/>
          <w:sz w:val="24"/>
          <w:szCs w:val="24"/>
        </w:rPr>
        <w:t>商务、资信及其他分</w:t>
      </w:r>
      <w:r>
        <w:rPr>
          <w:rFonts w:hint="eastAsia" w:ascii="宋体" w:hAnsi="宋体"/>
          <w:b/>
          <w:sz w:val="24"/>
        </w:rPr>
        <w:t>（70分）</w:t>
      </w:r>
    </w:p>
    <w:tbl>
      <w:tblPr>
        <w:tblStyle w:val="40"/>
        <w:tblW w:w="10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1276"/>
        <w:gridCol w:w="7171"/>
        <w:gridCol w:w="1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580" w:type="dxa"/>
            <w:vAlign w:val="center"/>
          </w:tcPr>
          <w:p>
            <w:pPr>
              <w:pStyle w:val="20"/>
              <w:tabs>
                <w:tab w:val="left" w:pos="0"/>
                <w:tab w:val="left" w:pos="993"/>
                <w:tab w:val="left" w:pos="1134"/>
              </w:tabs>
              <w:spacing w:line="400" w:lineRule="exact"/>
              <w:ind w:firstLine="0"/>
              <w:jc w:val="center"/>
              <w:outlineLvl w:val="2"/>
              <w:rPr>
                <w:rFonts w:asciiTheme="minorEastAsia" w:hAnsiTheme="minorEastAsia" w:cstheme="minorEastAsia"/>
                <w:sz w:val="24"/>
                <w:szCs w:val="24"/>
              </w:rPr>
            </w:pPr>
            <w:bookmarkStart w:id="3" w:name="_Toc17423"/>
            <w:bookmarkStart w:id="4" w:name="_Toc27814"/>
            <w:r>
              <w:rPr>
                <w:rFonts w:hint="eastAsia" w:asciiTheme="minorEastAsia" w:hAnsiTheme="minorEastAsia" w:cstheme="minorEastAsia"/>
                <w:sz w:val="24"/>
                <w:szCs w:val="24"/>
              </w:rPr>
              <w:t>序号</w:t>
            </w:r>
            <w:bookmarkEnd w:id="3"/>
            <w:bookmarkEnd w:id="4"/>
          </w:p>
        </w:tc>
        <w:tc>
          <w:tcPr>
            <w:tcW w:w="1276" w:type="dxa"/>
            <w:vAlign w:val="center"/>
          </w:tcPr>
          <w:p>
            <w:pPr>
              <w:pStyle w:val="20"/>
              <w:tabs>
                <w:tab w:val="left" w:pos="0"/>
                <w:tab w:val="left" w:pos="993"/>
                <w:tab w:val="left" w:pos="1134"/>
              </w:tabs>
              <w:spacing w:line="400" w:lineRule="exact"/>
              <w:ind w:left="900" w:hanging="480"/>
              <w:outlineLvl w:val="2"/>
              <w:rPr>
                <w:rFonts w:asciiTheme="minorEastAsia" w:hAnsiTheme="minorEastAsia" w:cstheme="minorEastAsia"/>
                <w:sz w:val="24"/>
                <w:szCs w:val="24"/>
              </w:rPr>
            </w:pPr>
            <w:bookmarkStart w:id="5" w:name="_Toc10550"/>
            <w:bookmarkStart w:id="6" w:name="_Toc21760"/>
            <w:r>
              <w:rPr>
                <w:rFonts w:hint="eastAsia" w:asciiTheme="minorEastAsia" w:hAnsiTheme="minorEastAsia" w:cstheme="minorEastAsia"/>
                <w:sz w:val="24"/>
                <w:szCs w:val="24"/>
              </w:rPr>
              <w:t>评审</w:t>
            </w:r>
            <w:bookmarkEnd w:id="5"/>
            <w:bookmarkEnd w:id="6"/>
          </w:p>
          <w:p>
            <w:pPr>
              <w:pStyle w:val="20"/>
              <w:tabs>
                <w:tab w:val="left" w:pos="0"/>
                <w:tab w:val="left" w:pos="993"/>
                <w:tab w:val="left" w:pos="1134"/>
              </w:tabs>
              <w:spacing w:line="400" w:lineRule="exact"/>
              <w:ind w:left="900" w:hanging="480"/>
              <w:outlineLvl w:val="2"/>
              <w:rPr>
                <w:rFonts w:asciiTheme="minorEastAsia" w:hAnsiTheme="minorEastAsia" w:cstheme="minorEastAsia"/>
                <w:sz w:val="24"/>
                <w:szCs w:val="24"/>
              </w:rPr>
            </w:pPr>
            <w:bookmarkStart w:id="7" w:name="_Toc27898"/>
            <w:bookmarkStart w:id="8" w:name="_Toc17202"/>
            <w:r>
              <w:rPr>
                <w:rFonts w:hint="eastAsia" w:asciiTheme="minorEastAsia" w:hAnsiTheme="minorEastAsia" w:cstheme="minorEastAsia"/>
                <w:sz w:val="24"/>
                <w:szCs w:val="24"/>
              </w:rPr>
              <w:t>内容</w:t>
            </w:r>
            <w:bookmarkEnd w:id="7"/>
            <w:bookmarkEnd w:id="8"/>
          </w:p>
        </w:tc>
        <w:tc>
          <w:tcPr>
            <w:tcW w:w="7171" w:type="dxa"/>
            <w:vAlign w:val="center"/>
          </w:tcPr>
          <w:p>
            <w:pPr>
              <w:pStyle w:val="20"/>
              <w:tabs>
                <w:tab w:val="left" w:pos="0"/>
                <w:tab w:val="left" w:pos="993"/>
                <w:tab w:val="left" w:pos="1134"/>
              </w:tabs>
              <w:spacing w:line="400" w:lineRule="exact"/>
              <w:ind w:firstLine="464" w:firstLineChars="200"/>
              <w:jc w:val="center"/>
              <w:outlineLvl w:val="2"/>
              <w:rPr>
                <w:rFonts w:asciiTheme="minorEastAsia" w:hAnsiTheme="minorEastAsia" w:cstheme="minorEastAsia"/>
                <w:sz w:val="24"/>
                <w:szCs w:val="24"/>
              </w:rPr>
            </w:pPr>
            <w:bookmarkStart w:id="9" w:name="_Toc7434"/>
            <w:bookmarkStart w:id="10" w:name="_Toc2873"/>
            <w:r>
              <w:rPr>
                <w:rFonts w:hint="eastAsia" w:asciiTheme="minorEastAsia" w:hAnsiTheme="minorEastAsia" w:cstheme="minorEastAsia"/>
                <w:sz w:val="24"/>
                <w:szCs w:val="24"/>
              </w:rPr>
              <w:t>评分标准</w:t>
            </w:r>
            <w:bookmarkEnd w:id="9"/>
            <w:bookmarkEnd w:id="10"/>
          </w:p>
        </w:tc>
        <w:tc>
          <w:tcPr>
            <w:tcW w:w="1031" w:type="dxa"/>
            <w:vAlign w:val="center"/>
          </w:tcPr>
          <w:p>
            <w:pPr>
              <w:pStyle w:val="20"/>
              <w:tabs>
                <w:tab w:val="left" w:pos="0"/>
                <w:tab w:val="left" w:pos="993"/>
                <w:tab w:val="left" w:pos="1134"/>
              </w:tabs>
              <w:spacing w:line="400" w:lineRule="exact"/>
              <w:ind w:firstLine="0"/>
              <w:jc w:val="center"/>
              <w:outlineLvl w:val="2"/>
              <w:rPr>
                <w:rFonts w:asciiTheme="minorEastAsia" w:hAnsiTheme="minorEastAsia" w:cstheme="minorEastAsia"/>
                <w:sz w:val="24"/>
                <w:szCs w:val="24"/>
              </w:rPr>
            </w:pPr>
            <w:bookmarkStart w:id="11" w:name="_Toc5032"/>
            <w:bookmarkStart w:id="12" w:name="_Toc27210"/>
            <w:r>
              <w:rPr>
                <w:rFonts w:hint="eastAsia" w:asciiTheme="minorEastAsia" w:hAnsiTheme="minorEastAsia" w:cstheme="minorEastAsia"/>
                <w:sz w:val="24"/>
                <w:szCs w:val="24"/>
              </w:rPr>
              <w:t>分值</w:t>
            </w:r>
            <w:bookmarkEnd w:id="11"/>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580" w:type="dxa"/>
            <w:vAlign w:val="center"/>
          </w:tcPr>
          <w:p>
            <w:pPr>
              <w:pStyle w:val="20"/>
              <w:tabs>
                <w:tab w:val="left" w:pos="0"/>
                <w:tab w:val="left" w:pos="993"/>
                <w:tab w:val="left" w:pos="1134"/>
              </w:tabs>
              <w:spacing w:line="400" w:lineRule="exact"/>
              <w:ind w:firstLine="0"/>
              <w:jc w:val="center"/>
              <w:outlineLvl w:val="2"/>
              <w:rPr>
                <w:rFonts w:asciiTheme="minorEastAsia" w:hAnsiTheme="minorEastAsia" w:cstheme="minorEastAsia"/>
                <w:sz w:val="24"/>
                <w:szCs w:val="24"/>
              </w:rPr>
            </w:pPr>
            <w:bookmarkStart w:id="13" w:name="_Toc31833"/>
            <w:bookmarkStart w:id="14" w:name="_Toc3851"/>
            <w:r>
              <w:rPr>
                <w:rFonts w:hint="eastAsia" w:asciiTheme="minorEastAsia" w:hAnsiTheme="minorEastAsia" w:cstheme="minorEastAsia"/>
                <w:sz w:val="24"/>
                <w:szCs w:val="24"/>
              </w:rPr>
              <w:t>一</w:t>
            </w:r>
            <w:bookmarkEnd w:id="13"/>
            <w:bookmarkEnd w:id="14"/>
          </w:p>
        </w:tc>
        <w:tc>
          <w:tcPr>
            <w:tcW w:w="8447" w:type="dxa"/>
            <w:gridSpan w:val="2"/>
            <w:vAlign w:val="center"/>
          </w:tcPr>
          <w:p>
            <w:pPr>
              <w:pStyle w:val="20"/>
              <w:tabs>
                <w:tab w:val="left" w:pos="0"/>
                <w:tab w:val="left" w:pos="993"/>
                <w:tab w:val="left" w:pos="1134"/>
              </w:tabs>
              <w:spacing w:line="400" w:lineRule="exact"/>
              <w:ind w:firstLine="464" w:firstLineChars="200"/>
              <w:outlineLvl w:val="2"/>
              <w:rPr>
                <w:rFonts w:asciiTheme="minorEastAsia" w:hAnsiTheme="minorEastAsia" w:cstheme="minorEastAsia"/>
                <w:sz w:val="24"/>
                <w:szCs w:val="24"/>
              </w:rPr>
            </w:pPr>
            <w:bookmarkStart w:id="15" w:name="_Toc31779"/>
            <w:bookmarkStart w:id="16" w:name="_Toc25176"/>
            <w:r>
              <w:rPr>
                <w:rFonts w:hint="eastAsia" w:asciiTheme="minorEastAsia" w:hAnsiTheme="minorEastAsia" w:cstheme="minorEastAsia"/>
                <w:sz w:val="24"/>
                <w:szCs w:val="24"/>
              </w:rPr>
              <w:t>技术分</w:t>
            </w:r>
            <w:bookmarkEnd w:id="15"/>
            <w:bookmarkEnd w:id="16"/>
          </w:p>
        </w:tc>
        <w:tc>
          <w:tcPr>
            <w:tcW w:w="1031" w:type="dxa"/>
            <w:vAlign w:val="center"/>
          </w:tcPr>
          <w:p>
            <w:pPr>
              <w:pStyle w:val="20"/>
              <w:tabs>
                <w:tab w:val="left" w:pos="0"/>
                <w:tab w:val="left" w:pos="993"/>
                <w:tab w:val="left" w:pos="1134"/>
              </w:tabs>
              <w:spacing w:line="400" w:lineRule="exact"/>
              <w:ind w:firstLine="0"/>
              <w:jc w:val="center"/>
              <w:outlineLvl w:val="2"/>
              <w:rPr>
                <w:rFonts w:asciiTheme="minorEastAsia" w:hAnsiTheme="minorEastAsia" w:cstheme="minorEastAsia"/>
                <w:sz w:val="24"/>
                <w:szCs w:val="24"/>
              </w:rPr>
            </w:pPr>
            <w:bookmarkStart w:id="17" w:name="_Toc24649"/>
            <w:bookmarkStart w:id="18" w:name="_Toc7690"/>
            <w:r>
              <w:rPr>
                <w:rFonts w:hint="eastAsia" w:asciiTheme="minorEastAsia" w:hAnsiTheme="minorEastAsia" w:cstheme="minorEastAsia"/>
                <w:sz w:val="24"/>
                <w:szCs w:val="24"/>
              </w:rPr>
              <w:t>50分</w:t>
            </w:r>
            <w:bookmarkEnd w:id="17"/>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580" w:type="dxa"/>
            <w:vAlign w:val="center"/>
          </w:tcPr>
          <w:p>
            <w:pPr>
              <w:pStyle w:val="20"/>
              <w:tabs>
                <w:tab w:val="left" w:pos="0"/>
                <w:tab w:val="left" w:pos="993"/>
                <w:tab w:val="left" w:pos="1134"/>
              </w:tabs>
              <w:spacing w:line="400" w:lineRule="exact"/>
              <w:ind w:firstLine="0"/>
              <w:jc w:val="center"/>
              <w:outlineLvl w:val="2"/>
              <w:rPr>
                <w:rFonts w:asciiTheme="minorEastAsia" w:hAnsiTheme="minorEastAsia" w:cstheme="minorEastAsia"/>
                <w:sz w:val="24"/>
                <w:szCs w:val="24"/>
              </w:rPr>
            </w:pPr>
            <w:r>
              <w:rPr>
                <w:rFonts w:hint="eastAsia" w:asciiTheme="minorEastAsia" w:hAnsiTheme="minorEastAsia" w:cstheme="minorEastAsia"/>
                <w:sz w:val="24"/>
                <w:szCs w:val="24"/>
              </w:rPr>
              <w:t>1</w:t>
            </w:r>
          </w:p>
        </w:tc>
        <w:tc>
          <w:tcPr>
            <w:tcW w:w="1276" w:type="dxa"/>
            <w:vAlign w:val="center"/>
          </w:tcPr>
          <w:p>
            <w:pPr>
              <w:pStyle w:val="20"/>
              <w:tabs>
                <w:tab w:val="left" w:pos="0"/>
                <w:tab w:val="left" w:pos="993"/>
                <w:tab w:val="left" w:pos="1134"/>
              </w:tabs>
              <w:spacing w:line="400" w:lineRule="exact"/>
              <w:ind w:firstLine="0"/>
              <w:outlineLvl w:val="2"/>
              <w:rPr>
                <w:rFonts w:asciiTheme="minorEastAsia" w:hAnsiTheme="minorEastAsia" w:cstheme="minorEastAsia"/>
                <w:sz w:val="24"/>
                <w:szCs w:val="24"/>
              </w:rPr>
            </w:pPr>
            <w:r>
              <w:rPr>
                <w:rFonts w:hint="eastAsia" w:asciiTheme="minorEastAsia" w:hAnsiTheme="minorEastAsia" w:cstheme="minorEastAsia"/>
                <w:sz w:val="24"/>
                <w:szCs w:val="24"/>
              </w:rPr>
              <w:t>满足招标货物的性能及技术指标要求</w:t>
            </w:r>
          </w:p>
        </w:tc>
        <w:tc>
          <w:tcPr>
            <w:tcW w:w="7171" w:type="dxa"/>
            <w:vAlign w:val="center"/>
          </w:tcPr>
          <w:p>
            <w:pPr>
              <w:pStyle w:val="20"/>
              <w:tabs>
                <w:tab w:val="left" w:pos="0"/>
                <w:tab w:val="left" w:pos="993"/>
                <w:tab w:val="left" w:pos="1134"/>
              </w:tabs>
              <w:spacing w:line="400" w:lineRule="exact"/>
              <w:ind w:firstLine="0"/>
              <w:outlineLvl w:val="2"/>
              <w:rPr>
                <w:rFonts w:asciiTheme="minorEastAsia" w:hAnsiTheme="minorEastAsia" w:cstheme="minorEastAsia"/>
                <w:sz w:val="24"/>
                <w:szCs w:val="24"/>
              </w:rPr>
            </w:pPr>
            <w:r>
              <w:rPr>
                <w:rFonts w:hint="eastAsia" w:asciiTheme="minorEastAsia" w:hAnsiTheme="minorEastAsia" w:cstheme="minorEastAsia"/>
                <w:sz w:val="24"/>
                <w:szCs w:val="24"/>
              </w:rPr>
              <w:t>满足招标文件要求的所有技术参数、技术规范和技术要求的得满分20分。低于招标文件要求允许偏离的重要性技术参数（带★的重要性参数）、技术规范和技术要求的给予逐项扣分，每低于一项扣2分;低于招标文件要求允许偏离的非重要技术参数、技术规范和技术要求的给予逐项扣分，每低于一项扣1分，扣完为止。</w:t>
            </w:r>
          </w:p>
        </w:tc>
        <w:tc>
          <w:tcPr>
            <w:tcW w:w="1031" w:type="dxa"/>
            <w:vAlign w:val="center"/>
          </w:tcPr>
          <w:p>
            <w:pPr>
              <w:pStyle w:val="20"/>
              <w:tabs>
                <w:tab w:val="left" w:pos="0"/>
                <w:tab w:val="left" w:pos="993"/>
                <w:tab w:val="left" w:pos="1134"/>
              </w:tabs>
              <w:spacing w:line="400" w:lineRule="exact"/>
              <w:ind w:firstLine="0"/>
              <w:jc w:val="center"/>
              <w:outlineLvl w:val="2"/>
              <w:rPr>
                <w:rFonts w:asciiTheme="minorEastAsia" w:hAnsiTheme="minorEastAsia" w:cstheme="minorEastAsia"/>
                <w:sz w:val="24"/>
                <w:szCs w:val="24"/>
              </w:rPr>
            </w:pPr>
            <w:r>
              <w:rPr>
                <w:rFonts w:hint="eastAsia" w:asciiTheme="minorEastAsia" w:hAnsiTheme="minorEastAsia" w:cstheme="minorEastAsia"/>
                <w:sz w:val="24"/>
                <w:szCs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580" w:type="dxa"/>
            <w:vAlign w:val="center"/>
          </w:tcPr>
          <w:p>
            <w:pPr>
              <w:pStyle w:val="20"/>
              <w:tabs>
                <w:tab w:val="left" w:pos="0"/>
                <w:tab w:val="left" w:pos="993"/>
                <w:tab w:val="left" w:pos="1134"/>
              </w:tabs>
              <w:spacing w:line="400" w:lineRule="exact"/>
              <w:ind w:firstLine="0"/>
              <w:jc w:val="center"/>
              <w:outlineLvl w:val="2"/>
              <w:rPr>
                <w:rFonts w:asciiTheme="minorEastAsia" w:hAnsiTheme="minorEastAsia" w:cstheme="minorEastAsia"/>
                <w:sz w:val="24"/>
                <w:szCs w:val="24"/>
              </w:rPr>
            </w:pPr>
            <w:r>
              <w:rPr>
                <w:rFonts w:hint="eastAsia" w:asciiTheme="minorEastAsia" w:hAnsiTheme="minorEastAsia" w:cstheme="minorEastAsia"/>
                <w:sz w:val="24"/>
                <w:szCs w:val="24"/>
              </w:rPr>
              <w:t>2</w:t>
            </w:r>
          </w:p>
        </w:tc>
        <w:tc>
          <w:tcPr>
            <w:tcW w:w="1276" w:type="dxa"/>
            <w:vAlign w:val="center"/>
          </w:tcPr>
          <w:p>
            <w:pPr>
              <w:pStyle w:val="20"/>
              <w:tabs>
                <w:tab w:val="left" w:pos="0"/>
                <w:tab w:val="left" w:pos="993"/>
                <w:tab w:val="left" w:pos="1134"/>
              </w:tabs>
              <w:spacing w:line="400" w:lineRule="exact"/>
              <w:ind w:firstLine="0"/>
              <w:outlineLvl w:val="2"/>
              <w:rPr>
                <w:rFonts w:asciiTheme="minorEastAsia" w:hAnsiTheme="minorEastAsia" w:cstheme="minorEastAsia"/>
                <w:sz w:val="24"/>
                <w:szCs w:val="24"/>
              </w:rPr>
            </w:pPr>
            <w:r>
              <w:rPr>
                <w:rFonts w:hint="eastAsia" w:asciiTheme="minorEastAsia" w:hAnsiTheme="minorEastAsia" w:cstheme="minorEastAsia"/>
                <w:sz w:val="24"/>
                <w:szCs w:val="24"/>
              </w:rPr>
              <w:t>设计图纸</w:t>
            </w:r>
          </w:p>
        </w:tc>
        <w:tc>
          <w:tcPr>
            <w:tcW w:w="7171" w:type="dxa"/>
            <w:vAlign w:val="center"/>
          </w:tcPr>
          <w:p>
            <w:pPr>
              <w:pStyle w:val="20"/>
              <w:tabs>
                <w:tab w:val="left" w:pos="0"/>
                <w:tab w:val="left" w:pos="993"/>
                <w:tab w:val="left" w:pos="1134"/>
              </w:tabs>
              <w:spacing w:line="400" w:lineRule="exact"/>
              <w:ind w:firstLine="0"/>
              <w:outlineLvl w:val="2"/>
              <w:rPr>
                <w:rFonts w:asciiTheme="minorEastAsia" w:hAnsiTheme="minorEastAsia" w:cstheme="minorEastAsia"/>
                <w:sz w:val="24"/>
                <w:szCs w:val="24"/>
              </w:rPr>
            </w:pPr>
            <w:r>
              <w:rPr>
                <w:rFonts w:hint="eastAsia" w:asciiTheme="minorEastAsia" w:hAnsiTheme="minorEastAsia" w:cstheme="minorEastAsia"/>
                <w:sz w:val="24"/>
                <w:szCs w:val="24"/>
              </w:rPr>
              <w:t>根据学校具体情况和平面图，进行方案优化设计，并提供设计效果图，图纸和说明方案规范，完整，准确性强，结构合理的，完全符合学校需求得8-10分；图纸和说明方案较规范，相对完整，准确性较强，结构较合理的，相对符合学校需求的，得5-7分；图纸和说明方案基本规范，基本完整，准确性较弱，结构基本合理的，基本符合学校需求的，得1-4分。不提供不得分。</w:t>
            </w:r>
          </w:p>
        </w:tc>
        <w:tc>
          <w:tcPr>
            <w:tcW w:w="1031" w:type="dxa"/>
            <w:vAlign w:val="center"/>
          </w:tcPr>
          <w:p>
            <w:pPr>
              <w:pStyle w:val="20"/>
              <w:tabs>
                <w:tab w:val="left" w:pos="0"/>
                <w:tab w:val="left" w:pos="993"/>
                <w:tab w:val="left" w:pos="1134"/>
              </w:tabs>
              <w:spacing w:line="400" w:lineRule="exact"/>
              <w:ind w:firstLine="0"/>
              <w:jc w:val="center"/>
              <w:outlineLvl w:val="2"/>
              <w:rPr>
                <w:rFonts w:asciiTheme="minorEastAsia" w:hAnsiTheme="minorEastAsia" w:cstheme="minorEastAsia"/>
                <w:sz w:val="24"/>
                <w:szCs w:val="24"/>
              </w:rPr>
            </w:pPr>
            <w:r>
              <w:rPr>
                <w:rFonts w:hint="eastAsia" w:asciiTheme="minorEastAsia" w:hAnsiTheme="minorEastAsia" w:cstheme="minorEastAsia"/>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580" w:type="dxa"/>
            <w:vAlign w:val="center"/>
          </w:tcPr>
          <w:p>
            <w:pPr>
              <w:pStyle w:val="20"/>
              <w:tabs>
                <w:tab w:val="left" w:pos="0"/>
                <w:tab w:val="left" w:pos="993"/>
                <w:tab w:val="left" w:pos="1134"/>
              </w:tabs>
              <w:spacing w:line="400" w:lineRule="exact"/>
              <w:ind w:firstLine="0"/>
              <w:jc w:val="center"/>
              <w:outlineLvl w:val="2"/>
              <w:rPr>
                <w:rFonts w:asciiTheme="minorEastAsia" w:hAnsiTheme="minorEastAsia" w:cstheme="minorEastAsia"/>
                <w:sz w:val="24"/>
                <w:szCs w:val="24"/>
              </w:rPr>
            </w:pPr>
            <w:r>
              <w:rPr>
                <w:rFonts w:hint="eastAsia" w:asciiTheme="minorEastAsia" w:hAnsiTheme="minorEastAsia" w:cstheme="minorEastAsia"/>
                <w:sz w:val="24"/>
                <w:szCs w:val="24"/>
              </w:rPr>
              <w:t>3</w:t>
            </w:r>
          </w:p>
        </w:tc>
        <w:tc>
          <w:tcPr>
            <w:tcW w:w="1276" w:type="dxa"/>
            <w:vAlign w:val="center"/>
          </w:tcPr>
          <w:p>
            <w:pPr>
              <w:pStyle w:val="20"/>
              <w:tabs>
                <w:tab w:val="left" w:pos="0"/>
                <w:tab w:val="left" w:pos="993"/>
                <w:tab w:val="left" w:pos="1134"/>
              </w:tabs>
              <w:spacing w:line="400" w:lineRule="exact"/>
              <w:ind w:firstLine="0"/>
              <w:outlineLvl w:val="2"/>
              <w:rPr>
                <w:rFonts w:asciiTheme="minorEastAsia" w:hAnsiTheme="minorEastAsia" w:cstheme="minorEastAsia"/>
                <w:sz w:val="24"/>
                <w:szCs w:val="24"/>
              </w:rPr>
            </w:pPr>
            <w:r>
              <w:rPr>
                <w:rFonts w:hint="eastAsia" w:asciiTheme="minorEastAsia" w:hAnsiTheme="minorEastAsia" w:cstheme="minorEastAsia"/>
                <w:sz w:val="24"/>
                <w:szCs w:val="24"/>
              </w:rPr>
              <w:t>确保供应货物质量的设施及措施</w:t>
            </w:r>
          </w:p>
        </w:tc>
        <w:tc>
          <w:tcPr>
            <w:tcW w:w="7171" w:type="dxa"/>
            <w:vAlign w:val="center"/>
          </w:tcPr>
          <w:p>
            <w:pPr>
              <w:spacing w:before="120" w:beforeLines="50" w:after="120" w:afterLines="50" w:line="400" w:lineRule="exact"/>
              <w:rPr>
                <w:rFonts w:asciiTheme="minorEastAsia" w:hAnsiTheme="minorEastAsia" w:cstheme="minorEastAsia"/>
                <w:sz w:val="24"/>
                <w:szCs w:val="24"/>
              </w:rPr>
            </w:pPr>
            <w:r>
              <w:rPr>
                <w:rFonts w:hint="eastAsia" w:ascii="宋体" w:hAnsi="宋体" w:eastAsia="宋体" w:cs="Times New Roman"/>
                <w:bCs/>
                <w:sz w:val="24"/>
              </w:rPr>
              <w:t>有严密的质量监控措施和先进的质量检测设施的得</w:t>
            </w:r>
            <w:r>
              <w:rPr>
                <w:rFonts w:hint="eastAsia" w:ascii="宋体" w:hAnsi="宋体"/>
                <w:bCs/>
                <w:sz w:val="24"/>
              </w:rPr>
              <w:t>4</w:t>
            </w:r>
            <w:r>
              <w:rPr>
                <w:rFonts w:hint="eastAsia" w:ascii="宋体" w:hAnsi="宋体" w:eastAsia="宋体" w:cs="Times New Roman"/>
                <w:bCs/>
                <w:sz w:val="24"/>
              </w:rPr>
              <w:t>分，质量监控措施和质量检测设施不完善的，每项扣0.5-1分，扣完该项得分为止；无质量控制措施的扣1-2分，无质量检测设施的扣1-2分。</w:t>
            </w:r>
          </w:p>
        </w:tc>
        <w:tc>
          <w:tcPr>
            <w:tcW w:w="1031" w:type="dxa"/>
            <w:vAlign w:val="center"/>
          </w:tcPr>
          <w:p>
            <w:pPr>
              <w:pStyle w:val="20"/>
              <w:tabs>
                <w:tab w:val="left" w:pos="0"/>
                <w:tab w:val="left" w:pos="993"/>
                <w:tab w:val="left" w:pos="1134"/>
              </w:tabs>
              <w:spacing w:line="400" w:lineRule="exact"/>
              <w:ind w:firstLine="0"/>
              <w:jc w:val="center"/>
              <w:outlineLvl w:val="2"/>
              <w:rPr>
                <w:rFonts w:asciiTheme="minorEastAsia" w:hAnsiTheme="minorEastAsia" w:cstheme="minorEastAsia"/>
                <w:sz w:val="24"/>
                <w:szCs w:val="24"/>
              </w:rPr>
            </w:pPr>
            <w:r>
              <w:rPr>
                <w:rFonts w:hint="eastAsia" w:asciiTheme="minorEastAsia" w:hAnsiTheme="minorEastAsia" w:cstheme="minorEastAsia"/>
                <w:sz w:val="24"/>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580" w:type="dxa"/>
            <w:vAlign w:val="center"/>
          </w:tcPr>
          <w:p>
            <w:pPr>
              <w:pStyle w:val="20"/>
              <w:tabs>
                <w:tab w:val="left" w:pos="0"/>
                <w:tab w:val="left" w:pos="993"/>
                <w:tab w:val="left" w:pos="1134"/>
              </w:tabs>
              <w:spacing w:line="400" w:lineRule="exact"/>
              <w:ind w:firstLine="0"/>
              <w:jc w:val="center"/>
              <w:outlineLvl w:val="2"/>
              <w:rPr>
                <w:rFonts w:asciiTheme="minorEastAsia" w:hAnsiTheme="minorEastAsia" w:cstheme="minorEastAsia"/>
                <w:sz w:val="24"/>
                <w:szCs w:val="24"/>
              </w:rPr>
            </w:pPr>
            <w:r>
              <w:rPr>
                <w:rFonts w:hint="eastAsia" w:asciiTheme="minorEastAsia" w:hAnsiTheme="minorEastAsia" w:cstheme="minorEastAsia"/>
                <w:sz w:val="24"/>
                <w:szCs w:val="24"/>
              </w:rPr>
              <w:t>4</w:t>
            </w:r>
          </w:p>
        </w:tc>
        <w:tc>
          <w:tcPr>
            <w:tcW w:w="1276" w:type="dxa"/>
            <w:vAlign w:val="center"/>
          </w:tcPr>
          <w:p>
            <w:pPr>
              <w:pStyle w:val="20"/>
              <w:tabs>
                <w:tab w:val="left" w:pos="0"/>
                <w:tab w:val="left" w:pos="993"/>
                <w:tab w:val="left" w:pos="1134"/>
              </w:tabs>
              <w:spacing w:line="400" w:lineRule="exact"/>
              <w:ind w:firstLine="0"/>
              <w:outlineLvl w:val="2"/>
              <w:rPr>
                <w:rFonts w:asciiTheme="minorEastAsia" w:hAnsiTheme="minorEastAsia" w:cstheme="minorEastAsia"/>
                <w:sz w:val="24"/>
                <w:szCs w:val="24"/>
              </w:rPr>
            </w:pPr>
            <w:r>
              <w:rPr>
                <w:rFonts w:hint="eastAsia" w:asciiTheme="minorEastAsia" w:hAnsiTheme="minorEastAsia" w:cstheme="minorEastAsia"/>
                <w:sz w:val="24"/>
                <w:szCs w:val="24"/>
              </w:rPr>
              <w:t>安装、调试、验收的方案和措施</w:t>
            </w:r>
          </w:p>
        </w:tc>
        <w:tc>
          <w:tcPr>
            <w:tcW w:w="7171" w:type="dxa"/>
            <w:vAlign w:val="center"/>
          </w:tcPr>
          <w:p>
            <w:pPr>
              <w:spacing w:before="120" w:beforeLines="50" w:after="120" w:afterLines="50" w:line="400" w:lineRule="exact"/>
              <w:rPr>
                <w:rFonts w:ascii="宋体" w:hAnsi="宋体"/>
                <w:sz w:val="24"/>
              </w:rPr>
            </w:pPr>
            <w:r>
              <w:rPr>
                <w:rFonts w:hint="eastAsia" w:ascii="宋体" w:hAnsi="宋体" w:eastAsia="宋体" w:cs="Times New Roman"/>
                <w:sz w:val="24"/>
              </w:rPr>
              <w:t>安装、调试、验收的各阶段的方案和措施能结合本项目特点、切实可行的，得</w:t>
            </w:r>
            <w:r>
              <w:rPr>
                <w:rFonts w:hint="eastAsia" w:ascii="宋体" w:hAnsi="宋体"/>
                <w:sz w:val="24"/>
              </w:rPr>
              <w:t>4</w:t>
            </w:r>
            <w:r>
              <w:rPr>
                <w:rFonts w:hint="eastAsia" w:ascii="宋体" w:hAnsi="宋体" w:eastAsia="宋体" w:cs="Times New Roman"/>
                <w:sz w:val="24"/>
              </w:rPr>
              <w:t>分；方案措施欠佳的，每项扣</w:t>
            </w:r>
            <w:r>
              <w:rPr>
                <w:rFonts w:hint="eastAsia" w:ascii="宋体" w:hAnsi="宋体" w:eastAsia="宋体" w:cs="Times New Roman"/>
                <w:bCs/>
                <w:sz w:val="24"/>
              </w:rPr>
              <w:t>0.5-1</w:t>
            </w:r>
            <w:r>
              <w:rPr>
                <w:rFonts w:hint="eastAsia" w:ascii="宋体" w:hAnsi="宋体" w:eastAsia="宋体" w:cs="Times New Roman"/>
                <w:sz w:val="24"/>
              </w:rPr>
              <w:t>分，扣完该项得分为止；方案措施存在明显缺陷的，每项扣1-2 分，扣完该项得分为止；无方案无措施的不得分。</w:t>
            </w:r>
          </w:p>
        </w:tc>
        <w:tc>
          <w:tcPr>
            <w:tcW w:w="1031" w:type="dxa"/>
            <w:vAlign w:val="center"/>
          </w:tcPr>
          <w:p>
            <w:pPr>
              <w:pStyle w:val="20"/>
              <w:tabs>
                <w:tab w:val="left" w:pos="0"/>
                <w:tab w:val="left" w:pos="993"/>
                <w:tab w:val="left" w:pos="1134"/>
              </w:tabs>
              <w:spacing w:line="400" w:lineRule="exact"/>
              <w:ind w:firstLine="0"/>
              <w:jc w:val="center"/>
              <w:outlineLvl w:val="2"/>
              <w:rPr>
                <w:rFonts w:asciiTheme="minorEastAsia" w:hAnsiTheme="minorEastAsia" w:cstheme="minorEastAsia"/>
                <w:sz w:val="24"/>
                <w:szCs w:val="24"/>
              </w:rPr>
            </w:pPr>
            <w:r>
              <w:rPr>
                <w:rFonts w:hint="eastAsia" w:asciiTheme="minorEastAsia" w:hAnsiTheme="minorEastAsia" w:cstheme="minorEastAsia"/>
                <w:sz w:val="24"/>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580" w:type="dxa"/>
            <w:vAlign w:val="center"/>
          </w:tcPr>
          <w:p>
            <w:pPr>
              <w:pStyle w:val="20"/>
              <w:tabs>
                <w:tab w:val="left" w:pos="0"/>
                <w:tab w:val="left" w:pos="993"/>
                <w:tab w:val="left" w:pos="1134"/>
              </w:tabs>
              <w:spacing w:line="400" w:lineRule="exact"/>
              <w:ind w:firstLine="0"/>
              <w:jc w:val="center"/>
              <w:outlineLvl w:val="2"/>
              <w:rPr>
                <w:rFonts w:asciiTheme="minorEastAsia" w:hAnsiTheme="minorEastAsia" w:cstheme="minorEastAsia"/>
                <w:sz w:val="24"/>
                <w:szCs w:val="24"/>
              </w:rPr>
            </w:pPr>
            <w:r>
              <w:rPr>
                <w:rFonts w:hint="eastAsia" w:asciiTheme="minorEastAsia" w:hAnsiTheme="minorEastAsia" w:cstheme="minorEastAsia"/>
                <w:sz w:val="24"/>
                <w:szCs w:val="24"/>
              </w:rPr>
              <w:t>5</w:t>
            </w:r>
          </w:p>
        </w:tc>
        <w:tc>
          <w:tcPr>
            <w:tcW w:w="1276" w:type="dxa"/>
            <w:vAlign w:val="center"/>
          </w:tcPr>
          <w:p>
            <w:pPr>
              <w:pStyle w:val="20"/>
              <w:tabs>
                <w:tab w:val="left" w:pos="0"/>
                <w:tab w:val="left" w:pos="993"/>
                <w:tab w:val="left" w:pos="1134"/>
              </w:tabs>
              <w:spacing w:line="400" w:lineRule="exact"/>
              <w:ind w:firstLine="0"/>
              <w:jc w:val="center"/>
              <w:outlineLvl w:val="2"/>
              <w:rPr>
                <w:rFonts w:asciiTheme="minorEastAsia" w:hAnsiTheme="minorEastAsia" w:cstheme="minorEastAsia"/>
                <w:sz w:val="24"/>
                <w:szCs w:val="24"/>
              </w:rPr>
            </w:pPr>
            <w:r>
              <w:rPr>
                <w:rFonts w:hint="eastAsia" w:asciiTheme="minorEastAsia" w:hAnsiTheme="minorEastAsia" w:cstheme="minorEastAsia"/>
                <w:sz w:val="24"/>
                <w:szCs w:val="24"/>
              </w:rPr>
              <w:t>演示</w:t>
            </w:r>
          </w:p>
        </w:tc>
        <w:tc>
          <w:tcPr>
            <w:tcW w:w="7171" w:type="dxa"/>
            <w:vAlign w:val="center"/>
          </w:tcPr>
          <w:p>
            <w:pPr>
              <w:spacing w:line="400" w:lineRule="exact"/>
              <w:rPr>
                <w:rFonts w:ascii="宋体" w:hAnsi="宋体" w:eastAsia="宋体" w:cs="Times New Roman"/>
                <w:sz w:val="24"/>
              </w:rPr>
            </w:pPr>
            <w:r>
              <w:rPr>
                <w:rFonts w:hint="eastAsia" w:ascii="宋体" w:hAnsi="宋体" w:eastAsia="宋体" w:cs="Times New Roman"/>
                <w:sz w:val="24"/>
              </w:rPr>
              <w:t>1.金刚人形机器人演示（6分）：</w:t>
            </w:r>
          </w:p>
          <w:p>
            <w:pPr>
              <w:spacing w:line="400" w:lineRule="exact"/>
              <w:rPr>
                <w:rFonts w:ascii="宋体" w:hAnsi="宋体" w:eastAsia="宋体" w:cs="Times New Roman"/>
                <w:sz w:val="24"/>
              </w:rPr>
            </w:pPr>
            <w:r>
              <w:rPr>
                <w:rFonts w:hint="eastAsia" w:ascii="宋体" w:hAnsi="宋体" w:eastAsia="宋体" w:cs="Times New Roman"/>
                <w:sz w:val="24"/>
              </w:rPr>
              <w:t>（1）金刚人形机器人App演示：</w:t>
            </w:r>
          </w:p>
          <w:p>
            <w:pPr>
              <w:spacing w:line="400" w:lineRule="exact"/>
              <w:rPr>
                <w:rFonts w:ascii="宋体" w:hAnsi="宋体" w:eastAsia="宋体" w:cs="Times New Roman"/>
                <w:sz w:val="24"/>
              </w:rPr>
            </w:pPr>
            <w:r>
              <w:rPr>
                <w:rFonts w:hint="eastAsia" w:ascii="宋体" w:hAnsi="宋体" w:eastAsia="宋体" w:cs="Times New Roman"/>
                <w:sz w:val="24"/>
              </w:rPr>
              <w:t>①可更换机器人模型：现场演示更换3种机器人模型图，并演示该机器人模型下控制舵机运动，每实现一种得0.5分，共1.5分（1.5分）。</w:t>
            </w:r>
          </w:p>
          <w:p>
            <w:pPr>
              <w:spacing w:line="400" w:lineRule="exact"/>
              <w:rPr>
                <w:rFonts w:ascii="宋体" w:hAnsi="宋体" w:eastAsia="宋体" w:cs="Times New Roman"/>
                <w:sz w:val="24"/>
              </w:rPr>
            </w:pPr>
            <w:r>
              <w:rPr>
                <w:rFonts w:hint="eastAsia" w:ascii="宋体" w:hAnsi="宋体" w:eastAsia="宋体" w:cs="Times New Roman"/>
                <w:sz w:val="24"/>
              </w:rPr>
              <w:t>②动作组编程：手机APP现场编程演示，现场演示APP上编写3个动作组，每个动作组不少于6个动作，在APP上一键执行以上3个动作组（2分）。</w:t>
            </w:r>
          </w:p>
          <w:p>
            <w:pPr>
              <w:spacing w:line="400" w:lineRule="exact"/>
              <w:rPr>
                <w:rFonts w:ascii="宋体" w:hAnsi="宋体" w:eastAsia="宋体" w:cs="Times New Roman"/>
                <w:sz w:val="24"/>
              </w:rPr>
            </w:pPr>
            <w:r>
              <w:rPr>
                <w:rFonts w:hint="eastAsia" w:ascii="宋体" w:hAnsi="宋体" w:eastAsia="宋体" w:cs="Times New Roman"/>
                <w:sz w:val="24"/>
              </w:rPr>
              <w:fldChar w:fldCharType="begin"/>
            </w:r>
            <w:r>
              <w:rPr>
                <w:rFonts w:hint="eastAsia" w:ascii="宋体" w:hAnsi="宋体" w:eastAsia="宋体" w:cs="Times New Roman"/>
                <w:sz w:val="24"/>
              </w:rPr>
              <w:instrText xml:space="preserve"> = 3 \* GB3 \* MERGEFORMAT </w:instrText>
            </w:r>
            <w:r>
              <w:rPr>
                <w:rFonts w:hint="eastAsia" w:ascii="宋体" w:hAnsi="宋体" w:eastAsia="宋体" w:cs="Times New Roman"/>
                <w:sz w:val="24"/>
              </w:rPr>
              <w:fldChar w:fldCharType="separate"/>
            </w:r>
            <w:r>
              <w:rPr>
                <w:rFonts w:hint="eastAsia" w:ascii="宋体" w:hAnsi="宋体" w:eastAsia="宋体" w:cs="Times New Roman"/>
                <w:sz w:val="24"/>
              </w:rPr>
              <w:t>③</w:t>
            </w:r>
            <w:r>
              <w:rPr>
                <w:rFonts w:hint="eastAsia" w:ascii="宋体" w:hAnsi="宋体" w:eastAsia="宋体" w:cs="Times New Roman"/>
                <w:sz w:val="24"/>
              </w:rPr>
              <w:fldChar w:fldCharType="end"/>
            </w:r>
            <w:r>
              <w:rPr>
                <w:rFonts w:hint="eastAsia" w:ascii="宋体" w:hAnsi="宋体" w:eastAsia="宋体" w:cs="Times New Roman"/>
                <w:sz w:val="24"/>
              </w:rPr>
              <w:t>APP控制动作组演示：控制机器人预设动作组，实现嘴巴开合并说话（0.5分）。</w:t>
            </w:r>
          </w:p>
          <w:p>
            <w:pPr>
              <w:numPr>
                <w:ilvl w:val="0"/>
                <w:numId w:val="3"/>
              </w:numPr>
              <w:spacing w:line="400" w:lineRule="exact"/>
              <w:rPr>
                <w:rFonts w:ascii="宋体" w:hAnsi="宋体" w:eastAsia="宋体" w:cs="Times New Roman"/>
                <w:sz w:val="24"/>
              </w:rPr>
            </w:pPr>
            <w:r>
              <w:rPr>
                <w:rFonts w:hint="eastAsia" w:ascii="宋体" w:hAnsi="宋体" w:eastAsia="宋体" w:cs="Times New Roman"/>
                <w:sz w:val="24"/>
              </w:rPr>
              <w:t>机器人微电影展示：</w:t>
            </w:r>
          </w:p>
          <w:p>
            <w:pPr>
              <w:spacing w:line="400" w:lineRule="exact"/>
              <w:rPr>
                <w:rFonts w:ascii="宋体" w:hAnsi="宋体" w:eastAsia="宋体" w:cs="Times New Roman"/>
                <w:sz w:val="24"/>
              </w:rPr>
            </w:pPr>
            <w:r>
              <w:rPr>
                <w:rFonts w:hint="eastAsia" w:ascii="宋体" w:hAnsi="宋体" w:eastAsia="宋体" w:cs="Times New Roman"/>
                <w:sz w:val="24"/>
              </w:rPr>
              <w:t>提供由学生拍摄制作的微电影视频，主角为本款机器人，主题为红色革命故事，作品剧情完整，有一定的创意和想象力，微电影时长不少于3分钟。评委根据作品效果打分（2分）。</w:t>
            </w:r>
          </w:p>
          <w:p>
            <w:pPr>
              <w:pStyle w:val="20"/>
              <w:tabs>
                <w:tab w:val="left" w:pos="0"/>
                <w:tab w:val="left" w:pos="993"/>
                <w:tab w:val="left" w:pos="1134"/>
              </w:tabs>
              <w:spacing w:line="400" w:lineRule="exact"/>
              <w:ind w:firstLine="0"/>
              <w:outlineLvl w:val="2"/>
              <w:rPr>
                <w:rFonts w:asciiTheme="minorEastAsia" w:hAnsiTheme="minorEastAsia" w:cstheme="minorEastAsia"/>
                <w:sz w:val="24"/>
                <w:szCs w:val="24"/>
              </w:rPr>
            </w:pPr>
            <w:r>
              <w:rPr>
                <w:rFonts w:hint="eastAsia" w:asciiTheme="minorEastAsia" w:hAnsiTheme="minorEastAsia" w:cstheme="minorEastAsia"/>
                <w:sz w:val="24"/>
                <w:szCs w:val="24"/>
              </w:rPr>
              <w:t>2.科学创意实验箱（4分）：</w:t>
            </w:r>
          </w:p>
          <w:p>
            <w:pPr>
              <w:pStyle w:val="20"/>
              <w:tabs>
                <w:tab w:val="left" w:pos="0"/>
                <w:tab w:val="left" w:pos="993"/>
                <w:tab w:val="left" w:pos="1134"/>
              </w:tabs>
              <w:spacing w:line="400" w:lineRule="exact"/>
              <w:ind w:firstLine="0"/>
              <w:outlineLvl w:val="2"/>
              <w:rPr>
                <w:rFonts w:asciiTheme="minorEastAsia" w:hAnsiTheme="minorEastAsia" w:cstheme="minorEastAsia"/>
                <w:sz w:val="24"/>
                <w:szCs w:val="24"/>
              </w:rPr>
            </w:pPr>
            <w:r>
              <w:rPr>
                <w:rFonts w:hint="eastAsia" w:asciiTheme="minorEastAsia" w:hAnsiTheme="minorEastAsia" w:cstheme="minorEastAsia"/>
                <w:sz w:val="24"/>
                <w:szCs w:val="24"/>
              </w:rPr>
              <w:t>提供科学创意实验箱中如下8个科学小实验的现场演示及配套教材：</w:t>
            </w:r>
          </w:p>
          <w:p>
            <w:pPr>
              <w:pStyle w:val="20"/>
              <w:tabs>
                <w:tab w:val="left" w:pos="0"/>
                <w:tab w:val="left" w:pos="993"/>
                <w:tab w:val="left" w:pos="1134"/>
              </w:tabs>
              <w:spacing w:line="400" w:lineRule="exact"/>
              <w:ind w:firstLine="0"/>
              <w:outlineLvl w:val="2"/>
              <w:rPr>
                <w:rFonts w:asciiTheme="minorEastAsia" w:hAnsiTheme="minorEastAsia" w:cstheme="minorEastAsia"/>
                <w:sz w:val="24"/>
                <w:szCs w:val="24"/>
              </w:rPr>
            </w:pPr>
            <w:r>
              <w:rPr>
                <w:rFonts w:hint="eastAsia" w:asciiTheme="minorEastAsia" w:hAnsiTheme="minorEastAsia" w:cstheme="minorEastAsia"/>
                <w:sz w:val="24"/>
                <w:szCs w:val="24"/>
              </w:rPr>
              <w:t>①水中火箭 ②神奇的旋涡 ③ 旋风旋球 ④会跑的吸管</w:t>
            </w:r>
          </w:p>
          <w:p>
            <w:pPr>
              <w:pStyle w:val="20"/>
              <w:tabs>
                <w:tab w:val="left" w:pos="0"/>
                <w:tab w:val="left" w:pos="993"/>
                <w:tab w:val="left" w:pos="1134"/>
              </w:tabs>
              <w:spacing w:line="400" w:lineRule="exact"/>
              <w:ind w:firstLine="0"/>
              <w:outlineLvl w:val="2"/>
              <w:rPr>
                <w:rFonts w:asciiTheme="minorEastAsia" w:hAnsiTheme="minorEastAsia" w:cstheme="minorEastAsia"/>
                <w:sz w:val="24"/>
                <w:szCs w:val="24"/>
              </w:rPr>
            </w:pPr>
            <w:r>
              <w:rPr>
                <w:rFonts w:hint="eastAsia" w:asciiTheme="minorEastAsia" w:hAnsiTheme="minorEastAsia" w:cstheme="minorEastAsia"/>
                <w:sz w:val="24"/>
                <w:szCs w:val="24"/>
              </w:rPr>
              <w:t>⑤隔空传力 ⑥旋转彩灯 ⑦变声小喇叭 ⑧威猛空气炮</w:t>
            </w:r>
          </w:p>
          <w:p>
            <w:pPr>
              <w:pStyle w:val="20"/>
              <w:tabs>
                <w:tab w:val="left" w:pos="0"/>
                <w:tab w:val="left" w:pos="993"/>
                <w:tab w:val="left" w:pos="1134"/>
              </w:tabs>
              <w:spacing w:line="400" w:lineRule="exact"/>
              <w:ind w:firstLine="0"/>
              <w:outlineLvl w:val="2"/>
              <w:rPr>
                <w:rFonts w:asciiTheme="minorEastAsia" w:hAnsiTheme="minorEastAsia" w:cstheme="minorEastAsia"/>
                <w:sz w:val="24"/>
                <w:szCs w:val="24"/>
              </w:rPr>
            </w:pPr>
            <w:r>
              <w:rPr>
                <w:rFonts w:hint="eastAsia" w:asciiTheme="minorEastAsia" w:hAnsiTheme="minorEastAsia" w:cstheme="minorEastAsia"/>
                <w:sz w:val="24"/>
                <w:szCs w:val="24"/>
              </w:rPr>
              <w:t>每个科学小实验0.5分，总计4分。</w:t>
            </w:r>
          </w:p>
          <w:p>
            <w:pPr>
              <w:pStyle w:val="20"/>
              <w:tabs>
                <w:tab w:val="left" w:pos="0"/>
                <w:tab w:val="left" w:pos="993"/>
                <w:tab w:val="left" w:pos="1134"/>
              </w:tabs>
              <w:spacing w:line="400" w:lineRule="exact"/>
              <w:ind w:firstLine="0"/>
              <w:outlineLvl w:val="2"/>
              <w:rPr>
                <w:rFonts w:asciiTheme="minorEastAsia" w:hAnsiTheme="minorEastAsia" w:cstheme="minorEastAsia"/>
                <w:b/>
                <w:sz w:val="24"/>
                <w:szCs w:val="24"/>
              </w:rPr>
            </w:pPr>
            <w:r>
              <w:rPr>
                <w:rFonts w:hint="eastAsia" w:asciiTheme="minorEastAsia" w:hAnsiTheme="minorEastAsia" w:cstheme="minorEastAsia"/>
                <w:b/>
                <w:sz w:val="24"/>
                <w:szCs w:val="24"/>
              </w:rPr>
              <w:t>注：供应商无需派专人参加现场演示，根据演示分评分标准要求录制演示视频（mp4格式；时间控制在15分钟以内），演示视频电子文件用U盘拷贝，与备份投标文件一起邮寄。供应商必须采用真实用户系统环境演示录制成视频，采用 Demo和PPT的或未提供不得分。</w:t>
            </w:r>
          </w:p>
        </w:tc>
        <w:tc>
          <w:tcPr>
            <w:tcW w:w="1031" w:type="dxa"/>
            <w:vAlign w:val="center"/>
          </w:tcPr>
          <w:p>
            <w:pPr>
              <w:pStyle w:val="20"/>
              <w:tabs>
                <w:tab w:val="left" w:pos="0"/>
                <w:tab w:val="left" w:pos="993"/>
                <w:tab w:val="left" w:pos="1134"/>
              </w:tabs>
              <w:spacing w:line="400" w:lineRule="exact"/>
              <w:ind w:firstLine="0"/>
              <w:jc w:val="center"/>
              <w:outlineLvl w:val="2"/>
              <w:rPr>
                <w:rFonts w:asciiTheme="minorEastAsia" w:hAnsiTheme="minorEastAsia" w:cstheme="minorEastAsia"/>
                <w:sz w:val="24"/>
                <w:szCs w:val="24"/>
              </w:rPr>
            </w:pPr>
            <w:r>
              <w:rPr>
                <w:rFonts w:hint="eastAsia" w:asciiTheme="minorEastAsia" w:hAnsiTheme="minorEastAsia" w:cstheme="minorEastAsia"/>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580" w:type="dxa"/>
            <w:vAlign w:val="center"/>
          </w:tcPr>
          <w:p>
            <w:pPr>
              <w:pStyle w:val="20"/>
              <w:tabs>
                <w:tab w:val="left" w:pos="0"/>
                <w:tab w:val="left" w:pos="993"/>
                <w:tab w:val="left" w:pos="1134"/>
              </w:tabs>
              <w:spacing w:line="400" w:lineRule="exact"/>
              <w:ind w:firstLine="0"/>
              <w:jc w:val="center"/>
              <w:outlineLvl w:val="2"/>
              <w:rPr>
                <w:rFonts w:asciiTheme="minorEastAsia" w:hAnsiTheme="minorEastAsia" w:cstheme="minorEastAsia"/>
                <w:sz w:val="24"/>
                <w:szCs w:val="24"/>
              </w:rPr>
            </w:pPr>
            <w:r>
              <w:rPr>
                <w:rFonts w:hint="eastAsia" w:asciiTheme="minorEastAsia" w:hAnsiTheme="minorEastAsia" w:cstheme="minorEastAsia"/>
                <w:sz w:val="24"/>
                <w:szCs w:val="24"/>
              </w:rPr>
              <w:t>6</w:t>
            </w:r>
          </w:p>
        </w:tc>
        <w:tc>
          <w:tcPr>
            <w:tcW w:w="1276" w:type="dxa"/>
            <w:vAlign w:val="center"/>
          </w:tcPr>
          <w:p>
            <w:pPr>
              <w:pStyle w:val="20"/>
              <w:tabs>
                <w:tab w:val="left" w:pos="0"/>
                <w:tab w:val="left" w:pos="993"/>
                <w:tab w:val="left" w:pos="1134"/>
              </w:tabs>
              <w:spacing w:line="400" w:lineRule="exact"/>
              <w:ind w:firstLine="0"/>
              <w:outlineLvl w:val="2"/>
              <w:rPr>
                <w:rFonts w:asciiTheme="minorEastAsia" w:hAnsiTheme="minorEastAsia" w:cstheme="minorEastAsia"/>
                <w:sz w:val="24"/>
                <w:szCs w:val="24"/>
              </w:rPr>
            </w:pPr>
            <w:r>
              <w:rPr>
                <w:rFonts w:hint="eastAsia" w:asciiTheme="minorEastAsia" w:hAnsiTheme="minorEastAsia" w:cstheme="minorEastAsia"/>
                <w:sz w:val="24"/>
                <w:szCs w:val="24"/>
              </w:rPr>
              <w:t>本项目有效的改进措施和合理化建议</w:t>
            </w:r>
          </w:p>
        </w:tc>
        <w:tc>
          <w:tcPr>
            <w:tcW w:w="7171" w:type="dxa"/>
            <w:vAlign w:val="center"/>
          </w:tcPr>
          <w:p>
            <w:pPr>
              <w:pStyle w:val="20"/>
              <w:tabs>
                <w:tab w:val="left" w:pos="0"/>
                <w:tab w:val="left" w:pos="993"/>
                <w:tab w:val="left" w:pos="1134"/>
              </w:tabs>
              <w:spacing w:line="400" w:lineRule="exact"/>
              <w:ind w:firstLine="0"/>
              <w:outlineLvl w:val="2"/>
              <w:rPr>
                <w:rFonts w:asciiTheme="minorEastAsia" w:hAnsiTheme="minorEastAsia" w:cstheme="minorEastAsia"/>
                <w:sz w:val="24"/>
                <w:szCs w:val="24"/>
              </w:rPr>
            </w:pPr>
            <w:r>
              <w:rPr>
                <w:rFonts w:hint="eastAsia" w:asciiTheme="minorEastAsia" w:hAnsiTheme="minorEastAsia" w:cstheme="minorEastAsia"/>
                <w:sz w:val="24"/>
                <w:szCs w:val="24"/>
              </w:rPr>
              <w:t>针对本项目的有效建议或措施的每项得1分，最多得2分。</w:t>
            </w:r>
          </w:p>
        </w:tc>
        <w:tc>
          <w:tcPr>
            <w:tcW w:w="1031" w:type="dxa"/>
            <w:vAlign w:val="center"/>
          </w:tcPr>
          <w:p>
            <w:pPr>
              <w:pStyle w:val="20"/>
              <w:tabs>
                <w:tab w:val="left" w:pos="0"/>
                <w:tab w:val="left" w:pos="993"/>
                <w:tab w:val="left" w:pos="1134"/>
              </w:tabs>
              <w:spacing w:line="400" w:lineRule="exact"/>
              <w:ind w:firstLine="0"/>
              <w:jc w:val="center"/>
              <w:outlineLvl w:val="2"/>
              <w:rPr>
                <w:rFonts w:asciiTheme="minorEastAsia" w:hAnsiTheme="minorEastAsia" w:cstheme="minorEastAsia"/>
                <w:sz w:val="24"/>
                <w:szCs w:val="24"/>
              </w:rPr>
            </w:pPr>
            <w:r>
              <w:rPr>
                <w:rFonts w:hint="eastAsia" w:asciiTheme="minorEastAsia" w:hAnsiTheme="minorEastAsia" w:cstheme="minorEastAsia"/>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580" w:type="dxa"/>
            <w:vAlign w:val="center"/>
          </w:tcPr>
          <w:p>
            <w:pPr>
              <w:pStyle w:val="20"/>
              <w:tabs>
                <w:tab w:val="left" w:pos="0"/>
                <w:tab w:val="left" w:pos="993"/>
                <w:tab w:val="left" w:pos="1134"/>
              </w:tabs>
              <w:spacing w:line="400" w:lineRule="exact"/>
              <w:ind w:firstLine="0"/>
              <w:jc w:val="center"/>
              <w:outlineLvl w:val="2"/>
              <w:rPr>
                <w:rFonts w:asciiTheme="minorEastAsia" w:hAnsiTheme="minorEastAsia" w:cstheme="minorEastAsia"/>
                <w:sz w:val="24"/>
                <w:szCs w:val="24"/>
              </w:rPr>
            </w:pPr>
            <w:bookmarkStart w:id="19" w:name="_Toc25271"/>
            <w:bookmarkStart w:id="20" w:name="_Toc5386"/>
            <w:r>
              <w:rPr>
                <w:rFonts w:hint="eastAsia" w:asciiTheme="minorEastAsia" w:hAnsiTheme="minorEastAsia" w:cstheme="minorEastAsia"/>
                <w:sz w:val="24"/>
                <w:szCs w:val="24"/>
              </w:rPr>
              <w:t>二</w:t>
            </w:r>
            <w:bookmarkEnd w:id="19"/>
            <w:bookmarkEnd w:id="20"/>
          </w:p>
        </w:tc>
        <w:tc>
          <w:tcPr>
            <w:tcW w:w="8447" w:type="dxa"/>
            <w:gridSpan w:val="2"/>
            <w:vAlign w:val="center"/>
          </w:tcPr>
          <w:p>
            <w:pPr>
              <w:widowControl/>
              <w:spacing w:line="440" w:lineRule="exact"/>
              <w:rPr>
                <w:rFonts w:asciiTheme="minorEastAsia" w:hAnsiTheme="minorEastAsia" w:cstheme="minorEastAsia"/>
                <w:spacing w:val="-4"/>
                <w:sz w:val="24"/>
                <w:szCs w:val="24"/>
              </w:rPr>
            </w:pPr>
            <w:bookmarkStart w:id="21" w:name="_Toc10344"/>
            <w:bookmarkStart w:id="22" w:name="_Toc7888"/>
            <w:r>
              <w:rPr>
                <w:rFonts w:hint="eastAsia" w:asciiTheme="minorEastAsia" w:hAnsiTheme="minorEastAsia" w:cstheme="minorEastAsia"/>
                <w:spacing w:val="-4"/>
                <w:sz w:val="24"/>
                <w:szCs w:val="24"/>
              </w:rPr>
              <w:t>商务、资信及其他分</w:t>
            </w:r>
            <w:bookmarkEnd w:id="21"/>
            <w:bookmarkEnd w:id="22"/>
          </w:p>
        </w:tc>
        <w:tc>
          <w:tcPr>
            <w:tcW w:w="1031" w:type="dxa"/>
            <w:vAlign w:val="center"/>
          </w:tcPr>
          <w:p>
            <w:pPr>
              <w:widowControl/>
              <w:spacing w:line="400" w:lineRule="exact"/>
              <w:jc w:val="center"/>
              <w:rPr>
                <w:rFonts w:asciiTheme="minorEastAsia" w:hAnsiTheme="minorEastAsia" w:cstheme="minorEastAsia"/>
                <w:spacing w:val="-4"/>
                <w:sz w:val="24"/>
                <w:szCs w:val="24"/>
              </w:rPr>
            </w:pPr>
            <w:r>
              <w:rPr>
                <w:rFonts w:hint="eastAsia" w:asciiTheme="minorEastAsia" w:hAnsiTheme="minorEastAsia" w:cstheme="minorEastAsia"/>
                <w:spacing w:val="-4"/>
                <w:sz w:val="24"/>
                <w:szCs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580" w:type="dxa"/>
            <w:vAlign w:val="center"/>
          </w:tcPr>
          <w:p>
            <w:pPr>
              <w:pStyle w:val="20"/>
              <w:tabs>
                <w:tab w:val="left" w:pos="0"/>
                <w:tab w:val="left" w:pos="993"/>
                <w:tab w:val="left" w:pos="1134"/>
              </w:tabs>
              <w:spacing w:line="400" w:lineRule="exact"/>
              <w:ind w:firstLine="0"/>
              <w:jc w:val="center"/>
              <w:outlineLvl w:val="2"/>
              <w:rPr>
                <w:rFonts w:asciiTheme="minorEastAsia" w:hAnsiTheme="minorEastAsia" w:cstheme="minorEastAsia"/>
                <w:sz w:val="24"/>
                <w:szCs w:val="24"/>
              </w:rPr>
            </w:pPr>
            <w:r>
              <w:rPr>
                <w:rFonts w:hint="eastAsia" w:asciiTheme="minorEastAsia" w:hAnsiTheme="minorEastAsia" w:cstheme="minorEastAsia"/>
                <w:sz w:val="24"/>
                <w:szCs w:val="24"/>
              </w:rPr>
              <w:t>7</w:t>
            </w:r>
          </w:p>
        </w:tc>
        <w:tc>
          <w:tcPr>
            <w:tcW w:w="1276" w:type="dxa"/>
            <w:vAlign w:val="center"/>
          </w:tcPr>
          <w:p>
            <w:pPr>
              <w:pStyle w:val="20"/>
              <w:tabs>
                <w:tab w:val="left" w:pos="0"/>
                <w:tab w:val="left" w:pos="993"/>
                <w:tab w:val="left" w:pos="1134"/>
              </w:tabs>
              <w:spacing w:line="400" w:lineRule="exact"/>
              <w:ind w:firstLine="0"/>
              <w:outlineLvl w:val="2"/>
              <w:rPr>
                <w:rFonts w:asciiTheme="minorEastAsia" w:hAnsiTheme="minorEastAsia" w:cstheme="minorEastAsia"/>
                <w:sz w:val="24"/>
                <w:szCs w:val="24"/>
              </w:rPr>
            </w:pPr>
            <w:r>
              <w:rPr>
                <w:rFonts w:hint="eastAsia" w:asciiTheme="minorEastAsia" w:hAnsiTheme="minorEastAsia" w:cstheme="minorEastAsia"/>
                <w:sz w:val="24"/>
                <w:szCs w:val="24"/>
              </w:rPr>
              <w:t>类似项目业绩</w:t>
            </w:r>
          </w:p>
        </w:tc>
        <w:tc>
          <w:tcPr>
            <w:tcW w:w="7171" w:type="dxa"/>
            <w:vAlign w:val="center"/>
          </w:tcPr>
          <w:p>
            <w:pPr>
              <w:pStyle w:val="20"/>
              <w:tabs>
                <w:tab w:val="left" w:pos="0"/>
                <w:tab w:val="left" w:pos="993"/>
                <w:tab w:val="left" w:pos="1134"/>
              </w:tabs>
              <w:spacing w:line="400" w:lineRule="exact"/>
              <w:ind w:firstLine="0"/>
              <w:outlineLvl w:val="2"/>
              <w:rPr>
                <w:rFonts w:asciiTheme="minorEastAsia" w:hAnsiTheme="minorEastAsia" w:cstheme="minorEastAsia"/>
                <w:sz w:val="24"/>
                <w:szCs w:val="24"/>
              </w:rPr>
            </w:pPr>
            <w:r>
              <w:rPr>
                <w:rFonts w:hint="eastAsia" w:asciiTheme="minorEastAsia" w:hAnsiTheme="minorEastAsia" w:cstheme="minorEastAsia"/>
                <w:sz w:val="24"/>
                <w:szCs w:val="24"/>
              </w:rPr>
              <w:t>投标人自2018年1月1日以来（以合同签订时间为准）成功实施的类似项目业绩，每提供1个业绩得1分，最高得5分。每项业绩需同时提供①中标通知书②合同③盖有用户单位公章的验收证明④发票等4份关联材料作为佐证材料，复印件或清晰扫描件均可。</w:t>
            </w:r>
          </w:p>
        </w:tc>
        <w:tc>
          <w:tcPr>
            <w:tcW w:w="1031" w:type="dxa"/>
            <w:vAlign w:val="center"/>
          </w:tcPr>
          <w:p>
            <w:pPr>
              <w:pStyle w:val="20"/>
              <w:tabs>
                <w:tab w:val="left" w:pos="0"/>
                <w:tab w:val="left" w:pos="993"/>
                <w:tab w:val="left" w:pos="1134"/>
              </w:tabs>
              <w:spacing w:line="400" w:lineRule="exact"/>
              <w:ind w:firstLine="0"/>
              <w:jc w:val="center"/>
              <w:outlineLvl w:val="2"/>
              <w:rPr>
                <w:rFonts w:asciiTheme="minorEastAsia" w:hAnsiTheme="minorEastAsia" w:cstheme="minorEastAsia"/>
                <w:sz w:val="24"/>
                <w:szCs w:val="24"/>
              </w:rPr>
            </w:pPr>
            <w:r>
              <w:rPr>
                <w:rFonts w:hint="eastAsia" w:asciiTheme="minorEastAsia" w:hAnsiTheme="minorEastAsia" w:cstheme="minorEastAsia"/>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580" w:type="dxa"/>
            <w:vAlign w:val="center"/>
          </w:tcPr>
          <w:p>
            <w:pPr>
              <w:pStyle w:val="20"/>
              <w:tabs>
                <w:tab w:val="left" w:pos="0"/>
                <w:tab w:val="left" w:pos="993"/>
                <w:tab w:val="left" w:pos="1134"/>
              </w:tabs>
              <w:spacing w:line="400" w:lineRule="exact"/>
              <w:ind w:firstLine="0"/>
              <w:jc w:val="center"/>
              <w:outlineLvl w:val="2"/>
              <w:rPr>
                <w:rFonts w:asciiTheme="minorEastAsia" w:hAnsiTheme="minorEastAsia" w:cstheme="minorEastAsia"/>
                <w:sz w:val="24"/>
                <w:szCs w:val="24"/>
              </w:rPr>
            </w:pPr>
            <w:r>
              <w:rPr>
                <w:rFonts w:hint="eastAsia" w:asciiTheme="minorEastAsia" w:hAnsiTheme="minorEastAsia" w:cstheme="minorEastAsia"/>
                <w:sz w:val="24"/>
                <w:szCs w:val="24"/>
              </w:rPr>
              <w:t>8</w:t>
            </w:r>
          </w:p>
        </w:tc>
        <w:tc>
          <w:tcPr>
            <w:tcW w:w="1276" w:type="dxa"/>
            <w:vAlign w:val="center"/>
          </w:tcPr>
          <w:p>
            <w:pPr>
              <w:spacing w:line="440" w:lineRule="exact"/>
              <w:jc w:val="center"/>
              <w:rPr>
                <w:rFonts w:asciiTheme="minorEastAsia" w:hAnsiTheme="minorEastAsia" w:cstheme="minorEastAsia"/>
                <w:spacing w:val="-4"/>
                <w:sz w:val="24"/>
                <w:szCs w:val="24"/>
              </w:rPr>
            </w:pPr>
            <w:r>
              <w:rPr>
                <w:rFonts w:hint="eastAsia" w:ascii="宋体" w:hAnsi="宋体"/>
                <w:bCs/>
                <w:sz w:val="24"/>
              </w:rPr>
              <w:t>售后</w:t>
            </w:r>
            <w:r>
              <w:rPr>
                <w:rFonts w:hint="eastAsia" w:asciiTheme="minorEastAsia" w:hAnsiTheme="minorEastAsia" w:cstheme="minorEastAsia"/>
                <w:spacing w:val="-4"/>
                <w:sz w:val="24"/>
                <w:szCs w:val="24"/>
              </w:rPr>
              <w:t>服务网点</w:t>
            </w:r>
          </w:p>
        </w:tc>
        <w:tc>
          <w:tcPr>
            <w:tcW w:w="7171" w:type="dxa"/>
            <w:vAlign w:val="center"/>
          </w:tcPr>
          <w:p>
            <w:pPr>
              <w:spacing w:before="120" w:beforeLines="50" w:after="120" w:afterLines="50" w:line="400" w:lineRule="exact"/>
              <w:rPr>
                <w:rFonts w:ascii="宋体" w:hAnsi="宋体"/>
                <w:bCs/>
                <w:sz w:val="24"/>
              </w:rPr>
            </w:pPr>
            <w:r>
              <w:rPr>
                <w:rFonts w:hint="eastAsia" w:ascii="宋体" w:hAnsi="宋体"/>
                <w:bCs/>
                <w:sz w:val="24"/>
              </w:rPr>
              <w:t>售后服务网点在湖州市范围内且与投标人存在投资（控股）或直属关系的或承诺中标后在在湖州市范围内设立售后服务网点的，得2分；售后服务网点在除湖州市外的浙江省其他地区范围内且与投标人存在投资（控股）或直属关系的，得1分；如无法提供的不得分。</w:t>
            </w:r>
          </w:p>
        </w:tc>
        <w:tc>
          <w:tcPr>
            <w:tcW w:w="1031" w:type="dxa"/>
            <w:vAlign w:val="center"/>
          </w:tcPr>
          <w:p>
            <w:pPr>
              <w:pStyle w:val="20"/>
              <w:tabs>
                <w:tab w:val="left" w:pos="0"/>
                <w:tab w:val="left" w:pos="993"/>
                <w:tab w:val="left" w:pos="1134"/>
              </w:tabs>
              <w:spacing w:line="400" w:lineRule="exact"/>
              <w:ind w:firstLine="0"/>
              <w:jc w:val="center"/>
              <w:outlineLvl w:val="2"/>
              <w:rPr>
                <w:rFonts w:asciiTheme="minorEastAsia" w:hAnsiTheme="minorEastAsia" w:cstheme="minorEastAsia"/>
                <w:sz w:val="24"/>
                <w:szCs w:val="24"/>
              </w:rPr>
            </w:pPr>
            <w:r>
              <w:rPr>
                <w:rFonts w:hint="eastAsia" w:asciiTheme="minorEastAsia" w:hAnsiTheme="minorEastAsia" w:cstheme="minorEastAsia"/>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580" w:type="dxa"/>
            <w:vAlign w:val="center"/>
          </w:tcPr>
          <w:p>
            <w:pPr>
              <w:pStyle w:val="20"/>
              <w:tabs>
                <w:tab w:val="left" w:pos="0"/>
                <w:tab w:val="left" w:pos="993"/>
                <w:tab w:val="left" w:pos="1134"/>
              </w:tabs>
              <w:spacing w:line="400" w:lineRule="exact"/>
              <w:ind w:firstLine="0"/>
              <w:jc w:val="center"/>
              <w:outlineLvl w:val="2"/>
              <w:rPr>
                <w:rFonts w:asciiTheme="minorEastAsia" w:hAnsiTheme="minorEastAsia" w:cstheme="minorEastAsia"/>
                <w:sz w:val="24"/>
                <w:szCs w:val="24"/>
              </w:rPr>
            </w:pPr>
            <w:r>
              <w:rPr>
                <w:rFonts w:hint="eastAsia" w:asciiTheme="minorEastAsia" w:hAnsiTheme="minorEastAsia" w:cstheme="minorEastAsia"/>
                <w:sz w:val="24"/>
                <w:szCs w:val="24"/>
              </w:rPr>
              <w:t>9</w:t>
            </w:r>
          </w:p>
        </w:tc>
        <w:tc>
          <w:tcPr>
            <w:tcW w:w="1276" w:type="dxa"/>
            <w:vAlign w:val="center"/>
          </w:tcPr>
          <w:p>
            <w:pPr>
              <w:pStyle w:val="20"/>
              <w:tabs>
                <w:tab w:val="left" w:pos="0"/>
                <w:tab w:val="left" w:pos="993"/>
                <w:tab w:val="left" w:pos="1134"/>
              </w:tabs>
              <w:spacing w:line="400" w:lineRule="exact"/>
              <w:ind w:firstLine="0"/>
              <w:outlineLvl w:val="2"/>
              <w:rPr>
                <w:rFonts w:asciiTheme="minorEastAsia" w:hAnsiTheme="minorEastAsia" w:cstheme="minorEastAsia"/>
                <w:sz w:val="24"/>
                <w:szCs w:val="24"/>
              </w:rPr>
            </w:pPr>
            <w:r>
              <w:rPr>
                <w:rFonts w:hint="eastAsia" w:asciiTheme="minorEastAsia" w:hAnsiTheme="minorEastAsia" w:cstheme="minorEastAsia"/>
                <w:sz w:val="24"/>
                <w:szCs w:val="24"/>
              </w:rPr>
              <w:t>售后服务承诺</w:t>
            </w:r>
          </w:p>
        </w:tc>
        <w:tc>
          <w:tcPr>
            <w:tcW w:w="7171" w:type="dxa"/>
            <w:vAlign w:val="center"/>
          </w:tcPr>
          <w:p>
            <w:pPr>
              <w:pStyle w:val="20"/>
              <w:tabs>
                <w:tab w:val="left" w:pos="0"/>
                <w:tab w:val="left" w:pos="993"/>
                <w:tab w:val="left" w:pos="1134"/>
              </w:tabs>
              <w:spacing w:line="400" w:lineRule="exact"/>
              <w:ind w:firstLine="0"/>
              <w:outlineLvl w:val="2"/>
              <w:rPr>
                <w:rFonts w:asciiTheme="minorEastAsia" w:hAnsiTheme="minorEastAsia" w:cstheme="minorEastAsia"/>
                <w:sz w:val="24"/>
                <w:szCs w:val="24"/>
              </w:rPr>
            </w:pPr>
            <w:r>
              <w:rPr>
                <w:rFonts w:hint="eastAsia" w:asciiTheme="minorEastAsia" w:hAnsiTheme="minorEastAsia" w:cstheme="minorEastAsia"/>
                <w:sz w:val="24"/>
                <w:szCs w:val="24"/>
              </w:rPr>
              <w:t>售后服务方案全面周到且优惠幅度大的,得4-5分，售后服务不全面或优惠不明显的,得2-3分，除招标文件规定内容外无其他售后服务承诺的，该项不得分。</w:t>
            </w:r>
          </w:p>
        </w:tc>
        <w:tc>
          <w:tcPr>
            <w:tcW w:w="1031" w:type="dxa"/>
            <w:vAlign w:val="center"/>
          </w:tcPr>
          <w:p>
            <w:pPr>
              <w:widowControl/>
              <w:spacing w:line="400" w:lineRule="exact"/>
              <w:jc w:val="center"/>
              <w:rPr>
                <w:rFonts w:asciiTheme="minorEastAsia" w:hAnsiTheme="minorEastAsia" w:cstheme="minorEastAsia"/>
                <w:spacing w:val="-4"/>
                <w:sz w:val="24"/>
                <w:szCs w:val="24"/>
              </w:rPr>
            </w:pPr>
            <w:r>
              <w:rPr>
                <w:rFonts w:hint="eastAsia" w:asciiTheme="minorEastAsia" w:hAnsiTheme="minorEastAsia" w:cstheme="minorEastAsia"/>
                <w:spacing w:val="-4"/>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580" w:type="dxa"/>
            <w:vAlign w:val="center"/>
          </w:tcPr>
          <w:p>
            <w:pPr>
              <w:pStyle w:val="20"/>
              <w:tabs>
                <w:tab w:val="left" w:pos="0"/>
                <w:tab w:val="left" w:pos="993"/>
                <w:tab w:val="left" w:pos="1134"/>
              </w:tabs>
              <w:spacing w:line="400" w:lineRule="exact"/>
              <w:ind w:firstLine="0"/>
              <w:jc w:val="center"/>
              <w:outlineLvl w:val="2"/>
              <w:rPr>
                <w:rFonts w:asciiTheme="minorEastAsia" w:hAnsiTheme="minorEastAsia" w:cstheme="minorEastAsia"/>
                <w:sz w:val="24"/>
                <w:szCs w:val="24"/>
              </w:rPr>
            </w:pPr>
            <w:r>
              <w:rPr>
                <w:rFonts w:hint="eastAsia" w:asciiTheme="minorEastAsia" w:hAnsiTheme="minorEastAsia" w:cstheme="minorEastAsia"/>
                <w:sz w:val="24"/>
                <w:szCs w:val="24"/>
              </w:rPr>
              <w:t>10</w:t>
            </w:r>
          </w:p>
        </w:tc>
        <w:tc>
          <w:tcPr>
            <w:tcW w:w="1276" w:type="dxa"/>
            <w:vAlign w:val="center"/>
          </w:tcPr>
          <w:p>
            <w:pPr>
              <w:pStyle w:val="20"/>
              <w:tabs>
                <w:tab w:val="left" w:pos="0"/>
                <w:tab w:val="left" w:pos="993"/>
                <w:tab w:val="left" w:pos="1134"/>
              </w:tabs>
              <w:spacing w:line="400" w:lineRule="exact"/>
              <w:ind w:firstLine="0"/>
              <w:outlineLvl w:val="2"/>
              <w:rPr>
                <w:rFonts w:asciiTheme="minorEastAsia" w:hAnsiTheme="minorEastAsia" w:cstheme="minorEastAsia"/>
                <w:sz w:val="24"/>
                <w:szCs w:val="24"/>
              </w:rPr>
            </w:pPr>
            <w:r>
              <w:rPr>
                <w:rFonts w:hint="eastAsia" w:asciiTheme="minorEastAsia" w:hAnsiTheme="minorEastAsia" w:cstheme="minorEastAsia"/>
                <w:sz w:val="24"/>
                <w:szCs w:val="24"/>
              </w:rPr>
              <w:t>培训计划</w:t>
            </w:r>
          </w:p>
        </w:tc>
        <w:tc>
          <w:tcPr>
            <w:tcW w:w="7171" w:type="dxa"/>
            <w:vAlign w:val="center"/>
          </w:tcPr>
          <w:p>
            <w:pPr>
              <w:pStyle w:val="20"/>
              <w:tabs>
                <w:tab w:val="left" w:pos="0"/>
                <w:tab w:val="left" w:pos="993"/>
                <w:tab w:val="left" w:pos="1134"/>
              </w:tabs>
              <w:spacing w:line="400" w:lineRule="exact"/>
              <w:ind w:firstLine="0"/>
              <w:outlineLvl w:val="2"/>
              <w:rPr>
                <w:rFonts w:asciiTheme="minorEastAsia" w:hAnsiTheme="minorEastAsia" w:cstheme="minorEastAsia"/>
                <w:sz w:val="24"/>
                <w:szCs w:val="24"/>
              </w:rPr>
            </w:pPr>
            <w:r>
              <w:rPr>
                <w:rFonts w:hint="eastAsia" w:asciiTheme="minorEastAsia" w:hAnsiTheme="minorEastAsia" w:cstheme="minorEastAsia"/>
                <w:sz w:val="24"/>
                <w:szCs w:val="24"/>
              </w:rPr>
              <w:t>根据供应商针对本项目制定的培训计划（培训的方式、地点、人数、时间等实质性内容）的全面性、详尽性、科学性进行打分。培训计划全面周到的得4-5分，培训计划基本合理但欠缺的得2-3分，无培训计划该项不得分。</w:t>
            </w:r>
          </w:p>
        </w:tc>
        <w:tc>
          <w:tcPr>
            <w:tcW w:w="1031" w:type="dxa"/>
            <w:vAlign w:val="center"/>
          </w:tcPr>
          <w:p>
            <w:pPr>
              <w:widowControl/>
              <w:spacing w:line="400" w:lineRule="exact"/>
              <w:jc w:val="center"/>
              <w:rPr>
                <w:rFonts w:asciiTheme="minorEastAsia" w:hAnsiTheme="minorEastAsia" w:cstheme="minorEastAsia"/>
                <w:spacing w:val="-4"/>
                <w:sz w:val="24"/>
                <w:szCs w:val="24"/>
              </w:rPr>
            </w:pPr>
            <w:r>
              <w:rPr>
                <w:rFonts w:hint="eastAsia" w:asciiTheme="minorEastAsia" w:hAnsiTheme="minorEastAsia" w:cstheme="minorEastAsia"/>
                <w:spacing w:val="-4"/>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580" w:type="dxa"/>
            <w:vAlign w:val="center"/>
          </w:tcPr>
          <w:p>
            <w:pPr>
              <w:pStyle w:val="20"/>
              <w:tabs>
                <w:tab w:val="left" w:pos="0"/>
                <w:tab w:val="left" w:pos="993"/>
                <w:tab w:val="left" w:pos="1134"/>
              </w:tabs>
              <w:spacing w:line="400" w:lineRule="exact"/>
              <w:ind w:firstLine="0"/>
              <w:jc w:val="center"/>
              <w:outlineLvl w:val="2"/>
              <w:rPr>
                <w:rFonts w:asciiTheme="minorEastAsia" w:hAnsiTheme="minorEastAsia" w:cstheme="minorEastAsia"/>
                <w:sz w:val="24"/>
                <w:szCs w:val="24"/>
              </w:rPr>
            </w:pPr>
            <w:r>
              <w:rPr>
                <w:rFonts w:hint="eastAsia" w:asciiTheme="minorEastAsia" w:hAnsiTheme="minorEastAsia" w:cstheme="minorEastAsia"/>
                <w:sz w:val="24"/>
                <w:szCs w:val="24"/>
              </w:rPr>
              <w:t>11</w:t>
            </w:r>
          </w:p>
        </w:tc>
        <w:tc>
          <w:tcPr>
            <w:tcW w:w="1276" w:type="dxa"/>
            <w:vAlign w:val="center"/>
          </w:tcPr>
          <w:p>
            <w:pPr>
              <w:pStyle w:val="20"/>
              <w:tabs>
                <w:tab w:val="left" w:pos="0"/>
                <w:tab w:val="left" w:pos="993"/>
                <w:tab w:val="left" w:pos="1134"/>
              </w:tabs>
              <w:spacing w:line="400" w:lineRule="exact"/>
              <w:ind w:firstLine="0"/>
              <w:outlineLvl w:val="2"/>
              <w:rPr>
                <w:rFonts w:asciiTheme="minorEastAsia" w:hAnsiTheme="minorEastAsia" w:cstheme="minorEastAsia"/>
                <w:sz w:val="24"/>
                <w:szCs w:val="24"/>
              </w:rPr>
            </w:pPr>
            <w:r>
              <w:rPr>
                <w:rFonts w:hint="eastAsia" w:asciiTheme="minorEastAsia" w:hAnsiTheme="minorEastAsia" w:cstheme="minorEastAsia"/>
                <w:sz w:val="24"/>
                <w:szCs w:val="24"/>
              </w:rPr>
              <w:t>维修响应时间</w:t>
            </w:r>
          </w:p>
        </w:tc>
        <w:tc>
          <w:tcPr>
            <w:tcW w:w="7171" w:type="dxa"/>
            <w:vAlign w:val="center"/>
          </w:tcPr>
          <w:p>
            <w:pPr>
              <w:pStyle w:val="20"/>
              <w:tabs>
                <w:tab w:val="left" w:pos="0"/>
                <w:tab w:val="left" w:pos="993"/>
                <w:tab w:val="left" w:pos="1134"/>
              </w:tabs>
              <w:spacing w:line="400" w:lineRule="exact"/>
              <w:ind w:firstLine="0"/>
              <w:outlineLvl w:val="2"/>
              <w:rPr>
                <w:rFonts w:asciiTheme="minorEastAsia" w:hAnsiTheme="minorEastAsia" w:cstheme="minorEastAsia"/>
                <w:sz w:val="24"/>
                <w:szCs w:val="24"/>
              </w:rPr>
            </w:pPr>
            <w:r>
              <w:rPr>
                <w:rFonts w:hint="eastAsia" w:asciiTheme="minorEastAsia" w:hAnsiTheme="minorEastAsia" w:cstheme="minorEastAsia"/>
                <w:sz w:val="24"/>
                <w:szCs w:val="24"/>
              </w:rPr>
              <w:t>接到采购人报修通知（电话、电传等）后3小时现场响应得1分，每减少1小时加1分，最高得3分。</w:t>
            </w:r>
          </w:p>
        </w:tc>
        <w:tc>
          <w:tcPr>
            <w:tcW w:w="1031" w:type="dxa"/>
            <w:vAlign w:val="center"/>
          </w:tcPr>
          <w:p>
            <w:pPr>
              <w:pStyle w:val="20"/>
              <w:tabs>
                <w:tab w:val="left" w:pos="0"/>
                <w:tab w:val="left" w:pos="993"/>
                <w:tab w:val="left" w:pos="1134"/>
              </w:tabs>
              <w:spacing w:line="400" w:lineRule="exact"/>
              <w:ind w:firstLine="0"/>
              <w:jc w:val="center"/>
              <w:outlineLvl w:val="2"/>
              <w:rPr>
                <w:rFonts w:asciiTheme="minorEastAsia" w:hAnsiTheme="minorEastAsia" w:cstheme="minorEastAsia"/>
                <w:sz w:val="24"/>
                <w:szCs w:val="24"/>
              </w:rPr>
            </w:pPr>
            <w:r>
              <w:rPr>
                <w:rFonts w:hint="eastAsia" w:asciiTheme="minorEastAsia" w:hAnsiTheme="minorEastAsia" w:cstheme="minorEastAsia"/>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27" w:type="dxa"/>
            <w:gridSpan w:val="3"/>
            <w:vAlign w:val="center"/>
          </w:tcPr>
          <w:p>
            <w:pPr>
              <w:pStyle w:val="20"/>
              <w:tabs>
                <w:tab w:val="left" w:pos="0"/>
                <w:tab w:val="left" w:pos="993"/>
                <w:tab w:val="left" w:pos="1134"/>
              </w:tabs>
              <w:spacing w:line="400" w:lineRule="exact"/>
              <w:ind w:firstLine="0"/>
              <w:jc w:val="center"/>
              <w:outlineLvl w:val="2"/>
              <w:rPr>
                <w:rFonts w:asciiTheme="minorEastAsia" w:hAnsiTheme="minorEastAsia" w:cstheme="minorEastAsia"/>
                <w:sz w:val="24"/>
                <w:szCs w:val="24"/>
              </w:rPr>
            </w:pPr>
            <w:r>
              <w:rPr>
                <w:rFonts w:hint="eastAsia" w:asciiTheme="minorEastAsia" w:hAnsiTheme="minorEastAsia" w:cstheme="minorEastAsia"/>
                <w:sz w:val="24"/>
                <w:szCs w:val="24"/>
              </w:rPr>
              <w:t>合计</w:t>
            </w:r>
          </w:p>
        </w:tc>
        <w:tc>
          <w:tcPr>
            <w:tcW w:w="1031" w:type="dxa"/>
            <w:vAlign w:val="center"/>
          </w:tcPr>
          <w:p>
            <w:pPr>
              <w:pStyle w:val="20"/>
              <w:tabs>
                <w:tab w:val="left" w:pos="0"/>
                <w:tab w:val="left" w:pos="993"/>
                <w:tab w:val="left" w:pos="1134"/>
              </w:tabs>
              <w:spacing w:line="400" w:lineRule="exact"/>
              <w:ind w:firstLine="0"/>
              <w:jc w:val="center"/>
              <w:outlineLvl w:val="2"/>
              <w:rPr>
                <w:rFonts w:asciiTheme="minorEastAsia" w:hAnsiTheme="minorEastAsia" w:cstheme="minorEastAsia"/>
                <w:sz w:val="24"/>
                <w:szCs w:val="24"/>
              </w:rPr>
            </w:pPr>
            <w:r>
              <w:rPr>
                <w:rFonts w:hint="eastAsia" w:asciiTheme="minorEastAsia" w:hAnsiTheme="minorEastAsia" w:cstheme="minorEastAsia"/>
                <w:sz w:val="24"/>
                <w:szCs w:val="24"/>
              </w:rPr>
              <w:t>70分</w:t>
            </w:r>
          </w:p>
        </w:tc>
      </w:tr>
    </w:tbl>
    <w:p>
      <w:pPr>
        <w:spacing w:before="120" w:beforeLines="50" w:after="120" w:afterLines="50" w:line="400" w:lineRule="exact"/>
        <w:ind w:firstLine="472" w:firstLineChars="196"/>
        <w:rPr>
          <w:rFonts w:ascii="宋体" w:hAnsi="宋体"/>
          <w:b/>
          <w:bCs/>
          <w:sz w:val="24"/>
        </w:rPr>
      </w:pPr>
      <w:r>
        <w:rPr>
          <w:rFonts w:hint="eastAsia" w:ascii="宋体" w:hAnsi="宋体"/>
          <w:b/>
          <w:bCs/>
          <w:sz w:val="24"/>
        </w:rPr>
        <w:t>（三）技术、商务、资信及其他分的计算</w:t>
      </w:r>
    </w:p>
    <w:p>
      <w:pPr>
        <w:spacing w:line="360" w:lineRule="auto"/>
        <w:ind w:firstLine="480" w:firstLineChars="200"/>
        <w:rPr>
          <w:rFonts w:ascii="宋体" w:hAnsi="宋体"/>
          <w:sz w:val="24"/>
        </w:rPr>
      </w:pPr>
      <w:r>
        <w:rPr>
          <w:rFonts w:hint="eastAsia" w:ascii="宋体" w:hAnsi="宋体"/>
          <w:sz w:val="24"/>
        </w:rPr>
        <w:t>技术、商务、资信及其他分按照评标委员会成员的独立评分结果汇总数的算术平均分计算，计算公式为：技术商务资信分=（评标委员会所有成员评分合计数）/（评标委员会组成人员数）</w:t>
      </w:r>
    </w:p>
    <w:p>
      <w:pPr>
        <w:pStyle w:val="3"/>
      </w:pPr>
    </w:p>
    <w:p/>
    <w:p/>
    <w:p>
      <w:pPr>
        <w:pStyle w:val="2"/>
      </w:pPr>
    </w:p>
    <w:p>
      <w:pPr>
        <w:pStyle w:val="3"/>
      </w:pPr>
    </w:p>
    <w:p/>
    <w:p>
      <w:pPr>
        <w:pStyle w:val="3"/>
      </w:pPr>
    </w:p>
    <w:p/>
    <w:p>
      <w:pPr>
        <w:pStyle w:val="2"/>
      </w:pPr>
    </w:p>
    <w:p>
      <w:pPr>
        <w:adjustRightInd w:val="0"/>
        <w:spacing w:line="360" w:lineRule="auto"/>
        <w:jc w:val="center"/>
        <w:rPr>
          <w:rFonts w:ascii="黑体" w:hAnsi="宋体" w:eastAsia="黑体"/>
          <w:bCs/>
          <w:sz w:val="30"/>
          <w:szCs w:val="30"/>
        </w:rPr>
      </w:pPr>
      <w:r>
        <w:rPr>
          <w:rFonts w:hint="eastAsia" w:ascii="黑体" w:hAnsi="宋体" w:eastAsia="黑体"/>
          <w:sz w:val="30"/>
          <w:szCs w:val="30"/>
        </w:rPr>
        <w:t xml:space="preserve">第五章  </w:t>
      </w:r>
      <w:r>
        <w:rPr>
          <w:rFonts w:hint="eastAsia" w:ascii="黑体" w:hAnsi="宋体" w:eastAsia="黑体"/>
          <w:bCs/>
          <w:sz w:val="30"/>
          <w:szCs w:val="30"/>
        </w:rPr>
        <w:t xml:space="preserve">合同主要条款（供参考）                           </w:t>
      </w:r>
    </w:p>
    <w:p>
      <w:pPr>
        <w:snapToGrid w:val="0"/>
        <w:spacing w:line="360" w:lineRule="auto"/>
        <w:jc w:val="center"/>
        <w:outlineLvl w:val="0"/>
        <w:rPr>
          <w:rFonts w:ascii="宋体" w:hAnsi="宋体"/>
          <w:b/>
          <w:bCs/>
          <w:sz w:val="30"/>
          <w:szCs w:val="20"/>
        </w:rPr>
      </w:pPr>
      <w:r>
        <w:rPr>
          <w:rFonts w:hint="eastAsia" w:ascii="宋体" w:hAnsi="宋体"/>
          <w:b/>
          <w:sz w:val="30"/>
        </w:rPr>
        <w:t>浙江省政府采购合同指引（货物）</w:t>
      </w:r>
    </w:p>
    <w:p>
      <w:pPr>
        <w:pStyle w:val="24"/>
        <w:snapToGrid w:val="0"/>
        <w:spacing w:beforeLines="0" w:afterLines="0" w:line="360" w:lineRule="auto"/>
        <w:rPr>
          <w:rFonts w:hAnsi="宋体"/>
        </w:rPr>
      </w:pPr>
      <w:r>
        <w:rPr>
          <w:rFonts w:hAnsi="宋体"/>
        </w:rPr>
        <w:t>项目名称：                                       项目编号：</w:t>
      </w:r>
    </w:p>
    <w:p>
      <w:pPr>
        <w:pStyle w:val="24"/>
        <w:snapToGrid w:val="0"/>
        <w:spacing w:beforeLines="0" w:afterLines="0" w:line="360" w:lineRule="auto"/>
        <w:rPr>
          <w:rFonts w:hAnsi="宋体"/>
        </w:rPr>
      </w:pPr>
      <w:r>
        <w:rPr>
          <w:rFonts w:hAnsi="宋体"/>
        </w:rPr>
        <w:t>甲方：（买方）</w:t>
      </w:r>
    </w:p>
    <w:p>
      <w:pPr>
        <w:pStyle w:val="24"/>
        <w:snapToGrid w:val="0"/>
        <w:spacing w:beforeLines="0" w:afterLines="0" w:line="360" w:lineRule="auto"/>
        <w:rPr>
          <w:rFonts w:hAnsi="宋体"/>
        </w:rPr>
      </w:pPr>
      <w:r>
        <w:rPr>
          <w:rFonts w:hAnsi="宋体"/>
        </w:rPr>
        <w:t>乙方：（卖方）</w:t>
      </w:r>
    </w:p>
    <w:p>
      <w:pPr>
        <w:pStyle w:val="24"/>
        <w:snapToGrid w:val="0"/>
        <w:spacing w:beforeLines="0" w:afterLines="0" w:line="360" w:lineRule="auto"/>
        <w:rPr>
          <w:rFonts w:hAnsi="宋体"/>
          <w:b/>
        </w:rPr>
      </w:pPr>
      <w:r>
        <w:rPr>
          <w:rFonts w:hAnsi="宋体"/>
        </w:rPr>
        <w:t>甲、乙双方根据</w:t>
      </w:r>
      <w:r>
        <w:rPr>
          <w:rFonts w:hint="eastAsia" w:hAnsi="宋体"/>
          <w:u w:val="single"/>
        </w:rPr>
        <w:t>浙江华耀建设咨询有限公司</w:t>
      </w:r>
      <w:r>
        <w:rPr>
          <w:rFonts w:hAnsi="宋体"/>
          <w:u w:val="single"/>
        </w:rPr>
        <w:t>关于</w:t>
      </w:r>
      <w:r>
        <w:rPr>
          <w:rFonts w:hint="eastAsia" w:hAnsi="宋体"/>
          <w:spacing w:val="-20"/>
          <w:u w:val="single"/>
        </w:rPr>
        <w:t>湖州市爱山小学教育集团新型教学空间设施设备项目</w:t>
      </w:r>
      <w:r>
        <w:rPr>
          <w:rFonts w:hAnsi="宋体"/>
          <w:u w:val="single"/>
        </w:rPr>
        <w:t>公开招标  的</w:t>
      </w:r>
      <w:r>
        <w:rPr>
          <w:rFonts w:hAnsi="宋体"/>
        </w:rPr>
        <w:t>结果，签署本合同。</w:t>
      </w:r>
    </w:p>
    <w:p>
      <w:pPr>
        <w:pStyle w:val="24"/>
        <w:spacing w:before="120" w:after="120"/>
        <w:rPr>
          <w:rFonts w:hAnsi="宋体" w:cs="宋体"/>
          <w:b/>
        </w:rPr>
      </w:pPr>
      <w:r>
        <w:rPr>
          <w:rFonts w:hint="eastAsia" w:hAnsi="宋体" w:cs="宋体"/>
          <w:b/>
        </w:rPr>
        <w:t>一、货物内容</w:t>
      </w:r>
    </w:p>
    <w:p>
      <w:pPr>
        <w:pStyle w:val="24"/>
        <w:spacing w:before="120" w:after="120"/>
        <w:rPr>
          <w:rFonts w:hAnsi="宋体" w:cs="宋体"/>
        </w:rPr>
      </w:pPr>
      <w:r>
        <w:rPr>
          <w:rFonts w:hint="eastAsia" w:hAnsi="宋体" w:cs="宋体"/>
        </w:rPr>
        <w:t>1. 货物名称：</w:t>
      </w:r>
    </w:p>
    <w:p>
      <w:pPr>
        <w:pStyle w:val="24"/>
        <w:spacing w:before="120" w:after="120"/>
        <w:rPr>
          <w:rFonts w:hAnsi="宋体" w:cs="宋体"/>
        </w:rPr>
      </w:pPr>
      <w:r>
        <w:rPr>
          <w:rFonts w:hint="eastAsia" w:hAnsi="宋体" w:cs="宋体"/>
        </w:rPr>
        <w:t>2. 型号规格：</w:t>
      </w:r>
    </w:p>
    <w:p>
      <w:pPr>
        <w:pStyle w:val="24"/>
        <w:spacing w:before="120" w:after="120"/>
        <w:rPr>
          <w:rFonts w:hAnsi="宋体" w:cs="宋体"/>
        </w:rPr>
      </w:pPr>
      <w:r>
        <w:rPr>
          <w:rFonts w:hint="eastAsia" w:hAnsi="宋体" w:cs="宋体"/>
        </w:rPr>
        <w:t>3. 技术参数：</w:t>
      </w:r>
    </w:p>
    <w:p>
      <w:pPr>
        <w:pStyle w:val="24"/>
        <w:spacing w:before="120" w:after="120"/>
        <w:rPr>
          <w:rFonts w:hAnsi="宋体" w:cs="宋体"/>
        </w:rPr>
      </w:pPr>
      <w:r>
        <w:rPr>
          <w:rFonts w:hint="eastAsia" w:hAnsi="宋体" w:cs="宋体"/>
        </w:rPr>
        <w:t>4. 数量（单位）：</w:t>
      </w:r>
    </w:p>
    <w:p>
      <w:pPr>
        <w:pStyle w:val="24"/>
        <w:spacing w:before="120" w:after="120"/>
        <w:rPr>
          <w:rFonts w:hAnsi="宋体" w:cs="宋体"/>
          <w:b/>
        </w:rPr>
      </w:pPr>
      <w:r>
        <w:rPr>
          <w:rFonts w:hint="eastAsia" w:hAnsi="宋体" w:cs="宋体"/>
          <w:b/>
        </w:rPr>
        <w:t>二、合同金额</w:t>
      </w:r>
    </w:p>
    <w:p>
      <w:pPr>
        <w:pStyle w:val="24"/>
        <w:spacing w:before="120" w:after="120"/>
        <w:ind w:left="410" w:hanging="410" w:hangingChars="171"/>
        <w:rPr>
          <w:rFonts w:hAnsi="宋体" w:cs="宋体"/>
        </w:rPr>
      </w:pPr>
      <w:r>
        <w:rPr>
          <w:rFonts w:hint="eastAsia" w:hAnsi="宋体" w:cs="宋体"/>
        </w:rPr>
        <w:t xml:space="preserve"> 本合同金额为（大写）：__________________元（￥_______________元）人民币。</w:t>
      </w:r>
    </w:p>
    <w:p>
      <w:pPr>
        <w:pStyle w:val="24"/>
        <w:spacing w:before="120" w:after="120"/>
        <w:rPr>
          <w:rFonts w:hAnsi="宋体" w:cs="宋体"/>
          <w:b/>
        </w:rPr>
      </w:pPr>
      <w:r>
        <w:rPr>
          <w:rFonts w:hint="eastAsia" w:hAnsi="宋体" w:cs="宋体"/>
          <w:b/>
        </w:rPr>
        <w:t>三、技术资料</w:t>
      </w:r>
    </w:p>
    <w:p>
      <w:pPr>
        <w:pStyle w:val="24"/>
        <w:spacing w:before="120" w:after="120"/>
        <w:ind w:left="410" w:hanging="410" w:hangingChars="171"/>
        <w:rPr>
          <w:rFonts w:hAnsi="宋体" w:cs="宋体"/>
        </w:rPr>
      </w:pPr>
      <w:r>
        <w:rPr>
          <w:rFonts w:hint="eastAsia" w:hAnsi="宋体" w:cs="宋体"/>
        </w:rPr>
        <w:t>1.乙方应按磋商文件规定的时间向甲方提供使用货物的有关技术资料。</w:t>
      </w:r>
    </w:p>
    <w:p>
      <w:pPr>
        <w:pStyle w:val="24"/>
        <w:spacing w:before="120" w:after="120"/>
        <w:ind w:left="410" w:hanging="410" w:hangingChars="171"/>
        <w:rPr>
          <w:rFonts w:hAnsi="宋体" w:cs="宋体"/>
        </w:rPr>
      </w:pPr>
      <w:r>
        <w:rPr>
          <w:rFonts w:hint="eastAsia" w:hAnsi="宋体" w:cs="宋体"/>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4"/>
        <w:spacing w:before="120" w:after="120"/>
        <w:ind w:left="410" w:hanging="412" w:hangingChars="171"/>
        <w:rPr>
          <w:rFonts w:hAnsi="宋体" w:cs="宋体"/>
          <w:b/>
        </w:rPr>
      </w:pPr>
      <w:r>
        <w:rPr>
          <w:rFonts w:hint="eastAsia" w:hAnsi="宋体" w:cs="宋体"/>
          <w:b/>
        </w:rPr>
        <w:t>四、知识产权</w:t>
      </w:r>
    </w:p>
    <w:p>
      <w:pPr>
        <w:pStyle w:val="24"/>
        <w:spacing w:before="120" w:after="120"/>
        <w:rPr>
          <w:rFonts w:hAnsi="宋体" w:cs="宋体"/>
          <w:bCs/>
        </w:rPr>
      </w:pPr>
      <w:r>
        <w:rPr>
          <w:rFonts w:hint="eastAsia" w:hAnsi="宋体" w:cs="宋体"/>
        </w:rPr>
        <w:t>乙方应保证所提供的货物或其任何一部分均不会侵犯任何第三方的知识产权</w:t>
      </w:r>
      <w:r>
        <w:rPr>
          <w:rFonts w:hint="eastAsia" w:hAnsi="宋体" w:cs="宋体"/>
          <w:bCs/>
        </w:rPr>
        <w:t>。</w:t>
      </w:r>
    </w:p>
    <w:p>
      <w:pPr>
        <w:pStyle w:val="24"/>
        <w:spacing w:before="120" w:after="120"/>
        <w:rPr>
          <w:rFonts w:hAnsi="宋体" w:cs="宋体"/>
          <w:u w:val="single"/>
        </w:rPr>
      </w:pPr>
      <w:r>
        <w:rPr>
          <w:rFonts w:hint="eastAsia" w:hAnsi="宋体" w:cs="宋体"/>
          <w:b/>
        </w:rPr>
        <w:t>五、产权担保</w:t>
      </w:r>
    </w:p>
    <w:p>
      <w:pPr>
        <w:pStyle w:val="24"/>
        <w:spacing w:before="120" w:after="120"/>
        <w:ind w:left="408" w:hanging="408" w:hangingChars="170"/>
        <w:rPr>
          <w:rFonts w:hAnsi="宋体" w:cs="宋体"/>
          <w:u w:val="single"/>
        </w:rPr>
      </w:pPr>
      <w:r>
        <w:rPr>
          <w:rFonts w:hint="eastAsia" w:hAnsi="宋体" w:cs="宋体"/>
        </w:rPr>
        <w:t>乙方保证所交付的货物的所有权完全属于乙方且无任何抵押、查封等产权瑕疵。</w:t>
      </w:r>
    </w:p>
    <w:p>
      <w:pPr>
        <w:pStyle w:val="24"/>
        <w:spacing w:before="120" w:after="120"/>
        <w:ind w:left="408" w:hanging="410" w:hangingChars="170"/>
        <w:rPr>
          <w:rFonts w:hAnsi="宋体" w:cs="宋体"/>
          <w:b/>
        </w:rPr>
      </w:pPr>
      <w:r>
        <w:rPr>
          <w:rFonts w:hint="eastAsia" w:hAnsi="宋体" w:cs="宋体"/>
          <w:b/>
        </w:rPr>
        <w:t>六、履约保证金</w:t>
      </w:r>
    </w:p>
    <w:p>
      <w:pPr>
        <w:pStyle w:val="24"/>
        <w:spacing w:before="120" w:after="120"/>
        <w:rPr>
          <w:rFonts w:hAnsi="宋体" w:cs="宋体"/>
        </w:rPr>
      </w:pPr>
      <w:r>
        <w:rPr>
          <w:rFonts w:hint="eastAsia" w:hAnsi="宋体" w:cs="宋体"/>
        </w:rPr>
        <w:t>无</w:t>
      </w:r>
    </w:p>
    <w:p>
      <w:pPr>
        <w:pStyle w:val="24"/>
        <w:spacing w:before="120" w:after="120"/>
        <w:rPr>
          <w:rFonts w:hAnsi="宋体" w:cs="宋体"/>
          <w:b/>
        </w:rPr>
      </w:pPr>
      <w:r>
        <w:rPr>
          <w:rFonts w:hint="eastAsia" w:hAnsi="宋体" w:cs="宋体"/>
          <w:b/>
        </w:rPr>
        <w:t>七、转包或分包</w:t>
      </w:r>
    </w:p>
    <w:p>
      <w:pPr>
        <w:snapToGrid w:val="0"/>
        <w:spacing w:before="120" w:beforeLines="50" w:after="120" w:afterLines="50"/>
        <w:rPr>
          <w:rFonts w:ascii="宋体" w:hAnsi="宋体" w:cs="宋体"/>
          <w:sz w:val="24"/>
        </w:rPr>
      </w:pPr>
      <w:r>
        <w:rPr>
          <w:rFonts w:hint="eastAsia" w:ascii="宋体" w:hAnsi="宋体" w:cs="宋体"/>
          <w:sz w:val="24"/>
        </w:rPr>
        <w:t>1.本合同范围的货物，应由乙方直接供应，不得转让他人供应；</w:t>
      </w:r>
    </w:p>
    <w:p>
      <w:pPr>
        <w:snapToGrid w:val="0"/>
        <w:spacing w:before="120" w:beforeLines="50" w:after="120" w:afterLines="50"/>
        <w:rPr>
          <w:rFonts w:ascii="宋体" w:hAnsi="宋体" w:cs="宋体"/>
          <w:sz w:val="24"/>
        </w:rPr>
      </w:pPr>
      <w:r>
        <w:rPr>
          <w:rFonts w:hint="eastAsia" w:ascii="宋体" w:hAnsi="宋体" w:cs="宋体"/>
          <w:sz w:val="24"/>
        </w:rPr>
        <w:t>2.除非得到甲方的书面同意，乙方不得将本合同范围的货物全部或部分分包给他人供应；</w:t>
      </w:r>
    </w:p>
    <w:p>
      <w:pPr>
        <w:snapToGrid w:val="0"/>
        <w:spacing w:before="120" w:beforeLines="50" w:after="120" w:afterLines="50"/>
        <w:rPr>
          <w:rFonts w:ascii="宋体" w:hAnsi="宋体" w:cs="宋体"/>
          <w:sz w:val="24"/>
        </w:rPr>
      </w:pPr>
      <w:r>
        <w:rPr>
          <w:rFonts w:hint="eastAsia" w:ascii="宋体" w:hAnsi="宋体" w:cs="宋体"/>
          <w:sz w:val="24"/>
        </w:rPr>
        <w:t>3.如有转让和未经甲方同意的分包行为，甲方有权解除合同，没收履约保证金并追究乙方的违约责任。</w:t>
      </w:r>
    </w:p>
    <w:p>
      <w:pPr>
        <w:pStyle w:val="24"/>
        <w:spacing w:before="120" w:after="120"/>
        <w:rPr>
          <w:rFonts w:hAnsi="宋体" w:cs="宋体"/>
        </w:rPr>
      </w:pPr>
      <w:r>
        <w:rPr>
          <w:rFonts w:hint="eastAsia" w:hAnsi="宋体" w:cs="宋体"/>
          <w:b/>
        </w:rPr>
        <w:t>八、质保期</w:t>
      </w:r>
    </w:p>
    <w:p>
      <w:pPr>
        <w:pStyle w:val="24"/>
        <w:spacing w:before="120" w:after="120"/>
        <w:ind w:left="410" w:hanging="410" w:hangingChars="171"/>
        <w:rPr>
          <w:rFonts w:hAnsi="宋体" w:cs="宋体"/>
        </w:rPr>
      </w:pPr>
      <w:r>
        <w:rPr>
          <w:rFonts w:hint="eastAsia" w:hAnsi="宋体" w:cs="宋体"/>
        </w:rPr>
        <w:t>1、质保期  年。（自交货验收合格之日起计）</w:t>
      </w:r>
    </w:p>
    <w:p>
      <w:pPr>
        <w:pStyle w:val="24"/>
        <w:spacing w:before="120" w:after="120"/>
        <w:ind w:left="410" w:hanging="412" w:hangingChars="171"/>
        <w:rPr>
          <w:rFonts w:hAnsi="宋体" w:cs="宋体"/>
          <w:b/>
        </w:rPr>
      </w:pPr>
      <w:r>
        <w:rPr>
          <w:rFonts w:hint="eastAsia" w:hAnsi="宋体" w:cs="宋体"/>
          <w:b/>
        </w:rPr>
        <w:t>九、交货期、交货方式及交货地点</w:t>
      </w:r>
    </w:p>
    <w:p>
      <w:pPr>
        <w:pStyle w:val="24"/>
        <w:spacing w:before="120" w:after="120"/>
        <w:rPr>
          <w:rFonts w:hAnsi="宋体" w:cs="宋体"/>
        </w:rPr>
      </w:pPr>
      <w:r>
        <w:rPr>
          <w:rFonts w:hint="eastAsia" w:hAnsi="宋体" w:cs="宋体"/>
          <w:bCs/>
        </w:rPr>
        <w:t>1.交货期：</w:t>
      </w:r>
    </w:p>
    <w:p>
      <w:pPr>
        <w:pStyle w:val="24"/>
        <w:spacing w:before="120" w:after="120"/>
        <w:rPr>
          <w:rFonts w:hAnsi="宋体" w:cs="宋体"/>
          <w:bCs/>
        </w:rPr>
      </w:pPr>
      <w:r>
        <w:rPr>
          <w:rFonts w:hint="eastAsia" w:hAnsi="宋体" w:cs="宋体"/>
          <w:bCs/>
        </w:rPr>
        <w:t>2.交货方式：甲方指定</w:t>
      </w:r>
    </w:p>
    <w:p>
      <w:pPr>
        <w:pStyle w:val="24"/>
        <w:spacing w:before="120" w:after="120"/>
        <w:rPr>
          <w:rFonts w:hAnsi="宋体" w:cs="宋体"/>
          <w:bCs/>
        </w:rPr>
      </w:pPr>
      <w:r>
        <w:rPr>
          <w:rFonts w:hint="eastAsia" w:hAnsi="宋体" w:cs="宋体"/>
          <w:bCs/>
        </w:rPr>
        <w:t>3.交货地点： 甲方指定</w:t>
      </w:r>
    </w:p>
    <w:p>
      <w:pPr>
        <w:pStyle w:val="24"/>
        <w:spacing w:before="120" w:after="120"/>
        <w:rPr>
          <w:rFonts w:hAnsi="宋体" w:cs="宋体"/>
        </w:rPr>
      </w:pPr>
      <w:r>
        <w:rPr>
          <w:rFonts w:hint="eastAsia" w:hAnsi="宋体" w:cs="宋体"/>
          <w:b/>
        </w:rPr>
        <w:t xml:space="preserve">十、货款支付: </w:t>
      </w:r>
    </w:p>
    <w:p>
      <w:pPr>
        <w:snapToGrid w:val="0"/>
        <w:spacing w:before="120" w:beforeLines="50" w:after="120" w:afterLines="50"/>
        <w:rPr>
          <w:rFonts w:ascii="宋体" w:hAnsi="宋体" w:cs="宋体"/>
          <w:b/>
          <w:sz w:val="24"/>
        </w:rPr>
      </w:pPr>
      <w:r>
        <w:rPr>
          <w:rFonts w:hint="eastAsia" w:ascii="宋体" w:hAnsi="宋体" w:cs="宋体"/>
          <w:b/>
          <w:sz w:val="24"/>
        </w:rPr>
        <w:t>十一、税费</w:t>
      </w:r>
    </w:p>
    <w:p>
      <w:pPr>
        <w:snapToGrid w:val="0"/>
        <w:spacing w:before="120" w:beforeLines="50" w:after="120" w:afterLines="50"/>
        <w:rPr>
          <w:rFonts w:ascii="宋体" w:hAnsi="宋体" w:cs="宋体"/>
          <w:sz w:val="24"/>
        </w:rPr>
      </w:pPr>
      <w:r>
        <w:rPr>
          <w:rFonts w:hint="eastAsia" w:ascii="宋体" w:hAnsi="宋体" w:cs="宋体"/>
          <w:sz w:val="24"/>
        </w:rPr>
        <w:t>本合同执行中相关的一切税费均由乙方负担。</w:t>
      </w:r>
    </w:p>
    <w:p>
      <w:pPr>
        <w:pStyle w:val="24"/>
        <w:spacing w:before="120" w:after="120"/>
        <w:ind w:left="410" w:hanging="412" w:hangingChars="171"/>
        <w:rPr>
          <w:rFonts w:hAnsi="宋体" w:cs="宋体"/>
        </w:rPr>
      </w:pPr>
      <w:r>
        <w:rPr>
          <w:rFonts w:hint="eastAsia" w:hAnsi="宋体" w:cs="宋体"/>
          <w:b/>
        </w:rPr>
        <w:t>十二、质量保证及售后服务</w:t>
      </w:r>
    </w:p>
    <w:p>
      <w:pPr>
        <w:pStyle w:val="24"/>
        <w:spacing w:before="120" w:after="120"/>
        <w:ind w:left="410" w:hanging="410" w:hangingChars="171"/>
        <w:rPr>
          <w:rFonts w:hAnsi="宋体" w:cs="宋体"/>
        </w:rPr>
      </w:pPr>
      <w:r>
        <w:rPr>
          <w:rFonts w:hint="eastAsia" w:hAnsi="宋体" w:cs="宋体"/>
        </w:rPr>
        <w:t>1. 乙方应按磋商文件规定的货物性能、技术要求、质量标准向甲方提供未经使用的全新产品。</w:t>
      </w:r>
    </w:p>
    <w:p>
      <w:pPr>
        <w:pStyle w:val="24"/>
        <w:numPr>
          <w:ilvl w:val="0"/>
          <w:numId w:val="4"/>
        </w:numPr>
        <w:adjustRightInd w:val="0"/>
        <w:snapToGrid w:val="0"/>
        <w:spacing w:beforeLines="0" w:afterLines="0" w:line="240" w:lineRule="auto"/>
        <w:ind w:left="480" w:hanging="480" w:hangingChars="200"/>
        <w:rPr>
          <w:rFonts w:hAnsi="宋体" w:cs="宋体"/>
        </w:rPr>
      </w:pPr>
      <w:r>
        <w:rPr>
          <w:rFonts w:hint="eastAsia" w:hAnsi="宋体" w:cs="宋体"/>
        </w:rPr>
        <w:t>乙方提供的货物在质保期内因货物本身的质量问题发生故障，乙方应负责免费更换。对达不到技术要求者，根据实际情况，经双方协商，可按以下办法处理：</w:t>
      </w:r>
    </w:p>
    <w:p>
      <w:pPr>
        <w:pStyle w:val="24"/>
        <w:spacing w:before="120" w:after="120"/>
        <w:rPr>
          <w:rFonts w:hAnsi="宋体" w:cs="宋体"/>
        </w:rPr>
      </w:pPr>
      <w:r>
        <w:rPr>
          <w:rFonts w:hint="eastAsia" w:hAnsi="宋体" w:cs="宋体"/>
        </w:rPr>
        <w:t>⑴更换：由乙方承担所发生的全部费用。</w:t>
      </w:r>
    </w:p>
    <w:p>
      <w:pPr>
        <w:pStyle w:val="24"/>
        <w:spacing w:before="120" w:after="120"/>
        <w:rPr>
          <w:rFonts w:hAnsi="宋体" w:cs="宋体"/>
        </w:rPr>
      </w:pPr>
      <w:r>
        <w:rPr>
          <w:rFonts w:hint="eastAsia" w:hAnsi="宋体" w:cs="宋体"/>
        </w:rPr>
        <w:t>⑵贬值处理：由甲乙双方合议定价。</w:t>
      </w:r>
    </w:p>
    <w:p>
      <w:pPr>
        <w:pStyle w:val="24"/>
        <w:spacing w:before="120" w:after="120"/>
        <w:rPr>
          <w:rFonts w:hAnsi="宋体" w:cs="宋体"/>
        </w:rPr>
      </w:pPr>
      <w:r>
        <w:rPr>
          <w:rFonts w:hint="eastAsia" w:hAnsi="宋体" w:cs="宋体"/>
        </w:rPr>
        <w:t>⑶退货处理：乙方应退还甲方支付的合同款，同时应承担该货物的直接费用（运输、保险、检验、货款利息及银行手续费等）。</w:t>
      </w:r>
    </w:p>
    <w:p>
      <w:pPr>
        <w:pStyle w:val="24"/>
        <w:spacing w:before="120" w:after="120"/>
        <w:rPr>
          <w:rFonts w:hAnsi="宋体" w:cs="宋体"/>
        </w:rPr>
      </w:pPr>
      <w:r>
        <w:rPr>
          <w:rFonts w:hint="eastAsia" w:hAnsi="宋体" w:cs="宋体"/>
        </w:rPr>
        <w:t>3. 如在使用过程中发生质量问题，乙方在接到甲方通知后在</w:t>
      </w:r>
      <w:r>
        <w:rPr>
          <w:rFonts w:hint="eastAsia" w:hAnsi="宋体" w:cs="宋体"/>
          <w:u w:val="single"/>
        </w:rPr>
        <w:t xml:space="preserve"> 24</w:t>
      </w:r>
      <w:r>
        <w:rPr>
          <w:rFonts w:hint="eastAsia" w:hAnsi="宋体" w:cs="宋体"/>
        </w:rPr>
        <w:t>小时内到达甲方现场。</w:t>
      </w:r>
    </w:p>
    <w:p>
      <w:pPr>
        <w:pStyle w:val="24"/>
        <w:spacing w:before="120" w:after="120"/>
        <w:rPr>
          <w:rFonts w:hAnsi="宋体" w:cs="宋体"/>
        </w:rPr>
      </w:pPr>
      <w:r>
        <w:rPr>
          <w:rFonts w:hint="eastAsia" w:hAnsi="宋体" w:cs="宋体"/>
        </w:rPr>
        <w:t>4. 在质保期内，乙方应对货物出现的质量及安全问题负责处理解决并承担一切费用。</w:t>
      </w:r>
    </w:p>
    <w:p>
      <w:pPr>
        <w:pStyle w:val="24"/>
        <w:spacing w:before="120" w:after="120"/>
        <w:rPr>
          <w:rFonts w:hAnsi="宋体" w:cs="宋体"/>
        </w:rPr>
      </w:pPr>
      <w:r>
        <w:rPr>
          <w:rFonts w:hint="eastAsia" w:hAnsi="宋体" w:cs="宋体"/>
        </w:rPr>
        <w:t>5.上述的货物免费保修期为年，因人为因素出现的故障不在免费保修范围内。超过保修期的机器设备，终生维修，维修时只收部件成本费。</w:t>
      </w:r>
    </w:p>
    <w:p>
      <w:pPr>
        <w:pStyle w:val="24"/>
        <w:spacing w:before="120" w:after="120"/>
        <w:rPr>
          <w:rFonts w:hAnsi="宋体" w:cs="宋体"/>
          <w:b/>
        </w:rPr>
      </w:pPr>
      <w:r>
        <w:rPr>
          <w:rFonts w:hint="eastAsia" w:hAnsi="宋体" w:cs="宋体"/>
          <w:b/>
        </w:rPr>
        <w:t>十三、调试和验收</w:t>
      </w:r>
    </w:p>
    <w:p>
      <w:pPr>
        <w:pStyle w:val="24"/>
        <w:spacing w:before="120" w:after="120"/>
        <w:jc w:val="left"/>
        <w:rPr>
          <w:rFonts w:hAnsi="宋体" w:cs="宋体"/>
        </w:rPr>
      </w:pPr>
      <w:r>
        <w:rPr>
          <w:rFonts w:hint="eastAsia" w:hAnsi="宋体" w:cs="宋体"/>
        </w:rPr>
        <w:t>1.乙方交货前应对产品作出全面检查和对验收文件进行整理，并列出清单，作为甲方收货验收和使用的技术条件依据，检验的结果应随货物交甲方。</w:t>
      </w:r>
    </w:p>
    <w:p>
      <w:pPr>
        <w:pStyle w:val="24"/>
        <w:spacing w:before="120" w:after="120"/>
        <w:jc w:val="left"/>
        <w:rPr>
          <w:rFonts w:hAnsi="宋体" w:cs="宋体"/>
        </w:rPr>
      </w:pPr>
      <w:r>
        <w:rPr>
          <w:rFonts w:hint="eastAsia" w:hAnsi="宋体" w:cs="宋体"/>
        </w:rPr>
        <w:t>2.甲方对乙方提交的货物依据磋商文件和响应文件上的技术规格要求和国家有关质量标准进行验收，验收时乙方必须在现场，验收完毕后作出验收结果报告；验收费用由乙方负责。</w:t>
      </w:r>
    </w:p>
    <w:p>
      <w:pPr>
        <w:pStyle w:val="24"/>
        <w:spacing w:before="120" w:after="120"/>
        <w:rPr>
          <w:rFonts w:hAnsi="宋体" w:cs="宋体"/>
          <w:b/>
        </w:rPr>
      </w:pPr>
      <w:r>
        <w:rPr>
          <w:rFonts w:hint="eastAsia" w:hAnsi="宋体" w:cs="宋体"/>
          <w:b/>
        </w:rPr>
        <w:t>十四、货物包装、发运及运输</w:t>
      </w:r>
    </w:p>
    <w:p>
      <w:pPr>
        <w:pStyle w:val="24"/>
        <w:spacing w:before="120" w:after="120"/>
        <w:ind w:left="480" w:hanging="480" w:hangingChars="200"/>
        <w:rPr>
          <w:rFonts w:hAnsi="宋体" w:cs="宋体"/>
        </w:rPr>
      </w:pPr>
      <w:r>
        <w:rPr>
          <w:rFonts w:hint="eastAsia" w:hAnsi="宋体" w:cs="宋体"/>
        </w:rPr>
        <w:t>1. 乙方应在货物发运前对其进行满足运输距离、防潮、防震、防锈和防破损装卸等要求包装，以保证货物安全运达甲方指定地点。</w:t>
      </w:r>
    </w:p>
    <w:p>
      <w:pPr>
        <w:pStyle w:val="24"/>
        <w:spacing w:before="120" w:after="120"/>
        <w:ind w:left="480" w:hanging="480" w:hangingChars="200"/>
        <w:rPr>
          <w:rFonts w:hAnsi="宋体" w:cs="宋体"/>
        </w:rPr>
      </w:pPr>
      <w:r>
        <w:rPr>
          <w:rFonts w:hint="eastAsia" w:hAnsi="宋体" w:cs="宋体"/>
        </w:rPr>
        <w:t>2. 使用说明书、质量检验证明书、随配附件和工具以及清单一并附于货物内。</w:t>
      </w:r>
    </w:p>
    <w:p>
      <w:pPr>
        <w:pStyle w:val="24"/>
        <w:spacing w:before="120" w:after="120"/>
        <w:ind w:left="480" w:hanging="480" w:hangingChars="200"/>
        <w:rPr>
          <w:rFonts w:hAnsi="宋体" w:cs="宋体"/>
        </w:rPr>
      </w:pPr>
      <w:r>
        <w:rPr>
          <w:rFonts w:hint="eastAsia" w:hAnsi="宋体" w:cs="宋体"/>
        </w:rPr>
        <w:t>3. 乙方在货物发运手续办理完毕后24小时内或货到甲方48小时前通知甲方，以准备接货。</w:t>
      </w:r>
    </w:p>
    <w:p>
      <w:pPr>
        <w:pStyle w:val="24"/>
        <w:spacing w:before="120" w:after="120"/>
        <w:ind w:left="480" w:hanging="480" w:hangingChars="200"/>
        <w:rPr>
          <w:rFonts w:hAnsi="宋体" w:cs="宋体"/>
        </w:rPr>
      </w:pPr>
      <w:r>
        <w:rPr>
          <w:rFonts w:hint="eastAsia" w:hAnsi="宋体" w:cs="宋体"/>
        </w:rPr>
        <w:t>4. 货物在交付甲方前发生的风险均由乙方负责。</w:t>
      </w:r>
    </w:p>
    <w:p>
      <w:pPr>
        <w:pStyle w:val="24"/>
        <w:spacing w:before="120" w:after="120"/>
        <w:ind w:left="480" w:right="26" w:hanging="480" w:hangingChars="200"/>
        <w:rPr>
          <w:rFonts w:hAnsi="宋体" w:cs="宋体"/>
        </w:rPr>
      </w:pPr>
      <w:r>
        <w:rPr>
          <w:rFonts w:hint="eastAsia" w:hAnsi="宋体" w:cs="宋体"/>
        </w:rPr>
        <w:t>5. 货物在规定的交付期限内由乙方送达甲方指定的地点视为交付，乙方同时需通知甲方货物已送达。</w:t>
      </w:r>
    </w:p>
    <w:p>
      <w:pPr>
        <w:pStyle w:val="24"/>
        <w:spacing w:before="120" w:after="120"/>
        <w:rPr>
          <w:rFonts w:hAnsi="宋体" w:cs="宋体"/>
          <w:b/>
        </w:rPr>
      </w:pPr>
      <w:r>
        <w:rPr>
          <w:rFonts w:hint="eastAsia" w:hAnsi="宋体" w:cs="宋体"/>
          <w:b/>
        </w:rPr>
        <w:t>十五、违约责任</w:t>
      </w:r>
    </w:p>
    <w:p>
      <w:pPr>
        <w:pStyle w:val="24"/>
        <w:spacing w:before="120" w:after="120"/>
        <w:ind w:left="410" w:hanging="410" w:hangingChars="171"/>
        <w:rPr>
          <w:rFonts w:hAnsi="宋体" w:cs="宋体"/>
        </w:rPr>
      </w:pPr>
      <w:r>
        <w:rPr>
          <w:rFonts w:hint="eastAsia" w:hAnsi="宋体" w:cs="宋体"/>
        </w:rPr>
        <w:t>1.甲方无正当理由拒收货物的，甲方向乙方偿付拒收货款总值的百分之五违约金。</w:t>
      </w:r>
    </w:p>
    <w:p>
      <w:pPr>
        <w:pStyle w:val="24"/>
        <w:spacing w:before="120" w:after="120"/>
        <w:rPr>
          <w:rFonts w:hAnsi="宋体" w:cs="宋体"/>
        </w:rPr>
      </w:pPr>
      <w:r>
        <w:rPr>
          <w:rFonts w:hint="eastAsia" w:hAnsi="宋体" w:cs="宋体"/>
        </w:rPr>
        <w:t>2.甲方无故逾期验收和办理货款支付手续的,甲方应按逾期付款总额每日万分之五向乙方支付违约金。</w:t>
      </w:r>
    </w:p>
    <w:p>
      <w:pPr>
        <w:pStyle w:val="24"/>
        <w:spacing w:before="120" w:after="120"/>
        <w:rPr>
          <w:rFonts w:hAnsi="宋体" w:cs="宋体"/>
        </w:rPr>
      </w:pPr>
      <w:r>
        <w:rPr>
          <w:rFonts w:hint="eastAsia" w:hAnsi="宋体" w:cs="宋体"/>
        </w:rPr>
        <w:t>3.乙方逾期交付货物的，乙方应按逾期交货总额每日千分之六向甲方支付违约金，</w:t>
      </w:r>
    </w:p>
    <w:p>
      <w:pPr>
        <w:pStyle w:val="24"/>
        <w:spacing w:before="120" w:after="120"/>
        <w:rPr>
          <w:rFonts w:hAnsi="宋体" w:cs="宋体"/>
        </w:rPr>
      </w:pPr>
      <w:r>
        <w:rPr>
          <w:rFonts w:hint="eastAsia" w:hAnsi="宋体" w:cs="宋体"/>
        </w:rPr>
        <w:t>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pPr>
        <w:pStyle w:val="24"/>
        <w:spacing w:before="120" w:after="120"/>
        <w:rPr>
          <w:rFonts w:hAnsi="宋体" w:cs="宋体"/>
        </w:rPr>
      </w:pPr>
      <w:r>
        <w:rPr>
          <w:rFonts w:hint="eastAsia" w:hAnsi="宋体" w:cs="宋体"/>
        </w:rPr>
        <w:t>4.乙方所交的货物品种、型号、规格、技术参数、质量不符合合同规定及招标和响应文件规定标准的，甲方有权拒收该货物，乙方愿意更换货物但逾期交货的，按乙方逾期交货处理。乙方拒绝更换货物的，甲方可单方面解除合同。</w:t>
      </w:r>
    </w:p>
    <w:p>
      <w:pPr>
        <w:pStyle w:val="24"/>
        <w:spacing w:before="120" w:after="120"/>
        <w:rPr>
          <w:rFonts w:hAnsi="宋体" w:cs="宋体"/>
          <w:b/>
        </w:rPr>
      </w:pPr>
      <w:r>
        <w:rPr>
          <w:rFonts w:hint="eastAsia" w:hAnsi="宋体" w:cs="宋体"/>
          <w:b/>
        </w:rPr>
        <w:t>十六、不可抗力事件处理</w:t>
      </w:r>
    </w:p>
    <w:p>
      <w:pPr>
        <w:pStyle w:val="24"/>
        <w:spacing w:before="120" w:after="120"/>
        <w:rPr>
          <w:rFonts w:hAnsi="宋体" w:cs="宋体"/>
        </w:rPr>
      </w:pPr>
      <w:r>
        <w:rPr>
          <w:rFonts w:hint="eastAsia" w:hAnsi="宋体" w:cs="宋体"/>
        </w:rPr>
        <w:t>1.在合同有效期内，任何一方因不可抗力事件导致不能履行合同，则合同履行期可延长，其延长期与不可抗力影响期相同。</w:t>
      </w:r>
    </w:p>
    <w:p>
      <w:pPr>
        <w:pStyle w:val="24"/>
        <w:spacing w:before="120" w:after="120"/>
        <w:rPr>
          <w:rFonts w:hAnsi="宋体" w:cs="宋体"/>
        </w:rPr>
      </w:pPr>
      <w:r>
        <w:rPr>
          <w:rFonts w:hint="eastAsia" w:hAnsi="宋体" w:cs="宋体"/>
        </w:rPr>
        <w:t>2.不可抗力事件发生后，应立即通知对方，并寄送有关权威机构出具的证明。</w:t>
      </w:r>
    </w:p>
    <w:p>
      <w:pPr>
        <w:pStyle w:val="24"/>
        <w:spacing w:before="120" w:after="120"/>
        <w:rPr>
          <w:rFonts w:hAnsi="宋体" w:cs="宋体"/>
        </w:rPr>
      </w:pPr>
      <w:r>
        <w:rPr>
          <w:rFonts w:hint="eastAsia" w:hAnsi="宋体" w:cs="宋体"/>
        </w:rPr>
        <w:t>3.不可抗力事件延续120天以上，双方应通过友好协商，确定是否继续履行合同。</w:t>
      </w:r>
    </w:p>
    <w:p>
      <w:pPr>
        <w:pStyle w:val="24"/>
        <w:spacing w:before="120" w:after="120"/>
        <w:rPr>
          <w:rFonts w:hAnsi="宋体" w:cs="宋体"/>
          <w:b/>
        </w:rPr>
      </w:pPr>
      <w:r>
        <w:rPr>
          <w:rFonts w:hint="eastAsia" w:hAnsi="宋体" w:cs="宋体"/>
          <w:b/>
        </w:rPr>
        <w:t>十七、诉讼</w:t>
      </w:r>
    </w:p>
    <w:p>
      <w:pPr>
        <w:pStyle w:val="24"/>
        <w:spacing w:before="120" w:after="120"/>
        <w:rPr>
          <w:rFonts w:hAnsi="宋体" w:cs="宋体"/>
        </w:rPr>
      </w:pPr>
      <w:r>
        <w:rPr>
          <w:rFonts w:hint="eastAsia" w:hAnsi="宋体" w:cs="宋体"/>
        </w:rPr>
        <w:t>双方在执行合同中所发生的一切争议，应通过协商解决。如协商不成，可向甲乙双方所在地法院起诉。</w:t>
      </w:r>
    </w:p>
    <w:p>
      <w:pPr>
        <w:pStyle w:val="24"/>
        <w:spacing w:before="120" w:after="120"/>
        <w:rPr>
          <w:rFonts w:hAnsi="宋体" w:cs="宋体"/>
          <w:b/>
        </w:rPr>
      </w:pPr>
      <w:r>
        <w:rPr>
          <w:rFonts w:hint="eastAsia" w:hAnsi="宋体" w:cs="宋体"/>
          <w:b/>
        </w:rPr>
        <w:t>十八、合同生效及其它</w:t>
      </w:r>
    </w:p>
    <w:p>
      <w:pPr>
        <w:pStyle w:val="24"/>
        <w:spacing w:before="120" w:after="120"/>
        <w:rPr>
          <w:rFonts w:hAnsi="宋体" w:cs="宋体"/>
        </w:rPr>
      </w:pPr>
      <w:r>
        <w:rPr>
          <w:rFonts w:hint="eastAsia" w:hAnsi="宋体" w:cs="宋体"/>
        </w:rPr>
        <w:t>1.合同经双方法定代表人或授权代表签字并加盖单位公章后生效。</w:t>
      </w:r>
    </w:p>
    <w:p>
      <w:pPr>
        <w:pStyle w:val="24"/>
        <w:spacing w:before="120" w:after="120"/>
        <w:rPr>
          <w:rFonts w:hAnsi="宋体" w:cs="宋体"/>
        </w:rPr>
      </w:pPr>
      <w:r>
        <w:rPr>
          <w:rFonts w:hint="eastAsia" w:hAnsi="宋体" w:cs="宋体"/>
        </w:rPr>
        <w:t>2.合同执行中涉及采购资金和采购内容修改或补充的，须经财政部门审批，并签书面补充协议报政府采购监督管理部门备案，方可作为主合同不可分割的一部分。</w:t>
      </w:r>
    </w:p>
    <w:p>
      <w:pPr>
        <w:pStyle w:val="24"/>
        <w:spacing w:before="120" w:after="120"/>
        <w:ind w:left="480" w:hanging="480" w:hangingChars="200"/>
        <w:rPr>
          <w:rFonts w:hAnsi="宋体" w:cs="宋体"/>
        </w:rPr>
      </w:pPr>
      <w:r>
        <w:rPr>
          <w:rFonts w:hint="eastAsia" w:hAnsi="宋体" w:cs="宋体"/>
        </w:rPr>
        <w:t>3.本合同未尽事宜，遵照《合同法》有关条文执行。</w:t>
      </w:r>
    </w:p>
    <w:p>
      <w:pPr>
        <w:pStyle w:val="24"/>
        <w:spacing w:before="120" w:after="120"/>
        <w:rPr>
          <w:rFonts w:hAnsi="宋体" w:cs="宋体"/>
          <w:bCs/>
        </w:rPr>
      </w:pPr>
      <w:r>
        <w:rPr>
          <w:rFonts w:hint="eastAsia" w:hAnsi="宋体" w:cs="宋体"/>
        </w:rPr>
        <w:t>4.本合同正本一式六份，</w:t>
      </w:r>
      <w:r>
        <w:rPr>
          <w:rFonts w:hint="eastAsia" w:hAnsi="宋体" w:cs="宋体"/>
          <w:bCs/>
        </w:rPr>
        <w:t>甲乙双方各执两份，湖州市吴兴区财政局和浙江华耀建设咨询有限公司（招标代理机构）各执一份备案。</w:t>
      </w:r>
    </w:p>
    <w:p>
      <w:pPr>
        <w:pStyle w:val="24"/>
        <w:spacing w:before="120" w:after="120"/>
        <w:rPr>
          <w:rFonts w:hAnsi="宋体" w:cs="宋体"/>
        </w:rPr>
      </w:pPr>
    </w:p>
    <w:p>
      <w:pPr>
        <w:tabs>
          <w:tab w:val="left" w:pos="1440"/>
        </w:tabs>
        <w:spacing w:line="480" w:lineRule="exact"/>
        <w:ind w:left="540"/>
        <w:rPr>
          <w:rFonts w:ascii="宋体" w:hAnsi="宋体" w:cs="宋体"/>
          <w:bCs/>
          <w:sz w:val="24"/>
        </w:rPr>
      </w:pPr>
      <w:r>
        <w:rPr>
          <w:rFonts w:hint="eastAsia" w:ascii="宋体" w:hAnsi="宋体" w:cs="宋体"/>
          <w:bCs/>
          <w:sz w:val="24"/>
        </w:rPr>
        <w:t>甲方：                                   乙方：</w:t>
      </w:r>
    </w:p>
    <w:p>
      <w:pPr>
        <w:tabs>
          <w:tab w:val="left" w:pos="1440"/>
        </w:tabs>
        <w:spacing w:line="480" w:lineRule="exact"/>
        <w:ind w:left="540"/>
        <w:rPr>
          <w:rFonts w:ascii="宋体" w:hAnsi="宋体" w:cs="宋体"/>
          <w:bCs/>
          <w:sz w:val="24"/>
        </w:rPr>
      </w:pPr>
      <w:r>
        <w:rPr>
          <w:rFonts w:hint="eastAsia" w:ascii="宋体" w:hAnsi="宋体" w:cs="宋体"/>
          <w:bCs/>
          <w:sz w:val="24"/>
        </w:rPr>
        <w:t>地址：                                   地址：</w:t>
      </w:r>
    </w:p>
    <w:p>
      <w:pPr>
        <w:tabs>
          <w:tab w:val="left" w:pos="1440"/>
        </w:tabs>
        <w:spacing w:line="480" w:lineRule="exact"/>
        <w:ind w:left="540"/>
        <w:rPr>
          <w:rFonts w:ascii="宋体" w:hAnsi="宋体" w:cs="宋体"/>
          <w:bCs/>
          <w:sz w:val="24"/>
        </w:rPr>
      </w:pPr>
      <w:r>
        <w:rPr>
          <w:rFonts w:hint="eastAsia" w:ascii="宋体" w:hAnsi="宋体" w:cs="宋体"/>
          <w:bCs/>
          <w:sz w:val="24"/>
        </w:rPr>
        <w:t>法定代表人：                             法定代表人：</w:t>
      </w:r>
    </w:p>
    <w:p>
      <w:pPr>
        <w:tabs>
          <w:tab w:val="left" w:pos="1440"/>
        </w:tabs>
        <w:spacing w:line="480" w:lineRule="exact"/>
        <w:ind w:left="540"/>
        <w:rPr>
          <w:rFonts w:ascii="宋体" w:hAnsi="宋体" w:cs="宋体"/>
          <w:bCs/>
          <w:sz w:val="24"/>
        </w:rPr>
      </w:pPr>
      <w:r>
        <w:rPr>
          <w:rFonts w:hint="eastAsia" w:ascii="宋体" w:hAnsi="宋体" w:cs="宋体"/>
          <w:bCs/>
          <w:sz w:val="24"/>
        </w:rPr>
        <w:t>电话：                                   电话：</w:t>
      </w:r>
    </w:p>
    <w:p>
      <w:pPr>
        <w:tabs>
          <w:tab w:val="left" w:pos="1440"/>
        </w:tabs>
        <w:spacing w:line="480" w:lineRule="exact"/>
        <w:ind w:left="540"/>
        <w:rPr>
          <w:rFonts w:ascii="宋体" w:hAnsi="宋体" w:cs="宋体"/>
          <w:bCs/>
          <w:sz w:val="24"/>
        </w:rPr>
      </w:pPr>
      <w:r>
        <w:rPr>
          <w:rFonts w:hint="eastAsia" w:ascii="宋体" w:hAnsi="宋体" w:cs="宋体"/>
          <w:bCs/>
          <w:sz w:val="24"/>
        </w:rPr>
        <w:t>传真：                                   传真：</w:t>
      </w:r>
    </w:p>
    <w:p>
      <w:pPr>
        <w:tabs>
          <w:tab w:val="left" w:pos="1440"/>
        </w:tabs>
        <w:spacing w:line="480" w:lineRule="exact"/>
        <w:ind w:left="540"/>
        <w:rPr>
          <w:rFonts w:ascii="宋体" w:hAnsi="宋体" w:cs="宋体"/>
          <w:bCs/>
          <w:sz w:val="24"/>
        </w:rPr>
      </w:pPr>
      <w:r>
        <w:rPr>
          <w:rFonts w:hint="eastAsia" w:ascii="宋体" w:hAnsi="宋体" w:cs="宋体"/>
          <w:bCs/>
          <w:sz w:val="24"/>
        </w:rPr>
        <w:t>开户银行：                               开户银行：</w:t>
      </w:r>
    </w:p>
    <w:p>
      <w:pPr>
        <w:tabs>
          <w:tab w:val="left" w:pos="1440"/>
        </w:tabs>
        <w:spacing w:line="480" w:lineRule="exact"/>
        <w:ind w:left="540"/>
        <w:rPr>
          <w:rFonts w:ascii="宋体" w:hAnsi="宋体" w:cs="宋体"/>
          <w:bCs/>
          <w:sz w:val="24"/>
        </w:rPr>
      </w:pPr>
      <w:r>
        <w:rPr>
          <w:rFonts w:hint="eastAsia" w:ascii="宋体" w:hAnsi="宋体" w:cs="宋体"/>
          <w:bCs/>
          <w:sz w:val="24"/>
        </w:rPr>
        <w:t>账号：                                   账号：</w:t>
      </w:r>
    </w:p>
    <w:p>
      <w:pPr>
        <w:tabs>
          <w:tab w:val="left" w:pos="1440"/>
        </w:tabs>
        <w:spacing w:line="480" w:lineRule="exact"/>
        <w:ind w:left="540"/>
        <w:rPr>
          <w:rFonts w:ascii="宋体" w:hAnsi="宋体" w:cs="宋体"/>
          <w:bCs/>
          <w:sz w:val="24"/>
        </w:rPr>
      </w:pPr>
      <w:r>
        <w:rPr>
          <w:rFonts w:hint="eastAsia" w:ascii="宋体" w:hAnsi="宋体" w:cs="宋体"/>
          <w:bCs/>
          <w:sz w:val="24"/>
        </w:rPr>
        <w:t>邮编：                                   邮编：</w:t>
      </w:r>
    </w:p>
    <w:p>
      <w:pPr>
        <w:tabs>
          <w:tab w:val="left" w:pos="1440"/>
        </w:tabs>
        <w:spacing w:line="480" w:lineRule="exact"/>
        <w:ind w:left="540"/>
        <w:rPr>
          <w:rFonts w:ascii="宋体" w:hAnsi="宋体" w:cs="宋体"/>
          <w:bCs/>
          <w:sz w:val="24"/>
        </w:rPr>
      </w:pPr>
      <w:r>
        <w:rPr>
          <w:rFonts w:hint="eastAsia" w:ascii="宋体" w:hAnsi="宋体" w:cs="宋体"/>
          <w:bCs/>
          <w:sz w:val="24"/>
        </w:rPr>
        <w:t>日期：                                   日期：</w:t>
      </w:r>
    </w:p>
    <w:p>
      <w:pPr>
        <w:pStyle w:val="24"/>
        <w:snapToGrid w:val="0"/>
        <w:spacing w:beforeLines="0" w:afterLines="0" w:line="360" w:lineRule="auto"/>
        <w:rPr>
          <w:rFonts w:hAnsi="宋体" w:cs="宋体"/>
        </w:rPr>
      </w:pPr>
    </w:p>
    <w:p>
      <w:pPr>
        <w:pStyle w:val="24"/>
        <w:snapToGrid w:val="0"/>
        <w:spacing w:beforeLines="0" w:afterLines="0" w:line="360" w:lineRule="auto"/>
        <w:rPr>
          <w:rFonts w:hAnsi="宋体" w:cs="宋体"/>
        </w:rPr>
      </w:pPr>
    </w:p>
    <w:p>
      <w:pPr>
        <w:pStyle w:val="24"/>
        <w:snapToGrid w:val="0"/>
        <w:spacing w:beforeLines="0" w:afterLines="0" w:line="360" w:lineRule="auto"/>
        <w:rPr>
          <w:rFonts w:hAnsi="宋体" w:cs="宋体"/>
        </w:rPr>
      </w:pPr>
    </w:p>
    <w:p>
      <w:pPr>
        <w:pStyle w:val="24"/>
        <w:snapToGrid w:val="0"/>
        <w:spacing w:beforeLines="0" w:afterLines="0" w:line="360" w:lineRule="auto"/>
        <w:rPr>
          <w:rFonts w:hAnsi="宋体" w:cs="宋体"/>
        </w:rPr>
      </w:pPr>
    </w:p>
    <w:p>
      <w:pPr>
        <w:pStyle w:val="24"/>
        <w:snapToGrid w:val="0"/>
        <w:spacing w:beforeLines="0" w:afterLines="0" w:line="360" w:lineRule="auto"/>
        <w:rPr>
          <w:rFonts w:hAnsi="宋体" w:cs="宋体"/>
        </w:rPr>
      </w:pPr>
    </w:p>
    <w:p>
      <w:pPr>
        <w:pStyle w:val="24"/>
        <w:snapToGrid w:val="0"/>
        <w:spacing w:beforeLines="0" w:afterLines="0" w:line="360" w:lineRule="auto"/>
        <w:rPr>
          <w:rFonts w:hAnsi="宋体" w:cs="宋体"/>
        </w:rPr>
      </w:pPr>
    </w:p>
    <w:p>
      <w:pPr>
        <w:pStyle w:val="24"/>
        <w:snapToGrid w:val="0"/>
        <w:spacing w:beforeLines="0" w:afterLines="0" w:line="360" w:lineRule="auto"/>
        <w:rPr>
          <w:rFonts w:hAnsi="宋体" w:cs="宋体"/>
        </w:rPr>
      </w:pPr>
    </w:p>
    <w:p>
      <w:pPr>
        <w:pStyle w:val="24"/>
        <w:snapToGrid w:val="0"/>
        <w:spacing w:beforeLines="0" w:afterLines="0" w:line="360" w:lineRule="auto"/>
        <w:rPr>
          <w:rFonts w:hAnsi="宋体" w:cs="宋体"/>
        </w:rPr>
      </w:pPr>
    </w:p>
    <w:p>
      <w:pPr>
        <w:pStyle w:val="24"/>
        <w:snapToGrid w:val="0"/>
        <w:spacing w:beforeLines="0" w:afterLines="0" w:line="360" w:lineRule="auto"/>
        <w:rPr>
          <w:rFonts w:hAnsi="宋体" w:cs="宋体"/>
        </w:rPr>
      </w:pPr>
    </w:p>
    <w:p>
      <w:pPr>
        <w:pStyle w:val="24"/>
        <w:snapToGrid w:val="0"/>
        <w:spacing w:beforeLines="0" w:afterLines="0" w:line="360" w:lineRule="auto"/>
        <w:rPr>
          <w:rFonts w:hAnsi="宋体" w:cs="宋体"/>
        </w:rPr>
      </w:pPr>
    </w:p>
    <w:p>
      <w:pPr>
        <w:pStyle w:val="24"/>
        <w:snapToGrid w:val="0"/>
        <w:spacing w:beforeLines="0" w:afterLines="0" w:line="360" w:lineRule="auto"/>
        <w:rPr>
          <w:rFonts w:hAnsi="宋体" w:cs="宋体"/>
        </w:rPr>
      </w:pPr>
    </w:p>
    <w:p>
      <w:pPr>
        <w:pStyle w:val="24"/>
        <w:snapToGrid w:val="0"/>
        <w:spacing w:beforeLines="0" w:afterLines="0" w:line="360" w:lineRule="auto"/>
        <w:rPr>
          <w:rFonts w:hAnsi="宋体" w:cs="宋体"/>
        </w:rPr>
      </w:pPr>
    </w:p>
    <w:p>
      <w:pPr>
        <w:pStyle w:val="24"/>
        <w:snapToGrid w:val="0"/>
        <w:spacing w:beforeLines="0" w:afterLines="0" w:line="360" w:lineRule="auto"/>
        <w:rPr>
          <w:rFonts w:hAnsi="宋体" w:cs="宋体"/>
        </w:rPr>
      </w:pPr>
    </w:p>
    <w:p>
      <w:pPr>
        <w:pStyle w:val="24"/>
        <w:snapToGrid w:val="0"/>
        <w:spacing w:beforeLines="0" w:afterLines="0" w:line="360" w:lineRule="auto"/>
        <w:rPr>
          <w:rFonts w:hAnsi="宋体" w:cs="宋体"/>
        </w:rPr>
      </w:pPr>
    </w:p>
    <w:p>
      <w:pPr>
        <w:pStyle w:val="24"/>
        <w:snapToGrid w:val="0"/>
        <w:spacing w:beforeLines="0" w:afterLines="0" w:line="360" w:lineRule="auto"/>
        <w:rPr>
          <w:rFonts w:hAnsi="宋体" w:cs="宋体"/>
        </w:rPr>
      </w:pPr>
    </w:p>
    <w:p>
      <w:pPr>
        <w:snapToGrid w:val="0"/>
        <w:spacing w:line="360" w:lineRule="auto"/>
        <w:jc w:val="center"/>
        <w:rPr>
          <w:sz w:val="30"/>
          <w:szCs w:val="30"/>
        </w:rPr>
      </w:pPr>
      <w:r>
        <w:rPr>
          <w:rFonts w:hint="eastAsia"/>
          <w:sz w:val="30"/>
          <w:szCs w:val="30"/>
        </w:rPr>
        <w:t>第六章　投标文件格式</w:t>
      </w:r>
    </w:p>
    <w:p>
      <w:pPr>
        <w:snapToGrid w:val="0"/>
        <w:spacing w:line="360" w:lineRule="auto"/>
        <w:jc w:val="center"/>
        <w:outlineLvl w:val="1"/>
        <w:rPr>
          <w:rFonts w:ascii="宋体" w:hAnsi="宋体"/>
          <w:b/>
          <w:bCs/>
          <w:sz w:val="24"/>
        </w:rPr>
      </w:pPr>
      <w:r>
        <w:rPr>
          <w:rFonts w:hint="eastAsia" w:ascii="宋体" w:hAnsi="宋体"/>
          <w:b/>
          <w:bCs/>
          <w:sz w:val="24"/>
        </w:rPr>
        <w:t>一、资格文件格式</w:t>
      </w:r>
    </w:p>
    <w:p>
      <w:pPr>
        <w:snapToGrid w:val="0"/>
        <w:spacing w:line="360" w:lineRule="auto"/>
        <w:jc w:val="center"/>
        <w:rPr>
          <w:rFonts w:ascii="宋体" w:hAnsi="宋体"/>
          <w:sz w:val="24"/>
          <w:szCs w:val="20"/>
        </w:rPr>
      </w:pPr>
    </w:p>
    <w:p>
      <w:pPr>
        <w:snapToGrid w:val="0"/>
        <w:spacing w:line="360" w:lineRule="auto"/>
        <w:rPr>
          <w:rFonts w:ascii="宋体" w:hAnsi="宋体"/>
          <w:sz w:val="24"/>
          <w:szCs w:val="20"/>
        </w:rPr>
      </w:pPr>
      <w:r>
        <w:rPr>
          <w:rFonts w:hint="eastAsia" w:ascii="宋体" w:hAnsi="宋体"/>
          <w:sz w:val="24"/>
        </w:rPr>
        <w:t>1.资格文件封面格式：</w:t>
      </w:r>
    </w:p>
    <w:p>
      <w:pPr>
        <w:snapToGrid w:val="0"/>
        <w:spacing w:line="360" w:lineRule="auto"/>
        <w:rPr>
          <w:rFonts w:ascii="宋体" w:hAnsi="宋体"/>
          <w:b/>
          <w:bCs/>
          <w:sz w:val="32"/>
          <w:szCs w:val="20"/>
        </w:rPr>
      </w:pPr>
      <w:r>
        <w:rPr>
          <w:rFonts w:hint="eastAsia" w:ascii="宋体" w:hAnsi="宋体"/>
          <w:b/>
          <w:bCs/>
        </w:rPr>
        <w:t>正本</w:t>
      </w:r>
      <w:r>
        <w:rPr>
          <w:rFonts w:ascii="宋体" w:hAnsi="宋体"/>
          <w:b/>
          <w:bCs/>
        </w:rPr>
        <w:t>/</w:t>
      </w:r>
      <w:r>
        <w:rPr>
          <w:rFonts w:hint="eastAsia" w:ascii="宋体" w:hAnsi="宋体"/>
          <w:b/>
          <w:bCs/>
        </w:rPr>
        <w:t>或副本</w:t>
      </w:r>
    </w:p>
    <w:p>
      <w:pPr>
        <w:snapToGrid w:val="0"/>
        <w:spacing w:line="360" w:lineRule="auto"/>
        <w:jc w:val="center"/>
        <w:rPr>
          <w:rFonts w:ascii="宋体" w:hAnsi="宋体"/>
          <w:bCs/>
          <w:sz w:val="24"/>
          <w:szCs w:val="20"/>
        </w:rPr>
      </w:pPr>
    </w:p>
    <w:p>
      <w:pPr>
        <w:snapToGrid w:val="0"/>
        <w:spacing w:line="360" w:lineRule="auto"/>
        <w:jc w:val="center"/>
        <w:rPr>
          <w:rFonts w:ascii="宋体" w:hAnsi="宋体"/>
          <w:bCs/>
          <w:sz w:val="24"/>
          <w:szCs w:val="20"/>
        </w:rPr>
      </w:pPr>
      <w:r>
        <w:rPr>
          <w:rFonts w:hint="eastAsia" w:ascii="宋体" w:hAnsi="宋体"/>
          <w:bCs/>
          <w:sz w:val="24"/>
        </w:rPr>
        <w:t>资 格 文件</w:t>
      </w:r>
    </w:p>
    <w:p>
      <w:pPr>
        <w:snapToGrid w:val="0"/>
        <w:spacing w:line="360" w:lineRule="auto"/>
        <w:rPr>
          <w:rFonts w:ascii="宋体" w:hAnsi="宋体"/>
          <w:bCs/>
          <w:sz w:val="24"/>
          <w:szCs w:val="20"/>
        </w:rPr>
      </w:pPr>
    </w:p>
    <w:p>
      <w:pPr>
        <w:snapToGrid w:val="0"/>
        <w:spacing w:line="360" w:lineRule="auto"/>
        <w:ind w:left="1918" w:leftChars="456" w:hanging="960" w:hangingChars="400"/>
        <w:rPr>
          <w:rFonts w:ascii="宋体" w:hAnsi="宋体"/>
          <w:bCs/>
          <w:sz w:val="24"/>
          <w:szCs w:val="20"/>
        </w:rPr>
      </w:pPr>
      <w:r>
        <w:rPr>
          <w:rFonts w:hint="eastAsia" w:ascii="宋体" w:hAnsi="宋体"/>
          <w:bCs/>
          <w:sz w:val="24"/>
        </w:rPr>
        <w:t>项目名称：</w:t>
      </w:r>
      <w:r>
        <w:rPr>
          <w:rFonts w:hint="eastAsia" w:ascii="宋体" w:hAnsi="宋体"/>
          <w:spacing w:val="-20"/>
          <w:sz w:val="24"/>
        </w:rPr>
        <w:t xml:space="preserve">湖州市爱山小学教育集团新型教学空间设施设备项目 </w:t>
      </w:r>
    </w:p>
    <w:p>
      <w:pPr>
        <w:snapToGrid w:val="0"/>
        <w:spacing w:line="360" w:lineRule="auto"/>
        <w:ind w:firstLine="960" w:firstLineChars="400"/>
        <w:rPr>
          <w:rFonts w:ascii="宋体" w:hAnsi="宋体"/>
          <w:bCs/>
          <w:sz w:val="24"/>
          <w:szCs w:val="20"/>
        </w:rPr>
      </w:pPr>
      <w:r>
        <w:rPr>
          <w:rFonts w:hint="eastAsia" w:ascii="宋体" w:hAnsi="宋体"/>
          <w:bCs/>
          <w:sz w:val="24"/>
        </w:rPr>
        <w:t>项目编号：</w:t>
      </w:r>
      <w:r>
        <w:rPr>
          <w:rFonts w:hint="eastAsia" w:ascii="宋体" w:hAnsi="宋体"/>
          <w:sz w:val="24"/>
        </w:rPr>
        <w:t>HYHZ2021120W</w:t>
      </w:r>
    </w:p>
    <w:p>
      <w:pPr>
        <w:pStyle w:val="8"/>
        <w:snapToGrid w:val="0"/>
        <w:spacing w:line="360" w:lineRule="auto"/>
        <w:ind w:firstLine="998" w:firstLineChars="416"/>
        <w:rPr>
          <w:rFonts w:ascii="宋体" w:hAnsi="宋体"/>
          <w:bCs/>
          <w:sz w:val="24"/>
          <w:szCs w:val="24"/>
        </w:rPr>
      </w:pPr>
      <w:r>
        <w:rPr>
          <w:rFonts w:hint="eastAsia" w:ascii="宋体" w:hAnsi="宋体"/>
          <w:bCs/>
          <w:sz w:val="24"/>
          <w:szCs w:val="24"/>
        </w:rPr>
        <w:t>投标人名称：</w:t>
      </w:r>
    </w:p>
    <w:p>
      <w:pPr>
        <w:pStyle w:val="8"/>
        <w:snapToGrid w:val="0"/>
        <w:spacing w:line="360" w:lineRule="auto"/>
        <w:ind w:firstLine="998" w:firstLineChars="416"/>
        <w:rPr>
          <w:rFonts w:ascii="宋体" w:hAnsi="宋体"/>
          <w:bCs/>
          <w:sz w:val="24"/>
          <w:szCs w:val="24"/>
        </w:rPr>
      </w:pPr>
      <w:r>
        <w:rPr>
          <w:rFonts w:hint="eastAsia" w:ascii="宋体" w:hAnsi="宋体"/>
          <w:bCs/>
          <w:sz w:val="24"/>
          <w:szCs w:val="24"/>
        </w:rPr>
        <w:t>投标人地址：</w:t>
      </w:r>
    </w:p>
    <w:p>
      <w:pPr>
        <w:pStyle w:val="8"/>
        <w:snapToGrid w:val="0"/>
        <w:spacing w:line="360" w:lineRule="auto"/>
        <w:ind w:firstLine="960" w:firstLineChars="400"/>
        <w:rPr>
          <w:rFonts w:ascii="宋体" w:hAnsi="宋体"/>
          <w:bCs/>
          <w:sz w:val="24"/>
          <w:szCs w:val="24"/>
        </w:rPr>
      </w:pPr>
    </w:p>
    <w:p>
      <w:pPr>
        <w:snapToGrid w:val="0"/>
        <w:spacing w:line="360" w:lineRule="auto"/>
        <w:ind w:firstLine="4080" w:firstLineChars="1700"/>
        <w:rPr>
          <w:rFonts w:ascii="宋体" w:hAnsi="宋体"/>
          <w:sz w:val="24"/>
          <w:szCs w:val="20"/>
        </w:rPr>
      </w:pPr>
    </w:p>
    <w:p>
      <w:pPr>
        <w:snapToGrid w:val="0"/>
        <w:spacing w:line="360" w:lineRule="auto"/>
        <w:ind w:firstLine="645"/>
        <w:jc w:val="center"/>
        <w:rPr>
          <w:rFonts w:ascii="宋体" w:hAnsi="宋体"/>
          <w:sz w:val="24"/>
          <w:szCs w:val="20"/>
        </w:rPr>
      </w:pPr>
      <w:r>
        <w:rPr>
          <w:rFonts w:hint="eastAsia" w:ascii="宋体" w:hAnsi="宋体"/>
          <w:sz w:val="24"/>
        </w:rPr>
        <w:t>年月日</w:t>
      </w:r>
    </w:p>
    <w:p>
      <w:pPr>
        <w:snapToGrid w:val="0"/>
        <w:spacing w:line="360" w:lineRule="auto"/>
        <w:rPr>
          <w:rFonts w:ascii="宋体" w:hAnsi="宋体"/>
          <w:b/>
          <w:bCs/>
          <w:sz w:val="24"/>
        </w:rPr>
      </w:pPr>
      <w:r>
        <w:rPr>
          <w:rFonts w:hint="eastAsia" w:ascii="宋体" w:hAnsi="宋体"/>
          <w:sz w:val="24"/>
        </w:rPr>
        <w:t>2.</w:t>
      </w:r>
      <w:r>
        <w:rPr>
          <w:rFonts w:hint="eastAsia" w:ascii="宋体" w:hAnsi="宋体"/>
          <w:b/>
          <w:bCs/>
          <w:sz w:val="24"/>
        </w:rPr>
        <w:t>资格文件目录</w:t>
      </w:r>
    </w:p>
    <w:p>
      <w:pPr>
        <w:snapToGrid w:val="0"/>
        <w:spacing w:line="360" w:lineRule="auto"/>
        <w:rPr>
          <w:rFonts w:ascii="宋体" w:hAnsi="宋体"/>
          <w:sz w:val="24"/>
          <w:szCs w:val="20"/>
        </w:rPr>
      </w:pPr>
    </w:p>
    <w:p>
      <w:pPr>
        <w:snapToGrid w:val="0"/>
        <w:spacing w:line="360" w:lineRule="auto"/>
        <w:jc w:val="left"/>
        <w:rPr>
          <w:rFonts w:ascii="宋体" w:hAnsi="宋体"/>
          <w:sz w:val="24"/>
          <w:szCs w:val="20"/>
        </w:rPr>
      </w:pPr>
      <w:r>
        <w:rPr>
          <w:rFonts w:hint="eastAsia" w:ascii="宋体" w:hAnsi="宋体"/>
          <w:sz w:val="24"/>
        </w:rPr>
        <w:t>（</w:t>
      </w:r>
      <w:r>
        <w:rPr>
          <w:rFonts w:ascii="宋体" w:hAnsi="宋体"/>
          <w:sz w:val="24"/>
        </w:rPr>
        <w:t>1</w:t>
      </w:r>
      <w:r>
        <w:rPr>
          <w:rFonts w:hint="eastAsia" w:ascii="宋体" w:hAnsi="宋体"/>
          <w:sz w:val="24"/>
        </w:rPr>
        <w:t>）投标声明书————————（页码）</w:t>
      </w:r>
    </w:p>
    <w:p>
      <w:pPr>
        <w:snapToGrid w:val="0"/>
        <w:spacing w:line="360" w:lineRule="auto"/>
        <w:jc w:val="left"/>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）投标人基本情况介绍————————</w:t>
      </w:r>
    </w:p>
    <w:p>
      <w:pPr>
        <w:snapToGrid w:val="0"/>
        <w:spacing w:line="360" w:lineRule="auto"/>
        <w:jc w:val="left"/>
        <w:rPr>
          <w:rFonts w:ascii="宋体" w:hAnsi="宋体"/>
          <w:sz w:val="24"/>
        </w:rPr>
      </w:pPr>
      <w:r>
        <w:rPr>
          <w:rFonts w:hint="eastAsia" w:ascii="宋体" w:hAnsi="宋体"/>
          <w:sz w:val="24"/>
        </w:rPr>
        <w:t>（3）</w:t>
      </w:r>
      <w:r>
        <w:rPr>
          <w:rFonts w:ascii="宋体" w:hAnsi="宋体"/>
          <w:sz w:val="24"/>
        </w:rPr>
        <w:t>法定代表人授权委托书及授权代理人社保证明复印件（社保机构出具的由本单位或分公司为其缴纳的</w:t>
      </w:r>
      <w:r>
        <w:rPr>
          <w:rFonts w:hint="eastAsia" w:ascii="宋体" w:hAnsi="宋体" w:cs="宋体"/>
          <w:kern w:val="0"/>
          <w:sz w:val="24"/>
        </w:rPr>
        <w:t>最近一个月</w:t>
      </w:r>
      <w:r>
        <w:rPr>
          <w:rFonts w:ascii="宋体" w:hAnsi="宋体"/>
          <w:sz w:val="24"/>
        </w:rPr>
        <w:t>的社保证明）</w:t>
      </w:r>
      <w:r>
        <w:rPr>
          <w:rFonts w:hint="eastAsia" w:ascii="宋体" w:hAnsi="宋体"/>
          <w:sz w:val="24"/>
        </w:rPr>
        <w:t>————————</w:t>
      </w:r>
    </w:p>
    <w:p>
      <w:pPr>
        <w:snapToGrid w:val="0"/>
        <w:spacing w:line="360" w:lineRule="auto"/>
        <w:jc w:val="left"/>
        <w:rPr>
          <w:rFonts w:ascii="宋体" w:hAnsi="宋体"/>
          <w:sz w:val="24"/>
        </w:rPr>
      </w:pPr>
      <w:r>
        <w:rPr>
          <w:rFonts w:hint="eastAsia" w:ascii="宋体" w:hAnsi="宋体"/>
          <w:sz w:val="24"/>
        </w:rPr>
        <w:t>（4）最近3个月依法缴纳税收和社保费的证明【税费凭证，或者依法缴纳税费或依法免缴税费的证明】（</w:t>
      </w:r>
      <w:r>
        <w:rPr>
          <w:rFonts w:hint="eastAsia" w:ascii="宋体" w:hAnsi="宋体"/>
          <w:bCs/>
          <w:sz w:val="24"/>
        </w:rPr>
        <w:t>复印件各一份</w:t>
      </w:r>
      <w:r>
        <w:rPr>
          <w:rFonts w:hint="eastAsia" w:ascii="宋体" w:hAnsi="宋体"/>
          <w:sz w:val="24"/>
        </w:rPr>
        <w:t>）————————</w:t>
      </w:r>
    </w:p>
    <w:p>
      <w:pPr>
        <w:snapToGrid w:val="0"/>
        <w:spacing w:line="360" w:lineRule="auto"/>
        <w:jc w:val="left"/>
        <w:rPr>
          <w:rFonts w:ascii="宋体" w:hAnsi="宋体"/>
          <w:sz w:val="24"/>
        </w:rPr>
      </w:pPr>
      <w:r>
        <w:rPr>
          <w:rFonts w:hint="eastAsia" w:ascii="宋体" w:hAnsi="宋体"/>
          <w:sz w:val="24"/>
        </w:rPr>
        <w:t>（5）有效的营业执照副本复印件————————</w:t>
      </w:r>
    </w:p>
    <w:p>
      <w:pPr>
        <w:snapToGrid w:val="0"/>
        <w:spacing w:line="360" w:lineRule="auto"/>
        <w:jc w:val="left"/>
        <w:rPr>
          <w:rFonts w:ascii="宋体" w:hAnsi="宋体" w:cs="Arial"/>
          <w:kern w:val="0"/>
          <w:sz w:val="24"/>
        </w:rPr>
      </w:pPr>
      <w:r>
        <w:rPr>
          <w:rFonts w:hint="eastAsia" w:ascii="宋体" w:hAnsi="宋体" w:cs="Arial"/>
          <w:kern w:val="0"/>
          <w:sz w:val="24"/>
        </w:rPr>
        <w:t>（6）</w:t>
      </w:r>
      <w:r>
        <w:rPr>
          <w:rFonts w:hint="eastAsia" w:ascii="宋体" w:hAnsi="宋体" w:cs="宋体"/>
          <w:sz w:val="24"/>
        </w:rPr>
        <w:t>近二年度企业的财务报表或银行资信证明复印件</w:t>
      </w:r>
      <w:r>
        <w:rPr>
          <w:rFonts w:hint="eastAsia" w:ascii="宋体" w:hAnsi="宋体"/>
          <w:sz w:val="24"/>
        </w:rPr>
        <w:t>————————</w:t>
      </w:r>
    </w:p>
    <w:p>
      <w:pPr>
        <w:snapToGrid w:val="0"/>
        <w:spacing w:line="360" w:lineRule="auto"/>
        <w:jc w:val="left"/>
        <w:rPr>
          <w:rFonts w:ascii="宋体" w:hAnsi="宋体"/>
          <w:sz w:val="24"/>
        </w:rPr>
      </w:pPr>
      <w:r>
        <w:rPr>
          <w:rFonts w:hint="eastAsia" w:ascii="宋体" w:hAnsi="宋体" w:cs="Arial"/>
          <w:kern w:val="0"/>
          <w:sz w:val="24"/>
        </w:rPr>
        <w:t>（7）</w:t>
      </w:r>
      <w:r>
        <w:rPr>
          <w:rFonts w:hint="eastAsia" w:ascii="宋体" w:hAnsi="宋体" w:cs="宋体"/>
          <w:kern w:val="0"/>
          <w:sz w:val="24"/>
        </w:rPr>
        <w:t>提供自采购公告发布之后任意时间的“信用中国”（www.creditchina.gov.cn ）、</w:t>
      </w:r>
      <w:r>
        <w:rPr>
          <w:rFonts w:ascii="宋体" w:hAnsi="宋体" w:cs="宋体"/>
          <w:kern w:val="0"/>
          <w:sz w:val="24"/>
        </w:rPr>
        <w:t>“</w:t>
      </w:r>
      <w:r>
        <w:rPr>
          <w:rFonts w:hint="eastAsia" w:ascii="宋体" w:hAnsi="宋体" w:cs="宋体"/>
          <w:kern w:val="0"/>
          <w:sz w:val="24"/>
        </w:rPr>
        <w:t>中国政府采购</w:t>
      </w:r>
      <w:r>
        <w:rPr>
          <w:rFonts w:ascii="宋体" w:hAnsi="宋体" w:cs="宋体"/>
          <w:kern w:val="0"/>
          <w:sz w:val="24"/>
        </w:rPr>
        <w:t>”</w:t>
      </w:r>
      <w:r>
        <w:rPr>
          <w:rFonts w:hint="eastAsia" w:ascii="宋体" w:hAnsi="宋体" w:cs="宋体"/>
          <w:kern w:val="0"/>
          <w:sz w:val="24"/>
        </w:rPr>
        <w:t>（www.ccgp.gov.cn ）供应商信用查询网页截图（二者缺一不可）</w:t>
      </w:r>
      <w:r>
        <w:rPr>
          <w:rFonts w:hint="eastAsia" w:ascii="宋体" w:hAnsi="宋体"/>
          <w:sz w:val="24"/>
        </w:rPr>
        <w:t>————————</w:t>
      </w:r>
    </w:p>
    <w:p>
      <w:pPr>
        <w:snapToGrid w:val="0"/>
        <w:spacing w:line="360" w:lineRule="auto"/>
        <w:jc w:val="left"/>
        <w:rPr>
          <w:rFonts w:ascii="宋体" w:hAnsi="宋体" w:cs="Arial"/>
          <w:kern w:val="0"/>
          <w:sz w:val="24"/>
        </w:rPr>
      </w:pPr>
      <w:r>
        <w:rPr>
          <w:rFonts w:hint="eastAsia" w:ascii="宋体" w:hAnsi="宋体" w:eastAsia="宋体" w:cs="Times New Roman"/>
          <w:sz w:val="24"/>
        </w:rPr>
        <w:t>（</w:t>
      </w:r>
      <w:r>
        <w:rPr>
          <w:rFonts w:hint="eastAsia" w:ascii="宋体" w:hAnsi="宋体"/>
          <w:sz w:val="24"/>
        </w:rPr>
        <w:t>8</w:t>
      </w:r>
      <w:r>
        <w:rPr>
          <w:rFonts w:hint="eastAsia" w:ascii="宋体" w:hAnsi="宋体" w:eastAsia="宋体" w:cs="Times New Roman"/>
          <w:sz w:val="24"/>
        </w:rPr>
        <w:t>）《中小企业声明函》（格式见附件）</w:t>
      </w:r>
      <w:r>
        <w:rPr>
          <w:rFonts w:hint="eastAsia" w:ascii="宋体" w:hAnsi="宋体"/>
          <w:sz w:val="24"/>
        </w:rPr>
        <w:t>————————</w:t>
      </w:r>
    </w:p>
    <w:p>
      <w:pPr>
        <w:snapToGrid w:val="0"/>
        <w:spacing w:line="360" w:lineRule="auto"/>
        <w:rPr>
          <w:rFonts w:ascii="宋体" w:hAnsi="宋体"/>
          <w:sz w:val="24"/>
          <w:szCs w:val="20"/>
        </w:rPr>
      </w:pPr>
    </w:p>
    <w:p>
      <w:pPr>
        <w:snapToGrid w:val="0"/>
        <w:spacing w:line="360" w:lineRule="auto"/>
        <w:jc w:val="left"/>
        <w:rPr>
          <w:rFonts w:ascii="宋体" w:hAnsi="宋体"/>
          <w:sz w:val="24"/>
          <w:szCs w:val="20"/>
        </w:rPr>
      </w:pPr>
      <w:r>
        <w:rPr>
          <w:rFonts w:hint="eastAsia" w:ascii="宋体" w:hAnsi="宋体"/>
          <w:sz w:val="24"/>
        </w:rPr>
        <w:t>3.投标声明书格式：</w:t>
      </w:r>
    </w:p>
    <w:p>
      <w:pPr>
        <w:snapToGrid w:val="0"/>
        <w:spacing w:line="360" w:lineRule="auto"/>
        <w:jc w:val="center"/>
        <w:rPr>
          <w:rFonts w:ascii="宋体" w:hAnsi="宋体"/>
          <w:sz w:val="24"/>
          <w:szCs w:val="20"/>
        </w:rPr>
      </w:pPr>
      <w:r>
        <w:rPr>
          <w:rFonts w:hint="eastAsia" w:ascii="宋体" w:hAnsi="宋体"/>
          <w:sz w:val="30"/>
        </w:rPr>
        <w:t>投标声明书</w:t>
      </w:r>
    </w:p>
    <w:p>
      <w:pPr>
        <w:snapToGrid w:val="0"/>
        <w:spacing w:line="360" w:lineRule="auto"/>
        <w:rPr>
          <w:rFonts w:ascii="宋体" w:hAnsi="宋体"/>
          <w:sz w:val="24"/>
          <w:szCs w:val="20"/>
        </w:rPr>
      </w:pPr>
      <w:r>
        <w:rPr>
          <w:rFonts w:hint="eastAsia" w:ascii="宋体" w:hAnsi="宋体"/>
          <w:sz w:val="24"/>
        </w:rPr>
        <w:t>致：</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（招标采购单位名称）：</w:t>
      </w:r>
    </w:p>
    <w:p>
      <w:pPr>
        <w:snapToGrid w:val="0"/>
        <w:spacing w:line="360" w:lineRule="auto"/>
        <w:ind w:firstLine="720" w:firstLineChars="300"/>
        <w:rPr>
          <w:rFonts w:ascii="宋体" w:hAnsi="宋体"/>
          <w:sz w:val="24"/>
          <w:szCs w:val="20"/>
        </w:rPr>
      </w:pP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（投标人名称）系中华人民共和国合法企业，经营地址。</w:t>
      </w:r>
    </w:p>
    <w:p>
      <w:pPr>
        <w:snapToGrid w:val="0"/>
        <w:spacing w:line="360" w:lineRule="auto"/>
        <w:ind w:firstLine="645"/>
        <w:rPr>
          <w:rFonts w:ascii="宋体" w:hAnsi="宋体"/>
          <w:sz w:val="24"/>
          <w:szCs w:val="20"/>
        </w:rPr>
      </w:pPr>
      <w:r>
        <w:rPr>
          <w:rFonts w:hint="eastAsia" w:ascii="宋体" w:hAnsi="宋体"/>
          <w:sz w:val="24"/>
        </w:rPr>
        <w:t>我</w:t>
      </w:r>
      <w:r>
        <w:rPr>
          <w:rFonts w:ascii="宋体" w:hAnsi="宋体"/>
          <w:sz w:val="24"/>
        </w:rPr>
        <w:t>___</w:t>
      </w:r>
      <w:r>
        <w:rPr>
          <w:rFonts w:ascii="宋体" w:hAnsi="宋体"/>
          <w:sz w:val="24"/>
          <w:u w:val="single"/>
        </w:rPr>
        <w:t xml:space="preserve">    _</w:t>
      </w:r>
      <w:r>
        <w:rPr>
          <w:rFonts w:ascii="宋体" w:hAnsi="宋体"/>
          <w:sz w:val="24"/>
        </w:rPr>
        <w:t>_</w:t>
      </w:r>
      <w:r>
        <w:rPr>
          <w:rFonts w:hint="eastAsia" w:ascii="宋体" w:hAnsi="宋体"/>
          <w:sz w:val="24"/>
        </w:rPr>
        <w:t>（姓名）系</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（投标人名称）的法定代表人，我方愿意参加贵方组织的</w:t>
      </w:r>
      <w:r>
        <w:rPr>
          <w:rFonts w:ascii="宋体" w:hAnsi="宋体"/>
          <w:sz w:val="24"/>
        </w:rPr>
        <w:t>_____</w:t>
      </w:r>
      <w:r>
        <w:rPr>
          <w:rFonts w:ascii="宋体" w:hAnsi="宋体"/>
          <w:sz w:val="24"/>
          <w:u w:val="single"/>
        </w:rPr>
        <w:t>_              _     _</w:t>
      </w:r>
      <w:r>
        <w:rPr>
          <w:rFonts w:ascii="宋体" w:hAnsi="宋体"/>
          <w:sz w:val="24"/>
        </w:rPr>
        <w:t>_</w:t>
      </w:r>
      <w:r>
        <w:rPr>
          <w:rFonts w:hint="eastAsia" w:ascii="宋体" w:hAnsi="宋体"/>
          <w:sz w:val="24"/>
        </w:rPr>
        <w:t>项目的投标，为便于贵方公正、择优地确定中标人及其投标产品和服务，我方就本次投标有关事项郑重声明如下：</w:t>
      </w:r>
    </w:p>
    <w:p>
      <w:pPr>
        <w:snapToGrid w:val="0"/>
        <w:spacing w:line="360" w:lineRule="auto"/>
        <w:ind w:firstLine="480" w:firstLineChars="200"/>
        <w:rPr>
          <w:rFonts w:ascii="宋体" w:hAnsi="宋体"/>
          <w:sz w:val="24"/>
          <w:szCs w:val="20"/>
        </w:rPr>
      </w:pPr>
      <w:r>
        <w:rPr>
          <w:rFonts w:ascii="宋体" w:hAnsi="宋体"/>
          <w:sz w:val="24"/>
        </w:rPr>
        <w:t>1</w:t>
      </w:r>
      <w:r>
        <w:rPr>
          <w:rFonts w:hint="eastAsia" w:ascii="宋体" w:hAnsi="宋体"/>
          <w:sz w:val="24"/>
        </w:rPr>
        <w:t>.</w:t>
      </w:r>
      <w:r>
        <w:rPr>
          <w:rFonts w:ascii="宋体" w:hAnsi="宋体"/>
          <w:sz w:val="24"/>
        </w:rPr>
        <w:t>我方向贵方提交的所有投标文件、资料都是准确的和真实的</w:t>
      </w:r>
      <w:r>
        <w:rPr>
          <w:rFonts w:hint="eastAsia" w:ascii="宋体" w:hAnsi="宋体"/>
          <w:sz w:val="24"/>
        </w:rPr>
        <w:t>。</w:t>
      </w:r>
    </w:p>
    <w:p>
      <w:pPr>
        <w:snapToGrid w:val="0"/>
        <w:spacing w:line="360" w:lineRule="auto"/>
        <w:ind w:firstLine="480" w:firstLineChars="200"/>
        <w:rPr>
          <w:rFonts w:ascii="宋体" w:hAnsi="宋体"/>
          <w:sz w:val="24"/>
          <w:szCs w:val="20"/>
        </w:rPr>
      </w:pPr>
      <w:r>
        <w:rPr>
          <w:rFonts w:ascii="宋体" w:hAnsi="宋体"/>
          <w:sz w:val="24"/>
        </w:rPr>
        <w:t>2</w:t>
      </w:r>
      <w:r>
        <w:rPr>
          <w:rFonts w:hint="eastAsia" w:ascii="宋体" w:hAnsi="宋体"/>
          <w:sz w:val="24"/>
        </w:rPr>
        <w:t>.</w:t>
      </w:r>
      <w:r>
        <w:rPr>
          <w:rFonts w:ascii="宋体" w:hAnsi="宋体"/>
          <w:sz w:val="24"/>
        </w:rPr>
        <w:t>我方不是采购人的附属机构；在获知本项目采购信息后，与采购人聘请的为此项目提供咨询服务的公司及其附属机构没有任何联系。</w:t>
      </w:r>
    </w:p>
    <w:p>
      <w:pPr>
        <w:snapToGrid w:val="0"/>
        <w:spacing w:line="360" w:lineRule="auto"/>
        <w:ind w:firstLine="480" w:firstLineChars="200"/>
        <w:rPr>
          <w:rFonts w:ascii="宋体" w:hAnsi="宋体"/>
          <w:sz w:val="24"/>
          <w:szCs w:val="20"/>
        </w:rPr>
      </w:pPr>
      <w:r>
        <w:rPr>
          <w:rFonts w:ascii="宋体" w:hAnsi="宋体"/>
          <w:sz w:val="24"/>
        </w:rPr>
        <w:t>3</w:t>
      </w:r>
      <w:r>
        <w:rPr>
          <w:rFonts w:hint="eastAsia" w:ascii="宋体" w:hAnsi="宋体"/>
          <w:sz w:val="24"/>
        </w:rPr>
        <w:t>.</w:t>
      </w:r>
      <w:r>
        <w:rPr>
          <w:rFonts w:ascii="宋体" w:hAnsi="宋体"/>
          <w:sz w:val="24"/>
        </w:rPr>
        <w:t>我方此次向贵方提供的产品名称为：</w:t>
      </w:r>
      <w:r>
        <w:rPr>
          <w:rFonts w:hint="eastAsia" w:ascii="宋体" w:hAnsi="宋体"/>
          <w:sz w:val="24"/>
        </w:rPr>
        <w:t>；规格型号：；该型号产品我方有现货可供，并已于年月生产完工或向</w:t>
      </w:r>
      <w:r>
        <w:rPr>
          <w:rFonts w:hint="eastAsia" w:ascii="宋体" w:hAnsi="宋体"/>
          <w:sz w:val="24"/>
          <w:u w:val="single"/>
        </w:rPr>
        <w:t>　　</w:t>
      </w:r>
      <w:r>
        <w:rPr>
          <w:rFonts w:hint="eastAsia" w:ascii="宋体" w:hAnsi="宋体"/>
          <w:sz w:val="24"/>
        </w:rPr>
        <w:t>（原厂商名称）购进［</w:t>
      </w:r>
      <w:r>
        <w:rPr>
          <w:rFonts w:hint="eastAsia" w:ascii="宋体" w:hAnsi="宋体"/>
          <w:b/>
          <w:bCs/>
          <w:sz w:val="24"/>
        </w:rPr>
        <w:t>或</w:t>
      </w:r>
      <w:r>
        <w:rPr>
          <w:rFonts w:hint="eastAsia" w:ascii="宋体" w:hAnsi="宋体"/>
          <w:sz w:val="24"/>
        </w:rPr>
        <w:t>需在中标后向订购］。</w:t>
      </w:r>
    </w:p>
    <w:p>
      <w:pPr>
        <w:snapToGrid w:val="0"/>
        <w:spacing w:line="360" w:lineRule="auto"/>
        <w:ind w:firstLine="480" w:firstLineChars="200"/>
        <w:rPr>
          <w:rFonts w:ascii="宋体" w:hAnsi="宋体"/>
          <w:sz w:val="24"/>
          <w:szCs w:val="20"/>
        </w:rPr>
      </w:pPr>
      <w:r>
        <w:rPr>
          <w:rFonts w:ascii="宋体" w:hAnsi="宋体"/>
          <w:sz w:val="24"/>
        </w:rPr>
        <w:t>4</w:t>
      </w:r>
      <w:r>
        <w:rPr>
          <w:rFonts w:hint="eastAsia" w:ascii="宋体" w:hAnsi="宋体"/>
          <w:sz w:val="24"/>
        </w:rPr>
        <w:t>.</w:t>
      </w:r>
      <w:r>
        <w:rPr>
          <w:rFonts w:ascii="宋体" w:hAnsi="宋体"/>
          <w:sz w:val="24"/>
        </w:rPr>
        <w:t>我方诚意提请贵方关注：</w:t>
      </w:r>
      <w:r>
        <w:rPr>
          <w:rFonts w:hint="eastAsia" w:ascii="宋体" w:hAnsi="宋体"/>
          <w:sz w:val="24"/>
        </w:rPr>
        <w:t>近期</w:t>
      </w:r>
      <w:r>
        <w:rPr>
          <w:rFonts w:ascii="宋体" w:hAnsi="宋体"/>
          <w:sz w:val="24"/>
        </w:rPr>
        <w:t>有关该型号产品的</w:t>
      </w:r>
      <w:r>
        <w:rPr>
          <w:rFonts w:hint="eastAsia" w:ascii="宋体" w:hAnsi="宋体"/>
          <w:sz w:val="24"/>
        </w:rPr>
        <w:t>生产、供货、售后服务以及性能等方面的重大决策和事项有：</w:t>
      </w:r>
    </w:p>
    <w:p>
      <w:pPr>
        <w:snapToGrid w:val="0"/>
        <w:spacing w:line="360" w:lineRule="auto"/>
        <w:ind w:firstLine="480" w:firstLineChars="200"/>
        <w:rPr>
          <w:rFonts w:ascii="宋体" w:hAnsi="宋体"/>
          <w:sz w:val="24"/>
          <w:szCs w:val="20"/>
          <w:u w:val="single"/>
        </w:rPr>
      </w:pPr>
      <w:r>
        <w:rPr>
          <w:rFonts w:hint="eastAsia" w:ascii="宋体" w:hAnsi="宋体"/>
          <w:sz w:val="24"/>
          <w:u w:val="single"/>
        </w:rPr>
        <w:t>　　　　　　　　　　　　　　　　　　　　　　　　　　　</w:t>
      </w:r>
    </w:p>
    <w:p>
      <w:pPr>
        <w:snapToGrid w:val="0"/>
        <w:spacing w:line="360" w:lineRule="auto"/>
        <w:ind w:firstLine="480" w:firstLineChars="200"/>
        <w:rPr>
          <w:rFonts w:ascii="宋体" w:hAnsi="宋体"/>
          <w:sz w:val="24"/>
          <w:szCs w:val="20"/>
        </w:rPr>
      </w:pPr>
      <w:r>
        <w:rPr>
          <w:rFonts w:hint="eastAsia" w:ascii="宋体" w:hAnsi="宋体"/>
          <w:sz w:val="24"/>
          <w:u w:val="single"/>
        </w:rPr>
        <w:t>　　　　　　　　　　　　　　　　　　　　　　　　　　　</w:t>
      </w:r>
    </w:p>
    <w:p>
      <w:pPr>
        <w:pStyle w:val="20"/>
        <w:snapToGrid w:val="0"/>
        <w:spacing w:line="360" w:lineRule="auto"/>
        <w:ind w:firstLine="464" w:firstLineChars="200"/>
        <w:rPr>
          <w:rFonts w:hAnsi="宋体"/>
          <w:sz w:val="24"/>
        </w:rPr>
      </w:pPr>
      <w:r>
        <w:rPr>
          <w:rFonts w:hAnsi="宋体"/>
          <w:sz w:val="24"/>
        </w:rPr>
        <w:t>5</w:t>
      </w:r>
      <w:r>
        <w:rPr>
          <w:rFonts w:hint="eastAsia" w:hAnsi="宋体"/>
          <w:sz w:val="24"/>
        </w:rPr>
        <w:t>.我方及由本人担任法定代表人的其他机构</w:t>
      </w:r>
      <w:r>
        <w:rPr>
          <w:rFonts w:hAnsi="宋体"/>
          <w:sz w:val="24"/>
        </w:rPr>
        <w:t>最近三年内被</w:t>
      </w:r>
      <w:r>
        <w:rPr>
          <w:rFonts w:hint="eastAsia" w:hAnsi="宋体"/>
          <w:sz w:val="24"/>
        </w:rPr>
        <w:t>通报或者被处罚的</w:t>
      </w:r>
      <w:r>
        <w:rPr>
          <w:rFonts w:hAnsi="宋体"/>
          <w:sz w:val="24"/>
        </w:rPr>
        <w:t>违法行为有：</w:t>
      </w:r>
    </w:p>
    <w:p>
      <w:pPr>
        <w:snapToGrid w:val="0"/>
        <w:spacing w:line="360" w:lineRule="auto"/>
        <w:ind w:firstLine="480" w:firstLineChars="200"/>
        <w:rPr>
          <w:rFonts w:ascii="宋体" w:hAnsi="宋体"/>
          <w:sz w:val="24"/>
          <w:szCs w:val="20"/>
          <w:u w:val="single"/>
        </w:rPr>
      </w:pPr>
      <w:r>
        <w:rPr>
          <w:rFonts w:hint="eastAsia" w:ascii="宋体" w:hAnsi="宋体"/>
          <w:sz w:val="24"/>
          <w:u w:val="single"/>
        </w:rPr>
        <w:t>　　　　　　　　　　　　　　　　　　　　　　　　　　　</w:t>
      </w:r>
    </w:p>
    <w:p>
      <w:pPr>
        <w:snapToGrid w:val="0"/>
        <w:spacing w:line="360" w:lineRule="auto"/>
        <w:ind w:firstLine="480" w:firstLineChars="200"/>
        <w:rPr>
          <w:rFonts w:ascii="宋体" w:hAnsi="宋体"/>
          <w:sz w:val="24"/>
          <w:szCs w:val="20"/>
          <w:u w:val="single"/>
        </w:rPr>
      </w:pPr>
      <w:r>
        <w:rPr>
          <w:rFonts w:hint="eastAsia" w:ascii="宋体" w:hAnsi="宋体"/>
          <w:sz w:val="24"/>
          <w:u w:val="single"/>
        </w:rPr>
        <w:t>　　　　　　　　　　　　　　　　　　　　　　　　　　　</w:t>
      </w:r>
    </w:p>
    <w:p>
      <w:pPr>
        <w:snapToGrid w:val="0"/>
        <w:spacing w:line="360" w:lineRule="auto"/>
        <w:ind w:firstLine="480" w:firstLineChars="200"/>
        <w:rPr>
          <w:rFonts w:ascii="宋体" w:hAnsi="宋体"/>
          <w:sz w:val="24"/>
          <w:szCs w:val="20"/>
        </w:rPr>
      </w:pPr>
      <w:r>
        <w:rPr>
          <w:rFonts w:hint="eastAsia" w:ascii="宋体" w:hAnsi="宋体"/>
          <w:sz w:val="24"/>
        </w:rPr>
        <w:t>6.以上事项如有虚假或隐瞒，我方愿意承担一切后果，并不再寻求任何旨在减轻或免除法律责任的辩解。</w:t>
      </w:r>
    </w:p>
    <w:p>
      <w:pPr>
        <w:pStyle w:val="86"/>
        <w:snapToGrid w:val="0"/>
        <w:spacing w:line="360" w:lineRule="auto"/>
        <w:ind w:firstLine="200"/>
        <w:rPr>
          <w:rFonts w:ascii="宋体" w:hAnsi="宋体"/>
        </w:rPr>
      </w:pPr>
    </w:p>
    <w:p>
      <w:pPr>
        <w:snapToGrid w:val="0"/>
        <w:spacing w:line="360" w:lineRule="auto"/>
        <w:ind w:firstLine="200"/>
        <w:rPr>
          <w:rFonts w:ascii="宋体" w:hAnsi="宋体"/>
          <w:sz w:val="24"/>
          <w:szCs w:val="20"/>
          <w:u w:val="single"/>
        </w:rPr>
      </w:pPr>
      <w:r>
        <w:rPr>
          <w:rFonts w:hint="eastAsia" w:ascii="宋体" w:hAnsi="宋体"/>
          <w:sz w:val="24"/>
        </w:rPr>
        <w:t>法定代表人签字：</w:t>
      </w:r>
    </w:p>
    <w:p>
      <w:pPr>
        <w:snapToGrid w:val="0"/>
        <w:spacing w:line="360" w:lineRule="auto"/>
        <w:ind w:firstLine="240" w:firstLineChars="100"/>
        <w:rPr>
          <w:rFonts w:ascii="宋体" w:hAnsi="宋体"/>
          <w:sz w:val="24"/>
          <w:szCs w:val="20"/>
        </w:rPr>
      </w:pPr>
      <w:r>
        <w:rPr>
          <w:rFonts w:hint="eastAsia" w:ascii="宋体" w:hAnsi="宋体"/>
          <w:sz w:val="24"/>
        </w:rPr>
        <w:t>投标人公章：</w:t>
      </w:r>
      <w:r>
        <w:rPr>
          <w:rFonts w:ascii="宋体" w:hAnsi="宋体"/>
          <w:sz w:val="24"/>
        </w:rPr>
        <w:t xml:space="preserve">                      年    月    日</w:t>
      </w:r>
    </w:p>
    <w:p>
      <w:pPr>
        <w:snapToGrid w:val="0"/>
        <w:spacing w:line="360" w:lineRule="auto"/>
        <w:rPr>
          <w:rFonts w:ascii="宋体" w:hAnsi="宋体"/>
          <w:sz w:val="24"/>
          <w:szCs w:val="20"/>
        </w:rPr>
      </w:pPr>
    </w:p>
    <w:p>
      <w:pPr>
        <w:snapToGrid w:val="0"/>
        <w:spacing w:line="360" w:lineRule="auto"/>
        <w:rPr>
          <w:rFonts w:ascii="宋体" w:hAnsi="宋体"/>
          <w:sz w:val="24"/>
          <w:szCs w:val="20"/>
        </w:rPr>
      </w:pPr>
    </w:p>
    <w:p>
      <w:pPr>
        <w:snapToGrid w:val="0"/>
        <w:spacing w:line="360" w:lineRule="auto"/>
        <w:rPr>
          <w:rFonts w:ascii="宋体" w:hAnsi="宋体"/>
          <w:sz w:val="24"/>
        </w:rPr>
      </w:pPr>
      <w:r>
        <w:rPr>
          <w:rFonts w:hint="eastAsia" w:ascii="宋体" w:hAnsi="宋体"/>
          <w:sz w:val="24"/>
        </w:rPr>
        <w:t>4.投标人情况介绍（包括主要产品、技术力量、生产规模、经营业绩等，格式自拟）</w:t>
      </w: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szCs w:val="20"/>
        </w:rPr>
      </w:pPr>
      <w:r>
        <w:rPr>
          <w:rFonts w:hint="eastAsia" w:ascii="宋体" w:hAnsi="宋体"/>
          <w:sz w:val="24"/>
        </w:rPr>
        <w:t>5.法定代表人授权委托书格式：</w:t>
      </w:r>
    </w:p>
    <w:p>
      <w:pPr>
        <w:snapToGrid w:val="0"/>
        <w:spacing w:line="360" w:lineRule="auto"/>
        <w:jc w:val="center"/>
        <w:rPr>
          <w:rFonts w:ascii="宋体" w:hAnsi="宋体"/>
          <w:sz w:val="30"/>
          <w:szCs w:val="20"/>
        </w:rPr>
      </w:pPr>
    </w:p>
    <w:p>
      <w:pPr>
        <w:snapToGrid w:val="0"/>
        <w:spacing w:line="360" w:lineRule="auto"/>
        <w:jc w:val="center"/>
        <w:rPr>
          <w:rFonts w:ascii="宋体" w:hAnsi="宋体"/>
          <w:b/>
          <w:sz w:val="24"/>
          <w:szCs w:val="20"/>
        </w:rPr>
      </w:pPr>
      <w:r>
        <w:rPr>
          <w:rFonts w:hint="eastAsia" w:ascii="宋体" w:hAnsi="宋体"/>
          <w:b/>
          <w:sz w:val="24"/>
        </w:rPr>
        <w:t>法定代表人授权委托书</w:t>
      </w:r>
    </w:p>
    <w:p>
      <w:pPr>
        <w:snapToGrid w:val="0"/>
        <w:spacing w:line="360" w:lineRule="auto"/>
        <w:rPr>
          <w:rFonts w:ascii="宋体" w:hAnsi="宋体"/>
          <w:b/>
          <w:bCs/>
          <w:sz w:val="24"/>
          <w:szCs w:val="20"/>
        </w:rPr>
      </w:pPr>
      <w:r>
        <w:rPr>
          <w:rFonts w:hint="eastAsia" w:ascii="宋体" w:hAnsi="宋体"/>
          <w:bCs/>
          <w:sz w:val="24"/>
        </w:rPr>
        <w:t>致：</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（招标采购单位名称）：</w:t>
      </w:r>
    </w:p>
    <w:p>
      <w:pPr>
        <w:snapToGrid w:val="0"/>
        <w:spacing w:line="360" w:lineRule="auto"/>
        <w:ind w:firstLine="720" w:firstLineChars="300"/>
        <w:rPr>
          <w:rFonts w:ascii="宋体" w:hAnsi="宋体"/>
          <w:sz w:val="24"/>
          <w:szCs w:val="20"/>
        </w:rPr>
      </w:pPr>
      <w:r>
        <w:rPr>
          <w:rFonts w:hint="eastAsia" w:ascii="宋体" w:hAnsi="宋体"/>
          <w:sz w:val="24"/>
        </w:rPr>
        <w:t>我</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（姓名）系</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（投标人名称）的法定代表人，现授权委托本单位在职职工（姓名）以我方的名义参加</w:t>
      </w:r>
      <w:r>
        <w:rPr>
          <w:rFonts w:hint="eastAsia" w:ascii="宋体" w:hAnsi="宋体"/>
          <w:spacing w:val="-20"/>
          <w:sz w:val="24"/>
          <w:u w:val="single"/>
        </w:rPr>
        <w:t xml:space="preserve">湖州市爱山小学教育集团新型教学空间设施设备项目 </w:t>
      </w:r>
      <w:r>
        <w:rPr>
          <w:rFonts w:hint="eastAsia" w:ascii="宋体" w:hAnsi="宋体"/>
          <w:sz w:val="24"/>
        </w:rPr>
        <w:t>项目的投标活动，并代表我方全权办理针对上述项目的投标、开标、评标、签约等具体事务和签署相关文件。</w:t>
      </w:r>
    </w:p>
    <w:p>
      <w:pPr>
        <w:snapToGrid w:val="0"/>
        <w:spacing w:line="360" w:lineRule="auto"/>
        <w:rPr>
          <w:rFonts w:ascii="宋体" w:hAnsi="宋体"/>
          <w:sz w:val="24"/>
          <w:szCs w:val="20"/>
        </w:rPr>
      </w:pPr>
      <w:r>
        <w:rPr>
          <w:rFonts w:hint="eastAsia" w:ascii="宋体" w:hAnsi="宋体"/>
          <w:sz w:val="24"/>
        </w:rPr>
        <w:t>我方对被授权人的签名事项负全部责任。</w:t>
      </w:r>
    </w:p>
    <w:p>
      <w:pPr>
        <w:snapToGrid w:val="0"/>
        <w:spacing w:line="360" w:lineRule="auto"/>
        <w:ind w:firstLine="480"/>
        <w:rPr>
          <w:rFonts w:ascii="宋体" w:hAnsi="宋体"/>
          <w:sz w:val="24"/>
          <w:szCs w:val="20"/>
        </w:rPr>
      </w:pPr>
      <w:r>
        <w:rPr>
          <w:rFonts w:hint="eastAsia" w:ascii="宋体" w:hAnsi="宋体"/>
          <w:sz w:val="24"/>
          <w:u w:val="single"/>
        </w:rPr>
        <w:t>在撤销授权的书面通知以前，本授权书一直有效。</w:t>
      </w:r>
      <w:r>
        <w:rPr>
          <w:rFonts w:hint="eastAsia" w:ascii="宋体" w:hAnsi="宋体"/>
          <w:sz w:val="24"/>
        </w:rPr>
        <w:t>被授权人在授权书有效期内签署的所有文件不因授权的撤销而失效。</w:t>
      </w:r>
    </w:p>
    <w:p>
      <w:pPr>
        <w:snapToGrid w:val="0"/>
        <w:spacing w:line="360" w:lineRule="auto"/>
        <w:ind w:firstLine="480"/>
        <w:rPr>
          <w:rFonts w:ascii="宋体" w:hAnsi="宋体"/>
          <w:sz w:val="24"/>
          <w:szCs w:val="20"/>
        </w:rPr>
      </w:pPr>
      <w:r>
        <w:rPr>
          <w:rFonts w:hint="eastAsia" w:ascii="宋体" w:hAnsi="宋体"/>
          <w:sz w:val="24"/>
        </w:rPr>
        <w:t>被授权人无转委托权，特此委托。</w:t>
      </w:r>
    </w:p>
    <w:p>
      <w:pPr>
        <w:snapToGrid w:val="0"/>
        <w:spacing w:line="360" w:lineRule="auto"/>
        <w:rPr>
          <w:rFonts w:ascii="宋体" w:hAnsi="宋体"/>
          <w:sz w:val="24"/>
          <w:szCs w:val="20"/>
        </w:rPr>
      </w:pPr>
    </w:p>
    <w:p>
      <w:pPr>
        <w:snapToGrid w:val="0"/>
        <w:spacing w:line="360" w:lineRule="auto"/>
        <w:rPr>
          <w:rFonts w:ascii="宋体" w:hAnsi="宋体"/>
          <w:sz w:val="24"/>
          <w:szCs w:val="20"/>
          <w:u w:val="single"/>
        </w:rPr>
      </w:pPr>
      <w:r>
        <w:rPr>
          <w:rFonts w:hint="eastAsia" w:ascii="宋体" w:hAnsi="宋体"/>
          <w:sz w:val="24"/>
        </w:rPr>
        <w:t>被授权人签名：法定代表人签名：</w:t>
      </w:r>
    </w:p>
    <w:p>
      <w:pPr>
        <w:snapToGrid w:val="0"/>
        <w:spacing w:line="360" w:lineRule="auto"/>
        <w:ind w:firstLine="960" w:firstLineChars="400"/>
        <w:rPr>
          <w:rFonts w:ascii="宋体" w:hAnsi="宋体"/>
          <w:sz w:val="24"/>
          <w:szCs w:val="20"/>
        </w:rPr>
      </w:pPr>
      <w:r>
        <w:rPr>
          <w:rFonts w:hint="eastAsia" w:ascii="宋体" w:hAnsi="宋体"/>
          <w:sz w:val="24"/>
        </w:rPr>
        <w:t>职务：职务：</w:t>
      </w:r>
    </w:p>
    <w:p>
      <w:pPr>
        <w:snapToGrid w:val="0"/>
        <w:spacing w:line="360" w:lineRule="auto"/>
        <w:rPr>
          <w:rFonts w:ascii="宋体" w:hAnsi="宋体"/>
          <w:sz w:val="24"/>
          <w:szCs w:val="20"/>
        </w:rPr>
      </w:pPr>
      <w:r>
        <w:rPr>
          <w:rFonts w:hint="eastAsia" w:ascii="宋体" w:hAnsi="宋体"/>
          <w:sz w:val="24"/>
        </w:rPr>
        <w:t>被授权人身份证号码：</w:t>
      </w:r>
    </w:p>
    <w:p>
      <w:pPr>
        <w:snapToGrid w:val="0"/>
        <w:spacing w:line="360" w:lineRule="auto"/>
        <w:rPr>
          <w:rFonts w:ascii="宋体" w:hAnsi="宋体"/>
          <w:sz w:val="24"/>
        </w:rPr>
      </w:pPr>
      <w:r>
        <w:rPr>
          <w:rFonts w:hint="eastAsia" w:ascii="宋体" w:hAnsi="宋体"/>
          <w:sz w:val="24"/>
        </w:rPr>
        <w:t>投标人公章：</w:t>
      </w:r>
    </w:p>
    <w:p>
      <w:pPr>
        <w:pStyle w:val="8"/>
        <w:spacing w:line="360" w:lineRule="auto"/>
        <w:ind w:firstLine="374" w:firstLineChars="156"/>
        <w:rPr>
          <w:rFonts w:ascii="宋体" w:hAnsi="宋体"/>
          <w:sz w:val="24"/>
          <w:szCs w:val="24"/>
        </w:rPr>
      </w:pPr>
      <w:r>
        <w:rPr>
          <w:rFonts w:hint="eastAsia" w:ascii="宋体" w:hAnsi="宋体"/>
          <w:sz w:val="24"/>
          <w:szCs w:val="24"/>
        </w:rPr>
        <w:t>————————————————————-----------</w:t>
      </w:r>
    </w:p>
    <w:p>
      <w:pPr>
        <w:pStyle w:val="8"/>
        <w:spacing w:line="360" w:lineRule="auto"/>
        <w:ind w:firstLine="374" w:firstLineChars="156"/>
        <w:jc w:val="center"/>
        <w:rPr>
          <w:rFonts w:ascii="宋体" w:hAnsi="宋体"/>
          <w:sz w:val="24"/>
          <w:szCs w:val="24"/>
        </w:rPr>
      </w:pPr>
    </w:p>
    <w:p>
      <w:pPr>
        <w:pStyle w:val="8"/>
        <w:spacing w:line="360" w:lineRule="auto"/>
        <w:ind w:firstLine="374" w:firstLineChars="156"/>
        <w:jc w:val="center"/>
        <w:rPr>
          <w:rFonts w:ascii="宋体" w:hAnsi="宋体"/>
          <w:sz w:val="24"/>
          <w:szCs w:val="24"/>
        </w:rPr>
      </w:pPr>
      <w:r>
        <w:rPr>
          <w:rFonts w:hint="eastAsia" w:ascii="宋体" w:hAnsi="宋体"/>
          <w:sz w:val="24"/>
          <w:szCs w:val="24"/>
        </w:rPr>
        <w:t>授权代理人有效身份证明复印件粘贴处</w:t>
      </w: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jc w:val="center"/>
        <w:rPr>
          <w:rFonts w:ascii="宋体" w:hAnsi="宋体"/>
          <w:sz w:val="24"/>
        </w:rPr>
      </w:pPr>
      <w:r>
        <w:rPr>
          <w:rFonts w:hint="eastAsia" w:ascii="宋体" w:hAnsi="宋体"/>
          <w:sz w:val="24"/>
        </w:rPr>
        <w:t>年月日</w:t>
      </w:r>
    </w:p>
    <w:p>
      <w:pPr>
        <w:snapToGrid w:val="0"/>
        <w:spacing w:line="360" w:lineRule="auto"/>
        <w:ind w:firstLine="3600" w:firstLineChars="1500"/>
        <w:rPr>
          <w:rFonts w:ascii="宋体" w:hAnsi="宋体"/>
          <w:sz w:val="24"/>
          <w:szCs w:val="20"/>
        </w:rPr>
      </w:pPr>
    </w:p>
    <w:p>
      <w:pPr>
        <w:snapToGrid w:val="0"/>
        <w:spacing w:line="360" w:lineRule="auto"/>
        <w:rPr>
          <w:rFonts w:ascii="宋体" w:hAnsi="宋体"/>
        </w:rPr>
      </w:pPr>
    </w:p>
    <w:p>
      <w:pPr>
        <w:snapToGrid w:val="0"/>
        <w:spacing w:before="120" w:beforeLines="50" w:after="50"/>
        <w:rPr>
          <w:b/>
          <w:snapToGrid w:val="0"/>
          <w:sz w:val="24"/>
        </w:rPr>
      </w:pPr>
      <w:r>
        <w:rPr>
          <w:rFonts w:hint="eastAsia"/>
          <w:b/>
          <w:snapToGrid w:val="0"/>
          <w:sz w:val="24"/>
        </w:rPr>
        <w:t>附：</w:t>
      </w:r>
      <w:r>
        <w:rPr>
          <w:b/>
          <w:snapToGrid w:val="0"/>
          <w:sz w:val="24"/>
        </w:rPr>
        <w:t>授权代理人社保证明复印件（社保机构出具的由本单位或分公司为其缴纳的</w:t>
      </w:r>
      <w:r>
        <w:rPr>
          <w:rFonts w:hint="eastAsia"/>
          <w:b/>
          <w:snapToGrid w:val="0"/>
          <w:sz w:val="24"/>
        </w:rPr>
        <w:t>最近一个月</w:t>
      </w:r>
      <w:r>
        <w:rPr>
          <w:b/>
          <w:snapToGrid w:val="0"/>
          <w:sz w:val="24"/>
        </w:rPr>
        <w:t>的社保证明）</w:t>
      </w:r>
    </w:p>
    <w:p>
      <w:pPr>
        <w:snapToGrid w:val="0"/>
        <w:spacing w:line="360" w:lineRule="auto"/>
        <w:rPr>
          <w:rFonts w:ascii="宋体" w:hAnsi="宋体"/>
        </w:rPr>
      </w:pPr>
    </w:p>
    <w:p>
      <w:pPr>
        <w:snapToGrid w:val="0"/>
        <w:spacing w:line="360" w:lineRule="auto"/>
        <w:rPr>
          <w:rFonts w:ascii="宋体" w:hAnsi="宋体"/>
        </w:rPr>
      </w:pPr>
    </w:p>
    <w:p>
      <w:pPr>
        <w:snapToGrid w:val="0"/>
        <w:spacing w:line="360" w:lineRule="auto"/>
        <w:rPr>
          <w:rFonts w:ascii="宋体" w:hAnsi="宋体"/>
        </w:rPr>
      </w:pPr>
    </w:p>
    <w:p>
      <w:pPr>
        <w:snapToGrid w:val="0"/>
        <w:spacing w:line="360" w:lineRule="auto"/>
        <w:rPr>
          <w:rFonts w:ascii="宋体" w:hAnsi="宋体"/>
        </w:rPr>
      </w:pPr>
    </w:p>
    <w:p>
      <w:pPr>
        <w:snapToGrid w:val="0"/>
        <w:spacing w:line="360" w:lineRule="auto"/>
        <w:rPr>
          <w:rFonts w:ascii="宋体" w:hAnsi="宋体"/>
          <w:sz w:val="24"/>
          <w:szCs w:val="20"/>
        </w:rPr>
      </w:pPr>
      <w:r>
        <w:rPr>
          <w:rFonts w:hint="eastAsia" w:ascii="宋体" w:hAnsi="宋体"/>
          <w:sz w:val="24"/>
        </w:rPr>
        <w:t>6. 最近3个月依法缴纳税收和社保费的证明【税费凭证，或者依法缴纳税费或依法免缴税费的证明】</w:t>
      </w:r>
      <w:r>
        <w:rPr>
          <w:rFonts w:hint="eastAsia" w:ascii="宋体" w:hAnsi="宋体"/>
          <w:sz w:val="24"/>
          <w:szCs w:val="20"/>
        </w:rPr>
        <w:t>（格式自拟，</w:t>
      </w:r>
      <w:r>
        <w:rPr>
          <w:rFonts w:hint="eastAsia" w:ascii="宋体" w:hAnsi="宋体"/>
          <w:bCs/>
          <w:sz w:val="24"/>
        </w:rPr>
        <w:t>复印件各一份</w:t>
      </w:r>
      <w:r>
        <w:rPr>
          <w:rFonts w:hint="eastAsia" w:ascii="宋体" w:hAnsi="宋体"/>
          <w:sz w:val="24"/>
          <w:szCs w:val="20"/>
        </w:rPr>
        <w:t>），《依法纳税或依法免税证明》原件一年内均保持有效。</w:t>
      </w:r>
    </w:p>
    <w:p>
      <w:pPr>
        <w:snapToGrid w:val="0"/>
        <w:spacing w:line="360" w:lineRule="auto"/>
        <w:rPr>
          <w:rFonts w:ascii="宋体" w:hAnsi="宋体"/>
        </w:rPr>
      </w:pPr>
    </w:p>
    <w:p>
      <w:pPr>
        <w:snapToGrid w:val="0"/>
        <w:spacing w:line="360" w:lineRule="auto"/>
        <w:rPr>
          <w:rFonts w:ascii="宋体" w:hAnsi="宋体"/>
        </w:rPr>
      </w:pPr>
    </w:p>
    <w:p>
      <w:pPr>
        <w:snapToGrid w:val="0"/>
        <w:spacing w:line="360" w:lineRule="auto"/>
        <w:rPr>
          <w:rFonts w:ascii="宋体" w:hAnsi="宋体"/>
        </w:rPr>
      </w:pPr>
    </w:p>
    <w:p>
      <w:pPr>
        <w:snapToGrid w:val="0"/>
        <w:spacing w:line="360" w:lineRule="auto"/>
        <w:rPr>
          <w:rFonts w:ascii="宋体" w:hAnsi="宋体"/>
        </w:rPr>
      </w:pPr>
    </w:p>
    <w:p>
      <w:pPr>
        <w:snapToGrid w:val="0"/>
        <w:spacing w:line="360" w:lineRule="auto"/>
        <w:rPr>
          <w:rFonts w:ascii="宋体" w:hAnsi="宋体"/>
        </w:rPr>
      </w:pPr>
    </w:p>
    <w:p>
      <w:pPr>
        <w:snapToGrid w:val="0"/>
        <w:spacing w:line="360" w:lineRule="auto"/>
        <w:rPr>
          <w:u w:val="single"/>
        </w:rPr>
      </w:pPr>
      <w:r>
        <w:rPr>
          <w:rFonts w:hint="eastAsia" w:ascii="宋体" w:hAnsi="宋体"/>
          <w:sz w:val="24"/>
        </w:rPr>
        <w:t>7.有效</w:t>
      </w:r>
      <w:r>
        <w:rPr>
          <w:rFonts w:hint="eastAsia" w:ascii="宋体" w:hAnsi="宋体" w:cs="宋体"/>
          <w:sz w:val="24"/>
        </w:rPr>
        <w:t>的营业执照副本</w:t>
      </w:r>
      <w:r>
        <w:rPr>
          <w:rFonts w:hint="eastAsia" w:ascii="宋体" w:hAnsi="宋体"/>
          <w:sz w:val="24"/>
        </w:rPr>
        <w:t>复印件</w:t>
      </w:r>
    </w:p>
    <w:p>
      <w:pPr>
        <w:snapToGrid w:val="0"/>
        <w:spacing w:line="360" w:lineRule="auto"/>
        <w:jc w:val="left"/>
        <w:rPr>
          <w:rFonts w:ascii="宋体" w:hAnsi="宋体"/>
          <w:sz w:val="24"/>
          <w:szCs w:val="20"/>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r>
        <w:rPr>
          <w:rFonts w:hint="eastAsia" w:ascii="宋体" w:hAnsi="宋体" w:cs="宋体"/>
          <w:sz w:val="24"/>
        </w:rPr>
        <w:t>8.近二年度企业的财务报表或银行资信证明</w:t>
      </w:r>
      <w:r>
        <w:rPr>
          <w:rFonts w:hint="eastAsia" w:ascii="宋体" w:hAnsi="宋体"/>
          <w:sz w:val="24"/>
        </w:rPr>
        <w:t>复印件</w:t>
      </w: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cs="宋体"/>
          <w:kern w:val="0"/>
          <w:sz w:val="24"/>
        </w:rPr>
      </w:pPr>
      <w:r>
        <w:rPr>
          <w:rFonts w:hint="eastAsia" w:ascii="宋体" w:hAnsi="宋体"/>
          <w:sz w:val="24"/>
        </w:rPr>
        <w:t>9.</w:t>
      </w:r>
      <w:r>
        <w:rPr>
          <w:rFonts w:hint="eastAsia" w:ascii="宋体" w:hAnsi="宋体" w:cs="宋体"/>
          <w:kern w:val="0"/>
          <w:sz w:val="24"/>
        </w:rPr>
        <w:t>提供自采购公告发布之后任意时间的“信用中国”（www.creditchina.gov.cn ）、</w:t>
      </w:r>
      <w:r>
        <w:rPr>
          <w:rFonts w:ascii="宋体" w:hAnsi="宋体" w:cs="宋体"/>
          <w:kern w:val="0"/>
          <w:sz w:val="24"/>
        </w:rPr>
        <w:t>“</w:t>
      </w:r>
      <w:r>
        <w:rPr>
          <w:rFonts w:hint="eastAsia" w:ascii="宋体" w:hAnsi="宋体" w:cs="宋体"/>
          <w:kern w:val="0"/>
          <w:sz w:val="24"/>
        </w:rPr>
        <w:t>中国政府采购</w:t>
      </w:r>
      <w:r>
        <w:rPr>
          <w:rFonts w:ascii="宋体" w:hAnsi="宋体" w:cs="宋体"/>
          <w:kern w:val="0"/>
          <w:sz w:val="24"/>
        </w:rPr>
        <w:t>”</w:t>
      </w:r>
      <w:r>
        <w:rPr>
          <w:rFonts w:hint="eastAsia" w:ascii="宋体" w:hAnsi="宋体" w:cs="宋体"/>
          <w:kern w:val="0"/>
          <w:sz w:val="24"/>
        </w:rPr>
        <w:t>（www.ccgp.gov.cn ）供应商信用查询网页截图（二者缺一不可）</w:t>
      </w: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cs="仿宋"/>
          <w:sz w:val="24"/>
        </w:rPr>
      </w:pPr>
      <w:r>
        <w:rPr>
          <w:rFonts w:hint="eastAsia" w:ascii="宋体" w:hAnsi="宋体" w:cs="仿宋"/>
          <w:sz w:val="24"/>
        </w:rPr>
        <w:t>10.</w:t>
      </w:r>
      <w:r>
        <w:rPr>
          <w:rFonts w:ascii="宋体" w:hAnsi="宋体" w:cs="仿宋"/>
          <w:sz w:val="24"/>
        </w:rPr>
        <w:t>中小企业声明函</w:t>
      </w:r>
    </w:p>
    <w:p>
      <w:pPr>
        <w:snapToGrid w:val="0"/>
        <w:spacing w:line="360" w:lineRule="auto"/>
        <w:jc w:val="center"/>
        <w:rPr>
          <w:rFonts w:ascii="宋体" w:hAnsi="宋体" w:cs="仿宋"/>
          <w:b/>
          <w:bCs/>
          <w:sz w:val="24"/>
        </w:rPr>
      </w:pPr>
    </w:p>
    <w:p>
      <w:pPr>
        <w:spacing w:line="360" w:lineRule="auto"/>
        <w:jc w:val="center"/>
        <w:rPr>
          <w:rFonts w:ascii="宋体" w:hAnsi="宋体"/>
          <w:sz w:val="28"/>
          <w:szCs w:val="28"/>
        </w:rPr>
      </w:pPr>
      <w:r>
        <w:rPr>
          <w:rFonts w:hint="eastAsia" w:ascii="宋体" w:hAnsi="宋体"/>
          <w:b/>
          <w:sz w:val="28"/>
          <w:szCs w:val="28"/>
        </w:rPr>
        <w:t>中小企业声明函</w:t>
      </w:r>
    </w:p>
    <w:p>
      <w:pPr>
        <w:spacing w:line="360" w:lineRule="auto"/>
        <w:ind w:firstLine="480" w:firstLineChars="200"/>
        <w:rPr>
          <w:rFonts w:ascii="宋体" w:hAnsi="宋体" w:cs="仿宋"/>
          <w:kern w:val="0"/>
          <w:sz w:val="24"/>
        </w:rPr>
      </w:pPr>
      <w:r>
        <w:rPr>
          <w:rFonts w:hint="eastAsia" w:ascii="宋体" w:hAnsi="宋体" w:cs="仿宋"/>
          <w:kern w:val="0"/>
          <w:sz w:val="24"/>
        </w:rPr>
        <w:t>本公司（联合体）郑重声明，根据《政府采购促进中小企业发展管理办法》（财库</w:t>
      </w:r>
      <w:r>
        <w:rPr>
          <w:rFonts w:hint="eastAsia" w:ascii="宋体" w:hAnsi="宋体" w:cs="宋体"/>
          <w:kern w:val="0"/>
          <w:sz w:val="24"/>
        </w:rPr>
        <w:t>﹝</w:t>
      </w:r>
      <w:r>
        <w:rPr>
          <w:rFonts w:ascii="宋体" w:hAnsi="宋体" w:cs="仿宋"/>
          <w:kern w:val="0"/>
          <w:sz w:val="24"/>
        </w:rPr>
        <w:t>2020</w:t>
      </w:r>
      <w:r>
        <w:rPr>
          <w:rFonts w:hint="eastAsia" w:ascii="宋体" w:hAnsi="宋体" w:cs="宋体"/>
          <w:kern w:val="0"/>
          <w:sz w:val="24"/>
        </w:rPr>
        <w:t>﹞</w:t>
      </w:r>
      <w:r>
        <w:rPr>
          <w:rFonts w:ascii="宋体" w:hAnsi="宋体" w:cs="仿宋"/>
          <w:kern w:val="0"/>
          <w:sz w:val="24"/>
        </w:rPr>
        <w:t xml:space="preserve">46 </w:t>
      </w:r>
      <w:r>
        <w:rPr>
          <w:rFonts w:hint="eastAsia" w:ascii="宋体" w:hAnsi="宋体" w:cs="仿宋"/>
          <w:kern w:val="0"/>
          <w:sz w:val="24"/>
        </w:rPr>
        <w:t>号）的规定，本公司（联合体）参加（单位名称）的（项目名称）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仿宋"/>
          <w:kern w:val="0"/>
          <w:sz w:val="24"/>
        </w:rPr>
      </w:pPr>
      <w:r>
        <w:rPr>
          <w:rFonts w:ascii="宋体" w:hAnsi="宋体" w:cs="仿宋"/>
          <w:kern w:val="0"/>
          <w:sz w:val="24"/>
        </w:rPr>
        <w:t xml:space="preserve">1. </w:t>
      </w:r>
      <w:r>
        <w:rPr>
          <w:rFonts w:hint="eastAsia" w:ascii="宋体" w:hAnsi="宋体" w:cs="仿宋"/>
          <w:kern w:val="0"/>
          <w:sz w:val="24"/>
        </w:rPr>
        <w:t>（标的名称），属于（采购文件中明确的所属行业）行业；制造商为（企业名称），从业人员人，营业收入为万元，资产总额为万元</w:t>
      </w:r>
      <w:r>
        <w:rPr>
          <w:rFonts w:hint="eastAsia" w:ascii="宋体" w:hAnsi="宋体" w:cs="TimesNewRomanPSMT"/>
          <w:kern w:val="0"/>
          <w:sz w:val="24"/>
        </w:rPr>
        <w:t>①</w:t>
      </w:r>
      <w:r>
        <w:rPr>
          <w:rFonts w:hint="eastAsia" w:ascii="宋体" w:hAnsi="宋体" w:cs="仿宋"/>
          <w:kern w:val="0"/>
          <w:sz w:val="24"/>
        </w:rPr>
        <w:t>，属于（中型企业、小型企业、微型企业）；</w:t>
      </w:r>
    </w:p>
    <w:p>
      <w:pPr>
        <w:spacing w:line="360" w:lineRule="auto"/>
        <w:ind w:firstLine="480" w:firstLineChars="200"/>
        <w:rPr>
          <w:rFonts w:ascii="宋体" w:hAnsi="宋体" w:cs="仿宋"/>
          <w:kern w:val="0"/>
          <w:sz w:val="24"/>
        </w:rPr>
      </w:pPr>
      <w:r>
        <w:rPr>
          <w:rFonts w:ascii="宋体" w:hAnsi="宋体" w:cs="仿宋"/>
          <w:kern w:val="0"/>
          <w:sz w:val="24"/>
        </w:rPr>
        <w:t xml:space="preserve">2. </w:t>
      </w:r>
      <w:r>
        <w:rPr>
          <w:rFonts w:hint="eastAsia" w:ascii="宋体" w:hAnsi="宋体" w:cs="仿宋"/>
          <w:kern w:val="0"/>
          <w:sz w:val="24"/>
        </w:rPr>
        <w:t>（标的名称），属于（采购文件中明确的所属行业）行业；制造商为（企业名称），从业人员人，营业收入为万元，资产总额为万元，属于（中型企业、小型企业、微型企业）；</w:t>
      </w:r>
    </w:p>
    <w:p>
      <w:pPr>
        <w:spacing w:line="360" w:lineRule="auto"/>
        <w:ind w:firstLine="480" w:firstLineChars="200"/>
        <w:rPr>
          <w:rFonts w:ascii="宋体" w:hAnsi="宋体" w:cs="仿宋"/>
          <w:kern w:val="0"/>
          <w:sz w:val="24"/>
        </w:rPr>
      </w:pPr>
      <w:r>
        <w:rPr>
          <w:rFonts w:hint="eastAsia" w:ascii="宋体" w:hAnsi="宋体" w:cs="仿宋"/>
          <w:kern w:val="0"/>
          <w:sz w:val="24"/>
        </w:rPr>
        <w:t>……</w:t>
      </w:r>
    </w:p>
    <w:p>
      <w:pPr>
        <w:spacing w:line="360" w:lineRule="auto"/>
        <w:ind w:firstLine="480" w:firstLineChars="200"/>
        <w:rPr>
          <w:rFonts w:ascii="宋体" w:hAnsi="宋体" w:cs="仿宋"/>
          <w:kern w:val="0"/>
          <w:sz w:val="24"/>
        </w:rPr>
      </w:pPr>
      <w:r>
        <w:rPr>
          <w:rFonts w:hint="eastAsia" w:ascii="宋体" w:hAnsi="宋体" w:cs="仿宋"/>
          <w:kern w:val="0"/>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仿宋"/>
          <w:kern w:val="0"/>
          <w:sz w:val="24"/>
        </w:rPr>
      </w:pPr>
      <w:r>
        <w:rPr>
          <w:rFonts w:hint="eastAsia" w:ascii="宋体" w:hAnsi="宋体" w:cs="仿宋"/>
          <w:kern w:val="0"/>
          <w:sz w:val="24"/>
        </w:rPr>
        <w:t>本企业对上述声明内容的真实性负责。如有虚假，将依法承担相应责任。</w:t>
      </w:r>
    </w:p>
    <w:p>
      <w:pPr>
        <w:spacing w:line="360" w:lineRule="auto"/>
        <w:ind w:firstLine="5640" w:firstLineChars="2350"/>
        <w:rPr>
          <w:rFonts w:ascii="宋体" w:hAnsi="宋体" w:cs="仿宋"/>
          <w:kern w:val="0"/>
          <w:sz w:val="24"/>
        </w:rPr>
      </w:pPr>
    </w:p>
    <w:p>
      <w:pPr>
        <w:spacing w:line="360" w:lineRule="auto"/>
        <w:ind w:firstLine="5640" w:firstLineChars="2350"/>
        <w:rPr>
          <w:rFonts w:ascii="宋体" w:hAnsi="宋体" w:cs="仿宋"/>
          <w:kern w:val="0"/>
          <w:sz w:val="24"/>
        </w:rPr>
      </w:pPr>
    </w:p>
    <w:p>
      <w:pPr>
        <w:spacing w:line="360" w:lineRule="auto"/>
        <w:ind w:firstLine="5640" w:firstLineChars="2350"/>
        <w:rPr>
          <w:rFonts w:ascii="宋体" w:hAnsi="宋体" w:cs="仿宋"/>
          <w:kern w:val="0"/>
          <w:sz w:val="24"/>
        </w:rPr>
      </w:pPr>
      <w:r>
        <w:rPr>
          <w:rFonts w:hint="eastAsia" w:ascii="宋体" w:hAnsi="宋体" w:cs="仿宋"/>
          <w:kern w:val="0"/>
          <w:sz w:val="24"/>
        </w:rPr>
        <w:t>企业名称（盖章）：</w:t>
      </w:r>
    </w:p>
    <w:p>
      <w:pPr>
        <w:spacing w:line="360" w:lineRule="auto"/>
        <w:ind w:firstLine="5640" w:firstLineChars="2350"/>
        <w:rPr>
          <w:rFonts w:ascii="宋体" w:hAnsi="宋体" w:cs="仿宋"/>
          <w:kern w:val="0"/>
          <w:sz w:val="24"/>
        </w:rPr>
      </w:pPr>
      <w:r>
        <w:rPr>
          <w:rFonts w:hint="eastAsia" w:ascii="宋体" w:hAnsi="宋体" w:cs="仿宋"/>
          <w:kern w:val="0"/>
          <w:sz w:val="24"/>
        </w:rPr>
        <w:t>日期：</w:t>
      </w:r>
    </w:p>
    <w:p>
      <w:pPr>
        <w:spacing w:line="360" w:lineRule="auto"/>
        <w:ind w:firstLine="5640" w:firstLineChars="2350"/>
        <w:rPr>
          <w:rFonts w:ascii="宋体" w:hAnsi="宋体" w:cs="仿宋"/>
          <w:kern w:val="0"/>
          <w:sz w:val="24"/>
        </w:rPr>
      </w:pPr>
    </w:p>
    <w:p>
      <w:pPr>
        <w:spacing w:line="360" w:lineRule="auto"/>
        <w:ind w:firstLine="5640" w:firstLineChars="2350"/>
        <w:rPr>
          <w:rFonts w:ascii="宋体" w:hAnsi="宋体"/>
          <w:bCs/>
          <w:sz w:val="24"/>
        </w:rPr>
      </w:pPr>
    </w:p>
    <w:p>
      <w:pPr>
        <w:numPr>
          <w:ilvl w:val="0"/>
          <w:numId w:val="5"/>
        </w:numPr>
        <w:snapToGrid w:val="0"/>
        <w:spacing w:before="50" w:after="50" w:line="360" w:lineRule="auto"/>
        <w:jc w:val="left"/>
        <w:rPr>
          <w:rFonts w:ascii="宋体" w:hAnsi="宋体" w:cs="仿宋"/>
          <w:sz w:val="24"/>
        </w:rPr>
      </w:pPr>
      <w:r>
        <w:rPr>
          <w:rFonts w:hint="eastAsia" w:ascii="宋体" w:cs="宋体"/>
          <w:kern w:val="0"/>
          <w:sz w:val="18"/>
          <w:szCs w:val="18"/>
        </w:rPr>
        <w:t>从业人员、营业收入、资产总额填报上一年度数据，无上一年度数据的新成立企业可不填报。</w:t>
      </w:r>
    </w:p>
    <w:p>
      <w:pPr>
        <w:snapToGrid w:val="0"/>
        <w:spacing w:before="50" w:after="50" w:line="360" w:lineRule="auto"/>
        <w:jc w:val="left"/>
        <w:rPr>
          <w:rFonts w:ascii="宋体" w:hAnsi="宋体" w:cs="仿宋"/>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center"/>
        <w:outlineLvl w:val="1"/>
        <w:rPr>
          <w:rFonts w:ascii="宋体" w:hAnsi="宋体"/>
          <w:b/>
          <w:bCs/>
          <w:sz w:val="24"/>
        </w:rPr>
      </w:pPr>
      <w:r>
        <w:rPr>
          <w:rFonts w:hint="eastAsia" w:ascii="宋体" w:hAnsi="宋体"/>
          <w:b/>
          <w:bCs/>
          <w:sz w:val="24"/>
        </w:rPr>
        <w:t>二、技术/资信/商务文件格式</w:t>
      </w:r>
    </w:p>
    <w:p>
      <w:pPr>
        <w:snapToGrid w:val="0"/>
        <w:spacing w:line="360" w:lineRule="auto"/>
        <w:jc w:val="center"/>
        <w:rPr>
          <w:rFonts w:ascii="宋体" w:hAnsi="宋体"/>
          <w:sz w:val="24"/>
          <w:szCs w:val="20"/>
        </w:rPr>
      </w:pPr>
    </w:p>
    <w:p>
      <w:pPr>
        <w:snapToGrid w:val="0"/>
        <w:spacing w:line="360" w:lineRule="auto"/>
        <w:rPr>
          <w:rFonts w:ascii="宋体" w:hAnsi="宋体"/>
          <w:sz w:val="24"/>
          <w:szCs w:val="20"/>
        </w:rPr>
      </w:pPr>
      <w:r>
        <w:rPr>
          <w:rFonts w:hint="eastAsia" w:ascii="宋体" w:hAnsi="宋体"/>
          <w:sz w:val="24"/>
        </w:rPr>
        <w:t>11.技术/资信/商务文件封面格式：</w:t>
      </w:r>
    </w:p>
    <w:p>
      <w:pPr>
        <w:snapToGrid w:val="0"/>
        <w:spacing w:line="360" w:lineRule="auto"/>
        <w:rPr>
          <w:rFonts w:ascii="宋体" w:hAnsi="宋体"/>
          <w:b/>
          <w:bCs/>
          <w:sz w:val="32"/>
          <w:szCs w:val="20"/>
        </w:rPr>
      </w:pPr>
      <w:r>
        <w:rPr>
          <w:rFonts w:hint="eastAsia" w:ascii="宋体" w:hAnsi="宋体"/>
          <w:b/>
          <w:bCs/>
        </w:rPr>
        <w:t>正本</w:t>
      </w:r>
      <w:r>
        <w:rPr>
          <w:rFonts w:ascii="宋体" w:hAnsi="宋体"/>
          <w:b/>
          <w:bCs/>
        </w:rPr>
        <w:t>/</w:t>
      </w:r>
      <w:r>
        <w:rPr>
          <w:rFonts w:hint="eastAsia" w:ascii="宋体" w:hAnsi="宋体"/>
          <w:b/>
          <w:bCs/>
        </w:rPr>
        <w:t>或副本</w:t>
      </w:r>
    </w:p>
    <w:p>
      <w:pPr>
        <w:snapToGrid w:val="0"/>
        <w:spacing w:line="360" w:lineRule="auto"/>
        <w:jc w:val="center"/>
        <w:rPr>
          <w:rFonts w:ascii="宋体" w:hAnsi="宋体"/>
          <w:bCs/>
          <w:sz w:val="24"/>
          <w:szCs w:val="20"/>
        </w:rPr>
      </w:pPr>
    </w:p>
    <w:p>
      <w:pPr>
        <w:snapToGrid w:val="0"/>
        <w:spacing w:line="360" w:lineRule="auto"/>
        <w:jc w:val="center"/>
        <w:rPr>
          <w:rFonts w:ascii="宋体" w:hAnsi="宋体"/>
          <w:bCs/>
          <w:sz w:val="24"/>
          <w:szCs w:val="20"/>
        </w:rPr>
      </w:pPr>
      <w:r>
        <w:rPr>
          <w:rFonts w:hint="eastAsia" w:ascii="宋体" w:hAnsi="宋体"/>
          <w:bCs/>
          <w:sz w:val="24"/>
        </w:rPr>
        <w:t>技术/资信/商务文件</w:t>
      </w:r>
    </w:p>
    <w:p>
      <w:pPr>
        <w:snapToGrid w:val="0"/>
        <w:spacing w:line="360" w:lineRule="auto"/>
        <w:rPr>
          <w:rFonts w:ascii="宋体" w:hAnsi="宋体"/>
          <w:bCs/>
          <w:sz w:val="24"/>
          <w:szCs w:val="20"/>
        </w:rPr>
      </w:pPr>
    </w:p>
    <w:p>
      <w:pPr>
        <w:snapToGrid w:val="0"/>
        <w:spacing w:line="360" w:lineRule="auto"/>
        <w:ind w:left="1918" w:leftChars="456" w:hanging="960" w:hangingChars="400"/>
        <w:rPr>
          <w:rFonts w:ascii="宋体" w:hAnsi="宋体"/>
          <w:bCs/>
          <w:sz w:val="24"/>
          <w:szCs w:val="20"/>
        </w:rPr>
      </w:pPr>
      <w:r>
        <w:rPr>
          <w:rFonts w:hint="eastAsia" w:ascii="宋体" w:hAnsi="宋体"/>
          <w:bCs/>
          <w:sz w:val="24"/>
        </w:rPr>
        <w:t>项目名称：</w:t>
      </w:r>
      <w:r>
        <w:rPr>
          <w:rFonts w:hint="eastAsia" w:ascii="宋体" w:hAnsi="宋体"/>
          <w:spacing w:val="-20"/>
          <w:sz w:val="24"/>
        </w:rPr>
        <w:t xml:space="preserve">湖州市爱山小学教育集团新型教学空间设施设备项目 </w:t>
      </w:r>
    </w:p>
    <w:p>
      <w:pPr>
        <w:snapToGrid w:val="0"/>
        <w:spacing w:line="360" w:lineRule="auto"/>
        <w:ind w:firstLine="960" w:firstLineChars="400"/>
        <w:rPr>
          <w:rFonts w:ascii="宋体" w:hAnsi="宋体"/>
          <w:bCs/>
          <w:sz w:val="24"/>
          <w:szCs w:val="20"/>
        </w:rPr>
      </w:pPr>
      <w:r>
        <w:rPr>
          <w:rFonts w:hint="eastAsia" w:ascii="宋体" w:hAnsi="宋体"/>
          <w:bCs/>
          <w:sz w:val="24"/>
        </w:rPr>
        <w:t>项目编号：</w:t>
      </w:r>
      <w:r>
        <w:rPr>
          <w:rFonts w:hint="eastAsia" w:ascii="宋体" w:hAnsi="宋体"/>
          <w:sz w:val="24"/>
        </w:rPr>
        <w:t>HYHZ2021120W</w:t>
      </w:r>
    </w:p>
    <w:p>
      <w:pPr>
        <w:pStyle w:val="8"/>
        <w:snapToGrid w:val="0"/>
        <w:spacing w:line="360" w:lineRule="auto"/>
        <w:ind w:firstLine="998" w:firstLineChars="416"/>
        <w:rPr>
          <w:rFonts w:ascii="宋体" w:hAnsi="宋体"/>
          <w:bCs/>
          <w:sz w:val="24"/>
          <w:szCs w:val="24"/>
        </w:rPr>
      </w:pPr>
      <w:r>
        <w:rPr>
          <w:rFonts w:hint="eastAsia" w:ascii="宋体" w:hAnsi="宋体"/>
          <w:bCs/>
          <w:sz w:val="24"/>
          <w:szCs w:val="24"/>
        </w:rPr>
        <w:t>投标人名称：</w:t>
      </w:r>
    </w:p>
    <w:p>
      <w:pPr>
        <w:pStyle w:val="8"/>
        <w:snapToGrid w:val="0"/>
        <w:spacing w:line="360" w:lineRule="auto"/>
        <w:ind w:firstLine="998" w:firstLineChars="416"/>
        <w:rPr>
          <w:rFonts w:ascii="宋体" w:hAnsi="宋体"/>
          <w:bCs/>
          <w:sz w:val="24"/>
          <w:szCs w:val="24"/>
        </w:rPr>
      </w:pPr>
      <w:r>
        <w:rPr>
          <w:rFonts w:hint="eastAsia" w:ascii="宋体" w:hAnsi="宋体"/>
          <w:bCs/>
          <w:sz w:val="24"/>
          <w:szCs w:val="24"/>
        </w:rPr>
        <w:t>投标人地址：</w:t>
      </w:r>
    </w:p>
    <w:p>
      <w:pPr>
        <w:pStyle w:val="8"/>
        <w:snapToGrid w:val="0"/>
        <w:spacing w:line="360" w:lineRule="auto"/>
        <w:ind w:firstLine="960" w:firstLineChars="400"/>
        <w:rPr>
          <w:rFonts w:ascii="宋体" w:hAnsi="宋体"/>
          <w:bCs/>
          <w:sz w:val="24"/>
          <w:szCs w:val="24"/>
        </w:rPr>
      </w:pPr>
    </w:p>
    <w:p>
      <w:pPr>
        <w:snapToGrid w:val="0"/>
        <w:spacing w:line="360" w:lineRule="auto"/>
        <w:ind w:firstLine="4080" w:firstLineChars="1700"/>
        <w:rPr>
          <w:rFonts w:ascii="宋体" w:hAnsi="宋体"/>
          <w:sz w:val="24"/>
          <w:szCs w:val="20"/>
        </w:rPr>
      </w:pPr>
    </w:p>
    <w:p>
      <w:pPr>
        <w:snapToGrid w:val="0"/>
        <w:spacing w:line="360" w:lineRule="auto"/>
        <w:ind w:firstLine="645"/>
        <w:jc w:val="center"/>
        <w:rPr>
          <w:rFonts w:ascii="宋体" w:hAnsi="宋体"/>
          <w:sz w:val="24"/>
        </w:rPr>
      </w:pPr>
      <w:r>
        <w:rPr>
          <w:rFonts w:hint="eastAsia" w:ascii="宋体" w:hAnsi="宋体"/>
          <w:sz w:val="24"/>
        </w:rPr>
        <w:t>年月日</w:t>
      </w:r>
    </w:p>
    <w:p>
      <w:pPr>
        <w:snapToGrid w:val="0"/>
        <w:spacing w:line="360" w:lineRule="auto"/>
        <w:ind w:firstLine="645"/>
        <w:jc w:val="center"/>
        <w:rPr>
          <w:rFonts w:ascii="宋体" w:hAnsi="宋体"/>
          <w:sz w:val="24"/>
        </w:rPr>
      </w:pPr>
    </w:p>
    <w:p>
      <w:pPr>
        <w:snapToGrid w:val="0"/>
        <w:spacing w:line="360" w:lineRule="auto"/>
        <w:ind w:firstLine="645"/>
        <w:jc w:val="center"/>
        <w:rPr>
          <w:rFonts w:ascii="宋体" w:hAnsi="宋体"/>
          <w:sz w:val="24"/>
        </w:rPr>
      </w:pPr>
    </w:p>
    <w:p>
      <w:pPr>
        <w:snapToGrid w:val="0"/>
        <w:spacing w:line="360" w:lineRule="auto"/>
        <w:ind w:firstLine="645"/>
        <w:jc w:val="center"/>
        <w:rPr>
          <w:rFonts w:ascii="宋体" w:hAnsi="宋体"/>
          <w:sz w:val="24"/>
        </w:rPr>
      </w:pPr>
    </w:p>
    <w:p>
      <w:pPr>
        <w:snapToGrid w:val="0"/>
        <w:spacing w:line="360" w:lineRule="auto"/>
        <w:ind w:firstLine="645"/>
        <w:jc w:val="center"/>
        <w:rPr>
          <w:rFonts w:ascii="宋体" w:hAnsi="宋体"/>
          <w:sz w:val="24"/>
        </w:rPr>
      </w:pPr>
    </w:p>
    <w:p>
      <w:pPr>
        <w:snapToGrid w:val="0"/>
        <w:spacing w:line="360" w:lineRule="auto"/>
        <w:ind w:firstLine="645"/>
        <w:jc w:val="center"/>
        <w:rPr>
          <w:rFonts w:ascii="宋体" w:hAnsi="宋体"/>
          <w:sz w:val="24"/>
        </w:rPr>
      </w:pPr>
    </w:p>
    <w:p>
      <w:pPr>
        <w:snapToGrid w:val="0"/>
        <w:spacing w:line="360" w:lineRule="auto"/>
        <w:ind w:firstLine="645"/>
        <w:jc w:val="center"/>
        <w:rPr>
          <w:rFonts w:ascii="宋体" w:hAnsi="宋体"/>
          <w:sz w:val="24"/>
        </w:rPr>
      </w:pPr>
    </w:p>
    <w:p>
      <w:pPr>
        <w:snapToGrid w:val="0"/>
        <w:spacing w:line="360" w:lineRule="auto"/>
        <w:ind w:firstLine="645"/>
        <w:jc w:val="center"/>
        <w:rPr>
          <w:rFonts w:ascii="宋体" w:hAnsi="宋体"/>
          <w:sz w:val="24"/>
        </w:rPr>
      </w:pPr>
    </w:p>
    <w:p>
      <w:pPr>
        <w:snapToGrid w:val="0"/>
        <w:spacing w:line="360" w:lineRule="auto"/>
        <w:ind w:firstLine="645"/>
        <w:jc w:val="center"/>
        <w:rPr>
          <w:rFonts w:ascii="宋体" w:hAnsi="宋体"/>
          <w:sz w:val="24"/>
        </w:rPr>
      </w:pPr>
    </w:p>
    <w:p>
      <w:pPr>
        <w:snapToGrid w:val="0"/>
        <w:spacing w:line="360" w:lineRule="auto"/>
        <w:ind w:firstLine="645"/>
        <w:jc w:val="center"/>
        <w:rPr>
          <w:rFonts w:ascii="宋体" w:hAnsi="宋体"/>
          <w:sz w:val="24"/>
        </w:rPr>
      </w:pPr>
    </w:p>
    <w:p>
      <w:pPr>
        <w:snapToGrid w:val="0"/>
        <w:spacing w:line="360" w:lineRule="auto"/>
        <w:ind w:firstLine="645"/>
        <w:jc w:val="center"/>
        <w:rPr>
          <w:rFonts w:ascii="宋体" w:hAnsi="宋体"/>
          <w:sz w:val="24"/>
        </w:rPr>
      </w:pPr>
    </w:p>
    <w:p>
      <w:pPr>
        <w:snapToGrid w:val="0"/>
        <w:spacing w:line="360" w:lineRule="auto"/>
        <w:ind w:firstLine="645"/>
        <w:jc w:val="center"/>
        <w:rPr>
          <w:rFonts w:ascii="宋体" w:hAnsi="宋体"/>
          <w:sz w:val="24"/>
        </w:rPr>
      </w:pPr>
    </w:p>
    <w:p>
      <w:pPr>
        <w:snapToGrid w:val="0"/>
        <w:spacing w:line="360" w:lineRule="auto"/>
        <w:ind w:firstLine="645"/>
        <w:jc w:val="center"/>
        <w:rPr>
          <w:rFonts w:ascii="宋体" w:hAnsi="宋体"/>
          <w:sz w:val="24"/>
        </w:rPr>
      </w:pPr>
    </w:p>
    <w:p>
      <w:pPr>
        <w:snapToGrid w:val="0"/>
        <w:spacing w:line="360" w:lineRule="auto"/>
        <w:ind w:firstLine="645"/>
        <w:jc w:val="center"/>
        <w:rPr>
          <w:rFonts w:ascii="宋体" w:hAnsi="宋体"/>
          <w:sz w:val="24"/>
        </w:rPr>
      </w:pPr>
    </w:p>
    <w:p>
      <w:pPr>
        <w:snapToGrid w:val="0"/>
        <w:spacing w:line="360" w:lineRule="auto"/>
        <w:ind w:firstLine="645"/>
        <w:jc w:val="center"/>
        <w:rPr>
          <w:rFonts w:ascii="宋体" w:hAnsi="宋体"/>
          <w:sz w:val="24"/>
        </w:rPr>
      </w:pPr>
    </w:p>
    <w:p>
      <w:pPr>
        <w:snapToGrid w:val="0"/>
        <w:spacing w:line="360" w:lineRule="auto"/>
        <w:ind w:firstLine="645"/>
        <w:jc w:val="center"/>
        <w:rPr>
          <w:rFonts w:ascii="宋体" w:hAnsi="宋体"/>
          <w:sz w:val="24"/>
        </w:rPr>
      </w:pPr>
    </w:p>
    <w:p>
      <w:pPr>
        <w:snapToGrid w:val="0"/>
        <w:spacing w:line="360" w:lineRule="auto"/>
        <w:ind w:firstLine="645"/>
        <w:jc w:val="center"/>
        <w:rPr>
          <w:rFonts w:ascii="宋体" w:hAnsi="宋体"/>
          <w:sz w:val="24"/>
        </w:rPr>
      </w:pPr>
    </w:p>
    <w:p>
      <w:pPr>
        <w:snapToGrid w:val="0"/>
        <w:spacing w:line="360" w:lineRule="auto"/>
        <w:rPr>
          <w:rFonts w:ascii="宋体" w:hAnsi="宋体"/>
          <w:sz w:val="24"/>
        </w:rPr>
      </w:pPr>
      <w:r>
        <w:rPr>
          <w:rFonts w:hint="eastAsia" w:ascii="宋体" w:hAnsi="宋体"/>
          <w:sz w:val="24"/>
        </w:rPr>
        <w:t>12.</w:t>
      </w:r>
      <w:r>
        <w:rPr>
          <w:rFonts w:hint="eastAsia" w:ascii="宋体" w:hAnsi="宋体"/>
          <w:b/>
          <w:bCs/>
          <w:sz w:val="24"/>
        </w:rPr>
        <w:t>技术/资信/商务文件目录</w:t>
      </w:r>
    </w:p>
    <w:p>
      <w:pPr>
        <w:snapToGrid w:val="0"/>
        <w:spacing w:line="360" w:lineRule="auto"/>
        <w:rPr>
          <w:rFonts w:ascii="宋体" w:hAnsi="宋体"/>
          <w:sz w:val="24"/>
        </w:rPr>
      </w:pPr>
      <w:r>
        <w:rPr>
          <w:rFonts w:hint="eastAsia" w:ascii="宋体" w:hAnsi="宋体"/>
          <w:sz w:val="24"/>
        </w:rPr>
        <w:t>技术：</w:t>
      </w:r>
    </w:p>
    <w:p>
      <w:pPr>
        <w:snapToGrid w:val="0"/>
        <w:spacing w:line="360" w:lineRule="auto"/>
        <w:jc w:val="left"/>
        <w:rPr>
          <w:rFonts w:ascii="宋体" w:hAnsi="宋体"/>
          <w:sz w:val="24"/>
          <w:szCs w:val="20"/>
        </w:rPr>
      </w:pPr>
      <w:r>
        <w:rPr>
          <w:rFonts w:hint="eastAsia" w:ascii="宋体" w:hAnsi="宋体"/>
          <w:sz w:val="24"/>
        </w:rPr>
        <w:t>（</w:t>
      </w:r>
      <w:r>
        <w:rPr>
          <w:rFonts w:ascii="宋体" w:hAnsi="宋体"/>
          <w:sz w:val="24"/>
        </w:rPr>
        <w:t>1</w:t>
      </w:r>
      <w:r>
        <w:rPr>
          <w:rFonts w:hint="eastAsia" w:ascii="宋体" w:hAnsi="宋体"/>
          <w:sz w:val="24"/>
        </w:rPr>
        <w:t>）设计图纸————————（页码）</w:t>
      </w:r>
    </w:p>
    <w:p>
      <w:pPr>
        <w:snapToGrid w:val="0"/>
        <w:spacing w:line="360" w:lineRule="auto"/>
        <w:jc w:val="left"/>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）确保供应货物质量的设施及措施————————</w:t>
      </w:r>
    </w:p>
    <w:p>
      <w:pPr>
        <w:snapToGrid w:val="0"/>
        <w:spacing w:line="360" w:lineRule="auto"/>
        <w:jc w:val="left"/>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）安装、调试、验收的方案和措施————————</w:t>
      </w:r>
    </w:p>
    <w:p>
      <w:pPr>
        <w:snapToGrid w:val="0"/>
        <w:spacing w:line="360" w:lineRule="auto"/>
        <w:jc w:val="left"/>
        <w:rPr>
          <w:rFonts w:ascii="宋体" w:hAnsi="宋体"/>
          <w:sz w:val="24"/>
          <w:szCs w:val="20"/>
        </w:rPr>
      </w:pPr>
      <w:r>
        <w:rPr>
          <w:rFonts w:hint="eastAsia" w:ascii="宋体" w:hAnsi="宋体"/>
          <w:sz w:val="24"/>
        </w:rPr>
        <w:t>（</w:t>
      </w:r>
      <w:r>
        <w:rPr>
          <w:rFonts w:ascii="宋体" w:hAnsi="宋体"/>
          <w:sz w:val="24"/>
        </w:rPr>
        <w:t>4</w:t>
      </w:r>
      <w:r>
        <w:rPr>
          <w:rFonts w:hint="eastAsia" w:ascii="宋体" w:hAnsi="宋体"/>
          <w:sz w:val="24"/>
        </w:rPr>
        <w:t>）设备配置清单（均不含报价）————————</w:t>
      </w:r>
    </w:p>
    <w:p>
      <w:pPr>
        <w:snapToGrid w:val="0"/>
        <w:spacing w:line="360" w:lineRule="auto"/>
        <w:jc w:val="left"/>
        <w:rPr>
          <w:rFonts w:ascii="宋体" w:hAnsi="宋体"/>
          <w:sz w:val="24"/>
          <w:szCs w:val="20"/>
        </w:rPr>
      </w:pPr>
      <w:r>
        <w:rPr>
          <w:rFonts w:hint="eastAsia" w:ascii="宋体" w:hAnsi="宋体"/>
          <w:sz w:val="24"/>
        </w:rPr>
        <w:t>（5）技术响应表————————</w:t>
      </w:r>
    </w:p>
    <w:p>
      <w:pPr>
        <w:snapToGrid w:val="0"/>
        <w:spacing w:line="360" w:lineRule="auto"/>
        <w:jc w:val="left"/>
        <w:rPr>
          <w:rFonts w:ascii="宋体" w:hAnsi="宋体"/>
          <w:sz w:val="24"/>
        </w:rPr>
      </w:pPr>
      <w:r>
        <w:rPr>
          <w:rFonts w:hint="eastAsia" w:ascii="宋体" w:hAnsi="宋体"/>
          <w:sz w:val="24"/>
        </w:rPr>
        <w:t>（6）项目实施人员一览表————————</w:t>
      </w:r>
    </w:p>
    <w:p>
      <w:pPr>
        <w:snapToGrid w:val="0"/>
        <w:spacing w:line="360" w:lineRule="auto"/>
        <w:jc w:val="left"/>
        <w:rPr>
          <w:rFonts w:ascii="宋体" w:hAnsi="宋体"/>
          <w:sz w:val="24"/>
        </w:rPr>
      </w:pPr>
      <w:r>
        <w:rPr>
          <w:rFonts w:hint="eastAsia" w:ascii="宋体" w:hAnsi="宋体"/>
          <w:sz w:val="24"/>
        </w:rPr>
        <w:t>（7）投标人对本项目的合理化建议和改进措施————————</w:t>
      </w:r>
    </w:p>
    <w:p>
      <w:pPr>
        <w:snapToGrid w:val="0"/>
        <w:spacing w:line="360" w:lineRule="auto"/>
        <w:jc w:val="left"/>
        <w:rPr>
          <w:rFonts w:ascii="宋体" w:hAnsi="宋体"/>
          <w:sz w:val="24"/>
        </w:rPr>
      </w:pPr>
      <w:r>
        <w:rPr>
          <w:rFonts w:hint="eastAsia" w:ascii="宋体" w:hAnsi="宋体"/>
          <w:sz w:val="24"/>
        </w:rPr>
        <w:t>（8）投标人需要说明的其他文件和说明————————</w:t>
      </w:r>
    </w:p>
    <w:p>
      <w:pPr>
        <w:snapToGrid w:val="0"/>
        <w:spacing w:line="360" w:lineRule="auto"/>
        <w:rPr>
          <w:rFonts w:ascii="宋体" w:hAnsi="宋体"/>
          <w:sz w:val="24"/>
        </w:rPr>
      </w:pPr>
      <w:r>
        <w:rPr>
          <w:rFonts w:hint="eastAsia" w:ascii="宋体" w:hAnsi="宋体"/>
          <w:sz w:val="24"/>
        </w:rPr>
        <w:t>资信：</w:t>
      </w:r>
    </w:p>
    <w:p>
      <w:pPr>
        <w:snapToGrid w:val="0"/>
        <w:spacing w:line="360" w:lineRule="auto"/>
        <w:jc w:val="left"/>
        <w:rPr>
          <w:rFonts w:ascii="宋体" w:hAnsi="宋体"/>
          <w:sz w:val="24"/>
          <w:szCs w:val="20"/>
        </w:rPr>
      </w:pPr>
      <w:r>
        <w:rPr>
          <w:rFonts w:hint="eastAsia" w:ascii="宋体" w:hAnsi="宋体"/>
          <w:sz w:val="24"/>
        </w:rPr>
        <w:t>（9）类似成功案例的业绩证明（投标人同类项目实施情况一览表、合同复印件）————————</w:t>
      </w:r>
    </w:p>
    <w:p>
      <w:pPr>
        <w:snapToGrid w:val="0"/>
        <w:spacing w:line="360" w:lineRule="auto"/>
        <w:jc w:val="left"/>
        <w:rPr>
          <w:rFonts w:ascii="宋体" w:hAnsi="宋体"/>
          <w:sz w:val="24"/>
        </w:rPr>
      </w:pPr>
      <w:r>
        <w:rPr>
          <w:rFonts w:hint="eastAsia" w:ascii="宋体" w:hAnsi="宋体"/>
          <w:sz w:val="24"/>
        </w:rPr>
        <w:t>（10）售后服务网点————————</w:t>
      </w:r>
    </w:p>
    <w:p>
      <w:pPr>
        <w:snapToGrid w:val="0"/>
        <w:spacing w:line="360" w:lineRule="auto"/>
        <w:jc w:val="left"/>
        <w:rPr>
          <w:rFonts w:ascii="宋体" w:hAnsi="宋体"/>
          <w:sz w:val="24"/>
        </w:rPr>
      </w:pPr>
      <w:r>
        <w:rPr>
          <w:rFonts w:hint="eastAsia" w:ascii="宋体" w:hAnsi="宋体"/>
          <w:sz w:val="24"/>
        </w:rPr>
        <w:t>（11）投标人认为可以证明其能力或业绩的其他材料————————</w:t>
      </w:r>
    </w:p>
    <w:p>
      <w:pPr>
        <w:snapToGrid w:val="0"/>
        <w:spacing w:line="360" w:lineRule="auto"/>
        <w:rPr>
          <w:rFonts w:ascii="宋体" w:hAnsi="宋体"/>
          <w:sz w:val="24"/>
        </w:rPr>
      </w:pPr>
      <w:r>
        <w:rPr>
          <w:rFonts w:hint="eastAsia" w:ascii="宋体" w:hAnsi="宋体"/>
          <w:sz w:val="24"/>
        </w:rPr>
        <w:t>商务：</w:t>
      </w:r>
    </w:p>
    <w:p>
      <w:pPr>
        <w:snapToGrid w:val="0"/>
        <w:spacing w:line="360" w:lineRule="auto"/>
        <w:jc w:val="left"/>
        <w:rPr>
          <w:rFonts w:ascii="宋体" w:hAnsi="宋体"/>
          <w:sz w:val="24"/>
        </w:rPr>
      </w:pPr>
      <w:r>
        <w:rPr>
          <w:rFonts w:hint="eastAsia" w:ascii="宋体" w:hAnsi="宋体"/>
          <w:sz w:val="24"/>
        </w:rPr>
        <w:t>（14）商务响应表————————</w:t>
      </w:r>
    </w:p>
    <w:p>
      <w:pPr>
        <w:snapToGrid w:val="0"/>
        <w:spacing w:line="360" w:lineRule="auto"/>
        <w:jc w:val="left"/>
        <w:rPr>
          <w:rFonts w:ascii="宋体" w:hAnsi="宋体"/>
          <w:sz w:val="24"/>
        </w:rPr>
      </w:pPr>
      <w:r>
        <w:rPr>
          <w:rFonts w:hint="eastAsia" w:ascii="宋体" w:hAnsi="宋体"/>
          <w:sz w:val="24"/>
        </w:rPr>
        <w:t>（15）</w:t>
      </w:r>
      <w:r>
        <w:rPr>
          <w:rFonts w:ascii="宋体" w:hAnsi="宋体"/>
          <w:sz w:val="24"/>
        </w:rPr>
        <w:t>售后服务的内容</w:t>
      </w:r>
      <w:r>
        <w:rPr>
          <w:rFonts w:hint="eastAsia" w:ascii="宋体" w:hAnsi="宋体"/>
          <w:sz w:val="24"/>
        </w:rPr>
        <w:t>、</w:t>
      </w:r>
      <w:r>
        <w:rPr>
          <w:rFonts w:ascii="宋体" w:hAnsi="宋体"/>
          <w:sz w:val="24"/>
        </w:rPr>
        <w:t>措施</w:t>
      </w:r>
      <w:r>
        <w:rPr>
          <w:rFonts w:hint="eastAsia" w:ascii="宋体" w:hAnsi="宋体"/>
          <w:sz w:val="24"/>
        </w:rPr>
        <w:t>、承诺————————</w:t>
      </w:r>
    </w:p>
    <w:p>
      <w:pPr>
        <w:snapToGrid w:val="0"/>
        <w:spacing w:line="360" w:lineRule="auto"/>
        <w:jc w:val="left"/>
        <w:rPr>
          <w:rFonts w:ascii="宋体" w:hAnsi="宋体"/>
          <w:sz w:val="24"/>
        </w:rPr>
      </w:pPr>
      <w:r>
        <w:rPr>
          <w:rFonts w:hint="eastAsia" w:ascii="宋体" w:hAnsi="宋体"/>
          <w:sz w:val="24"/>
        </w:rPr>
        <w:t>（16）</w:t>
      </w:r>
      <w:r>
        <w:rPr>
          <w:rFonts w:ascii="宋体" w:hAnsi="宋体"/>
          <w:sz w:val="24"/>
        </w:rPr>
        <w:t>培训计划</w:t>
      </w:r>
      <w:r>
        <w:rPr>
          <w:rFonts w:hint="eastAsia" w:ascii="宋体" w:hAnsi="宋体"/>
          <w:sz w:val="24"/>
        </w:rPr>
        <w:t>————————</w:t>
      </w:r>
    </w:p>
    <w:p>
      <w:pPr>
        <w:snapToGrid w:val="0"/>
        <w:spacing w:line="360" w:lineRule="auto"/>
        <w:rPr>
          <w:rFonts w:ascii="宋体" w:hAnsi="宋体"/>
          <w:sz w:val="24"/>
        </w:rPr>
      </w:pPr>
      <w:r>
        <w:rPr>
          <w:rFonts w:hint="eastAsia" w:ascii="宋体" w:hAnsi="宋体"/>
          <w:sz w:val="24"/>
        </w:rPr>
        <w:t>（17）响应时间————————</w:t>
      </w:r>
    </w:p>
    <w:p>
      <w:pPr>
        <w:snapToGrid w:val="0"/>
        <w:spacing w:line="360" w:lineRule="auto"/>
        <w:rPr>
          <w:rFonts w:ascii="宋体" w:hAnsi="宋体"/>
          <w:sz w:val="24"/>
        </w:rPr>
      </w:pPr>
      <w:r>
        <w:rPr>
          <w:rFonts w:hint="eastAsia" w:ascii="宋体" w:hAnsi="宋体"/>
          <w:sz w:val="24"/>
        </w:rPr>
        <w:t>（18）信用承诺书————————</w:t>
      </w:r>
    </w:p>
    <w:p>
      <w:pPr>
        <w:spacing w:line="360" w:lineRule="auto"/>
        <w:rPr>
          <w:rFonts w:ascii="宋体" w:hAnsi="宋体"/>
          <w:sz w:val="24"/>
        </w:rPr>
      </w:pPr>
      <w:r>
        <w:rPr>
          <w:rFonts w:hint="eastAsia" w:ascii="宋体" w:hAnsi="宋体"/>
          <w:sz w:val="24"/>
        </w:rPr>
        <w:t>（19）技术、商务、资信及其他分自评表————————</w:t>
      </w:r>
    </w:p>
    <w:p>
      <w:pPr>
        <w:snapToGrid w:val="0"/>
        <w:spacing w:line="360" w:lineRule="auto"/>
        <w:rPr>
          <w:rFonts w:ascii="宋体" w:hAnsi="宋体"/>
          <w:b/>
          <w:sz w:val="24"/>
          <w:szCs w:val="20"/>
        </w:rPr>
      </w:pPr>
    </w:p>
    <w:p>
      <w:pPr>
        <w:pStyle w:val="2"/>
      </w:pPr>
    </w:p>
    <w:p>
      <w:pPr>
        <w:pStyle w:val="3"/>
      </w:pPr>
    </w:p>
    <w:p/>
    <w:p>
      <w:pPr>
        <w:pStyle w:val="2"/>
      </w:pPr>
    </w:p>
    <w:p>
      <w:pPr>
        <w:snapToGrid w:val="0"/>
        <w:spacing w:line="360" w:lineRule="auto"/>
        <w:rPr>
          <w:rFonts w:ascii="宋体" w:hAnsi="宋体"/>
          <w:b/>
          <w:sz w:val="24"/>
          <w:szCs w:val="20"/>
        </w:rPr>
      </w:pPr>
    </w:p>
    <w:p>
      <w:pPr>
        <w:snapToGrid w:val="0"/>
        <w:spacing w:line="360" w:lineRule="auto"/>
        <w:rPr>
          <w:rFonts w:ascii="宋体" w:hAnsi="宋体"/>
          <w:b/>
          <w:sz w:val="24"/>
          <w:szCs w:val="20"/>
        </w:rPr>
      </w:pPr>
    </w:p>
    <w:p>
      <w:pPr>
        <w:snapToGrid w:val="0"/>
        <w:spacing w:line="360" w:lineRule="auto"/>
        <w:rPr>
          <w:rFonts w:ascii="宋体" w:hAnsi="宋体"/>
          <w:b/>
          <w:sz w:val="24"/>
          <w:szCs w:val="20"/>
        </w:rPr>
      </w:pPr>
    </w:p>
    <w:p>
      <w:pPr>
        <w:snapToGrid w:val="0"/>
        <w:spacing w:line="360" w:lineRule="auto"/>
        <w:rPr>
          <w:rFonts w:ascii="宋体" w:hAnsi="宋体"/>
          <w:b/>
          <w:sz w:val="24"/>
          <w:szCs w:val="20"/>
        </w:rPr>
      </w:pPr>
    </w:p>
    <w:p>
      <w:pPr>
        <w:snapToGrid w:val="0"/>
        <w:spacing w:line="360" w:lineRule="auto"/>
        <w:jc w:val="left"/>
        <w:rPr>
          <w:rFonts w:ascii="宋体" w:hAnsi="宋体"/>
          <w:sz w:val="24"/>
          <w:szCs w:val="20"/>
        </w:rPr>
      </w:pPr>
      <w:r>
        <w:rPr>
          <w:rFonts w:hint="eastAsia" w:ascii="宋体" w:hAnsi="宋体"/>
          <w:sz w:val="24"/>
        </w:rPr>
        <w:t>13.设计图纸（格式自拟）</w:t>
      </w:r>
    </w:p>
    <w:p>
      <w:pPr>
        <w:snapToGrid w:val="0"/>
        <w:spacing w:line="360" w:lineRule="auto"/>
        <w:jc w:val="left"/>
        <w:rPr>
          <w:rFonts w:ascii="宋体" w:hAnsi="宋体"/>
          <w:sz w:val="24"/>
          <w:szCs w:val="20"/>
        </w:rPr>
      </w:pPr>
    </w:p>
    <w:p>
      <w:pPr>
        <w:snapToGrid w:val="0"/>
        <w:spacing w:line="360" w:lineRule="auto"/>
        <w:jc w:val="left"/>
        <w:rPr>
          <w:rFonts w:ascii="宋体" w:hAnsi="宋体"/>
          <w:sz w:val="24"/>
          <w:szCs w:val="20"/>
        </w:rPr>
      </w:pPr>
    </w:p>
    <w:p>
      <w:pPr>
        <w:snapToGrid w:val="0"/>
        <w:spacing w:line="360" w:lineRule="auto"/>
        <w:jc w:val="left"/>
        <w:rPr>
          <w:rFonts w:ascii="宋体" w:hAnsi="宋体"/>
          <w:sz w:val="24"/>
          <w:szCs w:val="20"/>
        </w:rPr>
      </w:pPr>
    </w:p>
    <w:p>
      <w:pPr>
        <w:snapToGrid w:val="0"/>
        <w:spacing w:line="360" w:lineRule="auto"/>
        <w:jc w:val="left"/>
        <w:rPr>
          <w:rFonts w:ascii="宋体" w:hAnsi="宋体"/>
          <w:sz w:val="24"/>
          <w:szCs w:val="20"/>
        </w:rPr>
      </w:pPr>
      <w:r>
        <w:rPr>
          <w:rFonts w:hint="eastAsia" w:ascii="宋体" w:hAnsi="宋体"/>
          <w:sz w:val="24"/>
          <w:szCs w:val="20"/>
        </w:rPr>
        <w:t>14.</w:t>
      </w:r>
      <w:r>
        <w:rPr>
          <w:rFonts w:hint="eastAsia" w:ascii="宋体" w:hAnsi="宋体"/>
          <w:sz w:val="24"/>
        </w:rPr>
        <w:t>确保供应货物质量的设施及措施（格式自拟）</w:t>
      </w:r>
    </w:p>
    <w:p>
      <w:pPr>
        <w:snapToGrid w:val="0"/>
        <w:spacing w:line="360" w:lineRule="auto"/>
        <w:jc w:val="left"/>
        <w:rPr>
          <w:rFonts w:ascii="宋体" w:hAnsi="宋体"/>
          <w:sz w:val="24"/>
          <w:szCs w:val="20"/>
        </w:rPr>
      </w:pPr>
    </w:p>
    <w:p>
      <w:pPr>
        <w:pStyle w:val="2"/>
      </w:pPr>
    </w:p>
    <w:p>
      <w:pPr>
        <w:pStyle w:val="3"/>
      </w:pPr>
    </w:p>
    <w:p>
      <w:pPr>
        <w:snapToGrid w:val="0"/>
        <w:spacing w:line="360" w:lineRule="auto"/>
        <w:jc w:val="left"/>
        <w:rPr>
          <w:rFonts w:ascii="宋体" w:hAnsi="宋体"/>
          <w:sz w:val="24"/>
          <w:szCs w:val="20"/>
        </w:rPr>
      </w:pPr>
      <w:r>
        <w:rPr>
          <w:rFonts w:hint="eastAsia" w:ascii="宋体" w:hAnsi="宋体"/>
          <w:sz w:val="24"/>
        </w:rPr>
        <w:t>15.安装、调试、验收的方案和措施（格式自拟）</w:t>
      </w:r>
    </w:p>
    <w:p>
      <w:pPr>
        <w:snapToGrid w:val="0"/>
        <w:spacing w:line="360" w:lineRule="auto"/>
        <w:jc w:val="left"/>
        <w:rPr>
          <w:rFonts w:ascii="宋体" w:hAnsi="宋体"/>
          <w:sz w:val="24"/>
          <w:szCs w:val="20"/>
        </w:rPr>
      </w:pPr>
    </w:p>
    <w:p>
      <w:pPr>
        <w:snapToGrid w:val="0"/>
        <w:spacing w:line="360" w:lineRule="auto"/>
        <w:jc w:val="left"/>
        <w:rPr>
          <w:rFonts w:ascii="宋体" w:hAnsi="宋体"/>
          <w:sz w:val="24"/>
          <w:szCs w:val="20"/>
        </w:rPr>
      </w:pPr>
    </w:p>
    <w:p>
      <w:pPr>
        <w:snapToGrid w:val="0"/>
        <w:spacing w:line="360" w:lineRule="auto"/>
        <w:jc w:val="left"/>
        <w:rPr>
          <w:rFonts w:ascii="宋体" w:hAnsi="宋体"/>
          <w:sz w:val="24"/>
          <w:szCs w:val="20"/>
        </w:rPr>
      </w:pPr>
    </w:p>
    <w:p>
      <w:pPr>
        <w:spacing w:line="360" w:lineRule="auto"/>
        <w:jc w:val="left"/>
        <w:rPr>
          <w:rFonts w:ascii="宋体" w:hAnsi="宋体"/>
          <w:sz w:val="24"/>
          <w:szCs w:val="20"/>
        </w:rPr>
      </w:pPr>
      <w:r>
        <w:rPr>
          <w:rFonts w:hint="eastAsia" w:ascii="宋体" w:hAnsi="宋体"/>
          <w:sz w:val="24"/>
        </w:rPr>
        <w:t>16.设备配置清单格式：</w:t>
      </w:r>
    </w:p>
    <w:p>
      <w:pPr>
        <w:tabs>
          <w:tab w:val="left" w:pos="1418"/>
        </w:tabs>
        <w:snapToGrid w:val="0"/>
        <w:spacing w:line="360" w:lineRule="auto"/>
        <w:rPr>
          <w:rFonts w:ascii="宋体" w:hAnsi="宋体"/>
          <w:sz w:val="24"/>
          <w:szCs w:val="28"/>
        </w:rPr>
      </w:pPr>
      <w:r>
        <w:rPr>
          <w:rFonts w:hint="eastAsia" w:ascii="宋体" w:hAnsi="宋体"/>
        </w:rPr>
        <w:t>项目名称：</w:t>
      </w:r>
    </w:p>
    <w:tbl>
      <w:tblPr>
        <w:tblStyle w:val="4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rPr>
              <w:t>设备名称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rPr>
              <w:t>品牌</w:t>
            </w: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rPr>
              <w:t>规格型号</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rPr>
              <w:t>单位及数量</w:t>
            </w: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p>
          <w:p>
            <w:pPr>
              <w:snapToGrid w:val="0"/>
              <w:spacing w:line="360" w:lineRule="auto"/>
              <w:jc w:val="center"/>
              <w:rPr>
                <w:rFonts w:ascii="宋体" w:hAnsi="宋体"/>
                <w:sz w:val="24"/>
                <w:szCs w:val="2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p>
        </w:tc>
        <w:tc>
          <w:tcPr>
            <w:tcW w:w="1080" w:type="dxa"/>
            <w:tcBorders>
              <w:top w:val="single" w:color="auto" w:sz="4" w:space="0"/>
              <w:left w:val="single" w:color="auto" w:sz="4" w:space="0"/>
              <w:bottom w:val="nil"/>
              <w:right w:val="single" w:color="auto" w:sz="4" w:space="0"/>
            </w:tcBorders>
            <w:vAlign w:val="center"/>
          </w:tcPr>
          <w:p>
            <w:pPr>
              <w:snapToGrid w:val="0"/>
              <w:spacing w:line="360" w:lineRule="auto"/>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480" w:hanging="480"/>
              <w:jc w:val="center"/>
              <w:rPr>
                <w:rFonts w:ascii="宋体" w:hAnsi="宋体"/>
                <w:sz w:val="24"/>
                <w:szCs w:val="2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p>
        </w:tc>
      </w:tr>
    </w:tbl>
    <w:p>
      <w:pPr>
        <w:snapToGrid w:val="0"/>
        <w:spacing w:line="360" w:lineRule="auto"/>
        <w:rPr>
          <w:rFonts w:ascii="宋体" w:hAnsi="宋体"/>
          <w:spacing w:val="20"/>
          <w:sz w:val="24"/>
          <w:szCs w:val="20"/>
          <w:u w:val="single"/>
        </w:rPr>
      </w:pPr>
      <w:r>
        <w:rPr>
          <w:rFonts w:hint="eastAsia" w:ascii="宋体" w:hAnsi="宋体"/>
          <w:spacing w:val="20"/>
          <w:sz w:val="24"/>
        </w:rPr>
        <w:t>授权代表签名：</w:t>
      </w:r>
    </w:p>
    <w:p>
      <w:pPr>
        <w:snapToGrid w:val="0"/>
        <w:spacing w:line="360" w:lineRule="auto"/>
        <w:rPr>
          <w:rFonts w:ascii="宋体" w:hAnsi="宋体"/>
          <w:spacing w:val="20"/>
          <w:sz w:val="24"/>
          <w:u w:val="single"/>
        </w:rPr>
      </w:pPr>
      <w:r>
        <w:rPr>
          <w:rFonts w:hint="eastAsia" w:ascii="宋体" w:hAnsi="宋体"/>
          <w:spacing w:val="20"/>
          <w:sz w:val="24"/>
        </w:rPr>
        <w:t>投标人盖章：日期：</w:t>
      </w:r>
    </w:p>
    <w:p>
      <w:pPr>
        <w:snapToGrid w:val="0"/>
        <w:spacing w:line="360" w:lineRule="auto"/>
        <w:rPr>
          <w:rFonts w:ascii="宋体" w:hAnsi="宋体"/>
          <w:spacing w:val="20"/>
          <w:sz w:val="24"/>
          <w:u w:val="single"/>
        </w:rPr>
      </w:pPr>
    </w:p>
    <w:p>
      <w:pPr>
        <w:snapToGrid w:val="0"/>
        <w:spacing w:line="360" w:lineRule="auto"/>
        <w:rPr>
          <w:rFonts w:ascii="宋体" w:hAnsi="宋体"/>
          <w:spacing w:val="20"/>
          <w:sz w:val="24"/>
          <w:u w:val="single"/>
        </w:rPr>
      </w:pPr>
    </w:p>
    <w:p>
      <w:pPr>
        <w:snapToGrid w:val="0"/>
        <w:spacing w:line="360" w:lineRule="auto"/>
        <w:jc w:val="left"/>
        <w:rPr>
          <w:rFonts w:ascii="宋体" w:hAnsi="宋体"/>
          <w:sz w:val="24"/>
          <w:szCs w:val="20"/>
        </w:rPr>
      </w:pPr>
      <w:r>
        <w:rPr>
          <w:rFonts w:hint="eastAsia" w:ascii="宋体" w:hAnsi="宋体"/>
          <w:sz w:val="24"/>
        </w:rPr>
        <w:t>17.技术响应表格式：</w:t>
      </w:r>
    </w:p>
    <w:p>
      <w:pPr>
        <w:snapToGrid w:val="0"/>
        <w:spacing w:line="360" w:lineRule="auto"/>
        <w:jc w:val="left"/>
        <w:rPr>
          <w:rFonts w:ascii="宋体" w:hAnsi="宋体"/>
          <w:sz w:val="24"/>
          <w:szCs w:val="20"/>
        </w:rPr>
      </w:pPr>
      <w:r>
        <w:rPr>
          <w:rFonts w:hint="eastAsia" w:ascii="宋体" w:hAnsi="宋体"/>
        </w:rPr>
        <w:t>项目名称：</w:t>
      </w:r>
    </w:p>
    <w:tbl>
      <w:tblPr>
        <w:tblStyle w:val="4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720"/>
        <w:gridCol w:w="2361"/>
        <w:gridCol w:w="1976"/>
        <w:gridCol w:w="1808"/>
        <w:gridCol w:w="8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4" w:hRule="atLeast"/>
        </w:trPr>
        <w:tc>
          <w:tcPr>
            <w:tcW w:w="3909" w:type="dxa"/>
            <w:gridSpan w:val="3"/>
            <w:tcBorders>
              <w:top w:val="single" w:color="auto" w:sz="4" w:space="0"/>
              <w:left w:val="single" w:color="auto" w:sz="4" w:space="0"/>
              <w:bottom w:val="single" w:color="auto" w:sz="4" w:space="0"/>
              <w:right w:val="single" w:color="auto" w:sz="4" w:space="0"/>
            </w:tcBorders>
          </w:tcPr>
          <w:p>
            <w:pPr>
              <w:pStyle w:val="24"/>
              <w:snapToGrid w:val="0"/>
              <w:spacing w:beforeLines="0" w:afterLines="0" w:line="360" w:lineRule="auto"/>
              <w:jc w:val="center"/>
              <w:outlineLvl w:val="0"/>
              <w:rPr>
                <w:rFonts w:hAnsi="宋体"/>
                <w:szCs w:val="21"/>
              </w:rPr>
            </w:pPr>
            <w:r>
              <w:rPr>
                <w:rFonts w:hAnsi="宋体"/>
                <w:szCs w:val="21"/>
              </w:rPr>
              <w:t>招标文件要求</w:t>
            </w:r>
          </w:p>
        </w:tc>
        <w:tc>
          <w:tcPr>
            <w:tcW w:w="3784" w:type="dxa"/>
            <w:gridSpan w:val="2"/>
            <w:tcBorders>
              <w:top w:val="single" w:color="auto" w:sz="4" w:space="0"/>
              <w:left w:val="single" w:color="auto" w:sz="4" w:space="0"/>
              <w:bottom w:val="single" w:color="auto" w:sz="4" w:space="0"/>
              <w:right w:val="single" w:color="auto" w:sz="4" w:space="0"/>
            </w:tcBorders>
          </w:tcPr>
          <w:p>
            <w:pPr>
              <w:pStyle w:val="24"/>
              <w:snapToGrid w:val="0"/>
              <w:spacing w:beforeLines="0" w:afterLines="0" w:line="360" w:lineRule="auto"/>
              <w:jc w:val="center"/>
              <w:outlineLvl w:val="0"/>
              <w:rPr>
                <w:rFonts w:hAnsi="宋体"/>
                <w:szCs w:val="21"/>
              </w:rPr>
            </w:pPr>
            <w:r>
              <w:rPr>
                <w:rFonts w:hAnsi="宋体"/>
                <w:szCs w:val="21"/>
              </w:rPr>
              <w:t>投标文件响应</w:t>
            </w:r>
          </w:p>
        </w:tc>
        <w:tc>
          <w:tcPr>
            <w:tcW w:w="835" w:type="dxa"/>
            <w:vMerge w:val="restart"/>
            <w:tcBorders>
              <w:top w:val="single" w:color="auto" w:sz="4" w:space="0"/>
              <w:left w:val="single" w:color="auto" w:sz="4" w:space="0"/>
              <w:bottom w:val="single" w:color="auto" w:sz="4" w:space="0"/>
              <w:right w:val="single" w:color="auto" w:sz="4" w:space="0"/>
            </w:tcBorders>
          </w:tcPr>
          <w:p>
            <w:pPr>
              <w:pStyle w:val="24"/>
              <w:snapToGrid w:val="0"/>
              <w:spacing w:beforeLines="0" w:afterLines="0" w:line="360" w:lineRule="auto"/>
              <w:outlineLvl w:val="0"/>
              <w:rPr>
                <w:rFonts w:hAnsi="宋体"/>
                <w:szCs w:val="21"/>
              </w:rPr>
            </w:pPr>
            <w:r>
              <w:rPr>
                <w:rFonts w:hAnsi="宋体"/>
                <w:szCs w:val="21"/>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1548" w:type="dxa"/>
            <w:gridSpan w:val="2"/>
            <w:tcBorders>
              <w:top w:val="single" w:color="auto" w:sz="4" w:space="0"/>
              <w:left w:val="single" w:color="auto" w:sz="4" w:space="0"/>
              <w:bottom w:val="single" w:color="auto" w:sz="4" w:space="0"/>
              <w:right w:val="single" w:color="auto" w:sz="4" w:space="0"/>
            </w:tcBorders>
          </w:tcPr>
          <w:p>
            <w:pPr>
              <w:pStyle w:val="24"/>
              <w:snapToGrid w:val="0"/>
              <w:spacing w:beforeLines="0" w:afterLines="0" w:line="360" w:lineRule="auto"/>
              <w:jc w:val="center"/>
              <w:outlineLvl w:val="0"/>
              <w:rPr>
                <w:rFonts w:hAnsi="宋体"/>
                <w:szCs w:val="21"/>
              </w:rPr>
            </w:pPr>
            <w:r>
              <w:rPr>
                <w:rFonts w:hAnsi="宋体"/>
                <w:szCs w:val="21"/>
              </w:rPr>
              <w:t>项目</w:t>
            </w:r>
          </w:p>
        </w:tc>
        <w:tc>
          <w:tcPr>
            <w:tcW w:w="2361" w:type="dxa"/>
            <w:tcBorders>
              <w:top w:val="single" w:color="auto" w:sz="4" w:space="0"/>
              <w:left w:val="single" w:color="auto" w:sz="4" w:space="0"/>
              <w:bottom w:val="single" w:color="auto" w:sz="4" w:space="0"/>
              <w:right w:val="single" w:color="auto" w:sz="4" w:space="0"/>
            </w:tcBorders>
          </w:tcPr>
          <w:p>
            <w:pPr>
              <w:pStyle w:val="24"/>
              <w:snapToGrid w:val="0"/>
              <w:spacing w:beforeLines="0" w:afterLines="0" w:line="360" w:lineRule="auto"/>
              <w:jc w:val="center"/>
              <w:outlineLvl w:val="0"/>
              <w:rPr>
                <w:rFonts w:hAnsi="宋体"/>
                <w:szCs w:val="21"/>
              </w:rPr>
            </w:pPr>
            <w:r>
              <w:rPr>
                <w:rFonts w:hAnsi="宋体"/>
                <w:szCs w:val="21"/>
              </w:rPr>
              <w:t>要求</w:t>
            </w:r>
          </w:p>
        </w:tc>
        <w:tc>
          <w:tcPr>
            <w:tcW w:w="1976" w:type="dxa"/>
            <w:tcBorders>
              <w:top w:val="single" w:color="auto" w:sz="4" w:space="0"/>
              <w:left w:val="single" w:color="auto" w:sz="4" w:space="0"/>
              <w:bottom w:val="single" w:color="auto" w:sz="4" w:space="0"/>
              <w:right w:val="single" w:color="auto" w:sz="4" w:space="0"/>
            </w:tcBorders>
          </w:tcPr>
          <w:p>
            <w:pPr>
              <w:pStyle w:val="24"/>
              <w:snapToGrid w:val="0"/>
              <w:spacing w:beforeLines="0" w:afterLines="0" w:line="360" w:lineRule="auto"/>
              <w:jc w:val="center"/>
              <w:outlineLvl w:val="0"/>
              <w:rPr>
                <w:rFonts w:hAnsi="宋体"/>
                <w:szCs w:val="21"/>
              </w:rPr>
            </w:pPr>
            <w:r>
              <w:rPr>
                <w:rFonts w:hAnsi="宋体"/>
                <w:szCs w:val="21"/>
              </w:rPr>
              <w:t>设备名称</w:t>
            </w:r>
          </w:p>
        </w:tc>
        <w:tc>
          <w:tcPr>
            <w:tcW w:w="1808" w:type="dxa"/>
            <w:tcBorders>
              <w:top w:val="single" w:color="auto" w:sz="4" w:space="0"/>
              <w:left w:val="single" w:color="auto" w:sz="4" w:space="0"/>
              <w:bottom w:val="single" w:color="auto" w:sz="4" w:space="0"/>
              <w:right w:val="single" w:color="auto" w:sz="4" w:space="0"/>
            </w:tcBorders>
          </w:tcPr>
          <w:p>
            <w:pPr>
              <w:pStyle w:val="24"/>
              <w:snapToGrid w:val="0"/>
              <w:spacing w:beforeLines="0" w:afterLines="0" w:line="360" w:lineRule="auto"/>
              <w:jc w:val="center"/>
              <w:outlineLvl w:val="0"/>
              <w:rPr>
                <w:rFonts w:hAnsi="宋体"/>
                <w:szCs w:val="21"/>
              </w:rPr>
            </w:pPr>
            <w:r>
              <w:rPr>
                <w:rFonts w:hAnsi="宋体"/>
                <w:szCs w:val="21"/>
              </w:rPr>
              <w:t>性能及指标</w:t>
            </w:r>
          </w:p>
        </w:tc>
        <w:tc>
          <w:tcPr>
            <w:tcW w:w="8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28" w:type="dxa"/>
            <w:vMerge w:val="restart"/>
            <w:tcBorders>
              <w:top w:val="single" w:color="auto" w:sz="4" w:space="0"/>
              <w:left w:val="single" w:color="auto" w:sz="4" w:space="0"/>
              <w:bottom w:val="single" w:color="auto" w:sz="4" w:space="0"/>
              <w:right w:val="single" w:color="auto" w:sz="4" w:space="0"/>
            </w:tcBorders>
            <w:vAlign w:val="center"/>
          </w:tcPr>
          <w:p>
            <w:pPr>
              <w:pStyle w:val="24"/>
              <w:snapToGrid w:val="0"/>
              <w:spacing w:beforeLines="0" w:afterLines="0" w:line="360" w:lineRule="auto"/>
              <w:outlineLvl w:val="0"/>
              <w:rPr>
                <w:rFonts w:hAnsi="宋体"/>
              </w:rPr>
            </w:pPr>
            <w:r>
              <w:rPr>
                <w:rFonts w:hint="eastAsia" w:hAnsi="宋体"/>
              </w:rPr>
              <w:t>一</w:t>
            </w:r>
            <w:r>
              <w:rPr>
                <w:rFonts w:hAnsi="宋体"/>
              </w:rPr>
              <w:t>、</w:t>
            </w:r>
          </w:p>
          <w:p>
            <w:pPr>
              <w:pStyle w:val="24"/>
              <w:snapToGrid w:val="0"/>
              <w:spacing w:beforeLines="0" w:afterLines="0" w:line="360" w:lineRule="auto"/>
              <w:outlineLvl w:val="0"/>
              <w:rPr>
                <w:rFonts w:hAnsi="宋体"/>
                <w:szCs w:val="21"/>
              </w:rPr>
            </w:pPr>
            <w:r>
              <w:rPr>
                <w:rFonts w:hAnsi="宋体"/>
              </w:rPr>
              <w:t>性能及技术指标</w:t>
            </w:r>
          </w:p>
        </w:tc>
        <w:tc>
          <w:tcPr>
            <w:tcW w:w="720" w:type="dxa"/>
            <w:vMerge w:val="restart"/>
            <w:tcBorders>
              <w:top w:val="single" w:color="auto" w:sz="4" w:space="0"/>
              <w:left w:val="single" w:color="auto" w:sz="4" w:space="0"/>
              <w:bottom w:val="single" w:color="auto" w:sz="4" w:space="0"/>
              <w:right w:val="single" w:color="auto" w:sz="4" w:space="0"/>
            </w:tcBorders>
            <w:vAlign w:val="center"/>
          </w:tcPr>
          <w:p>
            <w:pPr>
              <w:pStyle w:val="24"/>
              <w:snapToGrid w:val="0"/>
              <w:spacing w:beforeLines="0" w:afterLines="0" w:line="360" w:lineRule="auto"/>
              <w:outlineLvl w:val="0"/>
              <w:rPr>
                <w:rFonts w:hAnsi="宋体"/>
                <w:szCs w:val="21"/>
              </w:rPr>
            </w:pPr>
            <w:r>
              <w:rPr>
                <w:rFonts w:hAnsi="宋体"/>
                <w:szCs w:val="21"/>
              </w:rPr>
              <w:t>主要技术指标</w:t>
            </w:r>
          </w:p>
        </w:tc>
        <w:tc>
          <w:tcPr>
            <w:tcW w:w="2361"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Lines="0" w:afterLines="0" w:line="360" w:lineRule="auto"/>
              <w:outlineLvl w:val="0"/>
              <w:rPr>
                <w:rFonts w:hAnsi="宋体"/>
                <w:szCs w:val="21"/>
              </w:rPr>
            </w:pPr>
            <w:r>
              <w:rPr>
                <w:rFonts w:hAnsi="宋体"/>
                <w:szCs w:val="21"/>
              </w:rPr>
              <w:t>1、</w:t>
            </w:r>
          </w:p>
        </w:tc>
        <w:tc>
          <w:tcPr>
            <w:tcW w:w="1976" w:type="dxa"/>
            <w:tcBorders>
              <w:top w:val="single" w:color="auto" w:sz="4" w:space="0"/>
              <w:left w:val="single" w:color="auto" w:sz="4" w:space="0"/>
              <w:bottom w:val="single" w:color="auto" w:sz="4" w:space="0"/>
              <w:right w:val="single" w:color="auto" w:sz="4" w:space="0"/>
            </w:tcBorders>
          </w:tcPr>
          <w:p>
            <w:pPr>
              <w:pStyle w:val="24"/>
              <w:snapToGrid w:val="0"/>
              <w:spacing w:beforeLines="0" w:afterLines="0" w:line="360" w:lineRule="auto"/>
              <w:outlineLvl w:val="0"/>
              <w:rPr>
                <w:rFonts w:hAnsi="宋体"/>
                <w:szCs w:val="21"/>
              </w:rPr>
            </w:pPr>
          </w:p>
        </w:tc>
        <w:tc>
          <w:tcPr>
            <w:tcW w:w="1808" w:type="dxa"/>
            <w:tcBorders>
              <w:top w:val="single" w:color="auto" w:sz="4" w:space="0"/>
              <w:left w:val="single" w:color="auto" w:sz="4" w:space="0"/>
              <w:bottom w:val="single" w:color="auto" w:sz="4" w:space="0"/>
              <w:right w:val="single" w:color="auto" w:sz="4" w:space="0"/>
            </w:tcBorders>
          </w:tcPr>
          <w:p>
            <w:pPr>
              <w:pStyle w:val="24"/>
              <w:snapToGrid w:val="0"/>
              <w:spacing w:beforeLines="0" w:afterLines="0" w:line="360" w:lineRule="auto"/>
              <w:outlineLvl w:val="0"/>
              <w:rPr>
                <w:rFonts w:hAnsi="宋体"/>
                <w:szCs w:val="21"/>
              </w:rPr>
            </w:pPr>
          </w:p>
        </w:tc>
        <w:tc>
          <w:tcPr>
            <w:tcW w:w="835" w:type="dxa"/>
            <w:tcBorders>
              <w:top w:val="single" w:color="auto" w:sz="4" w:space="0"/>
              <w:left w:val="single" w:color="auto" w:sz="4" w:space="0"/>
              <w:bottom w:val="single" w:color="auto" w:sz="4" w:space="0"/>
              <w:right w:val="single" w:color="auto" w:sz="4" w:space="0"/>
            </w:tcBorders>
          </w:tcPr>
          <w:p>
            <w:pPr>
              <w:pStyle w:val="24"/>
              <w:snapToGrid w:val="0"/>
              <w:spacing w:beforeLines="0" w:afterLines="0" w:line="360" w:lineRule="auto"/>
              <w:outlineLvl w:val="0"/>
              <w:rPr>
                <w:rFonts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6"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sz w:val="24"/>
                <w:szCs w:val="21"/>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sz w:val="24"/>
                <w:szCs w:val="21"/>
              </w:rPr>
            </w:pPr>
          </w:p>
        </w:tc>
        <w:tc>
          <w:tcPr>
            <w:tcW w:w="2361"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Lines="0" w:afterLines="0" w:line="360" w:lineRule="auto"/>
              <w:rPr>
                <w:rFonts w:hAnsi="宋体"/>
                <w:szCs w:val="21"/>
              </w:rPr>
            </w:pPr>
            <w:r>
              <w:rPr>
                <w:rFonts w:hAnsi="宋体"/>
                <w:szCs w:val="21"/>
              </w:rPr>
              <w:t>2、</w:t>
            </w:r>
          </w:p>
        </w:tc>
        <w:tc>
          <w:tcPr>
            <w:tcW w:w="1976" w:type="dxa"/>
            <w:tcBorders>
              <w:top w:val="single" w:color="auto" w:sz="4" w:space="0"/>
              <w:left w:val="single" w:color="auto" w:sz="4" w:space="0"/>
              <w:bottom w:val="single" w:color="auto" w:sz="4" w:space="0"/>
              <w:right w:val="single" w:color="auto" w:sz="4" w:space="0"/>
            </w:tcBorders>
          </w:tcPr>
          <w:p>
            <w:pPr>
              <w:pStyle w:val="24"/>
              <w:snapToGrid w:val="0"/>
              <w:spacing w:beforeLines="0" w:afterLines="0" w:line="360" w:lineRule="auto"/>
              <w:rPr>
                <w:rFonts w:hAnsi="宋体"/>
                <w:szCs w:val="21"/>
              </w:rPr>
            </w:pPr>
          </w:p>
        </w:tc>
        <w:tc>
          <w:tcPr>
            <w:tcW w:w="1808" w:type="dxa"/>
            <w:tcBorders>
              <w:top w:val="single" w:color="auto" w:sz="4" w:space="0"/>
              <w:left w:val="single" w:color="auto" w:sz="4" w:space="0"/>
              <w:bottom w:val="single" w:color="auto" w:sz="4" w:space="0"/>
              <w:right w:val="single" w:color="auto" w:sz="4" w:space="0"/>
            </w:tcBorders>
          </w:tcPr>
          <w:p>
            <w:pPr>
              <w:pStyle w:val="24"/>
              <w:snapToGrid w:val="0"/>
              <w:spacing w:beforeLines="0" w:afterLines="0" w:line="360" w:lineRule="auto"/>
              <w:rPr>
                <w:rFonts w:hAnsi="宋体"/>
                <w:szCs w:val="21"/>
              </w:rPr>
            </w:pPr>
          </w:p>
        </w:tc>
        <w:tc>
          <w:tcPr>
            <w:tcW w:w="835" w:type="dxa"/>
            <w:tcBorders>
              <w:top w:val="single" w:color="auto" w:sz="4" w:space="0"/>
              <w:left w:val="single" w:color="auto" w:sz="4" w:space="0"/>
              <w:bottom w:val="single" w:color="auto" w:sz="4" w:space="0"/>
              <w:right w:val="single" w:color="auto" w:sz="4" w:space="0"/>
            </w:tcBorders>
          </w:tcPr>
          <w:p>
            <w:pPr>
              <w:pStyle w:val="24"/>
              <w:snapToGrid w:val="0"/>
              <w:spacing w:beforeLines="0" w:afterLines="0" w:line="360" w:lineRule="auto"/>
              <w:rPr>
                <w:rFonts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0"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sz w:val="24"/>
                <w:szCs w:val="21"/>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sz w:val="24"/>
                <w:szCs w:val="21"/>
              </w:rPr>
            </w:pPr>
          </w:p>
        </w:tc>
        <w:tc>
          <w:tcPr>
            <w:tcW w:w="2361"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Lines="0" w:afterLines="0" w:line="360" w:lineRule="auto"/>
              <w:outlineLvl w:val="0"/>
              <w:rPr>
                <w:rFonts w:hAnsi="宋体"/>
              </w:rPr>
            </w:pPr>
            <w:r>
              <w:rPr>
                <w:rFonts w:hAnsi="宋体"/>
              </w:rPr>
              <w:t>3、</w:t>
            </w:r>
          </w:p>
        </w:tc>
        <w:tc>
          <w:tcPr>
            <w:tcW w:w="1976" w:type="dxa"/>
            <w:tcBorders>
              <w:top w:val="single" w:color="auto" w:sz="4" w:space="0"/>
              <w:left w:val="single" w:color="auto" w:sz="4" w:space="0"/>
              <w:bottom w:val="single" w:color="auto" w:sz="4" w:space="0"/>
              <w:right w:val="single" w:color="auto" w:sz="4" w:space="0"/>
            </w:tcBorders>
          </w:tcPr>
          <w:p>
            <w:pPr>
              <w:pStyle w:val="24"/>
              <w:snapToGrid w:val="0"/>
              <w:spacing w:beforeLines="0" w:afterLines="0" w:line="360" w:lineRule="auto"/>
              <w:outlineLvl w:val="0"/>
              <w:rPr>
                <w:rFonts w:hAnsi="宋体"/>
              </w:rPr>
            </w:pPr>
          </w:p>
        </w:tc>
        <w:tc>
          <w:tcPr>
            <w:tcW w:w="1808" w:type="dxa"/>
            <w:tcBorders>
              <w:top w:val="single" w:color="auto" w:sz="4" w:space="0"/>
              <w:left w:val="single" w:color="auto" w:sz="4" w:space="0"/>
              <w:bottom w:val="single" w:color="auto" w:sz="4" w:space="0"/>
              <w:right w:val="single" w:color="auto" w:sz="4" w:space="0"/>
            </w:tcBorders>
          </w:tcPr>
          <w:p>
            <w:pPr>
              <w:pStyle w:val="24"/>
              <w:snapToGrid w:val="0"/>
              <w:spacing w:beforeLines="0" w:afterLines="0" w:line="360" w:lineRule="auto"/>
              <w:outlineLvl w:val="0"/>
              <w:rPr>
                <w:rFonts w:hAnsi="宋体"/>
              </w:rPr>
            </w:pPr>
          </w:p>
        </w:tc>
        <w:tc>
          <w:tcPr>
            <w:tcW w:w="835" w:type="dxa"/>
            <w:tcBorders>
              <w:top w:val="single" w:color="auto" w:sz="4" w:space="0"/>
              <w:left w:val="single" w:color="auto" w:sz="4" w:space="0"/>
              <w:bottom w:val="single" w:color="auto" w:sz="4" w:space="0"/>
              <w:right w:val="single" w:color="auto" w:sz="4" w:space="0"/>
            </w:tcBorders>
          </w:tcPr>
          <w:p>
            <w:pPr>
              <w:pStyle w:val="24"/>
              <w:snapToGrid w:val="0"/>
              <w:spacing w:beforeLines="0" w:afterLines="0" w:line="360" w:lineRule="auto"/>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6"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szCs w:val="21"/>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szCs w:val="21"/>
              </w:rPr>
            </w:pPr>
          </w:p>
        </w:tc>
        <w:tc>
          <w:tcPr>
            <w:tcW w:w="2361" w:type="dxa"/>
            <w:tcBorders>
              <w:top w:val="single" w:color="auto" w:sz="4" w:space="0"/>
              <w:left w:val="single" w:color="auto" w:sz="4" w:space="0"/>
              <w:bottom w:val="single" w:color="auto" w:sz="4" w:space="0"/>
              <w:right w:val="single" w:color="auto" w:sz="4" w:space="0"/>
            </w:tcBorders>
          </w:tcPr>
          <w:p>
            <w:pPr>
              <w:pStyle w:val="24"/>
              <w:snapToGrid w:val="0"/>
              <w:spacing w:beforeLines="0" w:afterLines="0" w:line="360" w:lineRule="auto"/>
              <w:outlineLvl w:val="0"/>
              <w:rPr>
                <w:rFonts w:hAnsi="宋体"/>
                <w:szCs w:val="21"/>
              </w:rPr>
            </w:pPr>
            <w:r>
              <w:rPr>
                <w:rFonts w:hAnsi="宋体"/>
                <w:szCs w:val="21"/>
              </w:rPr>
              <w:t>...</w:t>
            </w:r>
          </w:p>
        </w:tc>
        <w:tc>
          <w:tcPr>
            <w:tcW w:w="1976" w:type="dxa"/>
            <w:tcBorders>
              <w:top w:val="single" w:color="auto" w:sz="4" w:space="0"/>
              <w:left w:val="single" w:color="auto" w:sz="4" w:space="0"/>
              <w:bottom w:val="single" w:color="auto" w:sz="4" w:space="0"/>
              <w:right w:val="single" w:color="auto" w:sz="4" w:space="0"/>
            </w:tcBorders>
          </w:tcPr>
          <w:p>
            <w:pPr>
              <w:pStyle w:val="24"/>
              <w:snapToGrid w:val="0"/>
              <w:spacing w:beforeLines="0" w:afterLines="0" w:line="360" w:lineRule="auto"/>
              <w:outlineLvl w:val="0"/>
              <w:rPr>
                <w:rFonts w:hAnsi="宋体"/>
                <w:szCs w:val="21"/>
              </w:rPr>
            </w:pPr>
          </w:p>
        </w:tc>
        <w:tc>
          <w:tcPr>
            <w:tcW w:w="1808" w:type="dxa"/>
            <w:tcBorders>
              <w:top w:val="single" w:color="auto" w:sz="4" w:space="0"/>
              <w:left w:val="single" w:color="auto" w:sz="4" w:space="0"/>
              <w:bottom w:val="single" w:color="auto" w:sz="4" w:space="0"/>
              <w:right w:val="single" w:color="auto" w:sz="4" w:space="0"/>
            </w:tcBorders>
          </w:tcPr>
          <w:p>
            <w:pPr>
              <w:pStyle w:val="24"/>
              <w:snapToGrid w:val="0"/>
              <w:spacing w:beforeLines="0" w:afterLines="0" w:line="360" w:lineRule="auto"/>
              <w:outlineLvl w:val="0"/>
              <w:rPr>
                <w:rFonts w:hAnsi="宋体"/>
                <w:szCs w:val="21"/>
              </w:rPr>
            </w:pPr>
          </w:p>
        </w:tc>
        <w:tc>
          <w:tcPr>
            <w:tcW w:w="835" w:type="dxa"/>
            <w:tcBorders>
              <w:top w:val="single" w:color="auto" w:sz="4" w:space="0"/>
              <w:left w:val="single" w:color="auto" w:sz="4" w:space="0"/>
              <w:bottom w:val="single" w:color="auto" w:sz="4" w:space="0"/>
              <w:right w:val="single" w:color="auto" w:sz="4" w:space="0"/>
            </w:tcBorders>
          </w:tcPr>
          <w:p>
            <w:pPr>
              <w:pStyle w:val="24"/>
              <w:snapToGrid w:val="0"/>
              <w:spacing w:beforeLines="0" w:afterLines="0" w:line="360" w:lineRule="auto"/>
              <w:outlineLvl w:val="0"/>
              <w:rPr>
                <w:rFonts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szCs w:val="21"/>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szCs w:val="21"/>
              </w:rPr>
            </w:pPr>
          </w:p>
        </w:tc>
        <w:tc>
          <w:tcPr>
            <w:tcW w:w="2361" w:type="dxa"/>
            <w:tcBorders>
              <w:top w:val="single" w:color="auto" w:sz="4" w:space="0"/>
              <w:left w:val="single" w:color="auto" w:sz="4" w:space="0"/>
              <w:bottom w:val="single" w:color="auto" w:sz="4" w:space="0"/>
              <w:right w:val="single" w:color="auto" w:sz="4" w:space="0"/>
            </w:tcBorders>
          </w:tcPr>
          <w:p>
            <w:pPr>
              <w:pStyle w:val="24"/>
              <w:snapToGrid w:val="0"/>
              <w:spacing w:beforeLines="0" w:afterLines="0" w:line="360" w:lineRule="auto"/>
              <w:rPr>
                <w:rFonts w:hAnsi="宋体"/>
                <w:szCs w:val="21"/>
              </w:rPr>
            </w:pPr>
            <w:r>
              <w:rPr>
                <w:rFonts w:hAnsi="宋体"/>
                <w:szCs w:val="21"/>
              </w:rPr>
              <w:t>N</w:t>
            </w:r>
          </w:p>
        </w:tc>
        <w:tc>
          <w:tcPr>
            <w:tcW w:w="1976" w:type="dxa"/>
            <w:tcBorders>
              <w:top w:val="single" w:color="auto" w:sz="4" w:space="0"/>
              <w:left w:val="single" w:color="auto" w:sz="4" w:space="0"/>
              <w:bottom w:val="single" w:color="auto" w:sz="4" w:space="0"/>
              <w:right w:val="single" w:color="auto" w:sz="4" w:space="0"/>
            </w:tcBorders>
          </w:tcPr>
          <w:p>
            <w:pPr>
              <w:pStyle w:val="24"/>
              <w:snapToGrid w:val="0"/>
              <w:spacing w:beforeLines="0" w:afterLines="0" w:line="360" w:lineRule="auto"/>
              <w:rPr>
                <w:rFonts w:hAnsi="宋体"/>
                <w:szCs w:val="21"/>
              </w:rPr>
            </w:pPr>
          </w:p>
        </w:tc>
        <w:tc>
          <w:tcPr>
            <w:tcW w:w="1808" w:type="dxa"/>
            <w:tcBorders>
              <w:top w:val="single" w:color="auto" w:sz="4" w:space="0"/>
              <w:left w:val="single" w:color="auto" w:sz="4" w:space="0"/>
              <w:bottom w:val="single" w:color="auto" w:sz="4" w:space="0"/>
              <w:right w:val="single" w:color="auto" w:sz="4" w:space="0"/>
            </w:tcBorders>
          </w:tcPr>
          <w:p>
            <w:pPr>
              <w:pStyle w:val="24"/>
              <w:snapToGrid w:val="0"/>
              <w:spacing w:beforeLines="0" w:afterLines="0" w:line="360" w:lineRule="auto"/>
              <w:rPr>
                <w:rFonts w:hAnsi="宋体"/>
                <w:szCs w:val="21"/>
              </w:rPr>
            </w:pPr>
          </w:p>
        </w:tc>
        <w:tc>
          <w:tcPr>
            <w:tcW w:w="835" w:type="dxa"/>
            <w:tcBorders>
              <w:top w:val="single" w:color="auto" w:sz="4" w:space="0"/>
              <w:left w:val="single" w:color="auto" w:sz="4" w:space="0"/>
              <w:bottom w:val="single" w:color="auto" w:sz="4" w:space="0"/>
              <w:right w:val="single" w:color="auto" w:sz="4" w:space="0"/>
            </w:tcBorders>
          </w:tcPr>
          <w:p>
            <w:pPr>
              <w:pStyle w:val="24"/>
              <w:snapToGrid w:val="0"/>
              <w:spacing w:beforeLines="0" w:afterLines="0" w:line="360" w:lineRule="auto"/>
              <w:rPr>
                <w:rFonts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szCs w:val="21"/>
              </w:rPr>
            </w:pPr>
          </w:p>
        </w:tc>
        <w:tc>
          <w:tcPr>
            <w:tcW w:w="720" w:type="dxa"/>
            <w:vMerge w:val="restart"/>
            <w:tcBorders>
              <w:top w:val="single" w:color="auto" w:sz="4" w:space="0"/>
              <w:left w:val="single" w:color="auto" w:sz="4" w:space="0"/>
              <w:bottom w:val="single" w:color="auto" w:sz="4" w:space="0"/>
              <w:right w:val="single" w:color="auto" w:sz="4" w:space="0"/>
            </w:tcBorders>
          </w:tcPr>
          <w:p>
            <w:pPr>
              <w:pStyle w:val="24"/>
              <w:snapToGrid w:val="0"/>
              <w:spacing w:beforeLines="0" w:afterLines="0" w:line="360" w:lineRule="auto"/>
              <w:outlineLvl w:val="0"/>
              <w:rPr>
                <w:rFonts w:hAnsi="宋体"/>
                <w:szCs w:val="21"/>
              </w:rPr>
            </w:pPr>
            <w:r>
              <w:rPr>
                <w:rFonts w:hAnsi="宋体"/>
                <w:szCs w:val="21"/>
              </w:rPr>
              <w:t>次要指标</w:t>
            </w:r>
          </w:p>
        </w:tc>
        <w:tc>
          <w:tcPr>
            <w:tcW w:w="2361" w:type="dxa"/>
            <w:tcBorders>
              <w:top w:val="single" w:color="auto" w:sz="4" w:space="0"/>
              <w:left w:val="single" w:color="auto" w:sz="4" w:space="0"/>
              <w:bottom w:val="single" w:color="auto" w:sz="4" w:space="0"/>
              <w:right w:val="single" w:color="auto" w:sz="4" w:space="0"/>
            </w:tcBorders>
          </w:tcPr>
          <w:p>
            <w:pPr>
              <w:pStyle w:val="24"/>
              <w:snapToGrid w:val="0"/>
              <w:spacing w:beforeLines="0" w:afterLines="0" w:line="360" w:lineRule="auto"/>
              <w:outlineLvl w:val="0"/>
              <w:rPr>
                <w:rFonts w:hAnsi="宋体"/>
                <w:szCs w:val="21"/>
              </w:rPr>
            </w:pPr>
            <w:r>
              <w:rPr>
                <w:rFonts w:hAnsi="宋体"/>
                <w:szCs w:val="21"/>
              </w:rPr>
              <w:t>1</w:t>
            </w:r>
          </w:p>
        </w:tc>
        <w:tc>
          <w:tcPr>
            <w:tcW w:w="1976" w:type="dxa"/>
            <w:tcBorders>
              <w:top w:val="single" w:color="auto" w:sz="4" w:space="0"/>
              <w:left w:val="single" w:color="auto" w:sz="4" w:space="0"/>
              <w:bottom w:val="single" w:color="auto" w:sz="4" w:space="0"/>
              <w:right w:val="single" w:color="auto" w:sz="4" w:space="0"/>
            </w:tcBorders>
          </w:tcPr>
          <w:p>
            <w:pPr>
              <w:pStyle w:val="24"/>
              <w:snapToGrid w:val="0"/>
              <w:spacing w:beforeLines="0" w:afterLines="0" w:line="360" w:lineRule="auto"/>
              <w:outlineLvl w:val="0"/>
              <w:rPr>
                <w:rFonts w:hAnsi="宋体"/>
                <w:szCs w:val="21"/>
              </w:rPr>
            </w:pPr>
          </w:p>
        </w:tc>
        <w:tc>
          <w:tcPr>
            <w:tcW w:w="1808" w:type="dxa"/>
            <w:tcBorders>
              <w:top w:val="single" w:color="auto" w:sz="4" w:space="0"/>
              <w:left w:val="single" w:color="auto" w:sz="4" w:space="0"/>
              <w:bottom w:val="single" w:color="auto" w:sz="4" w:space="0"/>
              <w:right w:val="single" w:color="auto" w:sz="4" w:space="0"/>
            </w:tcBorders>
          </w:tcPr>
          <w:p>
            <w:pPr>
              <w:pStyle w:val="24"/>
              <w:snapToGrid w:val="0"/>
              <w:spacing w:beforeLines="0" w:afterLines="0" w:line="360" w:lineRule="auto"/>
              <w:outlineLvl w:val="0"/>
              <w:rPr>
                <w:rFonts w:hAnsi="宋体"/>
                <w:szCs w:val="21"/>
              </w:rPr>
            </w:pPr>
          </w:p>
        </w:tc>
        <w:tc>
          <w:tcPr>
            <w:tcW w:w="835" w:type="dxa"/>
            <w:tcBorders>
              <w:top w:val="single" w:color="auto" w:sz="4" w:space="0"/>
              <w:left w:val="single" w:color="auto" w:sz="4" w:space="0"/>
              <w:bottom w:val="single" w:color="auto" w:sz="4" w:space="0"/>
              <w:right w:val="single" w:color="auto" w:sz="4" w:space="0"/>
            </w:tcBorders>
          </w:tcPr>
          <w:p>
            <w:pPr>
              <w:pStyle w:val="24"/>
              <w:snapToGrid w:val="0"/>
              <w:spacing w:beforeLines="0" w:afterLines="0" w:line="360" w:lineRule="auto"/>
              <w:outlineLvl w:val="0"/>
              <w:rPr>
                <w:rFonts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9"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szCs w:val="21"/>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sz w:val="24"/>
                <w:szCs w:val="21"/>
              </w:rPr>
            </w:pPr>
          </w:p>
        </w:tc>
        <w:tc>
          <w:tcPr>
            <w:tcW w:w="2361" w:type="dxa"/>
            <w:tcBorders>
              <w:top w:val="single" w:color="auto" w:sz="4" w:space="0"/>
              <w:left w:val="single" w:color="auto" w:sz="4" w:space="0"/>
              <w:bottom w:val="single" w:color="auto" w:sz="4" w:space="0"/>
              <w:right w:val="single" w:color="auto" w:sz="4" w:space="0"/>
            </w:tcBorders>
          </w:tcPr>
          <w:p>
            <w:pPr>
              <w:pStyle w:val="24"/>
              <w:snapToGrid w:val="0"/>
              <w:spacing w:beforeLines="0" w:afterLines="0" w:line="360" w:lineRule="auto"/>
              <w:outlineLvl w:val="0"/>
              <w:rPr>
                <w:rFonts w:hAnsi="宋体"/>
                <w:szCs w:val="21"/>
              </w:rPr>
            </w:pPr>
            <w:r>
              <w:rPr>
                <w:rFonts w:hAnsi="宋体"/>
                <w:szCs w:val="21"/>
              </w:rPr>
              <w:t>...</w:t>
            </w:r>
          </w:p>
        </w:tc>
        <w:tc>
          <w:tcPr>
            <w:tcW w:w="1976" w:type="dxa"/>
            <w:tcBorders>
              <w:top w:val="single" w:color="auto" w:sz="4" w:space="0"/>
              <w:left w:val="single" w:color="auto" w:sz="4" w:space="0"/>
              <w:bottom w:val="single" w:color="auto" w:sz="4" w:space="0"/>
              <w:right w:val="single" w:color="auto" w:sz="4" w:space="0"/>
            </w:tcBorders>
          </w:tcPr>
          <w:p>
            <w:pPr>
              <w:pStyle w:val="24"/>
              <w:snapToGrid w:val="0"/>
              <w:spacing w:beforeLines="0" w:afterLines="0" w:line="360" w:lineRule="auto"/>
              <w:outlineLvl w:val="0"/>
              <w:rPr>
                <w:rFonts w:hAnsi="宋体"/>
                <w:szCs w:val="21"/>
              </w:rPr>
            </w:pPr>
          </w:p>
        </w:tc>
        <w:tc>
          <w:tcPr>
            <w:tcW w:w="1808" w:type="dxa"/>
            <w:tcBorders>
              <w:top w:val="single" w:color="auto" w:sz="4" w:space="0"/>
              <w:left w:val="single" w:color="auto" w:sz="4" w:space="0"/>
              <w:bottom w:val="single" w:color="auto" w:sz="4" w:space="0"/>
              <w:right w:val="single" w:color="auto" w:sz="4" w:space="0"/>
            </w:tcBorders>
          </w:tcPr>
          <w:p>
            <w:pPr>
              <w:pStyle w:val="24"/>
              <w:snapToGrid w:val="0"/>
              <w:spacing w:beforeLines="0" w:afterLines="0" w:line="360" w:lineRule="auto"/>
              <w:outlineLvl w:val="0"/>
              <w:rPr>
                <w:rFonts w:hAnsi="宋体"/>
                <w:szCs w:val="21"/>
              </w:rPr>
            </w:pPr>
          </w:p>
        </w:tc>
        <w:tc>
          <w:tcPr>
            <w:tcW w:w="835" w:type="dxa"/>
            <w:tcBorders>
              <w:top w:val="single" w:color="auto" w:sz="4" w:space="0"/>
              <w:left w:val="single" w:color="auto" w:sz="4" w:space="0"/>
              <w:bottom w:val="single" w:color="auto" w:sz="4" w:space="0"/>
              <w:right w:val="single" w:color="auto" w:sz="4" w:space="0"/>
            </w:tcBorders>
          </w:tcPr>
          <w:p>
            <w:pPr>
              <w:pStyle w:val="24"/>
              <w:snapToGrid w:val="0"/>
              <w:spacing w:beforeLines="0" w:afterLines="0" w:line="360" w:lineRule="auto"/>
              <w:outlineLvl w:val="0"/>
              <w:rPr>
                <w:rFonts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1"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szCs w:val="21"/>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szCs w:val="21"/>
              </w:rPr>
            </w:pPr>
          </w:p>
        </w:tc>
        <w:tc>
          <w:tcPr>
            <w:tcW w:w="2361" w:type="dxa"/>
            <w:tcBorders>
              <w:top w:val="single" w:color="auto" w:sz="4" w:space="0"/>
              <w:left w:val="single" w:color="auto" w:sz="4" w:space="0"/>
              <w:bottom w:val="single" w:color="auto" w:sz="4" w:space="0"/>
              <w:right w:val="single" w:color="auto" w:sz="4" w:space="0"/>
            </w:tcBorders>
          </w:tcPr>
          <w:p>
            <w:pPr>
              <w:pStyle w:val="24"/>
              <w:snapToGrid w:val="0"/>
              <w:spacing w:beforeLines="0" w:afterLines="0" w:line="360" w:lineRule="auto"/>
              <w:outlineLvl w:val="0"/>
              <w:rPr>
                <w:rFonts w:hAnsi="宋体"/>
                <w:szCs w:val="21"/>
              </w:rPr>
            </w:pPr>
          </w:p>
        </w:tc>
        <w:tc>
          <w:tcPr>
            <w:tcW w:w="1976" w:type="dxa"/>
            <w:tcBorders>
              <w:top w:val="single" w:color="auto" w:sz="4" w:space="0"/>
              <w:left w:val="single" w:color="auto" w:sz="4" w:space="0"/>
              <w:bottom w:val="single" w:color="auto" w:sz="4" w:space="0"/>
              <w:right w:val="single" w:color="auto" w:sz="4" w:space="0"/>
            </w:tcBorders>
          </w:tcPr>
          <w:p>
            <w:pPr>
              <w:pStyle w:val="24"/>
              <w:snapToGrid w:val="0"/>
              <w:spacing w:beforeLines="0" w:afterLines="0" w:line="360" w:lineRule="auto"/>
              <w:outlineLvl w:val="0"/>
              <w:rPr>
                <w:rFonts w:hAnsi="宋体"/>
                <w:szCs w:val="21"/>
              </w:rPr>
            </w:pPr>
          </w:p>
        </w:tc>
        <w:tc>
          <w:tcPr>
            <w:tcW w:w="1808" w:type="dxa"/>
            <w:tcBorders>
              <w:top w:val="single" w:color="auto" w:sz="4" w:space="0"/>
              <w:left w:val="single" w:color="auto" w:sz="4" w:space="0"/>
              <w:bottom w:val="single" w:color="auto" w:sz="4" w:space="0"/>
              <w:right w:val="single" w:color="auto" w:sz="4" w:space="0"/>
            </w:tcBorders>
          </w:tcPr>
          <w:p>
            <w:pPr>
              <w:pStyle w:val="24"/>
              <w:snapToGrid w:val="0"/>
              <w:spacing w:beforeLines="0" w:afterLines="0" w:line="360" w:lineRule="auto"/>
              <w:outlineLvl w:val="0"/>
              <w:rPr>
                <w:rFonts w:hAnsi="宋体"/>
                <w:szCs w:val="21"/>
              </w:rPr>
            </w:pPr>
          </w:p>
        </w:tc>
        <w:tc>
          <w:tcPr>
            <w:tcW w:w="835" w:type="dxa"/>
            <w:tcBorders>
              <w:top w:val="single" w:color="auto" w:sz="4" w:space="0"/>
              <w:left w:val="single" w:color="auto" w:sz="4" w:space="0"/>
              <w:bottom w:val="single" w:color="auto" w:sz="4" w:space="0"/>
              <w:right w:val="single" w:color="auto" w:sz="4" w:space="0"/>
            </w:tcBorders>
          </w:tcPr>
          <w:p>
            <w:pPr>
              <w:pStyle w:val="24"/>
              <w:snapToGrid w:val="0"/>
              <w:spacing w:beforeLines="0" w:afterLines="0" w:line="360" w:lineRule="auto"/>
              <w:outlineLvl w:val="0"/>
              <w:rPr>
                <w:rFonts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548" w:type="dxa"/>
            <w:gridSpan w:val="2"/>
            <w:tcBorders>
              <w:top w:val="single" w:color="auto" w:sz="4" w:space="0"/>
              <w:left w:val="single" w:color="auto" w:sz="4" w:space="0"/>
              <w:bottom w:val="single" w:color="auto" w:sz="4" w:space="0"/>
              <w:right w:val="single" w:color="auto" w:sz="4" w:space="0"/>
            </w:tcBorders>
          </w:tcPr>
          <w:p>
            <w:pPr>
              <w:pStyle w:val="24"/>
              <w:snapToGrid w:val="0"/>
              <w:spacing w:beforeLines="0" w:afterLines="0" w:line="360" w:lineRule="auto"/>
              <w:outlineLvl w:val="0"/>
              <w:rPr>
                <w:rFonts w:hAnsi="宋体"/>
                <w:szCs w:val="21"/>
              </w:rPr>
            </w:pPr>
            <w:r>
              <w:rPr>
                <w:rFonts w:hAnsi="宋体"/>
              </w:rPr>
              <w:t>二</w:t>
            </w:r>
            <w:r>
              <w:rPr>
                <w:rFonts w:hAnsi="宋体"/>
                <w:szCs w:val="21"/>
              </w:rPr>
              <w:t>、质量标准</w:t>
            </w:r>
          </w:p>
        </w:tc>
        <w:tc>
          <w:tcPr>
            <w:tcW w:w="2361" w:type="dxa"/>
            <w:tcBorders>
              <w:top w:val="single" w:color="auto" w:sz="4" w:space="0"/>
              <w:left w:val="single" w:color="auto" w:sz="4" w:space="0"/>
              <w:bottom w:val="single" w:color="auto" w:sz="4" w:space="0"/>
              <w:right w:val="single" w:color="auto" w:sz="4" w:space="0"/>
            </w:tcBorders>
          </w:tcPr>
          <w:p>
            <w:pPr>
              <w:pStyle w:val="24"/>
              <w:snapToGrid w:val="0"/>
              <w:spacing w:beforeLines="0" w:afterLines="0" w:line="360" w:lineRule="auto"/>
              <w:outlineLvl w:val="0"/>
              <w:rPr>
                <w:rFonts w:hAnsi="宋体"/>
                <w:szCs w:val="21"/>
              </w:rPr>
            </w:pPr>
            <w:r>
              <w:rPr>
                <w:rFonts w:hAnsi="宋体"/>
                <w:szCs w:val="21"/>
              </w:rPr>
              <w:t>（国家标准、行业标准、地区标准等）</w:t>
            </w:r>
          </w:p>
        </w:tc>
        <w:tc>
          <w:tcPr>
            <w:tcW w:w="1976" w:type="dxa"/>
            <w:tcBorders>
              <w:top w:val="single" w:color="auto" w:sz="4" w:space="0"/>
              <w:left w:val="single" w:color="auto" w:sz="4" w:space="0"/>
              <w:bottom w:val="single" w:color="auto" w:sz="4" w:space="0"/>
              <w:right w:val="single" w:color="auto" w:sz="4" w:space="0"/>
            </w:tcBorders>
          </w:tcPr>
          <w:p>
            <w:pPr>
              <w:pStyle w:val="24"/>
              <w:snapToGrid w:val="0"/>
              <w:spacing w:beforeLines="0" w:afterLines="0" w:line="360" w:lineRule="auto"/>
              <w:outlineLvl w:val="0"/>
              <w:rPr>
                <w:rFonts w:hAnsi="宋体"/>
                <w:szCs w:val="21"/>
              </w:rPr>
            </w:pPr>
          </w:p>
        </w:tc>
        <w:tc>
          <w:tcPr>
            <w:tcW w:w="1808" w:type="dxa"/>
            <w:tcBorders>
              <w:top w:val="single" w:color="auto" w:sz="4" w:space="0"/>
              <w:left w:val="single" w:color="auto" w:sz="4" w:space="0"/>
              <w:bottom w:val="single" w:color="auto" w:sz="4" w:space="0"/>
              <w:right w:val="single" w:color="auto" w:sz="4" w:space="0"/>
            </w:tcBorders>
          </w:tcPr>
          <w:p>
            <w:pPr>
              <w:pStyle w:val="24"/>
              <w:snapToGrid w:val="0"/>
              <w:spacing w:beforeLines="0" w:afterLines="0" w:line="360" w:lineRule="auto"/>
              <w:outlineLvl w:val="0"/>
              <w:rPr>
                <w:rFonts w:hAnsi="宋体"/>
                <w:szCs w:val="21"/>
              </w:rPr>
            </w:pPr>
          </w:p>
        </w:tc>
        <w:tc>
          <w:tcPr>
            <w:tcW w:w="835" w:type="dxa"/>
            <w:tcBorders>
              <w:top w:val="single" w:color="auto" w:sz="4" w:space="0"/>
              <w:left w:val="single" w:color="auto" w:sz="4" w:space="0"/>
              <w:bottom w:val="single" w:color="auto" w:sz="4" w:space="0"/>
              <w:right w:val="single" w:color="auto" w:sz="4" w:space="0"/>
            </w:tcBorders>
          </w:tcPr>
          <w:p>
            <w:pPr>
              <w:pStyle w:val="24"/>
              <w:snapToGrid w:val="0"/>
              <w:spacing w:beforeLines="0" w:afterLines="0" w:line="360" w:lineRule="auto"/>
              <w:outlineLvl w:val="0"/>
              <w:rPr>
                <w:rFonts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1548" w:type="dxa"/>
            <w:gridSpan w:val="2"/>
            <w:tcBorders>
              <w:top w:val="single" w:color="auto" w:sz="4" w:space="0"/>
              <w:left w:val="single" w:color="auto" w:sz="4" w:space="0"/>
              <w:bottom w:val="single" w:color="auto" w:sz="4" w:space="0"/>
              <w:right w:val="single" w:color="auto" w:sz="4" w:space="0"/>
            </w:tcBorders>
          </w:tcPr>
          <w:p>
            <w:pPr>
              <w:pStyle w:val="24"/>
              <w:snapToGrid w:val="0"/>
              <w:spacing w:beforeLines="0" w:afterLines="0" w:line="360" w:lineRule="auto"/>
              <w:outlineLvl w:val="0"/>
              <w:rPr>
                <w:rFonts w:hAnsi="宋体"/>
                <w:szCs w:val="21"/>
              </w:rPr>
            </w:pPr>
            <w:r>
              <w:rPr>
                <w:rFonts w:hAnsi="宋体"/>
                <w:szCs w:val="21"/>
              </w:rPr>
              <w:t>...</w:t>
            </w:r>
          </w:p>
        </w:tc>
        <w:tc>
          <w:tcPr>
            <w:tcW w:w="2361" w:type="dxa"/>
            <w:tcBorders>
              <w:top w:val="single" w:color="auto" w:sz="4" w:space="0"/>
              <w:left w:val="single" w:color="auto" w:sz="4" w:space="0"/>
              <w:bottom w:val="single" w:color="auto" w:sz="4" w:space="0"/>
              <w:right w:val="single" w:color="auto" w:sz="4" w:space="0"/>
            </w:tcBorders>
          </w:tcPr>
          <w:p>
            <w:pPr>
              <w:pStyle w:val="24"/>
              <w:snapToGrid w:val="0"/>
              <w:spacing w:beforeLines="0" w:afterLines="0" w:line="360" w:lineRule="auto"/>
              <w:outlineLvl w:val="0"/>
              <w:rPr>
                <w:rFonts w:hAnsi="宋体"/>
              </w:rPr>
            </w:pPr>
          </w:p>
        </w:tc>
        <w:tc>
          <w:tcPr>
            <w:tcW w:w="1976" w:type="dxa"/>
            <w:tcBorders>
              <w:top w:val="single" w:color="auto" w:sz="4" w:space="0"/>
              <w:left w:val="single" w:color="auto" w:sz="4" w:space="0"/>
              <w:bottom w:val="single" w:color="auto" w:sz="4" w:space="0"/>
              <w:right w:val="single" w:color="auto" w:sz="4" w:space="0"/>
            </w:tcBorders>
          </w:tcPr>
          <w:p>
            <w:pPr>
              <w:pStyle w:val="24"/>
              <w:snapToGrid w:val="0"/>
              <w:spacing w:beforeLines="0" w:afterLines="0" w:line="360" w:lineRule="auto"/>
              <w:outlineLvl w:val="0"/>
              <w:rPr>
                <w:rFonts w:hAnsi="宋体"/>
              </w:rPr>
            </w:pPr>
          </w:p>
        </w:tc>
        <w:tc>
          <w:tcPr>
            <w:tcW w:w="1808" w:type="dxa"/>
            <w:tcBorders>
              <w:top w:val="single" w:color="auto" w:sz="4" w:space="0"/>
              <w:left w:val="single" w:color="auto" w:sz="4" w:space="0"/>
              <w:bottom w:val="single" w:color="auto" w:sz="4" w:space="0"/>
              <w:right w:val="single" w:color="auto" w:sz="4" w:space="0"/>
            </w:tcBorders>
          </w:tcPr>
          <w:p>
            <w:pPr>
              <w:pStyle w:val="24"/>
              <w:snapToGrid w:val="0"/>
              <w:spacing w:beforeLines="0" w:afterLines="0" w:line="360" w:lineRule="auto"/>
              <w:outlineLvl w:val="0"/>
              <w:rPr>
                <w:rFonts w:hAnsi="宋体"/>
              </w:rPr>
            </w:pPr>
          </w:p>
        </w:tc>
        <w:tc>
          <w:tcPr>
            <w:tcW w:w="835" w:type="dxa"/>
            <w:tcBorders>
              <w:top w:val="single" w:color="auto" w:sz="4" w:space="0"/>
              <w:left w:val="single" w:color="auto" w:sz="4" w:space="0"/>
              <w:bottom w:val="single" w:color="auto" w:sz="4" w:space="0"/>
              <w:right w:val="single" w:color="auto" w:sz="4" w:space="0"/>
            </w:tcBorders>
          </w:tcPr>
          <w:p>
            <w:pPr>
              <w:pStyle w:val="24"/>
              <w:snapToGrid w:val="0"/>
              <w:spacing w:beforeLines="0" w:afterLines="0" w:line="360" w:lineRule="auto"/>
              <w:outlineLvl w:val="0"/>
              <w:rPr>
                <w:rFonts w:hAnsi="宋体"/>
              </w:rPr>
            </w:pPr>
          </w:p>
        </w:tc>
      </w:tr>
    </w:tbl>
    <w:p>
      <w:pPr>
        <w:pStyle w:val="19"/>
        <w:spacing w:before="0" w:after="0" w:line="360" w:lineRule="auto"/>
        <w:rPr>
          <w:rFonts w:ascii="宋体" w:eastAsia="宋体"/>
          <w:spacing w:val="20"/>
        </w:rPr>
      </w:pPr>
      <w:r>
        <w:rPr>
          <w:rFonts w:hint="eastAsia" w:ascii="宋体" w:eastAsia="宋体"/>
        </w:rPr>
        <w:t>注：投标人应根据投标设备的性能指标、对照招标文件要求在“偏离情况”栏注明“正偏离”、“负偏离”或“无偏离”。</w:t>
      </w:r>
    </w:p>
    <w:p>
      <w:pPr>
        <w:snapToGrid w:val="0"/>
        <w:spacing w:line="360" w:lineRule="auto"/>
        <w:rPr>
          <w:rFonts w:ascii="宋体" w:hAnsi="宋体"/>
          <w:spacing w:val="20"/>
          <w:sz w:val="24"/>
          <w:szCs w:val="20"/>
          <w:u w:val="single"/>
        </w:rPr>
      </w:pPr>
      <w:r>
        <w:rPr>
          <w:rFonts w:hint="eastAsia" w:ascii="宋体" w:hAnsi="宋体"/>
          <w:spacing w:val="20"/>
          <w:sz w:val="24"/>
        </w:rPr>
        <w:t>授权代表签名：</w:t>
      </w:r>
    </w:p>
    <w:p>
      <w:pPr>
        <w:snapToGrid w:val="0"/>
        <w:spacing w:line="360" w:lineRule="auto"/>
        <w:rPr>
          <w:rFonts w:ascii="宋体" w:hAnsi="宋体"/>
          <w:spacing w:val="20"/>
          <w:sz w:val="24"/>
        </w:rPr>
      </w:pPr>
      <w:r>
        <w:rPr>
          <w:rFonts w:hint="eastAsia" w:ascii="宋体" w:hAnsi="宋体"/>
          <w:spacing w:val="20"/>
          <w:sz w:val="24"/>
        </w:rPr>
        <w:t>投标人盖章：日 期：</w:t>
      </w:r>
    </w:p>
    <w:p>
      <w:pPr>
        <w:pStyle w:val="2"/>
      </w:pPr>
    </w:p>
    <w:p>
      <w:pPr>
        <w:pStyle w:val="3"/>
      </w:pPr>
    </w:p>
    <w:p/>
    <w:p>
      <w:pPr>
        <w:pStyle w:val="2"/>
      </w:pPr>
    </w:p>
    <w:p>
      <w:pPr>
        <w:pStyle w:val="3"/>
      </w:pPr>
    </w:p>
    <w:p/>
    <w:p>
      <w:pPr>
        <w:pStyle w:val="2"/>
      </w:pPr>
    </w:p>
    <w:p>
      <w:pPr>
        <w:pStyle w:val="3"/>
      </w:pPr>
    </w:p>
    <w:p/>
    <w:p>
      <w:pPr>
        <w:pStyle w:val="2"/>
      </w:pPr>
    </w:p>
    <w:p>
      <w:pPr>
        <w:pStyle w:val="3"/>
      </w:pPr>
    </w:p>
    <w:p>
      <w:pPr>
        <w:snapToGrid w:val="0"/>
        <w:spacing w:line="360" w:lineRule="auto"/>
        <w:jc w:val="left"/>
        <w:rPr>
          <w:rFonts w:ascii="宋体" w:hAnsi="宋体"/>
          <w:sz w:val="24"/>
          <w:szCs w:val="20"/>
        </w:rPr>
      </w:pPr>
      <w:r>
        <w:rPr>
          <w:rFonts w:hint="eastAsia" w:ascii="宋体" w:hAnsi="宋体"/>
          <w:sz w:val="24"/>
        </w:rPr>
        <w:t>18. 项目实施人员一览表格式：</w:t>
      </w:r>
    </w:p>
    <w:p>
      <w:pPr>
        <w:snapToGrid w:val="0"/>
        <w:spacing w:line="360" w:lineRule="auto"/>
        <w:jc w:val="center"/>
        <w:rPr>
          <w:rFonts w:ascii="宋体" w:hAnsi="宋体"/>
          <w:b/>
          <w:sz w:val="24"/>
          <w:szCs w:val="20"/>
        </w:rPr>
      </w:pPr>
      <w:r>
        <w:rPr>
          <w:rFonts w:hint="eastAsia" w:ascii="宋体" w:hAnsi="宋体"/>
          <w:b/>
          <w:sz w:val="24"/>
        </w:rPr>
        <w:t>项目实施人员（主要从业人员及其技术资格）一览表</w:t>
      </w:r>
    </w:p>
    <w:p>
      <w:pPr>
        <w:snapToGrid w:val="0"/>
        <w:spacing w:line="360" w:lineRule="auto"/>
        <w:rPr>
          <w:rFonts w:ascii="宋体" w:hAnsi="宋体"/>
          <w:sz w:val="24"/>
          <w:szCs w:val="20"/>
        </w:rPr>
      </w:pPr>
      <w:r>
        <w:rPr>
          <w:rFonts w:hint="eastAsia" w:ascii="宋体" w:hAnsi="宋体"/>
        </w:rPr>
        <w:t>项目名称：</w:t>
      </w:r>
    </w:p>
    <w:tbl>
      <w:tblPr>
        <w:tblStyle w:val="40"/>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620"/>
        <w:gridCol w:w="19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rPr>
                <w:rFonts w:ascii="宋体" w:hAnsi="宋体"/>
                <w:sz w:val="24"/>
                <w:szCs w:val="20"/>
              </w:rPr>
            </w:pPr>
            <w:r>
              <w:rPr>
                <w:rFonts w:hint="eastAsia" w:ascii="宋体" w:hAnsi="宋体"/>
                <w:sz w:val="24"/>
              </w:rPr>
              <w:t>姓名</w:t>
            </w:r>
          </w:p>
        </w:tc>
        <w:tc>
          <w:tcPr>
            <w:tcW w:w="1004"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rPr>
                <w:rFonts w:ascii="宋体" w:hAnsi="宋体"/>
                <w:sz w:val="24"/>
                <w:szCs w:val="20"/>
              </w:rPr>
            </w:pPr>
            <w:r>
              <w:rPr>
                <w:rFonts w:hint="eastAsia" w:ascii="宋体" w:hAnsi="宋体"/>
                <w:sz w:val="24"/>
              </w:rPr>
              <w:t>职务</w:t>
            </w:r>
          </w:p>
        </w:tc>
        <w:tc>
          <w:tcPr>
            <w:tcW w:w="1663"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jc w:val="center"/>
              <w:rPr>
                <w:rFonts w:ascii="宋体" w:hAnsi="宋体"/>
                <w:sz w:val="24"/>
                <w:szCs w:val="20"/>
              </w:rPr>
            </w:pPr>
            <w:r>
              <w:rPr>
                <w:rFonts w:hint="eastAsia" w:ascii="宋体" w:hAnsi="宋体"/>
                <w:sz w:val="24"/>
              </w:rPr>
              <w:t>专业技术资格</w:t>
            </w:r>
          </w:p>
        </w:tc>
        <w:tc>
          <w:tcPr>
            <w:tcW w:w="1260"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rPr>
                <w:rFonts w:ascii="宋体" w:hAnsi="宋体"/>
                <w:sz w:val="24"/>
                <w:szCs w:val="20"/>
              </w:rPr>
            </w:pPr>
            <w:r>
              <w:rPr>
                <w:rFonts w:hint="eastAsia" w:ascii="宋体" w:hAnsi="宋体"/>
                <w:sz w:val="24"/>
              </w:rPr>
              <w:t>证书编号</w:t>
            </w:r>
          </w:p>
        </w:tc>
        <w:tc>
          <w:tcPr>
            <w:tcW w:w="1620"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rPr>
                <w:rFonts w:ascii="宋体" w:hAnsi="宋体"/>
                <w:bCs/>
                <w:sz w:val="24"/>
                <w:szCs w:val="20"/>
              </w:rPr>
            </w:pPr>
            <w:r>
              <w:rPr>
                <w:rFonts w:hint="eastAsia" w:ascii="宋体" w:hAnsi="宋体"/>
                <w:bCs/>
                <w:sz w:val="24"/>
              </w:rPr>
              <w:t>参加本单位工作时间</w:t>
            </w:r>
          </w:p>
        </w:tc>
        <w:tc>
          <w:tcPr>
            <w:tcW w:w="1980"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rPr>
                <w:rFonts w:ascii="宋体" w:hAnsi="宋体"/>
                <w:bCs/>
                <w:sz w:val="24"/>
                <w:szCs w:val="20"/>
              </w:rPr>
            </w:pPr>
            <w:r>
              <w:rPr>
                <w:rFonts w:hint="eastAsia" w:ascii="宋体" w:hAnsi="宋体"/>
                <w:bCs/>
                <w:sz w:val="24"/>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62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98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62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98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663" w:type="dxa"/>
            <w:tcBorders>
              <w:top w:val="single" w:color="auto" w:sz="4" w:space="0"/>
              <w:left w:val="single" w:color="auto" w:sz="4" w:space="0"/>
              <w:bottom w:val="single" w:color="auto" w:sz="4" w:space="0"/>
              <w:right w:val="single" w:color="auto" w:sz="4" w:space="0"/>
            </w:tcBorders>
          </w:tcPr>
          <w:p>
            <w:pPr>
              <w:pStyle w:val="25"/>
              <w:snapToGrid w:val="0"/>
              <w:spacing w:line="360" w:lineRule="auto"/>
              <w:ind w:left="5250"/>
              <w:rPr>
                <w:rFonts w:ascii="宋体" w:hAnsi="宋体" w:eastAsia="宋体"/>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62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98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62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98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62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98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62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98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62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98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62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98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62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98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r>
    </w:tbl>
    <w:p>
      <w:pPr>
        <w:snapToGrid w:val="0"/>
        <w:spacing w:line="360" w:lineRule="auto"/>
        <w:jc w:val="left"/>
        <w:rPr>
          <w:rFonts w:ascii="宋体" w:hAnsi="宋体"/>
          <w:sz w:val="24"/>
          <w:szCs w:val="20"/>
        </w:rPr>
      </w:pPr>
      <w:r>
        <w:rPr>
          <w:rFonts w:hint="eastAsia" w:ascii="宋体" w:hAnsi="宋体"/>
          <w:sz w:val="24"/>
        </w:rPr>
        <w:t>注：在填写时，如本表格不适合投标单位的实际情况，可根据本表格式自行划表填写。</w:t>
      </w:r>
    </w:p>
    <w:p>
      <w:pPr>
        <w:snapToGrid w:val="0"/>
        <w:spacing w:line="360" w:lineRule="auto"/>
        <w:rPr>
          <w:rFonts w:ascii="宋体" w:hAnsi="宋体"/>
          <w:spacing w:val="20"/>
          <w:sz w:val="24"/>
          <w:szCs w:val="20"/>
          <w:u w:val="single"/>
        </w:rPr>
      </w:pPr>
      <w:r>
        <w:rPr>
          <w:rFonts w:hint="eastAsia" w:ascii="宋体" w:hAnsi="宋体"/>
          <w:spacing w:val="20"/>
          <w:sz w:val="24"/>
        </w:rPr>
        <w:t>授权代表签名：</w:t>
      </w:r>
    </w:p>
    <w:p>
      <w:pPr>
        <w:snapToGrid w:val="0"/>
        <w:spacing w:line="360" w:lineRule="auto"/>
        <w:jc w:val="left"/>
        <w:rPr>
          <w:rFonts w:ascii="宋体" w:hAnsi="宋体"/>
          <w:spacing w:val="20"/>
          <w:sz w:val="24"/>
        </w:rPr>
      </w:pPr>
      <w:r>
        <w:rPr>
          <w:rFonts w:hint="eastAsia" w:ascii="宋体" w:hAnsi="宋体"/>
          <w:spacing w:val="20"/>
          <w:sz w:val="24"/>
        </w:rPr>
        <w:t>投标人盖章：日期：</w:t>
      </w:r>
    </w:p>
    <w:p>
      <w:pPr>
        <w:snapToGrid w:val="0"/>
        <w:spacing w:line="360" w:lineRule="auto"/>
        <w:jc w:val="left"/>
        <w:rPr>
          <w:rFonts w:ascii="宋体" w:hAnsi="宋体"/>
          <w:spacing w:val="20"/>
          <w:sz w:val="24"/>
          <w:szCs w:val="20"/>
          <w:u w:val="single"/>
        </w:rPr>
      </w:pPr>
    </w:p>
    <w:p>
      <w:pPr>
        <w:snapToGrid w:val="0"/>
        <w:spacing w:line="360" w:lineRule="auto"/>
        <w:jc w:val="left"/>
        <w:rPr>
          <w:rFonts w:ascii="宋体" w:hAnsi="宋体"/>
          <w:sz w:val="24"/>
          <w:szCs w:val="20"/>
        </w:rPr>
      </w:pPr>
    </w:p>
    <w:p>
      <w:pPr>
        <w:snapToGrid w:val="0"/>
        <w:spacing w:line="360" w:lineRule="auto"/>
        <w:jc w:val="left"/>
        <w:rPr>
          <w:rFonts w:ascii="宋体" w:hAnsi="宋体"/>
          <w:sz w:val="24"/>
          <w:szCs w:val="20"/>
        </w:rPr>
      </w:pPr>
    </w:p>
    <w:p>
      <w:pPr>
        <w:snapToGrid w:val="0"/>
        <w:spacing w:line="360" w:lineRule="auto"/>
        <w:jc w:val="left"/>
        <w:rPr>
          <w:rFonts w:ascii="宋体" w:hAnsi="宋体"/>
          <w:sz w:val="24"/>
          <w:szCs w:val="20"/>
        </w:rPr>
      </w:pPr>
    </w:p>
    <w:p>
      <w:pPr>
        <w:snapToGrid w:val="0"/>
        <w:spacing w:line="360" w:lineRule="auto"/>
        <w:jc w:val="left"/>
        <w:rPr>
          <w:rFonts w:ascii="宋体" w:hAnsi="宋体"/>
          <w:sz w:val="24"/>
          <w:szCs w:val="20"/>
        </w:rPr>
      </w:pPr>
      <w:r>
        <w:rPr>
          <w:rFonts w:hint="eastAsia" w:ascii="宋体" w:hAnsi="宋体"/>
          <w:sz w:val="24"/>
        </w:rPr>
        <w:t>19.投标人对本项目的合理化建议和改进措施（格式自拟）</w:t>
      </w:r>
    </w:p>
    <w:p>
      <w:pPr>
        <w:snapToGrid w:val="0"/>
        <w:spacing w:line="360" w:lineRule="auto"/>
        <w:jc w:val="left"/>
        <w:rPr>
          <w:rFonts w:ascii="宋体" w:hAnsi="宋体"/>
          <w:sz w:val="24"/>
          <w:szCs w:val="20"/>
        </w:rPr>
      </w:pPr>
    </w:p>
    <w:p>
      <w:pPr>
        <w:snapToGrid w:val="0"/>
        <w:spacing w:line="360" w:lineRule="auto"/>
        <w:jc w:val="left"/>
        <w:rPr>
          <w:rFonts w:ascii="宋体" w:hAnsi="宋体"/>
          <w:sz w:val="24"/>
          <w:szCs w:val="20"/>
        </w:rPr>
      </w:pPr>
    </w:p>
    <w:p>
      <w:pPr>
        <w:snapToGrid w:val="0"/>
        <w:spacing w:line="360" w:lineRule="auto"/>
        <w:jc w:val="left"/>
        <w:rPr>
          <w:rFonts w:ascii="宋体" w:hAnsi="宋体"/>
          <w:sz w:val="24"/>
          <w:szCs w:val="20"/>
        </w:rPr>
      </w:pPr>
    </w:p>
    <w:p>
      <w:pPr>
        <w:snapToGrid w:val="0"/>
        <w:spacing w:line="360" w:lineRule="auto"/>
        <w:jc w:val="left"/>
        <w:rPr>
          <w:rFonts w:ascii="宋体" w:hAnsi="宋体"/>
          <w:sz w:val="24"/>
          <w:szCs w:val="20"/>
        </w:rPr>
      </w:pPr>
      <w:r>
        <w:rPr>
          <w:rFonts w:hint="eastAsia" w:ascii="宋体" w:hAnsi="宋体"/>
          <w:sz w:val="24"/>
        </w:rPr>
        <w:t>20.投标人需要说明的其他文件和说明（格式自拟）</w:t>
      </w:r>
    </w:p>
    <w:p>
      <w:pPr>
        <w:snapToGrid w:val="0"/>
        <w:spacing w:line="360" w:lineRule="auto"/>
        <w:jc w:val="left"/>
        <w:rPr>
          <w:rFonts w:ascii="宋体" w:hAnsi="宋体"/>
          <w:sz w:val="24"/>
          <w:szCs w:val="20"/>
        </w:rPr>
      </w:pPr>
    </w:p>
    <w:p>
      <w:pPr>
        <w:snapToGrid w:val="0"/>
        <w:spacing w:line="360" w:lineRule="auto"/>
        <w:jc w:val="left"/>
        <w:rPr>
          <w:rFonts w:ascii="宋体" w:hAnsi="宋体"/>
          <w:sz w:val="24"/>
        </w:rPr>
      </w:pPr>
    </w:p>
    <w:p>
      <w:pPr>
        <w:snapToGrid w:val="0"/>
        <w:spacing w:line="360" w:lineRule="auto"/>
        <w:jc w:val="left"/>
        <w:rPr>
          <w:rFonts w:ascii="宋体" w:hAnsi="宋体"/>
        </w:rPr>
        <w:sectPr>
          <w:headerReference r:id="rId3" w:type="default"/>
          <w:footerReference r:id="rId4" w:type="default"/>
          <w:footerReference r:id="rId5" w:type="even"/>
          <w:pgSz w:w="11906" w:h="16838"/>
          <w:pgMar w:top="1361" w:right="1247" w:bottom="1361" w:left="1247" w:header="851" w:footer="851" w:gutter="0"/>
          <w:cols w:space="720" w:num="1"/>
          <w:docGrid w:linePitch="312" w:charSpace="0"/>
        </w:sectPr>
      </w:pPr>
    </w:p>
    <w:p>
      <w:pPr>
        <w:snapToGrid w:val="0"/>
        <w:spacing w:line="360" w:lineRule="auto"/>
        <w:jc w:val="left"/>
        <w:rPr>
          <w:rFonts w:ascii="宋体" w:hAnsi="宋体"/>
          <w:sz w:val="24"/>
        </w:rPr>
      </w:pPr>
      <w:r>
        <w:rPr>
          <w:rFonts w:hint="eastAsia" w:ascii="宋体" w:hAnsi="宋体"/>
          <w:sz w:val="24"/>
        </w:rPr>
        <w:t>21.投标人的类似成功案例的业绩证明文件：</w:t>
      </w:r>
    </w:p>
    <w:p>
      <w:pPr>
        <w:pStyle w:val="31"/>
        <w:snapToGrid w:val="0"/>
        <w:spacing w:line="360" w:lineRule="auto"/>
        <w:ind w:left="480" w:hanging="480"/>
        <w:rPr>
          <w:rFonts w:ascii="宋体" w:hAnsi="宋体"/>
          <w:sz w:val="24"/>
        </w:rPr>
      </w:pPr>
      <w:r>
        <w:rPr>
          <w:rFonts w:ascii="宋体" w:hAnsi="宋体"/>
          <w:sz w:val="24"/>
        </w:rPr>
        <w:t>投标人同类项目实施情况一览表格式：（投标人同类项目合同复印件）</w:t>
      </w:r>
    </w:p>
    <w:tbl>
      <w:tblPr>
        <w:tblStyle w:val="4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800"/>
        <w:gridCol w:w="180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18"/>
                <w:szCs w:val="20"/>
              </w:rPr>
            </w:pPr>
            <w:r>
              <w:rPr>
                <w:rFonts w:hint="eastAsia" w:ascii="宋体" w:hAnsi="宋体"/>
                <w:sz w:val="18"/>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18"/>
                <w:szCs w:val="20"/>
              </w:rPr>
            </w:pPr>
            <w:r>
              <w:rPr>
                <w:rFonts w:hint="eastAsia" w:ascii="宋体" w:hAnsi="宋体"/>
                <w:sz w:val="18"/>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18"/>
                <w:szCs w:val="20"/>
              </w:rPr>
            </w:pPr>
            <w:r>
              <w:rPr>
                <w:rFonts w:hint="eastAsia" w:ascii="宋体" w:hAnsi="宋体"/>
                <w:sz w:val="18"/>
              </w:rPr>
              <w:t>采购</w:t>
            </w:r>
          </w:p>
          <w:p>
            <w:pPr>
              <w:snapToGrid w:val="0"/>
              <w:spacing w:line="360" w:lineRule="auto"/>
              <w:jc w:val="center"/>
              <w:rPr>
                <w:rFonts w:ascii="宋体" w:hAnsi="宋体"/>
                <w:sz w:val="18"/>
                <w:szCs w:val="20"/>
              </w:rPr>
            </w:pPr>
            <w:r>
              <w:rPr>
                <w:rFonts w:hint="eastAsia" w:ascii="宋体" w:hAnsi="宋体"/>
                <w:sz w:val="18"/>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18"/>
                <w:szCs w:val="20"/>
              </w:rPr>
            </w:pPr>
            <w:r>
              <w:rPr>
                <w:rFonts w:hint="eastAsia" w:ascii="宋体" w:hAnsi="宋体"/>
                <w:sz w:val="18"/>
              </w:rPr>
              <w:t>单价</w:t>
            </w:r>
          </w:p>
        </w:tc>
        <w:tc>
          <w:tcPr>
            <w:tcW w:w="180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18"/>
                <w:szCs w:val="20"/>
              </w:rPr>
            </w:pPr>
            <w:r>
              <w:rPr>
                <w:rFonts w:hint="eastAsia" w:ascii="宋体" w:hAnsi="宋体"/>
                <w:sz w:val="18"/>
              </w:rPr>
              <w:t>合同</w:t>
            </w:r>
          </w:p>
          <w:p>
            <w:pPr>
              <w:snapToGrid w:val="0"/>
              <w:spacing w:line="360" w:lineRule="auto"/>
              <w:jc w:val="center"/>
              <w:rPr>
                <w:rFonts w:ascii="宋体" w:hAnsi="宋体"/>
                <w:sz w:val="18"/>
                <w:szCs w:val="20"/>
              </w:rPr>
            </w:pPr>
            <w:r>
              <w:rPr>
                <w:rFonts w:hint="eastAsia" w:ascii="宋体" w:hAnsi="宋体"/>
                <w:sz w:val="18"/>
              </w:rPr>
              <w:t>金额</w:t>
            </w:r>
          </w:p>
          <w:p>
            <w:pPr>
              <w:snapToGrid w:val="0"/>
              <w:spacing w:line="360" w:lineRule="auto"/>
              <w:jc w:val="center"/>
              <w:rPr>
                <w:rFonts w:ascii="宋体" w:hAnsi="宋体"/>
                <w:sz w:val="18"/>
                <w:szCs w:val="20"/>
              </w:rPr>
            </w:pPr>
            <w:r>
              <w:rPr>
                <w:rFonts w:hint="eastAsia" w:ascii="宋体" w:hAnsi="宋体"/>
                <w:sz w:val="18"/>
              </w:rPr>
              <w:t>（万元）</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18"/>
                <w:szCs w:val="20"/>
              </w:rPr>
            </w:pPr>
            <w:r>
              <w:rPr>
                <w:rFonts w:hint="eastAsia" w:ascii="宋体" w:hAnsi="宋体"/>
                <w:sz w:val="18"/>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18"/>
                <w:szCs w:val="20"/>
              </w:rPr>
            </w:pPr>
            <w:r>
              <w:rPr>
                <w:rFonts w:hint="eastAsia" w:ascii="宋体" w:hAnsi="宋体"/>
                <w:sz w:val="18"/>
              </w:rPr>
              <w:t>采购单位联系人及</w:t>
            </w:r>
          </w:p>
          <w:p>
            <w:pPr>
              <w:snapToGrid w:val="0"/>
              <w:spacing w:line="360" w:lineRule="auto"/>
              <w:jc w:val="center"/>
              <w:rPr>
                <w:rFonts w:ascii="宋体" w:hAnsi="宋体"/>
                <w:sz w:val="18"/>
                <w:szCs w:val="20"/>
              </w:rPr>
            </w:pPr>
            <w:r>
              <w:rPr>
                <w:rFonts w:hint="eastAsia" w:ascii="宋体" w:hAnsi="宋体"/>
                <w:sz w:val="18"/>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18"/>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18"/>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18"/>
              </w:rP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18"/>
                <w:szCs w:val="20"/>
              </w:rPr>
            </w:pPr>
            <w:r>
              <w:rPr>
                <w:rFonts w:hint="eastAsia" w:ascii="宋体" w:hAnsi="宋体"/>
                <w:sz w:val="18"/>
              </w:rPr>
              <w:t>合同</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18"/>
                <w:szCs w:val="2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18"/>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18"/>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18"/>
                <w:szCs w:val="2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18"/>
                <w:szCs w:val="2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18"/>
                <w:szCs w:val="2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r>
    </w:tbl>
    <w:p>
      <w:pPr>
        <w:pStyle w:val="16"/>
        <w:snapToGrid w:val="0"/>
        <w:spacing w:before="0" w:after="0" w:line="360" w:lineRule="auto"/>
        <w:rPr>
          <w:rFonts w:ascii="宋体" w:hAnsi="宋体" w:eastAsia="宋体"/>
          <w:sz w:val="24"/>
        </w:rPr>
      </w:pPr>
    </w:p>
    <w:p>
      <w:pPr>
        <w:pStyle w:val="16"/>
        <w:snapToGrid w:val="0"/>
        <w:spacing w:before="0" w:after="0" w:line="360" w:lineRule="auto"/>
        <w:ind w:firstLine="600" w:firstLineChars="250"/>
        <w:rPr>
          <w:rFonts w:ascii="宋体" w:hAnsi="宋体" w:eastAsia="宋体"/>
          <w:sz w:val="24"/>
          <w:u w:val="single"/>
        </w:rPr>
      </w:pPr>
      <w:r>
        <w:rPr>
          <w:rFonts w:hint="eastAsia" w:ascii="宋体" w:hAnsi="宋体" w:eastAsia="宋体"/>
          <w:sz w:val="24"/>
        </w:rPr>
        <w:t>法定代表人签字：</w:t>
      </w:r>
      <w:r>
        <w:rPr>
          <w:rFonts w:hint="eastAsia" w:ascii="宋体" w:hAnsi="宋体" w:eastAsia="宋体"/>
          <w:sz w:val="24"/>
          <w:u w:val="single"/>
        </w:rPr>
        <w:t>　　　　　</w:t>
      </w:r>
    </w:p>
    <w:p>
      <w:pPr>
        <w:snapToGrid w:val="0"/>
        <w:spacing w:line="360" w:lineRule="auto"/>
        <w:ind w:firstLine="480" w:firstLineChars="200"/>
        <w:jc w:val="left"/>
        <w:rPr>
          <w:rFonts w:ascii="宋体" w:hAnsi="宋体"/>
          <w:sz w:val="24"/>
        </w:rPr>
      </w:pPr>
      <w:r>
        <w:rPr>
          <w:rFonts w:hint="eastAsia" w:ascii="宋体" w:hAnsi="宋体"/>
          <w:sz w:val="24"/>
        </w:rPr>
        <w:t>投标人公章：年月日</w:t>
      </w:r>
    </w:p>
    <w:p>
      <w:pPr>
        <w:snapToGrid w:val="0"/>
        <w:spacing w:line="360" w:lineRule="auto"/>
        <w:ind w:firstLine="480" w:firstLineChars="200"/>
        <w:jc w:val="left"/>
        <w:rPr>
          <w:rFonts w:ascii="仿宋_GB2312" w:eastAsia="仿宋_GB2312"/>
          <w:sz w:val="24"/>
        </w:rPr>
      </w:pPr>
    </w:p>
    <w:p>
      <w:pPr>
        <w:snapToGrid w:val="0"/>
        <w:spacing w:line="360" w:lineRule="auto"/>
        <w:jc w:val="left"/>
        <w:rPr>
          <w:rFonts w:ascii="宋体" w:hAnsi="宋体"/>
          <w:sz w:val="24"/>
        </w:rPr>
        <w:sectPr>
          <w:pgSz w:w="16838" w:h="11906" w:orient="landscape"/>
          <w:pgMar w:top="1797" w:right="1474" w:bottom="1797" w:left="1247" w:header="851" w:footer="851" w:gutter="0"/>
          <w:cols w:space="720" w:num="1"/>
          <w:docGrid w:linePitch="312" w:charSpace="0"/>
        </w:sectPr>
      </w:pPr>
    </w:p>
    <w:p>
      <w:pPr>
        <w:snapToGrid w:val="0"/>
        <w:spacing w:line="360" w:lineRule="auto"/>
        <w:jc w:val="left"/>
        <w:rPr>
          <w:rFonts w:ascii="宋体" w:hAnsi="宋体"/>
          <w:sz w:val="24"/>
          <w:szCs w:val="20"/>
        </w:rPr>
      </w:pPr>
      <w:r>
        <w:rPr>
          <w:rFonts w:hint="eastAsia" w:ascii="宋体" w:hAnsi="宋体"/>
          <w:sz w:val="24"/>
        </w:rPr>
        <w:t>22.主要设备原厂商对本项目的质保函和售后服务承诺书（如有，格式可自拟）：</w:t>
      </w:r>
    </w:p>
    <w:p>
      <w:pPr>
        <w:snapToGrid w:val="0"/>
        <w:spacing w:line="360" w:lineRule="auto"/>
        <w:jc w:val="center"/>
        <w:rPr>
          <w:rFonts w:ascii="宋体" w:hAnsi="宋体"/>
          <w:sz w:val="24"/>
          <w:szCs w:val="20"/>
        </w:rPr>
      </w:pPr>
      <w:r>
        <w:rPr>
          <w:rFonts w:hint="eastAsia" w:ascii="宋体" w:hAnsi="宋体"/>
          <w:sz w:val="24"/>
        </w:rPr>
        <w:t>原厂商售后服务承诺书</w:t>
      </w:r>
    </w:p>
    <w:p>
      <w:pPr>
        <w:snapToGrid w:val="0"/>
        <w:spacing w:line="360" w:lineRule="auto"/>
        <w:rPr>
          <w:rFonts w:ascii="宋体" w:hAnsi="宋体"/>
          <w:sz w:val="24"/>
          <w:szCs w:val="20"/>
        </w:rPr>
      </w:pPr>
      <w:r>
        <w:rPr>
          <w:rFonts w:hint="eastAsia" w:ascii="宋体" w:hAnsi="宋体"/>
          <w:sz w:val="24"/>
        </w:rPr>
        <w:t>致：（招标采购单位名称）：</w:t>
      </w:r>
    </w:p>
    <w:p>
      <w:pPr>
        <w:snapToGrid w:val="0"/>
        <w:spacing w:line="360" w:lineRule="auto"/>
        <w:ind w:firstLine="480"/>
        <w:jc w:val="left"/>
        <w:rPr>
          <w:rFonts w:ascii="宋体" w:hAnsi="宋体"/>
          <w:sz w:val="24"/>
          <w:szCs w:val="20"/>
        </w:rPr>
      </w:pPr>
      <w:r>
        <w:rPr>
          <w:rFonts w:hint="eastAsia" w:ascii="宋体" w:hAnsi="宋体"/>
          <w:sz w:val="24"/>
        </w:rPr>
        <w:t>我们（制造商或者进口机电产品的国内总代理商名称）是按（国家名称）法律成立的一家公司，主要营业地址设</w:t>
      </w:r>
    </w:p>
    <w:p>
      <w:pPr>
        <w:snapToGrid w:val="0"/>
        <w:spacing w:line="360" w:lineRule="auto"/>
        <w:jc w:val="left"/>
        <w:rPr>
          <w:rFonts w:ascii="宋体" w:hAnsi="宋体"/>
          <w:sz w:val="24"/>
          <w:szCs w:val="20"/>
        </w:rPr>
      </w:pPr>
      <w:r>
        <w:rPr>
          <w:rFonts w:hint="eastAsia" w:ascii="宋体" w:hAnsi="宋体"/>
          <w:sz w:val="24"/>
        </w:rPr>
        <w:t>在。兹指派按（国家名称）法律成立的、主要营业地址在的（投标人名称）作为我方真正的和合法的代理人进行下列有效活动：</w:t>
      </w:r>
    </w:p>
    <w:p>
      <w:pPr>
        <w:snapToGrid w:val="0"/>
        <w:spacing w:line="360" w:lineRule="auto"/>
        <w:ind w:firstLine="480"/>
        <w:jc w:val="left"/>
        <w:rPr>
          <w:rFonts w:ascii="宋体" w:hAnsi="宋体"/>
          <w:sz w:val="24"/>
          <w:szCs w:val="20"/>
        </w:rPr>
      </w:pPr>
      <w:r>
        <w:rPr>
          <w:rFonts w:ascii="宋体" w:hAnsi="宋体"/>
          <w:sz w:val="24"/>
        </w:rPr>
        <w:t>1</w:t>
      </w:r>
      <w:r>
        <w:rPr>
          <w:rFonts w:hint="eastAsia" w:ascii="宋体" w:hAnsi="宋体"/>
          <w:sz w:val="24"/>
        </w:rPr>
        <w:t>.</w:t>
      </w:r>
      <w:r>
        <w:rPr>
          <w:rFonts w:ascii="宋体" w:hAnsi="宋体"/>
          <w:sz w:val="24"/>
        </w:rPr>
        <w:t>代</w:t>
      </w:r>
      <w:r>
        <w:rPr>
          <w:rFonts w:hint="eastAsia" w:ascii="宋体" w:hAnsi="宋体"/>
          <w:sz w:val="24"/>
        </w:rPr>
        <w:t>表我方办理贵方关于项目（招标编号：）要求采购的由我方制造</w:t>
      </w:r>
      <w:r>
        <w:rPr>
          <w:rFonts w:ascii="宋体" w:hAnsi="宋体"/>
          <w:sz w:val="24"/>
        </w:rPr>
        <w:t>/或进口的货物的有关事宜，并对我方具有约束力。</w:t>
      </w:r>
    </w:p>
    <w:p>
      <w:pPr>
        <w:pStyle w:val="2"/>
        <w:snapToGrid w:val="0"/>
        <w:spacing w:after="0" w:line="360" w:lineRule="auto"/>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作为原厂商，我方保证为本项目的组织实施、售后服务提供纯正的、专业化的技术支持</w:t>
      </w:r>
      <w:r>
        <w:rPr>
          <w:rFonts w:hint="eastAsia" w:ascii="宋体" w:hAnsi="宋体"/>
          <w:sz w:val="24"/>
        </w:rPr>
        <w:t>。</w:t>
      </w:r>
    </w:p>
    <w:p>
      <w:pPr>
        <w:snapToGrid w:val="0"/>
        <w:spacing w:line="360" w:lineRule="auto"/>
        <w:ind w:firstLine="480" w:firstLineChars="200"/>
        <w:rPr>
          <w:rFonts w:ascii="宋体" w:hAnsi="宋体"/>
          <w:sz w:val="24"/>
        </w:rPr>
      </w:pPr>
      <w:r>
        <w:rPr>
          <w:rFonts w:ascii="宋体" w:hAnsi="宋体"/>
          <w:sz w:val="24"/>
        </w:rPr>
        <w:t>3</w:t>
      </w:r>
      <w:r>
        <w:rPr>
          <w:rFonts w:hint="eastAsia" w:ascii="宋体" w:hAnsi="宋体"/>
          <w:sz w:val="24"/>
        </w:rPr>
        <w:t>.我方此次向贵方提供的产品名称为：；规格型号：；我方保证：该产品既非试验产品也非积压产品，而是于年达产的成熟产品，且生产（完工）日期不早于</w:t>
      </w:r>
    </w:p>
    <w:p>
      <w:pPr>
        <w:snapToGrid w:val="0"/>
        <w:spacing w:line="360" w:lineRule="auto"/>
        <w:rPr>
          <w:rFonts w:ascii="宋体" w:hAnsi="宋体"/>
          <w:sz w:val="24"/>
          <w:szCs w:val="20"/>
        </w:rPr>
      </w:pPr>
      <w:r>
        <w:rPr>
          <w:rFonts w:hint="eastAsia" w:ascii="宋体" w:hAnsi="宋体"/>
          <w:sz w:val="24"/>
        </w:rPr>
        <w:t>年月；在可以预见的（天）内，我方没有对该型号产品进行升级、停产、淘汰的计划。</w:t>
      </w:r>
    </w:p>
    <w:p>
      <w:pPr>
        <w:snapToGrid w:val="0"/>
        <w:spacing w:line="360" w:lineRule="auto"/>
        <w:ind w:firstLine="480"/>
        <w:jc w:val="left"/>
        <w:rPr>
          <w:rFonts w:ascii="宋体" w:hAnsi="宋体"/>
          <w:sz w:val="24"/>
          <w:szCs w:val="20"/>
        </w:rPr>
      </w:pPr>
      <w:r>
        <w:rPr>
          <w:rFonts w:ascii="宋体" w:hAnsi="宋体"/>
          <w:sz w:val="24"/>
        </w:rPr>
        <w:t>4</w:t>
      </w:r>
      <w:r>
        <w:rPr>
          <w:rFonts w:hint="eastAsia" w:ascii="宋体" w:hAnsi="宋体"/>
          <w:sz w:val="24"/>
        </w:rPr>
        <w:t>.</w:t>
      </w:r>
      <w:r>
        <w:rPr>
          <w:rFonts w:ascii="宋体" w:hAnsi="宋体"/>
          <w:sz w:val="24"/>
        </w:rPr>
        <w:t>我方该型号产品的市场销售情况良好，最近实施（完工）的同类项目有：</w:t>
      </w:r>
    </w:p>
    <w:tbl>
      <w:tblPr>
        <w:tblStyle w:val="4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900"/>
        <w:gridCol w:w="720"/>
        <w:gridCol w:w="1440"/>
        <w:gridCol w:w="1260"/>
        <w:gridCol w:w="9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6" w:hRule="atLeast"/>
        </w:trPr>
        <w:tc>
          <w:tcPr>
            <w:tcW w:w="154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rPr>
              <w:t>采购单位</w:t>
            </w:r>
          </w:p>
          <w:p>
            <w:pPr>
              <w:snapToGrid w:val="0"/>
              <w:spacing w:line="360" w:lineRule="auto"/>
              <w:jc w:val="center"/>
              <w:rPr>
                <w:rFonts w:ascii="宋体" w:hAnsi="宋体"/>
                <w:sz w:val="24"/>
                <w:szCs w:val="20"/>
              </w:rPr>
            </w:pPr>
            <w:r>
              <w:rPr>
                <w:rFonts w:hint="eastAsia" w:ascii="宋体" w:hAnsi="宋体"/>
                <w:sz w:val="24"/>
              </w:rPr>
              <w:t>名称</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rPr>
              <w:t>采购</w:t>
            </w:r>
          </w:p>
          <w:p>
            <w:pPr>
              <w:snapToGrid w:val="0"/>
              <w:spacing w:line="360" w:lineRule="auto"/>
              <w:jc w:val="center"/>
              <w:rPr>
                <w:rFonts w:ascii="宋体" w:hAnsi="宋体"/>
                <w:sz w:val="24"/>
                <w:szCs w:val="20"/>
              </w:rPr>
            </w:pPr>
            <w:r>
              <w:rPr>
                <w:rFonts w:hint="eastAsia" w:ascii="宋体" w:hAnsi="宋体"/>
                <w:sz w:val="24"/>
              </w:rPr>
              <w:t>数量</w:t>
            </w:r>
          </w:p>
        </w:tc>
        <w:tc>
          <w:tcPr>
            <w:tcW w:w="72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rPr>
              <w:t>单价</w:t>
            </w:r>
          </w:p>
          <w:p>
            <w:pPr>
              <w:snapToGrid w:val="0"/>
              <w:spacing w:line="360" w:lineRule="auto"/>
              <w:jc w:val="center"/>
              <w:rPr>
                <w:rFonts w:ascii="宋体" w:hAnsi="宋体"/>
                <w:sz w:val="24"/>
                <w:szCs w:val="20"/>
              </w:rPr>
            </w:pP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rPr>
              <w:t>合同金额</w:t>
            </w:r>
          </w:p>
          <w:p>
            <w:pPr>
              <w:snapToGrid w:val="0"/>
              <w:spacing w:line="360" w:lineRule="auto"/>
              <w:jc w:val="center"/>
              <w:rPr>
                <w:rFonts w:ascii="宋体" w:hAnsi="宋体"/>
                <w:sz w:val="24"/>
                <w:szCs w:val="20"/>
              </w:rPr>
            </w:pPr>
            <w:r>
              <w:rPr>
                <w:rFonts w:hint="eastAsia" w:ascii="宋体" w:hAnsi="宋体"/>
                <w:sz w:val="24"/>
              </w:rPr>
              <w:t>（万元）</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rPr>
              <w:t>合同签订</w:t>
            </w:r>
          </w:p>
          <w:p>
            <w:pPr>
              <w:snapToGrid w:val="0"/>
              <w:spacing w:line="360" w:lineRule="auto"/>
              <w:jc w:val="center"/>
              <w:rPr>
                <w:rFonts w:ascii="宋体" w:hAnsi="宋体"/>
                <w:sz w:val="24"/>
                <w:szCs w:val="20"/>
              </w:rPr>
            </w:pPr>
            <w:r>
              <w:rPr>
                <w:rFonts w:hint="eastAsia" w:ascii="宋体" w:hAnsi="宋体"/>
                <w:sz w:val="24"/>
              </w:rPr>
              <w:t>日期</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rPr>
              <w:t>验收</w:t>
            </w:r>
          </w:p>
          <w:p>
            <w:pPr>
              <w:snapToGrid w:val="0"/>
              <w:spacing w:line="360" w:lineRule="auto"/>
              <w:jc w:val="center"/>
              <w:rPr>
                <w:rFonts w:ascii="宋体" w:hAnsi="宋体"/>
                <w:sz w:val="24"/>
                <w:szCs w:val="20"/>
              </w:rPr>
            </w:pPr>
            <w:r>
              <w:rPr>
                <w:rFonts w:hint="eastAsia" w:ascii="宋体" w:hAnsi="宋体"/>
                <w:sz w:val="24"/>
              </w:rPr>
              <w:t>日期</w:t>
            </w:r>
          </w:p>
        </w:tc>
        <w:tc>
          <w:tcPr>
            <w:tcW w:w="180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rPr>
              <w:t>联系人及</w:t>
            </w:r>
          </w:p>
          <w:p>
            <w:pPr>
              <w:snapToGrid w:val="0"/>
              <w:spacing w:line="360" w:lineRule="auto"/>
              <w:jc w:val="center"/>
              <w:rPr>
                <w:rFonts w:ascii="宋体" w:hAnsi="宋体"/>
                <w:sz w:val="24"/>
                <w:szCs w:val="20"/>
              </w:rPr>
            </w:pPr>
            <w:r>
              <w:rPr>
                <w:rFonts w:hint="eastAsia" w:ascii="宋体" w:hAnsi="宋体"/>
                <w:sz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trPr>
        <w:tc>
          <w:tcPr>
            <w:tcW w:w="15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548"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p>
            <w:pPr>
              <w:snapToGrid w:val="0"/>
              <w:spacing w:line="360" w:lineRule="auto"/>
              <w:jc w:val="left"/>
              <w:rPr>
                <w:rFonts w:ascii="宋体" w:hAnsi="宋体"/>
                <w:sz w:val="24"/>
                <w:szCs w:val="20"/>
              </w:rPr>
            </w:pPr>
          </w:p>
        </w:tc>
        <w:tc>
          <w:tcPr>
            <w:tcW w:w="90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90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p>
            <w:pPr>
              <w:snapToGrid w:val="0"/>
              <w:spacing w:line="360" w:lineRule="auto"/>
              <w:jc w:val="left"/>
              <w:rPr>
                <w:rFonts w:ascii="宋体" w:hAnsi="宋体"/>
                <w:sz w:val="24"/>
                <w:szCs w:val="20"/>
              </w:rPr>
            </w:pPr>
          </w:p>
        </w:tc>
        <w:tc>
          <w:tcPr>
            <w:tcW w:w="90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90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548"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p>
            <w:pPr>
              <w:snapToGrid w:val="0"/>
              <w:spacing w:line="360" w:lineRule="auto"/>
              <w:jc w:val="left"/>
              <w:rPr>
                <w:rFonts w:ascii="宋体" w:hAnsi="宋体"/>
                <w:sz w:val="24"/>
                <w:szCs w:val="20"/>
              </w:rPr>
            </w:pPr>
          </w:p>
        </w:tc>
        <w:tc>
          <w:tcPr>
            <w:tcW w:w="90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90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r>
    </w:tbl>
    <w:p>
      <w:pPr>
        <w:snapToGrid w:val="0"/>
        <w:spacing w:line="360" w:lineRule="auto"/>
        <w:ind w:firstLine="480" w:firstLineChars="200"/>
        <w:jc w:val="left"/>
        <w:rPr>
          <w:rFonts w:ascii="宋体" w:hAnsi="宋体"/>
          <w:sz w:val="24"/>
          <w:szCs w:val="20"/>
        </w:rPr>
      </w:pPr>
      <w:r>
        <w:rPr>
          <w:rFonts w:ascii="宋体" w:hAnsi="宋体"/>
          <w:sz w:val="24"/>
        </w:rPr>
        <w:t>5</w:t>
      </w:r>
      <w:r>
        <w:rPr>
          <w:rFonts w:hint="eastAsia" w:ascii="宋体" w:hAnsi="宋体"/>
          <w:sz w:val="24"/>
        </w:rPr>
        <w:t>.</w:t>
      </w:r>
      <w:r>
        <w:rPr>
          <w:rFonts w:ascii="宋体" w:hAnsi="宋体"/>
          <w:sz w:val="24"/>
        </w:rPr>
        <w:t>我方诚意提请贵方关注：有关该型号产品的</w:t>
      </w:r>
      <w:r>
        <w:rPr>
          <w:rFonts w:hint="eastAsia" w:ascii="宋体" w:hAnsi="宋体"/>
          <w:sz w:val="24"/>
        </w:rPr>
        <w:t>生产、供货、售后服务以及性能等方面的重大决策和事项有：</w:t>
      </w:r>
    </w:p>
    <w:p>
      <w:pPr>
        <w:snapToGrid w:val="0"/>
        <w:spacing w:line="360" w:lineRule="auto"/>
        <w:ind w:firstLine="480" w:firstLineChars="200"/>
        <w:rPr>
          <w:rFonts w:ascii="宋体" w:hAnsi="宋体"/>
          <w:sz w:val="24"/>
          <w:szCs w:val="20"/>
          <w:u w:val="single"/>
        </w:rPr>
      </w:pPr>
      <w:r>
        <w:rPr>
          <w:rFonts w:hint="eastAsia" w:ascii="宋体" w:hAnsi="宋体"/>
          <w:sz w:val="24"/>
          <w:u w:val="single"/>
        </w:rPr>
        <w:t>　　　　　　　　　　　　　　　　　　　　　　　　　　　</w:t>
      </w:r>
    </w:p>
    <w:p>
      <w:pPr>
        <w:snapToGrid w:val="0"/>
        <w:spacing w:line="360" w:lineRule="auto"/>
        <w:ind w:firstLine="480" w:firstLineChars="200"/>
        <w:rPr>
          <w:rFonts w:ascii="宋体" w:hAnsi="宋体"/>
          <w:sz w:val="24"/>
          <w:szCs w:val="20"/>
          <w:u w:val="single"/>
        </w:rPr>
      </w:pPr>
      <w:r>
        <w:rPr>
          <w:rFonts w:hint="eastAsia" w:ascii="宋体" w:hAnsi="宋体"/>
          <w:sz w:val="24"/>
          <w:u w:val="single"/>
        </w:rPr>
        <w:t>　　　　　　　　　　　　　　　　　　　　　　　　　　　</w:t>
      </w:r>
    </w:p>
    <w:p>
      <w:pPr>
        <w:snapToGrid w:val="0"/>
        <w:spacing w:line="360" w:lineRule="auto"/>
        <w:ind w:firstLine="480" w:firstLineChars="200"/>
        <w:jc w:val="left"/>
        <w:rPr>
          <w:rFonts w:ascii="宋体" w:hAnsi="宋体"/>
          <w:sz w:val="24"/>
          <w:szCs w:val="20"/>
        </w:rPr>
      </w:pPr>
      <w:r>
        <w:rPr>
          <w:rFonts w:hint="eastAsia" w:ascii="宋体" w:hAnsi="宋体"/>
          <w:sz w:val="24"/>
        </w:rPr>
        <w:t>6.我方同意按照贵方要求提供与投标有关的一切数据或资料。</w:t>
      </w:r>
    </w:p>
    <w:p>
      <w:pPr>
        <w:pStyle w:val="31"/>
        <w:snapToGrid w:val="0"/>
        <w:spacing w:line="360" w:lineRule="auto"/>
        <w:ind w:left="315" w:leftChars="150" w:firstLine="240" w:firstLineChars="100"/>
        <w:rPr>
          <w:rFonts w:ascii="宋体" w:hAnsi="宋体"/>
          <w:sz w:val="24"/>
        </w:rPr>
      </w:pPr>
      <w:r>
        <w:rPr>
          <w:rFonts w:hint="eastAsia" w:ascii="宋体" w:hAnsi="宋体"/>
          <w:sz w:val="24"/>
        </w:rPr>
        <w:t>法定代表人签字：</w:t>
      </w:r>
    </w:p>
    <w:p>
      <w:pPr>
        <w:snapToGrid w:val="0"/>
        <w:spacing w:line="360" w:lineRule="auto"/>
        <w:ind w:firstLine="480" w:firstLineChars="200"/>
        <w:jc w:val="left"/>
        <w:rPr>
          <w:rFonts w:ascii="宋体" w:hAnsi="宋体"/>
          <w:sz w:val="24"/>
        </w:rPr>
      </w:pPr>
      <w:r>
        <w:rPr>
          <w:rFonts w:hint="eastAsia" w:ascii="宋体" w:hAnsi="宋体"/>
          <w:sz w:val="24"/>
        </w:rPr>
        <w:t>单位公章：年月日</w:t>
      </w:r>
    </w:p>
    <w:p>
      <w:pPr>
        <w:snapToGrid w:val="0"/>
        <w:spacing w:line="360" w:lineRule="auto"/>
        <w:jc w:val="left"/>
        <w:rPr>
          <w:rFonts w:ascii="宋体" w:hAnsi="宋体"/>
          <w:i/>
          <w:sz w:val="24"/>
        </w:rPr>
      </w:pPr>
      <w:r>
        <w:rPr>
          <w:rFonts w:hint="eastAsia" w:ascii="宋体" w:hAnsi="宋体"/>
          <w:sz w:val="24"/>
        </w:rPr>
        <w:t>23.距采购人最近或者能为本项目提供最优服务的网点情况表</w:t>
      </w:r>
    </w:p>
    <w:tbl>
      <w:tblPr>
        <w:tblStyle w:val="4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1622"/>
        <w:gridCol w:w="191"/>
        <w:gridCol w:w="1439"/>
        <w:gridCol w:w="888"/>
        <w:gridCol w:w="1435"/>
        <w:gridCol w:w="12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r>
              <w:rPr>
                <w:rFonts w:hint="eastAsia" w:ascii="宋体" w:hAnsi="宋体"/>
                <w:sz w:val="24"/>
              </w:rPr>
              <w:t>服务网点名称</w:t>
            </w:r>
          </w:p>
        </w:tc>
        <w:tc>
          <w:tcPr>
            <w:tcW w:w="5575" w:type="dxa"/>
            <w:gridSpan w:val="5"/>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227" w:type="dxa"/>
            <w:vMerge w:val="restart"/>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r>
              <w:rPr>
                <w:rFonts w:hint="eastAsia" w:ascii="宋体" w:hAnsi="宋体"/>
                <w:sz w:val="24"/>
              </w:rPr>
              <w:t>投标文件</w:t>
            </w:r>
          </w:p>
          <w:p>
            <w:pPr>
              <w:snapToGrid w:val="0"/>
              <w:spacing w:line="360" w:lineRule="auto"/>
              <w:jc w:val="center"/>
              <w:rPr>
                <w:rFonts w:ascii="宋体" w:hAnsi="宋体"/>
                <w:sz w:val="24"/>
                <w:szCs w:val="20"/>
              </w:rPr>
            </w:pPr>
            <w:r>
              <w:rPr>
                <w:rFonts w:hint="eastAsia" w:ascii="宋体" w:hAnsi="宋体"/>
                <w:sz w:val="24"/>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Pr>
        <w:tc>
          <w:tcPr>
            <w:tcW w:w="1726"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r>
              <w:rPr>
                <w:rFonts w:hint="eastAsia" w:ascii="宋体" w:hAnsi="宋体"/>
                <w:sz w:val="24"/>
              </w:rPr>
              <w:t>地址</w:t>
            </w:r>
          </w:p>
        </w:tc>
        <w:tc>
          <w:tcPr>
            <w:tcW w:w="5575" w:type="dxa"/>
            <w:gridSpan w:val="5"/>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22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r>
              <w:rPr>
                <w:rFonts w:hint="eastAsia" w:ascii="宋体" w:hAnsi="宋体"/>
                <w:sz w:val="24"/>
              </w:rPr>
              <w:t>注册资本金</w:t>
            </w:r>
          </w:p>
        </w:tc>
        <w:tc>
          <w:tcPr>
            <w:tcW w:w="1622"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2518" w:type="dxa"/>
            <w:gridSpan w:val="3"/>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r>
              <w:rPr>
                <w:rFonts w:hint="eastAsia" w:ascii="宋体" w:hAnsi="宋体"/>
                <w:sz w:val="24"/>
              </w:rPr>
              <w:t>其中：投标人出资比例</w:t>
            </w:r>
          </w:p>
        </w:tc>
        <w:tc>
          <w:tcPr>
            <w:tcW w:w="1435"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227"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726"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r>
              <w:rPr>
                <w:rFonts w:hint="eastAsia" w:ascii="宋体" w:hAnsi="宋体"/>
                <w:sz w:val="24"/>
              </w:rPr>
              <w:t>员工总人数</w:t>
            </w:r>
          </w:p>
        </w:tc>
        <w:tc>
          <w:tcPr>
            <w:tcW w:w="1622"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2518" w:type="dxa"/>
            <w:gridSpan w:val="3"/>
            <w:tcBorders>
              <w:top w:val="single" w:color="auto" w:sz="4" w:space="0"/>
              <w:left w:val="single" w:color="auto" w:sz="4" w:space="0"/>
              <w:bottom w:val="single" w:color="auto" w:sz="4" w:space="0"/>
              <w:right w:val="single" w:color="auto" w:sz="4" w:space="0"/>
            </w:tcBorders>
          </w:tcPr>
          <w:p>
            <w:pPr>
              <w:snapToGrid w:val="0"/>
              <w:spacing w:line="360" w:lineRule="auto"/>
              <w:ind w:left="60"/>
              <w:jc w:val="left"/>
              <w:rPr>
                <w:rFonts w:ascii="宋体" w:hAnsi="宋体"/>
                <w:sz w:val="24"/>
                <w:szCs w:val="20"/>
              </w:rPr>
            </w:pPr>
            <w:r>
              <w:rPr>
                <w:rFonts w:hint="eastAsia" w:ascii="宋体" w:hAnsi="宋体"/>
                <w:sz w:val="24"/>
              </w:rPr>
              <w:t>其中：技术人员数</w:t>
            </w:r>
          </w:p>
        </w:tc>
        <w:tc>
          <w:tcPr>
            <w:tcW w:w="1435"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227"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r>
              <w:rPr>
                <w:rFonts w:hint="eastAsia" w:ascii="宋体" w:hAnsi="宋体"/>
                <w:sz w:val="24"/>
              </w:rPr>
              <w:t>经营期限</w:t>
            </w:r>
          </w:p>
        </w:tc>
        <w:tc>
          <w:tcPr>
            <w:tcW w:w="5575" w:type="dxa"/>
            <w:gridSpan w:val="5"/>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227"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726"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r>
              <w:rPr>
                <w:rFonts w:hint="eastAsia" w:ascii="宋体" w:hAnsi="宋体"/>
                <w:sz w:val="24"/>
              </w:rPr>
              <w:t>售后服务协议</w:t>
            </w:r>
          </w:p>
        </w:tc>
        <w:tc>
          <w:tcPr>
            <w:tcW w:w="5575" w:type="dxa"/>
            <w:gridSpan w:val="5"/>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227"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r>
              <w:rPr>
                <w:rFonts w:hint="eastAsia" w:ascii="宋体" w:hAnsi="宋体"/>
                <w:sz w:val="24"/>
              </w:rPr>
              <w:t>售后服务内容</w:t>
            </w:r>
          </w:p>
        </w:tc>
        <w:tc>
          <w:tcPr>
            <w:tcW w:w="5575" w:type="dxa"/>
            <w:gridSpan w:val="5"/>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227"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726"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r>
              <w:rPr>
                <w:rFonts w:hint="eastAsia" w:ascii="宋体" w:hAnsi="宋体"/>
                <w:sz w:val="24"/>
              </w:rPr>
              <w:t>工作业绩</w:t>
            </w:r>
          </w:p>
        </w:tc>
        <w:tc>
          <w:tcPr>
            <w:tcW w:w="5575" w:type="dxa"/>
            <w:gridSpan w:val="5"/>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227"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r>
              <w:rPr>
                <w:rFonts w:hint="eastAsia" w:ascii="宋体" w:hAnsi="宋体"/>
                <w:sz w:val="24"/>
              </w:rPr>
              <w:t>服务承诺</w:t>
            </w:r>
          </w:p>
        </w:tc>
        <w:tc>
          <w:tcPr>
            <w:tcW w:w="5575" w:type="dxa"/>
            <w:gridSpan w:val="5"/>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227"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726"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r>
              <w:rPr>
                <w:rFonts w:hint="eastAsia" w:ascii="宋体" w:hAnsi="宋体"/>
                <w:sz w:val="24"/>
              </w:rPr>
              <w:t>业务咨询电话</w:t>
            </w:r>
          </w:p>
        </w:tc>
        <w:tc>
          <w:tcPr>
            <w:tcW w:w="1813" w:type="dxa"/>
            <w:gridSpan w:val="2"/>
            <w:tcBorders>
              <w:top w:val="single" w:color="auto" w:sz="4" w:space="0"/>
              <w:left w:val="single" w:color="auto" w:sz="4" w:space="0"/>
              <w:bottom w:val="single" w:color="auto" w:sz="4" w:space="0"/>
              <w:right w:val="single" w:color="auto" w:sz="2" w:space="0"/>
            </w:tcBorders>
          </w:tcPr>
          <w:p>
            <w:pPr>
              <w:snapToGrid w:val="0"/>
              <w:spacing w:line="360" w:lineRule="auto"/>
              <w:jc w:val="left"/>
              <w:rPr>
                <w:rFonts w:ascii="宋体" w:hAnsi="宋体"/>
                <w:sz w:val="24"/>
                <w:szCs w:val="20"/>
              </w:rPr>
            </w:pPr>
          </w:p>
        </w:tc>
        <w:tc>
          <w:tcPr>
            <w:tcW w:w="1439" w:type="dxa"/>
            <w:tcBorders>
              <w:top w:val="single" w:color="auto" w:sz="4" w:space="0"/>
              <w:left w:val="single" w:color="auto" w:sz="2" w:space="0"/>
              <w:bottom w:val="single" w:color="auto" w:sz="4" w:space="0"/>
              <w:right w:val="single" w:color="auto" w:sz="2" w:space="0"/>
            </w:tcBorders>
          </w:tcPr>
          <w:p>
            <w:pPr>
              <w:snapToGrid w:val="0"/>
              <w:spacing w:line="360" w:lineRule="auto"/>
              <w:ind w:firstLine="240" w:firstLineChars="100"/>
              <w:jc w:val="left"/>
              <w:rPr>
                <w:rFonts w:ascii="宋体" w:hAnsi="宋体"/>
                <w:sz w:val="24"/>
                <w:szCs w:val="20"/>
              </w:rPr>
            </w:pPr>
            <w:r>
              <w:rPr>
                <w:rFonts w:hint="eastAsia" w:ascii="宋体" w:hAnsi="宋体"/>
                <w:sz w:val="24"/>
              </w:rPr>
              <w:t>传</w:t>
            </w:r>
            <w:r>
              <w:rPr>
                <w:rFonts w:ascii="宋体" w:hAnsi="宋体"/>
                <w:sz w:val="24"/>
              </w:rPr>
              <w:t xml:space="preserve"> 真</w:t>
            </w:r>
          </w:p>
        </w:tc>
        <w:tc>
          <w:tcPr>
            <w:tcW w:w="2323" w:type="dxa"/>
            <w:gridSpan w:val="2"/>
            <w:tcBorders>
              <w:top w:val="single" w:color="auto" w:sz="4" w:space="0"/>
              <w:left w:val="single" w:color="auto" w:sz="2" w:space="0"/>
              <w:bottom w:val="single" w:color="auto" w:sz="4" w:space="0"/>
              <w:right w:val="single" w:color="auto" w:sz="2" w:space="0"/>
            </w:tcBorders>
          </w:tcPr>
          <w:p>
            <w:pPr>
              <w:snapToGrid w:val="0"/>
              <w:spacing w:line="360" w:lineRule="auto"/>
              <w:jc w:val="left"/>
              <w:rPr>
                <w:rFonts w:ascii="宋体" w:hAnsi="宋体"/>
                <w:sz w:val="24"/>
                <w:szCs w:val="20"/>
              </w:rPr>
            </w:pPr>
          </w:p>
        </w:tc>
        <w:tc>
          <w:tcPr>
            <w:tcW w:w="1227" w:type="dxa"/>
            <w:tcBorders>
              <w:top w:val="single" w:color="auto" w:sz="4" w:space="0"/>
              <w:left w:val="single" w:color="auto" w:sz="2" w:space="0"/>
              <w:bottom w:val="single" w:color="auto" w:sz="4" w:space="0"/>
              <w:right w:val="single" w:color="auto" w:sz="4" w:space="0"/>
            </w:tcBorders>
          </w:tcPr>
          <w:p>
            <w:pPr>
              <w:snapToGrid w:val="0"/>
              <w:spacing w:line="360" w:lineRule="auto"/>
              <w:jc w:val="left"/>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r>
              <w:rPr>
                <w:rFonts w:hint="eastAsia" w:ascii="宋体" w:hAnsi="宋体"/>
                <w:sz w:val="24"/>
              </w:rPr>
              <w:t>负责人</w:t>
            </w:r>
          </w:p>
        </w:tc>
        <w:tc>
          <w:tcPr>
            <w:tcW w:w="1813" w:type="dxa"/>
            <w:gridSpan w:val="2"/>
            <w:tcBorders>
              <w:top w:val="single" w:color="auto" w:sz="4" w:space="0"/>
              <w:left w:val="single" w:color="auto" w:sz="4" w:space="0"/>
              <w:bottom w:val="single" w:color="auto" w:sz="4" w:space="0"/>
              <w:right w:val="single" w:color="auto" w:sz="2" w:space="0"/>
            </w:tcBorders>
          </w:tcPr>
          <w:p>
            <w:pPr>
              <w:snapToGrid w:val="0"/>
              <w:spacing w:line="360" w:lineRule="auto"/>
              <w:jc w:val="left"/>
              <w:rPr>
                <w:rFonts w:ascii="宋体" w:hAnsi="宋体"/>
                <w:sz w:val="24"/>
                <w:szCs w:val="20"/>
              </w:rPr>
            </w:pPr>
          </w:p>
        </w:tc>
        <w:tc>
          <w:tcPr>
            <w:tcW w:w="1439" w:type="dxa"/>
            <w:tcBorders>
              <w:top w:val="single" w:color="auto" w:sz="4" w:space="0"/>
              <w:left w:val="single" w:color="auto" w:sz="2" w:space="0"/>
              <w:bottom w:val="single" w:color="auto" w:sz="4" w:space="0"/>
              <w:right w:val="single" w:color="auto" w:sz="2" w:space="0"/>
            </w:tcBorders>
          </w:tcPr>
          <w:p>
            <w:pPr>
              <w:snapToGrid w:val="0"/>
              <w:spacing w:line="360" w:lineRule="auto"/>
              <w:jc w:val="left"/>
              <w:rPr>
                <w:rFonts w:ascii="宋体" w:hAnsi="宋体"/>
                <w:sz w:val="24"/>
                <w:szCs w:val="20"/>
              </w:rPr>
            </w:pPr>
            <w:r>
              <w:rPr>
                <w:rFonts w:hint="eastAsia" w:ascii="宋体" w:hAnsi="宋体"/>
                <w:sz w:val="24"/>
              </w:rPr>
              <w:t>联系电话</w:t>
            </w:r>
          </w:p>
        </w:tc>
        <w:tc>
          <w:tcPr>
            <w:tcW w:w="2323" w:type="dxa"/>
            <w:gridSpan w:val="2"/>
            <w:tcBorders>
              <w:top w:val="single" w:color="auto" w:sz="4" w:space="0"/>
              <w:left w:val="single" w:color="auto" w:sz="2"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227"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r>
    </w:tbl>
    <w:p>
      <w:pPr>
        <w:pStyle w:val="16"/>
        <w:snapToGrid w:val="0"/>
        <w:spacing w:before="0" w:after="0" w:line="360" w:lineRule="auto"/>
        <w:rPr>
          <w:rFonts w:ascii="宋体" w:hAnsi="宋体" w:eastAsia="宋体"/>
          <w:sz w:val="24"/>
          <w:u w:val="single"/>
        </w:rPr>
      </w:pPr>
      <w:r>
        <w:rPr>
          <w:rFonts w:hint="eastAsia" w:ascii="宋体" w:hAnsi="宋体" w:eastAsia="宋体"/>
          <w:sz w:val="24"/>
        </w:rPr>
        <w:t>授权代表签字：</w:t>
      </w:r>
      <w:r>
        <w:rPr>
          <w:rFonts w:hint="eastAsia" w:ascii="宋体" w:hAnsi="宋体" w:eastAsia="宋体"/>
          <w:sz w:val="24"/>
          <w:u w:val="single"/>
        </w:rPr>
        <w:t>　　　　　</w:t>
      </w:r>
    </w:p>
    <w:p>
      <w:pPr>
        <w:pStyle w:val="2"/>
        <w:snapToGrid w:val="0"/>
        <w:spacing w:after="0" w:line="360" w:lineRule="auto"/>
        <w:rPr>
          <w:rFonts w:ascii="宋体" w:hAnsi="宋体"/>
          <w:sz w:val="24"/>
        </w:rPr>
      </w:pPr>
      <w:r>
        <w:rPr>
          <w:rFonts w:hint="eastAsia" w:ascii="宋体" w:hAnsi="宋体"/>
          <w:sz w:val="24"/>
        </w:rPr>
        <w:t>投标人公章：　 年月　 日</w:t>
      </w:r>
    </w:p>
    <w:p>
      <w:pPr>
        <w:pStyle w:val="2"/>
      </w:pPr>
    </w:p>
    <w:p>
      <w:pPr>
        <w:snapToGrid w:val="0"/>
        <w:spacing w:line="360" w:lineRule="auto"/>
        <w:jc w:val="left"/>
        <w:rPr>
          <w:rFonts w:ascii="宋体" w:hAnsi="宋体"/>
          <w:sz w:val="24"/>
        </w:rPr>
      </w:pPr>
      <w:r>
        <w:rPr>
          <w:rFonts w:hint="eastAsia" w:ascii="宋体" w:hAnsi="宋体"/>
          <w:sz w:val="24"/>
        </w:rPr>
        <w:t>24.投标人认为可以证明其能力或业绩的其他材料（格式自拟）</w:t>
      </w: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szCs w:val="20"/>
        </w:rPr>
      </w:pPr>
      <w:r>
        <w:rPr>
          <w:rFonts w:hint="eastAsia" w:ascii="宋体" w:hAnsi="宋体"/>
          <w:sz w:val="24"/>
        </w:rPr>
        <w:t>25.商务响应表格式：</w:t>
      </w:r>
    </w:p>
    <w:p>
      <w:pPr>
        <w:snapToGrid w:val="0"/>
        <w:spacing w:line="360" w:lineRule="auto"/>
        <w:jc w:val="left"/>
        <w:rPr>
          <w:rFonts w:ascii="宋体" w:hAnsi="宋体"/>
          <w:sz w:val="24"/>
          <w:szCs w:val="20"/>
          <w:u w:val="single"/>
        </w:rPr>
      </w:pPr>
      <w:r>
        <w:rPr>
          <w:rFonts w:hint="eastAsia" w:ascii="宋体" w:hAnsi="宋体"/>
          <w:sz w:val="24"/>
        </w:rPr>
        <w:t>项目名称：</w:t>
      </w:r>
    </w:p>
    <w:tbl>
      <w:tblPr>
        <w:tblStyle w:val="40"/>
        <w:tblW w:w="94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4"/>
        <w:gridCol w:w="5812"/>
        <w:gridCol w:w="850"/>
        <w:gridCol w:w="14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38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r>
              <w:rPr>
                <w:rFonts w:hint="eastAsia" w:ascii="宋体" w:hAnsi="宋体"/>
                <w:sz w:val="24"/>
              </w:rPr>
              <w:t>项目</w:t>
            </w:r>
          </w:p>
        </w:tc>
        <w:tc>
          <w:tcPr>
            <w:tcW w:w="5812"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r>
              <w:rPr>
                <w:rFonts w:hint="eastAsia" w:ascii="宋体" w:hAnsi="宋体"/>
                <w:sz w:val="24"/>
              </w:rPr>
              <w:t>招标文件要求</w:t>
            </w:r>
          </w:p>
        </w:tc>
        <w:tc>
          <w:tcPr>
            <w:tcW w:w="85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r>
              <w:rPr>
                <w:rFonts w:hint="eastAsia" w:ascii="宋体" w:hAnsi="宋体"/>
                <w:sz w:val="24"/>
              </w:rPr>
              <w:t>是否响应</w:t>
            </w:r>
          </w:p>
        </w:tc>
        <w:tc>
          <w:tcPr>
            <w:tcW w:w="1418"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r>
              <w:rPr>
                <w:rFonts w:hint="eastAsia" w:ascii="宋体" w:hAnsi="宋体"/>
                <w:sz w:val="24"/>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384"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cs="宋体"/>
                <w:kern w:val="0"/>
                <w:sz w:val="24"/>
              </w:rPr>
            </w:pPr>
            <w:r>
              <w:rPr>
                <w:rFonts w:hint="eastAsia" w:ascii="宋体" w:hAnsi="宋体" w:cs="宋体"/>
                <w:kern w:val="0"/>
                <w:sz w:val="24"/>
              </w:rPr>
              <w:t>质保期</w:t>
            </w:r>
          </w:p>
        </w:tc>
        <w:tc>
          <w:tcPr>
            <w:tcW w:w="5812"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cs="宋体"/>
                <w:kern w:val="0"/>
                <w:sz w:val="24"/>
              </w:rPr>
            </w:pPr>
            <w:r>
              <w:rPr>
                <w:rFonts w:hint="eastAsia" w:ascii="宋体" w:hAnsi="宋体" w:cs="宋体"/>
                <w:kern w:val="0"/>
                <w:sz w:val="24"/>
              </w:rPr>
              <w:t>▲验收合格后，质保期3年</w:t>
            </w:r>
          </w:p>
        </w:tc>
        <w:tc>
          <w:tcPr>
            <w:tcW w:w="85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3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售后服务要求</w:t>
            </w:r>
          </w:p>
        </w:tc>
        <w:tc>
          <w:tcPr>
            <w:tcW w:w="581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1.本项目须具备较强的本地化优质履约服务能力，以确保对用户方现场服务的快速响应及优质履约服务。 2.交货期（含安装调试）：合同签订后，在15个工作日内交货并安装；供货地点：用户指定安装地点。 3.本项目整体质保期为三年。在质保期内，中标人应负责对其提供的硬件及软件进行现场维修、损坏件更换，不收取额外费用，响应时间必须满足采购人工作正常运行的要求。 4.中标人在接到采购方报修服务请求后在2小时内到达现场提供服务，24小时内完成修复。超过24小时不能修复的需要提供备件进行更换。 5.中标人应对采购人的操作人员提供技术培训，使其能对硬件及软件进行日常操作和维护保养及能对一般故障进行维修。 6.供货、调试过程中发生的一切费用由中标人负责。 7.质量标准：符合我国国家有关技术规范要求和技术标准。8.其他问题双方友好协商解决。</w:t>
            </w:r>
          </w:p>
        </w:tc>
        <w:tc>
          <w:tcPr>
            <w:tcW w:w="85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sz w:val="24"/>
              </w:rPr>
            </w:pPr>
            <w:r>
              <w:rPr>
                <w:rFonts w:hint="eastAsia" w:ascii="宋体" w:hAnsi="宋体" w:cs="宋体"/>
                <w:kern w:val="0"/>
                <w:sz w:val="24"/>
              </w:rPr>
              <w:t>交货时间及实施地点</w:t>
            </w:r>
          </w:p>
        </w:tc>
        <w:tc>
          <w:tcPr>
            <w:tcW w:w="58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sz w:val="24"/>
              </w:rPr>
            </w:pPr>
            <w:r>
              <w:rPr>
                <w:rFonts w:hint="eastAsia" w:ascii="宋体" w:hAnsi="宋体" w:cs="宋体"/>
                <w:kern w:val="0"/>
                <w:sz w:val="24"/>
              </w:rPr>
              <w:t>▲交货时间：在合同签订后天15内交货并完成安装调试。</w:t>
            </w:r>
          </w:p>
          <w:p>
            <w:pPr>
              <w:widowControl/>
              <w:spacing w:line="360" w:lineRule="auto"/>
              <w:rPr>
                <w:rFonts w:ascii="宋体" w:hAnsi="宋体" w:cs="宋体"/>
                <w:kern w:val="0"/>
                <w:sz w:val="24"/>
              </w:rPr>
            </w:pPr>
            <w:r>
              <w:rPr>
                <w:rFonts w:hint="eastAsia" w:ascii="宋体" w:hAnsi="宋体" w:cs="宋体"/>
                <w:kern w:val="0"/>
                <w:sz w:val="24"/>
              </w:rPr>
              <w:t>实施地点：由采购人指定</w:t>
            </w:r>
          </w:p>
        </w:tc>
        <w:tc>
          <w:tcPr>
            <w:tcW w:w="850" w:type="dxa"/>
            <w:tcBorders>
              <w:top w:val="single" w:color="auto" w:sz="4" w:space="0"/>
              <w:left w:val="single" w:color="auto" w:sz="4" w:space="0"/>
              <w:bottom w:val="single" w:color="auto" w:sz="4" w:space="0"/>
              <w:right w:val="single" w:color="auto" w:sz="4" w:space="0"/>
            </w:tcBorders>
          </w:tcPr>
          <w:p>
            <w:pPr>
              <w:snapToGrid w:val="0"/>
              <w:spacing w:line="360" w:lineRule="auto"/>
              <w:ind w:left="43"/>
              <w:rPr>
                <w:rFonts w:ascii="宋体" w:hAnsi="宋体"/>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line="360" w:lineRule="auto"/>
              <w:ind w:left="43"/>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38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kern w:val="0"/>
                <w:sz w:val="24"/>
              </w:rPr>
            </w:pPr>
            <w:r>
              <w:rPr>
                <w:rFonts w:hint="eastAsia" w:ascii="宋体" w:hAnsi="宋体" w:cs="宋体"/>
                <w:kern w:val="0"/>
                <w:sz w:val="24"/>
              </w:rPr>
              <w:t>付款条件</w:t>
            </w:r>
          </w:p>
        </w:tc>
        <w:tc>
          <w:tcPr>
            <w:tcW w:w="581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kern w:val="0"/>
                <w:sz w:val="24"/>
              </w:rPr>
            </w:pPr>
            <w:r>
              <w:rPr>
                <w:rFonts w:hint="eastAsia" w:ascii="宋体" w:hAnsi="宋体" w:cs="宋体"/>
                <w:kern w:val="0"/>
                <w:sz w:val="24"/>
              </w:rPr>
              <w:t>▲根据《保障中小企业款项支付条例》</w:t>
            </w:r>
            <w:r>
              <w:rPr>
                <w:rFonts w:ascii="宋体" w:hAnsi="宋体" w:cs="宋体"/>
                <w:kern w:val="0"/>
                <w:sz w:val="24"/>
              </w:rPr>
              <w:t>、</w:t>
            </w:r>
            <w:r>
              <w:rPr>
                <w:rFonts w:hint="eastAsia" w:ascii="宋体" w:hAnsi="宋体" w:cs="宋体"/>
                <w:kern w:val="0"/>
                <w:sz w:val="24"/>
              </w:rPr>
              <w:t>省财政厅《关于坚决打赢疫情防控阻击战进一步做好政府采购资金支持企业发展工作的通知》（浙财采监【2020】3号）要求，制定如下付款方式：在合同签订后采购人在15个工作日内预付合同金额的的30%，余款安装调试完毕、验收合格后付清。</w:t>
            </w:r>
          </w:p>
        </w:tc>
        <w:tc>
          <w:tcPr>
            <w:tcW w:w="85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r>
    </w:tbl>
    <w:p>
      <w:pPr>
        <w:snapToGrid w:val="0"/>
        <w:spacing w:line="360" w:lineRule="auto"/>
        <w:jc w:val="left"/>
        <w:rPr>
          <w:rFonts w:ascii="宋体" w:hAnsi="宋体"/>
          <w:bCs/>
          <w:sz w:val="24"/>
        </w:rPr>
      </w:pPr>
    </w:p>
    <w:p>
      <w:pPr>
        <w:snapToGrid w:val="0"/>
        <w:spacing w:line="360" w:lineRule="auto"/>
        <w:jc w:val="left"/>
        <w:rPr>
          <w:rFonts w:ascii="宋体" w:hAnsi="宋体"/>
          <w:sz w:val="24"/>
        </w:rPr>
      </w:pPr>
      <w:r>
        <w:rPr>
          <w:rFonts w:hint="eastAsia" w:ascii="宋体" w:hAnsi="宋体"/>
          <w:bCs/>
          <w:sz w:val="24"/>
        </w:rPr>
        <w:t>26.</w:t>
      </w:r>
      <w:r>
        <w:rPr>
          <w:rFonts w:ascii="宋体" w:hAnsi="宋体"/>
          <w:sz w:val="24"/>
        </w:rPr>
        <w:t xml:space="preserve"> 售后服务的内容</w:t>
      </w:r>
      <w:r>
        <w:rPr>
          <w:rFonts w:hint="eastAsia" w:ascii="宋体" w:hAnsi="宋体"/>
          <w:sz w:val="24"/>
        </w:rPr>
        <w:t>、</w:t>
      </w:r>
      <w:r>
        <w:rPr>
          <w:rFonts w:ascii="宋体" w:hAnsi="宋体"/>
          <w:sz w:val="24"/>
        </w:rPr>
        <w:t>措施</w:t>
      </w:r>
      <w:r>
        <w:rPr>
          <w:rFonts w:hint="eastAsia" w:ascii="宋体" w:hAnsi="宋体"/>
          <w:sz w:val="24"/>
        </w:rPr>
        <w:t>、承诺（格式自拟）</w:t>
      </w: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pStyle w:val="2"/>
      </w:pPr>
    </w:p>
    <w:p>
      <w:pPr>
        <w:snapToGrid w:val="0"/>
        <w:spacing w:line="360" w:lineRule="auto"/>
        <w:jc w:val="left"/>
        <w:rPr>
          <w:rFonts w:ascii="宋体" w:hAnsi="宋体"/>
          <w:sz w:val="24"/>
          <w:szCs w:val="20"/>
        </w:rPr>
      </w:pPr>
      <w:r>
        <w:rPr>
          <w:rFonts w:hint="eastAsia" w:ascii="宋体" w:hAnsi="宋体"/>
          <w:sz w:val="24"/>
        </w:rPr>
        <w:t>27.</w:t>
      </w:r>
      <w:r>
        <w:rPr>
          <w:rFonts w:ascii="宋体" w:hAnsi="宋体"/>
          <w:sz w:val="24"/>
        </w:rPr>
        <w:t>优惠条件：投标人承诺给予招标人的各种优惠条件，包括售后服务、备品备件、专用耗材等方面的优惠</w:t>
      </w:r>
      <w:r>
        <w:rPr>
          <w:rFonts w:hint="eastAsia" w:ascii="宋体" w:hAnsi="宋体"/>
          <w:sz w:val="24"/>
        </w:rPr>
        <w:t>）（格式自拟）</w:t>
      </w:r>
    </w:p>
    <w:p>
      <w:pPr>
        <w:snapToGrid w:val="0"/>
        <w:spacing w:line="360" w:lineRule="auto"/>
        <w:rPr>
          <w:rFonts w:ascii="宋体" w:hAnsi="宋体"/>
          <w:sz w:val="24"/>
        </w:rPr>
      </w:pPr>
    </w:p>
    <w:p>
      <w:pPr>
        <w:pStyle w:val="2"/>
      </w:pPr>
    </w:p>
    <w:p>
      <w:pPr>
        <w:pStyle w:val="3"/>
      </w:pPr>
    </w:p>
    <w:p>
      <w:pPr>
        <w:snapToGrid w:val="0"/>
        <w:spacing w:line="360" w:lineRule="auto"/>
        <w:jc w:val="left"/>
        <w:rPr>
          <w:rFonts w:ascii="宋体" w:hAnsi="宋体"/>
          <w:sz w:val="24"/>
        </w:rPr>
      </w:pPr>
      <w:r>
        <w:rPr>
          <w:rFonts w:hint="eastAsia" w:ascii="宋体" w:hAnsi="宋体"/>
          <w:sz w:val="24"/>
        </w:rPr>
        <w:t>28. 响应时间（格式自拟）</w:t>
      </w:r>
    </w:p>
    <w:p>
      <w:pPr>
        <w:snapToGrid w:val="0"/>
        <w:spacing w:line="360" w:lineRule="auto"/>
        <w:rPr>
          <w:rFonts w:ascii="宋体" w:hAnsi="宋体"/>
          <w:sz w:val="24"/>
        </w:rPr>
      </w:pPr>
      <w:r>
        <w:rPr>
          <w:rFonts w:hint="eastAsia" w:ascii="宋体" w:hAnsi="宋体"/>
          <w:sz w:val="24"/>
        </w:rPr>
        <w:t>29．信用承诺书</w:t>
      </w:r>
    </w:p>
    <w:p>
      <w:pPr>
        <w:tabs>
          <w:tab w:val="left" w:pos="1650"/>
        </w:tabs>
        <w:spacing w:line="360" w:lineRule="auto"/>
        <w:jc w:val="center"/>
        <w:rPr>
          <w:rFonts w:ascii="宋体" w:hAnsi="宋体"/>
          <w:sz w:val="44"/>
          <w:szCs w:val="44"/>
        </w:rPr>
      </w:pPr>
      <w:r>
        <w:rPr>
          <w:rFonts w:hint="eastAsia" w:ascii="宋体" w:hAnsi="宋体"/>
          <w:sz w:val="44"/>
          <w:szCs w:val="44"/>
        </w:rPr>
        <w:t>信用承诺书</w:t>
      </w:r>
    </w:p>
    <w:p>
      <w:pPr>
        <w:tabs>
          <w:tab w:val="left" w:pos="1650"/>
        </w:tabs>
        <w:spacing w:line="360" w:lineRule="auto"/>
        <w:jc w:val="left"/>
        <w:rPr>
          <w:rFonts w:ascii="宋体" w:hAnsi="宋体"/>
          <w:sz w:val="24"/>
        </w:rPr>
      </w:pPr>
      <w:r>
        <w:rPr>
          <w:rFonts w:hint="eastAsia" w:ascii="宋体" w:hAnsi="宋体"/>
          <w:sz w:val="24"/>
        </w:rPr>
        <w:t>（投标单位）现参加（采购项目）政府采购活动，郑重承诺如下：</w:t>
      </w:r>
    </w:p>
    <w:p>
      <w:pPr>
        <w:tabs>
          <w:tab w:val="left" w:pos="1650"/>
        </w:tabs>
        <w:spacing w:line="360" w:lineRule="auto"/>
        <w:ind w:firstLine="630"/>
        <w:rPr>
          <w:rFonts w:ascii="宋体" w:hAnsi="宋体"/>
          <w:sz w:val="24"/>
        </w:rPr>
      </w:pPr>
      <w:r>
        <w:rPr>
          <w:rFonts w:hint="eastAsia" w:ascii="宋体" w:hAnsi="宋体"/>
          <w:sz w:val="24"/>
        </w:rPr>
        <w:t>对所提供的资料合法性、真实性、准确性和有效性负责；</w:t>
      </w:r>
    </w:p>
    <w:p>
      <w:pPr>
        <w:tabs>
          <w:tab w:val="left" w:pos="1650"/>
        </w:tabs>
        <w:spacing w:line="360" w:lineRule="auto"/>
        <w:ind w:firstLine="630"/>
        <w:rPr>
          <w:rFonts w:ascii="宋体" w:hAnsi="宋体"/>
          <w:sz w:val="24"/>
        </w:rPr>
      </w:pPr>
      <w:r>
        <w:rPr>
          <w:rFonts w:hint="eastAsia" w:ascii="宋体" w:hAnsi="宋体"/>
          <w:sz w:val="24"/>
        </w:rPr>
        <w:t>严格按照国家法律、法规和规章，依法开展相关经济活动，全面履行应尽的责任和义务；</w:t>
      </w:r>
    </w:p>
    <w:p>
      <w:pPr>
        <w:tabs>
          <w:tab w:val="left" w:pos="1650"/>
        </w:tabs>
        <w:spacing w:line="360" w:lineRule="auto"/>
        <w:ind w:firstLine="630"/>
        <w:rPr>
          <w:rFonts w:ascii="宋体" w:hAnsi="宋体"/>
          <w:sz w:val="24"/>
        </w:rPr>
      </w:pPr>
      <w:r>
        <w:rPr>
          <w:rFonts w:hint="eastAsia" w:ascii="宋体" w:hAnsi="宋体"/>
          <w:sz w:val="24"/>
        </w:rPr>
        <w:t>加强自我约束、自我规范、自我管理，不制假售假、不虚假宣传、不违约毁约、不恶意逃债、不偷税漏税，诚信依法经营；</w:t>
      </w:r>
    </w:p>
    <w:p>
      <w:pPr>
        <w:tabs>
          <w:tab w:val="left" w:pos="1650"/>
        </w:tabs>
        <w:spacing w:line="360" w:lineRule="auto"/>
        <w:ind w:firstLine="630"/>
        <w:rPr>
          <w:rFonts w:ascii="宋体" w:hAnsi="宋体"/>
          <w:sz w:val="24"/>
        </w:rPr>
      </w:pPr>
      <w:r>
        <w:rPr>
          <w:rFonts w:hint="eastAsia" w:ascii="宋体" w:hAnsi="宋体"/>
          <w:sz w:val="24"/>
        </w:rPr>
        <w:t>自愿接受行政主管部门的依法检查、违背承诺约定将自愿承担违约责任，并接受法律法规和相关部门规章制度的惩戒和约束；</w:t>
      </w:r>
    </w:p>
    <w:p>
      <w:pPr>
        <w:tabs>
          <w:tab w:val="left" w:pos="1650"/>
        </w:tabs>
        <w:spacing w:line="360" w:lineRule="auto"/>
        <w:ind w:firstLine="630"/>
        <w:rPr>
          <w:rFonts w:ascii="宋体" w:hAnsi="宋体"/>
          <w:sz w:val="24"/>
        </w:rPr>
      </w:pPr>
      <w:r>
        <w:rPr>
          <w:rFonts w:hint="eastAsia" w:ascii="宋体" w:hAnsi="宋体"/>
          <w:kern w:val="0"/>
          <w:sz w:val="24"/>
        </w:rPr>
        <w:t>按照信用信息管理有关要求，本单位（个人）同意将以上承诺在信用湖州网站公示，若违背以上承诺，依据相关规定记入企业（个人）信用档案；性质严重的，承担相应法律后果和责任，并依法依规列入严重失信名单。</w:t>
      </w:r>
    </w:p>
    <w:p>
      <w:pPr>
        <w:pStyle w:val="106"/>
        <w:spacing w:before="0" w:beforeAutospacing="0" w:after="0" w:afterAutospacing="0" w:line="360" w:lineRule="auto"/>
        <w:ind w:firstLine="600" w:firstLineChars="250"/>
        <w:rPr>
          <w:rFonts w:cs="Times New Roman"/>
          <w:spacing w:val="-7"/>
        </w:rPr>
      </w:pPr>
      <w:r>
        <w:rPr>
          <w:rFonts w:hint="eastAsia" w:cs="Times New Roman"/>
          <w:kern w:val="2"/>
        </w:rPr>
        <w:t>统一社会信用代码：</w:t>
      </w:r>
    </w:p>
    <w:p>
      <w:pPr>
        <w:pStyle w:val="106"/>
        <w:spacing w:before="0" w:beforeAutospacing="0" w:after="0" w:afterAutospacing="0" w:line="360" w:lineRule="auto"/>
        <w:rPr>
          <w:rFonts w:cs="Times New Roman"/>
        </w:rPr>
      </w:pPr>
    </w:p>
    <w:p>
      <w:pPr>
        <w:pStyle w:val="106"/>
        <w:spacing w:before="0" w:beforeAutospacing="0" w:after="0" w:afterAutospacing="0" w:line="360" w:lineRule="auto"/>
        <w:ind w:firstLine="3240" w:firstLineChars="1350"/>
        <w:rPr>
          <w:rFonts w:cs="Times New Roman"/>
          <w:kern w:val="2"/>
        </w:rPr>
      </w:pPr>
      <w:r>
        <w:rPr>
          <w:rFonts w:hint="eastAsia" w:cs="Times New Roman"/>
          <w:kern w:val="2"/>
        </w:rPr>
        <w:t>承诺单位</w:t>
      </w:r>
      <w:r>
        <w:rPr>
          <w:rFonts w:cs="Times New Roman"/>
          <w:kern w:val="2"/>
        </w:rPr>
        <w:t>/</w:t>
      </w:r>
      <w:r>
        <w:rPr>
          <w:rFonts w:hint="eastAsia" w:cs="Times New Roman"/>
          <w:kern w:val="2"/>
        </w:rPr>
        <w:t>个人（盖章</w:t>
      </w:r>
      <w:r>
        <w:rPr>
          <w:rFonts w:cs="Times New Roman"/>
          <w:kern w:val="2"/>
        </w:rPr>
        <w:t>/</w:t>
      </w:r>
      <w:r>
        <w:rPr>
          <w:rFonts w:hint="eastAsia" w:cs="Times New Roman"/>
          <w:kern w:val="2"/>
        </w:rPr>
        <w:t>签名）</w:t>
      </w:r>
    </w:p>
    <w:p>
      <w:pPr>
        <w:spacing w:line="360" w:lineRule="auto"/>
        <w:ind w:firstLine="3480" w:firstLineChars="1450"/>
        <w:rPr>
          <w:rFonts w:ascii="宋体" w:hAnsi="宋体"/>
          <w:sz w:val="24"/>
        </w:rPr>
      </w:pPr>
      <w:r>
        <w:rPr>
          <w:rFonts w:hint="eastAsia" w:ascii="宋体" w:hAnsi="宋体"/>
          <w:sz w:val="24"/>
        </w:rPr>
        <w:t>时间：</w:t>
      </w:r>
      <w:r>
        <w:rPr>
          <w:rFonts w:ascii="宋体" w:hAnsi="宋体"/>
          <w:sz w:val="24"/>
        </w:rPr>
        <w:t>2021年</w:t>
      </w:r>
      <w:r>
        <w:rPr>
          <w:rFonts w:hint="eastAsia" w:ascii="宋体" w:hAnsi="宋体"/>
          <w:sz w:val="24"/>
        </w:rPr>
        <w:t xml:space="preserve"> 月 日</w:t>
      </w:r>
    </w:p>
    <w:p>
      <w:pPr>
        <w:snapToGrid w:val="0"/>
        <w:spacing w:line="360" w:lineRule="auto"/>
        <w:rPr>
          <w:rFonts w:ascii="宋体" w:hAnsi="宋体"/>
          <w:sz w:val="24"/>
        </w:rPr>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
      <w:pPr>
        <w:snapToGrid w:val="0"/>
        <w:spacing w:line="360" w:lineRule="auto"/>
        <w:rPr>
          <w:rFonts w:ascii="宋体" w:hAnsi="宋体"/>
          <w:sz w:val="24"/>
        </w:rPr>
      </w:pPr>
      <w:r>
        <w:rPr>
          <w:rFonts w:hint="eastAsia" w:ascii="宋体" w:hAnsi="宋体"/>
          <w:bCs/>
          <w:sz w:val="24"/>
        </w:rPr>
        <w:t>30.</w:t>
      </w:r>
      <w:r>
        <w:rPr>
          <w:rFonts w:hint="eastAsia" w:ascii="宋体" w:hAnsi="宋体"/>
          <w:sz w:val="24"/>
        </w:rPr>
        <w:t xml:space="preserve">技术、商务、资信及其他分自评表  </w:t>
      </w:r>
    </w:p>
    <w:p>
      <w:pPr>
        <w:spacing w:line="360" w:lineRule="auto"/>
        <w:rPr>
          <w:rFonts w:ascii="宋体" w:hAnsi="宋体"/>
          <w:b/>
          <w:sz w:val="24"/>
          <w:szCs w:val="30"/>
        </w:rPr>
      </w:pPr>
      <w:r>
        <w:rPr>
          <w:rFonts w:hint="eastAsia" w:ascii="宋体" w:hAnsi="宋体"/>
          <w:b/>
          <w:sz w:val="24"/>
          <w:szCs w:val="30"/>
        </w:rPr>
        <w:t>投标人名称</w:t>
      </w:r>
    </w:p>
    <w:tbl>
      <w:tblPr>
        <w:tblStyle w:val="4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533"/>
        <w:gridCol w:w="2268"/>
        <w:gridCol w:w="127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4361" w:type="dxa"/>
            <w:gridSpan w:val="2"/>
            <w:vAlign w:val="center"/>
          </w:tcPr>
          <w:p>
            <w:pPr>
              <w:spacing w:line="360" w:lineRule="auto"/>
              <w:jc w:val="center"/>
              <w:rPr>
                <w:rFonts w:ascii="宋体" w:hAnsi="宋体"/>
                <w:sz w:val="24"/>
              </w:rPr>
            </w:pPr>
            <w:r>
              <w:rPr>
                <w:rFonts w:hint="eastAsia" w:ascii="宋体" w:hAnsi="宋体"/>
                <w:sz w:val="24"/>
              </w:rPr>
              <w:t>评分项目</w:t>
            </w:r>
          </w:p>
        </w:tc>
        <w:tc>
          <w:tcPr>
            <w:tcW w:w="2268" w:type="dxa"/>
            <w:vAlign w:val="center"/>
          </w:tcPr>
          <w:p>
            <w:pPr>
              <w:snapToGrid w:val="0"/>
              <w:spacing w:line="360" w:lineRule="auto"/>
              <w:jc w:val="center"/>
              <w:rPr>
                <w:rFonts w:ascii="宋体" w:hAnsi="宋体"/>
                <w:sz w:val="24"/>
              </w:rPr>
            </w:pPr>
            <w:r>
              <w:rPr>
                <w:rFonts w:hint="eastAsia" w:ascii="宋体" w:hAnsi="宋体"/>
                <w:sz w:val="24"/>
              </w:rPr>
              <w:t>投标文件对应资料</w:t>
            </w:r>
          </w:p>
        </w:tc>
        <w:tc>
          <w:tcPr>
            <w:tcW w:w="1276" w:type="dxa"/>
            <w:vAlign w:val="center"/>
          </w:tcPr>
          <w:p>
            <w:pPr>
              <w:snapToGrid w:val="0"/>
              <w:spacing w:line="360" w:lineRule="auto"/>
              <w:jc w:val="center"/>
              <w:rPr>
                <w:rFonts w:ascii="宋体" w:hAnsi="宋体"/>
                <w:sz w:val="24"/>
              </w:rPr>
            </w:pPr>
            <w:r>
              <w:rPr>
                <w:rFonts w:hint="eastAsia" w:ascii="宋体" w:hAnsi="宋体"/>
                <w:sz w:val="24"/>
              </w:rPr>
              <w:t>自评分</w:t>
            </w:r>
          </w:p>
        </w:tc>
        <w:tc>
          <w:tcPr>
            <w:tcW w:w="1701" w:type="dxa"/>
            <w:vAlign w:val="center"/>
          </w:tcPr>
          <w:p>
            <w:pPr>
              <w:snapToGrid w:val="0"/>
              <w:spacing w:line="360" w:lineRule="auto"/>
              <w:jc w:val="center"/>
              <w:rPr>
                <w:rFonts w:ascii="宋体" w:hAnsi="宋体"/>
                <w:sz w:val="24"/>
              </w:rPr>
            </w:pPr>
            <w:r>
              <w:rPr>
                <w:rFonts w:hint="eastAsia" w:ascii="宋体" w:hAnsi="宋体"/>
                <w:sz w:val="24"/>
              </w:rPr>
              <w:t>投标文件页码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828" w:type="dxa"/>
            <w:vMerge w:val="restart"/>
            <w:vAlign w:val="center"/>
          </w:tcPr>
          <w:p>
            <w:pPr>
              <w:spacing w:line="360" w:lineRule="auto"/>
              <w:jc w:val="center"/>
              <w:rPr>
                <w:rFonts w:asciiTheme="minorEastAsia" w:hAnsiTheme="minorEastAsia" w:cstheme="minorEastAsia"/>
                <w:spacing w:val="-4"/>
                <w:sz w:val="24"/>
                <w:szCs w:val="24"/>
              </w:rPr>
            </w:pPr>
            <w:r>
              <w:rPr>
                <w:rFonts w:hint="eastAsia" w:asciiTheme="minorEastAsia" w:hAnsiTheme="minorEastAsia" w:cstheme="minorEastAsia"/>
                <w:spacing w:val="-4"/>
                <w:sz w:val="24"/>
                <w:szCs w:val="24"/>
              </w:rPr>
              <w:t>技术</w:t>
            </w:r>
          </w:p>
          <w:p>
            <w:pPr>
              <w:spacing w:line="360" w:lineRule="auto"/>
              <w:jc w:val="center"/>
              <w:rPr>
                <w:rFonts w:asciiTheme="minorEastAsia" w:hAnsiTheme="minorEastAsia" w:cstheme="minorEastAsia"/>
                <w:spacing w:val="-4"/>
                <w:sz w:val="24"/>
                <w:szCs w:val="24"/>
              </w:rPr>
            </w:pPr>
            <w:r>
              <w:rPr>
                <w:rFonts w:hint="eastAsia" w:asciiTheme="minorEastAsia" w:hAnsiTheme="minorEastAsia" w:cstheme="minorEastAsia"/>
                <w:spacing w:val="-4"/>
                <w:sz w:val="24"/>
                <w:szCs w:val="24"/>
              </w:rPr>
              <w:t>分50分</w:t>
            </w:r>
          </w:p>
        </w:tc>
        <w:tc>
          <w:tcPr>
            <w:tcW w:w="3533" w:type="dxa"/>
            <w:vAlign w:val="center"/>
          </w:tcPr>
          <w:p>
            <w:pPr>
              <w:pStyle w:val="20"/>
              <w:tabs>
                <w:tab w:val="left" w:pos="0"/>
                <w:tab w:val="left" w:pos="993"/>
                <w:tab w:val="left" w:pos="1134"/>
              </w:tabs>
              <w:spacing w:line="400" w:lineRule="exact"/>
              <w:ind w:firstLine="0"/>
              <w:jc w:val="left"/>
              <w:outlineLvl w:val="2"/>
              <w:rPr>
                <w:rFonts w:asciiTheme="minorEastAsia" w:hAnsiTheme="minorEastAsia" w:cstheme="minorEastAsia"/>
                <w:sz w:val="24"/>
                <w:szCs w:val="24"/>
              </w:rPr>
            </w:pPr>
            <w:r>
              <w:rPr>
                <w:rFonts w:hint="eastAsia" w:asciiTheme="minorEastAsia" w:hAnsiTheme="minorEastAsia" w:cstheme="minorEastAsia"/>
                <w:sz w:val="24"/>
                <w:szCs w:val="24"/>
              </w:rPr>
              <w:t>满足招标货物的性能及技术指标要求（20分）</w:t>
            </w:r>
          </w:p>
        </w:tc>
        <w:tc>
          <w:tcPr>
            <w:tcW w:w="2268" w:type="dxa"/>
            <w:vAlign w:val="center"/>
          </w:tcPr>
          <w:p>
            <w:pPr>
              <w:pStyle w:val="20"/>
              <w:tabs>
                <w:tab w:val="left" w:pos="0"/>
                <w:tab w:val="left" w:pos="993"/>
                <w:tab w:val="left" w:pos="1134"/>
              </w:tabs>
              <w:spacing w:line="400" w:lineRule="exact"/>
              <w:ind w:firstLine="0"/>
              <w:jc w:val="center"/>
              <w:outlineLvl w:val="2"/>
              <w:rPr>
                <w:rFonts w:asciiTheme="minorEastAsia" w:hAnsiTheme="minorEastAsia" w:cstheme="minorEastAsia"/>
                <w:sz w:val="24"/>
                <w:szCs w:val="24"/>
              </w:rPr>
            </w:pPr>
          </w:p>
        </w:tc>
        <w:tc>
          <w:tcPr>
            <w:tcW w:w="1276" w:type="dxa"/>
          </w:tcPr>
          <w:p>
            <w:pPr>
              <w:spacing w:line="360" w:lineRule="auto"/>
              <w:rPr>
                <w:rFonts w:ascii="宋体" w:hAnsi="宋体"/>
                <w:sz w:val="24"/>
              </w:rPr>
            </w:pPr>
          </w:p>
        </w:tc>
        <w:tc>
          <w:tcPr>
            <w:tcW w:w="1701"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828" w:type="dxa"/>
            <w:vMerge w:val="continue"/>
          </w:tcPr>
          <w:p>
            <w:pPr>
              <w:spacing w:line="360" w:lineRule="auto"/>
              <w:rPr>
                <w:rFonts w:asciiTheme="minorEastAsia" w:hAnsiTheme="minorEastAsia" w:cstheme="minorEastAsia"/>
                <w:spacing w:val="-4"/>
                <w:sz w:val="24"/>
                <w:szCs w:val="24"/>
              </w:rPr>
            </w:pPr>
          </w:p>
        </w:tc>
        <w:tc>
          <w:tcPr>
            <w:tcW w:w="3533" w:type="dxa"/>
            <w:vAlign w:val="center"/>
          </w:tcPr>
          <w:p>
            <w:pPr>
              <w:pStyle w:val="20"/>
              <w:tabs>
                <w:tab w:val="left" w:pos="0"/>
                <w:tab w:val="left" w:pos="993"/>
                <w:tab w:val="left" w:pos="1134"/>
              </w:tabs>
              <w:spacing w:line="400" w:lineRule="exact"/>
              <w:ind w:firstLine="0"/>
              <w:jc w:val="left"/>
              <w:outlineLvl w:val="2"/>
              <w:rPr>
                <w:rFonts w:asciiTheme="minorEastAsia" w:hAnsiTheme="minorEastAsia" w:cstheme="minorEastAsia"/>
                <w:sz w:val="24"/>
                <w:szCs w:val="24"/>
              </w:rPr>
            </w:pPr>
            <w:r>
              <w:rPr>
                <w:rFonts w:hint="eastAsia" w:asciiTheme="minorEastAsia" w:hAnsiTheme="minorEastAsia" w:cstheme="minorEastAsia"/>
                <w:sz w:val="24"/>
                <w:szCs w:val="24"/>
              </w:rPr>
              <w:t>设计图纸（10分）</w:t>
            </w:r>
          </w:p>
        </w:tc>
        <w:tc>
          <w:tcPr>
            <w:tcW w:w="2268" w:type="dxa"/>
            <w:vAlign w:val="center"/>
          </w:tcPr>
          <w:p>
            <w:pPr>
              <w:pStyle w:val="20"/>
              <w:tabs>
                <w:tab w:val="left" w:pos="0"/>
                <w:tab w:val="left" w:pos="993"/>
                <w:tab w:val="left" w:pos="1134"/>
              </w:tabs>
              <w:spacing w:line="400" w:lineRule="exact"/>
              <w:ind w:firstLine="0"/>
              <w:jc w:val="center"/>
              <w:outlineLvl w:val="2"/>
              <w:rPr>
                <w:rFonts w:asciiTheme="minorEastAsia" w:hAnsiTheme="minorEastAsia" w:cstheme="minorEastAsia"/>
                <w:sz w:val="24"/>
                <w:szCs w:val="24"/>
              </w:rPr>
            </w:pPr>
          </w:p>
        </w:tc>
        <w:tc>
          <w:tcPr>
            <w:tcW w:w="1276" w:type="dxa"/>
          </w:tcPr>
          <w:p>
            <w:pPr>
              <w:spacing w:line="360" w:lineRule="auto"/>
              <w:rPr>
                <w:rFonts w:ascii="宋体" w:hAnsi="宋体"/>
                <w:sz w:val="24"/>
              </w:rPr>
            </w:pPr>
          </w:p>
        </w:tc>
        <w:tc>
          <w:tcPr>
            <w:tcW w:w="1701"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trPr>
        <w:tc>
          <w:tcPr>
            <w:tcW w:w="828" w:type="dxa"/>
            <w:vMerge w:val="continue"/>
          </w:tcPr>
          <w:p>
            <w:pPr>
              <w:spacing w:line="360" w:lineRule="auto"/>
              <w:rPr>
                <w:rFonts w:asciiTheme="minorEastAsia" w:hAnsiTheme="minorEastAsia" w:cstheme="minorEastAsia"/>
                <w:spacing w:val="-4"/>
                <w:sz w:val="24"/>
                <w:szCs w:val="24"/>
              </w:rPr>
            </w:pPr>
          </w:p>
        </w:tc>
        <w:tc>
          <w:tcPr>
            <w:tcW w:w="3533" w:type="dxa"/>
            <w:vAlign w:val="center"/>
          </w:tcPr>
          <w:p>
            <w:pPr>
              <w:pStyle w:val="20"/>
              <w:tabs>
                <w:tab w:val="left" w:pos="0"/>
                <w:tab w:val="left" w:pos="993"/>
                <w:tab w:val="left" w:pos="1134"/>
              </w:tabs>
              <w:spacing w:line="400" w:lineRule="exact"/>
              <w:ind w:firstLine="0"/>
              <w:jc w:val="left"/>
              <w:outlineLvl w:val="2"/>
              <w:rPr>
                <w:rFonts w:asciiTheme="minorEastAsia" w:hAnsiTheme="minorEastAsia" w:cstheme="minorEastAsia"/>
                <w:sz w:val="24"/>
                <w:szCs w:val="24"/>
              </w:rPr>
            </w:pPr>
            <w:r>
              <w:rPr>
                <w:rFonts w:hint="eastAsia" w:asciiTheme="minorEastAsia" w:hAnsiTheme="minorEastAsia" w:cstheme="minorEastAsia"/>
                <w:sz w:val="24"/>
                <w:szCs w:val="24"/>
              </w:rPr>
              <w:t>确保供应货物质量的设施及措施（4分）</w:t>
            </w:r>
          </w:p>
        </w:tc>
        <w:tc>
          <w:tcPr>
            <w:tcW w:w="2268" w:type="dxa"/>
            <w:vAlign w:val="center"/>
          </w:tcPr>
          <w:p>
            <w:pPr>
              <w:pStyle w:val="20"/>
              <w:tabs>
                <w:tab w:val="left" w:pos="0"/>
                <w:tab w:val="left" w:pos="993"/>
                <w:tab w:val="left" w:pos="1134"/>
              </w:tabs>
              <w:spacing w:line="400" w:lineRule="exact"/>
              <w:ind w:firstLine="0"/>
              <w:jc w:val="center"/>
              <w:outlineLvl w:val="2"/>
              <w:rPr>
                <w:rFonts w:asciiTheme="minorEastAsia" w:hAnsiTheme="minorEastAsia" w:cstheme="minorEastAsia"/>
                <w:sz w:val="24"/>
                <w:szCs w:val="24"/>
              </w:rPr>
            </w:pPr>
          </w:p>
        </w:tc>
        <w:tc>
          <w:tcPr>
            <w:tcW w:w="1276" w:type="dxa"/>
          </w:tcPr>
          <w:p>
            <w:pPr>
              <w:spacing w:line="360" w:lineRule="auto"/>
              <w:rPr>
                <w:rFonts w:ascii="宋体" w:hAnsi="宋体"/>
                <w:sz w:val="24"/>
              </w:rPr>
            </w:pPr>
          </w:p>
        </w:tc>
        <w:tc>
          <w:tcPr>
            <w:tcW w:w="1701"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828" w:type="dxa"/>
            <w:vMerge w:val="continue"/>
          </w:tcPr>
          <w:p>
            <w:pPr>
              <w:spacing w:line="360" w:lineRule="auto"/>
              <w:rPr>
                <w:rFonts w:asciiTheme="minorEastAsia" w:hAnsiTheme="minorEastAsia" w:cstheme="minorEastAsia"/>
                <w:spacing w:val="-4"/>
                <w:sz w:val="24"/>
                <w:szCs w:val="24"/>
              </w:rPr>
            </w:pPr>
          </w:p>
        </w:tc>
        <w:tc>
          <w:tcPr>
            <w:tcW w:w="3533" w:type="dxa"/>
            <w:vAlign w:val="center"/>
          </w:tcPr>
          <w:p>
            <w:pPr>
              <w:pStyle w:val="20"/>
              <w:tabs>
                <w:tab w:val="left" w:pos="0"/>
                <w:tab w:val="left" w:pos="993"/>
                <w:tab w:val="left" w:pos="1134"/>
              </w:tabs>
              <w:spacing w:line="400" w:lineRule="exact"/>
              <w:ind w:firstLine="0"/>
              <w:jc w:val="left"/>
              <w:outlineLvl w:val="2"/>
              <w:rPr>
                <w:rFonts w:asciiTheme="minorEastAsia" w:hAnsiTheme="minorEastAsia" w:cstheme="minorEastAsia"/>
                <w:sz w:val="24"/>
                <w:szCs w:val="24"/>
              </w:rPr>
            </w:pPr>
            <w:r>
              <w:rPr>
                <w:rFonts w:hint="eastAsia" w:asciiTheme="minorEastAsia" w:hAnsiTheme="minorEastAsia" w:cstheme="minorEastAsia"/>
                <w:sz w:val="24"/>
                <w:szCs w:val="24"/>
              </w:rPr>
              <w:t>安装、调试、验收的方案和措施（4分）</w:t>
            </w:r>
          </w:p>
        </w:tc>
        <w:tc>
          <w:tcPr>
            <w:tcW w:w="2268" w:type="dxa"/>
            <w:vAlign w:val="center"/>
          </w:tcPr>
          <w:p>
            <w:pPr>
              <w:pStyle w:val="20"/>
              <w:tabs>
                <w:tab w:val="left" w:pos="0"/>
                <w:tab w:val="left" w:pos="993"/>
                <w:tab w:val="left" w:pos="1134"/>
              </w:tabs>
              <w:spacing w:line="400" w:lineRule="exact"/>
              <w:ind w:firstLine="0"/>
              <w:jc w:val="center"/>
              <w:outlineLvl w:val="2"/>
              <w:rPr>
                <w:rFonts w:asciiTheme="minorEastAsia" w:hAnsiTheme="minorEastAsia" w:cstheme="minorEastAsia"/>
                <w:sz w:val="24"/>
                <w:szCs w:val="24"/>
              </w:rPr>
            </w:pPr>
          </w:p>
        </w:tc>
        <w:tc>
          <w:tcPr>
            <w:tcW w:w="1276" w:type="dxa"/>
          </w:tcPr>
          <w:p>
            <w:pPr>
              <w:spacing w:line="360" w:lineRule="auto"/>
              <w:rPr>
                <w:rFonts w:ascii="宋体" w:hAnsi="宋体"/>
                <w:sz w:val="24"/>
              </w:rPr>
            </w:pPr>
          </w:p>
        </w:tc>
        <w:tc>
          <w:tcPr>
            <w:tcW w:w="1701"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828" w:type="dxa"/>
            <w:vMerge w:val="continue"/>
          </w:tcPr>
          <w:p>
            <w:pPr>
              <w:spacing w:line="360" w:lineRule="auto"/>
              <w:rPr>
                <w:rFonts w:asciiTheme="minorEastAsia" w:hAnsiTheme="minorEastAsia" w:cstheme="minorEastAsia"/>
                <w:spacing w:val="-4"/>
                <w:sz w:val="24"/>
                <w:szCs w:val="24"/>
              </w:rPr>
            </w:pPr>
          </w:p>
        </w:tc>
        <w:tc>
          <w:tcPr>
            <w:tcW w:w="3533" w:type="dxa"/>
            <w:vAlign w:val="center"/>
          </w:tcPr>
          <w:p>
            <w:pPr>
              <w:pStyle w:val="20"/>
              <w:tabs>
                <w:tab w:val="left" w:pos="0"/>
                <w:tab w:val="left" w:pos="993"/>
                <w:tab w:val="left" w:pos="1134"/>
              </w:tabs>
              <w:spacing w:line="400" w:lineRule="exact"/>
              <w:ind w:firstLine="0"/>
              <w:jc w:val="left"/>
              <w:outlineLvl w:val="2"/>
              <w:rPr>
                <w:rFonts w:asciiTheme="minorEastAsia" w:hAnsiTheme="minorEastAsia" w:cstheme="minorEastAsia"/>
                <w:sz w:val="24"/>
                <w:szCs w:val="24"/>
              </w:rPr>
            </w:pPr>
            <w:r>
              <w:rPr>
                <w:rFonts w:hint="eastAsia" w:asciiTheme="minorEastAsia" w:hAnsiTheme="minorEastAsia" w:cstheme="minorEastAsia"/>
                <w:sz w:val="24"/>
                <w:szCs w:val="24"/>
              </w:rPr>
              <w:t>演示（10分）</w:t>
            </w:r>
          </w:p>
        </w:tc>
        <w:tc>
          <w:tcPr>
            <w:tcW w:w="2268" w:type="dxa"/>
            <w:vAlign w:val="center"/>
          </w:tcPr>
          <w:p>
            <w:pPr>
              <w:pStyle w:val="20"/>
              <w:tabs>
                <w:tab w:val="left" w:pos="0"/>
                <w:tab w:val="left" w:pos="993"/>
                <w:tab w:val="left" w:pos="1134"/>
              </w:tabs>
              <w:spacing w:line="400" w:lineRule="exact"/>
              <w:ind w:firstLine="0"/>
              <w:jc w:val="center"/>
              <w:outlineLvl w:val="2"/>
              <w:rPr>
                <w:rFonts w:asciiTheme="minorEastAsia" w:hAnsiTheme="minorEastAsia" w:cstheme="minorEastAsia"/>
                <w:sz w:val="24"/>
                <w:szCs w:val="24"/>
              </w:rPr>
            </w:pPr>
          </w:p>
        </w:tc>
        <w:tc>
          <w:tcPr>
            <w:tcW w:w="1276" w:type="dxa"/>
          </w:tcPr>
          <w:p>
            <w:pPr>
              <w:spacing w:line="360" w:lineRule="auto"/>
              <w:rPr>
                <w:rFonts w:ascii="宋体" w:hAnsi="宋体"/>
                <w:sz w:val="24"/>
              </w:rPr>
            </w:pPr>
          </w:p>
        </w:tc>
        <w:tc>
          <w:tcPr>
            <w:tcW w:w="1701"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828" w:type="dxa"/>
            <w:vMerge w:val="continue"/>
          </w:tcPr>
          <w:p>
            <w:pPr>
              <w:spacing w:line="360" w:lineRule="auto"/>
              <w:rPr>
                <w:rFonts w:asciiTheme="minorEastAsia" w:hAnsiTheme="minorEastAsia" w:cstheme="minorEastAsia"/>
                <w:spacing w:val="-4"/>
                <w:sz w:val="24"/>
                <w:szCs w:val="24"/>
              </w:rPr>
            </w:pPr>
          </w:p>
        </w:tc>
        <w:tc>
          <w:tcPr>
            <w:tcW w:w="3533" w:type="dxa"/>
          </w:tcPr>
          <w:p>
            <w:pPr>
              <w:spacing w:line="360" w:lineRule="auto"/>
              <w:jc w:val="left"/>
              <w:rPr>
                <w:rFonts w:ascii="宋体" w:hAnsi="宋体"/>
                <w:sz w:val="24"/>
              </w:rPr>
            </w:pPr>
            <w:r>
              <w:rPr>
                <w:rFonts w:hint="eastAsia" w:asciiTheme="minorEastAsia" w:hAnsiTheme="minorEastAsia" w:cstheme="minorEastAsia"/>
                <w:sz w:val="24"/>
                <w:szCs w:val="24"/>
              </w:rPr>
              <w:t>本项目有效的改进措施和合理化建议（2分）</w:t>
            </w:r>
          </w:p>
        </w:tc>
        <w:tc>
          <w:tcPr>
            <w:tcW w:w="2268" w:type="dxa"/>
          </w:tcPr>
          <w:p>
            <w:pPr>
              <w:spacing w:line="360" w:lineRule="auto"/>
              <w:rPr>
                <w:rFonts w:ascii="宋体" w:hAnsi="宋体"/>
                <w:sz w:val="24"/>
              </w:rPr>
            </w:pPr>
          </w:p>
        </w:tc>
        <w:tc>
          <w:tcPr>
            <w:tcW w:w="1276" w:type="dxa"/>
          </w:tcPr>
          <w:p>
            <w:pPr>
              <w:spacing w:line="360" w:lineRule="auto"/>
              <w:rPr>
                <w:rFonts w:ascii="宋体" w:hAnsi="宋体"/>
                <w:sz w:val="24"/>
              </w:rPr>
            </w:pPr>
          </w:p>
        </w:tc>
        <w:tc>
          <w:tcPr>
            <w:tcW w:w="1701"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828" w:type="dxa"/>
            <w:vMerge w:val="restart"/>
            <w:vAlign w:val="center"/>
          </w:tcPr>
          <w:p>
            <w:pPr>
              <w:spacing w:line="360" w:lineRule="auto"/>
              <w:jc w:val="center"/>
              <w:rPr>
                <w:rFonts w:asciiTheme="minorEastAsia" w:hAnsiTheme="minorEastAsia" w:cstheme="minorEastAsia"/>
                <w:spacing w:val="-4"/>
                <w:sz w:val="24"/>
                <w:szCs w:val="24"/>
              </w:rPr>
            </w:pPr>
            <w:r>
              <w:rPr>
                <w:rFonts w:hint="eastAsia" w:asciiTheme="minorEastAsia" w:hAnsiTheme="minorEastAsia" w:cstheme="minorEastAsia"/>
                <w:spacing w:val="-4"/>
                <w:sz w:val="24"/>
                <w:szCs w:val="24"/>
              </w:rPr>
              <w:t>商务</w:t>
            </w:r>
          </w:p>
          <w:p>
            <w:pPr>
              <w:spacing w:line="360" w:lineRule="auto"/>
              <w:jc w:val="center"/>
              <w:rPr>
                <w:rFonts w:asciiTheme="minorEastAsia" w:hAnsiTheme="minorEastAsia" w:cstheme="minorEastAsia"/>
                <w:spacing w:val="-4"/>
                <w:sz w:val="24"/>
                <w:szCs w:val="24"/>
              </w:rPr>
            </w:pPr>
            <w:r>
              <w:rPr>
                <w:rFonts w:hint="eastAsia" w:asciiTheme="minorEastAsia" w:hAnsiTheme="minorEastAsia" w:cstheme="minorEastAsia"/>
                <w:spacing w:val="-4"/>
                <w:sz w:val="24"/>
                <w:szCs w:val="24"/>
              </w:rPr>
              <w:t>\资信及其他分20</w:t>
            </w:r>
          </w:p>
          <w:p>
            <w:pPr>
              <w:spacing w:line="360" w:lineRule="auto"/>
              <w:jc w:val="center"/>
              <w:rPr>
                <w:rFonts w:asciiTheme="minorEastAsia" w:hAnsiTheme="minorEastAsia" w:cstheme="minorEastAsia"/>
                <w:spacing w:val="-4"/>
                <w:sz w:val="24"/>
                <w:szCs w:val="24"/>
              </w:rPr>
            </w:pPr>
            <w:r>
              <w:rPr>
                <w:rFonts w:hint="eastAsia" w:asciiTheme="minorEastAsia" w:hAnsiTheme="minorEastAsia" w:cstheme="minorEastAsia"/>
                <w:spacing w:val="-4"/>
                <w:sz w:val="24"/>
                <w:szCs w:val="24"/>
              </w:rPr>
              <w:t>分</w:t>
            </w:r>
          </w:p>
        </w:tc>
        <w:tc>
          <w:tcPr>
            <w:tcW w:w="3533" w:type="dxa"/>
            <w:vAlign w:val="center"/>
          </w:tcPr>
          <w:p>
            <w:pPr>
              <w:pStyle w:val="20"/>
              <w:tabs>
                <w:tab w:val="left" w:pos="0"/>
                <w:tab w:val="left" w:pos="993"/>
                <w:tab w:val="left" w:pos="1134"/>
              </w:tabs>
              <w:spacing w:line="400" w:lineRule="exact"/>
              <w:ind w:firstLine="0"/>
              <w:outlineLvl w:val="2"/>
              <w:rPr>
                <w:rFonts w:asciiTheme="minorEastAsia" w:hAnsiTheme="minorEastAsia" w:cstheme="minorEastAsia"/>
                <w:sz w:val="24"/>
                <w:szCs w:val="24"/>
              </w:rPr>
            </w:pPr>
            <w:r>
              <w:rPr>
                <w:rFonts w:hint="eastAsia" w:asciiTheme="minorEastAsia" w:hAnsiTheme="minorEastAsia" w:cstheme="minorEastAsia"/>
                <w:sz w:val="24"/>
                <w:szCs w:val="24"/>
              </w:rPr>
              <w:t>类似项目业绩（5分）</w:t>
            </w:r>
          </w:p>
        </w:tc>
        <w:tc>
          <w:tcPr>
            <w:tcW w:w="2268" w:type="dxa"/>
            <w:vAlign w:val="center"/>
          </w:tcPr>
          <w:p>
            <w:pPr>
              <w:pStyle w:val="20"/>
              <w:tabs>
                <w:tab w:val="left" w:pos="0"/>
                <w:tab w:val="left" w:pos="993"/>
                <w:tab w:val="left" w:pos="1134"/>
              </w:tabs>
              <w:spacing w:line="400" w:lineRule="exact"/>
              <w:ind w:firstLine="0"/>
              <w:jc w:val="center"/>
              <w:outlineLvl w:val="2"/>
              <w:rPr>
                <w:rFonts w:asciiTheme="minorEastAsia" w:hAnsiTheme="minorEastAsia" w:cstheme="minorEastAsia"/>
                <w:sz w:val="24"/>
                <w:szCs w:val="24"/>
              </w:rPr>
            </w:pPr>
          </w:p>
        </w:tc>
        <w:tc>
          <w:tcPr>
            <w:tcW w:w="1276" w:type="dxa"/>
          </w:tcPr>
          <w:p>
            <w:pPr>
              <w:spacing w:line="360" w:lineRule="auto"/>
              <w:rPr>
                <w:rFonts w:ascii="宋体" w:hAnsi="宋体"/>
                <w:sz w:val="24"/>
              </w:rPr>
            </w:pPr>
          </w:p>
        </w:tc>
        <w:tc>
          <w:tcPr>
            <w:tcW w:w="1701"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trPr>
        <w:tc>
          <w:tcPr>
            <w:tcW w:w="828" w:type="dxa"/>
            <w:vMerge w:val="continue"/>
          </w:tcPr>
          <w:p>
            <w:pPr>
              <w:spacing w:line="360" w:lineRule="auto"/>
              <w:rPr>
                <w:rFonts w:ascii="宋体" w:hAnsi="宋体"/>
                <w:sz w:val="24"/>
              </w:rPr>
            </w:pPr>
          </w:p>
        </w:tc>
        <w:tc>
          <w:tcPr>
            <w:tcW w:w="3533" w:type="dxa"/>
            <w:vAlign w:val="center"/>
          </w:tcPr>
          <w:p>
            <w:pPr>
              <w:pStyle w:val="20"/>
              <w:tabs>
                <w:tab w:val="left" w:pos="0"/>
                <w:tab w:val="left" w:pos="993"/>
                <w:tab w:val="left" w:pos="1134"/>
              </w:tabs>
              <w:spacing w:line="400" w:lineRule="exact"/>
              <w:ind w:firstLine="0"/>
              <w:outlineLvl w:val="2"/>
              <w:rPr>
                <w:rFonts w:asciiTheme="minorEastAsia" w:hAnsiTheme="minorEastAsia" w:cstheme="minorEastAsia"/>
                <w:sz w:val="24"/>
                <w:szCs w:val="24"/>
              </w:rPr>
            </w:pPr>
            <w:r>
              <w:rPr>
                <w:rFonts w:hint="eastAsia" w:asciiTheme="minorEastAsia" w:hAnsiTheme="minorEastAsia" w:cstheme="minorEastAsia"/>
                <w:sz w:val="24"/>
                <w:szCs w:val="24"/>
              </w:rPr>
              <w:t>售后服务网点（2分）</w:t>
            </w:r>
          </w:p>
        </w:tc>
        <w:tc>
          <w:tcPr>
            <w:tcW w:w="2268" w:type="dxa"/>
            <w:vAlign w:val="center"/>
          </w:tcPr>
          <w:p>
            <w:pPr>
              <w:pStyle w:val="20"/>
              <w:tabs>
                <w:tab w:val="left" w:pos="0"/>
                <w:tab w:val="left" w:pos="993"/>
                <w:tab w:val="left" w:pos="1134"/>
              </w:tabs>
              <w:spacing w:line="400" w:lineRule="exact"/>
              <w:ind w:firstLine="0"/>
              <w:jc w:val="center"/>
              <w:outlineLvl w:val="2"/>
              <w:rPr>
                <w:rFonts w:asciiTheme="minorEastAsia" w:hAnsiTheme="minorEastAsia" w:cstheme="minorEastAsia"/>
                <w:sz w:val="24"/>
                <w:szCs w:val="24"/>
              </w:rPr>
            </w:pPr>
          </w:p>
        </w:tc>
        <w:tc>
          <w:tcPr>
            <w:tcW w:w="1276" w:type="dxa"/>
          </w:tcPr>
          <w:p>
            <w:pPr>
              <w:spacing w:line="360" w:lineRule="auto"/>
              <w:rPr>
                <w:rFonts w:ascii="宋体" w:hAnsi="宋体"/>
                <w:sz w:val="24"/>
              </w:rPr>
            </w:pPr>
          </w:p>
        </w:tc>
        <w:tc>
          <w:tcPr>
            <w:tcW w:w="1701"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828" w:type="dxa"/>
            <w:vMerge w:val="continue"/>
          </w:tcPr>
          <w:p>
            <w:pPr>
              <w:spacing w:line="360" w:lineRule="auto"/>
              <w:rPr>
                <w:rFonts w:ascii="宋体" w:hAnsi="宋体"/>
                <w:sz w:val="24"/>
              </w:rPr>
            </w:pPr>
          </w:p>
        </w:tc>
        <w:tc>
          <w:tcPr>
            <w:tcW w:w="3533" w:type="dxa"/>
            <w:vAlign w:val="center"/>
          </w:tcPr>
          <w:p>
            <w:pPr>
              <w:pStyle w:val="20"/>
              <w:tabs>
                <w:tab w:val="left" w:pos="0"/>
                <w:tab w:val="left" w:pos="993"/>
                <w:tab w:val="left" w:pos="1134"/>
              </w:tabs>
              <w:spacing w:line="400" w:lineRule="exact"/>
              <w:ind w:firstLine="0"/>
              <w:outlineLvl w:val="2"/>
              <w:rPr>
                <w:rFonts w:asciiTheme="minorEastAsia" w:hAnsiTheme="minorEastAsia" w:cstheme="minorEastAsia"/>
                <w:sz w:val="24"/>
                <w:szCs w:val="24"/>
              </w:rPr>
            </w:pPr>
            <w:r>
              <w:rPr>
                <w:rFonts w:hint="eastAsia" w:asciiTheme="minorEastAsia" w:hAnsiTheme="minorEastAsia" w:cstheme="minorEastAsia"/>
                <w:sz w:val="24"/>
                <w:szCs w:val="24"/>
              </w:rPr>
              <w:t>售后服务承诺（5分</w:t>
            </w:r>
            <w:r>
              <w:rPr>
                <w:rFonts w:asciiTheme="minorEastAsia" w:hAnsiTheme="minorEastAsia" w:cstheme="minorEastAsia"/>
                <w:sz w:val="24"/>
                <w:szCs w:val="24"/>
              </w:rPr>
              <w:t>）</w:t>
            </w:r>
          </w:p>
        </w:tc>
        <w:tc>
          <w:tcPr>
            <w:tcW w:w="2268" w:type="dxa"/>
            <w:vAlign w:val="center"/>
          </w:tcPr>
          <w:p>
            <w:pPr>
              <w:pStyle w:val="20"/>
              <w:tabs>
                <w:tab w:val="left" w:pos="0"/>
                <w:tab w:val="left" w:pos="993"/>
                <w:tab w:val="left" w:pos="1134"/>
              </w:tabs>
              <w:spacing w:line="400" w:lineRule="exact"/>
              <w:ind w:firstLine="116" w:firstLineChars="50"/>
              <w:outlineLvl w:val="2"/>
              <w:rPr>
                <w:rFonts w:asciiTheme="minorEastAsia" w:hAnsiTheme="minorEastAsia" w:cstheme="minorEastAsia"/>
                <w:sz w:val="24"/>
                <w:szCs w:val="24"/>
              </w:rPr>
            </w:pPr>
          </w:p>
        </w:tc>
        <w:tc>
          <w:tcPr>
            <w:tcW w:w="1276" w:type="dxa"/>
          </w:tcPr>
          <w:p>
            <w:pPr>
              <w:spacing w:line="360" w:lineRule="auto"/>
              <w:rPr>
                <w:rFonts w:ascii="宋体" w:hAnsi="宋体"/>
                <w:sz w:val="24"/>
              </w:rPr>
            </w:pPr>
          </w:p>
        </w:tc>
        <w:tc>
          <w:tcPr>
            <w:tcW w:w="1701"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828" w:type="dxa"/>
            <w:vMerge w:val="continue"/>
          </w:tcPr>
          <w:p>
            <w:pPr>
              <w:spacing w:line="360" w:lineRule="auto"/>
              <w:rPr>
                <w:rFonts w:ascii="宋体" w:hAnsi="宋体"/>
                <w:sz w:val="24"/>
              </w:rPr>
            </w:pPr>
          </w:p>
        </w:tc>
        <w:tc>
          <w:tcPr>
            <w:tcW w:w="3533" w:type="dxa"/>
            <w:vAlign w:val="center"/>
          </w:tcPr>
          <w:p>
            <w:pPr>
              <w:pStyle w:val="20"/>
              <w:tabs>
                <w:tab w:val="left" w:pos="0"/>
                <w:tab w:val="left" w:pos="993"/>
                <w:tab w:val="left" w:pos="1134"/>
              </w:tabs>
              <w:spacing w:line="400" w:lineRule="exact"/>
              <w:ind w:firstLine="0"/>
              <w:outlineLvl w:val="2"/>
              <w:rPr>
                <w:rFonts w:asciiTheme="minorEastAsia" w:hAnsiTheme="minorEastAsia" w:cstheme="minorEastAsia"/>
                <w:sz w:val="24"/>
                <w:szCs w:val="24"/>
              </w:rPr>
            </w:pPr>
            <w:r>
              <w:rPr>
                <w:rFonts w:hint="eastAsia" w:asciiTheme="minorEastAsia" w:hAnsiTheme="minorEastAsia" w:cstheme="minorEastAsia"/>
                <w:sz w:val="24"/>
                <w:szCs w:val="24"/>
              </w:rPr>
              <w:t>培训计划(5分)</w:t>
            </w:r>
          </w:p>
        </w:tc>
        <w:tc>
          <w:tcPr>
            <w:tcW w:w="2268" w:type="dxa"/>
            <w:vAlign w:val="center"/>
          </w:tcPr>
          <w:p>
            <w:pPr>
              <w:pStyle w:val="20"/>
              <w:tabs>
                <w:tab w:val="left" w:pos="0"/>
                <w:tab w:val="left" w:pos="993"/>
                <w:tab w:val="left" w:pos="1134"/>
              </w:tabs>
              <w:spacing w:line="400" w:lineRule="exact"/>
              <w:ind w:firstLine="0"/>
              <w:jc w:val="center"/>
              <w:outlineLvl w:val="2"/>
              <w:rPr>
                <w:rFonts w:asciiTheme="minorEastAsia" w:hAnsiTheme="minorEastAsia" w:cstheme="minorEastAsia"/>
                <w:sz w:val="24"/>
                <w:szCs w:val="24"/>
              </w:rPr>
            </w:pPr>
          </w:p>
        </w:tc>
        <w:tc>
          <w:tcPr>
            <w:tcW w:w="1276" w:type="dxa"/>
          </w:tcPr>
          <w:p>
            <w:pPr>
              <w:spacing w:line="360" w:lineRule="auto"/>
              <w:rPr>
                <w:rFonts w:ascii="宋体" w:hAnsi="宋体"/>
                <w:sz w:val="24"/>
              </w:rPr>
            </w:pPr>
          </w:p>
        </w:tc>
        <w:tc>
          <w:tcPr>
            <w:tcW w:w="1701"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828" w:type="dxa"/>
            <w:vMerge w:val="continue"/>
          </w:tcPr>
          <w:p>
            <w:pPr>
              <w:spacing w:line="360" w:lineRule="auto"/>
              <w:rPr>
                <w:rFonts w:ascii="宋体" w:hAnsi="宋体"/>
                <w:sz w:val="24"/>
              </w:rPr>
            </w:pPr>
          </w:p>
        </w:tc>
        <w:tc>
          <w:tcPr>
            <w:tcW w:w="3533" w:type="dxa"/>
            <w:vAlign w:val="center"/>
          </w:tcPr>
          <w:p>
            <w:pPr>
              <w:pStyle w:val="20"/>
              <w:tabs>
                <w:tab w:val="left" w:pos="0"/>
                <w:tab w:val="left" w:pos="993"/>
                <w:tab w:val="left" w:pos="1134"/>
              </w:tabs>
              <w:spacing w:line="400" w:lineRule="exact"/>
              <w:ind w:firstLine="0"/>
              <w:outlineLvl w:val="2"/>
              <w:rPr>
                <w:rFonts w:asciiTheme="minorEastAsia" w:hAnsiTheme="minorEastAsia" w:cstheme="minorEastAsia"/>
                <w:sz w:val="24"/>
                <w:szCs w:val="24"/>
              </w:rPr>
            </w:pPr>
            <w:r>
              <w:rPr>
                <w:rFonts w:hint="eastAsia" w:asciiTheme="minorEastAsia" w:hAnsiTheme="minorEastAsia" w:cstheme="minorEastAsia"/>
                <w:sz w:val="24"/>
                <w:szCs w:val="24"/>
              </w:rPr>
              <w:t>维修响应时间(3分)</w:t>
            </w:r>
          </w:p>
        </w:tc>
        <w:tc>
          <w:tcPr>
            <w:tcW w:w="2268" w:type="dxa"/>
            <w:vAlign w:val="center"/>
          </w:tcPr>
          <w:p>
            <w:pPr>
              <w:pStyle w:val="20"/>
              <w:tabs>
                <w:tab w:val="left" w:pos="0"/>
                <w:tab w:val="left" w:pos="993"/>
                <w:tab w:val="left" w:pos="1134"/>
              </w:tabs>
              <w:spacing w:line="400" w:lineRule="exact"/>
              <w:ind w:firstLine="0"/>
              <w:jc w:val="center"/>
              <w:outlineLvl w:val="2"/>
              <w:rPr>
                <w:rFonts w:asciiTheme="minorEastAsia" w:hAnsiTheme="minorEastAsia" w:cstheme="minorEastAsia"/>
                <w:sz w:val="24"/>
                <w:szCs w:val="24"/>
              </w:rPr>
            </w:pPr>
          </w:p>
        </w:tc>
        <w:tc>
          <w:tcPr>
            <w:tcW w:w="1276" w:type="dxa"/>
          </w:tcPr>
          <w:p>
            <w:pPr>
              <w:spacing w:line="360" w:lineRule="auto"/>
              <w:rPr>
                <w:rFonts w:ascii="宋体" w:hAnsi="宋体"/>
                <w:sz w:val="24"/>
              </w:rPr>
            </w:pPr>
          </w:p>
        </w:tc>
        <w:tc>
          <w:tcPr>
            <w:tcW w:w="1701"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361" w:type="dxa"/>
            <w:gridSpan w:val="2"/>
            <w:vAlign w:val="center"/>
          </w:tcPr>
          <w:p>
            <w:pPr>
              <w:spacing w:line="360" w:lineRule="auto"/>
              <w:jc w:val="center"/>
              <w:rPr>
                <w:rFonts w:ascii="宋体" w:hAnsi="宋体"/>
                <w:sz w:val="24"/>
              </w:rPr>
            </w:pPr>
            <w:r>
              <w:rPr>
                <w:rFonts w:hint="eastAsia" w:ascii="宋体" w:hAnsi="宋体"/>
                <w:sz w:val="24"/>
              </w:rPr>
              <w:t>合计得分</w:t>
            </w:r>
          </w:p>
        </w:tc>
        <w:tc>
          <w:tcPr>
            <w:tcW w:w="2268" w:type="dxa"/>
          </w:tcPr>
          <w:p>
            <w:pPr>
              <w:spacing w:line="360" w:lineRule="auto"/>
              <w:rPr>
                <w:rFonts w:ascii="宋体" w:hAnsi="宋体"/>
                <w:sz w:val="24"/>
              </w:rPr>
            </w:pPr>
          </w:p>
        </w:tc>
        <w:tc>
          <w:tcPr>
            <w:tcW w:w="2977" w:type="dxa"/>
            <w:gridSpan w:val="2"/>
          </w:tcPr>
          <w:p>
            <w:pPr>
              <w:spacing w:line="360" w:lineRule="auto"/>
              <w:rPr>
                <w:rFonts w:ascii="宋体" w:hAnsi="宋体"/>
                <w:sz w:val="24"/>
              </w:rPr>
            </w:pPr>
          </w:p>
        </w:tc>
      </w:tr>
    </w:tbl>
    <w:p/>
    <w:p>
      <w:pPr>
        <w:snapToGrid w:val="0"/>
        <w:spacing w:line="360" w:lineRule="auto"/>
        <w:jc w:val="center"/>
        <w:rPr>
          <w:rFonts w:ascii="宋体" w:hAnsi="宋体"/>
          <w:sz w:val="24"/>
        </w:rPr>
      </w:pPr>
    </w:p>
    <w:p>
      <w:pPr>
        <w:snapToGrid w:val="0"/>
        <w:spacing w:line="360" w:lineRule="auto"/>
        <w:jc w:val="center"/>
        <w:rPr>
          <w:rFonts w:ascii="宋体" w:hAnsi="宋体"/>
          <w:sz w:val="24"/>
        </w:rPr>
      </w:pPr>
    </w:p>
    <w:p/>
    <w:p>
      <w:pPr>
        <w:spacing w:line="360" w:lineRule="auto"/>
        <w:rPr>
          <w:rFonts w:ascii="宋体" w:hAnsi="宋体"/>
          <w:sz w:val="24"/>
        </w:rPr>
      </w:pPr>
    </w:p>
    <w:p>
      <w:pPr>
        <w:snapToGrid w:val="0"/>
        <w:spacing w:line="360" w:lineRule="auto"/>
        <w:jc w:val="center"/>
        <w:rPr>
          <w:rFonts w:ascii="宋体" w:hAnsi="宋体"/>
          <w:sz w:val="24"/>
        </w:rPr>
      </w:pPr>
    </w:p>
    <w:p>
      <w:pPr>
        <w:pStyle w:val="2"/>
      </w:pPr>
    </w:p>
    <w:p>
      <w:pPr>
        <w:pStyle w:val="3"/>
        <w:rPr>
          <w:color w:val="auto"/>
        </w:rPr>
      </w:pPr>
    </w:p>
    <w:p>
      <w:pPr>
        <w:snapToGrid w:val="0"/>
        <w:spacing w:line="360" w:lineRule="auto"/>
        <w:jc w:val="center"/>
        <w:rPr>
          <w:rFonts w:ascii="宋体" w:hAnsi="宋体"/>
          <w:sz w:val="30"/>
          <w:szCs w:val="20"/>
        </w:rPr>
      </w:pPr>
      <w:r>
        <w:rPr>
          <w:rFonts w:hint="eastAsia" w:ascii="宋体" w:hAnsi="宋体"/>
          <w:sz w:val="24"/>
        </w:rPr>
        <w:t>三、报价文件格式</w:t>
      </w:r>
    </w:p>
    <w:p>
      <w:pPr>
        <w:snapToGrid w:val="0"/>
        <w:spacing w:line="360" w:lineRule="auto"/>
        <w:rPr>
          <w:rFonts w:ascii="宋体" w:hAnsi="宋体"/>
          <w:sz w:val="24"/>
          <w:szCs w:val="20"/>
        </w:rPr>
      </w:pPr>
      <w:r>
        <w:rPr>
          <w:rFonts w:hint="eastAsia" w:ascii="宋体" w:hAnsi="宋体"/>
          <w:sz w:val="24"/>
        </w:rPr>
        <w:t>32.报价文件封面格式：</w:t>
      </w:r>
    </w:p>
    <w:p>
      <w:pPr>
        <w:snapToGrid w:val="0"/>
        <w:spacing w:line="360" w:lineRule="auto"/>
        <w:rPr>
          <w:rFonts w:ascii="宋体" w:hAnsi="宋体"/>
          <w:b/>
          <w:bCs/>
          <w:sz w:val="32"/>
          <w:szCs w:val="20"/>
        </w:rPr>
      </w:pPr>
      <w:r>
        <w:rPr>
          <w:rFonts w:hint="eastAsia" w:ascii="宋体" w:hAnsi="宋体"/>
          <w:b/>
          <w:bCs/>
        </w:rPr>
        <w:t>正本</w:t>
      </w:r>
      <w:r>
        <w:rPr>
          <w:rFonts w:ascii="宋体" w:hAnsi="宋体"/>
          <w:b/>
          <w:bCs/>
        </w:rPr>
        <w:t>/</w:t>
      </w:r>
      <w:r>
        <w:rPr>
          <w:rFonts w:hint="eastAsia" w:ascii="宋体" w:hAnsi="宋体"/>
          <w:b/>
          <w:bCs/>
        </w:rPr>
        <w:t>或副本</w:t>
      </w:r>
    </w:p>
    <w:p>
      <w:pPr>
        <w:snapToGrid w:val="0"/>
        <w:spacing w:line="360" w:lineRule="auto"/>
        <w:rPr>
          <w:rFonts w:ascii="宋体" w:hAnsi="宋体"/>
          <w:sz w:val="24"/>
          <w:szCs w:val="20"/>
        </w:rPr>
      </w:pPr>
    </w:p>
    <w:p>
      <w:pPr>
        <w:snapToGrid w:val="0"/>
        <w:spacing w:line="360" w:lineRule="auto"/>
        <w:jc w:val="center"/>
        <w:rPr>
          <w:rFonts w:ascii="宋体" w:hAnsi="宋体"/>
          <w:bCs/>
          <w:sz w:val="24"/>
          <w:szCs w:val="20"/>
        </w:rPr>
      </w:pPr>
    </w:p>
    <w:p>
      <w:pPr>
        <w:snapToGrid w:val="0"/>
        <w:spacing w:line="360" w:lineRule="auto"/>
        <w:jc w:val="center"/>
        <w:rPr>
          <w:rFonts w:ascii="宋体" w:hAnsi="宋体"/>
          <w:bCs/>
          <w:sz w:val="24"/>
          <w:szCs w:val="20"/>
        </w:rPr>
      </w:pPr>
      <w:r>
        <w:rPr>
          <w:rFonts w:hint="eastAsia" w:ascii="宋体" w:hAnsi="宋体"/>
          <w:bCs/>
          <w:sz w:val="24"/>
        </w:rPr>
        <w:t>报价文件</w:t>
      </w:r>
    </w:p>
    <w:p>
      <w:pPr>
        <w:snapToGrid w:val="0"/>
        <w:spacing w:line="360" w:lineRule="auto"/>
        <w:rPr>
          <w:rFonts w:ascii="宋体" w:hAnsi="宋体"/>
          <w:bCs/>
          <w:sz w:val="24"/>
          <w:szCs w:val="20"/>
        </w:rPr>
      </w:pPr>
    </w:p>
    <w:p>
      <w:pPr>
        <w:snapToGrid w:val="0"/>
        <w:spacing w:line="360" w:lineRule="auto"/>
        <w:ind w:firstLine="960" w:firstLineChars="400"/>
        <w:rPr>
          <w:rFonts w:ascii="宋体" w:hAnsi="宋体"/>
          <w:bCs/>
          <w:sz w:val="24"/>
        </w:rPr>
      </w:pPr>
      <w:r>
        <w:rPr>
          <w:rFonts w:hint="eastAsia" w:ascii="宋体" w:hAnsi="宋体"/>
          <w:bCs/>
          <w:sz w:val="24"/>
        </w:rPr>
        <w:t>项目名称：</w:t>
      </w:r>
      <w:r>
        <w:rPr>
          <w:rFonts w:hint="eastAsia" w:ascii="宋体" w:hAnsi="宋体"/>
          <w:spacing w:val="-20"/>
          <w:sz w:val="24"/>
        </w:rPr>
        <w:t xml:space="preserve">湖州市爱山小学教育集团新型教学空间设施设备项目 </w:t>
      </w:r>
    </w:p>
    <w:p>
      <w:pPr>
        <w:snapToGrid w:val="0"/>
        <w:spacing w:line="360" w:lineRule="auto"/>
        <w:ind w:firstLine="1080" w:firstLineChars="450"/>
        <w:jc w:val="left"/>
        <w:rPr>
          <w:rFonts w:ascii="宋体" w:hAnsi="宋体"/>
          <w:sz w:val="24"/>
        </w:rPr>
      </w:pPr>
      <w:r>
        <w:rPr>
          <w:rFonts w:hint="eastAsia" w:ascii="宋体" w:hAnsi="宋体"/>
          <w:bCs/>
          <w:sz w:val="24"/>
        </w:rPr>
        <w:t>项目编号：HYHZ2021120W</w:t>
      </w:r>
    </w:p>
    <w:p>
      <w:pPr>
        <w:snapToGrid w:val="0"/>
        <w:spacing w:line="360" w:lineRule="auto"/>
        <w:ind w:firstLine="840" w:firstLineChars="350"/>
        <w:rPr>
          <w:sz w:val="24"/>
        </w:rPr>
      </w:pPr>
      <w:r>
        <w:rPr>
          <w:rFonts w:hint="eastAsia"/>
          <w:sz w:val="24"/>
        </w:rPr>
        <w:t>投标人名称：</w:t>
      </w:r>
    </w:p>
    <w:p>
      <w:pPr>
        <w:pStyle w:val="8"/>
        <w:snapToGrid w:val="0"/>
        <w:spacing w:line="360" w:lineRule="auto"/>
        <w:ind w:firstLine="998" w:firstLineChars="416"/>
        <w:rPr>
          <w:rFonts w:ascii="宋体" w:hAnsi="宋体"/>
          <w:bCs/>
          <w:sz w:val="24"/>
          <w:szCs w:val="24"/>
        </w:rPr>
      </w:pPr>
      <w:r>
        <w:rPr>
          <w:rFonts w:hint="eastAsia" w:ascii="宋体" w:hAnsi="宋体"/>
          <w:bCs/>
          <w:sz w:val="24"/>
          <w:szCs w:val="24"/>
        </w:rPr>
        <w:t>投标人地址：</w:t>
      </w:r>
    </w:p>
    <w:p>
      <w:pPr>
        <w:pStyle w:val="8"/>
        <w:snapToGrid w:val="0"/>
        <w:spacing w:line="360" w:lineRule="auto"/>
        <w:ind w:firstLine="960" w:firstLineChars="400"/>
        <w:rPr>
          <w:rFonts w:ascii="宋体" w:hAnsi="宋体"/>
          <w:bCs/>
          <w:sz w:val="24"/>
          <w:szCs w:val="24"/>
        </w:rPr>
      </w:pPr>
    </w:p>
    <w:p>
      <w:pPr>
        <w:pStyle w:val="8"/>
        <w:snapToGrid w:val="0"/>
        <w:spacing w:line="360" w:lineRule="auto"/>
        <w:ind w:firstLine="1497" w:firstLineChars="416"/>
        <w:rPr>
          <w:rFonts w:ascii="宋体" w:hAnsi="宋体"/>
          <w:sz w:val="36"/>
        </w:rPr>
      </w:pPr>
    </w:p>
    <w:p>
      <w:pPr>
        <w:snapToGrid w:val="0"/>
        <w:spacing w:line="360" w:lineRule="auto"/>
        <w:ind w:firstLine="4080" w:firstLineChars="1700"/>
        <w:rPr>
          <w:rFonts w:ascii="宋体" w:hAnsi="宋体"/>
          <w:sz w:val="24"/>
          <w:szCs w:val="20"/>
        </w:rPr>
      </w:pPr>
    </w:p>
    <w:p>
      <w:pPr>
        <w:snapToGrid w:val="0"/>
        <w:spacing w:line="360" w:lineRule="auto"/>
        <w:jc w:val="center"/>
        <w:rPr>
          <w:rFonts w:ascii="宋体" w:hAnsi="宋体"/>
          <w:sz w:val="30"/>
          <w:szCs w:val="20"/>
        </w:rPr>
      </w:pPr>
      <w:r>
        <w:rPr>
          <w:rFonts w:hint="eastAsia" w:ascii="宋体" w:hAnsi="宋体"/>
          <w:sz w:val="24"/>
        </w:rPr>
        <w:t>年月日</w:t>
      </w:r>
    </w:p>
    <w:p>
      <w:pPr>
        <w:snapToGrid w:val="0"/>
        <w:spacing w:line="360" w:lineRule="auto"/>
        <w:jc w:val="center"/>
        <w:rPr>
          <w:rFonts w:ascii="宋体" w:hAnsi="宋体"/>
          <w:sz w:val="30"/>
          <w:szCs w:val="20"/>
        </w:rPr>
      </w:pPr>
    </w:p>
    <w:p>
      <w:pPr>
        <w:snapToGrid w:val="0"/>
        <w:spacing w:line="360" w:lineRule="auto"/>
        <w:rPr>
          <w:rFonts w:ascii="宋体" w:hAnsi="宋体"/>
          <w:sz w:val="24"/>
          <w:szCs w:val="20"/>
        </w:rPr>
      </w:pPr>
      <w:r>
        <w:rPr>
          <w:rFonts w:ascii="宋体" w:hAnsi="宋体"/>
        </w:rPr>
        <w:br w:type="page"/>
      </w:r>
      <w:r>
        <w:rPr>
          <w:rFonts w:hint="eastAsia" w:ascii="宋体" w:hAnsi="宋体"/>
          <w:sz w:val="24"/>
        </w:rPr>
        <w:t>33.投标函格式：</w:t>
      </w:r>
    </w:p>
    <w:p>
      <w:pPr>
        <w:snapToGrid w:val="0"/>
        <w:spacing w:line="360" w:lineRule="auto"/>
        <w:jc w:val="center"/>
        <w:rPr>
          <w:rFonts w:ascii="宋体" w:hAnsi="宋体"/>
          <w:b/>
          <w:sz w:val="24"/>
          <w:szCs w:val="20"/>
        </w:rPr>
      </w:pPr>
      <w:r>
        <w:rPr>
          <w:rFonts w:hint="eastAsia" w:ascii="宋体" w:hAnsi="宋体"/>
          <w:b/>
          <w:sz w:val="24"/>
        </w:rPr>
        <w:t>投标函</w:t>
      </w:r>
    </w:p>
    <w:p>
      <w:pPr>
        <w:snapToGrid w:val="0"/>
        <w:spacing w:line="360" w:lineRule="auto"/>
        <w:rPr>
          <w:rFonts w:ascii="宋体" w:hAnsi="宋体"/>
          <w:sz w:val="24"/>
          <w:szCs w:val="20"/>
        </w:rPr>
      </w:pPr>
      <w:r>
        <w:rPr>
          <w:rFonts w:hint="eastAsia" w:ascii="宋体" w:hAnsi="宋体"/>
          <w:sz w:val="24"/>
        </w:rPr>
        <w:t>致：</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（招标采购单位名称）：</w:t>
      </w:r>
    </w:p>
    <w:p>
      <w:pPr>
        <w:snapToGrid w:val="0"/>
        <w:spacing w:line="360" w:lineRule="auto"/>
        <w:ind w:firstLine="480"/>
        <w:rPr>
          <w:rFonts w:ascii="宋体" w:hAnsi="宋体"/>
          <w:sz w:val="24"/>
          <w:szCs w:val="20"/>
        </w:rPr>
      </w:pPr>
      <w:r>
        <w:rPr>
          <w:rFonts w:hint="eastAsia" w:ascii="宋体" w:hAnsi="宋体"/>
          <w:sz w:val="24"/>
        </w:rPr>
        <w:t>根据贵方为项目的招标公告</w:t>
      </w:r>
      <w:r>
        <w:rPr>
          <w:rFonts w:ascii="宋体" w:hAnsi="宋体"/>
          <w:sz w:val="24"/>
        </w:rPr>
        <w:t>/</w:t>
      </w:r>
      <w:r>
        <w:rPr>
          <w:rFonts w:hint="eastAsia" w:ascii="宋体" w:hAnsi="宋体"/>
          <w:sz w:val="24"/>
        </w:rPr>
        <w:t>投标邀请书</w:t>
      </w:r>
    </w:p>
    <w:p>
      <w:pPr>
        <w:snapToGrid w:val="0"/>
        <w:spacing w:line="360" w:lineRule="auto"/>
        <w:rPr>
          <w:rFonts w:ascii="宋体" w:hAnsi="宋体"/>
          <w:sz w:val="24"/>
          <w:szCs w:val="20"/>
        </w:rPr>
      </w:pPr>
      <w:r>
        <w:rPr>
          <w:rFonts w:hint="eastAsia" w:ascii="宋体" w:hAnsi="宋体"/>
          <w:sz w:val="24"/>
        </w:rPr>
        <w:t>（项目编号：</w:t>
      </w:r>
      <w:r>
        <w:rPr>
          <w:rFonts w:ascii="宋体" w:hAnsi="宋体"/>
          <w:sz w:val="24"/>
        </w:rPr>
        <w:t>____</w:t>
      </w:r>
      <w:r>
        <w:rPr>
          <w:rFonts w:ascii="宋体" w:hAnsi="宋体"/>
          <w:sz w:val="24"/>
          <w:u w:val="single"/>
        </w:rPr>
        <w:t>_     _</w:t>
      </w:r>
      <w:r>
        <w:rPr>
          <w:rFonts w:ascii="宋体" w:hAnsi="宋体"/>
          <w:sz w:val="24"/>
        </w:rPr>
        <w:t>_</w:t>
      </w:r>
      <w:r>
        <w:rPr>
          <w:rFonts w:hint="eastAsia" w:ascii="宋体" w:hAnsi="宋体"/>
          <w:sz w:val="24"/>
        </w:rPr>
        <w:t>），签字代表</w:t>
      </w:r>
      <w:r>
        <w:rPr>
          <w:rFonts w:ascii="宋体" w:hAnsi="宋体"/>
          <w:sz w:val="24"/>
        </w:rPr>
        <w:t>______</w:t>
      </w:r>
      <w:r>
        <w:rPr>
          <w:rFonts w:ascii="宋体" w:hAnsi="宋体"/>
          <w:sz w:val="24"/>
          <w:u w:val="single"/>
        </w:rPr>
        <w:t xml:space="preserve">_     </w:t>
      </w:r>
      <w:r>
        <w:rPr>
          <w:rFonts w:hint="eastAsia" w:ascii="宋体" w:hAnsi="宋体"/>
          <w:sz w:val="24"/>
        </w:rPr>
        <w:t>（全名）经正式授权并代表投标人</w:t>
      </w:r>
      <w:r>
        <w:rPr>
          <w:rFonts w:ascii="宋体" w:hAnsi="宋体"/>
          <w:sz w:val="24"/>
        </w:rPr>
        <w:t>_____</w:t>
      </w:r>
      <w:r>
        <w:rPr>
          <w:rFonts w:ascii="宋体" w:hAnsi="宋体"/>
          <w:sz w:val="24"/>
          <w:u w:val="single"/>
        </w:rPr>
        <w:t>__                    __</w:t>
      </w:r>
      <w:r>
        <w:rPr>
          <w:rFonts w:hint="eastAsia" w:ascii="宋体" w:hAnsi="宋体"/>
          <w:sz w:val="24"/>
        </w:rPr>
        <w:t>（投标人名称）提交资格文件、技术/资信/商务文件</w:t>
      </w:r>
      <w:r>
        <w:rPr>
          <w:rFonts w:hint="eastAsia" w:ascii="宋体" w:hAnsi="宋体" w:cs="Arial"/>
          <w:sz w:val="24"/>
        </w:rPr>
        <w:t>、</w:t>
      </w:r>
      <w:r>
        <w:rPr>
          <w:rFonts w:hint="eastAsia" w:ascii="宋体" w:hAnsi="宋体"/>
          <w:sz w:val="24"/>
        </w:rPr>
        <w:t>投标报价文件正本各一份、副本份。</w:t>
      </w:r>
    </w:p>
    <w:p>
      <w:pPr>
        <w:snapToGrid w:val="0"/>
        <w:spacing w:line="360" w:lineRule="auto"/>
        <w:ind w:firstLine="480" w:firstLineChars="200"/>
        <w:rPr>
          <w:rFonts w:ascii="宋体" w:hAnsi="宋体"/>
          <w:sz w:val="24"/>
          <w:szCs w:val="20"/>
        </w:rPr>
      </w:pPr>
      <w:r>
        <w:rPr>
          <w:rFonts w:hint="eastAsia" w:ascii="宋体" w:hAnsi="宋体"/>
          <w:sz w:val="24"/>
        </w:rPr>
        <w:t>据此函，签字代表宣布同意如下：</w:t>
      </w:r>
    </w:p>
    <w:p>
      <w:pPr>
        <w:snapToGrid w:val="0"/>
        <w:spacing w:line="360" w:lineRule="auto"/>
        <w:ind w:firstLine="480" w:firstLineChars="200"/>
        <w:rPr>
          <w:rFonts w:ascii="宋体" w:hAnsi="宋体"/>
          <w:sz w:val="24"/>
          <w:szCs w:val="20"/>
        </w:rPr>
      </w:pPr>
      <w:r>
        <w:rPr>
          <w:rFonts w:ascii="宋体" w:hAnsi="宋体"/>
          <w:sz w:val="24"/>
        </w:rPr>
        <w:t>1</w:t>
      </w:r>
      <w:r>
        <w:rPr>
          <w:rFonts w:hint="eastAsia" w:ascii="宋体" w:hAnsi="宋体"/>
          <w:sz w:val="24"/>
        </w:rPr>
        <w:t>.投标人已详细审查全部“招标文件”，包括修改文件（如有的话）以及全部参考资料和有关附件，已经了解我方对于招标文件、采购过程、采购结果有依法进行询问、质疑、投诉的权利及相关渠道和要求。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80" w:firstLineChars="200"/>
        <w:rPr>
          <w:rFonts w:ascii="宋体" w:hAnsi="宋体"/>
          <w:sz w:val="24"/>
          <w:szCs w:val="20"/>
        </w:rPr>
      </w:pPr>
      <w:r>
        <w:rPr>
          <w:rFonts w:ascii="宋体" w:hAnsi="宋体"/>
          <w:sz w:val="24"/>
        </w:rPr>
        <w:t>2</w:t>
      </w:r>
      <w:r>
        <w:rPr>
          <w:rFonts w:hint="eastAsia" w:ascii="宋体" w:hAnsi="宋体"/>
          <w:sz w:val="24"/>
        </w:rPr>
        <w:t>.投标人在投标之前已经与贵方进行了充分的沟通，完全理解并接受招标文件的各项规定和要求，对招标文件的合理性、合法性不再有异议。</w:t>
      </w:r>
    </w:p>
    <w:p>
      <w:pPr>
        <w:snapToGrid w:val="0"/>
        <w:spacing w:line="360" w:lineRule="auto"/>
        <w:ind w:firstLine="480" w:firstLineChars="200"/>
        <w:rPr>
          <w:rFonts w:ascii="宋体" w:hAnsi="宋体"/>
          <w:sz w:val="24"/>
          <w:szCs w:val="20"/>
        </w:rPr>
      </w:pPr>
      <w:r>
        <w:rPr>
          <w:rFonts w:ascii="宋体" w:hAnsi="宋体"/>
          <w:sz w:val="24"/>
        </w:rPr>
        <w:t>3</w:t>
      </w:r>
      <w:r>
        <w:rPr>
          <w:rFonts w:hint="eastAsia" w:ascii="宋体" w:hAnsi="宋体"/>
          <w:sz w:val="24"/>
        </w:rPr>
        <w:t>.本投标有效期自开标日起</w:t>
      </w:r>
      <w:r>
        <w:rPr>
          <w:rFonts w:ascii="宋体" w:hAnsi="宋体"/>
          <w:sz w:val="24"/>
        </w:rPr>
        <w:t xml:space="preserve"> ______</w:t>
      </w:r>
      <w:r>
        <w:rPr>
          <w:rFonts w:hint="eastAsia" w:ascii="宋体" w:hAnsi="宋体"/>
          <w:sz w:val="24"/>
        </w:rPr>
        <w:t>个日。</w:t>
      </w:r>
    </w:p>
    <w:p>
      <w:pPr>
        <w:snapToGrid w:val="0"/>
        <w:spacing w:line="360" w:lineRule="auto"/>
        <w:ind w:firstLine="480" w:firstLineChars="200"/>
        <w:rPr>
          <w:rFonts w:ascii="宋体" w:hAnsi="宋体"/>
          <w:sz w:val="24"/>
          <w:szCs w:val="20"/>
        </w:rPr>
      </w:pPr>
      <w:r>
        <w:rPr>
          <w:rFonts w:ascii="宋体" w:hAnsi="宋体"/>
          <w:sz w:val="24"/>
        </w:rPr>
        <w:t>4</w:t>
      </w:r>
      <w:r>
        <w:rPr>
          <w:rFonts w:hint="eastAsia" w:ascii="宋体" w:hAnsi="宋体"/>
          <w:sz w:val="24"/>
        </w:rPr>
        <w:t>.如中标，本投标文件至本项目合同履行完毕止均保持有效，本投标人将按“招标文件”及政府采购法律、法规的规定履行合同责任和义务。</w:t>
      </w:r>
    </w:p>
    <w:p>
      <w:pPr>
        <w:snapToGrid w:val="0"/>
        <w:spacing w:line="360" w:lineRule="auto"/>
        <w:ind w:firstLine="480" w:firstLineChars="200"/>
        <w:rPr>
          <w:rFonts w:ascii="宋体" w:hAnsi="宋体"/>
          <w:sz w:val="24"/>
          <w:szCs w:val="20"/>
        </w:rPr>
      </w:pPr>
      <w:r>
        <w:rPr>
          <w:rFonts w:ascii="宋体" w:hAnsi="宋体"/>
          <w:sz w:val="24"/>
        </w:rPr>
        <w:t>5</w:t>
      </w:r>
      <w:r>
        <w:rPr>
          <w:rFonts w:hint="eastAsia" w:ascii="宋体" w:hAnsi="宋体"/>
          <w:sz w:val="24"/>
        </w:rPr>
        <w:t>.投标人同意按照贵方要求提供与投标有关的一切数据或资料。</w:t>
      </w:r>
    </w:p>
    <w:p>
      <w:pPr>
        <w:snapToGrid w:val="0"/>
        <w:spacing w:line="360" w:lineRule="auto"/>
        <w:ind w:firstLine="480" w:firstLineChars="200"/>
        <w:rPr>
          <w:rFonts w:ascii="宋体" w:hAnsi="宋体"/>
          <w:sz w:val="24"/>
          <w:szCs w:val="20"/>
        </w:rPr>
      </w:pPr>
      <w:r>
        <w:rPr>
          <w:rFonts w:ascii="宋体" w:hAnsi="宋体"/>
          <w:sz w:val="24"/>
        </w:rPr>
        <w:t>6</w:t>
      </w:r>
      <w:r>
        <w:rPr>
          <w:rFonts w:hint="eastAsia" w:ascii="宋体" w:hAnsi="宋体"/>
          <w:sz w:val="24"/>
        </w:rPr>
        <w:t>.与本投标有关的一切正式往来信函请寄：</w:t>
      </w:r>
    </w:p>
    <w:p>
      <w:pPr>
        <w:snapToGrid w:val="0"/>
        <w:spacing w:line="360" w:lineRule="auto"/>
        <w:rPr>
          <w:rFonts w:ascii="宋体" w:hAnsi="宋体"/>
          <w:sz w:val="24"/>
          <w:szCs w:val="20"/>
        </w:rPr>
      </w:pPr>
      <w:r>
        <w:rPr>
          <w:rFonts w:hint="eastAsia" w:ascii="宋体" w:hAnsi="宋体"/>
          <w:sz w:val="24"/>
        </w:rPr>
        <w:t>地址：</w:t>
      </w:r>
      <w:r>
        <w:rPr>
          <w:rFonts w:ascii="宋体" w:hAnsi="宋体"/>
          <w:sz w:val="24"/>
        </w:rPr>
        <w:t>__________</w:t>
      </w:r>
      <w:r>
        <w:rPr>
          <w:rFonts w:ascii="宋体" w:hAnsi="宋体"/>
          <w:sz w:val="24"/>
          <w:u w:val="single"/>
        </w:rPr>
        <w:t xml:space="preserve">        _</w:t>
      </w:r>
      <w:r>
        <w:rPr>
          <w:rFonts w:ascii="宋体" w:hAnsi="宋体"/>
          <w:sz w:val="24"/>
        </w:rPr>
        <w:t>____</w:t>
      </w:r>
      <w:r>
        <w:rPr>
          <w:rFonts w:hint="eastAsia" w:ascii="宋体" w:hAnsi="宋体"/>
          <w:sz w:val="24"/>
        </w:rPr>
        <w:t>邮编：</w:t>
      </w:r>
      <w:r>
        <w:rPr>
          <w:rFonts w:ascii="宋体" w:hAnsi="宋体"/>
          <w:sz w:val="24"/>
        </w:rPr>
        <w:t xml:space="preserve">__________   </w:t>
      </w:r>
      <w:r>
        <w:rPr>
          <w:rFonts w:hint="eastAsia" w:ascii="宋体" w:hAnsi="宋体"/>
          <w:sz w:val="24"/>
        </w:rPr>
        <w:t>电话：</w:t>
      </w:r>
      <w:r>
        <w:rPr>
          <w:rFonts w:ascii="宋体" w:hAnsi="宋体"/>
          <w:sz w:val="24"/>
        </w:rPr>
        <w:t>______________</w:t>
      </w:r>
    </w:p>
    <w:p>
      <w:pPr>
        <w:snapToGrid w:val="0"/>
        <w:spacing w:line="360" w:lineRule="auto"/>
        <w:rPr>
          <w:rFonts w:ascii="宋体" w:hAnsi="宋体"/>
          <w:sz w:val="24"/>
          <w:szCs w:val="20"/>
        </w:rPr>
      </w:pPr>
      <w:r>
        <w:rPr>
          <w:rFonts w:hint="eastAsia" w:ascii="宋体" w:hAnsi="宋体"/>
          <w:sz w:val="24"/>
        </w:rPr>
        <w:t>传真：</w:t>
      </w:r>
      <w:r>
        <w:rPr>
          <w:rFonts w:ascii="宋体" w:hAnsi="宋体"/>
          <w:sz w:val="24"/>
        </w:rPr>
        <w:t>______________</w:t>
      </w:r>
      <w:r>
        <w:rPr>
          <w:rFonts w:hint="eastAsia" w:ascii="宋体" w:hAnsi="宋体"/>
          <w:sz w:val="24"/>
        </w:rPr>
        <w:t>投标人代表姓名</w:t>
      </w:r>
      <w:r>
        <w:rPr>
          <w:rFonts w:ascii="宋体" w:hAnsi="宋体"/>
          <w:sz w:val="24"/>
        </w:rPr>
        <w:t xml:space="preserve"> ___________  </w:t>
      </w:r>
      <w:r>
        <w:rPr>
          <w:rFonts w:hint="eastAsia" w:ascii="宋体" w:hAnsi="宋体"/>
          <w:sz w:val="24"/>
        </w:rPr>
        <w:t>职务：</w:t>
      </w:r>
      <w:r>
        <w:rPr>
          <w:rFonts w:ascii="宋体" w:hAnsi="宋体"/>
          <w:sz w:val="24"/>
        </w:rPr>
        <w:t>_____________</w:t>
      </w:r>
    </w:p>
    <w:p>
      <w:pPr>
        <w:snapToGrid w:val="0"/>
        <w:spacing w:line="360" w:lineRule="auto"/>
        <w:rPr>
          <w:rFonts w:ascii="宋体" w:hAnsi="宋体"/>
          <w:sz w:val="24"/>
          <w:szCs w:val="20"/>
        </w:rPr>
      </w:pPr>
      <w:r>
        <w:rPr>
          <w:rFonts w:hint="eastAsia" w:ascii="宋体" w:hAnsi="宋体"/>
          <w:sz w:val="24"/>
        </w:rPr>
        <w:t>投标人名称</w:t>
      </w:r>
      <w:r>
        <w:rPr>
          <w:rFonts w:ascii="宋体" w:hAnsi="宋体"/>
          <w:sz w:val="24"/>
        </w:rPr>
        <w:t>(</w:t>
      </w:r>
      <w:r>
        <w:rPr>
          <w:rFonts w:hint="eastAsia" w:ascii="宋体" w:hAnsi="宋体"/>
          <w:sz w:val="24"/>
        </w:rPr>
        <w:t>公章</w:t>
      </w:r>
      <w:r>
        <w:rPr>
          <w:rFonts w:ascii="宋体" w:hAnsi="宋体"/>
          <w:sz w:val="24"/>
        </w:rPr>
        <w:t>):___________________</w:t>
      </w:r>
    </w:p>
    <w:p>
      <w:pPr>
        <w:snapToGrid w:val="0"/>
        <w:spacing w:line="360" w:lineRule="auto"/>
        <w:rPr>
          <w:rFonts w:ascii="宋体" w:hAnsi="宋体"/>
          <w:sz w:val="24"/>
          <w:szCs w:val="20"/>
        </w:rPr>
      </w:pPr>
      <w:r>
        <w:rPr>
          <w:rFonts w:hint="eastAsia" w:ascii="宋体" w:hAnsi="宋体"/>
          <w:sz w:val="24"/>
        </w:rPr>
        <w:t>开户银行：银行帐号：</w:t>
      </w:r>
    </w:p>
    <w:p>
      <w:pPr>
        <w:snapToGrid w:val="0"/>
        <w:spacing w:line="360" w:lineRule="auto"/>
        <w:rPr>
          <w:rFonts w:ascii="宋体" w:hAnsi="宋体"/>
          <w:sz w:val="30"/>
          <w:szCs w:val="20"/>
        </w:rPr>
      </w:pPr>
      <w:r>
        <w:rPr>
          <w:rFonts w:hint="eastAsia" w:ascii="宋体" w:hAnsi="宋体"/>
          <w:sz w:val="24"/>
        </w:rPr>
        <w:t>法定代表人签字</w:t>
      </w:r>
      <w:r>
        <w:rPr>
          <w:rFonts w:ascii="宋体" w:hAnsi="宋体"/>
          <w:sz w:val="24"/>
        </w:rPr>
        <w:t xml:space="preserve">:___________                      </w:t>
      </w:r>
      <w:r>
        <w:rPr>
          <w:rFonts w:hint="eastAsia" w:ascii="宋体" w:hAnsi="宋体"/>
          <w:sz w:val="24"/>
        </w:rPr>
        <w:t>日期</w:t>
      </w:r>
      <w:r>
        <w:rPr>
          <w:rFonts w:ascii="宋体" w:hAnsi="宋体"/>
          <w:sz w:val="24"/>
        </w:rPr>
        <w:t>:_____</w:t>
      </w:r>
      <w:r>
        <w:rPr>
          <w:rFonts w:hint="eastAsia" w:ascii="宋体" w:hAnsi="宋体"/>
          <w:sz w:val="24"/>
        </w:rPr>
        <w:t>年</w:t>
      </w:r>
      <w:r>
        <w:rPr>
          <w:rFonts w:ascii="宋体" w:hAnsi="宋体"/>
          <w:sz w:val="24"/>
        </w:rPr>
        <w:t>___</w:t>
      </w:r>
      <w:r>
        <w:rPr>
          <w:rFonts w:hint="eastAsia" w:ascii="宋体" w:hAnsi="宋体"/>
          <w:sz w:val="24"/>
        </w:rPr>
        <w:t>月</w:t>
      </w:r>
      <w:r>
        <w:rPr>
          <w:rFonts w:ascii="宋体" w:hAnsi="宋体"/>
          <w:sz w:val="24"/>
        </w:rPr>
        <w:t>___</w:t>
      </w:r>
      <w:r>
        <w:rPr>
          <w:rFonts w:hint="eastAsia" w:ascii="宋体" w:hAnsi="宋体"/>
          <w:sz w:val="24"/>
        </w:rPr>
        <w:t>日</w:t>
      </w:r>
    </w:p>
    <w:p>
      <w:pPr>
        <w:pStyle w:val="24"/>
        <w:snapToGrid w:val="0"/>
        <w:spacing w:beforeLines="0" w:afterLines="0" w:line="360" w:lineRule="auto"/>
        <w:rPr>
          <w:rFonts w:hAnsi="宋体"/>
        </w:rPr>
      </w:pPr>
    </w:p>
    <w:p>
      <w:pPr>
        <w:snapToGrid w:val="0"/>
        <w:spacing w:line="360" w:lineRule="auto"/>
        <w:jc w:val="left"/>
        <w:rPr>
          <w:rFonts w:ascii="宋体" w:hAnsi="宋体" w:cs="仿宋"/>
          <w:kern w:val="0"/>
          <w:sz w:val="24"/>
        </w:rPr>
      </w:pPr>
      <w:r>
        <w:rPr>
          <w:rFonts w:hAnsi="宋体"/>
        </w:rPr>
        <w:br w:type="page"/>
      </w:r>
    </w:p>
    <w:p>
      <w:pPr>
        <w:pStyle w:val="24"/>
        <w:snapToGrid w:val="0"/>
        <w:spacing w:beforeLines="0" w:afterLines="0" w:line="360" w:lineRule="auto"/>
        <w:rPr>
          <w:rFonts w:hAnsi="宋体"/>
        </w:rPr>
      </w:pPr>
      <w:r>
        <w:rPr>
          <w:rFonts w:hint="eastAsia" w:hAnsi="宋体" w:cs="仿宋"/>
        </w:rPr>
        <w:t>34.</w:t>
      </w:r>
      <w:r>
        <w:rPr>
          <w:rFonts w:hAnsi="宋体"/>
        </w:rPr>
        <w:t xml:space="preserve">投标报价明细表格式（适用于货物类项目）：       </w:t>
      </w:r>
    </w:p>
    <w:p>
      <w:pPr>
        <w:pStyle w:val="24"/>
        <w:snapToGrid w:val="0"/>
        <w:spacing w:beforeLines="0" w:afterLines="0" w:line="360" w:lineRule="auto"/>
        <w:jc w:val="center"/>
        <w:rPr>
          <w:rFonts w:hAnsi="宋体"/>
        </w:rPr>
      </w:pPr>
      <w:r>
        <w:rPr>
          <w:rFonts w:hAnsi="宋体"/>
        </w:rPr>
        <w:t>投标报价明细表</w:t>
      </w:r>
    </w:p>
    <w:p>
      <w:pPr>
        <w:pStyle w:val="24"/>
        <w:snapToGrid w:val="0"/>
        <w:spacing w:beforeLines="0" w:afterLines="0" w:line="360" w:lineRule="auto"/>
        <w:rPr>
          <w:rFonts w:hAnsi="宋体"/>
          <w:sz w:val="30"/>
        </w:rPr>
      </w:pPr>
      <w:r>
        <w:rPr>
          <w:rFonts w:hAnsi="宋体"/>
        </w:rPr>
        <w:t>项目名称：</w:t>
      </w:r>
      <w:r>
        <w:rPr>
          <w:rFonts w:hAnsi="宋体"/>
          <w:szCs w:val="21"/>
        </w:rPr>
        <w:t>金额单位：人民币（元）</w:t>
      </w:r>
    </w:p>
    <w:tbl>
      <w:tblPr>
        <w:tblStyle w:val="40"/>
        <w:tblW w:w="0" w:type="auto"/>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620"/>
        <w:gridCol w:w="1080"/>
        <w:gridCol w:w="1440"/>
        <w:gridCol w:w="8"/>
        <w:gridCol w:w="1612"/>
        <w:gridCol w:w="1260"/>
        <w:gridCol w:w="144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auto"/>
              <w:jc w:val="center"/>
              <w:rPr>
                <w:rFonts w:ascii="宋体" w:hAnsi="宋体"/>
                <w:spacing w:val="20"/>
                <w:sz w:val="24"/>
                <w:szCs w:val="20"/>
              </w:rPr>
            </w:pPr>
            <w:r>
              <w:rPr>
                <w:rFonts w:hint="eastAsia" w:ascii="宋体" w:hAnsi="宋体"/>
                <w:sz w:val="24"/>
              </w:rPr>
              <w:t>序号</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auto"/>
              <w:jc w:val="center"/>
              <w:rPr>
                <w:rFonts w:ascii="宋体" w:hAnsi="宋体"/>
                <w:spacing w:val="20"/>
                <w:sz w:val="24"/>
                <w:szCs w:val="20"/>
              </w:rPr>
            </w:pPr>
            <w:r>
              <w:rPr>
                <w:rFonts w:hint="eastAsia" w:ascii="宋体" w:hAnsi="宋体"/>
                <w:sz w:val="24"/>
              </w:rPr>
              <w:t>设备名称</w:t>
            </w:r>
          </w:p>
        </w:tc>
        <w:tc>
          <w:tcPr>
            <w:tcW w:w="1080" w:type="dxa"/>
            <w:tcBorders>
              <w:top w:val="single" w:color="auto" w:sz="4" w:space="0"/>
              <w:left w:val="single" w:color="auto" w:sz="4" w:space="0"/>
              <w:bottom w:val="single" w:color="auto" w:sz="4" w:space="0"/>
              <w:right w:val="single" w:color="auto" w:sz="4" w:space="0"/>
            </w:tcBorders>
            <w:vAlign w:val="center"/>
          </w:tcPr>
          <w:p>
            <w:pPr>
              <w:pStyle w:val="103"/>
              <w:snapToGrid w:val="0"/>
              <w:rPr>
                <w:rFonts w:ascii="宋体" w:hAnsi="宋体" w:eastAsia="宋体"/>
              </w:rPr>
            </w:pPr>
            <w:r>
              <w:rPr>
                <w:rFonts w:ascii="宋体" w:hAnsi="宋体" w:eastAsia="宋体"/>
              </w:rPr>
              <w:t>品牌</w:t>
            </w: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auto"/>
              <w:jc w:val="center"/>
              <w:rPr>
                <w:rFonts w:ascii="宋体" w:hAnsi="宋体"/>
                <w:spacing w:val="20"/>
                <w:sz w:val="24"/>
                <w:szCs w:val="20"/>
              </w:rPr>
            </w:pPr>
            <w:r>
              <w:rPr>
                <w:rFonts w:hint="eastAsia" w:ascii="宋体" w:hAnsi="宋体"/>
                <w:sz w:val="24"/>
              </w:rPr>
              <w:t>规格型号</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auto"/>
              <w:jc w:val="center"/>
              <w:rPr>
                <w:rFonts w:ascii="宋体" w:hAnsi="宋体"/>
                <w:spacing w:val="20"/>
                <w:sz w:val="24"/>
                <w:szCs w:val="20"/>
              </w:rPr>
            </w:pPr>
            <w:r>
              <w:rPr>
                <w:rFonts w:hint="eastAsia" w:ascii="宋体" w:hAnsi="宋体"/>
                <w:sz w:val="24"/>
              </w:rPr>
              <w:t>单位及数量</w:t>
            </w:r>
          </w:p>
        </w:tc>
        <w:tc>
          <w:tcPr>
            <w:tcW w:w="126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auto"/>
              <w:jc w:val="center"/>
              <w:rPr>
                <w:rFonts w:ascii="宋体" w:hAnsi="宋体"/>
                <w:spacing w:val="20"/>
                <w:sz w:val="24"/>
                <w:szCs w:val="20"/>
              </w:rPr>
            </w:pPr>
            <w:r>
              <w:rPr>
                <w:rFonts w:hint="eastAsia" w:ascii="宋体" w:hAnsi="宋体"/>
                <w:sz w:val="24"/>
              </w:rPr>
              <w:t>单价</w:t>
            </w: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auto"/>
              <w:jc w:val="center"/>
              <w:rPr>
                <w:rFonts w:ascii="宋体" w:hAnsi="宋体"/>
                <w:spacing w:val="20"/>
                <w:sz w:val="24"/>
                <w:szCs w:val="20"/>
              </w:rPr>
            </w:pPr>
            <w:r>
              <w:rPr>
                <w:rFonts w:hint="eastAsia" w:ascii="宋体" w:hAnsi="宋体"/>
                <w:sz w:val="24"/>
              </w:rPr>
              <w:t>金额</w:t>
            </w: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auto"/>
              <w:jc w:val="center"/>
              <w:rPr>
                <w:rFonts w:ascii="宋体" w:hAnsi="宋体"/>
                <w:sz w:val="24"/>
              </w:rPr>
            </w:pPr>
            <w:r>
              <w:rPr>
                <w:rFonts w:hint="eastAsia" w:ascii="宋体" w:hAnsi="宋体"/>
                <w:sz w:val="24"/>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62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62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62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62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62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62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62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62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Cs w:val="20"/>
              </w:rPr>
            </w:pPr>
            <w:r>
              <w:rPr>
                <w:rFonts w:ascii="宋体" w:hAnsi="宋体"/>
                <w:spacing w:val="20"/>
              </w:rPr>
              <w:t>……</w:t>
            </w: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62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5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r>
              <w:rPr>
                <w:rFonts w:hint="eastAsia" w:ascii="宋体" w:hAnsi="宋体"/>
                <w:spacing w:val="20"/>
                <w:sz w:val="24"/>
              </w:rPr>
              <w:t>专用耗材</w:t>
            </w: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62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0" w:type="dxa"/>
            <w:gridSpan w:val="8"/>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r>
              <w:rPr>
                <w:rFonts w:hint="eastAsia" w:ascii="宋体" w:hAnsi="宋体"/>
                <w:spacing w:val="20"/>
                <w:sz w:val="24"/>
              </w:rPr>
              <w:t>投标费用及利润</w:t>
            </w: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4140" w:type="dxa"/>
            <w:gridSpan w:val="3"/>
            <w:tcBorders>
              <w:top w:val="single" w:color="auto" w:sz="4" w:space="0"/>
              <w:left w:val="single" w:color="auto" w:sz="4" w:space="0"/>
              <w:bottom w:val="single" w:color="auto" w:sz="4" w:space="0"/>
              <w:right w:val="single" w:color="auto" w:sz="4" w:space="0"/>
            </w:tcBorders>
          </w:tcPr>
          <w:p>
            <w:pPr>
              <w:pStyle w:val="86"/>
              <w:tabs>
                <w:tab w:val="left" w:pos="1418"/>
              </w:tabs>
              <w:snapToGrid w:val="0"/>
              <w:spacing w:line="360" w:lineRule="auto"/>
              <w:rPr>
                <w:rFonts w:ascii="宋体" w:hAnsi="宋体"/>
                <w:spacing w:val="20"/>
                <w:szCs w:val="24"/>
              </w:rPr>
            </w:pPr>
            <w:r>
              <w:rPr>
                <w:rFonts w:hint="eastAsia" w:ascii="宋体" w:hAnsi="宋体"/>
                <w:spacing w:val="20"/>
                <w:szCs w:val="24"/>
              </w:rPr>
              <w:t>运输费、安装调试费</w:t>
            </w:r>
          </w:p>
        </w:tc>
        <w:tc>
          <w:tcPr>
            <w:tcW w:w="162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5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4140" w:type="dxa"/>
            <w:gridSpan w:val="3"/>
            <w:tcBorders>
              <w:top w:val="single" w:color="auto" w:sz="4" w:space="0"/>
              <w:left w:val="single" w:color="auto" w:sz="4" w:space="0"/>
              <w:bottom w:val="single" w:color="auto" w:sz="4" w:space="0"/>
              <w:right w:val="single" w:color="auto" w:sz="4" w:space="0"/>
            </w:tcBorders>
          </w:tcPr>
          <w:p>
            <w:pPr>
              <w:pStyle w:val="86"/>
              <w:tabs>
                <w:tab w:val="left" w:pos="1418"/>
              </w:tabs>
              <w:snapToGrid w:val="0"/>
              <w:spacing w:line="360" w:lineRule="auto"/>
              <w:rPr>
                <w:rFonts w:ascii="宋体" w:hAnsi="宋体"/>
                <w:spacing w:val="20"/>
                <w:szCs w:val="24"/>
              </w:rPr>
            </w:pPr>
            <w:r>
              <w:rPr>
                <w:rFonts w:hint="eastAsia" w:ascii="宋体" w:hAnsi="宋体"/>
                <w:spacing w:val="20"/>
                <w:szCs w:val="24"/>
              </w:rPr>
              <w:t>代理费</w:t>
            </w:r>
          </w:p>
        </w:tc>
        <w:tc>
          <w:tcPr>
            <w:tcW w:w="162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4140" w:type="dxa"/>
            <w:gridSpan w:val="3"/>
            <w:tcBorders>
              <w:top w:val="single" w:color="auto" w:sz="4" w:space="0"/>
              <w:left w:val="single" w:color="auto" w:sz="4" w:space="0"/>
              <w:bottom w:val="single" w:color="auto" w:sz="4" w:space="0"/>
              <w:right w:val="single" w:color="auto" w:sz="4" w:space="0"/>
            </w:tcBorders>
          </w:tcPr>
          <w:p>
            <w:pPr>
              <w:pStyle w:val="86"/>
              <w:tabs>
                <w:tab w:val="left" w:pos="1418"/>
              </w:tabs>
              <w:snapToGrid w:val="0"/>
              <w:spacing w:line="360" w:lineRule="auto"/>
              <w:rPr>
                <w:rFonts w:ascii="宋体" w:hAnsi="宋体"/>
                <w:spacing w:val="20"/>
                <w:szCs w:val="24"/>
              </w:rPr>
            </w:pPr>
            <w:r>
              <w:rPr>
                <w:rFonts w:hint="eastAsia" w:ascii="宋体" w:hAnsi="宋体"/>
                <w:spacing w:val="20"/>
                <w:szCs w:val="24"/>
              </w:rPr>
              <w:t>其他：</w:t>
            </w:r>
          </w:p>
        </w:tc>
        <w:tc>
          <w:tcPr>
            <w:tcW w:w="162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4148" w:type="dxa"/>
            <w:gridSpan w:val="4"/>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rPr>
                <w:rFonts w:ascii="宋体" w:hAnsi="宋体"/>
                <w:spacing w:val="20"/>
                <w:sz w:val="24"/>
                <w:szCs w:val="20"/>
              </w:rPr>
            </w:pPr>
            <w:r>
              <w:rPr>
                <w:rFonts w:hint="eastAsia" w:ascii="宋体" w:hAnsi="宋体"/>
                <w:spacing w:val="20"/>
                <w:sz w:val="24"/>
              </w:rPr>
              <w:t>税费及附加</w:t>
            </w:r>
          </w:p>
        </w:tc>
        <w:tc>
          <w:tcPr>
            <w:tcW w:w="2872"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ind w:left="8"/>
              <w:rPr>
                <w:rFonts w:ascii="宋体" w:hAnsi="宋体"/>
                <w:spacing w:val="20"/>
                <w:sz w:val="24"/>
                <w:szCs w:val="20"/>
              </w:rPr>
            </w:pPr>
            <w:r>
              <w:rPr>
                <w:rFonts w:hint="eastAsia" w:ascii="宋体" w:hAnsi="宋体"/>
                <w:spacing w:val="20"/>
                <w:sz w:val="24"/>
              </w:rPr>
              <w:t>税费率</w:t>
            </w:r>
            <w:r>
              <w:rPr>
                <w:rFonts w:ascii="宋体" w:hAnsi="宋体"/>
                <w:spacing w:val="20"/>
                <w:sz w:val="24"/>
              </w:rPr>
              <w:t>: %</w:t>
            </w: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4148" w:type="dxa"/>
            <w:gridSpan w:val="4"/>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rPr>
                <w:rFonts w:ascii="宋体" w:hAnsi="宋体"/>
                <w:spacing w:val="20"/>
                <w:sz w:val="24"/>
                <w:szCs w:val="20"/>
              </w:rPr>
            </w:pPr>
            <w:r>
              <w:rPr>
                <w:rFonts w:hint="eastAsia" w:ascii="宋体" w:hAnsi="宋体"/>
                <w:spacing w:val="20"/>
                <w:sz w:val="24"/>
              </w:rPr>
              <w:t>项目毛利</w:t>
            </w:r>
          </w:p>
        </w:tc>
        <w:tc>
          <w:tcPr>
            <w:tcW w:w="2872"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ind w:left="8"/>
              <w:rPr>
                <w:rFonts w:ascii="宋体" w:hAnsi="宋体"/>
                <w:spacing w:val="20"/>
                <w:sz w:val="24"/>
                <w:szCs w:val="20"/>
              </w:rPr>
            </w:pPr>
            <w:r>
              <w:rPr>
                <w:rFonts w:hint="eastAsia" w:ascii="宋体" w:hAnsi="宋体"/>
                <w:spacing w:val="20"/>
                <w:sz w:val="24"/>
              </w:rPr>
              <w:t>毛利率：</w:t>
            </w:r>
            <w:r>
              <w:rPr>
                <w:rFonts w:ascii="宋体" w:hAnsi="宋体"/>
                <w:spacing w:val="20"/>
                <w:sz w:val="24"/>
              </w:rPr>
              <w:t>%</w:t>
            </w: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60" w:type="dxa"/>
            <w:gridSpan w:val="7"/>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r>
              <w:rPr>
                <w:rFonts w:hint="eastAsia" w:ascii="宋体" w:hAnsi="宋体"/>
                <w:spacing w:val="20"/>
                <w:sz w:val="24"/>
              </w:rPr>
              <w:t>投 标 总价</w:t>
            </w: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r>
    </w:tbl>
    <w:p>
      <w:pPr>
        <w:tabs>
          <w:tab w:val="left" w:pos="1418"/>
        </w:tabs>
        <w:snapToGrid w:val="0"/>
        <w:spacing w:line="360" w:lineRule="auto"/>
        <w:ind w:left="1418" w:hanging="567"/>
        <w:jc w:val="center"/>
        <w:rPr>
          <w:rFonts w:ascii="宋体" w:hAnsi="宋体"/>
          <w:spacing w:val="20"/>
          <w:sz w:val="24"/>
          <w:szCs w:val="20"/>
          <w:u w:val="single"/>
        </w:rPr>
      </w:pPr>
    </w:p>
    <w:p>
      <w:pPr>
        <w:snapToGrid w:val="0"/>
        <w:spacing w:line="360" w:lineRule="auto"/>
        <w:rPr>
          <w:rFonts w:ascii="宋体" w:hAnsi="宋体"/>
          <w:spacing w:val="20"/>
          <w:sz w:val="24"/>
          <w:szCs w:val="20"/>
          <w:u w:val="single"/>
        </w:rPr>
      </w:pPr>
      <w:r>
        <w:rPr>
          <w:rFonts w:hint="eastAsia" w:ascii="宋体" w:hAnsi="宋体"/>
          <w:spacing w:val="20"/>
          <w:sz w:val="24"/>
        </w:rPr>
        <w:t>授权代表签名：</w:t>
      </w:r>
    </w:p>
    <w:p>
      <w:pPr>
        <w:snapToGrid w:val="0"/>
        <w:spacing w:line="360" w:lineRule="auto"/>
        <w:rPr>
          <w:rFonts w:ascii="宋体" w:hAnsi="宋体"/>
          <w:spacing w:val="20"/>
          <w:sz w:val="24"/>
          <w:szCs w:val="20"/>
          <w:u w:val="single"/>
        </w:rPr>
      </w:pPr>
      <w:r>
        <w:rPr>
          <w:rFonts w:hint="eastAsia" w:ascii="宋体" w:hAnsi="宋体"/>
          <w:spacing w:val="20"/>
          <w:sz w:val="24"/>
        </w:rPr>
        <w:t>投标人盖章：日期：</w:t>
      </w:r>
    </w:p>
    <w:p>
      <w:pPr>
        <w:pStyle w:val="24"/>
        <w:snapToGrid w:val="0"/>
        <w:spacing w:beforeLines="0" w:afterLines="0" w:line="360" w:lineRule="auto"/>
        <w:rPr>
          <w:rFonts w:hAnsi="宋体"/>
        </w:rPr>
      </w:pPr>
    </w:p>
    <w:p>
      <w:pPr>
        <w:pStyle w:val="24"/>
        <w:snapToGrid w:val="0"/>
        <w:spacing w:beforeLines="0" w:afterLines="0" w:line="360" w:lineRule="auto"/>
        <w:rPr>
          <w:rFonts w:hAnsi="宋体"/>
        </w:rPr>
      </w:pPr>
    </w:p>
    <w:p>
      <w:pPr>
        <w:pStyle w:val="24"/>
        <w:snapToGrid w:val="0"/>
        <w:spacing w:beforeLines="0" w:afterLines="0" w:line="360" w:lineRule="auto"/>
        <w:rPr>
          <w:rFonts w:hAnsi="宋体"/>
        </w:rPr>
      </w:pPr>
    </w:p>
    <w:p>
      <w:pPr>
        <w:pStyle w:val="24"/>
        <w:snapToGrid w:val="0"/>
        <w:spacing w:beforeLines="0" w:afterLines="0" w:line="360" w:lineRule="auto"/>
        <w:rPr>
          <w:rFonts w:hAnsi="宋体"/>
        </w:rPr>
      </w:pPr>
    </w:p>
    <w:p>
      <w:pPr>
        <w:pStyle w:val="24"/>
        <w:snapToGrid w:val="0"/>
        <w:spacing w:beforeLines="0" w:afterLines="0" w:line="360" w:lineRule="auto"/>
        <w:rPr>
          <w:rFonts w:hAnsi="宋体"/>
        </w:rPr>
      </w:pPr>
    </w:p>
    <w:p>
      <w:pPr>
        <w:spacing w:line="360" w:lineRule="auto"/>
        <w:rPr>
          <w:sz w:val="24"/>
        </w:rPr>
      </w:pPr>
      <w:r>
        <w:rPr>
          <w:rFonts w:hint="eastAsia"/>
        </w:rPr>
        <w:t xml:space="preserve">35. </w:t>
      </w:r>
      <w:r>
        <w:rPr>
          <w:rFonts w:hint="eastAsia"/>
          <w:sz w:val="24"/>
        </w:rPr>
        <w:t>招标代理服务费承诺函</w:t>
      </w:r>
    </w:p>
    <w:p>
      <w:pPr>
        <w:spacing w:line="360" w:lineRule="auto"/>
        <w:jc w:val="center"/>
        <w:rPr>
          <w:b/>
          <w:sz w:val="32"/>
        </w:rPr>
      </w:pPr>
    </w:p>
    <w:p>
      <w:pPr>
        <w:tabs>
          <w:tab w:val="left" w:pos="2996"/>
        </w:tabs>
        <w:spacing w:line="360" w:lineRule="auto"/>
        <w:ind w:firstLine="480" w:firstLineChars="200"/>
        <w:rPr>
          <w:sz w:val="24"/>
        </w:rPr>
      </w:pPr>
      <w:r>
        <w:rPr>
          <w:rFonts w:hint="eastAsia"/>
          <w:sz w:val="24"/>
        </w:rPr>
        <w:t>根据国家计委、物价局文件和招标文件的规定，一旦我公司中标，我公司同意按本招标文件规定向政府采购代理机构交纳招标代理服务费，在中标通知书发出当日一次性向代理机构缴清招标代理服务费。本承诺函自开标之日起至本次采购期满有效。</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ind w:firstLine="3840" w:firstLineChars="1600"/>
        <w:rPr>
          <w:rFonts w:ascii="宋体" w:hAnsi="宋体"/>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pStyle w:val="8"/>
        <w:spacing w:line="360" w:lineRule="auto"/>
        <w:ind w:firstLine="1454" w:firstLineChars="606"/>
        <w:rPr>
          <w:rFonts w:ascii="宋体" w:hAnsi="宋体"/>
          <w:sz w:val="24"/>
          <w:szCs w:val="24"/>
        </w:rPr>
      </w:pPr>
      <w:r>
        <w:rPr>
          <w:rFonts w:hint="eastAsia" w:ascii="宋体" w:hAnsi="宋体"/>
          <w:sz w:val="24"/>
          <w:szCs w:val="24"/>
        </w:rPr>
        <w:t>投标人：（盖章）</w:t>
      </w:r>
    </w:p>
    <w:p>
      <w:pPr>
        <w:pStyle w:val="8"/>
        <w:spacing w:line="360" w:lineRule="auto"/>
        <w:ind w:firstLine="374" w:firstLineChars="156"/>
        <w:rPr>
          <w:rFonts w:ascii="宋体" w:hAnsi="宋体"/>
          <w:sz w:val="24"/>
          <w:szCs w:val="24"/>
        </w:rPr>
      </w:pPr>
    </w:p>
    <w:p>
      <w:pPr>
        <w:pStyle w:val="8"/>
        <w:spacing w:line="360" w:lineRule="auto"/>
        <w:ind w:firstLine="1334" w:firstLineChars="556"/>
        <w:rPr>
          <w:rFonts w:ascii="宋体" w:hAnsi="宋体"/>
          <w:sz w:val="24"/>
          <w:szCs w:val="24"/>
        </w:rPr>
      </w:pPr>
      <w:r>
        <w:rPr>
          <w:rFonts w:hint="eastAsia" w:ascii="宋体" w:hAnsi="宋体"/>
          <w:sz w:val="24"/>
          <w:szCs w:val="24"/>
        </w:rPr>
        <w:t>法定代表人或其授权代理人（签名或盖章）</w:t>
      </w:r>
    </w:p>
    <w:p>
      <w:pPr>
        <w:pStyle w:val="8"/>
        <w:spacing w:line="360" w:lineRule="auto"/>
        <w:ind w:firstLine="374" w:firstLineChars="156"/>
        <w:jc w:val="center"/>
        <w:rPr>
          <w:rFonts w:ascii="宋体" w:hAnsi="宋体"/>
          <w:sz w:val="24"/>
          <w:szCs w:val="24"/>
        </w:rPr>
      </w:pPr>
    </w:p>
    <w:p>
      <w:pPr>
        <w:pStyle w:val="8"/>
        <w:spacing w:line="360" w:lineRule="auto"/>
        <w:ind w:left="840" w:firstLine="374" w:firstLineChars="156"/>
        <w:rPr>
          <w:rFonts w:ascii="宋体" w:hAnsi="宋体"/>
          <w:sz w:val="24"/>
          <w:szCs w:val="24"/>
        </w:rPr>
      </w:pPr>
      <w:r>
        <w:rPr>
          <w:rFonts w:hint="eastAsia" w:ascii="宋体" w:hAnsi="宋体"/>
          <w:sz w:val="24"/>
          <w:szCs w:val="24"/>
        </w:rPr>
        <w:t xml:space="preserve">              日期：    年   月   日</w:t>
      </w:r>
    </w:p>
    <w:p>
      <w:pPr>
        <w:pStyle w:val="24"/>
        <w:snapToGrid w:val="0"/>
        <w:spacing w:beforeLines="0" w:afterLines="0" w:line="360" w:lineRule="auto"/>
      </w:pPr>
    </w:p>
    <w:p>
      <w:pPr>
        <w:pStyle w:val="8"/>
        <w:spacing w:line="500" w:lineRule="exact"/>
        <w:ind w:firstLine="0"/>
        <w:jc w:val="left"/>
        <w:rPr>
          <w:rFonts w:ascii="宋体" w:hAnsi="宋体"/>
          <w:sz w:val="24"/>
          <w:szCs w:val="24"/>
          <w:u w:val="single"/>
        </w:rPr>
      </w:pPr>
    </w:p>
    <w:p>
      <w:pPr>
        <w:pStyle w:val="8"/>
        <w:spacing w:line="500" w:lineRule="exact"/>
        <w:ind w:firstLine="0"/>
        <w:jc w:val="left"/>
        <w:rPr>
          <w:rFonts w:ascii="宋体" w:hAnsi="宋体"/>
          <w:sz w:val="24"/>
          <w:szCs w:val="24"/>
        </w:rPr>
      </w:pPr>
    </w:p>
    <w:p>
      <w:pPr>
        <w:pStyle w:val="8"/>
        <w:spacing w:line="500" w:lineRule="exact"/>
        <w:ind w:firstLine="0"/>
        <w:jc w:val="left"/>
        <w:rPr>
          <w:rFonts w:ascii="宋体" w:hAnsi="宋体"/>
          <w:sz w:val="24"/>
          <w:szCs w:val="24"/>
        </w:rPr>
      </w:pPr>
      <w:r>
        <w:rPr>
          <w:rFonts w:hint="eastAsia" w:ascii="宋体" w:hAnsi="宋体"/>
          <w:sz w:val="24"/>
          <w:szCs w:val="24"/>
        </w:rPr>
        <w:t>代理费汇款账号：</w:t>
      </w:r>
    </w:p>
    <w:p>
      <w:pPr>
        <w:snapToGrid w:val="0"/>
        <w:jc w:val="left"/>
        <w:rPr>
          <w:rFonts w:ascii="宋体" w:hAnsi="宋体"/>
          <w:sz w:val="24"/>
        </w:rPr>
      </w:pPr>
    </w:p>
    <w:p>
      <w:pPr>
        <w:snapToGrid w:val="0"/>
        <w:jc w:val="left"/>
        <w:rPr>
          <w:rFonts w:ascii="宋体" w:hAnsi="宋体"/>
          <w:sz w:val="24"/>
        </w:rPr>
      </w:pPr>
    </w:p>
    <w:p>
      <w:pPr>
        <w:snapToGrid w:val="0"/>
        <w:rPr>
          <w:rFonts w:ascii="宋体" w:hAnsi="宋体"/>
          <w:sz w:val="24"/>
        </w:rPr>
      </w:pPr>
      <w:r>
        <w:rPr>
          <w:rFonts w:hint="eastAsia" w:ascii="宋体" w:hAnsi="宋体"/>
          <w:sz w:val="24"/>
        </w:rPr>
        <w:t>单位名称：浙江华耀建设咨询有限公司龙溪北路分公司</w:t>
      </w:r>
    </w:p>
    <w:p>
      <w:pPr>
        <w:snapToGrid w:val="0"/>
        <w:rPr>
          <w:rFonts w:ascii="宋体" w:hAnsi="宋体"/>
          <w:sz w:val="24"/>
        </w:rPr>
      </w:pPr>
      <w:r>
        <w:rPr>
          <w:rFonts w:hint="eastAsia" w:ascii="宋体" w:hAnsi="宋体"/>
          <w:sz w:val="24"/>
        </w:rPr>
        <w:t>开户银行：中国工商银行股份有限公司湖州经济开发区支行</w:t>
      </w:r>
    </w:p>
    <w:p>
      <w:pPr>
        <w:tabs>
          <w:tab w:val="left" w:pos="1418"/>
        </w:tabs>
        <w:snapToGrid w:val="0"/>
        <w:spacing w:before="50" w:after="50"/>
        <w:rPr>
          <w:rFonts w:ascii="宋体" w:hAnsi="宋体"/>
          <w:spacing w:val="20"/>
          <w:sz w:val="24"/>
          <w:szCs w:val="20"/>
          <w:u w:val="single"/>
        </w:rPr>
      </w:pPr>
      <w:r>
        <w:rPr>
          <w:rFonts w:hint="eastAsia" w:ascii="宋体" w:hAnsi="宋体"/>
          <w:sz w:val="24"/>
        </w:rPr>
        <w:t>银行帐号：1205210409001029749</w:t>
      </w:r>
    </w:p>
    <w:p>
      <w:pPr>
        <w:pStyle w:val="24"/>
        <w:snapToGrid w:val="0"/>
        <w:spacing w:beforeLines="0" w:afterLines="0" w:line="360" w:lineRule="auto"/>
      </w:pPr>
    </w:p>
    <w:p>
      <w:pPr>
        <w:pStyle w:val="24"/>
        <w:snapToGrid w:val="0"/>
        <w:spacing w:beforeLines="0" w:afterLines="0" w:line="360" w:lineRule="auto"/>
      </w:pPr>
    </w:p>
    <w:p>
      <w:pPr>
        <w:tabs>
          <w:tab w:val="left" w:pos="1418"/>
        </w:tabs>
        <w:snapToGrid w:val="0"/>
        <w:spacing w:line="360" w:lineRule="auto"/>
        <w:ind w:left="1418" w:hanging="567"/>
        <w:jc w:val="center"/>
        <w:rPr>
          <w:rFonts w:ascii="宋体" w:hAnsi="宋体"/>
          <w:spacing w:val="20"/>
          <w:sz w:val="24"/>
          <w:szCs w:val="20"/>
          <w:u w:val="single"/>
        </w:rPr>
      </w:pPr>
    </w:p>
    <w:p>
      <w:pPr>
        <w:tabs>
          <w:tab w:val="left" w:pos="1418"/>
        </w:tabs>
        <w:snapToGrid w:val="0"/>
        <w:spacing w:line="360" w:lineRule="auto"/>
        <w:ind w:left="1418" w:hanging="567"/>
        <w:jc w:val="center"/>
        <w:rPr>
          <w:rFonts w:ascii="宋体" w:hAnsi="宋体"/>
          <w:spacing w:val="20"/>
          <w:sz w:val="24"/>
          <w:szCs w:val="20"/>
          <w:u w:val="single"/>
        </w:rPr>
        <w:sectPr>
          <w:headerReference r:id="rId7" w:type="first"/>
          <w:footerReference r:id="rId10" w:type="first"/>
          <w:headerReference r:id="rId6" w:type="default"/>
          <w:footerReference r:id="rId8" w:type="default"/>
          <w:footerReference r:id="rId9" w:type="even"/>
          <w:pgSz w:w="11906" w:h="16838"/>
          <w:pgMar w:top="1361" w:right="1361" w:bottom="1361" w:left="1361" w:header="851" w:footer="851" w:gutter="0"/>
          <w:cols w:space="720" w:num="1"/>
          <w:docGrid w:linePitch="312" w:charSpace="0"/>
        </w:sectPr>
      </w:pPr>
    </w:p>
    <w:p>
      <w:pPr>
        <w:snapToGrid w:val="0"/>
        <w:spacing w:line="360" w:lineRule="auto"/>
        <w:rPr>
          <w:rFonts w:ascii="宋体" w:hAnsi="宋体"/>
          <w:b/>
          <w:sz w:val="24"/>
          <w:szCs w:val="20"/>
        </w:rPr>
      </w:pPr>
      <w:r>
        <w:rPr>
          <w:rFonts w:hint="eastAsia" w:ascii="宋体" w:hAnsi="宋体"/>
          <w:sz w:val="24"/>
        </w:rPr>
        <w:t>36.</w:t>
      </w:r>
      <w:r>
        <w:rPr>
          <w:rFonts w:hint="eastAsia" w:ascii="宋体" w:hAnsi="宋体"/>
          <w:b/>
          <w:sz w:val="24"/>
        </w:rPr>
        <w:t>开标一览表（货物类格式）</w:t>
      </w:r>
    </w:p>
    <w:p>
      <w:pPr>
        <w:snapToGrid w:val="0"/>
        <w:spacing w:line="360" w:lineRule="auto"/>
        <w:jc w:val="center"/>
        <w:rPr>
          <w:rFonts w:ascii="宋体" w:hAnsi="宋体"/>
          <w:b/>
          <w:sz w:val="30"/>
          <w:szCs w:val="20"/>
        </w:rPr>
      </w:pPr>
      <w:r>
        <w:rPr>
          <w:rFonts w:hint="eastAsia" w:ascii="宋体" w:hAnsi="宋体"/>
          <w:b/>
          <w:sz w:val="30"/>
        </w:rPr>
        <w:t>开标一览表</w:t>
      </w:r>
    </w:p>
    <w:p>
      <w:pPr>
        <w:snapToGrid w:val="0"/>
        <w:spacing w:line="360" w:lineRule="auto"/>
        <w:rPr>
          <w:rFonts w:ascii="宋体" w:hAnsi="宋体"/>
          <w:sz w:val="24"/>
          <w:szCs w:val="20"/>
        </w:rPr>
      </w:pPr>
      <w:r>
        <w:rPr>
          <w:rFonts w:hint="eastAsia" w:ascii="宋体" w:hAnsi="宋体"/>
          <w:sz w:val="24"/>
        </w:rPr>
        <w:t>招标编号：项目名称：投标人名称：单位：元</w:t>
      </w:r>
    </w:p>
    <w:tbl>
      <w:tblPr>
        <w:tblStyle w:val="4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2"/>
        <w:gridCol w:w="1603"/>
        <w:gridCol w:w="810"/>
        <w:gridCol w:w="1003"/>
        <w:gridCol w:w="3071"/>
        <w:gridCol w:w="1978"/>
        <w:gridCol w:w="1079"/>
        <w:gridCol w:w="15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szCs w:val="30"/>
              </w:rPr>
            </w:pPr>
            <w:r>
              <w:rPr>
                <w:rFonts w:hint="eastAsia" w:ascii="宋体" w:hAnsi="宋体"/>
                <w:b/>
                <w:szCs w:val="30"/>
              </w:rPr>
              <w:t>项目名称</w:t>
            </w:r>
          </w:p>
        </w:tc>
        <w:tc>
          <w:tcPr>
            <w:tcW w:w="160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szCs w:val="30"/>
              </w:rPr>
            </w:pPr>
            <w:r>
              <w:rPr>
                <w:rFonts w:hint="eastAsia" w:ascii="宋体" w:hAnsi="宋体"/>
                <w:b/>
                <w:szCs w:val="30"/>
              </w:rPr>
              <w:t>货物名称</w:t>
            </w:r>
          </w:p>
        </w:tc>
        <w:tc>
          <w:tcPr>
            <w:tcW w:w="8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szCs w:val="30"/>
              </w:rPr>
            </w:pPr>
            <w:r>
              <w:rPr>
                <w:rFonts w:hint="eastAsia" w:ascii="宋体" w:hAnsi="宋体"/>
                <w:b/>
                <w:szCs w:val="30"/>
              </w:rPr>
              <w:t>数量</w:t>
            </w:r>
          </w:p>
        </w:tc>
        <w:tc>
          <w:tcPr>
            <w:tcW w:w="100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szCs w:val="30"/>
              </w:rPr>
            </w:pPr>
            <w:r>
              <w:rPr>
                <w:rFonts w:hint="eastAsia" w:ascii="宋体" w:hAnsi="宋体"/>
                <w:b/>
                <w:szCs w:val="30"/>
              </w:rPr>
              <w:t>产地</w:t>
            </w:r>
          </w:p>
        </w:tc>
        <w:tc>
          <w:tcPr>
            <w:tcW w:w="30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szCs w:val="30"/>
              </w:rPr>
            </w:pPr>
            <w:r>
              <w:rPr>
                <w:rFonts w:hint="eastAsia" w:ascii="宋体" w:hAnsi="宋体"/>
                <w:b/>
                <w:szCs w:val="30"/>
              </w:rPr>
              <w:t>品牌及厂家</w:t>
            </w:r>
          </w:p>
        </w:tc>
        <w:tc>
          <w:tcPr>
            <w:tcW w:w="197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szCs w:val="30"/>
              </w:rPr>
            </w:pPr>
            <w:r>
              <w:rPr>
                <w:rFonts w:hint="eastAsia" w:ascii="宋体" w:hAnsi="宋体"/>
                <w:b/>
                <w:szCs w:val="30"/>
              </w:rPr>
              <w:t>规格型号</w:t>
            </w:r>
          </w:p>
        </w:tc>
        <w:tc>
          <w:tcPr>
            <w:tcW w:w="107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szCs w:val="30"/>
              </w:rPr>
            </w:pPr>
            <w:r>
              <w:rPr>
                <w:rFonts w:hint="eastAsia" w:ascii="宋体" w:hAnsi="宋体"/>
                <w:b/>
                <w:szCs w:val="30"/>
              </w:rPr>
              <w:t>单价</w:t>
            </w:r>
          </w:p>
        </w:tc>
        <w:tc>
          <w:tcPr>
            <w:tcW w:w="15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szCs w:val="30"/>
              </w:rPr>
            </w:pPr>
            <w:r>
              <w:rPr>
                <w:rFonts w:hint="eastAsia" w:ascii="宋体" w:hAnsi="宋体"/>
                <w:b/>
                <w:szCs w:val="30"/>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742"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32"/>
                <w:szCs w:val="20"/>
              </w:rPr>
            </w:pPr>
          </w:p>
          <w:p>
            <w:pPr>
              <w:snapToGrid w:val="0"/>
              <w:spacing w:line="360" w:lineRule="auto"/>
              <w:jc w:val="center"/>
              <w:rPr>
                <w:rFonts w:ascii="宋体" w:hAnsi="宋体"/>
                <w:sz w:val="32"/>
                <w:szCs w:val="20"/>
              </w:rPr>
            </w:pPr>
          </w:p>
        </w:tc>
        <w:tc>
          <w:tcPr>
            <w:tcW w:w="160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bCs/>
                <w:sz w:val="32"/>
                <w:szCs w:val="20"/>
              </w:rPr>
            </w:pPr>
          </w:p>
        </w:tc>
        <w:tc>
          <w:tcPr>
            <w:tcW w:w="8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bCs/>
                <w:sz w:val="32"/>
                <w:szCs w:val="20"/>
              </w:rPr>
            </w:pPr>
          </w:p>
        </w:tc>
        <w:tc>
          <w:tcPr>
            <w:tcW w:w="100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32"/>
                <w:szCs w:val="21"/>
              </w:rPr>
            </w:pPr>
          </w:p>
        </w:tc>
        <w:tc>
          <w:tcPr>
            <w:tcW w:w="30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32"/>
                <w:szCs w:val="21"/>
              </w:rPr>
            </w:pPr>
          </w:p>
        </w:tc>
        <w:tc>
          <w:tcPr>
            <w:tcW w:w="197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32"/>
                <w:szCs w:val="21"/>
              </w:rPr>
            </w:pPr>
          </w:p>
        </w:tc>
        <w:tc>
          <w:tcPr>
            <w:tcW w:w="107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32"/>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3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74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32"/>
              </w:rPr>
            </w:pPr>
          </w:p>
        </w:tc>
        <w:tc>
          <w:tcPr>
            <w:tcW w:w="160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bCs/>
                <w:sz w:val="32"/>
                <w:szCs w:val="20"/>
              </w:rPr>
            </w:pPr>
          </w:p>
        </w:tc>
        <w:tc>
          <w:tcPr>
            <w:tcW w:w="8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bCs/>
                <w:sz w:val="32"/>
                <w:szCs w:val="20"/>
              </w:rPr>
            </w:pPr>
          </w:p>
        </w:tc>
        <w:tc>
          <w:tcPr>
            <w:tcW w:w="100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32"/>
                <w:szCs w:val="21"/>
              </w:rPr>
            </w:pPr>
          </w:p>
        </w:tc>
        <w:tc>
          <w:tcPr>
            <w:tcW w:w="30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32"/>
                <w:szCs w:val="21"/>
              </w:rPr>
            </w:pPr>
          </w:p>
        </w:tc>
        <w:tc>
          <w:tcPr>
            <w:tcW w:w="197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32"/>
                <w:szCs w:val="21"/>
              </w:rPr>
            </w:pPr>
          </w:p>
        </w:tc>
        <w:tc>
          <w:tcPr>
            <w:tcW w:w="107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32"/>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3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3" w:hRule="atLeast"/>
          <w:jc w:val="center"/>
        </w:trPr>
        <w:tc>
          <w:tcPr>
            <w:tcW w:w="74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rPr>
            </w:pPr>
          </w:p>
        </w:tc>
        <w:tc>
          <w:tcPr>
            <w:tcW w:w="160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bCs/>
                <w:sz w:val="24"/>
                <w:szCs w:val="20"/>
              </w:rPr>
            </w:pPr>
          </w:p>
        </w:tc>
        <w:tc>
          <w:tcPr>
            <w:tcW w:w="8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bCs/>
                <w:sz w:val="24"/>
                <w:szCs w:val="20"/>
              </w:rPr>
            </w:pPr>
          </w:p>
        </w:tc>
        <w:tc>
          <w:tcPr>
            <w:tcW w:w="100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1"/>
              </w:rPr>
            </w:pPr>
          </w:p>
        </w:tc>
        <w:tc>
          <w:tcPr>
            <w:tcW w:w="30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1"/>
              </w:rPr>
            </w:pPr>
          </w:p>
        </w:tc>
        <w:tc>
          <w:tcPr>
            <w:tcW w:w="197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szCs w:val="21"/>
              </w:rPr>
            </w:pPr>
          </w:p>
        </w:tc>
        <w:tc>
          <w:tcPr>
            <w:tcW w:w="107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9207"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szCs w:val="21"/>
              </w:rPr>
            </w:pPr>
            <w:r>
              <w:rPr>
                <w:rFonts w:hint="eastAsia" w:ascii="宋体" w:hAnsi="宋体"/>
                <w:sz w:val="24"/>
                <w:szCs w:val="21"/>
              </w:rPr>
              <w:t>投标费用及利润</w:t>
            </w:r>
          </w:p>
        </w:tc>
        <w:tc>
          <w:tcPr>
            <w:tcW w:w="107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1804" w:type="dxa"/>
            <w:gridSpan w:val="8"/>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szCs w:val="21"/>
                <w:u w:val="single"/>
              </w:rPr>
            </w:pPr>
            <w:r>
              <w:rPr>
                <w:rFonts w:hint="eastAsia" w:ascii="宋体" w:hAnsi="宋体"/>
                <w:sz w:val="24"/>
                <w:szCs w:val="21"/>
              </w:rPr>
              <w:t>合计金额大写：￥</w:t>
            </w:r>
          </w:p>
        </w:tc>
      </w:tr>
    </w:tbl>
    <w:p>
      <w:pPr>
        <w:snapToGrid w:val="0"/>
        <w:spacing w:line="360" w:lineRule="auto"/>
        <w:jc w:val="left"/>
        <w:rPr>
          <w:rFonts w:ascii="宋体" w:hAnsi="宋体"/>
          <w:sz w:val="24"/>
          <w:szCs w:val="20"/>
        </w:rPr>
      </w:pPr>
      <w:r>
        <w:rPr>
          <w:rFonts w:hint="eastAsia" w:ascii="宋体" w:hAnsi="宋体"/>
          <w:sz w:val="24"/>
        </w:rPr>
        <w:t>注</w:t>
      </w:r>
      <w:r>
        <w:rPr>
          <w:rFonts w:ascii="宋体" w:hAnsi="宋体"/>
          <w:sz w:val="24"/>
        </w:rPr>
        <w:t>: 1</w:t>
      </w:r>
      <w:r>
        <w:rPr>
          <w:rFonts w:hint="eastAsia" w:ascii="宋体" w:hAnsi="宋体"/>
          <w:sz w:val="24"/>
        </w:rPr>
        <w:t>、报价一经涂改，应在涂改处加盖单位公章或者由法定代表人或授权委托人签字或盖章，否则其投标作无效标处理。</w:t>
      </w:r>
    </w:p>
    <w:p>
      <w:pPr>
        <w:snapToGrid w:val="0"/>
        <w:spacing w:line="360" w:lineRule="auto"/>
        <w:ind w:firstLine="480" w:firstLineChars="200"/>
        <w:jc w:val="left"/>
        <w:rPr>
          <w:rFonts w:ascii="宋体" w:hAnsi="宋体"/>
          <w:sz w:val="24"/>
          <w:szCs w:val="20"/>
        </w:rPr>
      </w:pPr>
      <w:r>
        <w:rPr>
          <w:rFonts w:ascii="宋体" w:hAnsi="宋体"/>
          <w:sz w:val="24"/>
        </w:rPr>
        <w:t>2</w:t>
      </w:r>
      <w:r>
        <w:rPr>
          <w:rFonts w:hint="eastAsia" w:ascii="宋体" w:hAnsi="宋体"/>
          <w:sz w:val="24"/>
        </w:rPr>
        <w:t>、凡需用专用耗材的专用设备类采购项目，应按招标文件规定的耗材量或按耗材的常规试用量提供报价。</w:t>
      </w:r>
    </w:p>
    <w:p>
      <w:pPr>
        <w:snapToGrid w:val="0"/>
        <w:spacing w:line="360" w:lineRule="auto"/>
        <w:ind w:firstLine="480" w:firstLineChars="200"/>
        <w:jc w:val="left"/>
        <w:rPr>
          <w:rFonts w:ascii="宋体" w:hAnsi="宋体"/>
          <w:sz w:val="24"/>
          <w:szCs w:val="20"/>
        </w:rPr>
      </w:pPr>
      <w:r>
        <w:rPr>
          <w:rFonts w:ascii="宋体" w:hAnsi="宋体"/>
          <w:sz w:val="24"/>
        </w:rPr>
        <w:t>3</w:t>
      </w:r>
      <w:r>
        <w:rPr>
          <w:rFonts w:hint="eastAsia" w:ascii="宋体" w:hAnsi="宋体"/>
          <w:sz w:val="24"/>
        </w:rPr>
        <w:t>、投标费用包括项目实施所需的人工费、服务费、运输费、安装调试费、购买及制作标书费、税费及其他一切费用。</w:t>
      </w:r>
    </w:p>
    <w:p>
      <w:pPr>
        <w:snapToGrid w:val="0"/>
        <w:spacing w:line="360" w:lineRule="auto"/>
        <w:ind w:firstLine="480" w:firstLineChars="200"/>
        <w:jc w:val="left"/>
        <w:rPr>
          <w:rFonts w:ascii="宋体" w:hAnsi="宋体"/>
          <w:sz w:val="24"/>
          <w:szCs w:val="20"/>
        </w:rPr>
      </w:pPr>
      <w:r>
        <w:rPr>
          <w:rFonts w:ascii="宋体" w:hAnsi="宋体"/>
          <w:sz w:val="24"/>
        </w:rPr>
        <w:t>4</w:t>
      </w:r>
      <w:r>
        <w:rPr>
          <w:rFonts w:hint="eastAsia" w:ascii="宋体" w:hAnsi="宋体"/>
          <w:sz w:val="24"/>
        </w:rPr>
        <w:t>、以上报价应与“投标设备报价明细表”中的“投标总价”相一致。</w:t>
      </w:r>
    </w:p>
    <w:p>
      <w:pPr>
        <w:snapToGrid w:val="0"/>
        <w:spacing w:line="360" w:lineRule="auto"/>
        <w:ind w:left="-2" w:leftChars="-1" w:right="-817" w:rightChars="-389"/>
        <w:rPr>
          <w:rFonts w:ascii="宋体" w:hAnsi="宋体"/>
          <w:sz w:val="24"/>
          <w:szCs w:val="20"/>
        </w:rPr>
      </w:pPr>
      <w:r>
        <w:rPr>
          <w:rFonts w:hint="eastAsia" w:ascii="宋体" w:hAnsi="宋体"/>
          <w:sz w:val="24"/>
        </w:rPr>
        <w:t>法定代表人签字：</w:t>
      </w:r>
    </w:p>
    <w:p>
      <w:pPr>
        <w:snapToGrid w:val="0"/>
        <w:spacing w:line="360" w:lineRule="auto"/>
        <w:ind w:right="-817" w:rightChars="-389"/>
        <w:rPr>
          <w:rFonts w:ascii="宋体" w:hAnsi="宋体"/>
          <w:sz w:val="24"/>
        </w:rPr>
      </w:pPr>
      <w:r>
        <w:rPr>
          <w:rFonts w:hint="eastAsia" w:ascii="宋体" w:hAnsi="宋体"/>
          <w:sz w:val="24"/>
        </w:rPr>
        <w:t>投标人名称（盖章）：日期：年月日</w:t>
      </w:r>
    </w:p>
    <w:p>
      <w:pPr>
        <w:spacing w:line="360" w:lineRule="auto"/>
        <w:rPr>
          <w:sz w:val="28"/>
          <w:szCs w:val="28"/>
        </w:rPr>
      </w:pPr>
      <w:r>
        <w:rPr>
          <w:rFonts w:hint="eastAsia"/>
          <w:sz w:val="28"/>
          <w:szCs w:val="28"/>
        </w:rPr>
        <w:t>附件：</w:t>
      </w:r>
      <w:r>
        <w:rPr>
          <w:sz w:val="28"/>
          <w:szCs w:val="28"/>
        </w:rPr>
        <w:t xml:space="preserve"> “</w:t>
      </w:r>
      <w:r>
        <w:rPr>
          <w:rFonts w:hint="eastAsia"/>
          <w:sz w:val="28"/>
          <w:szCs w:val="28"/>
        </w:rPr>
        <w:t>信用中国</w:t>
      </w:r>
      <w:r>
        <w:rPr>
          <w:sz w:val="28"/>
          <w:szCs w:val="28"/>
        </w:rPr>
        <w:t>”</w:t>
      </w:r>
      <w:r>
        <w:rPr>
          <w:rFonts w:hint="eastAsia"/>
          <w:sz w:val="28"/>
          <w:szCs w:val="28"/>
        </w:rPr>
        <w:t>（</w:t>
      </w:r>
      <w:r>
        <w:rPr>
          <w:sz w:val="28"/>
          <w:szCs w:val="28"/>
        </w:rPr>
        <w:t>www.creditchina.gov.cn</w:t>
      </w:r>
      <w:r>
        <w:rPr>
          <w:rFonts w:hint="eastAsia"/>
          <w:sz w:val="28"/>
          <w:szCs w:val="28"/>
        </w:rPr>
        <w:t>）、</w:t>
      </w:r>
      <w:r>
        <w:rPr>
          <w:sz w:val="28"/>
          <w:szCs w:val="28"/>
        </w:rPr>
        <w:t>“</w:t>
      </w:r>
      <w:r>
        <w:rPr>
          <w:rFonts w:hint="eastAsia"/>
          <w:sz w:val="28"/>
          <w:szCs w:val="28"/>
        </w:rPr>
        <w:t>中国政府采购网</w:t>
      </w:r>
      <w:r>
        <w:rPr>
          <w:sz w:val="28"/>
          <w:szCs w:val="28"/>
        </w:rPr>
        <w:t>”</w:t>
      </w:r>
      <w:r>
        <w:rPr>
          <w:rFonts w:hint="eastAsia"/>
          <w:sz w:val="28"/>
          <w:szCs w:val="28"/>
        </w:rPr>
        <w:t>（</w:t>
      </w:r>
      <w:r>
        <w:rPr>
          <w:sz w:val="28"/>
          <w:szCs w:val="28"/>
        </w:rPr>
        <w:t>www.ccgp.gov.cn</w:t>
      </w:r>
      <w:r>
        <w:rPr>
          <w:rFonts w:hint="eastAsia"/>
          <w:sz w:val="28"/>
          <w:szCs w:val="28"/>
        </w:rPr>
        <w:t>）、网页截图</w:t>
      </w:r>
      <w:r>
        <w:rPr>
          <w:sz w:val="28"/>
          <w:szCs w:val="28"/>
        </w:rPr>
        <w:t>模板</w:t>
      </w:r>
    </w:p>
    <w:p>
      <w:pPr>
        <w:spacing w:line="360" w:lineRule="auto"/>
        <w:rPr>
          <w:i/>
          <w:sz w:val="28"/>
          <w:szCs w:val="28"/>
        </w:rPr>
      </w:pPr>
      <w:r>
        <w:drawing>
          <wp:inline distT="0" distB="0" distL="0" distR="0">
            <wp:extent cx="4154170" cy="7050405"/>
            <wp:effectExtent l="1466850" t="0" r="1446231" b="0"/>
            <wp:docPr id="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1"/>
                    <pic:cNvPicPr>
                      <a:picLocks noChangeAspect="1" noChangeArrowheads="1"/>
                    </pic:cNvPicPr>
                  </pic:nvPicPr>
                  <pic:blipFill>
                    <a:blip r:embed="rId15"/>
                    <a:srcRect/>
                    <a:stretch>
                      <a:fillRect/>
                    </a:stretch>
                  </pic:blipFill>
                  <pic:spPr>
                    <a:xfrm rot="5400000">
                      <a:off x="0" y="0"/>
                      <a:ext cx="4154344" cy="7050799"/>
                    </a:xfrm>
                    <a:prstGeom prst="rect">
                      <a:avLst/>
                    </a:prstGeom>
                    <a:noFill/>
                    <a:ln w="9525" cmpd="sng">
                      <a:noFill/>
                      <a:miter lim="800000"/>
                      <a:headEnd/>
                      <a:tailEnd/>
                    </a:ln>
                    <a:effectLst/>
                  </pic:spPr>
                </pic:pic>
              </a:graphicData>
            </a:graphic>
          </wp:inline>
        </w:drawing>
      </w:r>
    </w:p>
    <w:p>
      <w:pPr>
        <w:spacing w:line="360" w:lineRule="auto"/>
      </w:pPr>
      <w:r>
        <w:drawing>
          <wp:inline distT="0" distB="0" distL="0" distR="0">
            <wp:extent cx="4544695" cy="7226300"/>
            <wp:effectExtent l="1352550" t="0" r="1341755"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noChangeArrowheads="1"/>
                    </pic:cNvPicPr>
                  </pic:nvPicPr>
                  <pic:blipFill>
                    <a:blip r:embed="rId16"/>
                    <a:srcRect/>
                    <a:stretch>
                      <a:fillRect/>
                    </a:stretch>
                  </pic:blipFill>
                  <pic:spPr>
                    <a:xfrm rot="5400000">
                      <a:off x="0" y="0"/>
                      <a:ext cx="4544695" cy="7226300"/>
                    </a:xfrm>
                    <a:prstGeom prst="rect">
                      <a:avLst/>
                    </a:prstGeom>
                    <a:noFill/>
                    <a:ln w="9525" cmpd="sng">
                      <a:noFill/>
                      <a:miter lim="800000"/>
                      <a:headEnd/>
                      <a:tailEnd/>
                    </a:ln>
                  </pic:spPr>
                </pic:pic>
              </a:graphicData>
            </a:graphic>
          </wp:inline>
        </w:drawing>
      </w:r>
    </w:p>
    <w:sectPr>
      <w:pgSz w:w="16838" w:h="11906" w:orient="landscape"/>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 new roman">
    <w:altName w:val="Times New Roman"/>
    <w:panose1 w:val="00000000000000000000"/>
    <w:charset w:val="00"/>
    <w:family w:val="roman"/>
    <w:pitch w:val="default"/>
    <w:sig w:usb0="00000000" w:usb1="00000000" w:usb2="00000000" w:usb3="00000000" w:csb0="00040001" w:csb1="00000000"/>
  </w:font>
  <w:font w:name="长城粗隶书">
    <w:altName w:val="宋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19F"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隶书">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创艺简标宋">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auto"/>
    <w:pitch w:val="default"/>
    <w:sig w:usb0="E00002FF" w:usb1="420024FF" w:usb2="00000000" w:usb3="00000000" w:csb0="2000019F" w:csb1="00000000"/>
  </w:font>
  <w:font w:name="TimesNewRomanPSMT">
    <w:altName w:val="Times New Roman"/>
    <w:panose1 w:val="00000000000000000000"/>
    <w:charset w:val="00"/>
    <w:family w:val="auto"/>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outside" w:y="1"/>
      <w:rPr>
        <w:rStyle w:val="44"/>
        <w:rFonts w:ascii="宋体" w:hAnsi="宋体" w:eastAsia="宋体"/>
        <w:sz w:val="28"/>
        <w:szCs w:val="28"/>
      </w:rPr>
    </w:pPr>
  </w:p>
  <w:p>
    <w:pPr>
      <w:pStyle w:val="116"/>
      <w:ind w:firstLine="420"/>
      <w:rPr>
        <w:sz w:val="24"/>
        <w:szCs w:val="24"/>
      </w:rPr>
    </w:pPr>
    <w:r>
      <w:rPr>
        <w:rFonts w:hint="eastAsia"/>
      </w:rPr>
      <w:t xml:space="preserve">   浙江华耀建设咨询有限公司                                  </w:t>
    </w:r>
    <w:r>
      <w:tab/>
    </w:r>
    <w:r>
      <w:rPr>
        <w:sz w:val="24"/>
        <w:szCs w:val="24"/>
      </w:rPr>
      <w:t xml:space="preserve">- </w:t>
    </w:r>
    <w:r>
      <w:rPr>
        <w:sz w:val="24"/>
        <w:szCs w:val="24"/>
      </w:rPr>
      <w:fldChar w:fldCharType="begin"/>
    </w:r>
    <w:r>
      <w:rPr>
        <w:sz w:val="24"/>
        <w:szCs w:val="24"/>
      </w:rPr>
      <w:instrText xml:space="preserve"> PAGE </w:instrText>
    </w:r>
    <w:r>
      <w:rPr>
        <w:sz w:val="24"/>
        <w:szCs w:val="24"/>
      </w:rPr>
      <w:fldChar w:fldCharType="separate"/>
    </w:r>
    <w:r>
      <w:rPr>
        <w:sz w:val="24"/>
        <w:szCs w:val="24"/>
      </w:rPr>
      <w:t>1</w:t>
    </w:r>
    <w:r>
      <w:rPr>
        <w:sz w:val="24"/>
        <w:szCs w:val="24"/>
      </w:rPr>
      <w:fldChar w:fldCharType="end"/>
    </w:r>
    <w:r>
      <w:rPr>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outside" w:y="1"/>
      <w:rPr>
        <w:rStyle w:val="44"/>
      </w:rPr>
    </w:pPr>
    <w:r>
      <w:fldChar w:fldCharType="begin"/>
    </w:r>
    <w:r>
      <w:rPr>
        <w:rStyle w:val="44"/>
      </w:rPr>
      <w:instrText xml:space="preserve">PAGE  </w:instrText>
    </w:r>
    <w:r>
      <w:fldChar w:fldCharType="end"/>
    </w:r>
  </w:p>
  <w:p>
    <w:pPr>
      <w:pStyle w:val="2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outside" w:y="1"/>
      <w:rPr>
        <w:rStyle w:val="44"/>
        <w:rFonts w:ascii="宋体" w:hAnsi="宋体" w:eastAsia="宋体"/>
        <w:sz w:val="28"/>
        <w:szCs w:val="28"/>
      </w:rPr>
    </w:pPr>
  </w:p>
  <w:p>
    <w:pPr>
      <w:pStyle w:val="28"/>
      <w:ind w:right="720" w:firstLine="240" w:firstLineChars="100"/>
      <w:jc w:val="center"/>
      <w:rPr>
        <w:sz w:val="24"/>
        <w:szCs w:val="24"/>
      </w:rPr>
    </w:pPr>
    <w:r>
      <w:rPr>
        <w:sz w:val="24"/>
        <w:szCs w:val="24"/>
      </w:rPr>
      <w:t xml:space="preserve">- </w:t>
    </w:r>
    <w:r>
      <w:rPr>
        <w:sz w:val="24"/>
        <w:szCs w:val="24"/>
      </w:rPr>
      <w:fldChar w:fldCharType="begin"/>
    </w:r>
    <w:r>
      <w:rPr>
        <w:sz w:val="24"/>
        <w:szCs w:val="24"/>
      </w:rPr>
      <w:instrText xml:space="preserve"> PAGE </w:instrText>
    </w:r>
    <w:r>
      <w:rPr>
        <w:sz w:val="24"/>
        <w:szCs w:val="24"/>
      </w:rPr>
      <w:fldChar w:fldCharType="separate"/>
    </w:r>
    <w:r>
      <w:rPr>
        <w:sz w:val="24"/>
        <w:szCs w:val="24"/>
      </w:rPr>
      <w:t>86</w:t>
    </w:r>
    <w:r>
      <w:rPr>
        <w:sz w:val="24"/>
        <w:szCs w:val="24"/>
      </w:rPr>
      <w:fldChar w:fldCharType="end"/>
    </w:r>
    <w:r>
      <w:rPr>
        <w:sz w:val="24"/>
        <w:szCs w:val="24"/>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outside" w:y="1"/>
      <w:rPr>
        <w:rStyle w:val="44"/>
      </w:rPr>
    </w:pPr>
    <w:r>
      <w:fldChar w:fldCharType="begin"/>
    </w:r>
    <w:r>
      <w:rPr>
        <w:rStyle w:val="44"/>
      </w:rPr>
      <w:instrText xml:space="preserve">PAGE  </w:instrText>
    </w:r>
    <w:r>
      <w:fldChar w:fldCharType="end"/>
    </w:r>
  </w:p>
  <w:p>
    <w:pPr>
      <w:pStyle w:val="28"/>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napToGrid w:val="0"/>
      <w:spacing w:beforeLines="0" w:afterLines="0" w:line="360" w:lineRule="auto"/>
      <w:rPr>
        <w:rFonts w:hAnsi="宋体"/>
        <w:u w:val="single"/>
      </w:rPr>
    </w:pPr>
    <w:r>
      <w:rPr>
        <w:rFonts w:hint="eastAsia" w:cs="Arial"/>
        <w:u w:val="single"/>
      </w:rPr>
      <w:t xml:space="preserve">湖州市爱山小学教育集团新型教学空间设施设备项目                        </w:t>
    </w:r>
    <w:r>
      <w:rPr>
        <w:rFonts w:hint="eastAsia" w:hAnsi="宋体" w:cs="Arial"/>
        <w:u w:val="single"/>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napToGrid w:val="0"/>
      <w:spacing w:beforeLines="0" w:afterLines="0" w:line="360" w:lineRule="auto"/>
      <w:rPr>
        <w:rFonts w:hAnsi="宋体"/>
        <w:u w:val="single"/>
      </w:rPr>
    </w:pPr>
    <w:r>
      <w:rPr>
        <w:rFonts w:hint="eastAsia" w:cs="Arial"/>
        <w:u w:val="single"/>
      </w:rPr>
      <w:t xml:space="preserve">湖州市爱山小学教育集团新型教学空间设施设备项目                      </w:t>
    </w:r>
    <w:r>
      <w:rPr>
        <w:rFonts w:hint="eastAsia" w:hAnsi="宋体" w:cs="Arial"/>
        <w:u w:val="single"/>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abstractNum w:abstractNumId="1">
    <w:nsid w:val="2FF59B1E"/>
    <w:multiLevelType w:val="singleLevel"/>
    <w:tmpl w:val="2FF59B1E"/>
    <w:lvl w:ilvl="0" w:tentative="0">
      <w:start w:val="2"/>
      <w:numFmt w:val="decimal"/>
      <w:suff w:val="nothing"/>
      <w:lvlText w:val="（%1）"/>
      <w:lvlJc w:val="left"/>
    </w:lvl>
  </w:abstractNum>
  <w:abstractNum w:abstractNumId="2">
    <w:nsid w:val="56020E4B"/>
    <w:multiLevelType w:val="singleLevel"/>
    <w:tmpl w:val="56020E4B"/>
    <w:lvl w:ilvl="0" w:tentative="0">
      <w:start w:val="2"/>
      <w:numFmt w:val="decimal"/>
      <w:suff w:val="space"/>
      <w:lvlText w:val="%1."/>
      <w:lvlJc w:val="left"/>
    </w:lvl>
  </w:abstractNum>
  <w:abstractNum w:abstractNumId="3">
    <w:nsid w:val="5FAE6C94"/>
    <w:multiLevelType w:val="multilevel"/>
    <w:tmpl w:val="5FAE6C94"/>
    <w:lvl w:ilvl="0" w:tentative="0">
      <w:start w:val="1"/>
      <w:numFmt w:val="japaneseCounting"/>
      <w:lvlText w:val="第%1章"/>
      <w:lvlJc w:val="left"/>
      <w:pPr>
        <w:ind w:left="1200" w:hanging="12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6482A15"/>
    <w:multiLevelType w:val="multilevel"/>
    <w:tmpl w:val="66482A15"/>
    <w:lvl w:ilvl="0" w:tentative="0">
      <w:start w:val="1"/>
      <w:numFmt w:val="decimalEnclosedCircle"/>
      <w:lvlText w:val="%1"/>
      <w:lvlJc w:val="left"/>
      <w:pPr>
        <w:ind w:left="360" w:hanging="360"/>
      </w:pPr>
      <w:rPr>
        <w:rFonts w:hint="default" w:ascii="宋体" w:hAnsi="宋体" w:eastAsia="宋体" w:cs="TimesNewRomanPSM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E22623"/>
    <w:rsid w:val="00012871"/>
    <w:rsid w:val="00032D99"/>
    <w:rsid w:val="00036CE6"/>
    <w:rsid w:val="00055341"/>
    <w:rsid w:val="00060AA6"/>
    <w:rsid w:val="00062561"/>
    <w:rsid w:val="00086299"/>
    <w:rsid w:val="00086453"/>
    <w:rsid w:val="00091B97"/>
    <w:rsid w:val="0009221D"/>
    <w:rsid w:val="00094B4A"/>
    <w:rsid w:val="000A28E5"/>
    <w:rsid w:val="000B16B9"/>
    <w:rsid w:val="000D7C88"/>
    <w:rsid w:val="000F0868"/>
    <w:rsid w:val="000F2D46"/>
    <w:rsid w:val="000F3C09"/>
    <w:rsid w:val="00101BB3"/>
    <w:rsid w:val="00107261"/>
    <w:rsid w:val="00116823"/>
    <w:rsid w:val="00123BD4"/>
    <w:rsid w:val="00150868"/>
    <w:rsid w:val="001517BC"/>
    <w:rsid w:val="00165580"/>
    <w:rsid w:val="001753F7"/>
    <w:rsid w:val="001842B8"/>
    <w:rsid w:val="00194FB2"/>
    <w:rsid w:val="001B22B0"/>
    <w:rsid w:val="001C0759"/>
    <w:rsid w:val="001D50A4"/>
    <w:rsid w:val="001E5E72"/>
    <w:rsid w:val="00212E08"/>
    <w:rsid w:val="00223721"/>
    <w:rsid w:val="0022493A"/>
    <w:rsid w:val="00233005"/>
    <w:rsid w:val="0023680A"/>
    <w:rsid w:val="002400D9"/>
    <w:rsid w:val="00242B8C"/>
    <w:rsid w:val="00243803"/>
    <w:rsid w:val="00257F40"/>
    <w:rsid w:val="002663EB"/>
    <w:rsid w:val="002775A4"/>
    <w:rsid w:val="0028399E"/>
    <w:rsid w:val="00284941"/>
    <w:rsid w:val="00287E45"/>
    <w:rsid w:val="002B255F"/>
    <w:rsid w:val="002B4C0B"/>
    <w:rsid w:val="002B79D7"/>
    <w:rsid w:val="002B7F71"/>
    <w:rsid w:val="002C4B86"/>
    <w:rsid w:val="002D1F60"/>
    <w:rsid w:val="002D4EB3"/>
    <w:rsid w:val="002E2FBC"/>
    <w:rsid w:val="002F5D65"/>
    <w:rsid w:val="003045E1"/>
    <w:rsid w:val="003053BC"/>
    <w:rsid w:val="00310159"/>
    <w:rsid w:val="00310A56"/>
    <w:rsid w:val="0031550A"/>
    <w:rsid w:val="00324F10"/>
    <w:rsid w:val="00326AC0"/>
    <w:rsid w:val="003276D4"/>
    <w:rsid w:val="003309A4"/>
    <w:rsid w:val="00330DF1"/>
    <w:rsid w:val="00351A6C"/>
    <w:rsid w:val="003570D8"/>
    <w:rsid w:val="00357766"/>
    <w:rsid w:val="0035776E"/>
    <w:rsid w:val="00360273"/>
    <w:rsid w:val="003677CB"/>
    <w:rsid w:val="00367C86"/>
    <w:rsid w:val="00371FAF"/>
    <w:rsid w:val="003777C6"/>
    <w:rsid w:val="0038711A"/>
    <w:rsid w:val="0039140C"/>
    <w:rsid w:val="003A3233"/>
    <w:rsid w:val="003A3251"/>
    <w:rsid w:val="003A64E2"/>
    <w:rsid w:val="003B0CE2"/>
    <w:rsid w:val="003C18B6"/>
    <w:rsid w:val="003D2435"/>
    <w:rsid w:val="003D4E03"/>
    <w:rsid w:val="003E4CA7"/>
    <w:rsid w:val="003F0D3A"/>
    <w:rsid w:val="00401233"/>
    <w:rsid w:val="00424DA2"/>
    <w:rsid w:val="00426A6F"/>
    <w:rsid w:val="00427DE6"/>
    <w:rsid w:val="00434A22"/>
    <w:rsid w:val="004472F2"/>
    <w:rsid w:val="00456867"/>
    <w:rsid w:val="004576F5"/>
    <w:rsid w:val="0046251B"/>
    <w:rsid w:val="00462BFC"/>
    <w:rsid w:val="0046568A"/>
    <w:rsid w:val="004664A4"/>
    <w:rsid w:val="00476C78"/>
    <w:rsid w:val="004774D6"/>
    <w:rsid w:val="00484BA2"/>
    <w:rsid w:val="00490D1E"/>
    <w:rsid w:val="004A18B7"/>
    <w:rsid w:val="004B175F"/>
    <w:rsid w:val="004C75BE"/>
    <w:rsid w:val="004D1920"/>
    <w:rsid w:val="004D41D1"/>
    <w:rsid w:val="004D4A8E"/>
    <w:rsid w:val="004D6572"/>
    <w:rsid w:val="004E174F"/>
    <w:rsid w:val="004E1858"/>
    <w:rsid w:val="004E29C1"/>
    <w:rsid w:val="004F67F7"/>
    <w:rsid w:val="0051059C"/>
    <w:rsid w:val="00523EFA"/>
    <w:rsid w:val="00544521"/>
    <w:rsid w:val="00547264"/>
    <w:rsid w:val="005475CA"/>
    <w:rsid w:val="0055146A"/>
    <w:rsid w:val="00556D19"/>
    <w:rsid w:val="00561427"/>
    <w:rsid w:val="00563C24"/>
    <w:rsid w:val="005831A0"/>
    <w:rsid w:val="005B72A2"/>
    <w:rsid w:val="005C77F9"/>
    <w:rsid w:val="005D0E0D"/>
    <w:rsid w:val="005E469C"/>
    <w:rsid w:val="005F1799"/>
    <w:rsid w:val="006335EE"/>
    <w:rsid w:val="00644FB5"/>
    <w:rsid w:val="00650576"/>
    <w:rsid w:val="006510A1"/>
    <w:rsid w:val="006535A9"/>
    <w:rsid w:val="00655444"/>
    <w:rsid w:val="00657539"/>
    <w:rsid w:val="00662BF9"/>
    <w:rsid w:val="00666B90"/>
    <w:rsid w:val="00674D34"/>
    <w:rsid w:val="00682011"/>
    <w:rsid w:val="006837F0"/>
    <w:rsid w:val="006854C6"/>
    <w:rsid w:val="006B3EE7"/>
    <w:rsid w:val="006C0229"/>
    <w:rsid w:val="006D691E"/>
    <w:rsid w:val="006E1D92"/>
    <w:rsid w:val="0070075B"/>
    <w:rsid w:val="00701BF5"/>
    <w:rsid w:val="007250A7"/>
    <w:rsid w:val="0073256D"/>
    <w:rsid w:val="0073415F"/>
    <w:rsid w:val="0073617E"/>
    <w:rsid w:val="00737AAA"/>
    <w:rsid w:val="00745BAA"/>
    <w:rsid w:val="007472A9"/>
    <w:rsid w:val="00754617"/>
    <w:rsid w:val="00762F9C"/>
    <w:rsid w:val="00764566"/>
    <w:rsid w:val="00766666"/>
    <w:rsid w:val="00776CEC"/>
    <w:rsid w:val="0078404B"/>
    <w:rsid w:val="00790826"/>
    <w:rsid w:val="00790CC9"/>
    <w:rsid w:val="007928BF"/>
    <w:rsid w:val="007E1A4C"/>
    <w:rsid w:val="007E45B1"/>
    <w:rsid w:val="007F534B"/>
    <w:rsid w:val="00800518"/>
    <w:rsid w:val="00805819"/>
    <w:rsid w:val="00807C32"/>
    <w:rsid w:val="00820251"/>
    <w:rsid w:val="008239D1"/>
    <w:rsid w:val="0082629A"/>
    <w:rsid w:val="008262E7"/>
    <w:rsid w:val="008274B4"/>
    <w:rsid w:val="00840A20"/>
    <w:rsid w:val="008516A3"/>
    <w:rsid w:val="00855CEB"/>
    <w:rsid w:val="00862BA6"/>
    <w:rsid w:val="00887DF2"/>
    <w:rsid w:val="008B3DE8"/>
    <w:rsid w:val="008B7CCD"/>
    <w:rsid w:val="008C08E0"/>
    <w:rsid w:val="008C7EA0"/>
    <w:rsid w:val="009116B8"/>
    <w:rsid w:val="009240EE"/>
    <w:rsid w:val="00924476"/>
    <w:rsid w:val="0094044A"/>
    <w:rsid w:val="009443E7"/>
    <w:rsid w:val="00945B78"/>
    <w:rsid w:val="00973CE3"/>
    <w:rsid w:val="00974512"/>
    <w:rsid w:val="00976C10"/>
    <w:rsid w:val="00981816"/>
    <w:rsid w:val="009864D6"/>
    <w:rsid w:val="00991002"/>
    <w:rsid w:val="009916F5"/>
    <w:rsid w:val="009939D4"/>
    <w:rsid w:val="0099435F"/>
    <w:rsid w:val="00997343"/>
    <w:rsid w:val="009A7587"/>
    <w:rsid w:val="009B3FDB"/>
    <w:rsid w:val="009C04C5"/>
    <w:rsid w:val="009C4031"/>
    <w:rsid w:val="009C4ABC"/>
    <w:rsid w:val="009C60FB"/>
    <w:rsid w:val="009C656B"/>
    <w:rsid w:val="009C7C0B"/>
    <w:rsid w:val="009D1733"/>
    <w:rsid w:val="009D4A14"/>
    <w:rsid w:val="009D4A97"/>
    <w:rsid w:val="009E0109"/>
    <w:rsid w:val="009E42D8"/>
    <w:rsid w:val="00A02417"/>
    <w:rsid w:val="00A23525"/>
    <w:rsid w:val="00A26C95"/>
    <w:rsid w:val="00A31E47"/>
    <w:rsid w:val="00A3572D"/>
    <w:rsid w:val="00A36EB8"/>
    <w:rsid w:val="00A372AD"/>
    <w:rsid w:val="00A41E46"/>
    <w:rsid w:val="00A43A54"/>
    <w:rsid w:val="00A43F69"/>
    <w:rsid w:val="00A56E90"/>
    <w:rsid w:val="00A81B64"/>
    <w:rsid w:val="00A85F65"/>
    <w:rsid w:val="00A87599"/>
    <w:rsid w:val="00A914D3"/>
    <w:rsid w:val="00AA755A"/>
    <w:rsid w:val="00AA75BD"/>
    <w:rsid w:val="00AC2895"/>
    <w:rsid w:val="00AC2DC4"/>
    <w:rsid w:val="00AC5D81"/>
    <w:rsid w:val="00AC7248"/>
    <w:rsid w:val="00AD6D62"/>
    <w:rsid w:val="00AE0A51"/>
    <w:rsid w:val="00AE3D91"/>
    <w:rsid w:val="00AE4135"/>
    <w:rsid w:val="00AE7985"/>
    <w:rsid w:val="00AF3672"/>
    <w:rsid w:val="00AF386B"/>
    <w:rsid w:val="00B001FB"/>
    <w:rsid w:val="00B10222"/>
    <w:rsid w:val="00B119A7"/>
    <w:rsid w:val="00B17D90"/>
    <w:rsid w:val="00B242BB"/>
    <w:rsid w:val="00B253A5"/>
    <w:rsid w:val="00B47836"/>
    <w:rsid w:val="00B55B78"/>
    <w:rsid w:val="00B56269"/>
    <w:rsid w:val="00B733E1"/>
    <w:rsid w:val="00B747EB"/>
    <w:rsid w:val="00B76A0D"/>
    <w:rsid w:val="00B814E0"/>
    <w:rsid w:val="00B816D9"/>
    <w:rsid w:val="00B823A0"/>
    <w:rsid w:val="00B82D2A"/>
    <w:rsid w:val="00B8476B"/>
    <w:rsid w:val="00BB0215"/>
    <w:rsid w:val="00BB53E8"/>
    <w:rsid w:val="00BC5620"/>
    <w:rsid w:val="00BD1D32"/>
    <w:rsid w:val="00BE33E6"/>
    <w:rsid w:val="00BE6A1E"/>
    <w:rsid w:val="00C01EF6"/>
    <w:rsid w:val="00C03D07"/>
    <w:rsid w:val="00C1081A"/>
    <w:rsid w:val="00C10BCB"/>
    <w:rsid w:val="00C16EB8"/>
    <w:rsid w:val="00C3273D"/>
    <w:rsid w:val="00C32D02"/>
    <w:rsid w:val="00C34739"/>
    <w:rsid w:val="00C37F63"/>
    <w:rsid w:val="00C56513"/>
    <w:rsid w:val="00C8606F"/>
    <w:rsid w:val="00C95519"/>
    <w:rsid w:val="00C9655F"/>
    <w:rsid w:val="00CA0BAD"/>
    <w:rsid w:val="00CB530D"/>
    <w:rsid w:val="00CC2634"/>
    <w:rsid w:val="00CC6A8C"/>
    <w:rsid w:val="00CD5207"/>
    <w:rsid w:val="00CD637A"/>
    <w:rsid w:val="00CE22C1"/>
    <w:rsid w:val="00CE691A"/>
    <w:rsid w:val="00CF7E31"/>
    <w:rsid w:val="00D00EF0"/>
    <w:rsid w:val="00D018F9"/>
    <w:rsid w:val="00D05235"/>
    <w:rsid w:val="00D17BA7"/>
    <w:rsid w:val="00D27685"/>
    <w:rsid w:val="00D33920"/>
    <w:rsid w:val="00D348F3"/>
    <w:rsid w:val="00D403ED"/>
    <w:rsid w:val="00D4562D"/>
    <w:rsid w:val="00D539AA"/>
    <w:rsid w:val="00D55D7E"/>
    <w:rsid w:val="00D60DAD"/>
    <w:rsid w:val="00D66749"/>
    <w:rsid w:val="00D71B9C"/>
    <w:rsid w:val="00D71D3F"/>
    <w:rsid w:val="00D72E12"/>
    <w:rsid w:val="00DA0FD0"/>
    <w:rsid w:val="00DA2041"/>
    <w:rsid w:val="00DA2759"/>
    <w:rsid w:val="00DA3774"/>
    <w:rsid w:val="00DA406B"/>
    <w:rsid w:val="00DA588B"/>
    <w:rsid w:val="00DC2309"/>
    <w:rsid w:val="00DD17A8"/>
    <w:rsid w:val="00DD76C6"/>
    <w:rsid w:val="00DE14BA"/>
    <w:rsid w:val="00DE338D"/>
    <w:rsid w:val="00DE55A3"/>
    <w:rsid w:val="00DF0FA6"/>
    <w:rsid w:val="00DF397A"/>
    <w:rsid w:val="00E010D6"/>
    <w:rsid w:val="00E0146C"/>
    <w:rsid w:val="00E04B01"/>
    <w:rsid w:val="00E06815"/>
    <w:rsid w:val="00E22623"/>
    <w:rsid w:val="00E2507E"/>
    <w:rsid w:val="00E27D3A"/>
    <w:rsid w:val="00E329B3"/>
    <w:rsid w:val="00E44B01"/>
    <w:rsid w:val="00E462C2"/>
    <w:rsid w:val="00E51D10"/>
    <w:rsid w:val="00E5209D"/>
    <w:rsid w:val="00E828C1"/>
    <w:rsid w:val="00E870E1"/>
    <w:rsid w:val="00E9031A"/>
    <w:rsid w:val="00EA0245"/>
    <w:rsid w:val="00EA3CCE"/>
    <w:rsid w:val="00EA7C2F"/>
    <w:rsid w:val="00EA7FB4"/>
    <w:rsid w:val="00EB2C1C"/>
    <w:rsid w:val="00EC5418"/>
    <w:rsid w:val="00ED00D7"/>
    <w:rsid w:val="00ED064B"/>
    <w:rsid w:val="00ED34B2"/>
    <w:rsid w:val="00EF222C"/>
    <w:rsid w:val="00EF42F3"/>
    <w:rsid w:val="00F0078C"/>
    <w:rsid w:val="00F03225"/>
    <w:rsid w:val="00F10B86"/>
    <w:rsid w:val="00F266E0"/>
    <w:rsid w:val="00F3540F"/>
    <w:rsid w:val="00F477C7"/>
    <w:rsid w:val="00F50DC8"/>
    <w:rsid w:val="00F648B7"/>
    <w:rsid w:val="00F72408"/>
    <w:rsid w:val="00F80403"/>
    <w:rsid w:val="00F8123B"/>
    <w:rsid w:val="00F853BE"/>
    <w:rsid w:val="00FC3C9F"/>
    <w:rsid w:val="00FC7952"/>
    <w:rsid w:val="00FD52F5"/>
    <w:rsid w:val="00FE3C66"/>
    <w:rsid w:val="00FF1B3E"/>
    <w:rsid w:val="00FF2558"/>
    <w:rsid w:val="11EC54B9"/>
    <w:rsid w:val="14634E90"/>
    <w:rsid w:val="1AA23BD5"/>
    <w:rsid w:val="1B434632"/>
    <w:rsid w:val="1CE75049"/>
    <w:rsid w:val="1E017A27"/>
    <w:rsid w:val="1E32331B"/>
    <w:rsid w:val="206207DD"/>
    <w:rsid w:val="243E0A38"/>
    <w:rsid w:val="24913393"/>
    <w:rsid w:val="27C1443C"/>
    <w:rsid w:val="29455B2C"/>
    <w:rsid w:val="2CEC0B90"/>
    <w:rsid w:val="33C149D6"/>
    <w:rsid w:val="3419036F"/>
    <w:rsid w:val="3C563655"/>
    <w:rsid w:val="3D456D13"/>
    <w:rsid w:val="48145E58"/>
    <w:rsid w:val="49EB1C96"/>
    <w:rsid w:val="4FAF1EF9"/>
    <w:rsid w:val="4FC508BC"/>
    <w:rsid w:val="528C6715"/>
    <w:rsid w:val="53913C55"/>
    <w:rsid w:val="574A4425"/>
    <w:rsid w:val="5E1D34A8"/>
    <w:rsid w:val="64E91C64"/>
    <w:rsid w:val="67043CB3"/>
    <w:rsid w:val="70DA47C8"/>
    <w:rsid w:val="738B45B3"/>
    <w:rsid w:val="74A31F67"/>
    <w:rsid w:val="7A4C5BDD"/>
    <w:rsid w:val="7C3C1D48"/>
    <w:rsid w:val="7CD40505"/>
    <w:rsid w:val="7D4277C5"/>
  </w:rsids>
  <m:mathPr>
    <m:mathFont m:val="Cambria Math"/>
    <m:brkBin m:val="before"/>
    <m:brkBinSub m:val="--"/>
    <m:smallFrac m:val="1"/>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51"/>
    <w:qFormat/>
    <w:uiPriority w:val="0"/>
    <w:pPr>
      <w:keepNext/>
      <w:keepLines/>
      <w:spacing w:before="340" w:after="330" w:line="576" w:lineRule="auto"/>
      <w:outlineLvl w:val="0"/>
    </w:pPr>
    <w:rPr>
      <w:rFonts w:ascii="time new roman" w:hAnsi="time new roman" w:eastAsia="长城粗隶书" w:cs="Times New Roman"/>
      <w:b/>
      <w:bCs/>
      <w:kern w:val="44"/>
      <w:sz w:val="44"/>
      <w:szCs w:val="44"/>
    </w:rPr>
  </w:style>
  <w:style w:type="paragraph" w:styleId="5">
    <w:name w:val="heading 2"/>
    <w:basedOn w:val="1"/>
    <w:next w:val="1"/>
    <w:link w:val="52"/>
    <w:qFormat/>
    <w:uiPriority w:val="0"/>
    <w:pPr>
      <w:keepNext/>
      <w:keepLines/>
      <w:spacing w:before="260" w:after="260" w:line="413" w:lineRule="auto"/>
      <w:outlineLvl w:val="1"/>
    </w:pPr>
    <w:rPr>
      <w:rFonts w:ascii="Arial" w:hAnsi="Arial" w:eastAsia="黑体" w:cs="Times New Roman"/>
      <w:b/>
      <w:bCs/>
      <w:sz w:val="32"/>
      <w:szCs w:val="32"/>
    </w:rPr>
  </w:style>
  <w:style w:type="paragraph" w:styleId="6">
    <w:name w:val="heading 3"/>
    <w:basedOn w:val="1"/>
    <w:next w:val="1"/>
    <w:link w:val="53"/>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7">
    <w:name w:val="heading 4"/>
    <w:basedOn w:val="1"/>
    <w:next w:val="8"/>
    <w:link w:val="54"/>
    <w:qFormat/>
    <w:uiPriority w:val="0"/>
    <w:pPr>
      <w:keepNext/>
      <w:keepLines/>
      <w:spacing w:before="280" w:after="290" w:line="376" w:lineRule="auto"/>
      <w:outlineLvl w:val="3"/>
    </w:pPr>
    <w:rPr>
      <w:rFonts w:ascii="Arial" w:hAnsi="Arial" w:eastAsia="黑体" w:cs="Times New Roman"/>
      <w:b/>
      <w:sz w:val="28"/>
      <w:szCs w:val="20"/>
    </w:rPr>
  </w:style>
  <w:style w:type="paragraph" w:styleId="9">
    <w:name w:val="heading 5"/>
    <w:basedOn w:val="1"/>
    <w:next w:val="8"/>
    <w:link w:val="55"/>
    <w:qFormat/>
    <w:uiPriority w:val="0"/>
    <w:pPr>
      <w:keepNext/>
      <w:keepLines/>
      <w:spacing w:before="280" w:after="290" w:line="376" w:lineRule="auto"/>
      <w:outlineLvl w:val="4"/>
    </w:pPr>
    <w:rPr>
      <w:rFonts w:ascii="Times New Roman" w:hAnsi="Times New Roman" w:eastAsia="宋体" w:cs="Times New Roman"/>
      <w:b/>
      <w:sz w:val="28"/>
      <w:szCs w:val="20"/>
    </w:rPr>
  </w:style>
  <w:style w:type="paragraph" w:styleId="10">
    <w:name w:val="heading 6"/>
    <w:basedOn w:val="1"/>
    <w:next w:val="8"/>
    <w:link w:val="56"/>
    <w:qFormat/>
    <w:uiPriority w:val="0"/>
    <w:pPr>
      <w:keepNext/>
      <w:keepLines/>
      <w:spacing w:before="240" w:after="64" w:line="320" w:lineRule="auto"/>
      <w:outlineLvl w:val="5"/>
    </w:pPr>
    <w:rPr>
      <w:rFonts w:ascii="Arial" w:hAnsi="Arial" w:eastAsia="黑体" w:cs="Times New Roman"/>
      <w:b/>
      <w:sz w:val="24"/>
      <w:szCs w:val="20"/>
    </w:rPr>
  </w:style>
  <w:style w:type="paragraph" w:styleId="11">
    <w:name w:val="heading 7"/>
    <w:basedOn w:val="1"/>
    <w:next w:val="8"/>
    <w:link w:val="57"/>
    <w:qFormat/>
    <w:uiPriority w:val="0"/>
    <w:pPr>
      <w:keepNext/>
      <w:keepLines/>
      <w:spacing w:before="240" w:after="64" w:line="320" w:lineRule="auto"/>
      <w:outlineLvl w:val="6"/>
    </w:pPr>
    <w:rPr>
      <w:rFonts w:ascii="Times New Roman" w:hAnsi="Times New Roman" w:eastAsia="宋体" w:cs="Times New Roman"/>
      <w:b/>
      <w:sz w:val="24"/>
      <w:szCs w:val="20"/>
    </w:rPr>
  </w:style>
  <w:style w:type="paragraph" w:styleId="12">
    <w:name w:val="heading 8"/>
    <w:basedOn w:val="1"/>
    <w:next w:val="8"/>
    <w:link w:val="58"/>
    <w:qFormat/>
    <w:uiPriority w:val="0"/>
    <w:pPr>
      <w:keepNext/>
      <w:keepLines/>
      <w:spacing w:before="240" w:after="64" w:line="320" w:lineRule="auto"/>
      <w:outlineLvl w:val="7"/>
    </w:pPr>
    <w:rPr>
      <w:rFonts w:ascii="Arial" w:hAnsi="Arial" w:eastAsia="黑体" w:cs="Times New Roman"/>
      <w:sz w:val="24"/>
      <w:szCs w:val="20"/>
    </w:rPr>
  </w:style>
  <w:style w:type="paragraph" w:styleId="13">
    <w:name w:val="heading 9"/>
    <w:basedOn w:val="1"/>
    <w:next w:val="8"/>
    <w:link w:val="59"/>
    <w:qFormat/>
    <w:uiPriority w:val="0"/>
    <w:pPr>
      <w:keepNext/>
      <w:keepLines/>
      <w:spacing w:before="240" w:after="64" w:line="320" w:lineRule="auto"/>
      <w:outlineLvl w:val="8"/>
    </w:pPr>
    <w:rPr>
      <w:rFonts w:ascii="Arial" w:hAnsi="Arial" w:eastAsia="黑体" w:cs="Times New Roman"/>
      <w:szCs w:val="20"/>
    </w:rPr>
  </w:style>
  <w:style w:type="character" w:default="1" w:styleId="42">
    <w:name w:val="Default Paragraph Font"/>
    <w:semiHidden/>
    <w:unhideWhenUsed/>
    <w:uiPriority w:val="1"/>
  </w:style>
  <w:style w:type="table" w:default="1" w:styleId="40">
    <w:name w:val="Normal Table"/>
    <w:semiHidden/>
    <w:unhideWhenUsed/>
    <w:uiPriority w:val="99"/>
    <w:tblPr>
      <w:tblCellMar>
        <w:top w:w="0" w:type="dxa"/>
        <w:left w:w="108" w:type="dxa"/>
        <w:bottom w:w="0" w:type="dxa"/>
        <w:right w:w="108" w:type="dxa"/>
      </w:tblCellMar>
    </w:tblPr>
  </w:style>
  <w:style w:type="paragraph" w:styleId="2">
    <w:name w:val="Body Text"/>
    <w:basedOn w:val="1"/>
    <w:next w:val="3"/>
    <w:link w:val="115"/>
    <w:qFormat/>
    <w:uiPriority w:val="99"/>
    <w:pPr>
      <w:spacing w:after="120"/>
    </w:pPr>
    <w:rPr>
      <w:sz w:val="28"/>
      <w:szCs w:val="24"/>
    </w:rPr>
  </w:style>
  <w:style w:type="paragraph" w:customStyle="1" w:styleId="3">
    <w:name w:val="Default"/>
    <w:next w:val="1"/>
    <w:qFormat/>
    <w:uiPriority w:val="0"/>
    <w:pPr>
      <w:widowControl w:val="0"/>
      <w:autoSpaceDE w:val="0"/>
      <w:autoSpaceDN w:val="0"/>
      <w:adjustRightInd w:val="0"/>
    </w:pPr>
    <w:rPr>
      <w:rFonts w:ascii="楷体" w:hAnsi="Arial" w:eastAsia="楷体" w:cs="Arial"/>
      <w:color w:val="000000"/>
      <w:sz w:val="24"/>
      <w:szCs w:val="24"/>
      <w:lang w:val="en-US" w:eastAsia="zh-CN" w:bidi="ar-SA"/>
    </w:rPr>
  </w:style>
  <w:style w:type="paragraph" w:styleId="8">
    <w:name w:val="Normal Indent"/>
    <w:basedOn w:val="1"/>
    <w:link w:val="68"/>
    <w:qFormat/>
    <w:uiPriority w:val="0"/>
    <w:pPr>
      <w:ind w:firstLine="420"/>
    </w:pPr>
    <w:rPr>
      <w:rFonts w:eastAsia="宋体"/>
    </w:rPr>
  </w:style>
  <w:style w:type="paragraph" w:styleId="14">
    <w:name w:val="Note Heading"/>
    <w:basedOn w:val="1"/>
    <w:next w:val="1"/>
    <w:link w:val="110"/>
    <w:qFormat/>
    <w:uiPriority w:val="0"/>
    <w:pPr>
      <w:jc w:val="center"/>
    </w:pPr>
    <w:rPr>
      <w:rFonts w:ascii="time new roman" w:hAnsi="time new roman" w:eastAsia="长城粗隶书" w:cs="Courier New"/>
      <w:szCs w:val="24"/>
    </w:rPr>
  </w:style>
  <w:style w:type="paragraph" w:styleId="15">
    <w:name w:val="List Number"/>
    <w:basedOn w:val="1"/>
    <w:qFormat/>
    <w:uiPriority w:val="0"/>
    <w:pPr>
      <w:widowControl/>
      <w:tabs>
        <w:tab w:val="left" w:pos="454"/>
        <w:tab w:val="left" w:pos="720"/>
      </w:tabs>
      <w:spacing w:afterLines="50"/>
      <w:ind w:left="454" w:hanging="284"/>
      <w:jc w:val="left"/>
    </w:pPr>
    <w:rPr>
      <w:rFonts w:ascii="Times New Roman" w:hAnsi="Times New Roman" w:eastAsia="宋体" w:cs="Times New Roman"/>
      <w:kern w:val="0"/>
      <w:sz w:val="24"/>
      <w:szCs w:val="20"/>
    </w:rPr>
  </w:style>
  <w:style w:type="paragraph" w:styleId="16">
    <w:name w:val="caption"/>
    <w:basedOn w:val="1"/>
    <w:next w:val="1"/>
    <w:qFormat/>
    <w:uiPriority w:val="35"/>
    <w:pPr>
      <w:spacing w:before="152" w:after="160"/>
    </w:pPr>
    <w:rPr>
      <w:rFonts w:ascii="Arial" w:hAnsi="Arial" w:eastAsia="黑体" w:cs="Arial"/>
      <w:sz w:val="20"/>
      <w:szCs w:val="20"/>
    </w:rPr>
  </w:style>
  <w:style w:type="paragraph" w:styleId="17">
    <w:name w:val="Document Map"/>
    <w:basedOn w:val="1"/>
    <w:link w:val="117"/>
    <w:qFormat/>
    <w:uiPriority w:val="0"/>
    <w:pPr>
      <w:shd w:val="clear" w:color="auto" w:fill="000080"/>
    </w:pPr>
    <w:rPr>
      <w:rFonts w:ascii="Times New Roman" w:hAnsi="Times New Roman" w:eastAsia="宋体" w:cs="Times New Roman"/>
      <w:szCs w:val="24"/>
    </w:rPr>
  </w:style>
  <w:style w:type="paragraph" w:styleId="18">
    <w:name w:val="annotation text"/>
    <w:basedOn w:val="1"/>
    <w:link w:val="91"/>
    <w:qFormat/>
    <w:uiPriority w:val="0"/>
    <w:pPr>
      <w:jc w:val="left"/>
    </w:pPr>
    <w:rPr>
      <w:szCs w:val="24"/>
    </w:rPr>
  </w:style>
  <w:style w:type="paragraph" w:styleId="19">
    <w:name w:val="Body Text 3"/>
    <w:basedOn w:val="1"/>
    <w:link w:val="101"/>
    <w:qFormat/>
    <w:uiPriority w:val="0"/>
    <w:pPr>
      <w:snapToGrid w:val="0"/>
      <w:spacing w:before="50" w:after="50"/>
    </w:pPr>
    <w:rPr>
      <w:rFonts w:ascii="Times New Roman" w:hAnsi="宋体" w:eastAsia="仿宋_GB2312" w:cs="Times New Roman"/>
      <w:b/>
      <w:bCs/>
      <w:sz w:val="24"/>
      <w:szCs w:val="20"/>
    </w:rPr>
  </w:style>
  <w:style w:type="paragraph" w:styleId="20">
    <w:name w:val="Body Text Indent"/>
    <w:basedOn w:val="1"/>
    <w:link w:val="95"/>
    <w:qFormat/>
    <w:uiPriority w:val="0"/>
    <w:pPr>
      <w:spacing w:line="200" w:lineRule="exact"/>
      <w:ind w:firstLine="301"/>
    </w:pPr>
    <w:rPr>
      <w:rFonts w:ascii="宋体" w:hAnsi="Courier New"/>
      <w:spacing w:val="-4"/>
      <w:sz w:val="18"/>
    </w:rPr>
  </w:style>
  <w:style w:type="paragraph" w:styleId="21">
    <w:name w:val="List Number 3"/>
    <w:basedOn w:val="1"/>
    <w:qFormat/>
    <w:uiPriority w:val="0"/>
    <w:pPr>
      <w:tabs>
        <w:tab w:val="left" w:pos="1200"/>
      </w:tabs>
      <w:ind w:left="1200" w:hanging="360"/>
    </w:pPr>
    <w:rPr>
      <w:rFonts w:ascii="Times New Roman" w:hAnsi="Times New Roman" w:eastAsia="宋体" w:cs="Times New Roman"/>
      <w:szCs w:val="24"/>
    </w:rPr>
  </w:style>
  <w:style w:type="paragraph" w:styleId="22">
    <w:name w:val="List 2"/>
    <w:basedOn w:val="1"/>
    <w:qFormat/>
    <w:uiPriority w:val="0"/>
    <w:pPr>
      <w:ind w:left="100" w:leftChars="200" w:hanging="200" w:hangingChars="200"/>
    </w:pPr>
    <w:rPr>
      <w:rFonts w:ascii="Times New Roman" w:hAnsi="Times New Roman" w:eastAsia="宋体" w:cs="Times New Roman"/>
      <w:sz w:val="28"/>
      <w:szCs w:val="24"/>
    </w:rPr>
  </w:style>
  <w:style w:type="paragraph" w:styleId="23">
    <w:name w:val="Block Text"/>
    <w:basedOn w:val="1"/>
    <w:qFormat/>
    <w:uiPriority w:val="0"/>
    <w:pPr>
      <w:spacing w:after="120"/>
      <w:ind w:left="1440" w:leftChars="700" w:right="1440" w:rightChars="700"/>
    </w:pPr>
    <w:rPr>
      <w:rFonts w:ascii="time new roman" w:hAnsi="time new roman" w:eastAsia="长城粗隶书" w:cs="Courier New"/>
      <w:szCs w:val="24"/>
    </w:rPr>
  </w:style>
  <w:style w:type="paragraph" w:styleId="24">
    <w:name w:val="Plain Text"/>
    <w:basedOn w:val="1"/>
    <w:link w:val="94"/>
    <w:qFormat/>
    <w:uiPriority w:val="0"/>
    <w:pPr>
      <w:spacing w:beforeLines="50" w:afterLines="50" w:line="400" w:lineRule="exact"/>
    </w:pPr>
    <w:rPr>
      <w:rFonts w:ascii="宋体" w:hAnsi="Courier New" w:eastAsia="宋体"/>
      <w:sz w:val="24"/>
      <w:szCs w:val="24"/>
    </w:rPr>
  </w:style>
  <w:style w:type="paragraph" w:styleId="25">
    <w:name w:val="Date"/>
    <w:basedOn w:val="1"/>
    <w:next w:val="1"/>
    <w:link w:val="109"/>
    <w:qFormat/>
    <w:uiPriority w:val="0"/>
    <w:pPr>
      <w:ind w:left="2500" w:leftChars="2500"/>
    </w:pPr>
    <w:rPr>
      <w:rFonts w:ascii="Times New Roman" w:hAnsi="Times New Roman" w:eastAsia="楷体_GB2312" w:cs="Times New Roman"/>
      <w:sz w:val="32"/>
      <w:szCs w:val="20"/>
    </w:rPr>
  </w:style>
  <w:style w:type="paragraph" w:styleId="26">
    <w:name w:val="Body Text Indent 2"/>
    <w:basedOn w:val="1"/>
    <w:link w:val="93"/>
    <w:qFormat/>
    <w:uiPriority w:val="0"/>
    <w:pPr>
      <w:snapToGrid w:val="0"/>
      <w:ind w:firstLine="542" w:firstLineChars="225"/>
    </w:pPr>
    <w:rPr>
      <w:rFonts w:ascii="仿宋_GB2312" w:hAnsi="宋体" w:cs="Arial"/>
      <w:b/>
      <w:bCs/>
      <w:color w:val="000000"/>
      <w:sz w:val="24"/>
      <w:szCs w:val="24"/>
    </w:rPr>
  </w:style>
  <w:style w:type="paragraph" w:styleId="27">
    <w:name w:val="Balloon Text"/>
    <w:basedOn w:val="1"/>
    <w:link w:val="92"/>
    <w:qFormat/>
    <w:uiPriority w:val="99"/>
    <w:rPr>
      <w:rFonts w:ascii="time new roman" w:hAnsi="time new roman" w:eastAsia="长城粗隶书" w:cs="Courier New"/>
      <w:sz w:val="18"/>
      <w:szCs w:val="18"/>
    </w:rPr>
  </w:style>
  <w:style w:type="paragraph" w:styleId="28">
    <w:name w:val="footer"/>
    <w:basedOn w:val="1"/>
    <w:link w:val="50"/>
    <w:unhideWhenUsed/>
    <w:qFormat/>
    <w:uiPriority w:val="99"/>
    <w:pPr>
      <w:tabs>
        <w:tab w:val="center" w:pos="4153"/>
        <w:tab w:val="right" w:pos="8306"/>
      </w:tabs>
      <w:snapToGrid w:val="0"/>
      <w:jc w:val="left"/>
    </w:pPr>
    <w:rPr>
      <w:sz w:val="18"/>
      <w:szCs w:val="18"/>
    </w:rPr>
  </w:style>
  <w:style w:type="paragraph" w:styleId="29">
    <w:name w:val="header"/>
    <w:basedOn w:val="1"/>
    <w:link w:val="49"/>
    <w:unhideWhenUsed/>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rPr>
      <w:rFonts w:ascii="Times New Roman" w:hAnsi="Times New Roman" w:eastAsia="宋体" w:cs="Times New Roman"/>
      <w:szCs w:val="24"/>
    </w:rPr>
  </w:style>
  <w:style w:type="paragraph" w:styleId="31">
    <w:name w:val="List"/>
    <w:basedOn w:val="1"/>
    <w:qFormat/>
    <w:uiPriority w:val="0"/>
    <w:pPr>
      <w:ind w:left="200" w:hanging="200" w:hangingChars="200"/>
    </w:pPr>
    <w:rPr>
      <w:rFonts w:ascii="Times New Roman" w:hAnsi="Times New Roman" w:eastAsia="宋体" w:cs="Times New Roman"/>
      <w:sz w:val="28"/>
      <w:szCs w:val="24"/>
    </w:rPr>
  </w:style>
  <w:style w:type="paragraph" w:styleId="32">
    <w:name w:val="Body Text Indent 3"/>
    <w:basedOn w:val="1"/>
    <w:link w:val="108"/>
    <w:qFormat/>
    <w:uiPriority w:val="0"/>
    <w:pPr>
      <w:snapToGrid w:val="0"/>
      <w:ind w:firstLine="480" w:firstLineChars="200"/>
      <w:jc w:val="left"/>
    </w:pPr>
    <w:rPr>
      <w:rFonts w:ascii="仿宋_GB2312" w:hAnsi="宋体" w:eastAsia="仿宋_GB2312" w:cs="Times New Roman"/>
      <w:color w:val="000000"/>
      <w:sz w:val="24"/>
      <w:szCs w:val="24"/>
    </w:rPr>
  </w:style>
  <w:style w:type="paragraph" w:styleId="33">
    <w:name w:val="index 7"/>
    <w:basedOn w:val="1"/>
    <w:next w:val="1"/>
    <w:semiHidden/>
    <w:qFormat/>
    <w:uiPriority w:val="0"/>
    <w:pPr>
      <w:ind w:left="1200" w:leftChars="1200"/>
    </w:pPr>
    <w:rPr>
      <w:rFonts w:ascii="Times New Roman" w:hAnsi="Times New Roman" w:eastAsia="宋体" w:cs="Times New Roman"/>
      <w:szCs w:val="24"/>
    </w:rPr>
  </w:style>
  <w:style w:type="paragraph" w:styleId="34">
    <w:name w:val="Body Text 2"/>
    <w:basedOn w:val="1"/>
    <w:link w:val="100"/>
    <w:qFormat/>
    <w:uiPriority w:val="0"/>
    <w:pPr>
      <w:widowControl/>
      <w:snapToGrid w:val="0"/>
      <w:spacing w:before="50" w:afterLines="50" w:line="400" w:lineRule="exact"/>
      <w:jc w:val="left"/>
    </w:pPr>
    <w:rPr>
      <w:rFonts w:ascii="宋体" w:hAnsi="宋体" w:eastAsia="宋体"/>
      <w:color w:val="000000"/>
      <w:sz w:val="24"/>
      <w:szCs w:val="24"/>
    </w:rPr>
  </w:style>
  <w:style w:type="paragraph" w:styleId="35">
    <w:name w:val="Normal (Web)"/>
    <w:basedOn w:val="1"/>
    <w:qFormat/>
    <w:uiPriority w:val="99"/>
    <w:pPr>
      <w:widowControl/>
      <w:spacing w:line="300" w:lineRule="atLeast"/>
      <w:jc w:val="left"/>
    </w:pPr>
    <w:rPr>
      <w:rFonts w:ascii="宋体" w:hAnsi="宋体" w:eastAsia="宋体" w:cs="宋体"/>
      <w:kern w:val="0"/>
      <w:sz w:val="24"/>
      <w:szCs w:val="24"/>
    </w:rPr>
  </w:style>
  <w:style w:type="paragraph" w:styleId="36">
    <w:name w:val="Title"/>
    <w:basedOn w:val="1"/>
    <w:next w:val="1"/>
    <w:link w:val="105"/>
    <w:qFormat/>
    <w:uiPriority w:val="0"/>
    <w:pPr>
      <w:spacing w:before="240" w:after="60" w:line="480" w:lineRule="exact"/>
      <w:jc w:val="center"/>
      <w:outlineLvl w:val="0"/>
    </w:pPr>
    <w:rPr>
      <w:rFonts w:ascii="Cambria" w:hAnsi="Cambria" w:eastAsia="宋体"/>
      <w:b/>
      <w:bCs/>
      <w:sz w:val="32"/>
      <w:szCs w:val="32"/>
    </w:rPr>
  </w:style>
  <w:style w:type="paragraph" w:styleId="37">
    <w:name w:val="annotation subject"/>
    <w:basedOn w:val="18"/>
    <w:next w:val="18"/>
    <w:link w:val="107"/>
    <w:qFormat/>
    <w:uiPriority w:val="0"/>
    <w:rPr>
      <w:b/>
      <w:bCs/>
    </w:rPr>
  </w:style>
  <w:style w:type="paragraph" w:styleId="38">
    <w:name w:val="Body Text First Indent"/>
    <w:basedOn w:val="2"/>
    <w:link w:val="123"/>
    <w:qFormat/>
    <w:uiPriority w:val="0"/>
    <w:pPr>
      <w:spacing w:line="460" w:lineRule="exact"/>
      <w:ind w:firstLine="420" w:firstLineChars="100"/>
    </w:pPr>
    <w:rPr>
      <w:rFonts w:ascii="Times New Roman" w:hAnsi="Times New Roman" w:eastAsia="微软雅黑" w:cs="Times New Roman"/>
      <w:sz w:val="24"/>
    </w:rPr>
  </w:style>
  <w:style w:type="paragraph" w:styleId="39">
    <w:name w:val="Body Text First Indent 2"/>
    <w:basedOn w:val="20"/>
    <w:link w:val="114"/>
    <w:unhideWhenUsed/>
    <w:qFormat/>
    <w:uiPriority w:val="99"/>
    <w:pPr>
      <w:spacing w:after="120" w:line="240" w:lineRule="auto"/>
      <w:ind w:left="420" w:leftChars="200" w:firstLine="420" w:firstLineChars="200"/>
    </w:pPr>
    <w:rPr>
      <w:rFonts w:ascii="Calibri" w:hAnsi="Calibri"/>
      <w:sz w:val="21"/>
    </w:rPr>
  </w:style>
  <w:style w:type="table" w:styleId="41">
    <w:name w:val="Table Grid"/>
    <w:basedOn w:val="40"/>
    <w:qFormat/>
    <w:uiPriority w:val="5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qFormat/>
    <w:uiPriority w:val="99"/>
    <w:rPr>
      <w:color w:val="800080"/>
      <w:u w:val="single"/>
    </w:rPr>
  </w:style>
  <w:style w:type="character" w:styleId="46">
    <w:name w:val="Hyperlink"/>
    <w:qFormat/>
    <w:uiPriority w:val="99"/>
    <w:rPr>
      <w:color w:val="0000FF"/>
      <w:u w:val="single"/>
    </w:rPr>
  </w:style>
  <w:style w:type="character" w:styleId="47">
    <w:name w:val="annotation reference"/>
    <w:qFormat/>
    <w:uiPriority w:val="0"/>
    <w:rPr>
      <w:sz w:val="21"/>
      <w:szCs w:val="21"/>
    </w:rPr>
  </w:style>
  <w:style w:type="paragraph" w:customStyle="1" w:styleId="48">
    <w:name w:val="章正文"/>
    <w:basedOn w:val="1"/>
    <w:qFormat/>
    <w:uiPriority w:val="0"/>
    <w:pPr>
      <w:spacing w:beforeLines="50" w:line="300" w:lineRule="auto"/>
      <w:ind w:firstLine="480"/>
    </w:pPr>
    <w:rPr>
      <w:rFonts w:ascii="Helvetica" w:hAnsi="Helvetica"/>
      <w:kern w:val="0"/>
      <w:sz w:val="24"/>
    </w:rPr>
  </w:style>
  <w:style w:type="character" w:customStyle="1" w:styleId="49">
    <w:name w:val="页眉字符"/>
    <w:basedOn w:val="42"/>
    <w:link w:val="29"/>
    <w:qFormat/>
    <w:uiPriority w:val="99"/>
    <w:rPr>
      <w:sz w:val="18"/>
      <w:szCs w:val="18"/>
    </w:rPr>
  </w:style>
  <w:style w:type="character" w:customStyle="1" w:styleId="50">
    <w:name w:val="页脚字符"/>
    <w:basedOn w:val="42"/>
    <w:link w:val="28"/>
    <w:qFormat/>
    <w:uiPriority w:val="99"/>
    <w:rPr>
      <w:sz w:val="18"/>
      <w:szCs w:val="18"/>
    </w:rPr>
  </w:style>
  <w:style w:type="character" w:customStyle="1" w:styleId="51">
    <w:name w:val="标题 1字符"/>
    <w:basedOn w:val="42"/>
    <w:link w:val="4"/>
    <w:qFormat/>
    <w:uiPriority w:val="0"/>
    <w:rPr>
      <w:rFonts w:ascii="time new roman" w:hAnsi="time new roman" w:eastAsia="长城粗隶书" w:cs="Times New Roman"/>
      <w:b/>
      <w:bCs/>
      <w:kern w:val="44"/>
      <w:sz w:val="44"/>
      <w:szCs w:val="44"/>
    </w:rPr>
  </w:style>
  <w:style w:type="character" w:customStyle="1" w:styleId="52">
    <w:name w:val="标题 2字符"/>
    <w:basedOn w:val="42"/>
    <w:link w:val="5"/>
    <w:qFormat/>
    <w:uiPriority w:val="0"/>
    <w:rPr>
      <w:rFonts w:ascii="Arial" w:hAnsi="Arial" w:eastAsia="黑体" w:cs="Times New Roman"/>
      <w:b/>
      <w:bCs/>
      <w:sz w:val="32"/>
      <w:szCs w:val="32"/>
    </w:rPr>
  </w:style>
  <w:style w:type="character" w:customStyle="1" w:styleId="53">
    <w:name w:val="标题 3字符"/>
    <w:basedOn w:val="42"/>
    <w:link w:val="6"/>
    <w:qFormat/>
    <w:uiPriority w:val="0"/>
    <w:rPr>
      <w:rFonts w:ascii="Times New Roman" w:hAnsi="Times New Roman" w:eastAsia="宋体" w:cs="Times New Roman"/>
      <w:b/>
      <w:bCs/>
      <w:sz w:val="32"/>
      <w:szCs w:val="32"/>
    </w:rPr>
  </w:style>
  <w:style w:type="character" w:customStyle="1" w:styleId="54">
    <w:name w:val="标题 4字符"/>
    <w:basedOn w:val="42"/>
    <w:link w:val="7"/>
    <w:qFormat/>
    <w:uiPriority w:val="0"/>
    <w:rPr>
      <w:rFonts w:ascii="Arial" w:hAnsi="Arial" w:eastAsia="黑体" w:cs="Times New Roman"/>
      <w:b/>
      <w:sz w:val="28"/>
      <w:szCs w:val="20"/>
    </w:rPr>
  </w:style>
  <w:style w:type="character" w:customStyle="1" w:styleId="55">
    <w:name w:val="标题 5字符"/>
    <w:basedOn w:val="42"/>
    <w:link w:val="9"/>
    <w:qFormat/>
    <w:uiPriority w:val="0"/>
    <w:rPr>
      <w:rFonts w:ascii="Times New Roman" w:hAnsi="Times New Roman" w:eastAsia="宋体" w:cs="Times New Roman"/>
      <w:b/>
      <w:sz w:val="28"/>
      <w:szCs w:val="20"/>
    </w:rPr>
  </w:style>
  <w:style w:type="character" w:customStyle="1" w:styleId="56">
    <w:name w:val="标题 6字符"/>
    <w:basedOn w:val="42"/>
    <w:link w:val="10"/>
    <w:qFormat/>
    <w:uiPriority w:val="0"/>
    <w:rPr>
      <w:rFonts w:ascii="Arial" w:hAnsi="Arial" w:eastAsia="黑体" w:cs="Times New Roman"/>
      <w:b/>
      <w:sz w:val="24"/>
      <w:szCs w:val="20"/>
    </w:rPr>
  </w:style>
  <w:style w:type="character" w:customStyle="1" w:styleId="57">
    <w:name w:val="标题 7字符"/>
    <w:basedOn w:val="42"/>
    <w:link w:val="11"/>
    <w:qFormat/>
    <w:uiPriority w:val="0"/>
    <w:rPr>
      <w:rFonts w:ascii="Times New Roman" w:hAnsi="Times New Roman" w:eastAsia="宋体" w:cs="Times New Roman"/>
      <w:b/>
      <w:sz w:val="24"/>
      <w:szCs w:val="20"/>
    </w:rPr>
  </w:style>
  <w:style w:type="character" w:customStyle="1" w:styleId="58">
    <w:name w:val="标题 8字符"/>
    <w:basedOn w:val="42"/>
    <w:link w:val="12"/>
    <w:qFormat/>
    <w:uiPriority w:val="0"/>
    <w:rPr>
      <w:rFonts w:ascii="Arial" w:hAnsi="Arial" w:eastAsia="黑体" w:cs="Times New Roman"/>
      <w:sz w:val="24"/>
      <w:szCs w:val="20"/>
    </w:rPr>
  </w:style>
  <w:style w:type="character" w:customStyle="1" w:styleId="59">
    <w:name w:val="标题 9字符"/>
    <w:basedOn w:val="42"/>
    <w:link w:val="13"/>
    <w:qFormat/>
    <w:uiPriority w:val="0"/>
    <w:rPr>
      <w:rFonts w:ascii="Arial" w:hAnsi="Arial" w:eastAsia="黑体" w:cs="Times New Roman"/>
      <w:szCs w:val="20"/>
    </w:rPr>
  </w:style>
  <w:style w:type="character" w:customStyle="1" w:styleId="60">
    <w:name w:val="正文文本 Char"/>
    <w:qFormat/>
    <w:uiPriority w:val="99"/>
    <w:rPr>
      <w:sz w:val="28"/>
      <w:szCs w:val="24"/>
    </w:rPr>
  </w:style>
  <w:style w:type="character" w:customStyle="1" w:styleId="61">
    <w:name w:val="unnamed11"/>
    <w:qFormat/>
    <w:uiPriority w:val="0"/>
    <w:rPr>
      <w:color w:val="000000"/>
      <w:sz w:val="20"/>
      <w:szCs w:val="20"/>
    </w:rPr>
  </w:style>
  <w:style w:type="character" w:customStyle="1" w:styleId="62">
    <w:name w:val="ca-22"/>
    <w:basedOn w:val="42"/>
    <w:qFormat/>
    <w:uiPriority w:val="0"/>
  </w:style>
  <w:style w:type="character" w:customStyle="1" w:styleId="63">
    <w:name w:val="正文首行缩进 2 Char"/>
    <w:qFormat/>
    <w:uiPriority w:val="99"/>
    <w:rPr>
      <w:rFonts w:ascii="Calibri" w:hAnsi="Calibri"/>
      <w:spacing w:val="-4"/>
    </w:rPr>
  </w:style>
  <w:style w:type="character" w:customStyle="1" w:styleId="64">
    <w:name w:val="批注主题 Char"/>
    <w:qFormat/>
    <w:uiPriority w:val="0"/>
    <w:rPr>
      <w:b/>
      <w:bCs/>
      <w:szCs w:val="24"/>
    </w:rPr>
  </w:style>
  <w:style w:type="character" w:customStyle="1" w:styleId="65">
    <w:name w:val="注释标题 Char"/>
    <w:qFormat/>
    <w:uiPriority w:val="0"/>
    <w:rPr>
      <w:rFonts w:ascii="time new roman" w:hAnsi="time new roman" w:eastAsia="长城粗隶书" w:cs="Courier New"/>
      <w:szCs w:val="24"/>
    </w:rPr>
  </w:style>
  <w:style w:type="character" w:customStyle="1" w:styleId="66">
    <w:name w:val="纯文本 Char"/>
    <w:qFormat/>
    <w:uiPriority w:val="0"/>
    <w:rPr>
      <w:rFonts w:ascii="宋体" w:hAnsi="Courier New" w:eastAsia="宋体" w:cs="Courier New"/>
      <w:kern w:val="2"/>
      <w:sz w:val="21"/>
      <w:szCs w:val="21"/>
      <w:lang w:val="en-US" w:eastAsia="zh-CN" w:bidi="ar-SA"/>
    </w:rPr>
  </w:style>
  <w:style w:type="character" w:customStyle="1" w:styleId="67">
    <w:name w:val="批注文字 Char"/>
    <w:qFormat/>
    <w:uiPriority w:val="0"/>
    <w:rPr>
      <w:szCs w:val="24"/>
    </w:rPr>
  </w:style>
  <w:style w:type="character" w:customStyle="1" w:styleId="68">
    <w:name w:val="正文缩进字符"/>
    <w:link w:val="8"/>
    <w:qFormat/>
    <w:uiPriority w:val="0"/>
    <w:rPr>
      <w:rFonts w:eastAsia="宋体"/>
    </w:rPr>
  </w:style>
  <w:style w:type="character" w:customStyle="1" w:styleId="69">
    <w:name w:val="正文文本缩进 2 Char"/>
    <w:qFormat/>
    <w:uiPriority w:val="0"/>
    <w:rPr>
      <w:rFonts w:ascii="仿宋_GB2312" w:hAnsi="宋体" w:cs="Arial"/>
      <w:b/>
      <w:bCs/>
      <w:color w:val="000000"/>
      <w:sz w:val="24"/>
      <w:szCs w:val="24"/>
    </w:rPr>
  </w:style>
  <w:style w:type="character" w:customStyle="1" w:styleId="70">
    <w:name w:val="apple-style-span"/>
    <w:basedOn w:val="42"/>
    <w:qFormat/>
    <w:uiPriority w:val="0"/>
  </w:style>
  <w:style w:type="character" w:customStyle="1" w:styleId="71">
    <w:name w:val="列出段落字符"/>
    <w:link w:val="72"/>
    <w:qFormat/>
    <w:uiPriority w:val="34"/>
    <w:rPr>
      <w:rFonts w:ascii="Calibri" w:hAnsi="Calibri"/>
    </w:rPr>
  </w:style>
  <w:style w:type="paragraph" w:styleId="72">
    <w:name w:val="List Paragraph"/>
    <w:basedOn w:val="1"/>
    <w:link w:val="71"/>
    <w:qFormat/>
    <w:uiPriority w:val="34"/>
    <w:pPr>
      <w:ind w:firstLine="420" w:firstLineChars="200"/>
    </w:pPr>
    <w:rPr>
      <w:rFonts w:ascii="Calibri" w:hAnsi="Calibri"/>
    </w:rPr>
  </w:style>
  <w:style w:type="character" w:customStyle="1" w:styleId="73">
    <w:name w:val="批注框文本 Char"/>
    <w:qFormat/>
    <w:uiPriority w:val="99"/>
    <w:rPr>
      <w:rFonts w:ascii="time new roman" w:hAnsi="time new roman" w:eastAsia="长城粗隶书" w:cs="Courier New"/>
      <w:sz w:val="18"/>
      <w:szCs w:val="18"/>
    </w:rPr>
  </w:style>
  <w:style w:type="character" w:customStyle="1" w:styleId="74">
    <w:name w:val="纯文本 Char1"/>
    <w:qFormat/>
    <w:uiPriority w:val="0"/>
    <w:rPr>
      <w:rFonts w:ascii="宋体" w:hAnsi="Courier New" w:eastAsia="宋体"/>
      <w:sz w:val="24"/>
      <w:szCs w:val="24"/>
    </w:rPr>
  </w:style>
  <w:style w:type="character" w:customStyle="1" w:styleId="75">
    <w:name w:val="font51"/>
    <w:qFormat/>
    <w:uiPriority w:val="0"/>
    <w:rPr>
      <w:rFonts w:hint="eastAsia" w:ascii="宋体" w:hAnsi="宋体" w:eastAsia="宋体" w:cs="宋体"/>
      <w:color w:val="000000"/>
      <w:sz w:val="22"/>
      <w:szCs w:val="22"/>
      <w:u w:val="none"/>
    </w:rPr>
  </w:style>
  <w:style w:type="character" w:customStyle="1" w:styleId="76">
    <w:name w:val="正文文本 2 Char"/>
    <w:qFormat/>
    <w:uiPriority w:val="0"/>
    <w:rPr>
      <w:rFonts w:ascii="宋体" w:hAnsi="宋体" w:eastAsia="宋体"/>
      <w:color w:val="000000"/>
      <w:sz w:val="24"/>
      <w:szCs w:val="24"/>
    </w:rPr>
  </w:style>
  <w:style w:type="character" w:customStyle="1" w:styleId="77">
    <w:name w:val="apple-converted-space"/>
    <w:basedOn w:val="42"/>
    <w:qFormat/>
    <w:uiPriority w:val="0"/>
  </w:style>
  <w:style w:type="character" w:customStyle="1" w:styleId="78">
    <w:name w:val="style8"/>
    <w:basedOn w:val="42"/>
    <w:qFormat/>
    <w:uiPriority w:val="0"/>
  </w:style>
  <w:style w:type="character" w:customStyle="1" w:styleId="79">
    <w:name w:val="font21"/>
    <w:qFormat/>
    <w:uiPriority w:val="0"/>
    <w:rPr>
      <w:rFonts w:hint="eastAsia" w:ascii="宋体" w:hAnsi="宋体" w:eastAsia="宋体" w:cs="宋体"/>
      <w:color w:val="000000"/>
      <w:sz w:val="22"/>
      <w:szCs w:val="22"/>
      <w:u w:val="none"/>
    </w:rPr>
  </w:style>
  <w:style w:type="character" w:customStyle="1" w:styleId="80">
    <w:name w:val="正文文本缩进 Char"/>
    <w:qFormat/>
    <w:uiPriority w:val="0"/>
    <w:rPr>
      <w:rFonts w:ascii="宋体" w:hAnsi="Courier New"/>
      <w:spacing w:val="-4"/>
      <w:sz w:val="18"/>
    </w:rPr>
  </w:style>
  <w:style w:type="character" w:customStyle="1" w:styleId="81">
    <w:name w:val="纯文本 Char3"/>
    <w:qFormat/>
    <w:uiPriority w:val="0"/>
    <w:rPr>
      <w:rFonts w:ascii="宋体" w:hAnsi="Courier New" w:eastAsia="宋体"/>
      <w:kern w:val="2"/>
      <w:sz w:val="24"/>
      <w:szCs w:val="24"/>
      <w:lang w:val="en-US" w:eastAsia="zh-CN" w:bidi="ar-SA"/>
    </w:rPr>
  </w:style>
  <w:style w:type="character" w:customStyle="1" w:styleId="82">
    <w:name w:val="font11"/>
    <w:qFormat/>
    <w:uiPriority w:val="0"/>
    <w:rPr>
      <w:rFonts w:hint="default" w:ascii="Times New Roman" w:hAnsi="Times New Roman" w:cs="Times New Roman"/>
      <w:color w:val="000000"/>
      <w:sz w:val="21"/>
      <w:szCs w:val="21"/>
      <w:u w:val="none"/>
    </w:rPr>
  </w:style>
  <w:style w:type="character" w:customStyle="1" w:styleId="83">
    <w:name w:val="普通文字 Char1"/>
    <w:qFormat/>
    <w:uiPriority w:val="0"/>
    <w:rPr>
      <w:rFonts w:ascii="宋体" w:hAnsi="Courier New" w:eastAsia="宋体"/>
      <w:kern w:val="2"/>
      <w:sz w:val="21"/>
      <w:szCs w:val="24"/>
      <w:lang w:val="en-US" w:eastAsia="zh-CN" w:bidi="ar-SA"/>
    </w:rPr>
  </w:style>
  <w:style w:type="character" w:customStyle="1" w:styleId="84">
    <w:name w:val="font01"/>
    <w:qFormat/>
    <w:uiPriority w:val="0"/>
    <w:rPr>
      <w:rFonts w:hint="eastAsia" w:ascii="长城粗隶书" w:eastAsia="长城粗隶书"/>
      <w:color w:val="000000"/>
      <w:sz w:val="21"/>
      <w:szCs w:val="21"/>
      <w:u w:val="none"/>
    </w:rPr>
  </w:style>
  <w:style w:type="character" w:customStyle="1" w:styleId="85">
    <w:name w:val="标题 Char"/>
    <w:qFormat/>
    <w:uiPriority w:val="0"/>
    <w:rPr>
      <w:rFonts w:ascii="Cambria" w:hAnsi="Cambria" w:eastAsia="宋体"/>
      <w:b/>
      <w:bCs/>
      <w:sz w:val="32"/>
      <w:szCs w:val="32"/>
    </w:rPr>
  </w:style>
  <w:style w:type="paragraph" w:customStyle="1" w:styleId="86">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87">
    <w:name w:val="Char1 Char Char Char"/>
    <w:basedOn w:val="1"/>
    <w:qFormat/>
    <w:uiPriority w:val="0"/>
    <w:pPr>
      <w:widowControl/>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88">
    <w:name w:val="Char1 Char Char1 Char"/>
    <w:basedOn w:val="1"/>
    <w:qFormat/>
    <w:uiPriority w:val="0"/>
    <w:pPr>
      <w:widowControl/>
      <w:spacing w:line="400" w:lineRule="exact"/>
      <w:jc w:val="center"/>
    </w:pPr>
    <w:rPr>
      <w:rFonts w:ascii="Verdana" w:hAnsi="Verdana" w:eastAsia="宋体" w:cs="Times New Roman"/>
      <w:kern w:val="0"/>
      <w:szCs w:val="20"/>
      <w:lang w:eastAsia="en-US"/>
    </w:rPr>
  </w:style>
  <w:style w:type="paragraph" w:customStyle="1" w:styleId="89">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Char1"/>
    <w:basedOn w:val="1"/>
    <w:qFormat/>
    <w:uiPriority w:val="0"/>
    <w:rPr>
      <w:rFonts w:ascii="Tahoma" w:hAnsi="Tahoma" w:eastAsia="宋体" w:cs="Times New Roman"/>
      <w:sz w:val="24"/>
      <w:szCs w:val="24"/>
    </w:rPr>
  </w:style>
  <w:style w:type="character" w:customStyle="1" w:styleId="91">
    <w:name w:val="批注文字字符"/>
    <w:basedOn w:val="42"/>
    <w:link w:val="18"/>
    <w:semiHidden/>
    <w:qFormat/>
    <w:uiPriority w:val="99"/>
  </w:style>
  <w:style w:type="character" w:customStyle="1" w:styleId="92">
    <w:name w:val="批注框文本字符"/>
    <w:basedOn w:val="42"/>
    <w:link w:val="27"/>
    <w:semiHidden/>
    <w:qFormat/>
    <w:uiPriority w:val="99"/>
    <w:rPr>
      <w:sz w:val="18"/>
      <w:szCs w:val="18"/>
    </w:rPr>
  </w:style>
  <w:style w:type="character" w:customStyle="1" w:styleId="93">
    <w:name w:val="正文文本缩进 2字符"/>
    <w:basedOn w:val="42"/>
    <w:link w:val="26"/>
    <w:semiHidden/>
    <w:qFormat/>
    <w:uiPriority w:val="99"/>
  </w:style>
  <w:style w:type="character" w:customStyle="1" w:styleId="94">
    <w:name w:val="纯文本字符"/>
    <w:basedOn w:val="42"/>
    <w:link w:val="24"/>
    <w:qFormat/>
    <w:uiPriority w:val="0"/>
    <w:rPr>
      <w:rFonts w:ascii="宋体" w:hAnsi="Courier New" w:eastAsia="宋体" w:cs="Courier New"/>
      <w:szCs w:val="21"/>
    </w:rPr>
  </w:style>
  <w:style w:type="character" w:customStyle="1" w:styleId="95">
    <w:name w:val="正文文本缩进字符"/>
    <w:basedOn w:val="42"/>
    <w:link w:val="20"/>
    <w:qFormat/>
    <w:uiPriority w:val="0"/>
  </w:style>
  <w:style w:type="paragraph" w:customStyle="1" w:styleId="96">
    <w:name w:val="Table Paragraph"/>
    <w:basedOn w:val="1"/>
    <w:qFormat/>
    <w:uiPriority w:val="1"/>
    <w:rPr>
      <w:rFonts w:ascii="Times New Roman" w:hAnsi="Times New Roman" w:eastAsia="宋体" w:cs="Times New Roman"/>
      <w:szCs w:val="24"/>
    </w:rPr>
  </w:style>
  <w:style w:type="paragraph" w:customStyle="1" w:styleId="97">
    <w:name w:val="p0"/>
    <w:next w:val="33"/>
    <w:qFormat/>
    <w:uiPriority w:val="0"/>
    <w:pPr>
      <w:snapToGrid w:val="0"/>
    </w:pPr>
    <w:rPr>
      <w:rFonts w:ascii="Times New Roman" w:hAnsi="Times New Roman" w:eastAsia="宋体" w:cs="Times New Roman"/>
      <w:sz w:val="21"/>
      <w:szCs w:val="21"/>
      <w:lang w:val="en-US" w:eastAsia="zh-CN" w:bidi="ar-SA"/>
    </w:rPr>
  </w:style>
  <w:style w:type="paragraph" w:customStyle="1" w:styleId="98">
    <w:name w:val="Char Char Char"/>
    <w:basedOn w:val="17"/>
    <w:qFormat/>
    <w:uiPriority w:val="0"/>
    <w:rPr>
      <w:rFonts w:ascii="Tahoma" w:hAnsi="Tahoma"/>
      <w:sz w:val="24"/>
    </w:rPr>
  </w:style>
  <w:style w:type="paragraph" w:styleId="99">
    <w:name w:val="No Spacing"/>
    <w:qFormat/>
    <w:uiPriority w:val="0"/>
    <w:pPr>
      <w:adjustRightInd w:val="0"/>
      <w:snapToGrid w:val="0"/>
    </w:pPr>
    <w:rPr>
      <w:rFonts w:ascii="Tahoma" w:hAnsi="Tahoma" w:eastAsia="微软雅黑" w:cs="Times New Roman"/>
      <w:sz w:val="22"/>
      <w:szCs w:val="22"/>
      <w:lang w:val="en-US" w:eastAsia="zh-CN" w:bidi="ar-SA"/>
    </w:rPr>
  </w:style>
  <w:style w:type="character" w:customStyle="1" w:styleId="100">
    <w:name w:val="正文文本 2字符"/>
    <w:basedOn w:val="42"/>
    <w:link w:val="34"/>
    <w:semiHidden/>
    <w:qFormat/>
    <w:uiPriority w:val="99"/>
  </w:style>
  <w:style w:type="character" w:customStyle="1" w:styleId="101">
    <w:name w:val="正文文本 3字符"/>
    <w:basedOn w:val="42"/>
    <w:link w:val="19"/>
    <w:qFormat/>
    <w:uiPriority w:val="0"/>
    <w:rPr>
      <w:rFonts w:ascii="Times New Roman" w:hAnsi="宋体" w:eastAsia="仿宋_GB2312" w:cs="Times New Roman"/>
      <w:b/>
      <w:bCs/>
      <w:sz w:val="24"/>
      <w:szCs w:val="20"/>
    </w:rPr>
  </w:style>
  <w:style w:type="paragraph" w:customStyle="1" w:styleId="102">
    <w:name w:val="标题 21"/>
    <w:basedOn w:val="1"/>
    <w:qFormat/>
    <w:uiPriority w:val="1"/>
    <w:pPr>
      <w:ind w:left="154"/>
      <w:outlineLvl w:val="2"/>
    </w:pPr>
    <w:rPr>
      <w:rFonts w:ascii="宋体" w:hAnsi="宋体" w:eastAsia="宋体" w:cs="Times New Roman"/>
      <w:b/>
      <w:bCs/>
      <w:sz w:val="20"/>
      <w:szCs w:val="20"/>
    </w:rPr>
  </w:style>
  <w:style w:type="paragraph" w:customStyle="1" w:styleId="103">
    <w:name w:val="表内文字"/>
    <w:basedOn w:val="1"/>
    <w:qFormat/>
    <w:uiPriority w:val="0"/>
    <w:pPr>
      <w:tabs>
        <w:tab w:val="left" w:pos="1418"/>
      </w:tabs>
      <w:spacing w:line="360" w:lineRule="auto"/>
      <w:jc w:val="center"/>
    </w:pPr>
    <w:rPr>
      <w:rFonts w:ascii="仿宋_GB2312" w:hAnsi="Times New Roman" w:eastAsia="仿宋_GB2312" w:cs="Times New Roman"/>
      <w:spacing w:val="-20"/>
      <w:kern w:val="0"/>
      <w:sz w:val="24"/>
      <w:szCs w:val="24"/>
    </w:rPr>
  </w:style>
  <w:style w:type="paragraph" w:customStyle="1" w:styleId="104">
    <w:name w:val="正文文字"/>
    <w:basedOn w:val="1"/>
    <w:qFormat/>
    <w:uiPriority w:val="0"/>
    <w:pPr>
      <w:spacing w:line="360" w:lineRule="auto"/>
      <w:ind w:firstLine="420"/>
    </w:pPr>
    <w:rPr>
      <w:rFonts w:ascii="Times New Roman" w:hAnsi="Times New Roman" w:eastAsia="宋体" w:cs="Times New Roman"/>
      <w:sz w:val="24"/>
      <w:szCs w:val="24"/>
    </w:rPr>
  </w:style>
  <w:style w:type="character" w:customStyle="1" w:styleId="105">
    <w:name w:val="标题字符"/>
    <w:basedOn w:val="42"/>
    <w:link w:val="36"/>
    <w:qFormat/>
    <w:uiPriority w:val="10"/>
    <w:rPr>
      <w:rFonts w:eastAsia="宋体" w:asciiTheme="majorHAnsi" w:hAnsiTheme="majorHAnsi" w:cstheme="majorBidi"/>
      <w:b/>
      <w:bCs/>
      <w:sz w:val="32"/>
      <w:szCs w:val="32"/>
    </w:rPr>
  </w:style>
  <w:style w:type="paragraph" w:customStyle="1" w:styleId="106">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07">
    <w:name w:val="批注主题字符"/>
    <w:basedOn w:val="91"/>
    <w:link w:val="37"/>
    <w:semiHidden/>
    <w:qFormat/>
    <w:uiPriority w:val="99"/>
    <w:rPr>
      <w:b/>
      <w:bCs/>
    </w:rPr>
  </w:style>
  <w:style w:type="character" w:customStyle="1" w:styleId="108">
    <w:name w:val="正文文本缩进 3字符"/>
    <w:basedOn w:val="42"/>
    <w:link w:val="32"/>
    <w:qFormat/>
    <w:uiPriority w:val="0"/>
    <w:rPr>
      <w:rFonts w:ascii="仿宋_GB2312" w:hAnsi="宋体" w:eastAsia="仿宋_GB2312" w:cs="Times New Roman"/>
      <w:color w:val="000000"/>
      <w:sz w:val="24"/>
      <w:szCs w:val="24"/>
    </w:rPr>
  </w:style>
  <w:style w:type="character" w:customStyle="1" w:styleId="109">
    <w:name w:val="日期字符"/>
    <w:basedOn w:val="42"/>
    <w:link w:val="25"/>
    <w:qFormat/>
    <w:uiPriority w:val="0"/>
    <w:rPr>
      <w:rFonts w:ascii="Times New Roman" w:hAnsi="Times New Roman" w:eastAsia="楷体_GB2312" w:cs="Times New Roman"/>
      <w:sz w:val="32"/>
      <w:szCs w:val="20"/>
    </w:rPr>
  </w:style>
  <w:style w:type="character" w:customStyle="1" w:styleId="110">
    <w:name w:val="注释标题字符"/>
    <w:basedOn w:val="42"/>
    <w:link w:val="14"/>
    <w:semiHidden/>
    <w:qFormat/>
    <w:uiPriority w:val="99"/>
  </w:style>
  <w:style w:type="paragraph" w:customStyle="1" w:styleId="111">
    <w:name w:val="Char2"/>
    <w:basedOn w:val="17"/>
    <w:next w:val="1"/>
    <w:qFormat/>
    <w:uiPriority w:val="0"/>
    <w:rPr>
      <w:rFonts w:ascii="宋体" w:hAnsi="宋体"/>
    </w:rPr>
  </w:style>
  <w:style w:type="paragraph" w:customStyle="1" w:styleId="112">
    <w:name w:val="msonormalcxspmiddl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3">
    <w:name w:val="_Style 4"/>
    <w:basedOn w:val="1"/>
    <w:qFormat/>
    <w:uiPriority w:val="34"/>
    <w:pPr>
      <w:spacing w:line="360" w:lineRule="auto"/>
      <w:ind w:left="720"/>
      <w:contextualSpacing/>
    </w:pPr>
    <w:rPr>
      <w:rFonts w:ascii="Times New Roman" w:hAnsi="Times New Roman" w:eastAsia="宋体" w:cs="Times New Roman"/>
      <w:szCs w:val="21"/>
    </w:rPr>
  </w:style>
  <w:style w:type="character" w:customStyle="1" w:styleId="114">
    <w:name w:val="正文首行缩进 2字符"/>
    <w:basedOn w:val="95"/>
    <w:link w:val="39"/>
    <w:semiHidden/>
    <w:qFormat/>
    <w:uiPriority w:val="99"/>
  </w:style>
  <w:style w:type="character" w:customStyle="1" w:styleId="115">
    <w:name w:val="正文文本字符"/>
    <w:basedOn w:val="42"/>
    <w:link w:val="2"/>
    <w:semiHidden/>
    <w:qFormat/>
    <w:uiPriority w:val="99"/>
  </w:style>
  <w:style w:type="paragraph" w:customStyle="1" w:styleId="116">
    <w:name w:val="Char"/>
    <w:basedOn w:val="1"/>
    <w:qFormat/>
    <w:uiPriority w:val="0"/>
    <w:pPr>
      <w:ind w:firstLine="640" w:firstLineChars="200"/>
    </w:pPr>
    <w:rPr>
      <w:rFonts w:ascii="宋体" w:hAnsi="宋体" w:eastAsia="宋体" w:cs="宋体"/>
      <w:color w:val="000000"/>
      <w:kern w:val="0"/>
      <w:szCs w:val="21"/>
    </w:rPr>
  </w:style>
  <w:style w:type="character" w:customStyle="1" w:styleId="117">
    <w:name w:val="文档结构图字符"/>
    <w:basedOn w:val="42"/>
    <w:link w:val="17"/>
    <w:qFormat/>
    <w:uiPriority w:val="0"/>
    <w:rPr>
      <w:rFonts w:ascii="Times New Roman" w:hAnsi="Times New Roman" w:eastAsia="宋体" w:cs="Times New Roman"/>
      <w:szCs w:val="24"/>
      <w:shd w:val="clear" w:color="auto" w:fill="000080"/>
    </w:rPr>
  </w:style>
  <w:style w:type="paragraph" w:customStyle="1" w:styleId="118">
    <w:name w:val="f1"/>
    <w:basedOn w:val="1"/>
    <w:qFormat/>
    <w:uiPriority w:val="0"/>
    <w:pPr>
      <w:widowControl/>
      <w:spacing w:before="100" w:beforeAutospacing="1" w:after="100" w:afterAutospacing="1"/>
      <w:jc w:val="center"/>
    </w:pPr>
    <w:rPr>
      <w:rFonts w:ascii="Helvetica" w:hAnsi="Helvetica" w:eastAsia="宋体" w:cs="Helvetica"/>
      <w:b/>
      <w:bCs/>
      <w:color w:val="FF8080"/>
      <w:spacing w:val="160"/>
      <w:kern w:val="0"/>
      <w:sz w:val="80"/>
      <w:szCs w:val="80"/>
    </w:rPr>
  </w:style>
  <w:style w:type="paragraph" w:customStyle="1" w:styleId="119">
    <w:name w:val="正文2"/>
    <w:basedOn w:val="1"/>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20">
    <w:name w:val="正文段"/>
    <w:basedOn w:val="1"/>
    <w:qFormat/>
    <w:uiPriority w:val="0"/>
    <w:pPr>
      <w:widowControl/>
      <w:snapToGrid w:val="0"/>
      <w:spacing w:afterLines="50"/>
      <w:ind w:firstLine="200" w:firstLineChars="200"/>
    </w:pPr>
    <w:rPr>
      <w:rFonts w:ascii="Times New Roman" w:hAnsi="Times New Roman" w:eastAsia="宋体" w:cs="Times New Roman"/>
      <w:kern w:val="0"/>
      <w:sz w:val="24"/>
      <w:szCs w:val="20"/>
    </w:rPr>
  </w:style>
  <w:style w:type="paragraph" w:customStyle="1" w:styleId="121">
    <w:name w:val="Char Char Char Char Char Char"/>
    <w:basedOn w:val="1"/>
    <w:qFormat/>
    <w:uiPriority w:val="0"/>
    <w:pPr>
      <w:widowControl/>
      <w:spacing w:after="160" w:line="240" w:lineRule="exact"/>
      <w:jc w:val="left"/>
    </w:pPr>
    <w:rPr>
      <w:rFonts w:ascii="@微软雅黑" w:hAnsi="@微软雅黑" w:eastAsia="宋体" w:cs="Times New Roman"/>
      <w:kern w:val="0"/>
      <w:sz w:val="20"/>
      <w:szCs w:val="20"/>
      <w:lang w:eastAsia="en-US"/>
    </w:rPr>
  </w:style>
  <w:style w:type="character" w:customStyle="1" w:styleId="122">
    <w:name w:val="正文缩进 Char1"/>
    <w:qFormat/>
    <w:uiPriority w:val="0"/>
    <w:rPr>
      <w:rFonts w:eastAsia="宋体"/>
      <w:kern w:val="2"/>
      <w:sz w:val="21"/>
      <w:lang w:val="en-US" w:eastAsia="zh-CN" w:bidi="ar-SA"/>
    </w:rPr>
  </w:style>
  <w:style w:type="character" w:customStyle="1" w:styleId="123">
    <w:name w:val="正文首行缩进字符"/>
    <w:basedOn w:val="115"/>
    <w:link w:val="38"/>
    <w:uiPriority w:val="0"/>
    <w:rPr>
      <w:rFonts w:eastAsia="微软雅黑"/>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jpeg"/><Relationship Id="rId13" Type="http://schemas.openxmlformats.org/officeDocument/2006/relationships/image" Target="media/image2.pn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E86D53-F3C2-854C-825D-835B8BE4E45D}">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86</Pages>
  <Words>8341</Words>
  <Characters>47549</Characters>
  <Lines>396</Lines>
  <Paragraphs>111</Paragraphs>
  <TotalTime>15</TotalTime>
  <ScaleCrop>false</ScaleCrop>
  <LinksUpToDate>false</LinksUpToDate>
  <CharactersWithSpaces>55779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2021-10-08T15:00:00Z</dcterms:created>
  <dc:creator>NTKO</dc:creator>
  <cp:lastModifiedBy>臧</cp:lastModifiedBy>
  <dcterms:modified xsi:type="dcterms:W3CDTF">2021-10-14T08:13:14Z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E51F61E6CEAF432FA0CE26CB3C6D2C40</vt:lpwstr>
  </property>
</Properties>
</file>