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rPr>
      </w:pPr>
    </w:p>
    <w:p>
      <w:pPr>
        <w:adjustRightInd/>
        <w:spacing w:line="360" w:lineRule="auto"/>
        <w:jc w:val="center"/>
        <w:rPr>
          <w:rFonts w:ascii="仿宋_GB2312" w:hAnsi="仿宋" w:eastAsia="仿宋_GB2312" w:cs="仿宋_GB2312"/>
          <w:b/>
          <w:color w:val="auto"/>
          <w:sz w:val="48"/>
          <w:szCs w:val="48"/>
        </w:rPr>
      </w:pPr>
    </w:p>
    <w:p>
      <w:pPr>
        <w:adjustRightInd/>
        <w:spacing w:line="360" w:lineRule="auto"/>
        <w:jc w:val="center"/>
        <w:rPr>
          <w:rFonts w:hint="eastAsia" w:ascii="宋体" w:hAnsi="宋体" w:eastAsia="仿宋" w:cs="宋体"/>
          <w:b/>
          <w:bCs/>
          <w:color w:val="auto"/>
          <w:spacing w:val="6"/>
          <w:sz w:val="48"/>
          <w:szCs w:val="48"/>
          <w:lang w:eastAsia="zh-CN"/>
        </w:rPr>
      </w:pPr>
      <w:r>
        <w:rPr>
          <w:rFonts w:hint="eastAsia" w:ascii="宋体" w:hAnsi="宋体" w:eastAsia="仿宋" w:cs="宋体"/>
          <w:b/>
          <w:bCs/>
          <w:color w:val="auto"/>
          <w:spacing w:val="6"/>
          <w:sz w:val="48"/>
          <w:szCs w:val="48"/>
          <w:lang w:eastAsia="zh-CN"/>
        </w:rPr>
        <w:t>未来科技城城市管理划转区块城市管理服务外包项目</w:t>
      </w:r>
    </w:p>
    <w:p>
      <w:pPr>
        <w:adjustRightInd/>
        <w:spacing w:line="360" w:lineRule="auto"/>
        <w:jc w:val="center"/>
        <w:rPr>
          <w:rFonts w:ascii="仿宋" w:hAnsi="仿宋" w:eastAsia="仿宋" w:cs="仿宋_GB2312"/>
          <w:color w:val="auto"/>
          <w:sz w:val="48"/>
          <w:szCs w:val="48"/>
        </w:rPr>
      </w:pPr>
      <w:r>
        <w:rPr>
          <w:rFonts w:hint="eastAsia" w:ascii="宋体" w:hAnsi="宋体" w:eastAsia="仿宋" w:cs="宋体"/>
          <w:b/>
          <w:bCs/>
          <w:color w:val="auto"/>
          <w:spacing w:val="6"/>
          <w:sz w:val="48"/>
          <w:szCs w:val="48"/>
          <w:lang w:eastAsia="zh-CN"/>
        </w:rPr>
        <w:t>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（电子招投标）</w:t>
      </w:r>
    </w:p>
    <w:p>
      <w:pPr>
        <w:snapToGrid w:val="0"/>
        <w:spacing w:line="360" w:lineRule="auto"/>
        <w:jc w:val="center"/>
        <w:rPr>
          <w:rFonts w:hint="default" w:ascii="仿宋" w:hAnsi="仿宋" w:eastAsia="仿宋" w:cs="仿宋_GB2312"/>
          <w:color w:val="auto"/>
          <w:sz w:val="30"/>
          <w:szCs w:val="30"/>
          <w:lang w:val="en-US" w:eastAsia="zh-CN"/>
        </w:rPr>
      </w:pPr>
      <w:r>
        <w:rPr>
          <w:rFonts w:hint="eastAsia" w:ascii="仿宋" w:hAnsi="仿宋" w:eastAsia="仿宋" w:cs="仿宋_GB2312"/>
          <w:color w:val="auto"/>
          <w:sz w:val="30"/>
          <w:szCs w:val="30"/>
        </w:rPr>
        <w:t>编号:</w:t>
      </w:r>
      <w:r>
        <w:rPr>
          <w:rFonts w:hint="eastAsia" w:ascii="仿宋" w:hAnsi="仿宋" w:eastAsia="仿宋" w:cs="仿宋_GB2312"/>
          <w:color w:val="auto"/>
          <w:sz w:val="30"/>
          <w:szCs w:val="30"/>
          <w:lang w:eastAsia="zh-CN"/>
        </w:rPr>
        <w:t>ZJDL-2023-0</w:t>
      </w:r>
      <w:r>
        <w:rPr>
          <w:rFonts w:hint="eastAsia" w:ascii="仿宋" w:hAnsi="仿宋" w:eastAsia="仿宋" w:cs="仿宋_GB2312"/>
          <w:color w:val="auto"/>
          <w:sz w:val="30"/>
          <w:szCs w:val="30"/>
          <w:lang w:val="en-US" w:eastAsia="zh-CN"/>
        </w:rPr>
        <w:t>14</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color w:val="auto"/>
          <w:sz w:val="24"/>
        </w:rPr>
      </w:pPr>
    </w:p>
    <w:p>
      <w:pPr>
        <w:pStyle w:val="4"/>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浙江中际工程项目管理有限公司</w:t>
      </w: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w:t>
      </w:r>
      <w:r>
        <w:rPr>
          <w:rFonts w:hint="eastAsia" w:ascii="仿宋_GB2312" w:hAnsi="仿宋_GB2312" w:eastAsia="仿宋_GB2312" w:cs="仿宋_GB2312"/>
          <w:bCs/>
          <w:color w:val="auto"/>
          <w:sz w:val="32"/>
          <w:szCs w:val="32"/>
          <w:lang w:eastAsia="zh-CN"/>
        </w:rPr>
        <w:t>三</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三</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日</w:t>
      </w:r>
    </w:p>
    <w:p>
      <w:pPr>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olor w:val="auto"/>
          <w:sz w:val="24"/>
          <w:u w:val="single"/>
          <w:lang w:eastAsia="zh-CN"/>
        </w:rPr>
        <w:t>未来科技城城市管理划转区块城市管理服务外包项目</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3</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 xml:space="preserve"> 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 xml:space="preserve"> 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hint="default" w:ascii="仿宋_GB2312" w:hAnsi="仿宋" w:eastAsia="仿宋_GB2312"/>
          <w:color w:val="auto"/>
          <w:sz w:val="24"/>
          <w:lang w:val="en-US"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项目编号：ZJDL-2023-014</w:t>
      </w:r>
    </w:p>
    <w:p>
      <w:pPr>
        <w:spacing w:line="360" w:lineRule="auto"/>
        <w:ind w:firstLine="480"/>
        <w:rPr>
          <w:rFonts w:hint="default" w:ascii="仿宋_GB2312" w:hAnsi="仿宋" w:eastAsia="仿宋_GB2312" w:cs="仿宋_GB2312"/>
          <w:color w:val="auto"/>
          <w:sz w:val="24"/>
          <w:lang w:val="en-US" w:eastAsia="zh-CN"/>
        </w:rPr>
      </w:pPr>
      <w:r>
        <w:rPr>
          <w:rFonts w:ascii="仿宋_GB2312" w:hAnsi="仿宋" w:eastAsia="仿宋_GB2312"/>
          <w:b/>
          <w:color w:val="auto"/>
          <w:sz w:val="24"/>
        </w:rPr>
        <w:t>项目名称：</w:t>
      </w:r>
      <w:r>
        <w:rPr>
          <w:rFonts w:hint="eastAsia" w:ascii="仿宋_GB2312" w:hAnsi="仿宋" w:eastAsia="仿宋_GB2312" w:cs="仿宋_GB2312"/>
          <w:color w:val="auto"/>
          <w:sz w:val="24"/>
          <w:lang w:eastAsia="zh-CN"/>
        </w:rPr>
        <w:t>未来科技城城市管理划转区块城市管理服务外包项目</w:t>
      </w:r>
    </w:p>
    <w:p>
      <w:pPr>
        <w:spacing w:line="360" w:lineRule="auto"/>
        <w:ind w:firstLine="480"/>
        <w:rPr>
          <w:rFonts w:hint="default" w:ascii="仿宋_GB2312" w:hAnsi="仿宋" w:eastAsia="仿宋_GB2312"/>
          <w:color w:val="auto"/>
          <w:sz w:val="24"/>
          <w:lang w:val="en-US" w:eastAsia="zh-CN"/>
        </w:rPr>
      </w:pPr>
      <w:r>
        <w:rPr>
          <w:rFonts w:ascii="仿宋_GB2312" w:hAnsi="仿宋" w:eastAsia="仿宋_GB2312"/>
          <w:b/>
          <w:color w:val="auto"/>
          <w:sz w:val="24"/>
        </w:rPr>
        <w:t>预算金额（元）：</w:t>
      </w:r>
      <w:r>
        <w:rPr>
          <w:rFonts w:hint="eastAsia" w:ascii="仿宋_GB2312" w:hAnsi="仿宋" w:eastAsia="仿宋_GB2312" w:cs="仿宋_GB2312"/>
          <w:sz w:val="24"/>
          <w:lang w:eastAsia="zh-CN"/>
        </w:rPr>
        <w:t>8990000</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cs="仿宋_GB2312"/>
          <w:sz w:val="24"/>
          <w:lang w:eastAsia="zh-CN"/>
        </w:rPr>
        <w:t>8990000</w:t>
      </w:r>
    </w:p>
    <w:p>
      <w:pPr>
        <w:pStyle w:val="7"/>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（项目名称）主要内容： 本项目采购内容为</w:t>
      </w:r>
      <w:r>
        <w:rPr>
          <w:rFonts w:hint="eastAsia" w:ascii="仿宋_GB2312" w:hAnsi="仿宋" w:eastAsia="仿宋_GB2312" w:cs="Times New Roman"/>
          <w:bCs/>
          <w:color w:val="auto"/>
          <w:kern w:val="2"/>
          <w:sz w:val="24"/>
          <w:szCs w:val="24"/>
          <w:lang w:eastAsia="zh-CN"/>
        </w:rPr>
        <w:t>未来科技城城市管理划转区块城市管理服务外包项目</w:t>
      </w:r>
      <w:r>
        <w:rPr>
          <w:rFonts w:hint="eastAsia" w:ascii="仿宋_GB2312" w:hAnsi="仿宋" w:eastAsia="仿宋_GB2312"/>
          <w:bCs/>
          <w:color w:val="auto"/>
          <w:kern w:val="2"/>
          <w:sz w:val="24"/>
          <w:szCs w:val="24"/>
        </w:rPr>
        <w:t>等。详见招标文件第三部分采购需求。</w:t>
      </w:r>
    </w:p>
    <w:p>
      <w:pPr>
        <w:pStyle w:val="86"/>
        <w:ind w:firstLine="482"/>
        <w:outlineLvl w:val="2"/>
        <w:rPr>
          <w:rFonts w:hint="default" w:ascii="仿宋_GB2312" w:hAnsi="仿宋" w:eastAsia="仿宋_GB2312"/>
          <w:color w:val="auto"/>
          <w:lang w:val="en-US" w:eastAsia="zh-CN"/>
        </w:rPr>
      </w:pPr>
      <w:r>
        <w:rPr>
          <w:rFonts w:hint="eastAsia" w:ascii="仿宋_GB2312" w:hAnsi="仿宋" w:eastAsia="仿宋_GB2312"/>
          <w:b/>
          <w:color w:val="auto"/>
        </w:rPr>
        <w:t>合同履约期限：</w:t>
      </w:r>
      <w:r>
        <w:rPr>
          <w:rFonts w:hint="eastAsia" w:ascii="仿宋_GB2312" w:hAnsi="仿宋" w:eastAsia="仿宋_GB2312"/>
          <w:b/>
          <w:color w:val="auto"/>
          <w:lang w:val="en-US" w:eastAsia="zh-CN"/>
        </w:rPr>
        <w:t>一年</w:t>
      </w:r>
    </w:p>
    <w:p>
      <w:pPr>
        <w:pStyle w:val="7"/>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Wingdings" w:hAnsi="Wingdings" w:eastAsia="MS Gothic" w:cs="Arial"/>
          <w:color w:val="auto"/>
          <w:kern w:val="0"/>
          <w:sz w:val="24"/>
        </w:rPr>
        <w:t>þ</w:t>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pPr>
        <w:spacing w:line="360" w:lineRule="auto"/>
        <w:ind w:firstLine="897" w:firstLineChars="374"/>
        <w:rPr>
          <w:rFonts w:ascii="仿宋_GB2312" w:hAnsi="仿宋" w:eastAsia="仿宋_GB2312"/>
          <w:color w:val="auto"/>
          <w:sz w:val="24"/>
          <w:u w:val="single"/>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服务全部由符合政策要求的小微企业承接，提供中小企业声明函；</w:t>
      </w:r>
    </w:p>
    <w:p>
      <w:pPr>
        <w:rPr>
          <w:color w:val="auto"/>
        </w:rPr>
      </w:pPr>
    </w:p>
    <w:p>
      <w:pPr>
        <w:spacing w:line="360" w:lineRule="auto"/>
        <w:ind w:firstLine="480" w:firstLineChars="200"/>
        <w:rPr>
          <w:rFonts w:ascii="仿宋" w:hAnsi="仿宋" w:eastAsia="仿宋"/>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要求以联合体形式参加，提供联合协议和中小企业声明函，联合协议中中小企业合同金额应当达到</w:t>
      </w:r>
      <w:r>
        <w:rPr>
          <w:rFonts w:hint="eastAsia" w:ascii="仿宋_GB2312" w:hAnsi="仿宋" w:eastAsia="仿宋_GB2312"/>
          <w:color w:val="auto"/>
          <w:sz w:val="24"/>
          <w:u w:val="single"/>
          <w:lang w:val="en-US" w:eastAsia="zh-CN"/>
        </w:rPr>
        <w:t xml:space="preserve">   </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hint="eastAsia" w:ascii="仿宋_GB2312" w:hAnsi="仿宋" w:eastAsia="仿宋_GB2312"/>
          <w:color w:val="auto"/>
          <w:sz w:val="24"/>
          <w:u w:val="single"/>
          <w:lang w:val="en-US" w:eastAsia="zh-CN"/>
        </w:rPr>
        <w:t xml:space="preserve">   </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color w:val="auto"/>
          <w:sz w:val="24"/>
          <w:lang w:val="en-US" w:eastAsia="zh-CN"/>
        </w:rPr>
        <w:t>无</w:t>
      </w:r>
      <w:r>
        <w:rPr>
          <w:rFonts w:hint="eastAsia" w:ascii="仿宋_GB2312" w:hAnsi="仿宋" w:eastAsia="仿宋_GB2312"/>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3</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4</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6</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3</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 xml:space="preserve"> 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3</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 xml:space="preserve"> 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 xml:space="preserve"> 00</w:t>
      </w:r>
      <w:r>
        <w:rPr>
          <w:rFonts w:hint="eastAsia" w:ascii="仿宋_GB2312" w:hAnsi="仿宋" w:eastAsia="仿宋_GB2312"/>
          <w:color w:val="auto"/>
          <w:sz w:val="24"/>
          <w:u w:val="single"/>
        </w:rPr>
        <w:t>分</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pStyle w:val="59"/>
        <w:widowControl/>
        <w:spacing w:before="255" w:beforeAutospacing="0" w:after="255" w:afterAutospacing="0" w:line="300" w:lineRule="atLeast"/>
        <w:ind w:left="0" w:right="0"/>
        <w:jc w:val="both"/>
        <w:rPr>
          <w:rFonts w:hint="eastAsia" w:ascii="仿宋_GB2312" w:hAnsi="仿宋" w:eastAsia="仿宋_GB2312" w:cs="Times New Roman"/>
          <w:b/>
          <w:color w:val="auto"/>
          <w:kern w:val="2"/>
          <w:sz w:val="24"/>
          <w:szCs w:val="24"/>
          <w:lang w:val="en-US" w:eastAsia="zh-CN" w:bidi="ar-SA"/>
        </w:rPr>
      </w:pPr>
      <w:r>
        <w:rPr>
          <w:rFonts w:hint="eastAsia" w:ascii="仿宋_GB2312" w:hAnsi="仿宋" w:eastAsia="仿宋_GB2312" w:cs="Times New Roman"/>
          <w:b/>
          <w:color w:val="auto"/>
          <w:kern w:val="2"/>
          <w:sz w:val="24"/>
          <w:szCs w:val="24"/>
          <w:lang w:val="en-US" w:eastAsia="zh-CN" w:bidi="ar-SA"/>
        </w:rPr>
        <w:t>五、采购意向公开链接</w:t>
      </w:r>
    </w:p>
    <w:p>
      <w:pPr>
        <w:pStyle w:val="59"/>
        <w:widowControl/>
        <w:spacing w:before="255" w:beforeAutospacing="0" w:after="255" w:afterAutospacing="0" w:line="300" w:lineRule="atLeast"/>
        <w:ind w:left="0" w:right="0"/>
        <w:jc w:val="both"/>
        <w:rPr>
          <w:rFonts w:hint="eastAsia" w:ascii="仿宋_GB2312" w:hAnsi="仿宋" w:eastAsia="仿宋_GB2312" w:cs="Times New Roman"/>
          <w:b/>
          <w:color w:val="auto"/>
          <w:kern w:val="2"/>
          <w:sz w:val="24"/>
          <w:szCs w:val="24"/>
          <w:lang w:val="en-US" w:eastAsia="zh-CN" w:bidi="ar-SA"/>
        </w:rPr>
      </w:pPr>
      <w:r>
        <w:rPr>
          <w:rFonts w:hint="eastAsia" w:ascii="仿宋_GB2312" w:hAnsi="仿宋" w:eastAsia="仿宋_GB2312" w:cs="Times New Roman"/>
          <w:b/>
          <w:color w:val="auto"/>
          <w:kern w:val="2"/>
          <w:sz w:val="24"/>
          <w:szCs w:val="24"/>
          <w:lang w:val="en-US" w:eastAsia="zh-CN" w:bidi="ar-SA"/>
        </w:rPr>
        <w:t xml:space="preserve">  </w:t>
      </w:r>
      <w:r>
        <w:rPr>
          <w:rStyle w:val="80"/>
          <w:rFonts w:hint="eastAsia" w:ascii="仿宋" w:hAnsi="仿宋" w:eastAsia="仿宋" w:cs="仿宋"/>
          <w:sz w:val="27"/>
          <w:szCs w:val="27"/>
        </w:rPr>
        <w:t>https://zfcg.czt.zj.gov.cn/innerUsed_noticeDetails/index.html?noticeId=9233604&amp;utm=web-government-front.2e418808.0.0.1c3512c0adcb11edb6fbddcdcb6bc42d</w:t>
      </w:r>
    </w:p>
    <w:p>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六</w:t>
      </w:r>
      <w:r>
        <w:rPr>
          <w:rFonts w:hint="eastAsia" w:ascii="仿宋_GB2312" w:hAnsi="仿宋" w:eastAsia="仿宋_GB2312"/>
          <w:b/>
          <w:color w:val="auto"/>
          <w:sz w:val="24"/>
        </w:rPr>
        <w:t>、公告期限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七</w:t>
      </w:r>
      <w:r>
        <w:rPr>
          <w:rFonts w:hint="eastAsia" w:ascii="仿宋_GB2312" w:hAnsi="仿宋" w:eastAsia="仿宋_GB2312"/>
          <w:b/>
          <w:color w:val="auto"/>
          <w:sz w:val="24"/>
        </w:rPr>
        <w:t>、其他补充事宜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八</w:t>
      </w:r>
      <w:r>
        <w:rPr>
          <w:rFonts w:hint="eastAsia" w:ascii="仿宋_GB2312" w:hAnsi="仿宋" w:eastAsia="仿宋_GB2312"/>
          <w:b/>
          <w:color w:val="auto"/>
          <w:sz w:val="24"/>
        </w:rPr>
        <w:t>、对本次采购提出询问、质疑、投诉，请按以下方式联系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名    称：</w:t>
      </w:r>
      <w:r>
        <w:rPr>
          <w:rFonts w:hint="eastAsia" w:ascii="宋体" w:hAnsi="宋体" w:eastAsia="仿宋_GB2312" w:cs="宋体"/>
          <w:color w:val="auto"/>
          <w:kern w:val="0"/>
          <w:sz w:val="24"/>
          <w:lang w:eastAsia="zh-CN"/>
        </w:rPr>
        <w:t>杭州市余杭区人民政府仓前街道办事处</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宋体" w:hAnsi="宋体" w:eastAsia="仿宋_GB2312" w:cs="宋体"/>
          <w:color w:val="auto"/>
          <w:kern w:val="0"/>
          <w:sz w:val="24"/>
          <w:lang w:eastAsia="zh-CN"/>
        </w:rPr>
        <w:t>杭州市余杭区仓前街道</w:t>
      </w:r>
      <w:r>
        <w:rPr>
          <w:rFonts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pacing w:line="360" w:lineRule="auto"/>
        <w:ind w:firstLine="480" w:firstLineChars="200"/>
        <w:rPr>
          <w:rFonts w:hint="default" w:ascii="仿宋_GB2312" w:hAnsi="仿宋" w:eastAsia="仿宋_GB2312" w:cs="Times New Roman"/>
          <w:color w:val="auto"/>
          <w:sz w:val="24"/>
          <w:lang w:val="en-US" w:eastAsia="zh-CN"/>
        </w:rPr>
      </w:pPr>
      <w:r>
        <w:rPr>
          <w:rFonts w:hint="eastAsia" w:ascii="仿宋_GB2312" w:hAnsi="仿宋" w:eastAsia="仿宋_GB2312" w:cs="Times New Roman"/>
          <w:color w:val="auto"/>
          <w:sz w:val="24"/>
        </w:rPr>
        <w:t>项目联系人（询问）：</w:t>
      </w:r>
      <w:r>
        <w:rPr>
          <w:rFonts w:ascii="仿宋_GB2312" w:hAnsi="仿宋" w:eastAsia="仿宋_GB2312" w:cs="Times New Roman"/>
          <w:color w:val="auto"/>
          <w:sz w:val="24"/>
        </w:rPr>
        <w:t xml:space="preserve"> </w:t>
      </w:r>
      <w:r>
        <w:rPr>
          <w:rFonts w:hint="eastAsia" w:ascii="仿宋_GB2312" w:hAnsi="仿宋" w:eastAsia="仿宋_GB2312" w:cs="Times New Roman"/>
          <w:color w:val="auto"/>
          <w:sz w:val="24"/>
        </w:rPr>
        <w:t>朱洪颖</w:t>
      </w:r>
    </w:p>
    <w:p>
      <w:pPr>
        <w:spacing w:line="360" w:lineRule="auto"/>
        <w:ind w:firstLine="480" w:firstLineChars="200"/>
        <w:rPr>
          <w:rFonts w:hint="default" w:ascii="仿宋_GB2312" w:hAnsi="仿宋" w:eastAsia="仿宋_GB2312" w:cs="Times New Roman"/>
          <w:color w:val="auto"/>
          <w:sz w:val="24"/>
          <w:lang w:val="en-US" w:eastAsia="zh-CN"/>
        </w:rPr>
      </w:pPr>
      <w:r>
        <w:rPr>
          <w:rFonts w:hint="eastAsia" w:ascii="仿宋_GB2312" w:hAnsi="仿宋" w:eastAsia="仿宋_GB2312" w:cs="Times New Roman"/>
          <w:color w:val="auto"/>
          <w:sz w:val="24"/>
          <w:lang w:val="en-US" w:eastAsia="zh-CN"/>
        </w:rPr>
        <w:t>项目联系方式（询问）：</w:t>
      </w:r>
      <w:r>
        <w:rPr>
          <w:rFonts w:hint="eastAsia" w:ascii="仿宋_GB2312" w:hAnsi="仿宋" w:eastAsia="仿宋_GB2312" w:cs="Times New Roman"/>
          <w:color w:val="auto"/>
          <w:sz w:val="24"/>
        </w:rPr>
        <w:t>19564159225</w:t>
      </w:r>
    </w:p>
    <w:p>
      <w:pPr>
        <w:spacing w:line="360" w:lineRule="auto"/>
        <w:rPr>
          <w:rFonts w:ascii="仿宋" w:hAnsi="仿宋" w:eastAsia="仿宋"/>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rPr>
        <w:t>周国平</w:t>
      </w:r>
      <w:r>
        <w:rPr>
          <w:rFonts w:hint="eastAsia" w:ascii="宋体" w:hAnsi="宋体" w:cs="宋体"/>
          <w:bCs/>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质疑联系方式：</w:t>
      </w:r>
      <w:r>
        <w:rPr>
          <w:rFonts w:hint="eastAsia" w:ascii="仿宋" w:hAnsi="仿宋" w:eastAsia="仿宋" w:cs="仿宋"/>
          <w:color w:val="auto"/>
          <w:sz w:val="24"/>
          <w:lang w:eastAsia="zh-CN"/>
        </w:rPr>
        <w:t xml:space="preserve"> 13777592253 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pPr>
        <w:spacing w:line="360" w:lineRule="auto"/>
        <w:ind w:firstLine="480"/>
        <w:rPr>
          <w:rFonts w:ascii="仿宋" w:hAnsi="仿宋" w:eastAsia="仿宋" w:cs="仿宋"/>
          <w:color w:val="auto"/>
          <w:sz w:val="24"/>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w:t>
      </w:r>
      <w:r>
        <w:rPr>
          <w:rFonts w:hint="eastAsia" w:ascii="仿宋" w:hAnsi="仿宋" w:eastAsia="仿宋" w:cs="仿宋"/>
          <w:color w:val="auto"/>
          <w:sz w:val="24"/>
        </w:rPr>
        <w:t>：</w:t>
      </w:r>
      <w:r>
        <w:rPr>
          <w:rFonts w:hint="eastAsia" w:ascii="仿宋" w:hAnsi="仿宋" w:eastAsia="仿宋" w:cs="仿宋"/>
          <w:color w:val="auto"/>
          <w:sz w:val="24"/>
          <w:lang w:eastAsia="zh-CN"/>
        </w:rPr>
        <w:t>浙江中际工程项目管理有限公司</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 xml:space="preserve">地    址： </w:t>
      </w:r>
      <w:r>
        <w:rPr>
          <w:rFonts w:hint="eastAsia" w:ascii="仿宋" w:hAnsi="仿宋" w:eastAsia="仿宋" w:cs="仿宋"/>
          <w:color w:val="auto"/>
          <w:sz w:val="24"/>
          <w:lang w:eastAsia="zh-CN"/>
        </w:rPr>
        <w:t>杭州市临平区南苑</w:t>
      </w:r>
      <w:bookmarkStart w:id="415" w:name="_GoBack"/>
      <w:bookmarkEnd w:id="415"/>
      <w:r>
        <w:rPr>
          <w:rFonts w:hint="eastAsia" w:ascii="仿宋" w:hAnsi="仿宋" w:eastAsia="仿宋" w:cs="仿宋"/>
          <w:color w:val="auto"/>
          <w:sz w:val="24"/>
          <w:lang w:eastAsia="zh-CN"/>
        </w:rPr>
        <w:t>街道嘉信国际6楼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eastAsia="zh-CN"/>
        </w:rPr>
        <w:t>郑工</w:t>
      </w:r>
      <w:r>
        <w:rPr>
          <w:rFonts w:hint="eastAsia" w:ascii="仿宋" w:hAnsi="仿宋" w:eastAsia="仿宋" w:cs="仿宋"/>
          <w:color w:val="auto"/>
          <w:sz w:val="24"/>
        </w:rPr>
        <w:t xml:space="preserve">      </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13735410713</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质疑联系人： </w:t>
      </w:r>
      <w:r>
        <w:rPr>
          <w:rFonts w:hint="eastAsia" w:ascii="仿宋" w:hAnsi="仿宋" w:eastAsia="仿宋" w:cs="仿宋"/>
          <w:color w:val="auto"/>
          <w:sz w:val="24"/>
          <w:lang w:eastAsia="zh-CN"/>
        </w:rPr>
        <w:t>周杨威</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13362030720</w:t>
      </w:r>
      <w:r>
        <w:rPr>
          <w:rFonts w:hint="eastAsia" w:ascii="仿宋" w:hAnsi="仿宋" w:eastAsia="仿宋" w:cs="仿宋"/>
          <w:color w:val="auto"/>
          <w:sz w:val="24"/>
          <w:lang w:eastAsia="zh-CN"/>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名    称： 杭州市余杭区财政局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地    址： </w:t>
      </w:r>
      <w:r>
        <w:rPr>
          <w:rFonts w:hint="eastAsia" w:ascii="仿宋" w:hAnsi="仿宋" w:eastAsia="仿宋" w:cs="仿宋"/>
          <w:sz w:val="24"/>
        </w:rPr>
        <w:t>杭州市余杭区文一西路1500号8号楼1201室</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联系人 ：  杜国强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监督投诉电话： 0571-88728858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rPr>
            </w:pPr>
            <w:r>
              <w:rPr>
                <w:rFonts w:ascii="仿宋_GB2312" w:hAnsi="仿宋" w:eastAsia="仿宋_GB2312" w:cs="Arial"/>
                <w:color w:val="auto"/>
                <w:kern w:val="0"/>
                <w:sz w:val="24"/>
              </w:rPr>
              <w:sym w:font="Wingdings" w:char="00A8"/>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hint="eastAsia" w:ascii="仿宋_GB2312" w:hAnsi="仿宋" w:eastAsia="仿宋_GB2312"/>
                <w:color w:val="auto"/>
                <w:sz w:val="24"/>
                <w:u w:val="single"/>
                <w:lang w:val="en-US" w:eastAsia="zh-CN"/>
              </w:rPr>
              <w:t xml:space="preserve">  </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p>
          <w:p>
            <w:pPr>
              <w:spacing w:line="360" w:lineRule="auto"/>
              <w:rPr>
                <w:rFonts w:ascii="仿宋_GB2312" w:hAnsi="仿宋" w:eastAsia="仿宋_GB2312" w:cs="仿宋_GB2312"/>
                <w:color w:val="auto"/>
                <w:sz w:val="24"/>
              </w:rPr>
            </w:pPr>
            <w:r>
              <w:rPr>
                <w:rFonts w:ascii="仿宋_GB2312" w:hAnsi="仿宋" w:eastAsia="仿宋_GB2312" w:cs="Arial"/>
                <w:color w:val="auto"/>
                <w:kern w:val="0"/>
                <w:sz w:val="24"/>
              </w:rPr>
              <w:sym w:font="Wingdings" w:char="0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MS Gothic" w:cs="Arial"/>
                <w:color w:val="auto"/>
                <w:kern w:val="0"/>
                <w:sz w:val="24"/>
              </w:rPr>
              <w:t>þ</w:t>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t>☐</w:t>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F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r>
              <w:rPr>
                <w:rFonts w:ascii="MS Gothic" w:hAnsi="MS Gothic" w:eastAsia="仿宋_GB2312" w:cs="Arial"/>
                <w:color w:val="auto"/>
                <w:kern w:val="0"/>
                <w:sz w:val="24"/>
              </w:rPr>
              <w:t>☐</w:t>
            </w:r>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方式二：交易中心现场讲解演示。现场讲解地点为</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numPr>
                <w:ilvl w:val="0"/>
                <w:numId w:val="0"/>
              </w:numPr>
              <w:ind w:leftChars="0"/>
              <w:rPr>
                <w:color w:val="auto"/>
                <w:lang w:val="en-US"/>
              </w:rPr>
            </w:pPr>
            <w:r>
              <w:rPr>
                <w:rFonts w:hint="eastAsia" w:ascii="仿宋_GB2312" w:hAnsi="仿宋" w:eastAsia="仿宋_GB2312" w:cs="Times New Roman"/>
                <w:b w:val="0"/>
                <w:bCs w:val="0"/>
                <w:color w:val="auto"/>
                <w:kern w:val="2"/>
                <w:sz w:val="24"/>
                <w:szCs w:val="24"/>
                <w:lang w:val="en-US" w:eastAsia="zh-CN" w:bidi="ar-SA"/>
              </w:rPr>
              <w:t>标的：</w:t>
            </w:r>
            <w:r>
              <w:rPr>
                <w:rFonts w:hint="eastAsia" w:cs="Times New Roman"/>
                <w:b w:val="0"/>
                <w:bCs w:val="0"/>
                <w:color w:val="auto"/>
                <w:kern w:val="2"/>
                <w:sz w:val="24"/>
                <w:szCs w:val="24"/>
                <w:lang w:val="en-US" w:eastAsia="zh-CN" w:bidi="ar-SA"/>
              </w:rPr>
              <w:t>未来科技城城市管理划转区块城市管理服务外包项目</w:t>
            </w:r>
            <w:r>
              <w:rPr>
                <w:rFonts w:hint="eastAsia" w:ascii="仿宋_GB2312" w:hAnsi="仿宋" w:eastAsia="仿宋_GB2312" w:cs="Times New Roman"/>
                <w:b w:val="0"/>
                <w:bCs w:val="0"/>
                <w:color w:val="auto"/>
                <w:kern w:val="2"/>
                <w:sz w:val="24"/>
                <w:szCs w:val="24"/>
                <w:lang w:val="en-US" w:eastAsia="zh-CN" w:bidi="ar-SA"/>
              </w:rPr>
              <w:t>，属于</w:t>
            </w:r>
            <w:r>
              <w:rPr>
                <w:rFonts w:hint="eastAsia" w:ascii="仿宋" w:hAnsi="仿宋" w:eastAsia="仿宋" w:cs="仿宋"/>
                <w:color w:val="auto"/>
                <w:kern w:val="0"/>
                <w:sz w:val="24"/>
                <w:highlight w:val="none"/>
              </w:rPr>
              <w:t>其他租赁和商务服务业</w:t>
            </w:r>
            <w:r>
              <w:rPr>
                <w:rFonts w:hint="eastAsia" w:ascii="仿宋_GB2312" w:hAnsi="仿宋" w:eastAsia="仿宋_GB2312" w:cs="Times New Roman"/>
                <w:b w:val="0"/>
                <w:bCs w:val="0"/>
                <w:color w:val="auto"/>
                <w:kern w:val="2"/>
                <w:sz w:val="24"/>
                <w:szCs w:val="24"/>
                <w:lang w:val="en-US" w:eastAsia="zh-CN" w:bidi="ar-SA"/>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杭州市临平区南苑街道嘉信国际6楼 </w:t>
            </w:r>
            <w:r>
              <w:rPr>
                <w:rFonts w:hint="eastAsia" w:ascii="仿宋_GB2312" w:hAnsi="仿宋" w:eastAsia="仿宋_GB2312"/>
                <w:color w:val="auto"/>
                <w:sz w:val="24"/>
                <w:u w:val="single"/>
              </w:rPr>
              <w:t xml:space="preserve"> </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lang w:eastAsia="zh-CN"/>
              </w:rPr>
              <w:t>周杨威</w:t>
            </w:r>
            <w:r>
              <w:rPr>
                <w:rFonts w:hint="eastAsia" w:ascii="仿宋_GB2312" w:hAnsi="仿宋" w:eastAsia="仿宋_GB2312"/>
                <w:color w:val="auto"/>
                <w:sz w:val="24"/>
                <w:u w:val="single"/>
                <w:lang w:val="en-US" w:eastAsia="zh-CN"/>
              </w:rPr>
              <w:t>13362030720</w:t>
            </w:r>
            <w:r>
              <w:rPr>
                <w:rFonts w:hint="eastAsia" w:ascii="仿宋_GB2312" w:hAnsi="仿宋" w:eastAsia="仿宋_GB2312"/>
                <w:color w:val="auto"/>
                <w:sz w:val="24"/>
                <w:u w:val="single"/>
                <w:lang w:eastAsia="zh-CN"/>
              </w:rPr>
              <w:t xml:space="preserve"> </w:t>
            </w:r>
            <w:r>
              <w:rPr>
                <w:rFonts w:hint="eastAsia" w:ascii="仿宋_GB2312" w:hAnsi="仿宋" w:eastAsia="仿宋_GB2312"/>
                <w:color w:val="auto"/>
                <w:sz w:val="24"/>
                <w:u w:val="single"/>
              </w:rPr>
              <w:t xml:space="preserve">  </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宋体" w:hAnsi="宋体" w:cs="宋体"/>
                <w:b/>
                <w:bCs/>
                <w:snapToGrid w:val="0"/>
                <w:color w:val="auto"/>
                <w:kern w:val="28"/>
                <w:sz w:val="24"/>
              </w:rPr>
              <w:t>中标服务费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cs="仿宋_GB2312"/>
                <w:b/>
                <w:snapToGrid w:val="0"/>
                <w:color w:val="auto"/>
                <w:kern w:val="2"/>
                <w:sz w:val="24"/>
                <w:szCs w:val="24"/>
                <w:lang w:val="en-US" w:eastAsia="zh-CN" w:bidi="ar-SA"/>
              </w:rPr>
              <w:t>招标服务费：本次代理服务费及专家费由中标人支付，代理服务费按照国家计委印发的《招标代理服务收费管理暂行办法》计价格[2002]1980号文件计取;但不单列进投标总价，由中标人在领取中标通知书前支付给招标代理机构，各投标人应在投标报价中予以考虑，专家费按实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r>
              <w:rPr>
                <w:rFonts w:hint="eastAsia" w:ascii="仿宋_GB2312" w:hAnsi="仿宋" w:eastAsia="仿宋_GB2312" w:cs="仿宋_GB2312"/>
                <w:color w:val="auto"/>
                <w:sz w:val="24"/>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无</w:t>
            </w:r>
            <w:r>
              <w:rPr>
                <w:rFonts w:hint="eastAsia" w:ascii="仿宋_GB2312" w:hAnsi="仿宋" w:eastAsia="仿宋_GB2312" w:cs="宋体"/>
                <w:b/>
                <w:color w:val="auto"/>
                <w:kern w:val="0"/>
                <w:sz w:val="24"/>
              </w:rPr>
              <w:t>。</w:t>
            </w:r>
          </w:p>
        </w:tc>
      </w:tr>
    </w:tbl>
    <w:p>
      <w:pPr>
        <w:snapToGrid w:val="0"/>
        <w:spacing w:line="360" w:lineRule="auto"/>
        <w:jc w:val="center"/>
        <w:rPr>
          <w:rFonts w:ascii="仿宋" w:hAnsi="仿宋" w:eastAsia="仿宋" w:cs="仿宋_GB2312"/>
          <w:b/>
          <w:color w:val="auto"/>
          <w:sz w:val="32"/>
          <w:szCs w:val="20"/>
        </w:rPr>
      </w:pPr>
    </w:p>
    <w:p>
      <w:pPr>
        <w:pStyle w:val="4"/>
      </w:pPr>
    </w:p>
    <w:bookmarkEnd w:id="10"/>
    <w:p>
      <w:pPr>
        <w:adjustRightInd/>
        <w:spacing w:line="360" w:lineRule="auto"/>
        <w:ind w:firstLine="3845" w:firstLineChars="1197"/>
        <w:outlineLvl w:val="0"/>
        <w:rPr>
          <w:rFonts w:ascii="仿宋_GB2312" w:hAnsi="仿宋" w:eastAsia="仿宋_GB2312" w:cs="仿宋_GB2312"/>
          <w:b/>
          <w:color w:val="auto"/>
          <w:sz w:val="32"/>
          <w:szCs w:val="20"/>
        </w:rPr>
      </w:pPr>
      <w:bookmarkStart w:id="11" w:name="_Toc164416483"/>
      <w:bookmarkStart w:id="12" w:name="第三部分"/>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lang w:val="en-US" w:eastAsia="zh-CN"/>
        </w:rPr>
        <w:t>20</w:t>
      </w:r>
      <w:r>
        <w:rPr>
          <w:rFonts w:ascii="仿宋_GB2312" w:hAnsi="仿宋" w:eastAsia="仿宋_GB2312"/>
          <w:color w:val="auto"/>
          <w:sz w:val="24"/>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lang w:val="en-US" w:eastAsia="zh-CN"/>
        </w:rPr>
        <w:t>6</w:t>
      </w:r>
      <w:r>
        <w:rPr>
          <w:rFonts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4"/>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6"/>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4"/>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86"/>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86"/>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86"/>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4"/>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25"/>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86"/>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86"/>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color w:val="auto"/>
          <w:sz w:val="32"/>
        </w:rPr>
      </w:pPr>
    </w:p>
    <w:p>
      <w:pPr>
        <w:pStyle w:val="86"/>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41"/>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41"/>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86"/>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6"/>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86"/>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86"/>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%；评价总分在90分以下或者暂无评分的，收取履约保证金不得高于合同金额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w:t>
      </w:r>
    </w:p>
    <w:p>
      <w:pPr>
        <w:pStyle w:val="5"/>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86"/>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86"/>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5"/>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72990"/>
      <w:bookmarkEnd w:id="15"/>
      <w:bookmarkStart w:id="16" w:name="_Hlt68073093"/>
      <w:bookmarkEnd w:id="16"/>
      <w:bookmarkStart w:id="17" w:name="_Hlt75236290"/>
      <w:bookmarkEnd w:id="17"/>
      <w:bookmarkStart w:id="18" w:name="_Hlt75236011"/>
      <w:bookmarkEnd w:id="18"/>
      <w:bookmarkStart w:id="19" w:name="_Hlt68057669"/>
      <w:bookmarkEnd w:id="19"/>
      <w:bookmarkStart w:id="20" w:name="_Hlt68072998"/>
      <w:bookmarkEnd w:id="20"/>
      <w:bookmarkStart w:id="21" w:name="_Hlt68403820"/>
      <w:bookmarkEnd w:id="21"/>
      <w:bookmarkStart w:id="22" w:name="_Hlt74730295"/>
      <w:bookmarkEnd w:id="22"/>
      <w:bookmarkStart w:id="23" w:name="_Hlt74714665"/>
      <w:bookmarkEnd w:id="23"/>
      <w:bookmarkStart w:id="24" w:name="_Hlt74729768"/>
      <w:bookmarkEnd w:id="24"/>
      <w:bookmarkStart w:id="25" w:name="_Hlt74707468"/>
      <w:bookmarkEnd w:id="25"/>
    </w:p>
    <w:bookmarkEnd w:id="11"/>
    <w:bookmarkEnd w:id="12"/>
    <w:p>
      <w:pPr>
        <w:spacing w:line="360" w:lineRule="auto"/>
        <w:jc w:val="center"/>
        <w:outlineLvl w:val="0"/>
        <w:rPr>
          <w:rFonts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pStyle w:val="60"/>
        <w:spacing w:line="360" w:lineRule="auto"/>
        <w:jc w:val="both"/>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一、采购内容</w:t>
      </w:r>
      <w:r>
        <w:rPr>
          <w:rFonts w:hint="eastAsia" w:ascii="仿宋" w:hAnsi="仿宋" w:eastAsia="仿宋" w:cs="仿宋"/>
          <w:bCs/>
          <w:color w:val="auto"/>
          <w:sz w:val="28"/>
          <w:szCs w:val="28"/>
          <w:highlight w:val="none"/>
          <w:lang w:val="en-US"/>
        </w:rPr>
        <w:t>：</w:t>
      </w:r>
    </w:p>
    <w:p>
      <w:pPr>
        <w:tabs>
          <w:tab w:val="left" w:pos="0"/>
        </w:tabs>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 xml:space="preserve"> 项目采购内容为未来科技城城市管理划转区块城市管理服务外包项目，协助开展日常城市综合管理整治巡逻以及其他授权的辅助工作以及其他临时性工作、在服务期内为采购人提供合格的日常管理协助与特殊时间段的管理协助服务；投标报价包括所有外包人员的工资、社保、加班费、培训费、住宿、餐费、通讯设备、交通工具及维保费、统一服装费、低值易耗品、工具及相关设备费、临时性杂项服务费、政策性文件规定及合同包含的所有风险、责任、税费、合理利润等各项全部费用。</w:t>
      </w:r>
    </w:p>
    <w:p>
      <w:pPr>
        <w:pStyle w:val="60"/>
        <w:spacing w:line="360" w:lineRule="auto"/>
        <w:jc w:val="both"/>
        <w:rPr>
          <w:rFonts w:hint="eastAsia"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rPr>
        <w:t>二、具体服务内容：</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rPr>
        <w:t>服务人员必须服从采购人指挥、管理和安排，服务人员工作期间必须穿戴统一工作服装及工作所需设备设施，遵守采购人制定的工作纪律，接受采购人督查考核；中标单位必须确定专人负责对服务人员的管理和督查，定期对服务人员的业务培训，确保服务人员工作稳定性。</w:t>
      </w:r>
      <w:r>
        <w:rPr>
          <w:rFonts w:hint="eastAsia" w:ascii="仿宋" w:hAnsi="仿宋" w:eastAsia="仿宋" w:cs="仿宋"/>
          <w:color w:val="auto"/>
          <w:kern w:val="0"/>
          <w:sz w:val="24"/>
          <w:highlight w:val="none"/>
        </w:rPr>
        <w:t>协助甲方相关工作，包括日常开展巡查并及时上报巡查结果；负责联合执法工作的现场秩序维护；负责涉访涉诉类事件的现场情况调查及现场处置工作；配合甲方实施的违建拆除工作；协助开展沿街店铺食品安全等市场监管相关工作；及合同内未列明的工作内容由甲方协调明确。</w:t>
      </w:r>
    </w:p>
    <w:p>
      <w:pPr>
        <w:numPr>
          <w:ilvl w:val="0"/>
          <w:numId w:val="1"/>
        </w:numPr>
        <w:spacing w:line="600" w:lineRule="exact"/>
        <w:jc w:val="left"/>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人员</w:t>
      </w:r>
      <w:r>
        <w:rPr>
          <w:rFonts w:hint="eastAsia" w:ascii="仿宋" w:hAnsi="仿宋" w:eastAsia="仿宋" w:cs="仿宋"/>
          <w:b/>
          <w:color w:val="auto"/>
          <w:sz w:val="28"/>
          <w:szCs w:val="28"/>
          <w:highlight w:val="none"/>
          <w:lang w:val="en-US" w:eastAsia="zh-CN"/>
        </w:rPr>
        <w:t>配置</w:t>
      </w:r>
      <w:r>
        <w:rPr>
          <w:rFonts w:hint="eastAsia" w:ascii="仿宋" w:hAnsi="仿宋" w:eastAsia="仿宋" w:cs="仿宋"/>
          <w:b/>
          <w:color w:val="auto"/>
          <w:sz w:val="28"/>
          <w:szCs w:val="28"/>
          <w:highlight w:val="none"/>
        </w:rPr>
        <w:t>要求：</w:t>
      </w:r>
    </w:p>
    <w:tbl>
      <w:tblPr>
        <w:tblStyle w:val="63"/>
        <w:tblW w:w="8223"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61"/>
        <w:gridCol w:w="1235"/>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16" w:type="dxa"/>
            <w:noWrap w:val="0"/>
            <w:vAlign w:val="top"/>
          </w:tcPr>
          <w:p>
            <w:pPr>
              <w:adjustRightInd w:val="0"/>
              <w:spacing w:line="57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261" w:type="dxa"/>
            <w:noWrap w:val="0"/>
            <w:vAlign w:val="top"/>
          </w:tcPr>
          <w:p>
            <w:pPr>
              <w:adjustRightInd w:val="0"/>
              <w:spacing w:line="57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岗位</w:t>
            </w:r>
          </w:p>
        </w:tc>
        <w:tc>
          <w:tcPr>
            <w:tcW w:w="1235" w:type="dxa"/>
            <w:noWrap w:val="0"/>
            <w:vAlign w:val="top"/>
          </w:tcPr>
          <w:p>
            <w:pPr>
              <w:adjustRightInd w:val="0"/>
              <w:spacing w:line="57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人员数量</w:t>
            </w:r>
          </w:p>
        </w:tc>
        <w:tc>
          <w:tcPr>
            <w:tcW w:w="3811" w:type="dxa"/>
            <w:noWrap w:val="0"/>
            <w:vAlign w:val="top"/>
          </w:tcPr>
          <w:p>
            <w:pPr>
              <w:adjustRightInd w:val="0"/>
              <w:spacing w:line="57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16" w:type="dxa"/>
            <w:noWrap w:val="0"/>
            <w:vAlign w:val="center"/>
          </w:tcPr>
          <w:p>
            <w:pPr>
              <w:adjustRightInd w:val="0"/>
              <w:spacing w:line="57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261" w:type="dxa"/>
            <w:noWrap w:val="0"/>
            <w:vAlign w:val="center"/>
          </w:tcPr>
          <w:p>
            <w:pPr>
              <w:adjustRightInd w:val="0"/>
              <w:spacing w:line="57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eastAsia="zh-CN"/>
              </w:rPr>
              <w:t>仓前街道未来科技城划转区块城市管理服务</w:t>
            </w:r>
          </w:p>
        </w:tc>
        <w:tc>
          <w:tcPr>
            <w:tcW w:w="1235" w:type="dxa"/>
            <w:noWrap w:val="0"/>
            <w:vAlign w:val="center"/>
          </w:tcPr>
          <w:p>
            <w:pPr>
              <w:adjustRightInd w:val="0"/>
              <w:spacing w:line="57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56</w:t>
            </w:r>
            <w:r>
              <w:rPr>
                <w:rFonts w:hint="eastAsia" w:ascii="仿宋" w:hAnsi="仿宋" w:eastAsia="仿宋" w:cs="仿宋"/>
                <w:color w:val="auto"/>
                <w:kern w:val="0"/>
                <w:sz w:val="24"/>
                <w:szCs w:val="24"/>
                <w:highlight w:val="none"/>
              </w:rPr>
              <w:t>人</w:t>
            </w:r>
          </w:p>
        </w:tc>
        <w:tc>
          <w:tcPr>
            <w:tcW w:w="3811" w:type="dxa"/>
            <w:vMerge w:val="restart"/>
            <w:noWrap w:val="0"/>
            <w:vAlign w:val="center"/>
          </w:tcPr>
          <w:p>
            <w:pPr>
              <w:adjustRightInd w:val="0"/>
              <w:spacing w:line="57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项目负责人年龄40周岁以下，其他人员要求35周岁及以下</w:t>
            </w:r>
          </w:p>
          <w:p>
            <w:pPr>
              <w:pStyle w:val="62"/>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177" w:type="dxa"/>
            <w:gridSpan w:val="2"/>
            <w:noWrap w:val="0"/>
            <w:vAlign w:val="center"/>
          </w:tcPr>
          <w:p>
            <w:pPr>
              <w:adjustRightInd w:val="0"/>
              <w:spacing w:line="57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1235" w:type="dxa"/>
            <w:noWrap w:val="0"/>
            <w:vAlign w:val="center"/>
          </w:tcPr>
          <w:p>
            <w:pPr>
              <w:adjustRightInd w:val="0"/>
              <w:spacing w:line="57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56</w:t>
            </w:r>
            <w:r>
              <w:rPr>
                <w:rFonts w:hint="eastAsia" w:ascii="仿宋" w:hAnsi="仿宋" w:eastAsia="仿宋" w:cs="仿宋"/>
                <w:color w:val="auto"/>
                <w:kern w:val="0"/>
                <w:sz w:val="24"/>
                <w:szCs w:val="24"/>
                <w:highlight w:val="none"/>
              </w:rPr>
              <w:t>人</w:t>
            </w:r>
          </w:p>
        </w:tc>
        <w:tc>
          <w:tcPr>
            <w:tcW w:w="3811" w:type="dxa"/>
            <w:vMerge w:val="continue"/>
            <w:noWrap w:val="0"/>
            <w:vAlign w:val="center"/>
          </w:tcPr>
          <w:p>
            <w:pPr>
              <w:adjustRightInd w:val="0"/>
              <w:spacing w:line="570" w:lineRule="exact"/>
              <w:jc w:val="left"/>
              <w:rPr>
                <w:rFonts w:hint="eastAsia" w:ascii="仿宋" w:hAnsi="仿宋" w:eastAsia="仿宋" w:cs="仿宋"/>
                <w:b/>
                <w:bCs/>
                <w:color w:val="auto"/>
                <w:kern w:val="0"/>
                <w:sz w:val="24"/>
                <w:szCs w:val="24"/>
                <w:highlight w:val="none"/>
              </w:rPr>
            </w:pPr>
          </w:p>
        </w:tc>
      </w:tr>
    </w:tbl>
    <w:p>
      <w:pPr>
        <w:adjustRightInd w:val="0"/>
        <w:spacing w:line="570" w:lineRule="exact"/>
        <w:ind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注：投标人拟派人员配备必须满足本表</w:t>
      </w:r>
      <w:r>
        <w:rPr>
          <w:rFonts w:hint="eastAsia" w:ascii="仿宋" w:hAnsi="仿宋" w:eastAsia="仿宋" w:cs="仿宋"/>
          <w:b/>
          <w:bCs/>
          <w:color w:val="auto"/>
          <w:kern w:val="0"/>
          <w:sz w:val="24"/>
          <w:szCs w:val="24"/>
          <w:highlight w:val="none"/>
          <w:lang w:val="en-US" w:eastAsia="zh-CN"/>
        </w:rPr>
        <w:t>56</w:t>
      </w:r>
      <w:r>
        <w:rPr>
          <w:rFonts w:hint="eastAsia" w:ascii="仿宋" w:hAnsi="仿宋" w:eastAsia="仿宋" w:cs="仿宋"/>
          <w:b/>
          <w:bCs/>
          <w:color w:val="auto"/>
          <w:kern w:val="0"/>
          <w:sz w:val="24"/>
          <w:szCs w:val="24"/>
          <w:highlight w:val="none"/>
        </w:rPr>
        <w:t>人的最低配置数量要求</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rPr>
        <w:t>同时要求合同签订后七日内人员必须配备完成，并开展相关工作。</w:t>
      </w:r>
    </w:p>
    <w:p>
      <w:pPr>
        <w:numPr>
          <w:ilvl w:val="0"/>
          <w:numId w:val="2"/>
        </w:num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项目负责人</w:t>
      </w:r>
      <w:r>
        <w:rPr>
          <w:rFonts w:hint="eastAsia" w:ascii="仿宋" w:hAnsi="仿宋" w:eastAsia="仿宋" w:cs="仿宋"/>
          <w:snapToGrid w:val="0"/>
          <w:color w:val="auto"/>
          <w:kern w:val="0"/>
          <w:sz w:val="24"/>
          <w:szCs w:val="24"/>
          <w:highlight w:val="none"/>
          <w:lang w:val="en-US" w:eastAsia="zh-CN"/>
        </w:rPr>
        <w:t>要求：</w:t>
      </w:r>
      <w:r>
        <w:rPr>
          <w:rFonts w:hint="eastAsia" w:ascii="仿宋" w:hAnsi="仿宋" w:eastAsia="仿宋" w:cs="仿宋"/>
          <w:snapToGrid w:val="0"/>
          <w:color w:val="auto"/>
          <w:kern w:val="0"/>
          <w:sz w:val="24"/>
          <w:szCs w:val="24"/>
          <w:highlight w:val="none"/>
        </w:rPr>
        <w:t>工作责任心强，身体健康，须服从采购人及相关部门的日常检查、监督和指导</w:t>
      </w:r>
      <w:r>
        <w:rPr>
          <w:rFonts w:hint="eastAsia" w:ascii="仿宋" w:hAnsi="仿宋" w:eastAsia="仿宋" w:cs="仿宋"/>
          <w:snapToGrid w:val="0"/>
          <w:color w:val="auto"/>
          <w:kern w:val="0"/>
          <w:sz w:val="24"/>
          <w:szCs w:val="24"/>
          <w:highlight w:val="none"/>
          <w:lang w:eastAsia="zh-CN"/>
        </w:rPr>
        <w:t>，其他</w:t>
      </w:r>
      <w:r>
        <w:rPr>
          <w:rFonts w:hint="eastAsia" w:ascii="仿宋" w:hAnsi="仿宋" w:eastAsia="仿宋" w:cs="仿宋"/>
          <w:snapToGrid w:val="0"/>
          <w:color w:val="auto"/>
          <w:kern w:val="0"/>
          <w:sz w:val="24"/>
          <w:szCs w:val="24"/>
          <w:highlight w:val="none"/>
        </w:rPr>
        <w:t>人员要求</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身高170cm以上，退伍军衔上士；中士；下士的退伍军人优先；政治素养好、品行端正、责任心强的党员优先、无违法犯罪记录、身体健康，仪表端庄，精力充沛，无不良嗜好，工作认真负责并定期接受培训；</w:t>
      </w:r>
    </w:p>
    <w:p>
      <w:pPr>
        <w:numPr>
          <w:ilvl w:val="0"/>
          <w:numId w:val="0"/>
        </w:num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、人员上岗时佩戴统一标志，按需求穿戴统一制服（投标人自行配备，服装款式须征得招标人同意），装备佩戴规范，仪容仪表规范整齐，当值时坐姿挺直，站岗时不倚不靠、采用跨立站岗。</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、合同执行过程中，未经采购人同意，项目经理和服务人员不得随意更换，如需更换，需提前一个月告知采购人并征得其同意后更换。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、经采购人考察，中标人配置的人员不适应本项目岗位要求的，采购人有权更换不适应岗位的人员，中标人须按采购人要求及时更换。</w:t>
      </w:r>
    </w:p>
    <w:p>
      <w:pPr>
        <w:widowControl/>
        <w:shd w:val="clear" w:color="auto" w:fill="FFFFFF"/>
        <w:snapToGrid w:val="0"/>
        <w:spacing w:line="360" w:lineRule="auto"/>
        <w:jc w:val="left"/>
        <w:outlineLvl w:val="0"/>
        <w:rPr>
          <w:rFonts w:hint="eastAsia" w:ascii="仿宋" w:hAnsi="仿宋" w:eastAsia="仿宋" w:cs="仿宋"/>
          <w:b/>
          <w:bCs/>
          <w:color w:val="auto"/>
          <w:sz w:val="28"/>
          <w:szCs w:val="28"/>
          <w:highlight w:val="none"/>
          <w:lang w:eastAsia="zh-CN"/>
        </w:rPr>
      </w:pPr>
      <w:bookmarkStart w:id="27" w:name="_Toc22507"/>
      <w:r>
        <w:rPr>
          <w:rFonts w:hint="eastAsia" w:ascii="仿宋" w:hAnsi="仿宋" w:eastAsia="仿宋" w:cs="仿宋"/>
          <w:b/>
          <w:bCs/>
          <w:color w:val="auto"/>
          <w:sz w:val="28"/>
          <w:szCs w:val="28"/>
          <w:highlight w:val="none"/>
        </w:rPr>
        <w:t>四、</w:t>
      </w:r>
      <w:bookmarkEnd w:id="27"/>
      <w:r>
        <w:rPr>
          <w:rFonts w:hint="eastAsia" w:ascii="仿宋" w:hAnsi="仿宋" w:eastAsia="仿宋" w:cs="仿宋"/>
          <w:b/>
          <w:bCs/>
          <w:color w:val="auto"/>
          <w:sz w:val="28"/>
          <w:szCs w:val="28"/>
          <w:highlight w:val="none"/>
          <w:lang w:eastAsia="zh-CN"/>
        </w:rPr>
        <w:t>投入本项目设备情况：</w:t>
      </w:r>
    </w:p>
    <w:p>
      <w:pPr>
        <w:widowControl/>
        <w:shd w:val="clear" w:color="auto" w:fill="FFFFFF"/>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日常巡逻时，能提供</w:t>
      </w:r>
      <w:r>
        <w:rPr>
          <w:rFonts w:hint="eastAsia" w:ascii="仿宋" w:hAnsi="仿宋" w:eastAsia="仿宋" w:cs="仿宋"/>
          <w:color w:val="auto"/>
          <w:sz w:val="24"/>
          <w:szCs w:val="24"/>
          <w:highlight w:val="none"/>
        </w:rPr>
        <w:t>能五座电动巡逻车</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6辆，</w:t>
      </w:r>
      <w:r>
        <w:rPr>
          <w:rFonts w:hint="eastAsia" w:ascii="仿宋" w:hAnsi="仿宋" w:eastAsia="仿宋" w:cs="仿宋"/>
          <w:color w:val="auto"/>
          <w:sz w:val="24"/>
          <w:szCs w:val="24"/>
          <w:highlight w:val="none"/>
        </w:rPr>
        <w:t>普通二轮巡逻摩托车</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4辆；</w:t>
      </w:r>
      <w:r>
        <w:rPr>
          <w:rFonts w:hint="eastAsia" w:ascii="仿宋" w:hAnsi="仿宋" w:eastAsia="仿宋" w:cs="仿宋"/>
          <w:color w:val="auto"/>
          <w:sz w:val="24"/>
          <w:szCs w:val="24"/>
          <w:highlight w:val="none"/>
        </w:rPr>
        <w:t>应急调度，并持有在突发情况的时候提供使用</w:t>
      </w:r>
      <w:r>
        <w:rPr>
          <w:rFonts w:hint="eastAsia" w:ascii="仿宋" w:hAnsi="仿宋" w:eastAsia="仿宋" w:cs="仿宋"/>
          <w:color w:val="auto"/>
          <w:sz w:val="24"/>
          <w:szCs w:val="24"/>
          <w:highlight w:val="none"/>
          <w:lang w:eastAsia="zh-CN"/>
        </w:rPr>
        <w:t>小型普通客车不</w:t>
      </w:r>
      <w:r>
        <w:rPr>
          <w:rFonts w:hint="eastAsia" w:ascii="仿宋" w:hAnsi="仿宋" w:eastAsia="仿宋" w:cs="仿宋"/>
          <w:color w:val="auto"/>
          <w:sz w:val="24"/>
          <w:szCs w:val="24"/>
          <w:highlight w:val="none"/>
        </w:rPr>
        <w:t>少于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十五座中型普通巡逻车车辆不少于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辆、轻型多用途货车不少于1辆等；具体运用由日常管理及应急需要等具体情况进行调配，供应商需无条件配合。（车龄</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rPr>
        <w:t>不超过</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p>
    <w:p>
      <w:pPr>
        <w:spacing w:line="360" w:lineRule="auto"/>
        <w:jc w:val="left"/>
        <w:outlineLvl w:val="0"/>
        <w:rPr>
          <w:rFonts w:hint="eastAsia" w:ascii="仿宋" w:hAnsi="仿宋" w:eastAsia="仿宋" w:cs="仿宋"/>
          <w:b/>
          <w:color w:val="auto"/>
          <w:sz w:val="28"/>
          <w:szCs w:val="28"/>
          <w:highlight w:val="none"/>
        </w:rPr>
      </w:pPr>
      <w:bookmarkStart w:id="28" w:name="_Toc26638"/>
      <w:r>
        <w:rPr>
          <w:rFonts w:hint="eastAsia" w:ascii="仿宋" w:hAnsi="仿宋" w:eastAsia="仿宋" w:cs="仿宋"/>
          <w:b/>
          <w:color w:val="auto"/>
          <w:sz w:val="28"/>
          <w:szCs w:val="28"/>
          <w:highlight w:val="none"/>
        </w:rPr>
        <w:t>五、装备要求：</w:t>
      </w:r>
      <w:bookmarkEnd w:id="28"/>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1、中标人完成本项目服务所需的工具、设备、服装、等装备及</w:t>
      </w:r>
      <w:r>
        <w:rPr>
          <w:rFonts w:hint="eastAsia" w:ascii="仿宋" w:hAnsi="仿宋" w:eastAsia="仿宋" w:cs="仿宋"/>
          <w:bCs/>
          <w:color w:val="auto"/>
          <w:sz w:val="24"/>
          <w:szCs w:val="24"/>
          <w:highlight w:val="none"/>
          <w:lang w:eastAsia="zh-CN"/>
        </w:rPr>
        <w:t>所有</w:t>
      </w:r>
      <w:r>
        <w:rPr>
          <w:rFonts w:hint="eastAsia" w:ascii="仿宋" w:hAnsi="仿宋" w:eastAsia="仿宋" w:cs="仿宋"/>
          <w:bCs/>
          <w:color w:val="auto"/>
          <w:sz w:val="24"/>
          <w:szCs w:val="24"/>
          <w:highlight w:val="none"/>
        </w:rPr>
        <w:t>费用，均由中标人负责，且须符合相关技术规程、规范要求。</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拟投入最低</w:t>
      </w:r>
      <w:r>
        <w:rPr>
          <w:rFonts w:hint="eastAsia" w:ascii="仿宋" w:hAnsi="仿宋" w:eastAsia="仿宋" w:cs="仿宋"/>
          <w:b/>
          <w:color w:val="auto"/>
          <w:sz w:val="24"/>
          <w:szCs w:val="24"/>
          <w:highlight w:val="none"/>
        </w:rPr>
        <w:t>装备</w:t>
      </w:r>
      <w:r>
        <w:rPr>
          <w:rFonts w:hint="eastAsia" w:ascii="仿宋" w:hAnsi="仿宋" w:eastAsia="仿宋" w:cs="仿宋"/>
          <w:b/>
          <w:color w:val="auto"/>
          <w:sz w:val="24"/>
          <w:szCs w:val="24"/>
          <w:highlight w:val="none"/>
          <w:lang w:val="en-US"/>
        </w:rPr>
        <w:t>配置表</w:t>
      </w:r>
      <w:r>
        <w:rPr>
          <w:rFonts w:hint="eastAsia" w:ascii="仿宋" w:hAnsi="仿宋" w:eastAsia="仿宋" w:cs="仿宋"/>
          <w:b/>
          <w:color w:val="auto"/>
          <w:sz w:val="24"/>
          <w:szCs w:val="24"/>
          <w:highlight w:val="none"/>
          <w:lang w:val="en-US" w:eastAsia="zh-CN"/>
        </w:rPr>
        <w:t>（供应商必须根据要求提供证明材料，不提供或提供不全的，视为不满足，作无效标处理）</w:t>
      </w:r>
      <w:r>
        <w:rPr>
          <w:rFonts w:hint="eastAsia" w:ascii="仿宋" w:hAnsi="仿宋" w:eastAsia="仿宋" w:cs="仿宋"/>
          <w:b/>
          <w:color w:val="auto"/>
          <w:sz w:val="24"/>
          <w:szCs w:val="24"/>
          <w:highlight w:val="none"/>
        </w:rPr>
        <w:t>具体如下：</w:t>
      </w:r>
    </w:p>
    <w:tbl>
      <w:tblPr>
        <w:tblStyle w:val="63"/>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764"/>
        <w:gridCol w:w="2067"/>
        <w:gridCol w:w="2775"/>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参数要求</w:t>
            </w: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9434" w:type="dxa"/>
            <w:gridSpan w:val="5"/>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对讲机</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个；</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含W-数字集群对讲系统；</w:t>
            </w:r>
          </w:p>
        </w:tc>
        <w:tc>
          <w:tcPr>
            <w:tcW w:w="2102" w:type="dxa"/>
            <w:vMerge w:val="restart"/>
            <w:noWrap w:val="0"/>
            <w:vAlign w:val="center"/>
          </w:tcPr>
          <w:p>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须</w:t>
            </w:r>
            <w:r>
              <w:rPr>
                <w:rFonts w:hint="eastAsia" w:ascii="仿宋" w:hAnsi="仿宋" w:eastAsia="仿宋" w:cs="仿宋"/>
                <w:color w:val="auto"/>
                <w:sz w:val="24"/>
                <w:szCs w:val="24"/>
                <w:highlight w:val="none"/>
                <w:lang w:val="en-US" w:eastAsia="zh-CN"/>
              </w:rPr>
              <w:t>提供设备购买发票扫描件</w:t>
            </w:r>
          </w:p>
          <w:p>
            <w:pPr>
              <w:spacing w:line="360" w:lineRule="auto"/>
              <w:jc w:val="both"/>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强光手电筒</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个；</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材质：铝合金;</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电源类型：充电式;</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电池类型：锂电池;</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是否防水：防水。</w:t>
            </w:r>
          </w:p>
        </w:tc>
        <w:tc>
          <w:tcPr>
            <w:tcW w:w="2102"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4G可视化终端</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个；</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视音频记录仪，含管理软件；</w:t>
            </w:r>
          </w:p>
        </w:tc>
        <w:tc>
          <w:tcPr>
            <w:tcW w:w="2102"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服装装备</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 2 套装；</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112套</w:t>
            </w:r>
            <w:r>
              <w:rPr>
                <w:rFonts w:hint="eastAsia" w:ascii="仿宋" w:hAnsi="仿宋" w:eastAsia="仿宋" w:cs="仿宋"/>
                <w:color w:val="auto"/>
                <w:sz w:val="24"/>
                <w:szCs w:val="24"/>
                <w:highlight w:val="none"/>
              </w:rPr>
              <w:t>；</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根据采购人要求统一制作；</w:t>
            </w:r>
          </w:p>
        </w:tc>
        <w:tc>
          <w:tcPr>
            <w:tcW w:w="2102"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64"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五座电动巡逻车</w:t>
            </w:r>
          </w:p>
        </w:tc>
        <w:tc>
          <w:tcPr>
            <w:tcW w:w="2067"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6辆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总质量</w:t>
            </w:r>
            <w:r>
              <w:rPr>
                <w:rFonts w:hint="eastAsia" w:ascii="仿宋" w:hAnsi="仿宋" w:eastAsia="仿宋" w:cs="仿宋"/>
                <w:color w:val="auto"/>
                <w:sz w:val="24"/>
                <w:szCs w:val="24"/>
                <w:highlight w:val="none"/>
                <w:lang w:val="en-US" w:eastAsia="zh-CN"/>
              </w:rPr>
              <w:t>1.8吨及以上</w:t>
            </w:r>
            <w:r>
              <w:rPr>
                <w:rFonts w:hint="eastAsia" w:ascii="仿宋" w:hAnsi="仿宋" w:eastAsia="仿宋" w:cs="仿宋"/>
                <w:color w:val="auto"/>
                <w:sz w:val="24"/>
                <w:szCs w:val="24"/>
                <w:highlight w:val="none"/>
              </w:rPr>
              <w:t>（车龄不超过</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64"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普通二轮巡逻摩托车</w:t>
            </w:r>
          </w:p>
        </w:tc>
        <w:tc>
          <w:tcPr>
            <w:tcW w:w="2067"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4辆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（车龄不超过</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jc w:val="center"/>
        </w:trPr>
        <w:tc>
          <w:tcPr>
            <w:tcW w:w="9434" w:type="dxa"/>
            <w:gridSpan w:val="5"/>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应急调度装备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64"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小型普通客车</w:t>
            </w:r>
          </w:p>
        </w:tc>
        <w:tc>
          <w:tcPr>
            <w:tcW w:w="2067"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不少于3辆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总质量</w:t>
            </w:r>
            <w:r>
              <w:rPr>
                <w:rFonts w:hint="eastAsia" w:ascii="仿宋" w:hAnsi="仿宋" w:eastAsia="仿宋" w:cs="仿宋"/>
                <w:color w:val="auto"/>
                <w:sz w:val="24"/>
                <w:szCs w:val="24"/>
                <w:highlight w:val="none"/>
                <w:lang w:val="en-US" w:eastAsia="zh-CN"/>
              </w:rPr>
              <w:t>2吨及以上</w:t>
            </w:r>
          </w:p>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（车龄不超过</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十五座中型普通巡逻车</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1辆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总质量</w:t>
            </w:r>
            <w:r>
              <w:rPr>
                <w:rFonts w:hint="eastAsia" w:ascii="仿宋" w:hAnsi="仿宋" w:eastAsia="仿宋" w:cs="仿宋"/>
                <w:color w:val="auto"/>
                <w:sz w:val="24"/>
                <w:szCs w:val="24"/>
                <w:highlight w:val="none"/>
                <w:lang w:val="en-US" w:eastAsia="zh-CN"/>
              </w:rPr>
              <w:t>3吨及以上</w:t>
            </w:r>
          </w:p>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（车龄不超过</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7" w:hRule="atLeast"/>
          <w:jc w:val="center"/>
        </w:trPr>
        <w:tc>
          <w:tcPr>
            <w:tcW w:w="726"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6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轻型多用途货车</w:t>
            </w:r>
          </w:p>
        </w:tc>
        <w:tc>
          <w:tcPr>
            <w:tcW w:w="206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1辆</w:t>
            </w:r>
          </w:p>
        </w:tc>
        <w:tc>
          <w:tcPr>
            <w:tcW w:w="2775" w:type="dxa"/>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总质量</w:t>
            </w:r>
            <w:r>
              <w:rPr>
                <w:rFonts w:hint="eastAsia" w:ascii="仿宋" w:hAnsi="仿宋" w:eastAsia="仿宋" w:cs="仿宋"/>
                <w:color w:val="auto"/>
                <w:sz w:val="24"/>
                <w:szCs w:val="24"/>
                <w:highlight w:val="none"/>
                <w:lang w:val="en-US" w:eastAsia="zh-CN"/>
              </w:rPr>
              <w:t>2.5吨及以上</w:t>
            </w:r>
            <w:r>
              <w:rPr>
                <w:rFonts w:hint="eastAsia" w:ascii="仿宋" w:hAnsi="仿宋" w:eastAsia="仿宋" w:cs="仿宋"/>
                <w:color w:val="auto"/>
                <w:sz w:val="24"/>
                <w:szCs w:val="24"/>
                <w:highlight w:val="none"/>
                <w:lang w:eastAsia="zh-CN"/>
              </w:rPr>
              <w:t>（车龄不超过</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p>
        </w:tc>
        <w:tc>
          <w:tcPr>
            <w:tcW w:w="210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须提供车辆登记证扫描件及车辆行驶证扫描件</w:t>
            </w:r>
          </w:p>
        </w:tc>
      </w:tr>
    </w:tbl>
    <w:p>
      <w:pPr>
        <w:spacing w:line="360" w:lineRule="auto"/>
        <w:ind w:firstLine="482" w:firstLineChars="200"/>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注：合同签订后15个工作日内配备</w:t>
      </w:r>
      <w:r>
        <w:rPr>
          <w:rFonts w:hint="eastAsia" w:ascii="仿宋" w:hAnsi="仿宋" w:eastAsia="仿宋" w:cs="仿宋"/>
          <w:b/>
          <w:color w:val="auto"/>
          <w:sz w:val="24"/>
          <w:szCs w:val="24"/>
          <w:highlight w:val="none"/>
          <w:lang w:eastAsia="zh-CN"/>
        </w:rPr>
        <w:t>到位</w:t>
      </w:r>
      <w:r>
        <w:rPr>
          <w:rFonts w:hint="eastAsia" w:ascii="仿宋" w:hAnsi="仿宋" w:eastAsia="仿宋" w:cs="仿宋"/>
          <w:b/>
          <w:color w:val="auto"/>
          <w:sz w:val="24"/>
          <w:szCs w:val="24"/>
          <w:highlight w:val="none"/>
        </w:rPr>
        <w:t>。未达到相关要求的，采购人有权扣除相应考核分和服务费。</w:t>
      </w:r>
    </w:p>
    <w:p>
      <w:pPr>
        <w:spacing w:line="360" w:lineRule="auto"/>
        <w:jc w:val="left"/>
        <w:outlineLvl w:val="0"/>
        <w:rPr>
          <w:rFonts w:hint="eastAsia" w:ascii="仿宋" w:hAnsi="仿宋" w:eastAsia="仿宋" w:cs="仿宋"/>
          <w:b/>
          <w:color w:val="auto"/>
          <w:sz w:val="28"/>
          <w:szCs w:val="28"/>
          <w:highlight w:val="none"/>
        </w:rPr>
      </w:pPr>
      <w:bookmarkStart w:id="29" w:name="_Toc24272"/>
      <w:r>
        <w:rPr>
          <w:rFonts w:hint="eastAsia" w:ascii="仿宋" w:hAnsi="仿宋" w:eastAsia="仿宋" w:cs="仿宋"/>
          <w:b/>
          <w:color w:val="auto"/>
          <w:sz w:val="28"/>
          <w:szCs w:val="28"/>
          <w:highlight w:val="none"/>
        </w:rPr>
        <w:t>六、工作服务方式：</w:t>
      </w:r>
      <w:bookmarkEnd w:id="29"/>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1、中标人作业人员须按要求对服务区域进行不间断工作，</w:t>
      </w:r>
      <w:r>
        <w:rPr>
          <w:rFonts w:hint="eastAsia" w:ascii="仿宋" w:hAnsi="仿宋" w:eastAsia="仿宋" w:cs="仿宋"/>
          <w:color w:val="auto"/>
          <w:sz w:val="24"/>
          <w:szCs w:val="24"/>
          <w:highlight w:val="none"/>
          <w:lang w:eastAsia="zh-CN"/>
        </w:rPr>
        <w:t>包括</w:t>
      </w:r>
      <w:r>
        <w:rPr>
          <w:rFonts w:hint="eastAsia" w:ascii="仿宋" w:hAnsi="仿宋" w:eastAsia="仿宋" w:cs="仿宋"/>
          <w:color w:val="auto"/>
          <w:kern w:val="0"/>
          <w:sz w:val="24"/>
          <w:szCs w:val="24"/>
          <w:highlight w:val="none"/>
          <w:shd w:val="clear" w:color="auto" w:fill="FFFFFF"/>
          <w:lang w:eastAsia="zh-CN"/>
        </w:rPr>
        <w:t>用于</w:t>
      </w:r>
      <w:r>
        <w:rPr>
          <w:rFonts w:hint="eastAsia" w:ascii="仿宋" w:hAnsi="仿宋" w:eastAsia="仿宋" w:cs="仿宋"/>
          <w:color w:val="auto"/>
          <w:kern w:val="0"/>
          <w:sz w:val="24"/>
          <w:szCs w:val="24"/>
          <w:highlight w:val="none"/>
          <w:shd w:val="clear" w:color="auto" w:fill="FFFFFF"/>
        </w:rPr>
        <w:t>加强</w:t>
      </w:r>
      <w:r>
        <w:rPr>
          <w:rFonts w:hint="eastAsia" w:ascii="仿宋" w:hAnsi="仿宋" w:eastAsia="仿宋" w:cs="仿宋"/>
          <w:color w:val="auto"/>
          <w:kern w:val="0"/>
          <w:sz w:val="24"/>
          <w:szCs w:val="24"/>
          <w:highlight w:val="none"/>
          <w:shd w:val="clear" w:color="auto" w:fill="FFFFFF"/>
          <w:lang w:eastAsia="zh-CN"/>
        </w:rPr>
        <w:t>城市综合管理、</w:t>
      </w:r>
      <w:r>
        <w:rPr>
          <w:rFonts w:hint="eastAsia" w:ascii="仿宋" w:hAnsi="仿宋" w:eastAsia="仿宋" w:cs="仿宋"/>
          <w:color w:val="auto"/>
          <w:kern w:val="0"/>
          <w:sz w:val="24"/>
          <w:szCs w:val="24"/>
          <w:highlight w:val="none"/>
          <w:shd w:val="clear" w:color="auto" w:fill="FFFFFF"/>
        </w:rPr>
        <w:t>重点区域防违控违巡查、联合执法现场维护、外勤治理、</w:t>
      </w:r>
      <w:r>
        <w:rPr>
          <w:rFonts w:hint="eastAsia" w:ascii="仿宋" w:hAnsi="仿宋" w:eastAsia="仿宋" w:cs="仿宋"/>
          <w:color w:val="auto"/>
          <w:kern w:val="0"/>
          <w:sz w:val="24"/>
          <w:szCs w:val="24"/>
          <w:highlight w:val="none"/>
          <w:shd w:val="clear" w:color="auto" w:fill="FFFFFF"/>
          <w:lang w:eastAsia="zh-CN"/>
        </w:rPr>
        <w:t>维稳安保、</w:t>
      </w:r>
      <w:r>
        <w:rPr>
          <w:rFonts w:hint="eastAsia" w:ascii="仿宋" w:hAnsi="仿宋" w:eastAsia="仿宋" w:cs="仿宋"/>
          <w:color w:val="auto"/>
          <w:kern w:val="0"/>
          <w:sz w:val="24"/>
          <w:szCs w:val="24"/>
          <w:highlight w:val="none"/>
          <w:shd w:val="clear" w:color="auto" w:fill="FFFFFF"/>
        </w:rPr>
        <w:t>征地拆迁攻坚、交通整治、打击垃圾偷倒、渣土管理等工作</w:t>
      </w:r>
      <w:r>
        <w:rPr>
          <w:rFonts w:hint="eastAsia" w:ascii="仿宋" w:hAnsi="仿宋" w:eastAsia="仿宋" w:cs="仿宋"/>
          <w:bCs/>
          <w:color w:val="auto"/>
          <w:sz w:val="24"/>
          <w:szCs w:val="24"/>
          <w:highlight w:val="none"/>
        </w:rPr>
        <w:t>，应及时告知、劝阻，并第一时间向采购人反馈。</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2、中标人作业人员不具有行政处罚权，不能没收、暂扣违法行为人的物品或工具，不能以任何名义对违法行为人进行处罚，不得以任何名义收取或变相收取任何费用。</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3、中标人作业人员应坚持服务至上的理念，使用文明劝导礼貌用语，严禁粗言秽语，严禁出现威胁、辱骂、殴打行为。</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4、中标人作业人员应积极参与文明城市创建，在实施劝导服务的同时，须主动捡拾白色垃圾、烟蒂等废弃物；带头遵守城市文明公约，并积极开展便民服务活动，为群众起到良好示范作用。</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5、工作中如出现异常情形，可按规定程序向采购人及相关部门汇报，请求给予支持。</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6、中标人作业人员不得收取或变相收取摊位费或保护费，不得借工作之便谋取其它私利，不得出现各种违法、犯罪行为。</w:t>
      </w:r>
    </w:p>
    <w:p>
      <w:pPr>
        <w:spacing w:line="360" w:lineRule="auto"/>
        <w:jc w:val="left"/>
        <w:outlineLvl w:val="0"/>
        <w:rPr>
          <w:rFonts w:hint="eastAsia" w:ascii="仿宋" w:hAnsi="仿宋" w:eastAsia="仿宋" w:cs="仿宋"/>
          <w:b/>
          <w:color w:val="auto"/>
          <w:sz w:val="28"/>
          <w:szCs w:val="28"/>
          <w:highlight w:val="none"/>
        </w:rPr>
      </w:pPr>
      <w:bookmarkStart w:id="30" w:name="_Toc20920"/>
      <w:r>
        <w:rPr>
          <w:rFonts w:hint="eastAsia" w:ascii="仿宋" w:hAnsi="仿宋" w:eastAsia="仿宋" w:cs="仿宋"/>
          <w:b/>
          <w:color w:val="auto"/>
          <w:sz w:val="28"/>
          <w:szCs w:val="28"/>
          <w:highlight w:val="none"/>
        </w:rPr>
        <w:t>七、项目其他要求：</w:t>
      </w:r>
      <w:bookmarkEnd w:id="30"/>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人承担一切责任及损失，与采购人无涉。</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2、中标人用工需符合国家、省、市地方用工政策，如出现用工纠纷的由中标人承担责任，与采购人无涉。</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3、中标人应根据服务区域范围实际情况，建立服务工作机构，拟定的服务方案须经采购人审核同意后落实。</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4、若遇各类创建活动、灾害天气等特殊情况，中标人须无条件做好服务范围内的相关工作，服从采购人指挥，如有必要的须增加人员或加班加点。</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5、中标人在服务过程中需服从采购人的调配。</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6、中标人须按采购人的要求统一规范着装、统一巡查标志、统一车辆标识等，不得使用综合行政执法专用标志。</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8、中标人在合同期内不得以任何理由进行转包或分包，否则应承担违约责任。</w:t>
      </w:r>
    </w:p>
    <w:p>
      <w:pPr>
        <w:spacing w:line="360" w:lineRule="auto"/>
        <w:jc w:val="left"/>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八、服务期限：</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合同期为一年。若在合同期内乙方有不配合甲方工作等严重违约行为或连续二个季度考核不合格的，甲方有权提前终止合同，由此造成的一切后果和损失由乙方承担。  </w:t>
      </w:r>
    </w:p>
    <w:p>
      <w:pPr>
        <w:spacing w:line="360" w:lineRule="auto"/>
        <w:jc w:val="left"/>
        <w:outlineLvl w:val="0"/>
        <w:rPr>
          <w:rFonts w:hint="eastAsia" w:ascii="仿宋" w:hAnsi="仿宋" w:eastAsia="仿宋" w:cs="仿宋"/>
          <w:b/>
          <w:color w:val="auto"/>
          <w:sz w:val="28"/>
          <w:szCs w:val="28"/>
          <w:highlight w:val="none"/>
          <w:lang w:eastAsia="zh-CN"/>
        </w:rPr>
      </w:pPr>
      <w:bookmarkStart w:id="31" w:name="_Toc19816"/>
      <w:r>
        <w:rPr>
          <w:rFonts w:hint="eastAsia" w:ascii="仿宋" w:hAnsi="仿宋" w:eastAsia="仿宋" w:cs="仿宋"/>
          <w:b/>
          <w:color w:val="auto"/>
          <w:sz w:val="28"/>
          <w:szCs w:val="28"/>
          <w:highlight w:val="none"/>
        </w:rPr>
        <w:t>九、履约保证金：</w:t>
      </w:r>
      <w:r>
        <w:rPr>
          <w:rFonts w:hint="eastAsia" w:ascii="仿宋" w:hAnsi="仿宋" w:eastAsia="仿宋" w:cs="仿宋"/>
          <w:bCs/>
          <w:color w:val="auto"/>
          <w:sz w:val="24"/>
          <w:szCs w:val="24"/>
          <w:highlight w:val="none"/>
        </w:rPr>
        <w:t>无</w:t>
      </w:r>
      <w:bookmarkEnd w:id="31"/>
      <w:r>
        <w:rPr>
          <w:rFonts w:hint="eastAsia" w:ascii="仿宋" w:hAnsi="仿宋" w:eastAsia="仿宋" w:cs="仿宋"/>
          <w:bCs/>
          <w:color w:val="auto"/>
          <w:sz w:val="24"/>
          <w:szCs w:val="24"/>
          <w:highlight w:val="none"/>
          <w:lang w:eastAsia="zh-CN"/>
        </w:rPr>
        <w:t>。</w:t>
      </w:r>
    </w:p>
    <w:p>
      <w:pPr>
        <w:spacing w:line="360" w:lineRule="auto"/>
        <w:jc w:val="left"/>
        <w:outlineLvl w:val="0"/>
        <w:rPr>
          <w:rFonts w:hint="eastAsia" w:ascii="仿宋" w:hAnsi="仿宋" w:eastAsia="仿宋" w:cs="仿宋"/>
          <w:b/>
          <w:color w:val="auto"/>
          <w:sz w:val="28"/>
          <w:szCs w:val="28"/>
          <w:highlight w:val="none"/>
        </w:rPr>
      </w:pPr>
      <w:bookmarkStart w:id="32" w:name="_Toc3922"/>
      <w:r>
        <w:rPr>
          <w:rFonts w:hint="eastAsia" w:ascii="仿宋" w:hAnsi="仿宋" w:eastAsia="仿宋" w:cs="仿宋"/>
          <w:b/>
          <w:color w:val="auto"/>
          <w:sz w:val="28"/>
          <w:szCs w:val="28"/>
          <w:highlight w:val="none"/>
        </w:rPr>
        <w:t>十、投标报价：</w:t>
      </w:r>
      <w:bookmarkEnd w:id="32"/>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投标价格为</w:t>
      </w:r>
      <w:r>
        <w:rPr>
          <w:rFonts w:hint="eastAsia" w:ascii="仿宋" w:hAnsi="仿宋" w:eastAsia="仿宋" w:cs="仿宋"/>
          <w:bCs/>
          <w:color w:val="auto"/>
          <w:sz w:val="24"/>
          <w:szCs w:val="24"/>
          <w:highlight w:val="none"/>
          <w:lang w:eastAsia="zh-CN"/>
        </w:rPr>
        <w:t>本项目</w:t>
      </w:r>
      <w:r>
        <w:rPr>
          <w:rFonts w:hint="eastAsia" w:ascii="仿宋" w:hAnsi="仿宋" w:eastAsia="仿宋" w:cs="仿宋"/>
          <w:bCs/>
          <w:color w:val="auto"/>
          <w:sz w:val="24"/>
          <w:szCs w:val="24"/>
          <w:highlight w:val="none"/>
        </w:rPr>
        <w:t>所需的所有费用，包含人工费【包括人员基本工资、各类福利和补贴（如高温补贴、加班补贴等）、社保（五金）、各种保险】，服装费、耗材费、完成本项目辅助管理服务所需的工具、设备、管理费及合理利润，税金等需要完成本项目服务有关的所有费用。</w:t>
      </w:r>
    </w:p>
    <w:p>
      <w:pPr>
        <w:spacing w:line="360" w:lineRule="auto"/>
        <w:jc w:val="left"/>
        <w:outlineLvl w:val="0"/>
        <w:rPr>
          <w:rFonts w:hint="eastAsia" w:ascii="仿宋" w:hAnsi="仿宋" w:eastAsia="仿宋" w:cs="仿宋"/>
          <w:b/>
          <w:color w:val="auto"/>
          <w:sz w:val="28"/>
          <w:szCs w:val="28"/>
          <w:highlight w:val="none"/>
          <w:lang w:eastAsia="zh-CN"/>
        </w:rPr>
      </w:pPr>
      <w:bookmarkStart w:id="33" w:name="_Toc21521"/>
      <w:r>
        <w:rPr>
          <w:rFonts w:hint="eastAsia" w:ascii="仿宋" w:hAnsi="仿宋" w:eastAsia="仿宋" w:cs="仿宋"/>
          <w:b/>
          <w:color w:val="auto"/>
          <w:sz w:val="28"/>
          <w:szCs w:val="28"/>
          <w:highlight w:val="none"/>
        </w:rPr>
        <w:t>十一、付款方式：</w:t>
      </w:r>
      <w:bookmarkEnd w:id="33"/>
    </w:p>
    <w:p>
      <w:pPr>
        <w:pStyle w:val="966"/>
        <w:ind w:firstLine="48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服务费按每</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个自然月为一个周期结算一次，</w:t>
      </w:r>
      <w:r>
        <w:rPr>
          <w:rFonts w:hint="eastAsia" w:ascii="仿宋" w:hAnsi="仿宋" w:eastAsia="仿宋" w:cs="仿宋"/>
          <w:bCs/>
          <w:color w:val="auto"/>
          <w:sz w:val="24"/>
          <w:szCs w:val="24"/>
          <w:highlight w:val="none"/>
          <w:lang w:val="en-US" w:eastAsia="zh-CN"/>
        </w:rPr>
        <w:t>共6期，每期支付合同金额的1/6。</w:t>
      </w:r>
      <w:r>
        <w:rPr>
          <w:rFonts w:hint="eastAsia" w:ascii="仿宋" w:hAnsi="仿宋" w:eastAsia="仿宋" w:cs="仿宋"/>
          <w:bCs/>
          <w:color w:val="auto"/>
          <w:sz w:val="24"/>
          <w:szCs w:val="24"/>
          <w:highlight w:val="none"/>
        </w:rPr>
        <w:t>根据考核结果支付上一周期费用，乙方于3个工作日内开具符合甲方要求的服务的发票至甲方，甲方在乙方提供发票后的次月15个工作日向乙方支付费用（遇国家法定节假日顺延）</w:t>
      </w:r>
      <w:r>
        <w:rPr>
          <w:rFonts w:hint="eastAsia" w:ascii="仿宋" w:hAnsi="仿宋" w:eastAsia="仿宋" w:cs="仿宋"/>
          <w:bCs/>
          <w:color w:val="auto"/>
          <w:sz w:val="24"/>
          <w:szCs w:val="24"/>
          <w:highlight w:val="none"/>
          <w:lang w:val="en-US" w:eastAsia="zh-CN"/>
        </w:rPr>
        <w:t>。</w:t>
      </w:r>
    </w:p>
    <w:p>
      <w:pPr>
        <w:spacing w:line="360" w:lineRule="auto"/>
        <w:jc w:val="left"/>
        <w:outlineLvl w:val="0"/>
        <w:rPr>
          <w:rFonts w:hint="eastAsia" w:ascii="仿宋" w:hAnsi="仿宋" w:eastAsia="仿宋" w:cs="仿宋"/>
          <w:b/>
          <w:color w:val="auto"/>
          <w:sz w:val="28"/>
          <w:szCs w:val="28"/>
          <w:highlight w:val="none"/>
        </w:rPr>
      </w:pPr>
      <w:bookmarkStart w:id="34" w:name="_Toc10766"/>
      <w:r>
        <w:rPr>
          <w:rFonts w:hint="eastAsia" w:ascii="仿宋" w:hAnsi="仿宋" w:eastAsia="仿宋" w:cs="仿宋"/>
          <w:b/>
          <w:color w:val="auto"/>
          <w:sz w:val="28"/>
          <w:szCs w:val="28"/>
          <w:highlight w:val="none"/>
        </w:rPr>
        <w:t>十二、考核</w:t>
      </w:r>
      <w:r>
        <w:rPr>
          <w:rFonts w:hint="eastAsia" w:ascii="仿宋" w:hAnsi="仿宋" w:eastAsia="仿宋" w:cs="仿宋"/>
          <w:b/>
          <w:color w:val="auto"/>
          <w:sz w:val="28"/>
          <w:szCs w:val="28"/>
          <w:highlight w:val="none"/>
          <w:lang w:eastAsia="zh-CN"/>
        </w:rPr>
        <w:t>及处罚措施</w:t>
      </w:r>
      <w:r>
        <w:rPr>
          <w:rFonts w:hint="eastAsia" w:ascii="仿宋" w:hAnsi="仿宋" w:eastAsia="仿宋" w:cs="仿宋"/>
          <w:b/>
          <w:color w:val="auto"/>
          <w:sz w:val="28"/>
          <w:szCs w:val="28"/>
          <w:highlight w:val="none"/>
        </w:rPr>
        <w:t>：</w:t>
      </w:r>
      <w:bookmarkEnd w:id="34"/>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1、考核内容：主要对其管理措施、安全管理、秩序管理等内容进行考核，其中包括日常管理、遵规守纪、岗位纪律、安全检查、巡更情况汇报、突发事件上报及时性等。</w:t>
      </w:r>
    </w:p>
    <w:p>
      <w:pPr>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2、考核评定</w:t>
      </w:r>
    </w:p>
    <w:p>
      <w:pPr>
        <w:adjustRightInd w:val="0"/>
        <w:snapToGrid w:val="0"/>
        <w:spacing w:line="360" w:lineRule="auto"/>
        <w:ind w:firstLine="472" w:firstLineChars="196"/>
        <w:jc w:val="center"/>
        <w:outlineLvl w:val="1"/>
        <w:rPr>
          <w:rFonts w:hint="eastAsia" w:ascii="仿宋" w:hAnsi="仿宋" w:eastAsia="仿宋" w:cs="仿宋"/>
          <w:b/>
          <w:bCs/>
          <w:color w:val="auto"/>
          <w:sz w:val="24"/>
          <w:szCs w:val="24"/>
          <w:highlight w:val="none"/>
        </w:rPr>
      </w:pPr>
    </w:p>
    <w:p>
      <w:pPr>
        <w:adjustRightInd w:val="0"/>
        <w:snapToGrid w:val="0"/>
        <w:spacing w:line="360" w:lineRule="auto"/>
        <w:ind w:firstLine="472" w:firstLineChars="196"/>
        <w:jc w:val="center"/>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巡逻安保人员日常管理督查考核细则</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满分100分）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509"/>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上班迟到、早退、擅自离岗。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0-10分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旷工。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0-10分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无故不参加会议、集中学习。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0-10分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上班期间着装不规范、不整洁。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0-10分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在管理区域、路段聚众聊天、看手机、或进入店家做与工作无关的事。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0-10分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违反请销假制度。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将警用装备借于他人使用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p>
            <w:pPr>
              <w:spacing w:line="360" w:lineRule="auto"/>
              <w:jc w:val="center"/>
              <w:rPr>
                <w:rFonts w:hint="eastAsia" w:ascii="仿宋" w:hAnsi="仿宋" w:eastAsia="仿宋" w:cs="仿宋"/>
                <w:color w:val="auto"/>
                <w:sz w:val="24"/>
                <w:szCs w:val="24"/>
                <w:highlight w:val="none"/>
              </w:rPr>
            </w:pP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不服从正常的工作调动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队员对自己巡逻、管理区域、路段不熟悉，不了解消火栓地点并不能熟练使用消防器材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遇险情未及时上报，未采取措施制止灾害扩大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在巡逻过程中，遇有正在实施的不法侵害行为时，未迅速制止和报警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受到国家法律及治安条例处罚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对中队督查人员指出的问题不立即进行整改或还顶撞。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对中队领导及街道领导发现、指出的问题，不立即进行整改或还顶撞。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对不服从中队督查人员督查管理。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此督查考核仅限于招标单位对中标单位提供的服务外包人员根据服务外包管理内容履职进行考核，根据考核扣分情况进行每月汇总。 </w:t>
            </w:r>
          </w:p>
        </w:tc>
      </w:tr>
    </w:tbl>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检查人员签字：               部室负责人签字：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           管理人员签字：               领导签字：</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备注：每月抽查一次，根据检查情况进行扣分；</w:t>
      </w:r>
    </w:p>
    <w:p>
      <w:pPr>
        <w:numPr>
          <w:ilvl w:val="0"/>
          <w:numId w:val="3"/>
        </w:num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若分值＜80分，扣除该项目</w:t>
      </w:r>
      <w:r>
        <w:rPr>
          <w:rFonts w:hint="eastAsia" w:ascii="仿宋" w:hAnsi="仿宋" w:eastAsia="仿宋" w:cs="仿宋"/>
          <w:color w:val="auto"/>
          <w:sz w:val="24"/>
          <w:szCs w:val="24"/>
          <w:highlight w:val="none"/>
          <w:lang w:eastAsia="zh-CN"/>
        </w:rPr>
        <w:t>当月服务费用的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pPr>
        <w:numPr>
          <w:ilvl w:val="0"/>
          <w:numId w:val="3"/>
        </w:num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若分值＜80分，可无条件解除本合同；</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C、若80分≤考核得分＜85分，按扣分值（300元/分）在本月服务费中扣除；</w:t>
      </w:r>
    </w:p>
    <w:p>
      <w:pPr>
        <w:pStyle w:val="96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D、考核得分≥85分，甲方支付合同约定服务费用的100%；</w:t>
      </w:r>
    </w:p>
    <w:p>
      <w:pPr>
        <w:snapToGrid w:val="0"/>
        <w:spacing w:line="360" w:lineRule="auto"/>
        <w:jc w:val="center"/>
        <w:rPr>
          <w:rFonts w:hint="eastAsia" w:ascii="仿宋" w:hAnsi="仿宋" w:eastAsia="仿宋" w:cs="仿宋"/>
          <w:color w:val="auto"/>
          <w:kern w:val="0"/>
          <w:sz w:val="24"/>
          <w:szCs w:val="24"/>
          <w:highlight w:val="none"/>
          <w:lang w:val="zh-CN" w:eastAsia="zh-CN" w:bidi="ar-SA"/>
        </w:rPr>
      </w:pPr>
    </w:p>
    <w:p>
      <w:p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3、处罚措施</w:t>
      </w:r>
    </w:p>
    <w:p>
      <w:pPr>
        <w:pStyle w:val="6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1、未按合同约定提供相应上岗人员的，每少安排一人扣款1500元。</w:t>
      </w:r>
    </w:p>
    <w:p>
      <w:pPr>
        <w:pStyle w:val="6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2、未能在人员离职时，进行及时人员替补，造成人员缺少工作岗位脱节的每人次扣款1000元。</w:t>
      </w:r>
    </w:p>
    <w:p>
      <w:pPr>
        <w:pStyle w:val="6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3、人员变动性性大，上岗人员变动率每月大于5人的扣款1000元。</w:t>
      </w:r>
    </w:p>
    <w:p>
      <w:pPr>
        <w:pStyle w:val="6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4、未按规定时间上岗、擅自离岗的每人每次扣款300元。</w:t>
      </w:r>
    </w:p>
    <w:p>
      <w:pPr>
        <w:pStyle w:val="6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5、上岗人员旷工每人每次扣款500元。</w:t>
      </w:r>
    </w:p>
    <w:p>
      <w:pPr>
        <w:pStyle w:val="6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6、人员在岗，但未按规定对出店经营、超出门窗摆放物品、无证摊贩、非机动车乱停放、机动车违停等序化问题进行及时劝导整改的每处扣款300元。</w:t>
      </w:r>
    </w:p>
    <w:p>
      <w:pPr>
        <w:pStyle w:val="6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7、在上岗期间着装不规范、不整洁影响队伍形象的每人每次扣款100元。</w:t>
      </w:r>
    </w:p>
    <w:p>
      <w:pPr>
        <w:pStyle w:val="6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8、在上岗时间，有聚众聊天、玩手机、或进入店家做与工作无关的事的每人每次扣款100元。</w:t>
      </w:r>
    </w:p>
    <w:p>
      <w:pPr>
        <w:pStyle w:val="6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9、不服从工作安排的每人每次扣款100元。</w:t>
      </w:r>
    </w:p>
    <w:p>
      <w:pPr>
        <w:pStyle w:val="4"/>
        <w:rPr>
          <w:rFonts w:hint="eastAsia"/>
          <w:b w:val="0"/>
          <w:bCs w:val="0"/>
          <w:sz w:val="24"/>
          <w:szCs w:val="24"/>
        </w:rPr>
      </w:pPr>
      <w:r>
        <w:rPr>
          <w:rFonts w:hint="eastAsia" w:ascii="仿宋" w:hAnsi="仿宋" w:eastAsia="仿宋" w:cs="仿宋"/>
          <w:b w:val="0"/>
          <w:bCs w:val="0"/>
          <w:color w:val="auto"/>
          <w:kern w:val="0"/>
          <w:sz w:val="24"/>
          <w:szCs w:val="24"/>
          <w:highlight w:val="none"/>
          <w:lang w:val="en-US" w:eastAsia="zh-CN" w:bidi="ar-SA"/>
        </w:rPr>
        <w:t>10、执勤点位被领导直接点名的扣款2000元。</w:t>
      </w:r>
    </w:p>
    <w:p>
      <w:pPr>
        <w:snapToGrid w:val="0"/>
        <w:spacing w:line="360" w:lineRule="auto"/>
        <w:jc w:val="center"/>
        <w:rPr>
          <w:rFonts w:ascii="仿宋" w:hAnsi="仿宋" w:eastAsia="仿宋" w:cs="仿宋_GB2312"/>
          <w:b/>
          <w:color w:val="auto"/>
          <w:sz w:val="36"/>
          <w:szCs w:val="36"/>
        </w:rPr>
      </w:pPr>
      <w:r>
        <w:rPr>
          <w:rFonts w:ascii="仿宋" w:hAnsi="仿宋" w:eastAsia="仿宋" w:cs="仿宋_GB2312"/>
          <w:b/>
          <w:color w:val="auto"/>
          <w:sz w:val="24"/>
        </w:rPr>
        <w:br w:type="page"/>
      </w: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35" w:name="_Toc184310334"/>
      <w:bookmarkEnd w:id="35"/>
      <w:bookmarkStart w:id="36" w:name="_Toc184312082"/>
      <w:bookmarkEnd w:id="36"/>
      <w:bookmarkStart w:id="37" w:name="_Toc184313239"/>
      <w:bookmarkEnd w:id="37"/>
      <w:bookmarkStart w:id="38" w:name="_Toc184312102"/>
      <w:bookmarkEnd w:id="38"/>
      <w:bookmarkStart w:id="39" w:name="_Toc184314419"/>
      <w:bookmarkEnd w:id="39"/>
      <w:bookmarkStart w:id="40" w:name="_Toc184308048"/>
      <w:bookmarkEnd w:id="40"/>
      <w:bookmarkStart w:id="41" w:name="_Toc184312074"/>
      <w:bookmarkEnd w:id="41"/>
      <w:bookmarkStart w:id="42" w:name="_Toc184308088"/>
      <w:bookmarkEnd w:id="42"/>
      <w:bookmarkStart w:id="43" w:name="_Toc184310310"/>
      <w:bookmarkEnd w:id="43"/>
      <w:bookmarkStart w:id="44" w:name="_Toc184314429"/>
      <w:bookmarkEnd w:id="44"/>
      <w:bookmarkStart w:id="45" w:name="_Toc184314433"/>
      <w:bookmarkEnd w:id="45"/>
      <w:bookmarkStart w:id="46" w:name="_Toc184308081"/>
      <w:bookmarkEnd w:id="46"/>
      <w:bookmarkStart w:id="47" w:name="_Toc184310293"/>
      <w:bookmarkEnd w:id="47"/>
      <w:bookmarkStart w:id="48" w:name="_Toc184312089"/>
      <w:bookmarkEnd w:id="48"/>
      <w:bookmarkStart w:id="49" w:name="_Toc184312095"/>
      <w:bookmarkEnd w:id="49"/>
      <w:bookmarkStart w:id="50" w:name="_Toc184308069"/>
      <w:bookmarkEnd w:id="50"/>
      <w:bookmarkStart w:id="51" w:name="_Toc184314438"/>
      <w:bookmarkEnd w:id="51"/>
      <w:bookmarkStart w:id="52" w:name="_Toc184310300"/>
      <w:bookmarkEnd w:id="52"/>
      <w:bookmarkStart w:id="53" w:name="_Toc184308042"/>
      <w:bookmarkEnd w:id="53"/>
      <w:bookmarkStart w:id="54" w:name="_Toc184313310"/>
      <w:bookmarkEnd w:id="54"/>
      <w:bookmarkStart w:id="55" w:name="_Toc184313293"/>
      <w:bookmarkEnd w:id="55"/>
      <w:bookmarkStart w:id="56" w:name="_Toc184308071"/>
      <w:bookmarkEnd w:id="56"/>
      <w:bookmarkStart w:id="57" w:name="_Toc184313291"/>
      <w:bookmarkEnd w:id="57"/>
      <w:bookmarkStart w:id="58" w:name="_Toc184313242"/>
      <w:bookmarkEnd w:id="58"/>
      <w:bookmarkStart w:id="59" w:name="_Toc184312114"/>
      <w:bookmarkEnd w:id="59"/>
      <w:bookmarkStart w:id="60" w:name="_Toc184312093"/>
      <w:bookmarkEnd w:id="60"/>
      <w:bookmarkStart w:id="61" w:name="_Toc184314470"/>
      <w:bookmarkEnd w:id="61"/>
      <w:bookmarkStart w:id="62" w:name="_Toc184310315"/>
      <w:bookmarkEnd w:id="62"/>
      <w:bookmarkStart w:id="63" w:name="_Toc184314472"/>
      <w:bookmarkEnd w:id="63"/>
      <w:bookmarkStart w:id="64" w:name="_Toc184308092"/>
      <w:bookmarkEnd w:id="64"/>
      <w:bookmarkStart w:id="65" w:name="_Toc184312070"/>
      <w:bookmarkEnd w:id="65"/>
      <w:bookmarkStart w:id="66" w:name="_Toc184310311"/>
      <w:bookmarkEnd w:id="66"/>
      <w:bookmarkStart w:id="67" w:name="_Toc184314436"/>
      <w:bookmarkEnd w:id="67"/>
      <w:bookmarkStart w:id="68" w:name="_Toc184312126"/>
      <w:bookmarkEnd w:id="68"/>
      <w:bookmarkStart w:id="69" w:name="_Toc184310283"/>
      <w:bookmarkEnd w:id="69"/>
      <w:bookmarkStart w:id="70" w:name="_Toc184313255"/>
      <w:bookmarkEnd w:id="70"/>
      <w:bookmarkStart w:id="71" w:name="_Toc184312131"/>
      <w:bookmarkEnd w:id="71"/>
      <w:bookmarkStart w:id="72" w:name="_Toc184314443"/>
      <w:bookmarkEnd w:id="72"/>
      <w:bookmarkStart w:id="73" w:name="_Toc184308100"/>
      <w:bookmarkEnd w:id="73"/>
      <w:bookmarkStart w:id="74" w:name="_Toc184313268"/>
      <w:bookmarkEnd w:id="74"/>
      <w:bookmarkStart w:id="75" w:name="_Toc184308084"/>
      <w:bookmarkEnd w:id="75"/>
      <w:bookmarkStart w:id="76" w:name="_Toc184312117"/>
      <w:bookmarkEnd w:id="76"/>
      <w:bookmarkStart w:id="77" w:name="_Toc184308058"/>
      <w:bookmarkEnd w:id="77"/>
      <w:bookmarkStart w:id="78" w:name="_Toc184314468"/>
      <w:bookmarkEnd w:id="78"/>
      <w:bookmarkStart w:id="79" w:name="_Toc184313274"/>
      <w:bookmarkEnd w:id="79"/>
      <w:bookmarkStart w:id="80" w:name="_Toc184312104"/>
      <w:bookmarkEnd w:id="80"/>
      <w:bookmarkStart w:id="81" w:name="_Toc184308067"/>
      <w:bookmarkEnd w:id="81"/>
      <w:bookmarkStart w:id="82" w:name="_Toc184308083"/>
      <w:bookmarkEnd w:id="82"/>
      <w:bookmarkStart w:id="83" w:name="_Toc184310284"/>
      <w:bookmarkEnd w:id="83"/>
      <w:bookmarkStart w:id="84" w:name="_Toc184308066"/>
      <w:bookmarkEnd w:id="84"/>
      <w:bookmarkStart w:id="85" w:name="_Toc184312078"/>
      <w:bookmarkEnd w:id="85"/>
      <w:bookmarkStart w:id="86" w:name="_Toc184313277"/>
      <w:bookmarkEnd w:id="86"/>
      <w:bookmarkStart w:id="87" w:name="_Toc184310279"/>
      <w:bookmarkEnd w:id="87"/>
      <w:bookmarkStart w:id="88" w:name="_Toc184314426"/>
      <w:bookmarkEnd w:id="88"/>
      <w:bookmarkStart w:id="89" w:name="_Toc184308087"/>
      <w:bookmarkEnd w:id="89"/>
      <w:bookmarkStart w:id="90" w:name="_Toc184312123"/>
      <w:bookmarkEnd w:id="90"/>
      <w:bookmarkStart w:id="91" w:name="_Toc184312090"/>
      <w:bookmarkEnd w:id="91"/>
      <w:bookmarkStart w:id="92" w:name="_Toc184310322"/>
      <w:bookmarkEnd w:id="92"/>
      <w:bookmarkStart w:id="93" w:name="_Toc184313297"/>
      <w:bookmarkEnd w:id="93"/>
      <w:bookmarkStart w:id="94" w:name="_Toc184308104"/>
      <w:bookmarkEnd w:id="94"/>
      <w:bookmarkStart w:id="95" w:name="_Toc184310313"/>
      <w:bookmarkEnd w:id="95"/>
      <w:bookmarkStart w:id="96" w:name="_Toc184314414"/>
      <w:bookmarkEnd w:id="96"/>
      <w:bookmarkStart w:id="97" w:name="_Toc184313282"/>
      <w:bookmarkEnd w:id="97"/>
      <w:bookmarkStart w:id="98" w:name="_Toc184312080"/>
      <w:bookmarkEnd w:id="98"/>
      <w:bookmarkStart w:id="99" w:name="_Toc184308073"/>
      <w:bookmarkEnd w:id="99"/>
      <w:bookmarkStart w:id="100" w:name="_Toc184313278"/>
      <w:bookmarkEnd w:id="100"/>
      <w:bookmarkStart w:id="101" w:name="_Toc184314458"/>
      <w:bookmarkEnd w:id="101"/>
      <w:bookmarkStart w:id="102" w:name="_Toc184308101"/>
      <w:bookmarkEnd w:id="102"/>
      <w:bookmarkStart w:id="103" w:name="_Toc184313258"/>
      <w:bookmarkEnd w:id="103"/>
      <w:bookmarkStart w:id="104" w:name="_Toc184308102"/>
      <w:bookmarkEnd w:id="104"/>
      <w:bookmarkStart w:id="105" w:name="_Toc184314453"/>
      <w:bookmarkEnd w:id="105"/>
      <w:bookmarkStart w:id="106" w:name="_Toc184310282"/>
      <w:bookmarkEnd w:id="106"/>
      <w:bookmarkStart w:id="107" w:name="_Toc184310290"/>
      <w:bookmarkEnd w:id="107"/>
      <w:bookmarkStart w:id="108" w:name="_Toc184308052"/>
      <w:bookmarkEnd w:id="108"/>
      <w:bookmarkStart w:id="109" w:name="_Toc184312132"/>
      <w:bookmarkEnd w:id="109"/>
      <w:bookmarkStart w:id="110" w:name="_Toc184310295"/>
      <w:bookmarkEnd w:id="110"/>
      <w:bookmarkStart w:id="111" w:name="_Toc184312128"/>
      <w:bookmarkEnd w:id="111"/>
      <w:bookmarkStart w:id="112" w:name="_Toc184310297"/>
      <w:bookmarkEnd w:id="112"/>
      <w:bookmarkStart w:id="113" w:name="_Toc184308065"/>
      <w:bookmarkEnd w:id="113"/>
      <w:bookmarkStart w:id="114" w:name="_Toc184313259"/>
      <w:bookmarkEnd w:id="114"/>
      <w:bookmarkStart w:id="115" w:name="_Toc184310331"/>
      <w:bookmarkEnd w:id="115"/>
      <w:bookmarkStart w:id="116" w:name="_Toc184313264"/>
      <w:bookmarkEnd w:id="116"/>
      <w:bookmarkStart w:id="117" w:name="_Toc184313270"/>
      <w:bookmarkEnd w:id="117"/>
      <w:bookmarkStart w:id="118" w:name="_Toc184314431"/>
      <w:bookmarkEnd w:id="118"/>
      <w:bookmarkStart w:id="119" w:name="_Toc184313300"/>
      <w:bookmarkEnd w:id="119"/>
      <w:bookmarkStart w:id="120" w:name="_Toc184310314"/>
      <w:bookmarkEnd w:id="120"/>
      <w:bookmarkStart w:id="121" w:name="_Toc184314424"/>
      <w:bookmarkEnd w:id="121"/>
      <w:bookmarkStart w:id="122" w:name="_Toc184313288"/>
      <w:bookmarkEnd w:id="122"/>
      <w:bookmarkStart w:id="123" w:name="_Toc184312112"/>
      <w:bookmarkEnd w:id="123"/>
      <w:bookmarkStart w:id="124" w:name="_Toc184314462"/>
      <w:bookmarkEnd w:id="124"/>
      <w:bookmarkStart w:id="125" w:name="_Toc184308089"/>
      <w:bookmarkEnd w:id="125"/>
      <w:bookmarkStart w:id="126" w:name="_Toc184312100"/>
      <w:bookmarkEnd w:id="126"/>
      <w:bookmarkStart w:id="127" w:name="_Toc184312124"/>
      <w:bookmarkEnd w:id="127"/>
      <w:bookmarkStart w:id="128" w:name="_Toc184310316"/>
      <w:bookmarkEnd w:id="128"/>
      <w:bookmarkStart w:id="129" w:name="_Toc184308096"/>
      <w:bookmarkEnd w:id="129"/>
      <w:bookmarkStart w:id="130" w:name="_Toc184314430"/>
      <w:bookmarkEnd w:id="130"/>
      <w:bookmarkStart w:id="131" w:name="_Toc184310287"/>
      <w:bookmarkEnd w:id="131"/>
      <w:bookmarkStart w:id="132" w:name="_Toc184312067"/>
      <w:bookmarkEnd w:id="132"/>
      <w:bookmarkStart w:id="133" w:name="_Toc184308079"/>
      <w:bookmarkEnd w:id="133"/>
      <w:bookmarkStart w:id="134" w:name="_Toc184313261"/>
      <w:bookmarkEnd w:id="134"/>
      <w:bookmarkStart w:id="135" w:name="_Toc184308093"/>
      <w:bookmarkEnd w:id="135"/>
      <w:bookmarkStart w:id="136" w:name="_Toc184312115"/>
      <w:bookmarkEnd w:id="136"/>
      <w:bookmarkStart w:id="137" w:name="_Toc184308051"/>
      <w:bookmarkEnd w:id="137"/>
      <w:bookmarkStart w:id="138" w:name="_Toc184313267"/>
      <w:bookmarkEnd w:id="138"/>
      <w:bookmarkStart w:id="139" w:name="_Toc184310307"/>
      <w:bookmarkEnd w:id="139"/>
      <w:bookmarkStart w:id="140" w:name="_Toc184313307"/>
      <w:bookmarkEnd w:id="140"/>
      <w:bookmarkStart w:id="141" w:name="_Toc184308086"/>
      <w:bookmarkEnd w:id="141"/>
      <w:bookmarkStart w:id="142" w:name="_Toc184314432"/>
      <w:bookmarkEnd w:id="142"/>
      <w:bookmarkStart w:id="143" w:name="_Toc184310328"/>
      <w:bookmarkEnd w:id="143"/>
      <w:bookmarkStart w:id="144" w:name="_Toc184310317"/>
      <w:bookmarkEnd w:id="144"/>
      <w:bookmarkStart w:id="145" w:name="_Toc184310327"/>
      <w:bookmarkEnd w:id="145"/>
      <w:bookmarkStart w:id="146" w:name="_Toc184312069"/>
      <w:bookmarkEnd w:id="146"/>
      <w:bookmarkStart w:id="147" w:name="_Toc184313298"/>
      <w:bookmarkEnd w:id="147"/>
      <w:bookmarkStart w:id="148" w:name="_Toc184313308"/>
      <w:bookmarkEnd w:id="148"/>
      <w:bookmarkStart w:id="149" w:name="_Toc184312136"/>
      <w:bookmarkEnd w:id="149"/>
      <w:bookmarkStart w:id="150" w:name="_Toc184312096"/>
      <w:bookmarkEnd w:id="150"/>
      <w:bookmarkStart w:id="151" w:name="_Toc184313283"/>
      <w:bookmarkEnd w:id="151"/>
      <w:bookmarkStart w:id="152" w:name="_Toc184308057"/>
      <w:bookmarkEnd w:id="152"/>
      <w:bookmarkStart w:id="153" w:name="_Toc184313290"/>
      <w:bookmarkEnd w:id="153"/>
      <w:bookmarkStart w:id="154" w:name="_Toc184313279"/>
      <w:bookmarkEnd w:id="154"/>
      <w:bookmarkStart w:id="155" w:name="_Toc184312073"/>
      <w:bookmarkEnd w:id="155"/>
      <w:bookmarkStart w:id="156" w:name="_Toc184312138"/>
      <w:bookmarkEnd w:id="156"/>
      <w:bookmarkStart w:id="157" w:name="_Toc184310339"/>
      <w:bookmarkEnd w:id="157"/>
      <w:bookmarkStart w:id="158" w:name="_Toc184314460"/>
      <w:bookmarkEnd w:id="158"/>
      <w:bookmarkStart w:id="159" w:name="_Toc184310329"/>
      <w:bookmarkEnd w:id="159"/>
      <w:bookmarkStart w:id="160" w:name="_Toc184310312"/>
      <w:bookmarkEnd w:id="160"/>
      <w:bookmarkStart w:id="161" w:name="_Toc184314482"/>
      <w:bookmarkEnd w:id="161"/>
      <w:bookmarkStart w:id="162" w:name="_Toc184313303"/>
      <w:bookmarkEnd w:id="162"/>
      <w:bookmarkStart w:id="163" w:name="_Toc184312099"/>
      <w:bookmarkEnd w:id="163"/>
      <w:bookmarkStart w:id="164" w:name="_Toc184312087"/>
      <w:bookmarkEnd w:id="164"/>
      <w:bookmarkStart w:id="165" w:name="_Toc184308040"/>
      <w:bookmarkEnd w:id="165"/>
      <w:bookmarkStart w:id="166" w:name="_Toc184314440"/>
      <w:bookmarkEnd w:id="166"/>
      <w:bookmarkStart w:id="167" w:name="_Toc184308062"/>
      <w:bookmarkEnd w:id="167"/>
      <w:bookmarkStart w:id="168" w:name="_Toc184310299"/>
      <w:bookmarkEnd w:id="168"/>
      <w:bookmarkStart w:id="169" w:name="_Toc184308107"/>
      <w:bookmarkEnd w:id="169"/>
      <w:bookmarkStart w:id="170" w:name="_Toc184310305"/>
      <w:bookmarkEnd w:id="170"/>
      <w:bookmarkStart w:id="171" w:name="_Toc184310286"/>
      <w:bookmarkEnd w:id="171"/>
      <w:bookmarkStart w:id="172" w:name="_Toc184312068"/>
      <w:bookmarkEnd w:id="172"/>
      <w:bookmarkStart w:id="173" w:name="_Toc184312079"/>
      <w:bookmarkEnd w:id="173"/>
      <w:bookmarkStart w:id="174" w:name="_Toc184310336"/>
      <w:bookmarkEnd w:id="174"/>
      <w:bookmarkStart w:id="175" w:name="_Toc184308063"/>
      <w:bookmarkEnd w:id="175"/>
      <w:bookmarkStart w:id="176" w:name="_Toc184313257"/>
      <w:bookmarkEnd w:id="176"/>
      <w:bookmarkStart w:id="177" w:name="_Toc184314420"/>
      <w:bookmarkEnd w:id="177"/>
      <w:bookmarkStart w:id="178" w:name="_Toc184310337"/>
      <w:bookmarkEnd w:id="178"/>
      <w:bookmarkStart w:id="179" w:name="_Toc184314474"/>
      <w:bookmarkEnd w:id="179"/>
      <w:bookmarkStart w:id="180" w:name="_Toc184314451"/>
      <w:bookmarkEnd w:id="180"/>
      <w:bookmarkStart w:id="181" w:name="_Toc184313280"/>
      <w:bookmarkEnd w:id="181"/>
      <w:bookmarkStart w:id="182" w:name="_Toc184314428"/>
      <w:bookmarkEnd w:id="182"/>
      <w:bookmarkStart w:id="183" w:name="_Toc184314425"/>
      <w:bookmarkEnd w:id="183"/>
      <w:bookmarkStart w:id="184" w:name="_Toc184313306"/>
      <w:bookmarkEnd w:id="184"/>
      <w:bookmarkStart w:id="185" w:name="_Toc184313296"/>
      <w:bookmarkEnd w:id="185"/>
      <w:bookmarkStart w:id="186" w:name="_Toc184308070"/>
      <w:bookmarkEnd w:id="186"/>
      <w:bookmarkStart w:id="187" w:name="_Toc184314418"/>
      <w:bookmarkEnd w:id="187"/>
      <w:bookmarkStart w:id="188" w:name="_Toc184310332"/>
      <w:bookmarkEnd w:id="188"/>
      <w:bookmarkStart w:id="189" w:name="_Toc184313295"/>
      <w:bookmarkEnd w:id="189"/>
      <w:bookmarkStart w:id="190" w:name="_Toc184310319"/>
      <w:bookmarkEnd w:id="190"/>
      <w:bookmarkStart w:id="191" w:name="_Toc184312120"/>
      <w:bookmarkEnd w:id="191"/>
      <w:bookmarkStart w:id="192" w:name="_Toc184310335"/>
      <w:bookmarkEnd w:id="192"/>
      <w:bookmarkStart w:id="193" w:name="_Toc184308076"/>
      <w:bookmarkEnd w:id="193"/>
      <w:bookmarkStart w:id="194" w:name="_Toc184313287"/>
      <w:bookmarkEnd w:id="194"/>
      <w:bookmarkStart w:id="195" w:name="_Toc184308054"/>
      <w:bookmarkEnd w:id="195"/>
      <w:bookmarkStart w:id="196" w:name="_Toc184313294"/>
      <w:bookmarkEnd w:id="196"/>
      <w:bookmarkStart w:id="197" w:name="_Toc184312139"/>
      <w:bookmarkEnd w:id="197"/>
      <w:bookmarkStart w:id="198" w:name="_Toc184308082"/>
      <w:bookmarkEnd w:id="198"/>
      <w:bookmarkStart w:id="199" w:name="_Toc184313272"/>
      <w:bookmarkEnd w:id="199"/>
      <w:bookmarkStart w:id="200" w:name="_Toc184313241"/>
      <w:bookmarkEnd w:id="200"/>
      <w:bookmarkStart w:id="201" w:name="_Toc184312088"/>
      <w:bookmarkEnd w:id="201"/>
      <w:bookmarkStart w:id="202" w:name="_Toc184308056"/>
      <w:bookmarkEnd w:id="202"/>
      <w:bookmarkStart w:id="203" w:name="_Toc184310303"/>
      <w:bookmarkEnd w:id="203"/>
      <w:bookmarkStart w:id="204" w:name="_Toc184312119"/>
      <w:bookmarkEnd w:id="204"/>
      <w:bookmarkStart w:id="205" w:name="_Toc184313247"/>
      <w:bookmarkEnd w:id="205"/>
      <w:bookmarkStart w:id="206" w:name="_Toc184313263"/>
      <w:bookmarkEnd w:id="206"/>
      <w:bookmarkStart w:id="207" w:name="_Toc184308077"/>
      <w:bookmarkEnd w:id="207"/>
      <w:bookmarkStart w:id="208" w:name="_Toc184312127"/>
      <w:bookmarkEnd w:id="208"/>
      <w:bookmarkStart w:id="209" w:name="_Toc184313292"/>
      <w:bookmarkEnd w:id="209"/>
      <w:bookmarkStart w:id="210" w:name="_Toc184312098"/>
      <w:bookmarkEnd w:id="210"/>
      <w:bookmarkStart w:id="211" w:name="_Toc184314445"/>
      <w:bookmarkEnd w:id="211"/>
      <w:bookmarkStart w:id="212" w:name="_Toc184310294"/>
      <w:bookmarkEnd w:id="212"/>
      <w:bookmarkStart w:id="213" w:name="_Toc184310325"/>
      <w:bookmarkEnd w:id="213"/>
      <w:bookmarkStart w:id="214" w:name="_Toc184313285"/>
      <w:bookmarkEnd w:id="214"/>
      <w:bookmarkStart w:id="215" w:name="_Toc184312109"/>
      <w:bookmarkEnd w:id="215"/>
      <w:bookmarkStart w:id="216" w:name="_Toc184314463"/>
      <w:bookmarkEnd w:id="216"/>
      <w:bookmarkStart w:id="217" w:name="_Toc184314413"/>
      <w:bookmarkEnd w:id="217"/>
      <w:bookmarkStart w:id="218" w:name="_Toc184308044"/>
      <w:bookmarkEnd w:id="218"/>
      <w:bookmarkStart w:id="219" w:name="_Toc184310281"/>
      <w:bookmarkEnd w:id="219"/>
      <w:bookmarkStart w:id="220" w:name="_Toc184310344"/>
      <w:bookmarkEnd w:id="220"/>
      <w:bookmarkStart w:id="221" w:name="_Toc184312071"/>
      <w:bookmarkEnd w:id="221"/>
      <w:bookmarkStart w:id="222" w:name="_Toc184312133"/>
      <w:bookmarkEnd w:id="222"/>
      <w:bookmarkStart w:id="223" w:name="_Toc184310292"/>
      <w:bookmarkEnd w:id="223"/>
      <w:bookmarkStart w:id="224" w:name="_Toc184308090"/>
      <w:bookmarkEnd w:id="224"/>
      <w:bookmarkStart w:id="225" w:name="_Toc184313245"/>
      <w:bookmarkEnd w:id="225"/>
      <w:bookmarkStart w:id="226" w:name="_Toc184314471"/>
      <w:bookmarkEnd w:id="226"/>
      <w:bookmarkStart w:id="227" w:name="_Toc184314481"/>
      <w:bookmarkEnd w:id="227"/>
      <w:bookmarkStart w:id="228" w:name="_Toc184310272"/>
      <w:bookmarkEnd w:id="228"/>
      <w:bookmarkStart w:id="229" w:name="_Toc184313253"/>
      <w:bookmarkEnd w:id="229"/>
      <w:bookmarkStart w:id="230" w:name="_Toc184313265"/>
      <w:bookmarkEnd w:id="230"/>
      <w:bookmarkStart w:id="231" w:name="_Toc184313305"/>
      <w:bookmarkEnd w:id="231"/>
      <w:bookmarkStart w:id="232" w:name="_Toc184310288"/>
      <w:bookmarkEnd w:id="232"/>
      <w:bookmarkStart w:id="233" w:name="_Toc184313240"/>
      <w:bookmarkEnd w:id="233"/>
      <w:bookmarkStart w:id="234" w:name="_Toc184313238"/>
      <w:bookmarkEnd w:id="234"/>
      <w:bookmarkStart w:id="235" w:name="_Toc184314421"/>
      <w:bookmarkEnd w:id="235"/>
      <w:bookmarkStart w:id="236" w:name="_Toc184310320"/>
      <w:bookmarkEnd w:id="236"/>
      <w:bookmarkStart w:id="237" w:name="_Toc184308094"/>
      <w:bookmarkEnd w:id="237"/>
      <w:bookmarkStart w:id="238" w:name="_Toc184310289"/>
      <w:bookmarkEnd w:id="238"/>
      <w:bookmarkStart w:id="239" w:name="_Toc184310323"/>
      <w:bookmarkEnd w:id="239"/>
      <w:bookmarkStart w:id="240" w:name="_Toc184312134"/>
      <w:bookmarkEnd w:id="240"/>
      <w:bookmarkStart w:id="241" w:name="_Toc184313286"/>
      <w:bookmarkEnd w:id="241"/>
      <w:bookmarkStart w:id="242" w:name="_Toc184310308"/>
      <w:bookmarkEnd w:id="242"/>
      <w:bookmarkStart w:id="243" w:name="_Toc184313250"/>
      <w:bookmarkEnd w:id="243"/>
      <w:bookmarkStart w:id="244" w:name="_Toc184314478"/>
      <w:bookmarkEnd w:id="244"/>
      <w:bookmarkStart w:id="245" w:name="_Toc184308046"/>
      <w:bookmarkEnd w:id="245"/>
      <w:bookmarkStart w:id="246" w:name="_Toc184313244"/>
      <w:bookmarkEnd w:id="246"/>
      <w:bookmarkStart w:id="247" w:name="_Toc184314465"/>
      <w:bookmarkEnd w:id="247"/>
      <w:bookmarkStart w:id="248" w:name="_Toc184314447"/>
      <w:bookmarkEnd w:id="248"/>
      <w:bookmarkStart w:id="249" w:name="_Toc184312130"/>
      <w:bookmarkEnd w:id="249"/>
      <w:bookmarkStart w:id="250" w:name="_Toc184314475"/>
      <w:bookmarkEnd w:id="250"/>
      <w:bookmarkStart w:id="251" w:name="_Toc184313276"/>
      <w:bookmarkEnd w:id="251"/>
      <w:bookmarkStart w:id="252" w:name="_Toc184310298"/>
      <w:bookmarkEnd w:id="252"/>
      <w:bookmarkStart w:id="253" w:name="_Toc184312116"/>
      <w:bookmarkEnd w:id="253"/>
      <w:bookmarkStart w:id="254" w:name="_Toc184310275"/>
      <w:bookmarkEnd w:id="254"/>
      <w:bookmarkStart w:id="255" w:name="_Toc184312125"/>
      <w:bookmarkEnd w:id="255"/>
      <w:bookmarkStart w:id="256" w:name="_Toc184312086"/>
      <w:bookmarkEnd w:id="256"/>
      <w:bookmarkStart w:id="257" w:name="_Toc184314466"/>
      <w:bookmarkEnd w:id="257"/>
      <w:bookmarkStart w:id="258" w:name="_Toc184314448"/>
      <w:bookmarkEnd w:id="258"/>
      <w:bookmarkStart w:id="259" w:name="_Toc184310291"/>
      <w:bookmarkEnd w:id="259"/>
      <w:bookmarkStart w:id="260" w:name="_Toc184312077"/>
      <w:bookmarkEnd w:id="260"/>
      <w:bookmarkStart w:id="261" w:name="_Toc184308091"/>
      <w:bookmarkEnd w:id="261"/>
      <w:bookmarkStart w:id="262" w:name="_Toc184310318"/>
      <w:bookmarkEnd w:id="262"/>
      <w:bookmarkStart w:id="263" w:name="_Toc184310277"/>
      <w:bookmarkEnd w:id="263"/>
      <w:bookmarkStart w:id="264" w:name="_Toc184314441"/>
      <w:bookmarkEnd w:id="264"/>
      <w:bookmarkStart w:id="265" w:name="_Toc184310304"/>
      <w:bookmarkEnd w:id="265"/>
      <w:bookmarkStart w:id="266" w:name="_Toc184314469"/>
      <w:bookmarkEnd w:id="266"/>
      <w:bookmarkStart w:id="267" w:name="_Toc184313284"/>
      <w:bookmarkEnd w:id="267"/>
      <w:bookmarkStart w:id="268" w:name="_Toc184312137"/>
      <w:bookmarkEnd w:id="268"/>
      <w:bookmarkStart w:id="269" w:name="_Toc184310338"/>
      <w:bookmarkEnd w:id="269"/>
      <w:bookmarkStart w:id="270" w:name="_Toc184313299"/>
      <w:bookmarkEnd w:id="270"/>
      <w:bookmarkStart w:id="271" w:name="_Toc184314422"/>
      <w:bookmarkEnd w:id="271"/>
      <w:bookmarkStart w:id="272" w:name="_Toc184308105"/>
      <w:bookmarkEnd w:id="272"/>
      <w:bookmarkStart w:id="273" w:name="_Toc184312108"/>
      <w:bookmarkEnd w:id="273"/>
      <w:bookmarkStart w:id="274" w:name="_Toc184314449"/>
      <w:bookmarkEnd w:id="274"/>
      <w:bookmarkStart w:id="275" w:name="_Toc184314452"/>
      <w:bookmarkEnd w:id="275"/>
      <w:bookmarkStart w:id="276" w:name="_Toc184314427"/>
      <w:bookmarkEnd w:id="276"/>
      <w:bookmarkStart w:id="277" w:name="_Toc184308078"/>
      <w:bookmarkEnd w:id="277"/>
      <w:bookmarkStart w:id="278" w:name="_Toc184313269"/>
      <w:bookmarkEnd w:id="278"/>
      <w:bookmarkStart w:id="279" w:name="_Toc184308050"/>
      <w:bookmarkEnd w:id="279"/>
      <w:bookmarkStart w:id="280" w:name="_Toc184314439"/>
      <w:bookmarkEnd w:id="280"/>
      <w:bookmarkStart w:id="281" w:name="_Toc184313266"/>
      <w:bookmarkEnd w:id="281"/>
      <w:bookmarkStart w:id="282" w:name="_Toc184308041"/>
      <w:bookmarkEnd w:id="282"/>
      <w:bookmarkStart w:id="283" w:name="_Toc184312085"/>
      <w:bookmarkEnd w:id="283"/>
      <w:bookmarkStart w:id="284" w:name="_Toc184308098"/>
      <w:bookmarkEnd w:id="284"/>
      <w:bookmarkStart w:id="285" w:name="_Toc184313256"/>
      <w:bookmarkEnd w:id="285"/>
      <w:bookmarkStart w:id="286" w:name="_Toc184312118"/>
      <w:bookmarkEnd w:id="286"/>
      <w:bookmarkStart w:id="287" w:name="_Toc184310343"/>
      <w:bookmarkEnd w:id="287"/>
      <w:bookmarkStart w:id="288" w:name="_Toc184314479"/>
      <w:bookmarkEnd w:id="288"/>
      <w:bookmarkStart w:id="289" w:name="_Toc184308106"/>
      <w:bookmarkEnd w:id="289"/>
      <w:bookmarkStart w:id="290" w:name="_Toc184312084"/>
      <w:bookmarkEnd w:id="290"/>
      <w:bookmarkStart w:id="291" w:name="_Toc184313275"/>
      <w:bookmarkEnd w:id="291"/>
      <w:bookmarkStart w:id="292" w:name="_Toc184310274"/>
      <w:bookmarkEnd w:id="292"/>
      <w:bookmarkStart w:id="293" w:name="_Toc184312107"/>
      <w:bookmarkEnd w:id="293"/>
      <w:bookmarkStart w:id="294" w:name="_Toc184310326"/>
      <w:bookmarkEnd w:id="294"/>
      <w:bookmarkStart w:id="295" w:name="_Toc184314467"/>
      <w:bookmarkEnd w:id="295"/>
      <w:bookmarkStart w:id="296" w:name="_Toc184314476"/>
      <w:bookmarkEnd w:id="296"/>
      <w:bookmarkStart w:id="297" w:name="_Toc184313249"/>
      <w:bookmarkEnd w:id="297"/>
      <w:bookmarkStart w:id="298" w:name="_Toc184314455"/>
      <w:bookmarkEnd w:id="298"/>
      <w:bookmarkStart w:id="299" w:name="_Toc184314456"/>
      <w:bookmarkEnd w:id="299"/>
      <w:bookmarkStart w:id="300" w:name="_Toc184310301"/>
      <w:bookmarkEnd w:id="300"/>
      <w:bookmarkStart w:id="301" w:name="_Toc184310321"/>
      <w:bookmarkEnd w:id="301"/>
      <w:bookmarkStart w:id="302" w:name="_Toc184313248"/>
      <w:bookmarkEnd w:id="302"/>
      <w:bookmarkStart w:id="303" w:name="_Toc184314454"/>
      <w:bookmarkEnd w:id="303"/>
      <w:bookmarkStart w:id="304" w:name="_Toc184308074"/>
      <w:bookmarkEnd w:id="304"/>
      <w:bookmarkStart w:id="305" w:name="_Toc184312075"/>
      <w:bookmarkEnd w:id="305"/>
      <w:bookmarkStart w:id="306" w:name="_Toc184314459"/>
      <w:bookmarkEnd w:id="306"/>
      <w:bookmarkStart w:id="307" w:name="_Toc184314464"/>
      <w:bookmarkEnd w:id="307"/>
      <w:bookmarkStart w:id="308" w:name="_Toc184313289"/>
      <w:bookmarkEnd w:id="308"/>
      <w:bookmarkStart w:id="309" w:name="_Toc184310302"/>
      <w:bookmarkEnd w:id="309"/>
      <w:bookmarkStart w:id="310" w:name="_Toc184308039"/>
      <w:bookmarkEnd w:id="310"/>
      <w:bookmarkStart w:id="311" w:name="_Toc184312105"/>
      <w:bookmarkEnd w:id="311"/>
      <w:bookmarkStart w:id="312" w:name="_Toc184314442"/>
      <w:bookmarkEnd w:id="312"/>
      <w:bookmarkStart w:id="313" w:name="_Toc184314461"/>
      <w:bookmarkEnd w:id="313"/>
      <w:bookmarkStart w:id="314" w:name="_Toc184314434"/>
      <w:bookmarkEnd w:id="314"/>
      <w:bookmarkStart w:id="315" w:name="_Toc184313260"/>
      <w:bookmarkEnd w:id="315"/>
      <w:bookmarkStart w:id="316" w:name="_Toc184308064"/>
      <w:bookmarkEnd w:id="316"/>
      <w:bookmarkStart w:id="317" w:name="_Toc184308047"/>
      <w:bookmarkEnd w:id="317"/>
      <w:bookmarkStart w:id="318" w:name="_Toc184308038"/>
      <w:bookmarkEnd w:id="318"/>
      <w:bookmarkStart w:id="319" w:name="_Toc184313309"/>
      <w:bookmarkEnd w:id="319"/>
      <w:bookmarkStart w:id="320" w:name="_Toc184312101"/>
      <w:bookmarkEnd w:id="320"/>
      <w:bookmarkStart w:id="321" w:name="_Toc184313304"/>
      <w:bookmarkEnd w:id="321"/>
      <w:bookmarkStart w:id="322" w:name="_Toc184314437"/>
      <w:bookmarkEnd w:id="322"/>
      <w:bookmarkStart w:id="323" w:name="_Toc184312106"/>
      <w:bookmarkEnd w:id="323"/>
      <w:bookmarkStart w:id="324" w:name="_Toc184313252"/>
      <w:bookmarkEnd w:id="324"/>
      <w:bookmarkStart w:id="325" w:name="_Toc184313243"/>
      <w:bookmarkEnd w:id="325"/>
      <w:bookmarkStart w:id="326" w:name="_Toc184310276"/>
      <w:bookmarkEnd w:id="326"/>
      <w:bookmarkStart w:id="327" w:name="_Toc184308097"/>
      <w:bookmarkEnd w:id="327"/>
      <w:bookmarkStart w:id="328" w:name="_Toc184308037"/>
      <w:bookmarkEnd w:id="328"/>
      <w:bookmarkStart w:id="329" w:name="_Toc184312121"/>
      <w:bookmarkEnd w:id="329"/>
      <w:bookmarkStart w:id="330" w:name="_Toc184312076"/>
      <w:bookmarkEnd w:id="330"/>
      <w:bookmarkStart w:id="331" w:name="_Toc184308055"/>
      <w:bookmarkEnd w:id="331"/>
      <w:bookmarkStart w:id="332" w:name="_Toc184314473"/>
      <w:bookmarkEnd w:id="332"/>
      <w:bookmarkStart w:id="333" w:name="_Toc184310273"/>
      <w:bookmarkEnd w:id="333"/>
      <w:bookmarkStart w:id="334" w:name="_Toc184314412"/>
      <w:bookmarkEnd w:id="334"/>
      <w:bookmarkStart w:id="335" w:name="_Toc184314417"/>
      <w:bookmarkEnd w:id="335"/>
      <w:bookmarkStart w:id="336" w:name="_Toc184308085"/>
      <w:bookmarkEnd w:id="336"/>
      <w:bookmarkStart w:id="337" w:name="_Toc184313271"/>
      <w:bookmarkEnd w:id="337"/>
      <w:bookmarkStart w:id="338" w:name="_Toc184312092"/>
      <w:bookmarkEnd w:id="338"/>
      <w:bookmarkStart w:id="339" w:name="_Toc184314415"/>
      <w:bookmarkEnd w:id="339"/>
      <w:bookmarkStart w:id="340" w:name="_Toc184310296"/>
      <w:bookmarkEnd w:id="340"/>
      <w:bookmarkStart w:id="341" w:name="_Toc184313251"/>
      <w:bookmarkEnd w:id="341"/>
      <w:bookmarkStart w:id="342" w:name="_Toc184308043"/>
      <w:bookmarkEnd w:id="342"/>
      <w:bookmarkStart w:id="343" w:name="_Toc184312135"/>
      <w:bookmarkEnd w:id="343"/>
      <w:bookmarkStart w:id="344" w:name="_Toc184314435"/>
      <w:bookmarkEnd w:id="344"/>
      <w:bookmarkStart w:id="345" w:name="_Toc184314450"/>
      <w:bookmarkEnd w:id="345"/>
      <w:bookmarkStart w:id="346" w:name="_Toc184310278"/>
      <w:bookmarkEnd w:id="346"/>
      <w:bookmarkStart w:id="347" w:name="_Toc184310333"/>
      <w:bookmarkEnd w:id="347"/>
      <w:bookmarkStart w:id="348" w:name="_Toc184310342"/>
      <w:bookmarkEnd w:id="348"/>
      <w:bookmarkStart w:id="349" w:name="_Toc184312094"/>
      <w:bookmarkEnd w:id="349"/>
      <w:bookmarkStart w:id="350" w:name="_Toc184308060"/>
      <w:bookmarkEnd w:id="350"/>
      <w:bookmarkStart w:id="351" w:name="_Toc184308068"/>
      <w:bookmarkEnd w:id="351"/>
      <w:bookmarkStart w:id="352" w:name="_Toc184312129"/>
      <w:bookmarkEnd w:id="352"/>
      <w:bookmarkStart w:id="353" w:name="_Toc184308059"/>
      <w:bookmarkEnd w:id="353"/>
      <w:bookmarkStart w:id="354" w:name="_Toc184312113"/>
      <w:bookmarkEnd w:id="354"/>
      <w:bookmarkStart w:id="355" w:name="_Toc184308075"/>
      <w:bookmarkEnd w:id="355"/>
      <w:bookmarkStart w:id="356" w:name="_Toc184314410"/>
      <w:bookmarkEnd w:id="356"/>
      <w:bookmarkStart w:id="357" w:name="_Toc184308108"/>
      <w:bookmarkEnd w:id="357"/>
      <w:bookmarkStart w:id="358" w:name="_Toc184314423"/>
      <w:bookmarkEnd w:id="358"/>
      <w:bookmarkStart w:id="359" w:name="_Toc184314480"/>
      <w:bookmarkEnd w:id="359"/>
      <w:bookmarkStart w:id="360" w:name="_Toc184310285"/>
      <w:bookmarkEnd w:id="360"/>
      <w:bookmarkStart w:id="361" w:name="_Toc184310340"/>
      <w:bookmarkEnd w:id="361"/>
      <w:bookmarkStart w:id="362" w:name="_Toc184313302"/>
      <w:bookmarkEnd w:id="362"/>
      <w:bookmarkStart w:id="363" w:name="_Toc184308099"/>
      <w:bookmarkEnd w:id="363"/>
      <w:bookmarkStart w:id="364" w:name="_Toc184312111"/>
      <w:bookmarkEnd w:id="364"/>
      <w:bookmarkStart w:id="365" w:name="_Toc184313246"/>
      <w:bookmarkEnd w:id="365"/>
      <w:bookmarkStart w:id="366" w:name="_Toc184308053"/>
      <w:bookmarkEnd w:id="366"/>
      <w:bookmarkStart w:id="367" w:name="_Toc184312110"/>
      <w:bookmarkEnd w:id="367"/>
      <w:bookmarkStart w:id="368" w:name="_Toc184312122"/>
      <w:bookmarkEnd w:id="368"/>
      <w:bookmarkStart w:id="369" w:name="_Toc184312083"/>
      <w:bookmarkEnd w:id="369"/>
      <w:bookmarkStart w:id="370" w:name="_Toc184313281"/>
      <w:bookmarkEnd w:id="370"/>
      <w:bookmarkStart w:id="371" w:name="_Toc184310306"/>
      <w:bookmarkEnd w:id="371"/>
      <w:bookmarkStart w:id="372" w:name="_Toc184313301"/>
      <w:bookmarkEnd w:id="372"/>
      <w:bookmarkStart w:id="373" w:name="_Toc184308072"/>
      <w:bookmarkEnd w:id="373"/>
      <w:bookmarkStart w:id="374" w:name="_Toc184312091"/>
      <w:bookmarkEnd w:id="374"/>
      <w:bookmarkStart w:id="375" w:name="_Toc184312103"/>
      <w:bookmarkEnd w:id="375"/>
      <w:bookmarkStart w:id="376" w:name="_Toc184314416"/>
      <w:bookmarkEnd w:id="376"/>
      <w:bookmarkStart w:id="377" w:name="_Toc184308103"/>
      <w:bookmarkEnd w:id="377"/>
      <w:bookmarkStart w:id="378" w:name="_Toc184314477"/>
      <w:bookmarkEnd w:id="378"/>
      <w:bookmarkStart w:id="379" w:name="_Toc184308045"/>
      <w:bookmarkEnd w:id="379"/>
      <w:bookmarkStart w:id="380" w:name="_Toc184310309"/>
      <w:bookmarkEnd w:id="380"/>
      <w:bookmarkStart w:id="381" w:name="_Toc184308080"/>
      <w:bookmarkEnd w:id="381"/>
      <w:bookmarkStart w:id="382" w:name="_Toc184312072"/>
      <w:bookmarkEnd w:id="382"/>
      <w:bookmarkStart w:id="383" w:name="_Toc184308036"/>
      <w:bookmarkEnd w:id="383"/>
      <w:bookmarkStart w:id="384" w:name="_Toc184308095"/>
      <w:bookmarkEnd w:id="384"/>
      <w:bookmarkStart w:id="385" w:name="_Toc184308061"/>
      <w:bookmarkEnd w:id="385"/>
      <w:bookmarkStart w:id="386" w:name="_Toc184312097"/>
      <w:bookmarkEnd w:id="386"/>
      <w:bookmarkStart w:id="387" w:name="_Toc184310324"/>
      <w:bookmarkEnd w:id="387"/>
      <w:bookmarkStart w:id="388" w:name="_Toc184313254"/>
      <w:bookmarkEnd w:id="388"/>
      <w:bookmarkStart w:id="389" w:name="_Toc184310280"/>
      <w:bookmarkEnd w:id="389"/>
      <w:bookmarkStart w:id="390" w:name="_Toc184313262"/>
      <w:bookmarkEnd w:id="390"/>
      <w:bookmarkStart w:id="391" w:name="_Toc184314411"/>
      <w:bookmarkEnd w:id="391"/>
      <w:bookmarkStart w:id="392" w:name="_Toc184314457"/>
      <w:bookmarkEnd w:id="392"/>
      <w:bookmarkStart w:id="393" w:name="_Toc184314446"/>
      <w:bookmarkEnd w:id="393"/>
      <w:bookmarkStart w:id="394" w:name="_Toc184308049"/>
      <w:bookmarkEnd w:id="394"/>
      <w:bookmarkStart w:id="395" w:name="_Toc184310341"/>
      <w:bookmarkEnd w:id="395"/>
      <w:bookmarkStart w:id="396" w:name="_Toc184314444"/>
      <w:bookmarkEnd w:id="396"/>
      <w:bookmarkStart w:id="397" w:name="_Toc184313273"/>
      <w:bookmarkEnd w:id="397"/>
      <w:bookmarkStart w:id="398" w:name="_Toc184312081"/>
      <w:bookmarkEnd w:id="398"/>
      <w:bookmarkStart w:id="399" w:name="_Toc184310330"/>
      <w:bookmarkEnd w:id="399"/>
      <w:r>
        <w:rPr>
          <w:rFonts w:hint="eastAsia" w:ascii="仿宋" w:hAnsi="仿宋" w:eastAsia="仿宋" w:cs="仿宋_GB2312"/>
          <w:b/>
          <w:color w:val="auto"/>
          <w:sz w:val="36"/>
          <w:szCs w:val="36"/>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pPr>
        <w:pStyle w:val="86"/>
        <w:spacing w:before="0"/>
        <w:ind w:firstLine="602" w:firstLineChars="25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1、本次评标采用综合评分法，总分为100分。</w:t>
      </w:r>
      <w:r>
        <w:rPr>
          <w:rFonts w:hint="eastAsia" w:ascii="仿宋" w:hAnsi="仿宋" w:eastAsia="仿宋" w:cs="仿宋"/>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6"/>
        <w:spacing w:before="0"/>
        <w:ind w:firstLine="600" w:firstLineChars="25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各投标人的综合得分为：投标价格得分+技术商务得分之和，总和为100分，其中：投标价格得分</w:t>
      </w:r>
      <w:r>
        <w:rPr>
          <w:rFonts w:hint="eastAsia" w:ascii="仿宋" w:hAnsi="仿宋" w:eastAsia="仿宋" w:cs="仿宋"/>
          <w:bCs/>
          <w:color w:val="auto"/>
          <w:szCs w:val="24"/>
          <w:highlight w:val="none"/>
          <w:lang w:val="en-US" w:eastAsia="zh-CN"/>
        </w:rPr>
        <w:t>10</w:t>
      </w:r>
      <w:r>
        <w:rPr>
          <w:rFonts w:hint="eastAsia" w:ascii="仿宋" w:hAnsi="仿宋" w:eastAsia="仿宋" w:cs="仿宋"/>
          <w:bCs/>
          <w:color w:val="auto"/>
          <w:szCs w:val="24"/>
          <w:highlight w:val="none"/>
        </w:rPr>
        <w:t>分，商务技术得分</w:t>
      </w:r>
      <w:r>
        <w:rPr>
          <w:rFonts w:hint="eastAsia" w:ascii="仿宋" w:hAnsi="仿宋" w:eastAsia="仿宋" w:cs="仿宋"/>
          <w:bCs/>
          <w:color w:val="auto"/>
          <w:szCs w:val="24"/>
          <w:highlight w:val="none"/>
          <w:lang w:val="en-US" w:eastAsia="zh-CN"/>
        </w:rPr>
        <w:t>90</w:t>
      </w:r>
      <w:r>
        <w:rPr>
          <w:rFonts w:hint="eastAsia" w:ascii="仿宋" w:hAnsi="仿宋" w:eastAsia="仿宋" w:cs="仿宋"/>
          <w:bCs/>
          <w:color w:val="auto"/>
          <w:szCs w:val="24"/>
          <w:highlight w:val="none"/>
        </w:rPr>
        <w:t>分。</w:t>
      </w:r>
    </w:p>
    <w:p>
      <w:pPr>
        <w:numPr>
          <w:ilvl w:val="0"/>
          <w:numId w:val="4"/>
        </w:numPr>
        <w:snapToGrid w:val="0"/>
        <w:spacing w:line="360" w:lineRule="auto"/>
        <w:ind w:firstLine="48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商务、技术评标细则（</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分）</w:t>
      </w:r>
      <w:r>
        <w:rPr>
          <w:rFonts w:hint="eastAsia" w:ascii="仿宋" w:hAnsi="仿宋" w:eastAsia="仿宋" w:cs="仿宋"/>
          <w:b/>
          <w:color w:val="auto"/>
          <w:sz w:val="28"/>
          <w:szCs w:val="28"/>
          <w:highlight w:val="none"/>
        </w:rPr>
        <w:t xml:space="preserve"> </w:t>
      </w:r>
    </w:p>
    <w:p>
      <w:pPr>
        <w:snapToGrid w:val="0"/>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技术分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80分</w:t>
      </w:r>
      <w:r>
        <w:rPr>
          <w:rFonts w:hint="eastAsia" w:ascii="仿宋" w:hAnsi="仿宋" w:eastAsia="仿宋" w:cs="仿宋"/>
          <w:b/>
          <w:color w:val="auto"/>
          <w:sz w:val="24"/>
          <w:szCs w:val="24"/>
          <w:highlight w:val="none"/>
          <w:lang w:eastAsia="zh-CN"/>
        </w:rPr>
        <w:t>）</w:t>
      </w:r>
    </w:p>
    <w:tbl>
      <w:tblPr>
        <w:tblStyle w:val="63"/>
        <w:tblW w:w="9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2"/>
        <w:gridCol w:w="6968"/>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tblHeader/>
          <w:jc w:val="center"/>
        </w:trPr>
        <w:tc>
          <w:tcPr>
            <w:tcW w:w="1682"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c>
          <w:tcPr>
            <w:tcW w:w="6968"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评分细则内容</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5" w:hRule="atLeast"/>
          <w:jc w:val="center"/>
        </w:trPr>
        <w:tc>
          <w:tcPr>
            <w:tcW w:w="1682" w:type="dxa"/>
            <w:vMerge w:val="restart"/>
            <w:noWrap w:val="0"/>
            <w:vAlign w:val="center"/>
          </w:tcPr>
          <w:p>
            <w:pPr>
              <w:pStyle w:val="86"/>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1、项目人员等情况</w:t>
            </w: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本项目拟派项目负责人（40周岁及以下）：具有部队上士及以上退伍军人的得5分，具有部队中士退伍军人的得2分，具有部队下士退伍军人的得1分，就高计取；</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具有保安员证的得1分；获得过优秀士官荣誉证书的得1分；本项最高7分。（在投标文件提供有效证明材料及本单位社保证明扫描件，否则不得分。）</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1682" w:type="dxa"/>
            <w:vMerge w:val="continue"/>
            <w:noWrap w:val="0"/>
            <w:vAlign w:val="top"/>
          </w:tcPr>
          <w:p>
            <w:pPr>
              <w:autoSpaceDE w:val="0"/>
              <w:autoSpaceDN w:val="0"/>
              <w:spacing w:line="360" w:lineRule="auto"/>
              <w:jc w:val="left"/>
              <w:rPr>
                <w:rFonts w:hint="eastAsia" w:ascii="仿宋" w:hAnsi="仿宋" w:eastAsia="仿宋" w:cs="仿宋"/>
                <w:color w:val="auto"/>
                <w:sz w:val="24"/>
                <w:szCs w:val="24"/>
                <w:highlight w:val="none"/>
              </w:rPr>
            </w:pP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②无人机巡查服务：拟派本项目人员中具有民用无人机驾驶员证得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分；（在投标文件提供有效证明材料及本单位社保证明扫描件，否则不得分）</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1682" w:type="dxa"/>
            <w:vMerge w:val="continue"/>
            <w:noWrap w:val="0"/>
            <w:vAlign w:val="top"/>
          </w:tcPr>
          <w:p>
            <w:pPr>
              <w:autoSpaceDE w:val="0"/>
              <w:autoSpaceDN w:val="0"/>
              <w:spacing w:line="360" w:lineRule="auto"/>
              <w:jc w:val="left"/>
              <w:rPr>
                <w:rFonts w:hint="eastAsia" w:ascii="仿宋" w:hAnsi="仿宋" w:eastAsia="仿宋" w:cs="仿宋"/>
                <w:color w:val="auto"/>
                <w:sz w:val="24"/>
                <w:szCs w:val="24"/>
                <w:highlight w:val="none"/>
              </w:rPr>
            </w:pP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③本项目拟派</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人员（35周岁及以下）</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获得过优秀士兵；义务兵或优秀士官证书的退伍军人</w:t>
            </w:r>
            <w:r>
              <w:rPr>
                <w:rFonts w:hint="eastAsia" w:ascii="仿宋" w:hAnsi="仿宋" w:eastAsia="仿宋" w:cs="仿宋"/>
                <w:color w:val="auto"/>
                <w:sz w:val="24"/>
                <w:szCs w:val="24"/>
                <w:highlight w:val="none"/>
              </w:rPr>
              <w:t xml:space="preserve">的退伍军人有一个得2分，最高得6分；（在投标文件中提供有效证明材料及本单位社保证明扫描件、否则不得分。）                                                                                                                                                                                          </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1682" w:type="dxa"/>
            <w:vMerge w:val="continue"/>
            <w:tcBorders>
              <w:bottom w:val="single" w:color="auto" w:sz="4" w:space="0"/>
            </w:tcBorders>
            <w:noWrap w:val="0"/>
            <w:vAlign w:val="top"/>
          </w:tcPr>
          <w:p>
            <w:pPr>
              <w:autoSpaceDE w:val="0"/>
              <w:autoSpaceDN w:val="0"/>
              <w:spacing w:line="360" w:lineRule="auto"/>
              <w:jc w:val="left"/>
              <w:rPr>
                <w:rFonts w:hint="eastAsia" w:ascii="仿宋" w:hAnsi="仿宋" w:eastAsia="仿宋" w:cs="仿宋"/>
                <w:color w:val="auto"/>
                <w:sz w:val="24"/>
                <w:szCs w:val="24"/>
                <w:highlight w:val="none"/>
              </w:rPr>
            </w:pPr>
          </w:p>
        </w:tc>
        <w:tc>
          <w:tcPr>
            <w:tcW w:w="6968"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④本</w:t>
            </w:r>
            <w:r>
              <w:rPr>
                <w:rFonts w:hint="eastAsia" w:ascii="仿宋" w:hAnsi="仿宋" w:eastAsia="仿宋" w:cs="仿宋"/>
                <w:color w:val="auto"/>
                <w:kern w:val="2"/>
                <w:sz w:val="24"/>
                <w:szCs w:val="24"/>
                <w:highlight w:val="none"/>
                <w:lang w:val="en-US" w:eastAsia="zh-CN" w:bidi="ar-SA"/>
              </w:rPr>
              <w:t xml:space="preserve">项目拟派其他人员（35周岁及以下）中：具有保安员三级及以上证书的得2分，同时具有退伍军人证的党员加4分，最高得6分；（在投标文件提供有效证明材料及本单位社保有效证明，否则不得分。）                     </w:t>
            </w:r>
            <w:r>
              <w:rPr>
                <w:rFonts w:hint="eastAsia" w:ascii="仿宋" w:hAnsi="仿宋" w:eastAsia="仿宋" w:cs="仿宋"/>
                <w:color w:val="auto"/>
                <w:sz w:val="24"/>
                <w:szCs w:val="24"/>
                <w:highlight w:val="none"/>
              </w:rPr>
              <w:t xml:space="preserve"> </w:t>
            </w:r>
          </w:p>
          <w:p>
            <w:pPr>
              <w:pStyle w:val="86"/>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（在投标文件中同时提供退伍军人有效证明材料、二代身份证、本单位社保证明扫描件。否则不得分。）</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43" w:hRule="atLeast"/>
          <w:jc w:val="center"/>
        </w:trPr>
        <w:tc>
          <w:tcPr>
            <w:tcW w:w="1682" w:type="dxa"/>
            <w:vMerge w:val="restart"/>
            <w:tcBorders>
              <w:top w:val="single" w:color="auto" w:sz="4" w:space="0"/>
            </w:tcBorders>
            <w:noWrap w:val="0"/>
            <w:vAlign w:val="center"/>
          </w:tcPr>
          <w:p>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2、设备配备情况（日常设备）</w:t>
            </w: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投标人自有日常设备用于本项目情况：</w:t>
            </w:r>
          </w:p>
          <w:p>
            <w:pPr>
              <w:autoSpaceDE w:val="0"/>
              <w:autoSpaceDN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对讲机每人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eastAsia="zh-CN"/>
              </w:rPr>
              <w:t>；</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强光手电筒每人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个；</w:t>
            </w:r>
          </w:p>
          <w:p>
            <w:pPr>
              <w:pStyle w:val="86"/>
              <w:adjustRightInd w:val="0"/>
              <w:snapToGrid w:val="0"/>
              <w:spacing w:before="0" w:line="38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lang w:val="en-US" w:eastAsia="zh-CN"/>
              </w:rPr>
              <w:t>4G可视化终端</w:t>
            </w:r>
            <w:r>
              <w:rPr>
                <w:rFonts w:hint="eastAsia" w:ascii="仿宋" w:hAnsi="仿宋" w:eastAsia="仿宋" w:cs="仿宋"/>
                <w:color w:val="auto"/>
                <w:sz w:val="24"/>
                <w:szCs w:val="24"/>
                <w:highlight w:val="none"/>
              </w:rPr>
              <w:t>每人 1 个，</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个；</w:t>
            </w:r>
          </w:p>
          <w:p>
            <w:pPr>
              <w:pStyle w:val="86"/>
              <w:adjustRightInd w:val="0"/>
              <w:snapToGrid w:val="0"/>
              <w:spacing w:before="0" w:line="38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④4G可视化终端管理软件1套</w:t>
            </w:r>
          </w:p>
          <w:p>
            <w:pPr>
              <w:autoSpaceDE w:val="0"/>
              <w:autoSpaceDN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rPr>
              <w:t>服装装备每人 2 套装</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112套</w:t>
            </w:r>
            <w:r>
              <w:rPr>
                <w:rFonts w:hint="eastAsia" w:ascii="仿宋" w:hAnsi="仿宋" w:eastAsia="仿宋" w:cs="仿宋"/>
                <w:color w:val="auto"/>
                <w:sz w:val="24"/>
                <w:szCs w:val="24"/>
                <w:highlight w:val="none"/>
              </w:rPr>
              <w:t>；</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⑥总质量1.8吨及以上五座电动巡逻车不少于6辆；</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⑦普通二轮巡逻摩托车不少于4辆</w:t>
            </w:r>
          </w:p>
          <w:p>
            <w:pPr>
              <w:autoSpaceDE w:val="0"/>
              <w:autoSpaceDN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部满足得7分，不满足一项扣1分，扣完为止；在此基础上，每增加一辆总质量1.8吨及以上五座电动巡逻车，每辆得2分，最高得4分；每增加一辆普通二轮巡逻摩托车，每辆得1分，最高得2分；没有不得分，本项最高得13分。</w:t>
            </w:r>
          </w:p>
          <w:p>
            <w:pPr>
              <w:pStyle w:val="5"/>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(①②③④</w:t>
            </w:r>
            <w:r>
              <w:rPr>
                <w:rFonts w:hint="eastAsia" w:ascii="仿宋" w:eastAsia="仿宋" w:cs="仿宋"/>
                <w:b w:val="0"/>
                <w:bCs w:val="0"/>
                <w:color w:val="auto"/>
                <w:kern w:val="2"/>
                <w:sz w:val="24"/>
                <w:szCs w:val="24"/>
                <w:highlight w:val="none"/>
                <w:lang w:val="en-US" w:eastAsia="zh-CN" w:bidi="ar-SA"/>
              </w:rPr>
              <w:t>⑤</w:t>
            </w:r>
            <w:r>
              <w:rPr>
                <w:rFonts w:hint="eastAsia" w:ascii="仿宋" w:hAnsi="仿宋" w:eastAsia="仿宋" w:cs="仿宋"/>
                <w:b w:val="0"/>
                <w:bCs w:val="0"/>
                <w:color w:val="auto"/>
                <w:kern w:val="2"/>
                <w:sz w:val="24"/>
                <w:szCs w:val="24"/>
                <w:highlight w:val="none"/>
                <w:lang w:val="en-US" w:eastAsia="zh-CN" w:bidi="ar-SA"/>
              </w:rPr>
              <w:t>须在投标文件中提供</w:t>
            </w:r>
            <w:r>
              <w:rPr>
                <w:rFonts w:hint="eastAsia" w:ascii="仿宋" w:eastAsia="仿宋" w:cs="仿宋"/>
                <w:b w:val="0"/>
                <w:bCs w:val="0"/>
                <w:color w:val="auto"/>
                <w:kern w:val="2"/>
                <w:sz w:val="24"/>
                <w:szCs w:val="24"/>
                <w:highlight w:val="none"/>
                <w:lang w:val="en-US" w:eastAsia="zh-CN" w:bidi="ar-SA"/>
              </w:rPr>
              <w:t>设备</w:t>
            </w:r>
            <w:r>
              <w:rPr>
                <w:rFonts w:hint="eastAsia" w:ascii="仿宋" w:hAnsi="仿宋" w:eastAsia="仿宋" w:cs="仿宋"/>
                <w:b w:val="0"/>
                <w:bCs w:val="0"/>
                <w:color w:val="auto"/>
                <w:kern w:val="2"/>
                <w:sz w:val="24"/>
                <w:szCs w:val="24"/>
                <w:highlight w:val="none"/>
                <w:lang w:val="en-US" w:eastAsia="zh-CN" w:bidi="ar-SA"/>
              </w:rPr>
              <w:t>购买发票扫描件，</w:t>
            </w:r>
          </w:p>
          <w:p>
            <w:pPr>
              <w:pStyle w:val="5"/>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⑥</w:t>
            </w:r>
            <w:r>
              <w:rPr>
                <w:rFonts w:hint="eastAsia" w:ascii="仿宋" w:eastAsia="仿宋" w:cs="仿宋"/>
                <w:b w:val="0"/>
                <w:bCs w:val="0"/>
                <w:color w:val="auto"/>
                <w:kern w:val="2"/>
                <w:sz w:val="24"/>
                <w:szCs w:val="24"/>
                <w:highlight w:val="none"/>
                <w:lang w:val="en-US" w:eastAsia="zh-CN" w:bidi="ar-SA"/>
              </w:rPr>
              <w:t>⑦</w:t>
            </w:r>
            <w:r>
              <w:rPr>
                <w:rFonts w:hint="eastAsia" w:ascii="仿宋" w:hAnsi="仿宋" w:eastAsia="仿宋" w:cs="仿宋"/>
                <w:b w:val="0"/>
                <w:bCs w:val="0"/>
                <w:color w:val="auto"/>
                <w:kern w:val="2"/>
                <w:sz w:val="24"/>
                <w:szCs w:val="24"/>
                <w:highlight w:val="none"/>
                <w:lang w:val="en-US" w:eastAsia="zh-CN" w:bidi="ar-SA"/>
              </w:rPr>
              <w:t>须提供车辆登记证扫描件及车辆行驶证扫描件，车</w:t>
            </w:r>
          </w:p>
          <w:p>
            <w:pPr>
              <w:pStyle w:val="5"/>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龄不超过</w:t>
            </w:r>
            <w:r>
              <w:rPr>
                <w:rFonts w:hint="eastAsia" w:ascii="仿宋" w:eastAsia="仿宋" w:cs="仿宋"/>
                <w:b w:val="0"/>
                <w:bCs w:val="0"/>
                <w:color w:val="auto"/>
                <w:kern w:val="2"/>
                <w:sz w:val="24"/>
                <w:szCs w:val="24"/>
                <w:highlight w:val="none"/>
                <w:lang w:val="en-US" w:eastAsia="zh-CN" w:bidi="ar-SA"/>
              </w:rPr>
              <w:t>5</w:t>
            </w:r>
            <w:r>
              <w:rPr>
                <w:rFonts w:hint="eastAsia" w:ascii="仿宋" w:hAnsi="仿宋" w:eastAsia="仿宋" w:cs="仿宋"/>
                <w:b w:val="0"/>
                <w:bCs w:val="0"/>
                <w:color w:val="auto"/>
                <w:kern w:val="2"/>
                <w:sz w:val="24"/>
                <w:szCs w:val="24"/>
                <w:highlight w:val="none"/>
                <w:lang w:val="en-US" w:eastAsia="zh-CN" w:bidi="ar-SA"/>
              </w:rPr>
              <w:t>年</w:t>
            </w:r>
            <w:r>
              <w:rPr>
                <w:rFonts w:hint="eastAsia" w:asci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t>否则不得分。)租赁的需在投标文件中提供车辆登记证扫描件和租赁合同扫描件，车辆需在2019年1月1日（含）之后购买，时间以车辆登记证为准，租赁期限需覆盖本项目实施全部阶段，否则不得分。)</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.0</w:t>
            </w:r>
          </w:p>
          <w:p>
            <w:pPr>
              <w:pStyle w:val="86"/>
              <w:snapToGrid w:val="0"/>
              <w:spacing w:before="0"/>
              <w:ind w:firstLine="0" w:firstLineChars="0"/>
              <w:jc w:val="both"/>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58" w:hRule="atLeast"/>
          <w:jc w:val="center"/>
        </w:trPr>
        <w:tc>
          <w:tcPr>
            <w:tcW w:w="1682" w:type="dxa"/>
            <w:noWrap w:val="0"/>
            <w:vAlign w:val="top"/>
          </w:tcPr>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3、设备配备情况（应急设备）</w:t>
            </w:r>
          </w:p>
        </w:tc>
        <w:tc>
          <w:tcPr>
            <w:tcW w:w="6968" w:type="dxa"/>
            <w:noWrap w:val="0"/>
            <w:vAlign w:val="center"/>
          </w:tcPr>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投标人自有应急设备用于本项目情况：</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①总质量2吨及以上小型普通客车不少于3辆；</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②总质量3吨及以上十五座中型普通巡逻车不少于1辆；</w:t>
            </w:r>
          </w:p>
          <w:p>
            <w:pPr>
              <w:autoSpaceDE w:val="0"/>
              <w:autoSpaceDN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③总质量2.5吨及以上轻型多用途货车不少于1辆；</w:t>
            </w:r>
          </w:p>
          <w:p>
            <w:pPr>
              <w:autoSpaceDE w:val="0"/>
              <w:autoSpaceDN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全部满足得6分，不满足一项扣2分，扣完为止，本项最高得6分。</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(在投标文件中提供车辆登记证扫描件及车辆行驶证扫描件，</w:t>
            </w:r>
            <w:r>
              <w:rPr>
                <w:rFonts w:hint="eastAsia" w:ascii="仿宋" w:hAnsi="仿宋" w:eastAsia="仿宋" w:cs="仿宋"/>
                <w:color w:val="auto"/>
                <w:sz w:val="24"/>
                <w:szCs w:val="24"/>
                <w:highlight w:val="none"/>
                <w:lang w:eastAsia="zh-CN"/>
              </w:rPr>
              <w:t>车龄不超过</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b w:val="0"/>
                <w:bCs w:val="0"/>
                <w:color w:val="auto"/>
                <w:kern w:val="2"/>
                <w:sz w:val="24"/>
                <w:szCs w:val="24"/>
                <w:highlight w:val="none"/>
                <w:lang w:val="en-US" w:eastAsia="zh-CN" w:bidi="ar-SA"/>
              </w:rPr>
              <w:t>否则不得分。)租赁的需在投标文件中提供车辆登记证扫描件和租赁合同扫描件，车辆需在2019年1月1日（含）之后购买，时间以车辆登记证为准，租赁期限需覆盖本项目实施全部阶段，否则不得分。)</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5" w:hRule="atLeast"/>
          <w:jc w:val="center"/>
        </w:trPr>
        <w:tc>
          <w:tcPr>
            <w:tcW w:w="1682" w:type="dxa"/>
            <w:tcBorders>
              <w:top w:val="single" w:color="auto" w:sz="4" w:space="0"/>
            </w:tcBorders>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4、针对本项目的服务理念</w:t>
            </w:r>
          </w:p>
        </w:tc>
        <w:tc>
          <w:tcPr>
            <w:tcW w:w="6968" w:type="dxa"/>
            <w:noWrap w:val="0"/>
            <w:vAlign w:val="center"/>
          </w:tcPr>
          <w:p>
            <w:pPr>
              <w:pStyle w:val="86"/>
              <w:snapToGrid w:val="0"/>
              <w:spacing w:before="0"/>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针对本项目的服务理念</w:t>
            </w:r>
            <w:r>
              <w:rPr>
                <w:rFonts w:hint="eastAsia" w:ascii="仿宋" w:hAnsi="仿宋" w:eastAsia="仿宋" w:cs="仿宋"/>
                <w:color w:val="auto"/>
                <w:sz w:val="24"/>
                <w:szCs w:val="24"/>
                <w:highlight w:val="none"/>
                <w:lang w:eastAsia="zh-CN"/>
              </w:rPr>
              <w:t>，包括以下内容：</w:t>
            </w:r>
          </w:p>
          <w:p>
            <w:pPr>
              <w:pStyle w:val="86"/>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根据本项目服务特点提出合理的服务理念（</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pStyle w:val="86"/>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提出服务定位、目标（</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对需求的理解进行打分（</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评审标准如下：</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①针对每一点内容阐述，满足采购实施要求得满分</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②针对每一点提供的阐述有欠缺得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③无对应内容或与本项目无关则对应点不得分。</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7" w:hRule="atLeast"/>
          <w:jc w:val="center"/>
        </w:trPr>
        <w:tc>
          <w:tcPr>
            <w:tcW w:w="1682"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5、应急预案</w:t>
            </w:r>
          </w:p>
        </w:tc>
        <w:tc>
          <w:tcPr>
            <w:tcW w:w="6968" w:type="dxa"/>
            <w:noWrap w:val="0"/>
            <w:vAlign w:val="center"/>
          </w:tcPr>
          <w:p>
            <w:pPr>
              <w:pStyle w:val="86"/>
              <w:snapToGrid w:val="0"/>
              <w:spacing w:before="0"/>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针对本项目的应急预案</w:t>
            </w:r>
            <w:r>
              <w:rPr>
                <w:rFonts w:hint="eastAsia" w:ascii="仿宋" w:hAnsi="仿宋" w:eastAsia="仿宋" w:cs="仿宋"/>
                <w:color w:val="auto"/>
                <w:sz w:val="24"/>
                <w:szCs w:val="24"/>
                <w:highlight w:val="none"/>
                <w:lang w:eastAsia="zh-CN"/>
              </w:rPr>
              <w:t>，包括以下内容：</w:t>
            </w:r>
          </w:p>
          <w:p>
            <w:pPr>
              <w:pStyle w:val="86"/>
              <w:numPr>
                <w:ilvl w:val="0"/>
                <w:numId w:val="5"/>
              </w:numPr>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如遇重大突发事件或大型活动、政府重点工作的特色服务响应（</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pStyle w:val="86"/>
              <w:numPr>
                <w:ilvl w:val="0"/>
                <w:numId w:val="5"/>
              </w:numPr>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措施内容（</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评审标准如下：</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①针对每一点内容阐述，满足采购实施要求得满分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②针对每一点提供的阐述有欠缺得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pStyle w:val="86"/>
              <w:numPr>
                <w:ilvl w:val="0"/>
                <w:numId w:val="0"/>
              </w:numPr>
              <w:snapToGrid w:val="0"/>
              <w:spacing w:befor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③无对应内容或与本项目无关则对应点不得分。</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35" w:hRule="atLeast"/>
          <w:jc w:val="center"/>
        </w:trPr>
        <w:tc>
          <w:tcPr>
            <w:tcW w:w="1682"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6、针对本项目的合理化、优化建议</w:t>
            </w:r>
          </w:p>
        </w:tc>
        <w:tc>
          <w:tcPr>
            <w:tcW w:w="6968" w:type="dxa"/>
            <w:noWrap w:val="0"/>
            <w:vAlign w:val="center"/>
          </w:tcPr>
          <w:p>
            <w:pPr>
              <w:pStyle w:val="86"/>
              <w:snapToGrid w:val="0"/>
              <w:spacing w:before="0"/>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针对本项目的合理化、优化建议</w:t>
            </w:r>
            <w:r>
              <w:rPr>
                <w:rFonts w:hint="eastAsia" w:ascii="仿宋" w:hAnsi="仿宋" w:eastAsia="仿宋" w:cs="仿宋"/>
                <w:color w:val="auto"/>
                <w:sz w:val="24"/>
                <w:szCs w:val="24"/>
                <w:highlight w:val="none"/>
                <w:lang w:eastAsia="zh-CN"/>
              </w:rPr>
              <w:t>，包括以下内容：</w:t>
            </w:r>
          </w:p>
          <w:p>
            <w:pPr>
              <w:pStyle w:val="86"/>
              <w:numPr>
                <w:ilvl w:val="0"/>
                <w:numId w:val="6"/>
              </w:numPr>
              <w:snapToGrid w:val="0"/>
              <w:spacing w:before="0"/>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投标人提出的合理化建议：管理制度的优化及考核（</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pStyle w:val="86"/>
              <w:numPr>
                <w:ilvl w:val="0"/>
                <w:numId w:val="6"/>
              </w:numPr>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岗位的设置（</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86"/>
              <w:numPr>
                <w:ilvl w:val="0"/>
                <w:numId w:val="6"/>
              </w:numPr>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编排运营和非运营时段（</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86"/>
              <w:numPr>
                <w:ilvl w:val="0"/>
                <w:numId w:val="6"/>
              </w:numPr>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早及日间和夜间人员力量的配比（</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86"/>
              <w:numPr>
                <w:ilvl w:val="0"/>
                <w:numId w:val="6"/>
              </w:numPr>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合理化建议对项目实施有积极意义（</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具有可行性并有相应的保证措施（</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评审标准如下：</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①针对每一点内容阐述，满足采购实施要求得满分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86"/>
              <w:snapToGrid w:val="0"/>
              <w:spacing w:before="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②针对每一点提供的阐述有欠缺得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pStyle w:val="86"/>
              <w:numPr>
                <w:ilvl w:val="0"/>
                <w:numId w:val="0"/>
              </w:numPr>
              <w:snapToGrid w:val="0"/>
              <w:spacing w:before="0"/>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③无对应内容或与本项目无关则对应点不得分。</w:t>
            </w:r>
          </w:p>
        </w:tc>
        <w:tc>
          <w:tcPr>
            <w:tcW w:w="91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.0</w:t>
            </w:r>
          </w:p>
        </w:tc>
      </w:tr>
    </w:tbl>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商务分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10分</w:t>
      </w:r>
      <w:r>
        <w:rPr>
          <w:rFonts w:hint="eastAsia" w:ascii="仿宋" w:hAnsi="仿宋" w:eastAsia="仿宋" w:cs="仿宋"/>
          <w:b/>
          <w:color w:val="auto"/>
          <w:sz w:val="24"/>
          <w:szCs w:val="24"/>
          <w:highlight w:val="none"/>
          <w:lang w:eastAsia="zh-CN"/>
        </w:rPr>
        <w:t>）</w:t>
      </w:r>
    </w:p>
    <w:tbl>
      <w:tblPr>
        <w:tblStyle w:val="6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1"/>
        <w:gridCol w:w="6982"/>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6" w:hRule="atLeast"/>
          <w:jc w:val="center"/>
        </w:trPr>
        <w:tc>
          <w:tcPr>
            <w:tcW w:w="1511"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c>
          <w:tcPr>
            <w:tcW w:w="6982"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评分细则内容</w:t>
            </w:r>
          </w:p>
        </w:tc>
        <w:tc>
          <w:tcPr>
            <w:tcW w:w="79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511" w:type="dxa"/>
            <w:noWrap w:val="0"/>
            <w:vAlign w:val="center"/>
          </w:tcPr>
          <w:p>
            <w:pPr>
              <w:pStyle w:val="86"/>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1、企业证书</w:t>
            </w:r>
          </w:p>
        </w:tc>
        <w:tc>
          <w:tcPr>
            <w:tcW w:w="6982" w:type="dxa"/>
            <w:noWrap w:val="0"/>
            <w:vAlign w:val="top"/>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投标人具有质量管理体系认证证书、环境管理体系认证证书、职业健康安全管理体系认证证书且在有效期范围内的每项得2分，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最高6分。（在投标文件中提供有效期范围内的认证证书扫描件，否则不得分。）</w:t>
            </w:r>
          </w:p>
        </w:tc>
        <w:tc>
          <w:tcPr>
            <w:tcW w:w="79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4" w:hRule="atLeast"/>
          <w:jc w:val="center"/>
        </w:trPr>
        <w:tc>
          <w:tcPr>
            <w:tcW w:w="1511" w:type="dxa"/>
            <w:noWrap w:val="0"/>
            <w:vAlign w:val="center"/>
          </w:tcPr>
          <w:p>
            <w:pPr>
              <w:pStyle w:val="86"/>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2、类似项目业绩情况</w:t>
            </w:r>
          </w:p>
        </w:tc>
        <w:tc>
          <w:tcPr>
            <w:tcW w:w="6982" w:type="dxa"/>
            <w:noWrap w:val="0"/>
            <w:vAlign w:val="top"/>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投标人承接过（包括在管）的有类似业绩；每提供一个得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分。（在投标文件中提供服务的合同或协议扫描件加盖公章，否则不得分。）</w:t>
            </w:r>
          </w:p>
        </w:tc>
        <w:tc>
          <w:tcPr>
            <w:tcW w:w="793" w:type="dxa"/>
            <w:noWrap w:val="0"/>
            <w:vAlign w:val="center"/>
          </w:tcPr>
          <w:p>
            <w:pPr>
              <w:pStyle w:val="86"/>
              <w:snapToGrid w:val="0"/>
              <w:spacing w:before="0"/>
              <w:ind w:firstLine="0" w:firstLineChars="0"/>
              <w:jc w:val="center"/>
              <w:rPr>
                <w:rFonts w:hint="eastAsia" w:ascii="仿宋" w:hAnsi="仿宋" w:eastAsia="仿宋" w:cs="仿宋"/>
                <w:color w:val="auto"/>
                <w:sz w:val="24"/>
                <w:szCs w:val="24"/>
                <w:highlight w:val="none"/>
              </w:rPr>
            </w:pPr>
          </w:p>
          <w:p>
            <w:pPr>
              <w:pStyle w:val="86"/>
              <w:snapToGrid w:val="0"/>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jc w:val="center"/>
        </w:trPr>
        <w:tc>
          <w:tcPr>
            <w:tcW w:w="1511" w:type="dxa"/>
            <w:noWrap w:val="0"/>
            <w:vAlign w:val="center"/>
          </w:tcPr>
          <w:p>
            <w:pPr>
              <w:pStyle w:val="86"/>
              <w:adjustRightInd w:val="0"/>
              <w:snapToGrid w:val="0"/>
              <w:spacing w:before="0" w:beforeAutospacing="0" w:after="0" w:afterAutospacing="0"/>
              <w:ind w:left="0" w:leftChars="0" w:right="0" w:righ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3、质量服务证书</w:t>
            </w:r>
          </w:p>
        </w:tc>
        <w:tc>
          <w:tcPr>
            <w:tcW w:w="6982" w:type="dxa"/>
            <w:noWrap w:val="0"/>
            <w:vAlign w:val="top"/>
          </w:tcPr>
          <w:p>
            <w:pPr>
              <w:adjustRightInd w:val="0"/>
              <w:snapToGrid w:val="0"/>
              <w:spacing w:before="0" w:beforeAutospacing="0" w:after="0" w:afterAutospacing="0" w:line="36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w:t>
            </w:r>
            <w:r>
              <w:rPr>
                <w:rFonts w:hint="eastAsia" w:ascii="仿宋" w:hAnsi="仿宋" w:eastAsia="仿宋" w:cs="仿宋"/>
                <w:color w:val="auto"/>
                <w:sz w:val="24"/>
                <w:szCs w:val="24"/>
                <w:highlight w:val="none"/>
                <w:lang w:val="en-US" w:eastAsia="zh-CN"/>
              </w:rPr>
              <w:t>标人自2019年1月1日以来（时间以证书或文件落款时间为准），获得县区级（平台）荣誉每个得1分；获得镇街（同等级部门）荣誉每个得0.5分；本项最高得3分。（在投标文件中提供荣誉证书或文件复印件或扫描件加盖公章，否则不得分。）</w:t>
            </w:r>
          </w:p>
        </w:tc>
        <w:tc>
          <w:tcPr>
            <w:tcW w:w="793" w:type="dxa"/>
            <w:noWrap w:val="0"/>
            <w:vAlign w:val="center"/>
          </w:tcPr>
          <w:p>
            <w:pPr>
              <w:pStyle w:val="86"/>
              <w:adjustRightInd w:val="0"/>
              <w:snapToGrid w:val="0"/>
              <w:spacing w:before="0" w:beforeAutospacing="0" w:after="0" w:afterAutospacing="0"/>
              <w:ind w:left="0" w:leftChars="0" w:right="0" w:righ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r>
    </w:tbl>
    <w:p>
      <w:pPr>
        <w:pStyle w:val="963"/>
        <w:rPr>
          <w:rFonts w:hint="eastAsia" w:ascii="仿宋" w:hAnsi="仿宋" w:eastAsia="仿宋" w:cs="仿宋"/>
          <w:color w:val="auto"/>
          <w:highlight w:val="none"/>
        </w:rPr>
      </w:pP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3、商务分+技术分=评标委员会所有成员评分合计数/评标委员会组成人员数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0分）</w:t>
      </w:r>
      <w:r>
        <w:rPr>
          <w:rFonts w:hint="eastAsia" w:ascii="仿宋" w:hAnsi="仿宋" w:eastAsia="仿宋" w:cs="仿宋"/>
          <w:color w:val="auto"/>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价格分=（评标基准价/投标报价）×</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0%×100；</w:t>
      </w:r>
      <w:r>
        <w:rPr>
          <w:rFonts w:hint="eastAsia" w:ascii="仿宋" w:hAnsi="仿宋" w:eastAsia="仿宋" w:cs="仿宋"/>
          <w:b/>
          <w:bCs/>
          <w:color w:val="auto"/>
          <w:sz w:val="24"/>
          <w:highlight w:val="none"/>
          <w:lang w:val="en-US" w:eastAsia="zh-CN"/>
        </w:rPr>
        <w:t>评标过程中，不得去掉报价中的最高报价和最低报价。</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因落实政府采购政策进行价格调整的，以调整后的价格计算评标基准价和投标报价。</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5、投标人评标综合得分=价格分+商务分+技术分</w:t>
      </w:r>
    </w:p>
    <w:p>
      <w:pPr>
        <w:pStyle w:val="964"/>
        <w:snapToGrid w:val="0"/>
        <w:ind w:left="48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注：以上所涉及的证明材料，需提供扫描件制作进投标响应文件内，未提供的不得分。</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报价是中标的一个重要因素，但最低报价不是中标的唯一依据。</w:t>
      </w:r>
    </w:p>
    <w:p>
      <w:pPr>
        <w:snapToGrid w:val="0"/>
        <w:spacing w:line="360" w:lineRule="auto"/>
        <w:rPr>
          <w:rFonts w:ascii="Arial" w:hAnsi="Arial" w:cs="Arial"/>
          <w:color w:val="auto"/>
          <w:sz w:val="20"/>
          <w:szCs w:val="20"/>
          <w:shd w:val="clear" w:color="auto" w:fill="FFFFFF"/>
        </w:rPr>
      </w:pPr>
    </w:p>
    <w:p>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86"/>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20</w:t>
      </w:r>
      <w:r>
        <w:rPr>
          <w:rFonts w:ascii="仿宋" w:hAnsi="仿宋" w:eastAsia="仿宋" w:cs="仿宋"/>
          <w:color w:val="auto"/>
          <w:kern w:val="0"/>
          <w:szCs w:val="24"/>
        </w:rPr>
        <w:t>%的扣除，用扣除后的价格参与评审。接受大中型企业与小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w:t>
      </w:r>
      <w:r>
        <w:rPr>
          <w:rFonts w:hint="eastAsia" w:ascii="仿宋" w:hAnsi="仿宋" w:eastAsia="仿宋" w:cs="仿宋"/>
          <w:color w:val="auto"/>
          <w:kern w:val="0"/>
          <w:szCs w:val="24"/>
          <w:lang w:val="en-US" w:eastAsia="zh-CN"/>
        </w:rPr>
        <w:t>6</w:t>
      </w:r>
      <w:r>
        <w:rPr>
          <w:rFonts w:ascii="仿宋" w:hAnsi="仿宋" w:eastAsia="仿宋" w:cs="仿宋"/>
          <w:color w:val="auto"/>
          <w:kern w:val="0"/>
          <w:szCs w:val="24"/>
        </w:rPr>
        <w:t>%的扣除，用扣除后的价格参加评审。组成联合体或者接受分包的小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86"/>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5"/>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25"/>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25"/>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25"/>
        <w:snapToGrid w:val="0"/>
        <w:spacing w:line="360" w:lineRule="auto"/>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bookmarkEnd w:id="26"/>
      <w:bookmarkStart w:id="400" w:name="第五部分"/>
      <w:bookmarkStart w:id="401" w:name="_Toc86217003"/>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hint="eastAsia" w:ascii="楷体" w:hAnsi="楷体" w:eastAsia="楷体"/>
          <w:color w:val="auto"/>
          <w:sz w:val="24"/>
          <w:highlight w:val="none"/>
        </w:rPr>
      </w:pP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p>
    <w:p>
      <w:pPr>
        <w:spacing w:line="480" w:lineRule="auto"/>
        <w:jc w:val="center"/>
        <w:rPr>
          <w:rFonts w:ascii="楷体" w:hAnsi="楷体" w:eastAsia="楷体"/>
          <w:b/>
          <w:color w:val="auto"/>
          <w:sz w:val="28"/>
          <w:szCs w:val="28"/>
          <w:highlight w:val="none"/>
        </w:rPr>
      </w:pPr>
    </w:p>
    <w:p>
      <w:pPr>
        <w:pStyle w:val="524"/>
        <w:rPr>
          <w:rFonts w:ascii="楷体" w:hAnsi="楷体" w:eastAsia="楷体"/>
          <w:b/>
          <w:color w:val="auto"/>
          <w:sz w:val="28"/>
          <w:szCs w:val="28"/>
          <w:highlight w:val="none"/>
        </w:rPr>
      </w:pPr>
    </w:p>
    <w:p>
      <w:pPr>
        <w:rPr>
          <w:rFonts w:ascii="楷体" w:hAnsi="楷体" w:eastAsia="楷体"/>
          <w:b/>
          <w:color w:val="auto"/>
          <w:sz w:val="28"/>
          <w:szCs w:val="28"/>
          <w:highlight w:val="none"/>
        </w:rPr>
      </w:pPr>
    </w:p>
    <w:p>
      <w:pPr>
        <w:pStyle w:val="524"/>
        <w:rPr>
          <w:color w:val="auto"/>
          <w:highlight w:val="none"/>
        </w:rPr>
      </w:pPr>
    </w:p>
    <w:p>
      <w:pPr>
        <w:spacing w:line="480" w:lineRule="auto"/>
        <w:jc w:val="center"/>
        <w:rPr>
          <w:rFonts w:hint="eastAsia" w:ascii="仿宋" w:hAnsi="仿宋" w:eastAsia="仿宋" w:cs="仿宋_GB2312"/>
          <w:b/>
          <w:color w:val="auto"/>
          <w:sz w:val="36"/>
          <w:szCs w:val="36"/>
          <w:highlight w:val="none"/>
        </w:rPr>
      </w:pPr>
    </w:p>
    <w:p>
      <w:pPr>
        <w:spacing w:line="480" w:lineRule="auto"/>
        <w:jc w:val="center"/>
        <w:rPr>
          <w:rFonts w:hint="eastAsia" w:ascii="仿宋" w:hAnsi="仿宋" w:eastAsia="仿宋" w:cs="仿宋_GB2312"/>
          <w:b/>
          <w:color w:val="auto"/>
          <w:sz w:val="36"/>
          <w:szCs w:val="36"/>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政府采购合同参考范本（以实际签订为准）</w:t>
      </w:r>
    </w:p>
    <w:p>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pStyle w:val="52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4"/>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62"/>
        <w:rPr>
          <w:rFonts w:hint="eastAsia"/>
        </w:rPr>
      </w:pPr>
    </w:p>
    <w:p>
      <w:pPr>
        <w:pStyle w:val="524"/>
        <w:rPr>
          <w:rFonts w:hint="eastAsia" w:ascii="仿宋_GB2312" w:hAnsi="仿宋" w:eastAsia="仿宋_GB2312" w:cs="仿宋_GB2312"/>
          <w:b/>
          <w:color w:val="auto"/>
          <w:sz w:val="36"/>
          <w:szCs w:val="36"/>
          <w:highlight w:val="none"/>
        </w:rPr>
      </w:pPr>
    </w:p>
    <w:p>
      <w:pPr>
        <w:pStyle w:val="34"/>
        <w:snapToGrid w:val="0"/>
        <w:spacing w:line="360" w:lineRule="auto"/>
        <w:jc w:val="center"/>
        <w:rPr>
          <w:rFonts w:hint="eastAsia" w:ascii="宋体" w:hAnsi="宋体" w:eastAsia="宋体" w:cs="宋体"/>
          <w:b/>
          <w:bCs/>
          <w:color w:val="auto"/>
          <w:sz w:val="24"/>
          <w:szCs w:val="24"/>
          <w:highlight w:val="none"/>
        </w:rPr>
      </w:pPr>
      <w:bookmarkStart w:id="402" w:name="_Toc295465365"/>
      <w:bookmarkEnd w:id="402"/>
    </w:p>
    <w:p>
      <w:pPr>
        <w:pStyle w:val="34"/>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（本合同为合同样稿，最终稿由双方协商后确定）</w:t>
      </w:r>
    </w:p>
    <w:p>
      <w:pPr>
        <w:pStyle w:val="34"/>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pStyle w:val="34"/>
        <w:snapToGrid w:val="0"/>
        <w:spacing w:line="360" w:lineRule="auto"/>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p>
    <w:p>
      <w:pPr>
        <w:pStyle w:val="34"/>
        <w:snapToGrid w:val="0"/>
        <w:spacing w:line="6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项目名称：</w:t>
      </w:r>
      <w:r>
        <w:rPr>
          <w:rFonts w:hint="eastAsia" w:hAnsi="宋体" w:cs="宋体"/>
          <w:sz w:val="24"/>
          <w:szCs w:val="24"/>
          <w:lang w:val="en-US" w:eastAsia="zh-CN"/>
        </w:rPr>
        <w:t xml:space="preserve"> </w:t>
      </w:r>
    </w:p>
    <w:p>
      <w:pPr>
        <w:pStyle w:val="34"/>
        <w:snapToGrid w:val="0"/>
        <w:spacing w:line="6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项目编号：</w:t>
      </w:r>
      <w:r>
        <w:rPr>
          <w:rFonts w:hint="eastAsia" w:hAnsi="宋体" w:cs="宋体"/>
          <w:sz w:val="24"/>
          <w:lang w:val="en-US" w:eastAsia="zh-CN"/>
        </w:rPr>
        <w:t xml:space="preserve"> </w:t>
      </w:r>
    </w:p>
    <w:p>
      <w:pPr>
        <w:pStyle w:val="34"/>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甲方：杭州市余杭区人民政府仓前街道办事处</w:t>
      </w:r>
    </w:p>
    <w:p>
      <w:pPr>
        <w:snapToGrid w:val="0"/>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乙方：</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甲、乙双方根据</w:t>
      </w:r>
      <w:r>
        <w:rPr>
          <w:rFonts w:hint="eastAsia" w:ascii="宋体" w:hAnsi="宋体"/>
          <w:sz w:val="24"/>
          <w:szCs w:val="24"/>
          <w:u w:val="single"/>
          <w:lang w:val="en-US" w:eastAsia="zh-CN"/>
        </w:rPr>
        <w:t xml:space="preserve">                    </w:t>
      </w:r>
      <w:r>
        <w:rPr>
          <w:rFonts w:hint="eastAsia" w:ascii="宋体" w:hAnsi="宋体" w:eastAsia="宋体"/>
          <w:color w:val="000000"/>
          <w:sz w:val="24"/>
          <w:lang w:eastAsia="zh-CN"/>
        </w:rPr>
        <w:t>政府采购</w:t>
      </w:r>
      <w:r>
        <w:rPr>
          <w:rFonts w:hint="eastAsia" w:ascii="宋体" w:hAnsi="宋体" w:eastAsia="宋体"/>
          <w:color w:val="000000"/>
          <w:sz w:val="24"/>
          <w:szCs w:val="24"/>
          <w:lang w:eastAsia="zh-CN"/>
        </w:rPr>
        <w:t>公开招标的结果，签署本合同。</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adjustRightInd w:val="0"/>
        <w:snapToGrid w:val="0"/>
        <w:spacing w:line="600" w:lineRule="exact"/>
        <w:ind w:firstLine="480" w:firstLineChars="200"/>
        <w:rPr>
          <w:rFonts w:hint="eastAsia" w:ascii="宋体" w:hAnsi="宋体" w:cs="宋体"/>
          <w:sz w:val="24"/>
        </w:rPr>
      </w:pPr>
      <w:r>
        <w:rPr>
          <w:rFonts w:hint="eastAsia" w:ascii="宋体" w:hAnsi="宋体" w:cs="宋体"/>
          <w:sz w:val="24"/>
          <w:szCs w:val="24"/>
          <w:lang w:val="en-US" w:eastAsia="zh-CN"/>
        </w:rPr>
        <w:t>未来科技城城市管理划转区块城市管理服务外包项目</w:t>
      </w:r>
      <w:r>
        <w:rPr>
          <w:rFonts w:hint="eastAsia" w:ascii="宋体" w:hAnsi="宋体" w:cs="宋体"/>
          <w:sz w:val="24"/>
        </w:rPr>
        <w:t>，具体内容和相关要求详见招标文件“</w:t>
      </w:r>
      <w:r>
        <w:rPr>
          <w:rFonts w:hint="eastAsia" w:ascii="宋体" w:hAnsi="宋体" w:cs="宋体"/>
          <w:kern w:val="0"/>
          <w:sz w:val="24"/>
        </w:rPr>
        <w:t>第三部分——项目技术规范和服务要求”</w:t>
      </w:r>
    </w:p>
    <w:p>
      <w:pPr>
        <w:pStyle w:val="167"/>
        <w:snapToGrid w:val="0"/>
        <w:spacing w:line="600" w:lineRule="exact"/>
        <w:ind w:firstLine="482" w:firstLineChars="200"/>
        <w:rPr>
          <w:rFonts w:ascii="宋体" w:hAnsi="宋体" w:eastAsia="宋体"/>
          <w:sz w:val="24"/>
          <w:szCs w:val="24"/>
          <w:lang w:eastAsia="zh-CN"/>
        </w:rPr>
      </w:pPr>
      <w:r>
        <w:rPr>
          <w:rFonts w:hint="eastAsia" w:ascii="宋体" w:hAnsi="宋体" w:eastAsia="宋体"/>
          <w:b/>
          <w:color w:val="000000"/>
          <w:sz w:val="24"/>
          <w:szCs w:val="24"/>
          <w:lang w:eastAsia="zh-CN"/>
        </w:rPr>
        <w:t>二、</w:t>
      </w:r>
      <w:r>
        <w:rPr>
          <w:rFonts w:hint="eastAsia" w:ascii="宋体" w:hAnsi="宋体" w:eastAsia="宋体"/>
          <w:b/>
          <w:bCs/>
          <w:sz w:val="24"/>
          <w:lang w:eastAsia="zh-CN" w:bidi="en-US"/>
        </w:rPr>
        <w:t>服务时间要求：</w:t>
      </w: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eastAsia="zh-CN"/>
        </w:rPr>
        <w:t>年</w:t>
      </w:r>
      <w:r>
        <w:rPr>
          <w:rFonts w:hint="eastAsia" w:ascii="宋体" w:hAnsi="宋体" w:eastAsia="宋体"/>
          <w:color w:val="auto"/>
          <w:sz w:val="24"/>
          <w:szCs w:val="24"/>
          <w:highlight w:val="none"/>
          <w:lang w:eastAsia="zh-CN"/>
        </w:rPr>
        <w:t>.</w:t>
      </w:r>
    </w:p>
    <w:p>
      <w:pPr>
        <w:pStyle w:val="167"/>
        <w:tabs>
          <w:tab w:val="left" w:pos="3781"/>
        </w:tabs>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三、合同金额</w:t>
      </w:r>
      <w:r>
        <w:rPr>
          <w:rFonts w:hint="eastAsia" w:ascii="宋体" w:hAnsi="宋体" w:eastAsia="宋体"/>
          <w:b/>
          <w:color w:val="000000"/>
          <w:sz w:val="24"/>
          <w:szCs w:val="24"/>
          <w:lang w:eastAsia="zh-CN"/>
        </w:rPr>
        <w:tab/>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标项内容综合单价为人民币（大写）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元），总价为人民币（大写）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元整（￥</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元），其中已包括售后服务等全部费用。本合同执行中相关的一切税费均由乙方负担。</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四、技术资料</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五、知识产权</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六、履约保证金</w:t>
      </w:r>
    </w:p>
    <w:p>
      <w:pPr>
        <w:spacing w:line="600" w:lineRule="exact"/>
        <w:ind w:firstLine="480" w:firstLineChars="200"/>
        <w:rPr>
          <w:rFonts w:hint="eastAsia" w:ascii="宋体" w:hAnsi="宋体" w:cs="宋体"/>
          <w:sz w:val="24"/>
        </w:rPr>
      </w:pPr>
      <w:r>
        <w:rPr>
          <w:rFonts w:hint="eastAsia" w:ascii="宋体" w:hAnsi="宋体" w:cs="宋体"/>
          <w:bCs/>
          <w:sz w:val="24"/>
        </w:rPr>
        <w:t>中标单位在合同签订后支付中标总额</w:t>
      </w:r>
      <w:r>
        <w:rPr>
          <w:rFonts w:hint="eastAsia" w:ascii="宋体" w:hAnsi="宋体" w:cs="宋体"/>
          <w:bCs/>
          <w:sz w:val="24"/>
          <w:lang w:val="en-US" w:eastAsia="zh-CN"/>
        </w:rPr>
        <w:t>1</w:t>
      </w:r>
      <w:r>
        <w:rPr>
          <w:rFonts w:hint="eastAsia" w:ascii="宋体" w:hAnsi="宋体" w:cs="宋体"/>
          <w:bCs/>
          <w:sz w:val="24"/>
        </w:rPr>
        <w:t xml:space="preserve"> %的履约保证金（</w:t>
      </w:r>
      <w:r>
        <w:rPr>
          <w:rFonts w:hint="eastAsia" w:ascii="宋体" w:hAnsi="宋体" w:cs="宋体"/>
          <w:sz w:val="24"/>
        </w:rPr>
        <w:t>以支票、汇票、本票或者金融机构、担保机构出具的保函等非现金形式提交），验收合格后履约保证金自动转为质量保证金，在无质量问题的情况下，质量保证金将在服务期满后无息退还。</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七、转包或分包</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167"/>
        <w:snapToGrid w:val="0"/>
        <w:spacing w:line="600" w:lineRule="exact"/>
        <w:ind w:firstLine="482" w:firstLineChars="200"/>
        <w:rPr>
          <w:rFonts w:hint="eastAsia" w:ascii="宋体" w:hAnsi="宋体" w:eastAsia="宋体"/>
          <w:color w:val="000000"/>
          <w:sz w:val="24"/>
          <w:szCs w:val="24"/>
          <w:lang w:eastAsia="zh-CN"/>
        </w:rPr>
      </w:pPr>
      <w:r>
        <w:rPr>
          <w:rFonts w:hint="eastAsia" w:ascii="宋体" w:hAnsi="宋体" w:eastAsia="宋体"/>
          <w:b/>
          <w:color w:val="000000"/>
          <w:sz w:val="24"/>
          <w:szCs w:val="24"/>
          <w:lang w:eastAsia="zh-CN"/>
        </w:rPr>
        <w:t>八、合同履行时间、履行方式及履行地点</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1、履行时间：    ；</w:t>
      </w:r>
    </w:p>
    <w:p>
      <w:pPr>
        <w:pStyle w:val="167"/>
        <w:snapToGrid w:val="0"/>
        <w:spacing w:line="600" w:lineRule="exact"/>
        <w:ind w:firstLine="480" w:firstLineChars="200"/>
        <w:rPr>
          <w:rFonts w:hint="eastAsia"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履行地点：    。</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九、款项支付</w:t>
      </w:r>
      <w:r>
        <w:rPr>
          <w:rFonts w:hint="eastAsia" w:ascii="宋体" w:hAnsi="宋体"/>
          <w:b/>
          <w:color w:val="000000"/>
          <w:sz w:val="24"/>
          <w:szCs w:val="24"/>
          <w:lang w:eastAsia="zh-CN"/>
        </w:rPr>
        <w:t>：</w:t>
      </w:r>
    </w:p>
    <w:p>
      <w:pPr>
        <w:autoSpaceDE w:val="0"/>
        <w:autoSpaceDN w:val="0"/>
        <w:snapToGrid w:val="0"/>
        <w:spacing w:line="600" w:lineRule="exact"/>
        <w:ind w:firstLine="480" w:firstLineChars="200"/>
        <w:rPr>
          <w:rFonts w:hint="eastAsia" w:ascii="宋体" w:hAnsi="宋体" w:cs="宋体"/>
          <w:b/>
          <w:color w:val="000000"/>
          <w:sz w:val="24"/>
        </w:rPr>
      </w:pPr>
      <w:r>
        <w:rPr>
          <w:rFonts w:hint="eastAsia" w:ascii="宋体" w:hAnsi="宋体" w:cs="宋体"/>
          <w:color w:val="0000FF"/>
          <w:sz w:val="24"/>
          <w:lang w:val="en-US" w:eastAsia="zh-CN"/>
        </w:rPr>
        <w:t xml:space="preserve"> </w:t>
      </w:r>
      <w:r>
        <w:rPr>
          <w:rFonts w:hint="eastAsia" w:ascii="宋体" w:hAnsi="宋体" w:cs="宋体"/>
          <w:b/>
          <w:color w:val="000000"/>
          <w:sz w:val="24"/>
        </w:rPr>
        <w:t>十、税费</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adjustRightInd w:val="0"/>
        <w:snapToGrid w:val="0"/>
        <w:spacing w:line="600" w:lineRule="exact"/>
        <w:rPr>
          <w:rFonts w:hint="eastAsia" w:ascii="宋体" w:hAnsi="宋体" w:cs="宋体"/>
          <w:b/>
          <w:bCs/>
          <w:sz w:val="24"/>
        </w:rPr>
      </w:pPr>
      <w:r>
        <w:rPr>
          <w:rFonts w:hint="eastAsia" w:ascii="宋体" w:hAnsi="宋体" w:cs="宋体"/>
          <w:b/>
          <w:color w:val="000000"/>
          <w:sz w:val="24"/>
        </w:rPr>
        <w:t xml:space="preserve">    十一、</w:t>
      </w:r>
      <w:r>
        <w:rPr>
          <w:rFonts w:hint="eastAsia" w:ascii="宋体" w:hAnsi="宋体" w:cs="宋体"/>
          <w:b/>
          <w:bCs/>
          <w:sz w:val="24"/>
        </w:rPr>
        <w:t>服务要求：</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十二、违约责任</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十三、不可抗力事件处理</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十四、诉讼</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十五、合同生效及其它</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1、合同经双方法定代表人或授权代表签字并加盖单位公章后生效。</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w:t>
      </w:r>
      <w:r>
        <w:rPr>
          <w:rFonts w:hint="eastAsia" w:ascii="宋体" w:hAnsi="宋体" w:cs="宋体"/>
          <w:color w:val="000000"/>
          <w:sz w:val="24"/>
          <w:lang w:val="en-US" w:eastAsia="zh-CN"/>
        </w:rPr>
        <w:t>民法典</w:t>
      </w:r>
      <w:r>
        <w:rPr>
          <w:rFonts w:hint="eastAsia" w:ascii="宋体" w:hAnsi="宋体" w:cs="宋体"/>
          <w:color w:val="000000"/>
          <w:sz w:val="24"/>
        </w:rPr>
        <w:t>》有关条文执行。</w:t>
      </w:r>
    </w:p>
    <w:p>
      <w:pPr>
        <w:pStyle w:val="34"/>
        <w:snapToGrid w:val="0"/>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4、本合同一式六份，甲方、乙方各执二份, 区财政局采购监管科各执一份，具有同等法律效力。</w:t>
      </w:r>
    </w:p>
    <w:p>
      <w:pPr>
        <w:snapToGrid w:val="0"/>
        <w:spacing w:line="600" w:lineRule="exact"/>
        <w:ind w:firstLine="480" w:firstLineChars="200"/>
        <w:rPr>
          <w:rFonts w:hint="eastAsia" w:ascii="宋体" w:hAnsi="宋体" w:cs="宋体"/>
          <w:color w:val="000000"/>
          <w:sz w:val="24"/>
        </w:rPr>
      </w:pP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600" w:lineRule="exact"/>
        <w:rPr>
          <w:rFonts w:hint="eastAsia" w:ascii="宋体" w:hAnsi="宋体" w:cs="宋体"/>
          <w:color w:val="000000"/>
          <w:sz w:val="24"/>
        </w:rPr>
      </w:pPr>
      <w:r>
        <w:rPr>
          <w:rFonts w:hint="eastAsia" w:ascii="宋体" w:hAnsi="宋体" w:cs="宋体"/>
          <w:color w:val="000000"/>
          <w:sz w:val="24"/>
        </w:rPr>
        <w:t xml:space="preserve">    法定代表人：                              法定代表人：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62"/>
        <w:spacing w:line="600" w:lineRule="exact"/>
        <w:ind w:firstLine="5280" w:firstLineChars="2200"/>
        <w:rPr>
          <w:rFonts w:hint="eastAsia" w:ascii="宋体" w:hAnsi="宋体" w:cs="宋体"/>
          <w:color w:val="000000"/>
          <w:sz w:val="24"/>
        </w:rPr>
      </w:pPr>
    </w:p>
    <w:p>
      <w:pPr>
        <w:pStyle w:val="62"/>
        <w:spacing w:line="600" w:lineRule="exact"/>
        <w:ind w:firstLine="5280" w:firstLineChars="2200"/>
        <w:rPr>
          <w:rFonts w:hint="eastAsia" w:ascii="宋体" w:hAnsi="宋体" w:cs="宋体"/>
          <w:sz w:val="24"/>
        </w:rPr>
      </w:pPr>
      <w:r>
        <w:rPr>
          <w:rFonts w:hint="eastAsia" w:ascii="宋体" w:hAnsi="宋体" w:cs="宋体"/>
          <w:color w:val="000000"/>
          <w:sz w:val="24"/>
        </w:rPr>
        <w:t>签订地点：</w:t>
      </w:r>
      <w:r>
        <w:rPr>
          <w:rFonts w:hint="eastAsia" w:ascii="宋体" w:hAnsi="宋体" w:cs="宋体"/>
          <w:sz w:val="24"/>
        </w:rPr>
        <w:t xml:space="preserve">                  </w:t>
      </w:r>
    </w:p>
    <w:p>
      <w:pPr>
        <w:spacing w:line="600" w:lineRule="exact"/>
        <w:jc w:val="center"/>
        <w:rPr>
          <w:rFonts w:hint="eastAsia" w:ascii="宋体" w:hAnsi="宋体" w:cs="宋体"/>
          <w:b/>
          <w:bCs/>
          <w:sz w:val="24"/>
        </w:rPr>
      </w:pPr>
      <w:bookmarkStart w:id="403" w:name="_Toc349721554"/>
      <w:bookmarkStart w:id="404" w:name="_Toc328381300"/>
      <w:bookmarkStart w:id="405" w:name="_Toc339872468"/>
      <w:bookmarkStart w:id="406" w:name="_Toc326765771"/>
      <w:bookmarkStart w:id="407" w:name="_Toc350327365"/>
      <w:r>
        <w:rPr>
          <w:rFonts w:hint="eastAsia" w:ascii="宋体" w:hAnsi="宋体" w:cs="宋体"/>
          <w:b/>
          <w:bCs/>
          <w:sz w:val="24"/>
        </w:rPr>
        <w:t>★ 此仅为合同书样本，中标单位需根据实际情况和采购人签订相应的合同！</w:t>
      </w:r>
      <w:bookmarkEnd w:id="403"/>
      <w:bookmarkEnd w:id="404"/>
      <w:bookmarkEnd w:id="405"/>
      <w:bookmarkEnd w:id="406"/>
      <w:bookmarkEnd w:id="407"/>
    </w:p>
    <w:p>
      <w:pPr>
        <w:snapToGrid w:val="0"/>
        <w:spacing w:line="600" w:lineRule="exact"/>
        <w:rPr>
          <w:rFonts w:hint="eastAsia" w:ascii="宋体" w:hAnsi="宋体" w:cs="宋体"/>
          <w:b/>
          <w:bCs/>
          <w:color w:val="000000"/>
          <w:sz w:val="28"/>
          <w:szCs w:val="28"/>
        </w:rPr>
        <w:sectPr>
          <w:pgSz w:w="11906" w:h="16838"/>
          <w:pgMar w:top="1531" w:right="1304" w:bottom="1531" w:left="1361" w:header="851" w:footer="601" w:gutter="0"/>
          <w:cols w:space="720" w:num="1"/>
          <w:docGrid w:linePitch="312" w:charSpace="0"/>
        </w:sectPr>
      </w:pPr>
    </w:p>
    <w:p>
      <w:pPr>
        <w:spacing w:line="360" w:lineRule="auto"/>
        <w:ind w:left="-420" w:leftChars="-200" w:right="-420" w:rightChars="-200" w:firstLine="480" w:firstLineChars="200"/>
        <w:rPr>
          <w:rFonts w:ascii="仿宋" w:hAnsi="仿宋" w:eastAsia="仿宋"/>
          <w:color w:val="auto"/>
          <w:sz w:val="24"/>
        </w:rPr>
      </w:pPr>
    </w:p>
    <w:p>
      <w:pPr>
        <w:spacing w:line="360" w:lineRule="auto"/>
        <w:ind w:left="-420" w:leftChars="-200" w:right="-420" w:rightChars="-20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400"/>
      <w:r>
        <w:rPr>
          <w:rFonts w:ascii="仿宋" w:hAnsi="仿宋" w:eastAsia="仿宋" w:cs="仿宋_GB2312"/>
          <w:b/>
          <w:color w:val="auto"/>
          <w:sz w:val="36"/>
          <w:szCs w:val="20"/>
        </w:rPr>
        <w:t xml:space="preserve"> </w:t>
      </w:r>
      <w:bookmarkEnd w:id="401"/>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pacing w:line="360" w:lineRule="auto"/>
        <w:ind w:firstLine="480"/>
        <w:jc w:val="left"/>
        <w:rPr>
          <w:rFonts w:ascii="仿宋_GB2312" w:hAnsi="宋体" w:eastAsia="仿宋_GB2312"/>
          <w:color w:val="auto"/>
          <w:sz w:val="24"/>
        </w:rPr>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88"/>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88"/>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hint="eastAsia" w:ascii="仿宋_GB2312" w:hAnsi="仿宋" w:eastAsia="仿宋_GB2312" w:cs="仿宋_GB2312"/>
          <w:b/>
          <w:color w:val="auto"/>
          <w:kern w:val="0"/>
          <w:sz w:val="24"/>
          <w:lang w:val="en-US" w:eastAsia="zh-CN"/>
        </w:rPr>
        <w:t>6</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5"/>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numPr>
          <w:ilvl w:val="0"/>
          <w:numId w:val="7"/>
        </w:numPr>
        <w:spacing w:line="360" w:lineRule="auto"/>
        <w:jc w:val="center"/>
        <w:rPr>
          <w:highlight w:val="none"/>
          <w:lang w:val="zh-CN"/>
        </w:rPr>
      </w:pPr>
      <w:r>
        <w:rPr>
          <w:rFonts w:hint="eastAsia" w:ascii="仿宋_GB2312" w:hAnsi="仿宋" w:eastAsia="仿宋_GB2312" w:cs="仿宋_GB2312"/>
          <w:b/>
          <w:color w:val="auto"/>
          <w:kern w:val="0"/>
          <w:sz w:val="24"/>
          <w:highlight w:val="none"/>
          <w:lang w:val="zh-CN"/>
        </w:rPr>
        <w:t>开标一览表</w:t>
      </w:r>
      <w:r>
        <w:rPr>
          <w:rFonts w:ascii="仿宋_GB2312" w:hAnsi="仿宋" w:eastAsia="仿宋_GB2312" w:cs="仿宋_GB2312"/>
          <w:b/>
          <w:color w:val="auto"/>
          <w:kern w:val="0"/>
          <w:sz w:val="24"/>
          <w:highlight w:val="none"/>
          <w:lang w:val="zh-CN"/>
        </w:rPr>
        <w:t>(单位均为人民币元)</w:t>
      </w:r>
    </w:p>
    <w:tbl>
      <w:tblPr>
        <w:tblStyle w:val="63"/>
        <w:tblW w:w="13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4502"/>
        <w:gridCol w:w="3695"/>
        <w:gridCol w:w="2767"/>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r>
              <w:rPr>
                <w:rFonts w:ascii="等线" w:hAnsi="等线"/>
                <w:sz w:val="18"/>
                <w:szCs w:val="18"/>
                <w:lang w:val="zh-CN"/>
              </w:rPr>
              <w:t>序号</w:t>
            </w:r>
          </w:p>
        </w:tc>
        <w:tc>
          <w:tcPr>
            <w:tcW w:w="4502"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rPr>
            </w:pPr>
            <w:r>
              <w:rPr>
                <w:rFonts w:ascii="等线" w:hAnsi="等线"/>
                <w:sz w:val="18"/>
                <w:szCs w:val="18"/>
                <w:lang w:val="zh-CN"/>
              </w:rPr>
              <w:t>项目</w:t>
            </w:r>
            <w:r>
              <w:rPr>
                <w:rFonts w:hint="eastAsia" w:ascii="等线" w:hAnsi="等线"/>
                <w:sz w:val="18"/>
                <w:szCs w:val="18"/>
              </w:rPr>
              <w:t>名称</w:t>
            </w:r>
          </w:p>
        </w:tc>
        <w:tc>
          <w:tcPr>
            <w:tcW w:w="3695"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rPr>
            </w:pPr>
            <w:r>
              <w:rPr>
                <w:rFonts w:hint="eastAsia"/>
                <w:sz w:val="18"/>
                <w:szCs w:val="18"/>
              </w:rPr>
              <w:t>总报价（元）</w:t>
            </w: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r>
              <w:rPr>
                <w:rFonts w:hint="eastAsia" w:ascii="等线" w:hAnsi="等线"/>
                <w:sz w:val="18"/>
                <w:szCs w:val="18"/>
              </w:rPr>
              <w:t>服务期</w:t>
            </w: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r>
              <w:rPr>
                <w:rFonts w:ascii="等线" w:hAnsi="等线"/>
                <w:sz w:val="18"/>
                <w:szCs w:val="18"/>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1" w:hRule="atLeast"/>
        </w:trPr>
        <w:tc>
          <w:tcPr>
            <w:tcW w:w="391" w:type="dxa"/>
            <w:tcBorders>
              <w:left w:val="single" w:color="000000" w:sz="4" w:space="0"/>
              <w:right w:val="single" w:color="000000" w:sz="4" w:space="0"/>
            </w:tcBorders>
            <w:vAlign w:val="center"/>
          </w:tcPr>
          <w:p>
            <w:pPr>
              <w:jc w:val="center"/>
              <w:rPr>
                <w:rFonts w:ascii="等线" w:hAnsi="等线"/>
                <w:sz w:val="18"/>
                <w:szCs w:val="18"/>
              </w:rPr>
            </w:pPr>
            <w:r>
              <w:rPr>
                <w:rFonts w:hint="eastAsia"/>
                <w:sz w:val="18"/>
                <w:szCs w:val="18"/>
              </w:rPr>
              <w:t>1</w:t>
            </w:r>
          </w:p>
        </w:tc>
        <w:tc>
          <w:tcPr>
            <w:tcW w:w="4502" w:type="dxa"/>
            <w:tcBorders>
              <w:left w:val="single" w:color="000000" w:sz="4" w:space="0"/>
              <w:right w:val="single" w:color="000000" w:sz="4" w:space="0"/>
            </w:tcBorders>
            <w:vAlign w:val="center"/>
          </w:tcPr>
          <w:p>
            <w:pPr>
              <w:jc w:val="center"/>
              <w:rPr>
                <w:rFonts w:ascii="宋体" w:hAnsi="宋体" w:cs="宋体"/>
                <w:sz w:val="18"/>
                <w:szCs w:val="18"/>
              </w:rPr>
            </w:pPr>
          </w:p>
        </w:tc>
        <w:tc>
          <w:tcPr>
            <w:tcW w:w="3695" w:type="dxa"/>
            <w:tcBorders>
              <w:top w:val="single" w:color="000000" w:sz="4" w:space="0"/>
              <w:left w:val="single" w:color="000000" w:sz="4" w:space="0"/>
              <w:right w:val="single" w:color="000000" w:sz="4" w:space="0"/>
            </w:tcBorders>
            <w:vAlign w:val="center"/>
          </w:tcPr>
          <w:p>
            <w:pPr>
              <w:jc w:val="center"/>
              <w:rPr>
                <w:rFonts w:ascii="等线" w:hAnsi="等线"/>
                <w:sz w:val="18"/>
                <w:szCs w:val="18"/>
                <w:lang w:val="zh-CN"/>
              </w:rPr>
            </w:pP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ascii="等线" w:hAnsi="等线"/>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atLeast"/>
        </w:trPr>
        <w:tc>
          <w:tcPr>
            <w:tcW w:w="4893" w:type="dxa"/>
            <w:gridSpan w:val="2"/>
            <w:vMerge w:val="restart"/>
            <w:tcBorders>
              <w:top w:val="single" w:color="000000" w:sz="4" w:space="0"/>
              <w:left w:val="single" w:color="000000" w:sz="4" w:space="0"/>
              <w:bottom w:val="single" w:color="000000" w:sz="4" w:space="0"/>
              <w:right w:val="single" w:color="000000" w:sz="4" w:space="0"/>
            </w:tcBorders>
            <w:vAlign w:val="center"/>
          </w:tcPr>
          <w:p>
            <w:pPr>
              <w:ind w:firstLine="180" w:firstLineChars="100"/>
              <w:jc w:val="left"/>
              <w:rPr>
                <w:rFonts w:ascii="等线" w:hAnsi="等线"/>
                <w:sz w:val="18"/>
                <w:szCs w:val="18"/>
                <w:lang w:val="zh-CN"/>
              </w:rPr>
            </w:pPr>
            <w:r>
              <w:rPr>
                <w:rFonts w:hint="eastAsia" w:ascii="等线" w:hAnsi="等线"/>
                <w:sz w:val="18"/>
                <w:szCs w:val="18"/>
              </w:rPr>
              <w:t>总报价</w:t>
            </w:r>
          </w:p>
        </w:tc>
        <w:tc>
          <w:tcPr>
            <w:tcW w:w="906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sz w:val="18"/>
                <w:szCs w:val="18"/>
                <w:lang w:val="zh-CN"/>
              </w:rPr>
            </w:pPr>
            <w:r>
              <w:rPr>
                <w:rFonts w:ascii="等线" w:hAnsi="等线"/>
                <w:sz w:val="18"/>
                <w:szCs w:val="18"/>
                <w:lang w:val="zh-CN"/>
              </w:rPr>
              <w:t>小写</w:t>
            </w:r>
            <w:r>
              <w:rPr>
                <w:rFonts w:hint="eastAsia"/>
                <w:sz w:val="18"/>
                <w:szCs w:val="18"/>
                <w:lang w:val="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489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sz w:val="18"/>
                <w:szCs w:val="18"/>
                <w:lang w:val="zh-CN"/>
              </w:rPr>
            </w:pPr>
          </w:p>
        </w:tc>
        <w:tc>
          <w:tcPr>
            <w:tcW w:w="906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等线" w:hAnsi="等线"/>
                <w:sz w:val="18"/>
                <w:szCs w:val="18"/>
                <w:lang w:val="zh-CN"/>
              </w:rPr>
            </w:pPr>
            <w:r>
              <w:rPr>
                <w:rFonts w:ascii="等线" w:hAnsi="等线"/>
                <w:sz w:val="18"/>
                <w:szCs w:val="18"/>
                <w:lang w:val="zh-CN"/>
              </w:rPr>
              <w:t>大写</w:t>
            </w:r>
            <w:r>
              <w:rPr>
                <w:rFonts w:hint="eastAsia"/>
                <w:sz w:val="18"/>
                <w:szCs w:val="18"/>
                <w:lang w:val="zh-CN"/>
              </w:rPr>
              <w:t>（元）</w:t>
            </w:r>
          </w:p>
        </w:tc>
      </w:tr>
    </w:tbl>
    <w:p>
      <w:pPr>
        <w:spacing w:line="360" w:lineRule="auto"/>
        <w:ind w:left="-2"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3</w:t>
      </w:r>
      <w:r>
        <w:rPr>
          <w:rFonts w:ascii="仿宋_GB2312" w:hAnsi="仿宋" w:eastAsia="仿宋_GB2312" w:cs="仿宋_GB2312"/>
          <w:color w:val="auto"/>
          <w:kern w:val="0"/>
          <w:sz w:val="24"/>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2"/>
          <w:sz w:val="32"/>
          <w:szCs w:val="32"/>
        </w:rPr>
      </w:pPr>
      <w:r>
        <w:rPr>
          <w:rFonts w:hint="eastAsia" w:ascii="仿宋_GB2312" w:hAnsi="仿宋" w:eastAsia="仿宋_GB2312" w:cs="仿宋_GB2312"/>
          <w:color w:val="auto"/>
          <w:kern w:val="0"/>
          <w:sz w:val="24"/>
          <w:szCs w:val="22"/>
        </w:rPr>
        <w:t>4</w:t>
      </w:r>
      <w:r>
        <w:rPr>
          <w:rFonts w:ascii="仿宋_GB2312" w:hAnsi="仿宋" w:eastAsia="仿宋_GB2312" w:cs="仿宋_GB2312"/>
          <w:color w:val="auto"/>
          <w:kern w:val="0"/>
          <w:sz w:val="24"/>
          <w:szCs w:val="22"/>
          <w:lang w:val="zh-CN"/>
        </w:rPr>
        <w:t>、</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5"/>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5"/>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8" w:name="_Toc465665161"/>
      <w:r>
        <w:rPr>
          <w:rFonts w:hint="eastAsia" w:ascii="仿宋_GB2312" w:hAnsi="仿宋" w:eastAsia="仿宋_GB2312"/>
          <w:color w:val="auto"/>
        </w:rPr>
        <w:t>附件</w:t>
      </w:r>
      <w:bookmarkEnd w:id="408"/>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409" w:name="OLE_LINK13"/>
      <w:bookmarkStart w:id="410" w:name="OLE_LINK14"/>
      <w:r>
        <w:rPr>
          <w:rFonts w:hint="eastAsia" w:ascii="仿宋_GB2312" w:hAnsi="仿宋" w:eastAsia="仿宋_GB2312"/>
          <w:b/>
          <w:color w:val="auto"/>
          <w:spacing w:val="6"/>
          <w:sz w:val="32"/>
          <w:szCs w:val="32"/>
        </w:rPr>
        <w:t>残疾人福利性单位声明函</w:t>
      </w:r>
    </w:p>
    <w:bookmarkEnd w:id="409"/>
    <w:bookmarkEnd w:id="410"/>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color w:val="auto"/>
          <w:lang w:val="en-US"/>
        </w:rPr>
      </w:pPr>
    </w:p>
    <w:p>
      <w:pPr>
        <w:spacing w:line="360" w:lineRule="auto"/>
        <w:ind w:right="420"/>
        <w:rPr>
          <w:color w:val="auto"/>
        </w:rPr>
      </w:pPr>
    </w:p>
    <w:p>
      <w:pPr>
        <w:spacing w:line="360" w:lineRule="auto"/>
        <w:rPr>
          <w:rFonts w:ascii="仿宋" w:hAnsi="仿宋" w:eastAsia="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0"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1" w:name="_Toc36110187"/>
    <w:bookmarkStart w:id="412" w:name="_Toc164085800"/>
    <w:bookmarkStart w:id="413" w:name="_Toc131845147"/>
    <w:bookmarkStart w:id="414" w:name="_Toc91899912"/>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8A338"/>
    <w:multiLevelType w:val="singleLevel"/>
    <w:tmpl w:val="B5A8A338"/>
    <w:lvl w:ilvl="0" w:tentative="0">
      <w:start w:val="1"/>
      <w:numFmt w:val="decimal"/>
      <w:suff w:val="space"/>
      <w:lvlText w:val="%1、"/>
      <w:lvlJc w:val="left"/>
    </w:lvl>
  </w:abstractNum>
  <w:abstractNum w:abstractNumId="1">
    <w:nsid w:val="EDDC7743"/>
    <w:multiLevelType w:val="singleLevel"/>
    <w:tmpl w:val="EDDC7743"/>
    <w:lvl w:ilvl="0" w:tentative="0">
      <w:start w:val="1"/>
      <w:numFmt w:val="decimal"/>
      <w:lvlText w:val="(%1)"/>
      <w:lvlJc w:val="left"/>
      <w:pPr>
        <w:tabs>
          <w:tab w:val="left" w:pos="312"/>
        </w:tabs>
      </w:pPr>
    </w:lvl>
  </w:abstractNum>
  <w:abstractNum w:abstractNumId="2">
    <w:nsid w:val="00000009"/>
    <w:multiLevelType w:val="singleLevel"/>
    <w:tmpl w:val="00000009"/>
    <w:lvl w:ilvl="0" w:tentative="0">
      <w:start w:val="1"/>
      <w:numFmt w:val="upperLetter"/>
      <w:suff w:val="nothing"/>
      <w:lvlText w:val="%1、"/>
      <w:lvlJc w:val="left"/>
    </w:lvl>
  </w:abstractNum>
  <w:abstractNum w:abstractNumId="3">
    <w:nsid w:val="13561D85"/>
    <w:multiLevelType w:val="singleLevel"/>
    <w:tmpl w:val="13561D85"/>
    <w:lvl w:ilvl="0" w:tentative="0">
      <w:start w:val="1"/>
      <w:numFmt w:val="decimal"/>
      <w:lvlText w:val="(%1)"/>
      <w:lvlJc w:val="left"/>
      <w:pPr>
        <w:tabs>
          <w:tab w:val="left" w:pos="312"/>
        </w:tabs>
      </w:pPr>
    </w:lvl>
  </w:abstractNum>
  <w:abstractNum w:abstractNumId="4">
    <w:nsid w:val="1B1A6989"/>
    <w:multiLevelType w:val="singleLevel"/>
    <w:tmpl w:val="1B1A6989"/>
    <w:lvl w:ilvl="0" w:tentative="0">
      <w:start w:val="3"/>
      <w:numFmt w:val="chineseCounting"/>
      <w:suff w:val="nothing"/>
      <w:lvlText w:val="%1、"/>
      <w:lvlJc w:val="left"/>
      <w:rPr>
        <w:rFonts w:hint="eastAsia"/>
      </w:rPr>
    </w:lvl>
  </w:abstractNum>
  <w:abstractNum w:abstractNumId="5">
    <w:nsid w:val="601AB719"/>
    <w:multiLevelType w:val="singleLevel"/>
    <w:tmpl w:val="601AB719"/>
    <w:lvl w:ilvl="0" w:tentative="0">
      <w:start w:val="2"/>
      <w:numFmt w:val="decimal"/>
      <w:suff w:val="nothing"/>
      <w:lvlText w:val="%1、"/>
      <w:lvlJc w:val="left"/>
    </w:lvl>
  </w:abstractNum>
  <w:abstractNum w:abstractNumId="6">
    <w:nsid w:val="7AC06AF6"/>
    <w:multiLevelType w:val="singleLevel"/>
    <w:tmpl w:val="7AC06AF6"/>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Tc1MTljMDA0ZWI0ZjljNTEwZjI5MzUwYjAxOTgifQ=="/>
    <w:docVar w:name="KSO_WPS_MARK_KEY" w:val="ff101ace-08bb-4039-b2ea-6465fa880f3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6F5A"/>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DE2"/>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22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66C"/>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B1C"/>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86064"/>
    <w:rsid w:val="01D55165"/>
    <w:rsid w:val="01DF6BF8"/>
    <w:rsid w:val="01EC2C57"/>
    <w:rsid w:val="026B2E25"/>
    <w:rsid w:val="0274166E"/>
    <w:rsid w:val="02824D4D"/>
    <w:rsid w:val="02BD307A"/>
    <w:rsid w:val="02DC4B10"/>
    <w:rsid w:val="02DD76CE"/>
    <w:rsid w:val="02F36323"/>
    <w:rsid w:val="02F5619C"/>
    <w:rsid w:val="0326446A"/>
    <w:rsid w:val="032D5555"/>
    <w:rsid w:val="036634D2"/>
    <w:rsid w:val="03DD35E4"/>
    <w:rsid w:val="04076900"/>
    <w:rsid w:val="041A5A3B"/>
    <w:rsid w:val="042311BA"/>
    <w:rsid w:val="042B157A"/>
    <w:rsid w:val="0442423B"/>
    <w:rsid w:val="048F763B"/>
    <w:rsid w:val="049F330E"/>
    <w:rsid w:val="04AA775C"/>
    <w:rsid w:val="04AF1889"/>
    <w:rsid w:val="04F66F48"/>
    <w:rsid w:val="04FF037E"/>
    <w:rsid w:val="05251E14"/>
    <w:rsid w:val="05A16594"/>
    <w:rsid w:val="05A7762D"/>
    <w:rsid w:val="060E5941"/>
    <w:rsid w:val="06110FAF"/>
    <w:rsid w:val="06493CA7"/>
    <w:rsid w:val="065A6178"/>
    <w:rsid w:val="065B19FB"/>
    <w:rsid w:val="066F1CF3"/>
    <w:rsid w:val="06930BB8"/>
    <w:rsid w:val="07245D42"/>
    <w:rsid w:val="07264C62"/>
    <w:rsid w:val="0741550F"/>
    <w:rsid w:val="0779354C"/>
    <w:rsid w:val="07B15B08"/>
    <w:rsid w:val="07C12195"/>
    <w:rsid w:val="07FD5BFE"/>
    <w:rsid w:val="08061376"/>
    <w:rsid w:val="08397718"/>
    <w:rsid w:val="08452D77"/>
    <w:rsid w:val="086401F8"/>
    <w:rsid w:val="08751CAA"/>
    <w:rsid w:val="087E4C40"/>
    <w:rsid w:val="08D66AD6"/>
    <w:rsid w:val="08DA33A3"/>
    <w:rsid w:val="08E80F13"/>
    <w:rsid w:val="0906741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17014"/>
    <w:rsid w:val="0AA374A5"/>
    <w:rsid w:val="0AAB7649"/>
    <w:rsid w:val="0ABC5606"/>
    <w:rsid w:val="0B30404E"/>
    <w:rsid w:val="0B4C6C14"/>
    <w:rsid w:val="0B631A88"/>
    <w:rsid w:val="0B683D45"/>
    <w:rsid w:val="0B7F3F11"/>
    <w:rsid w:val="0B884417"/>
    <w:rsid w:val="0BE92BC5"/>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D5294"/>
    <w:rsid w:val="0E6D5D79"/>
    <w:rsid w:val="0E9D0089"/>
    <w:rsid w:val="0EA308A4"/>
    <w:rsid w:val="0EA9219A"/>
    <w:rsid w:val="0EB803EE"/>
    <w:rsid w:val="0EF94D4B"/>
    <w:rsid w:val="0F4958DC"/>
    <w:rsid w:val="0F515DF7"/>
    <w:rsid w:val="0F596BA8"/>
    <w:rsid w:val="0F6248D2"/>
    <w:rsid w:val="0F693536"/>
    <w:rsid w:val="0F7B0511"/>
    <w:rsid w:val="0F7B76D9"/>
    <w:rsid w:val="0F816ACD"/>
    <w:rsid w:val="0F9832DB"/>
    <w:rsid w:val="0FBF3FD2"/>
    <w:rsid w:val="0FBF7FF3"/>
    <w:rsid w:val="102313C5"/>
    <w:rsid w:val="103B2516"/>
    <w:rsid w:val="10646583"/>
    <w:rsid w:val="107D4B15"/>
    <w:rsid w:val="108A3C80"/>
    <w:rsid w:val="10C26171"/>
    <w:rsid w:val="10F33360"/>
    <w:rsid w:val="10FC16EA"/>
    <w:rsid w:val="110F0719"/>
    <w:rsid w:val="110F1D40"/>
    <w:rsid w:val="11266F33"/>
    <w:rsid w:val="118963A1"/>
    <w:rsid w:val="119F00D1"/>
    <w:rsid w:val="11C6522A"/>
    <w:rsid w:val="11E104CC"/>
    <w:rsid w:val="11E20309"/>
    <w:rsid w:val="12255233"/>
    <w:rsid w:val="12530213"/>
    <w:rsid w:val="127723A9"/>
    <w:rsid w:val="12862074"/>
    <w:rsid w:val="12883966"/>
    <w:rsid w:val="129E45B4"/>
    <w:rsid w:val="12D81596"/>
    <w:rsid w:val="130174D9"/>
    <w:rsid w:val="13072A44"/>
    <w:rsid w:val="135F4BE2"/>
    <w:rsid w:val="139B1A0A"/>
    <w:rsid w:val="139D25C7"/>
    <w:rsid w:val="13BF3CE4"/>
    <w:rsid w:val="13CD7A8A"/>
    <w:rsid w:val="13FE4C1C"/>
    <w:rsid w:val="141008D8"/>
    <w:rsid w:val="14125FE6"/>
    <w:rsid w:val="142032EB"/>
    <w:rsid w:val="146D271E"/>
    <w:rsid w:val="14854056"/>
    <w:rsid w:val="14982588"/>
    <w:rsid w:val="149A5AD9"/>
    <w:rsid w:val="14A7619D"/>
    <w:rsid w:val="150536C3"/>
    <w:rsid w:val="150C1963"/>
    <w:rsid w:val="151447A0"/>
    <w:rsid w:val="154A6454"/>
    <w:rsid w:val="156D6A36"/>
    <w:rsid w:val="15762120"/>
    <w:rsid w:val="15B85BF8"/>
    <w:rsid w:val="164147AE"/>
    <w:rsid w:val="166D15EC"/>
    <w:rsid w:val="16A8729C"/>
    <w:rsid w:val="16B33777"/>
    <w:rsid w:val="16BC70A7"/>
    <w:rsid w:val="16C6339E"/>
    <w:rsid w:val="16F21AF1"/>
    <w:rsid w:val="172F2D79"/>
    <w:rsid w:val="17557BEF"/>
    <w:rsid w:val="175E3E19"/>
    <w:rsid w:val="17C90460"/>
    <w:rsid w:val="17D349C1"/>
    <w:rsid w:val="181E739D"/>
    <w:rsid w:val="1830729E"/>
    <w:rsid w:val="186D2442"/>
    <w:rsid w:val="1870062C"/>
    <w:rsid w:val="187049F3"/>
    <w:rsid w:val="18817102"/>
    <w:rsid w:val="18830A15"/>
    <w:rsid w:val="18852B28"/>
    <w:rsid w:val="188B5321"/>
    <w:rsid w:val="195645B9"/>
    <w:rsid w:val="197E141A"/>
    <w:rsid w:val="19932372"/>
    <w:rsid w:val="19A20DD5"/>
    <w:rsid w:val="19AE03F1"/>
    <w:rsid w:val="1A071A03"/>
    <w:rsid w:val="1A1F16AE"/>
    <w:rsid w:val="1A3B5C77"/>
    <w:rsid w:val="1A984BAD"/>
    <w:rsid w:val="1AB8220E"/>
    <w:rsid w:val="1AC07BCE"/>
    <w:rsid w:val="1AE4166C"/>
    <w:rsid w:val="1AE63FE9"/>
    <w:rsid w:val="1AF06CFB"/>
    <w:rsid w:val="1AF11B8D"/>
    <w:rsid w:val="1B11359C"/>
    <w:rsid w:val="1B2A271F"/>
    <w:rsid w:val="1B530544"/>
    <w:rsid w:val="1B713184"/>
    <w:rsid w:val="1BA209CF"/>
    <w:rsid w:val="1BB4777D"/>
    <w:rsid w:val="1BD75AB8"/>
    <w:rsid w:val="1C0459C2"/>
    <w:rsid w:val="1C1B3B4A"/>
    <w:rsid w:val="1C88086E"/>
    <w:rsid w:val="1D266CE1"/>
    <w:rsid w:val="1D383404"/>
    <w:rsid w:val="1D3963AF"/>
    <w:rsid w:val="1D5F4F11"/>
    <w:rsid w:val="1D6A673C"/>
    <w:rsid w:val="1D9247AE"/>
    <w:rsid w:val="1DB567EC"/>
    <w:rsid w:val="1DF51A98"/>
    <w:rsid w:val="1E0C1A8B"/>
    <w:rsid w:val="1E2B0B0E"/>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AA5039"/>
    <w:rsid w:val="21D56769"/>
    <w:rsid w:val="21E52EF3"/>
    <w:rsid w:val="21FB5D7B"/>
    <w:rsid w:val="220B1C3D"/>
    <w:rsid w:val="221D1D20"/>
    <w:rsid w:val="22334A87"/>
    <w:rsid w:val="22501E45"/>
    <w:rsid w:val="22BE6801"/>
    <w:rsid w:val="22CF2CE6"/>
    <w:rsid w:val="233500BF"/>
    <w:rsid w:val="23377FF7"/>
    <w:rsid w:val="23555288"/>
    <w:rsid w:val="236B425F"/>
    <w:rsid w:val="23836192"/>
    <w:rsid w:val="23901F29"/>
    <w:rsid w:val="239C0061"/>
    <w:rsid w:val="23AB72AF"/>
    <w:rsid w:val="23B908A4"/>
    <w:rsid w:val="23C73E77"/>
    <w:rsid w:val="23E95BEF"/>
    <w:rsid w:val="23FD0064"/>
    <w:rsid w:val="245375B0"/>
    <w:rsid w:val="24642C0A"/>
    <w:rsid w:val="24B22173"/>
    <w:rsid w:val="24B95AD9"/>
    <w:rsid w:val="24BE24DA"/>
    <w:rsid w:val="24CF5825"/>
    <w:rsid w:val="24D663E6"/>
    <w:rsid w:val="24D77F2B"/>
    <w:rsid w:val="24FF5147"/>
    <w:rsid w:val="258B00E2"/>
    <w:rsid w:val="25A917A6"/>
    <w:rsid w:val="25B508B9"/>
    <w:rsid w:val="25BE27CC"/>
    <w:rsid w:val="25F74A5C"/>
    <w:rsid w:val="2628662C"/>
    <w:rsid w:val="262D45DE"/>
    <w:rsid w:val="26A53EF9"/>
    <w:rsid w:val="26A94201"/>
    <w:rsid w:val="26AC274F"/>
    <w:rsid w:val="27044A29"/>
    <w:rsid w:val="271D34C8"/>
    <w:rsid w:val="27402404"/>
    <w:rsid w:val="276142BF"/>
    <w:rsid w:val="27783712"/>
    <w:rsid w:val="27907362"/>
    <w:rsid w:val="27950FAC"/>
    <w:rsid w:val="28333E1D"/>
    <w:rsid w:val="28454BD6"/>
    <w:rsid w:val="28455253"/>
    <w:rsid w:val="28551971"/>
    <w:rsid w:val="285B1C53"/>
    <w:rsid w:val="287A0D82"/>
    <w:rsid w:val="289F7086"/>
    <w:rsid w:val="28AD08C0"/>
    <w:rsid w:val="28C32028"/>
    <w:rsid w:val="28CC490F"/>
    <w:rsid w:val="28DE40AA"/>
    <w:rsid w:val="29345E77"/>
    <w:rsid w:val="294C65AD"/>
    <w:rsid w:val="29806583"/>
    <w:rsid w:val="298B3C4C"/>
    <w:rsid w:val="29F26D24"/>
    <w:rsid w:val="2A110E94"/>
    <w:rsid w:val="2A15033F"/>
    <w:rsid w:val="2A1662C1"/>
    <w:rsid w:val="2A1C7367"/>
    <w:rsid w:val="2A2815FA"/>
    <w:rsid w:val="2A563950"/>
    <w:rsid w:val="2A6D6092"/>
    <w:rsid w:val="2A7D76B4"/>
    <w:rsid w:val="2A87594D"/>
    <w:rsid w:val="2ACB46DB"/>
    <w:rsid w:val="2AF36649"/>
    <w:rsid w:val="2B437463"/>
    <w:rsid w:val="2B7807EE"/>
    <w:rsid w:val="2BA77A65"/>
    <w:rsid w:val="2BBF00EC"/>
    <w:rsid w:val="2BC37CFD"/>
    <w:rsid w:val="2BD5237F"/>
    <w:rsid w:val="2BE536CE"/>
    <w:rsid w:val="2BE758D9"/>
    <w:rsid w:val="2C09049E"/>
    <w:rsid w:val="2C0A653C"/>
    <w:rsid w:val="2C191F85"/>
    <w:rsid w:val="2C882884"/>
    <w:rsid w:val="2C9A7A71"/>
    <w:rsid w:val="2CE82D6F"/>
    <w:rsid w:val="2D343236"/>
    <w:rsid w:val="2D593DF3"/>
    <w:rsid w:val="2D9C512F"/>
    <w:rsid w:val="2DD15014"/>
    <w:rsid w:val="2DDE17CF"/>
    <w:rsid w:val="2DF72DE4"/>
    <w:rsid w:val="2E0220AF"/>
    <w:rsid w:val="2E4B082A"/>
    <w:rsid w:val="2E5D4E86"/>
    <w:rsid w:val="2E5D790B"/>
    <w:rsid w:val="2E9A3C18"/>
    <w:rsid w:val="2EBB0FEE"/>
    <w:rsid w:val="2EC63002"/>
    <w:rsid w:val="2EC741AE"/>
    <w:rsid w:val="2F0A6B38"/>
    <w:rsid w:val="2F946CCB"/>
    <w:rsid w:val="2FD25781"/>
    <w:rsid w:val="2FE63F0E"/>
    <w:rsid w:val="2FFD7934"/>
    <w:rsid w:val="30733ACD"/>
    <w:rsid w:val="308C3862"/>
    <w:rsid w:val="309379D8"/>
    <w:rsid w:val="30A270F7"/>
    <w:rsid w:val="30DF1478"/>
    <w:rsid w:val="30EC586F"/>
    <w:rsid w:val="315471D8"/>
    <w:rsid w:val="319C6071"/>
    <w:rsid w:val="31AC537E"/>
    <w:rsid w:val="31D03037"/>
    <w:rsid w:val="31E3679B"/>
    <w:rsid w:val="31E732FD"/>
    <w:rsid w:val="32517576"/>
    <w:rsid w:val="32A3195A"/>
    <w:rsid w:val="32BE5C2C"/>
    <w:rsid w:val="32FB6478"/>
    <w:rsid w:val="33263B3F"/>
    <w:rsid w:val="33414531"/>
    <w:rsid w:val="336963EB"/>
    <w:rsid w:val="33816EEB"/>
    <w:rsid w:val="339977CD"/>
    <w:rsid w:val="33C514B8"/>
    <w:rsid w:val="33E730A9"/>
    <w:rsid w:val="33EB55CD"/>
    <w:rsid w:val="33EC4C02"/>
    <w:rsid w:val="340D2360"/>
    <w:rsid w:val="3410665D"/>
    <w:rsid w:val="34211214"/>
    <w:rsid w:val="342E63AB"/>
    <w:rsid w:val="347545A1"/>
    <w:rsid w:val="34950E68"/>
    <w:rsid w:val="34986E94"/>
    <w:rsid w:val="34AF62C9"/>
    <w:rsid w:val="34CB4388"/>
    <w:rsid w:val="34FA6E12"/>
    <w:rsid w:val="3562342B"/>
    <w:rsid w:val="358D225B"/>
    <w:rsid w:val="358D5588"/>
    <w:rsid w:val="35FE6F21"/>
    <w:rsid w:val="361C403D"/>
    <w:rsid w:val="363A3B40"/>
    <w:rsid w:val="36497FF3"/>
    <w:rsid w:val="365302AE"/>
    <w:rsid w:val="36607A0A"/>
    <w:rsid w:val="366E227C"/>
    <w:rsid w:val="366F2E0D"/>
    <w:rsid w:val="367B6A5C"/>
    <w:rsid w:val="368E003D"/>
    <w:rsid w:val="36A74ADA"/>
    <w:rsid w:val="36AD60D5"/>
    <w:rsid w:val="36B224F9"/>
    <w:rsid w:val="36EC0CC9"/>
    <w:rsid w:val="36F2076C"/>
    <w:rsid w:val="373F410B"/>
    <w:rsid w:val="37A22739"/>
    <w:rsid w:val="37EE7094"/>
    <w:rsid w:val="38296C89"/>
    <w:rsid w:val="383002EB"/>
    <w:rsid w:val="384D4981"/>
    <w:rsid w:val="38586797"/>
    <w:rsid w:val="388E4C55"/>
    <w:rsid w:val="38BC0149"/>
    <w:rsid w:val="38D87D1C"/>
    <w:rsid w:val="392901C4"/>
    <w:rsid w:val="39636459"/>
    <w:rsid w:val="396B7F6C"/>
    <w:rsid w:val="39967F38"/>
    <w:rsid w:val="39B417A9"/>
    <w:rsid w:val="39FB0B42"/>
    <w:rsid w:val="39FC5695"/>
    <w:rsid w:val="3A006D8E"/>
    <w:rsid w:val="3A3651E5"/>
    <w:rsid w:val="3A744481"/>
    <w:rsid w:val="3A86417A"/>
    <w:rsid w:val="3A8C7BEF"/>
    <w:rsid w:val="3A906246"/>
    <w:rsid w:val="3B2349B7"/>
    <w:rsid w:val="3B616CFF"/>
    <w:rsid w:val="3B6259F6"/>
    <w:rsid w:val="3B976654"/>
    <w:rsid w:val="3BC01EFC"/>
    <w:rsid w:val="3BCA4D01"/>
    <w:rsid w:val="3BCA786A"/>
    <w:rsid w:val="3BD31E2F"/>
    <w:rsid w:val="3BF15831"/>
    <w:rsid w:val="3C105946"/>
    <w:rsid w:val="3C247F37"/>
    <w:rsid w:val="3C3A521C"/>
    <w:rsid w:val="3C471448"/>
    <w:rsid w:val="3C5F759A"/>
    <w:rsid w:val="3C6C525A"/>
    <w:rsid w:val="3CCE23CB"/>
    <w:rsid w:val="3CD17D17"/>
    <w:rsid w:val="3D3C7F39"/>
    <w:rsid w:val="3D440F09"/>
    <w:rsid w:val="3D4504A0"/>
    <w:rsid w:val="3D8726E3"/>
    <w:rsid w:val="3D8734BB"/>
    <w:rsid w:val="3D9A11D4"/>
    <w:rsid w:val="3DA16D89"/>
    <w:rsid w:val="3DA364BE"/>
    <w:rsid w:val="3DC00DEA"/>
    <w:rsid w:val="3DE041CB"/>
    <w:rsid w:val="3E0D48F6"/>
    <w:rsid w:val="3E1868B4"/>
    <w:rsid w:val="3E377251"/>
    <w:rsid w:val="3E42664B"/>
    <w:rsid w:val="3E5A7334"/>
    <w:rsid w:val="3E7B5D6B"/>
    <w:rsid w:val="3E843E66"/>
    <w:rsid w:val="3E8F51FE"/>
    <w:rsid w:val="3E926F87"/>
    <w:rsid w:val="3E9A59DE"/>
    <w:rsid w:val="3EAF4836"/>
    <w:rsid w:val="3EC33DFA"/>
    <w:rsid w:val="3EE21A74"/>
    <w:rsid w:val="3F060E16"/>
    <w:rsid w:val="3F1D1096"/>
    <w:rsid w:val="3F2F0234"/>
    <w:rsid w:val="3F6363FE"/>
    <w:rsid w:val="3F6856B2"/>
    <w:rsid w:val="3F756B8F"/>
    <w:rsid w:val="3F95482B"/>
    <w:rsid w:val="4019356B"/>
    <w:rsid w:val="40592157"/>
    <w:rsid w:val="406E1CAE"/>
    <w:rsid w:val="40794850"/>
    <w:rsid w:val="40A0133A"/>
    <w:rsid w:val="40A560BB"/>
    <w:rsid w:val="40C31A53"/>
    <w:rsid w:val="40FF545D"/>
    <w:rsid w:val="410067C8"/>
    <w:rsid w:val="418F0D2A"/>
    <w:rsid w:val="41BE041A"/>
    <w:rsid w:val="41BF1073"/>
    <w:rsid w:val="41CC0BF5"/>
    <w:rsid w:val="41D01505"/>
    <w:rsid w:val="41F36D83"/>
    <w:rsid w:val="42474939"/>
    <w:rsid w:val="424C3C57"/>
    <w:rsid w:val="425A7FA5"/>
    <w:rsid w:val="42613FF3"/>
    <w:rsid w:val="42660D96"/>
    <w:rsid w:val="428667D2"/>
    <w:rsid w:val="42CD1CE0"/>
    <w:rsid w:val="42E1381E"/>
    <w:rsid w:val="42ED6459"/>
    <w:rsid w:val="42FE58DD"/>
    <w:rsid w:val="43174B3D"/>
    <w:rsid w:val="431E7646"/>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E0C10"/>
    <w:rsid w:val="45AB51CA"/>
    <w:rsid w:val="45C63B94"/>
    <w:rsid w:val="460D2DDA"/>
    <w:rsid w:val="460E7DA5"/>
    <w:rsid w:val="46422483"/>
    <w:rsid w:val="46567018"/>
    <w:rsid w:val="4659254A"/>
    <w:rsid w:val="465B0637"/>
    <w:rsid w:val="465E3F0D"/>
    <w:rsid w:val="466A16E6"/>
    <w:rsid w:val="46893F2B"/>
    <w:rsid w:val="46C4686E"/>
    <w:rsid w:val="4746651A"/>
    <w:rsid w:val="4755115C"/>
    <w:rsid w:val="477B778F"/>
    <w:rsid w:val="478203EC"/>
    <w:rsid w:val="479D37CA"/>
    <w:rsid w:val="47B025FA"/>
    <w:rsid w:val="4809698F"/>
    <w:rsid w:val="4811697D"/>
    <w:rsid w:val="487A3E25"/>
    <w:rsid w:val="488B5503"/>
    <w:rsid w:val="48937E21"/>
    <w:rsid w:val="489A0361"/>
    <w:rsid w:val="48B94FF3"/>
    <w:rsid w:val="48E37AAB"/>
    <w:rsid w:val="48FD4B4C"/>
    <w:rsid w:val="490A68E0"/>
    <w:rsid w:val="490E09AF"/>
    <w:rsid w:val="491055FE"/>
    <w:rsid w:val="494D4895"/>
    <w:rsid w:val="495F5B3E"/>
    <w:rsid w:val="496F77D7"/>
    <w:rsid w:val="497654FD"/>
    <w:rsid w:val="49B64211"/>
    <w:rsid w:val="49F6167F"/>
    <w:rsid w:val="4A064FA0"/>
    <w:rsid w:val="4A16615C"/>
    <w:rsid w:val="4A3B4C29"/>
    <w:rsid w:val="4A4424D7"/>
    <w:rsid w:val="4AB82D0F"/>
    <w:rsid w:val="4AEB7664"/>
    <w:rsid w:val="4AFD7C19"/>
    <w:rsid w:val="4B0567D1"/>
    <w:rsid w:val="4B236AAE"/>
    <w:rsid w:val="4B2D442B"/>
    <w:rsid w:val="4B707271"/>
    <w:rsid w:val="4B9739F7"/>
    <w:rsid w:val="4BCE2A97"/>
    <w:rsid w:val="4BEE2503"/>
    <w:rsid w:val="4C0C4F83"/>
    <w:rsid w:val="4C245A30"/>
    <w:rsid w:val="4C3752D5"/>
    <w:rsid w:val="4CB6685F"/>
    <w:rsid w:val="4CC367FE"/>
    <w:rsid w:val="4CEF6FC4"/>
    <w:rsid w:val="4D077F3C"/>
    <w:rsid w:val="4D123355"/>
    <w:rsid w:val="4D2A3B31"/>
    <w:rsid w:val="4D312C52"/>
    <w:rsid w:val="4D7F5185"/>
    <w:rsid w:val="4D905305"/>
    <w:rsid w:val="4D964A72"/>
    <w:rsid w:val="4D9C1254"/>
    <w:rsid w:val="4D9C6D15"/>
    <w:rsid w:val="4E2E2EAB"/>
    <w:rsid w:val="4E6B086E"/>
    <w:rsid w:val="4E793892"/>
    <w:rsid w:val="4E800872"/>
    <w:rsid w:val="4E9F6498"/>
    <w:rsid w:val="4EC569ED"/>
    <w:rsid w:val="4ED50EA1"/>
    <w:rsid w:val="4EEC050C"/>
    <w:rsid w:val="4F104EC3"/>
    <w:rsid w:val="4F47354A"/>
    <w:rsid w:val="4F4B5F47"/>
    <w:rsid w:val="4F911C54"/>
    <w:rsid w:val="4FC70D1E"/>
    <w:rsid w:val="4FE625E0"/>
    <w:rsid w:val="50037A1D"/>
    <w:rsid w:val="5021480F"/>
    <w:rsid w:val="503C6982"/>
    <w:rsid w:val="50962ECB"/>
    <w:rsid w:val="50A42E38"/>
    <w:rsid w:val="50A4577F"/>
    <w:rsid w:val="50B73D1F"/>
    <w:rsid w:val="50BD5BC9"/>
    <w:rsid w:val="50C11EEE"/>
    <w:rsid w:val="50E25C3F"/>
    <w:rsid w:val="50E97CFC"/>
    <w:rsid w:val="50FA4028"/>
    <w:rsid w:val="510D65B7"/>
    <w:rsid w:val="511157AB"/>
    <w:rsid w:val="511701DF"/>
    <w:rsid w:val="5142540C"/>
    <w:rsid w:val="51722469"/>
    <w:rsid w:val="518832C8"/>
    <w:rsid w:val="51A0432A"/>
    <w:rsid w:val="51A86090"/>
    <w:rsid w:val="51B7396D"/>
    <w:rsid w:val="522E4CC3"/>
    <w:rsid w:val="5244713B"/>
    <w:rsid w:val="52615633"/>
    <w:rsid w:val="529453DF"/>
    <w:rsid w:val="52977FD4"/>
    <w:rsid w:val="52A25790"/>
    <w:rsid w:val="52A96B6F"/>
    <w:rsid w:val="52B45975"/>
    <w:rsid w:val="52D94AA4"/>
    <w:rsid w:val="52EA3A62"/>
    <w:rsid w:val="52F50BB8"/>
    <w:rsid w:val="53097272"/>
    <w:rsid w:val="53281E1B"/>
    <w:rsid w:val="53544462"/>
    <w:rsid w:val="5397158E"/>
    <w:rsid w:val="54013861"/>
    <w:rsid w:val="54487265"/>
    <w:rsid w:val="544D6070"/>
    <w:rsid w:val="54605E1E"/>
    <w:rsid w:val="54B3506A"/>
    <w:rsid w:val="54CA0D16"/>
    <w:rsid w:val="54DD4057"/>
    <w:rsid w:val="54E7490F"/>
    <w:rsid w:val="55047079"/>
    <w:rsid w:val="550764A4"/>
    <w:rsid w:val="550B2BF6"/>
    <w:rsid w:val="55214EB5"/>
    <w:rsid w:val="55364EFD"/>
    <w:rsid w:val="555D4828"/>
    <w:rsid w:val="556772E9"/>
    <w:rsid w:val="557A4C8B"/>
    <w:rsid w:val="558931E1"/>
    <w:rsid w:val="55923347"/>
    <w:rsid w:val="55925180"/>
    <w:rsid w:val="55983B1B"/>
    <w:rsid w:val="55A8376B"/>
    <w:rsid w:val="55DC29B6"/>
    <w:rsid w:val="55DD4241"/>
    <w:rsid w:val="566B6D1E"/>
    <w:rsid w:val="568A395B"/>
    <w:rsid w:val="56DF271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D5C18"/>
    <w:rsid w:val="59F80043"/>
    <w:rsid w:val="5A09252F"/>
    <w:rsid w:val="5A0B2778"/>
    <w:rsid w:val="5A2A7C7B"/>
    <w:rsid w:val="5A3E2560"/>
    <w:rsid w:val="5A3F3F8F"/>
    <w:rsid w:val="5A5D3B6E"/>
    <w:rsid w:val="5A637A76"/>
    <w:rsid w:val="5A6D33BA"/>
    <w:rsid w:val="5A792B1F"/>
    <w:rsid w:val="5A874767"/>
    <w:rsid w:val="5AAD6F28"/>
    <w:rsid w:val="5AD63A24"/>
    <w:rsid w:val="5B2E1A1D"/>
    <w:rsid w:val="5B2F7E1F"/>
    <w:rsid w:val="5B370547"/>
    <w:rsid w:val="5B843A1C"/>
    <w:rsid w:val="5B873E3F"/>
    <w:rsid w:val="5B910A15"/>
    <w:rsid w:val="5BB9746E"/>
    <w:rsid w:val="5BCE136C"/>
    <w:rsid w:val="5C02690E"/>
    <w:rsid w:val="5C196DA7"/>
    <w:rsid w:val="5C2A048C"/>
    <w:rsid w:val="5C80234E"/>
    <w:rsid w:val="5C8A680C"/>
    <w:rsid w:val="5D0C4701"/>
    <w:rsid w:val="5D0F0395"/>
    <w:rsid w:val="5D195B84"/>
    <w:rsid w:val="5D221076"/>
    <w:rsid w:val="5D397964"/>
    <w:rsid w:val="5D5A391C"/>
    <w:rsid w:val="5D5F10C0"/>
    <w:rsid w:val="5D6D350A"/>
    <w:rsid w:val="5D731A74"/>
    <w:rsid w:val="5D891B7B"/>
    <w:rsid w:val="5DAD38EE"/>
    <w:rsid w:val="5E001F37"/>
    <w:rsid w:val="5E006862"/>
    <w:rsid w:val="5E0207B9"/>
    <w:rsid w:val="5E1834A1"/>
    <w:rsid w:val="5E261785"/>
    <w:rsid w:val="5E4A7017"/>
    <w:rsid w:val="5E552BBA"/>
    <w:rsid w:val="5E611C10"/>
    <w:rsid w:val="5EBB6C2E"/>
    <w:rsid w:val="5EBE73CD"/>
    <w:rsid w:val="5EBF5BBD"/>
    <w:rsid w:val="5EFC7377"/>
    <w:rsid w:val="5F06174D"/>
    <w:rsid w:val="5F1514A5"/>
    <w:rsid w:val="5F3A3602"/>
    <w:rsid w:val="5F6277C6"/>
    <w:rsid w:val="5F6D0B1D"/>
    <w:rsid w:val="5F8D0B82"/>
    <w:rsid w:val="5FCC5339"/>
    <w:rsid w:val="5FE34A5B"/>
    <w:rsid w:val="5FE53D24"/>
    <w:rsid w:val="5FFE1E36"/>
    <w:rsid w:val="60232584"/>
    <w:rsid w:val="603A3A47"/>
    <w:rsid w:val="604069F6"/>
    <w:rsid w:val="60431817"/>
    <w:rsid w:val="604918DD"/>
    <w:rsid w:val="607330CE"/>
    <w:rsid w:val="60825176"/>
    <w:rsid w:val="609F2AC4"/>
    <w:rsid w:val="60FA2EE8"/>
    <w:rsid w:val="61054A27"/>
    <w:rsid w:val="610A52BC"/>
    <w:rsid w:val="611D2366"/>
    <w:rsid w:val="61421856"/>
    <w:rsid w:val="615227C4"/>
    <w:rsid w:val="61654E3F"/>
    <w:rsid w:val="6182292A"/>
    <w:rsid w:val="619F7F92"/>
    <w:rsid w:val="61D373F6"/>
    <w:rsid w:val="61F94C26"/>
    <w:rsid w:val="62000E56"/>
    <w:rsid w:val="62195C1C"/>
    <w:rsid w:val="624F3E49"/>
    <w:rsid w:val="62632286"/>
    <w:rsid w:val="62885958"/>
    <w:rsid w:val="62F40B65"/>
    <w:rsid w:val="62FC2CFE"/>
    <w:rsid w:val="63024505"/>
    <w:rsid w:val="635B1DB5"/>
    <w:rsid w:val="63711FED"/>
    <w:rsid w:val="63764BD4"/>
    <w:rsid w:val="63880DDC"/>
    <w:rsid w:val="638D750D"/>
    <w:rsid w:val="63AC6CC0"/>
    <w:rsid w:val="63E071CD"/>
    <w:rsid w:val="63FE1AC0"/>
    <w:rsid w:val="64055776"/>
    <w:rsid w:val="64151D2E"/>
    <w:rsid w:val="64240056"/>
    <w:rsid w:val="643E143A"/>
    <w:rsid w:val="64460E75"/>
    <w:rsid w:val="648B6EEF"/>
    <w:rsid w:val="648F63DB"/>
    <w:rsid w:val="64C158BF"/>
    <w:rsid w:val="64CE2EAA"/>
    <w:rsid w:val="653C3090"/>
    <w:rsid w:val="6578001C"/>
    <w:rsid w:val="65854376"/>
    <w:rsid w:val="658767BE"/>
    <w:rsid w:val="65892531"/>
    <w:rsid w:val="66195831"/>
    <w:rsid w:val="662E75B1"/>
    <w:rsid w:val="66342C2E"/>
    <w:rsid w:val="663E784C"/>
    <w:rsid w:val="668B6A45"/>
    <w:rsid w:val="672F3F24"/>
    <w:rsid w:val="673E055F"/>
    <w:rsid w:val="67551CE3"/>
    <w:rsid w:val="678F2440"/>
    <w:rsid w:val="67A22552"/>
    <w:rsid w:val="67B22DCC"/>
    <w:rsid w:val="67BE71AA"/>
    <w:rsid w:val="67D6379C"/>
    <w:rsid w:val="67D90273"/>
    <w:rsid w:val="67DE5875"/>
    <w:rsid w:val="67E55852"/>
    <w:rsid w:val="67EB1AB4"/>
    <w:rsid w:val="67FA1285"/>
    <w:rsid w:val="68320044"/>
    <w:rsid w:val="68551F4F"/>
    <w:rsid w:val="687C10C9"/>
    <w:rsid w:val="68840C16"/>
    <w:rsid w:val="68876EFB"/>
    <w:rsid w:val="68884654"/>
    <w:rsid w:val="689F444F"/>
    <w:rsid w:val="68B96DBB"/>
    <w:rsid w:val="68CA2805"/>
    <w:rsid w:val="68E85E7D"/>
    <w:rsid w:val="68E937A3"/>
    <w:rsid w:val="693E15D3"/>
    <w:rsid w:val="69627681"/>
    <w:rsid w:val="6977531D"/>
    <w:rsid w:val="69CC2BFF"/>
    <w:rsid w:val="69FD55B8"/>
    <w:rsid w:val="6A0B1C62"/>
    <w:rsid w:val="6A2406C8"/>
    <w:rsid w:val="6A5E4190"/>
    <w:rsid w:val="6ADE0BD1"/>
    <w:rsid w:val="6AE96859"/>
    <w:rsid w:val="6B052A14"/>
    <w:rsid w:val="6B147746"/>
    <w:rsid w:val="6B24787C"/>
    <w:rsid w:val="6B573233"/>
    <w:rsid w:val="6B5B6274"/>
    <w:rsid w:val="6B935D53"/>
    <w:rsid w:val="6B9B4762"/>
    <w:rsid w:val="6BDD159D"/>
    <w:rsid w:val="6C196F71"/>
    <w:rsid w:val="6C226FCB"/>
    <w:rsid w:val="6C280D23"/>
    <w:rsid w:val="6C31226F"/>
    <w:rsid w:val="6C373E8B"/>
    <w:rsid w:val="6C53518A"/>
    <w:rsid w:val="6C552F0B"/>
    <w:rsid w:val="6C8C67B7"/>
    <w:rsid w:val="6C9D744C"/>
    <w:rsid w:val="6CCE6BC1"/>
    <w:rsid w:val="6D167928"/>
    <w:rsid w:val="6D26299B"/>
    <w:rsid w:val="6D4772EC"/>
    <w:rsid w:val="6D9078AF"/>
    <w:rsid w:val="6DAA3FEF"/>
    <w:rsid w:val="6DBC0F97"/>
    <w:rsid w:val="6DC0172B"/>
    <w:rsid w:val="6DCB690C"/>
    <w:rsid w:val="6DCC0B31"/>
    <w:rsid w:val="6DD41A5B"/>
    <w:rsid w:val="6DF43C2E"/>
    <w:rsid w:val="6DF51CA3"/>
    <w:rsid w:val="6E2E4E49"/>
    <w:rsid w:val="6E8335BD"/>
    <w:rsid w:val="6E8E12EF"/>
    <w:rsid w:val="6E972936"/>
    <w:rsid w:val="6EB014B0"/>
    <w:rsid w:val="6EBF1C14"/>
    <w:rsid w:val="6ED446C5"/>
    <w:rsid w:val="6F2A7D94"/>
    <w:rsid w:val="6F7829B2"/>
    <w:rsid w:val="6F8331F1"/>
    <w:rsid w:val="6FAE1A09"/>
    <w:rsid w:val="6FD75BF8"/>
    <w:rsid w:val="6FF21308"/>
    <w:rsid w:val="707723D0"/>
    <w:rsid w:val="70C61FA1"/>
    <w:rsid w:val="70F5661B"/>
    <w:rsid w:val="71360107"/>
    <w:rsid w:val="713B688E"/>
    <w:rsid w:val="71D43752"/>
    <w:rsid w:val="71F1796A"/>
    <w:rsid w:val="72154626"/>
    <w:rsid w:val="72262B5D"/>
    <w:rsid w:val="72283FF7"/>
    <w:rsid w:val="722E7212"/>
    <w:rsid w:val="723A0474"/>
    <w:rsid w:val="725923E4"/>
    <w:rsid w:val="72864BF7"/>
    <w:rsid w:val="729023FC"/>
    <w:rsid w:val="73072CF4"/>
    <w:rsid w:val="73895660"/>
    <w:rsid w:val="738E0349"/>
    <w:rsid w:val="73C0646E"/>
    <w:rsid w:val="742222F5"/>
    <w:rsid w:val="74476126"/>
    <w:rsid w:val="74706664"/>
    <w:rsid w:val="747F3682"/>
    <w:rsid w:val="749C4185"/>
    <w:rsid w:val="75067759"/>
    <w:rsid w:val="752E6DCD"/>
    <w:rsid w:val="753C37D8"/>
    <w:rsid w:val="7551380D"/>
    <w:rsid w:val="75600BE5"/>
    <w:rsid w:val="7564475C"/>
    <w:rsid w:val="7583797F"/>
    <w:rsid w:val="75D20F1D"/>
    <w:rsid w:val="75D2643D"/>
    <w:rsid w:val="75DA2C18"/>
    <w:rsid w:val="75F54412"/>
    <w:rsid w:val="75FA2D4B"/>
    <w:rsid w:val="761D08E0"/>
    <w:rsid w:val="765D347C"/>
    <w:rsid w:val="76826699"/>
    <w:rsid w:val="76C87133"/>
    <w:rsid w:val="76CD08D5"/>
    <w:rsid w:val="76DB4B92"/>
    <w:rsid w:val="76E564A3"/>
    <w:rsid w:val="76F32D85"/>
    <w:rsid w:val="77052AA4"/>
    <w:rsid w:val="77136511"/>
    <w:rsid w:val="77340A39"/>
    <w:rsid w:val="77351FD0"/>
    <w:rsid w:val="77472422"/>
    <w:rsid w:val="777F31F2"/>
    <w:rsid w:val="77D1700D"/>
    <w:rsid w:val="77EC04CC"/>
    <w:rsid w:val="7840679E"/>
    <w:rsid w:val="78775729"/>
    <w:rsid w:val="78A42DB0"/>
    <w:rsid w:val="78A656AB"/>
    <w:rsid w:val="78B2245C"/>
    <w:rsid w:val="78E172CC"/>
    <w:rsid w:val="78EA1D1F"/>
    <w:rsid w:val="7904172F"/>
    <w:rsid w:val="790F7E27"/>
    <w:rsid w:val="792A231A"/>
    <w:rsid w:val="792A58CC"/>
    <w:rsid w:val="79316829"/>
    <w:rsid w:val="797E66A9"/>
    <w:rsid w:val="7996709A"/>
    <w:rsid w:val="79A97383"/>
    <w:rsid w:val="79E27E8B"/>
    <w:rsid w:val="79F850CE"/>
    <w:rsid w:val="79FD443C"/>
    <w:rsid w:val="7A1D1975"/>
    <w:rsid w:val="7A3E5150"/>
    <w:rsid w:val="7A3F3CE5"/>
    <w:rsid w:val="7A4670D6"/>
    <w:rsid w:val="7A534B63"/>
    <w:rsid w:val="7A615382"/>
    <w:rsid w:val="7A67303B"/>
    <w:rsid w:val="7A782649"/>
    <w:rsid w:val="7A8169A5"/>
    <w:rsid w:val="7AAB1D04"/>
    <w:rsid w:val="7ABA4368"/>
    <w:rsid w:val="7AD05746"/>
    <w:rsid w:val="7B257FFD"/>
    <w:rsid w:val="7B343476"/>
    <w:rsid w:val="7B5A2978"/>
    <w:rsid w:val="7B5A7E4C"/>
    <w:rsid w:val="7B667AF9"/>
    <w:rsid w:val="7B7468F8"/>
    <w:rsid w:val="7BA97CB5"/>
    <w:rsid w:val="7BEE0103"/>
    <w:rsid w:val="7C0A0FE4"/>
    <w:rsid w:val="7C254906"/>
    <w:rsid w:val="7C2A748F"/>
    <w:rsid w:val="7C590818"/>
    <w:rsid w:val="7C7663EF"/>
    <w:rsid w:val="7C7C10F6"/>
    <w:rsid w:val="7C853BEA"/>
    <w:rsid w:val="7C881368"/>
    <w:rsid w:val="7CAF4890"/>
    <w:rsid w:val="7CE27788"/>
    <w:rsid w:val="7D0C32F1"/>
    <w:rsid w:val="7D0F408D"/>
    <w:rsid w:val="7D491C6C"/>
    <w:rsid w:val="7D5429C0"/>
    <w:rsid w:val="7D6E6D43"/>
    <w:rsid w:val="7DA33B4B"/>
    <w:rsid w:val="7DB57A34"/>
    <w:rsid w:val="7DE60973"/>
    <w:rsid w:val="7DEF0916"/>
    <w:rsid w:val="7E1E5218"/>
    <w:rsid w:val="7E9A4E1F"/>
    <w:rsid w:val="7EA7723A"/>
    <w:rsid w:val="7EF56FBB"/>
    <w:rsid w:val="7F0768EB"/>
    <w:rsid w:val="7F143BEC"/>
    <w:rsid w:val="7F715AF2"/>
    <w:rsid w:val="7F886E69"/>
    <w:rsid w:val="7FCD2F5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2"/>
    <w:qFormat/>
    <w:uiPriority w:val="0"/>
    <w:pPr>
      <w:ind w:firstLine="420"/>
    </w:pPr>
    <w:rPr>
      <w:rFonts w:hAnsi="Calibri" w:cs="Times New Roman"/>
      <w:szCs w:val="20"/>
    </w:rPr>
  </w:style>
  <w:style w:type="paragraph" w:styleId="7">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5"/>
    <w:qFormat/>
    <w:uiPriority w:val="0"/>
    <w:pPr>
      <w:shd w:val="clear" w:color="auto" w:fill="000080"/>
    </w:pPr>
  </w:style>
  <w:style w:type="paragraph" w:styleId="21">
    <w:name w:val="annotation text"/>
    <w:basedOn w:val="1"/>
    <w:link w:val="853"/>
    <w:qFormat/>
    <w:uiPriority w:val="99"/>
    <w:pPr>
      <w:jc w:val="left"/>
    </w:pPr>
  </w:style>
  <w:style w:type="paragraph" w:styleId="22">
    <w:name w:val="Salutation"/>
    <w:basedOn w:val="1"/>
    <w:next w:val="1"/>
    <w:link w:val="813"/>
    <w:qFormat/>
    <w:uiPriority w:val="0"/>
    <w:rPr>
      <w:rFonts w:ascii="仿宋_GB2312" w:eastAsia="仿宋_GB2312"/>
      <w:sz w:val="28"/>
      <w:szCs w:val="20"/>
    </w:rPr>
  </w:style>
  <w:style w:type="paragraph" w:styleId="23">
    <w:name w:val="Body Text 3"/>
    <w:basedOn w:val="1"/>
    <w:link w:val="84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1"/>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99"/>
    <w:pPr>
      <w:tabs>
        <w:tab w:val="center" w:pos="4153"/>
        <w:tab w:val="right" w:pos="8306"/>
      </w:tabs>
      <w:snapToGrid w:val="0"/>
      <w:jc w:val="left"/>
    </w:pPr>
    <w:rPr>
      <w:sz w:val="18"/>
      <w:szCs w:val="18"/>
    </w:rPr>
  </w:style>
  <w:style w:type="paragraph" w:styleId="42">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3"/>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0"/>
    <w:qFormat/>
    <w:uiPriority w:val="0"/>
    <w:rPr>
      <w:b/>
      <w:bCs/>
    </w:rPr>
  </w:style>
  <w:style w:type="paragraph" w:styleId="62">
    <w:name w:val="Body Text First Indent 2"/>
    <w:basedOn w:val="25"/>
    <w:next w:val="3"/>
    <w:link w:val="65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2"/>
    <w:qFormat/>
    <w:uiPriority w:val="0"/>
    <w:pPr>
      <w:spacing w:before="156" w:line="360" w:lineRule="auto"/>
      <w:ind w:firstLine="510" w:firstLineChars="200"/>
    </w:pPr>
    <w:rPr>
      <w:sz w:val="24"/>
      <w:szCs w:val="20"/>
    </w:rPr>
  </w:style>
  <w:style w:type="paragraph" w:customStyle="1" w:styleId="87">
    <w:name w:val="无间隔1"/>
    <w:link w:val="670"/>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8"/>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3"/>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5"/>
    <w:qFormat/>
    <w:uiPriority w:val="0"/>
    <w:pPr>
      <w:adjustRightInd/>
      <w:spacing w:line="360" w:lineRule="auto"/>
      <w:ind w:firstLine="480" w:firstLineChars="200"/>
    </w:pPr>
    <w:rPr>
      <w:kern w:val="0"/>
      <w:sz w:val="24"/>
    </w:rPr>
  </w:style>
  <w:style w:type="paragraph" w:customStyle="1" w:styleId="99">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6"/>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8"/>
    <w:qFormat/>
    <w:uiPriority w:val="0"/>
    <w:pPr>
      <w:tabs>
        <w:tab w:val="left" w:pos="2356"/>
      </w:tabs>
    </w:pPr>
  </w:style>
  <w:style w:type="paragraph" w:customStyle="1" w:styleId="104">
    <w:name w:val="样式 标题 4h4H4Fab-4T5Ref Heading 1rh1Heading sqlsect 1.2.3...."/>
    <w:basedOn w:val="8"/>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1"/>
    <w:qFormat/>
    <w:uiPriority w:val="0"/>
    <w:pPr>
      <w:adjustRightInd/>
    </w:pPr>
    <w:rPr>
      <w:rFonts w:ascii="宋体" w:hAnsi="Courier New"/>
      <w:kern w:val="0"/>
      <w:sz w:val="20"/>
      <w:szCs w:val="20"/>
    </w:rPr>
  </w:style>
  <w:style w:type="paragraph" w:customStyle="1" w:styleId="107">
    <w:name w:val="正文说明"/>
    <w:basedOn w:val="1"/>
    <w:link w:val="843"/>
    <w:qFormat/>
    <w:uiPriority w:val="0"/>
    <w:pPr>
      <w:adjustRightInd/>
      <w:spacing w:line="360" w:lineRule="auto"/>
    </w:pPr>
    <w:rPr>
      <w:kern w:val="0"/>
      <w:sz w:val="24"/>
    </w:rPr>
  </w:style>
  <w:style w:type="paragraph" w:customStyle="1" w:styleId="108">
    <w:name w:val="Table Text"/>
    <w:basedOn w:val="1"/>
    <w:link w:val="849"/>
    <w:qFormat/>
    <w:uiPriority w:val="0"/>
    <w:pPr>
      <w:widowControl/>
      <w:spacing w:before="60" w:after="60"/>
      <w:jc w:val="left"/>
    </w:pPr>
    <w:rPr>
      <w:kern w:val="0"/>
      <w:sz w:val="24"/>
    </w:rPr>
  </w:style>
  <w:style w:type="paragraph" w:customStyle="1" w:styleId="109">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39"/>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9"/>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0"/>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qFormat/>
    <w:uiPriority w:val="0"/>
    <w:pPr>
      <w:tabs>
        <w:tab w:val="left" w:pos="1080"/>
        <w:tab w:val="clear" w:pos="1008"/>
      </w:tabs>
      <w:ind w:left="1080" w:hanging="1080"/>
    </w:pPr>
  </w:style>
  <w:style w:type="paragraph" w:customStyle="1" w:styleId="581">
    <w:name w:val="数字标题1"/>
    <w:basedOn w:val="4"/>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9">
    <w:name w:val="表格非标题文字 Char"/>
    <w:link w:val="81"/>
    <w:qFormat/>
    <w:uiPriority w:val="0"/>
    <w:rPr>
      <w:rFonts w:ascii="Futura Bk" w:hAnsi="Futura Bk"/>
      <w:kern w:val="2"/>
      <w:sz w:val="18"/>
      <w:szCs w:val="21"/>
      <w:lang w:val="en-US" w:eastAsia="zh-CN" w:bidi="ar-SA"/>
    </w:rPr>
  </w:style>
  <w:style w:type="character" w:customStyle="1" w:styleId="620">
    <w:name w:val="*正文 Char"/>
    <w:link w:val="82"/>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3"/>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字符"/>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4"/>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5"/>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文本首行缩进 2 字符"/>
    <w:link w:val="62"/>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70"/>
    <w:qFormat/>
    <w:uiPriority w:val="0"/>
    <w:rPr>
      <w:rFonts w:ascii="Arial" w:hAnsi="Arial" w:eastAsia="黑体" w:cs="Arial"/>
      <w:snapToGrid w:val="0"/>
      <w:kern w:val="0"/>
      <w:szCs w:val="21"/>
    </w:rPr>
  </w:style>
  <w:style w:type="character" w:customStyle="1" w:styleId="65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6"/>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字符"/>
    <w:link w:val="48"/>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7"/>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字符"/>
    <w:link w:val="10"/>
    <w:qFormat/>
    <w:uiPriority w:val="0"/>
    <w:rPr>
      <w:rFonts w:ascii="Arial" w:hAnsi="Arial" w:eastAsia="黑体"/>
      <w:b/>
      <w:bCs/>
      <w:kern w:val="2"/>
      <w:sz w:val="24"/>
      <w:szCs w:val="24"/>
    </w:rPr>
  </w:style>
  <w:style w:type="character" w:customStyle="1" w:styleId="678">
    <w:name w:val="纯文本 Char_0"/>
    <w:link w:val="88"/>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90"/>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1"/>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字符"/>
    <w:link w:val="37"/>
    <w:qFormat/>
    <w:uiPriority w:val="0"/>
    <w:rPr>
      <w:rFonts w:ascii="宋体"/>
      <w:kern w:val="2"/>
      <w:sz w:val="24"/>
      <w:szCs w:val="21"/>
      <w:lang w:val="zh-CN"/>
    </w:rPr>
  </w:style>
  <w:style w:type="character" w:customStyle="1" w:styleId="708">
    <w:name w:val="标题 9 字符"/>
    <w:link w:val="13"/>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字符1"/>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2"/>
    <w:qFormat/>
    <w:locked/>
    <w:uiPriority w:val="0"/>
    <w:rPr>
      <w:rFonts w:ascii="Tahoma" w:hAnsi="Tahoma"/>
      <w:sz w:val="24"/>
      <w:szCs w:val="24"/>
    </w:rPr>
  </w:style>
  <w:style w:type="character" w:customStyle="1" w:styleId="718">
    <w:name w:val="正文缩进 字符2"/>
    <w:link w:val="7"/>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3"/>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字符"/>
    <w:link w:val="20"/>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70"/>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字符"/>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5"/>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6"/>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字符"/>
    <w:link w:val="18"/>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7"/>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8"/>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9"/>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100"/>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字符1"/>
    <w:link w:val="25"/>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2"/>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字符1"/>
    <w:link w:val="4"/>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字符"/>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字符"/>
    <w:link w:val="9"/>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字符"/>
    <w:link w:val="22"/>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字符"/>
    <w:link w:val="58"/>
    <w:qFormat/>
    <w:uiPriority w:val="0"/>
    <w:rPr>
      <w:rFonts w:ascii="黑体" w:hAnsi="Courier New" w:eastAsia="黑体"/>
    </w:rPr>
  </w:style>
  <w:style w:type="character" w:customStyle="1" w:styleId="817">
    <w:name w:val="正文文本 2 字符1"/>
    <w:link w:val="57"/>
    <w:qFormat/>
    <w:uiPriority w:val="0"/>
    <w:rPr>
      <w:kern w:val="2"/>
      <w:sz w:val="21"/>
      <w:szCs w:val="24"/>
    </w:rPr>
  </w:style>
  <w:style w:type="character" w:customStyle="1" w:styleId="818">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字符"/>
    <w:link w:val="11"/>
    <w:qFormat/>
    <w:uiPriority w:val="0"/>
    <w:rPr>
      <w:b/>
      <w:bCs/>
      <w:kern w:val="2"/>
      <w:sz w:val="24"/>
      <w:szCs w:val="24"/>
    </w:rPr>
  </w:style>
  <w:style w:type="character" w:customStyle="1" w:styleId="821">
    <w:name w:val="正文文本缩进 2 字符"/>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字符"/>
    <w:link w:val="51"/>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5"/>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6"/>
    <w:qFormat/>
    <w:uiPriority w:val="0"/>
    <w:rPr>
      <w:rFonts w:ascii="宋体" w:hAnsi="Courier New"/>
    </w:rPr>
  </w:style>
  <w:style w:type="character" w:customStyle="1" w:styleId="832">
    <w:name w:val="正文文本首行缩进 字符"/>
    <w:link w:val="3"/>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字符1"/>
    <w:link w:val="8"/>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字符"/>
    <w:link w:val="23"/>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7"/>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8"/>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字符1"/>
    <w:link w:val="21"/>
    <w:qFormat/>
    <w:uiPriority w:val="0"/>
    <w:rPr>
      <w:kern w:val="2"/>
      <w:sz w:val="21"/>
      <w:szCs w:val="24"/>
    </w:rPr>
  </w:style>
  <w:style w:type="character" w:customStyle="1" w:styleId="854">
    <w:name w:val="签名 字符"/>
    <w:link w:val="43"/>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9"/>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10"/>
    <w:qFormat/>
    <w:uiPriority w:val="0"/>
    <w:rPr>
      <w:rFonts w:ascii="宋体"/>
    </w:rPr>
  </w:style>
  <w:style w:type="character" w:customStyle="1" w:styleId="865">
    <w:name w:val="标题 8 字符"/>
    <w:link w:val="12"/>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字符"/>
    <w:link w:val="54"/>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1"/>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字符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2"/>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字符2"/>
    <w:link w:val="42"/>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3"/>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4"/>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5"/>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6"/>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70"/>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7"/>
    <w:qFormat/>
    <w:uiPriority w:val="0"/>
    <w:rPr>
      <w:rFonts w:cs="宋体"/>
      <w:kern w:val="2"/>
      <w:sz w:val="24"/>
    </w:rPr>
  </w:style>
  <w:style w:type="character" w:customStyle="1" w:styleId="9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1">
    <w:name w:val="gray6"/>
    <w:basedOn w:val="70"/>
    <w:qFormat/>
    <w:uiPriority w:val="0"/>
    <w:rPr>
      <w:rFonts w:ascii="Arial" w:hAnsi="Arial" w:eastAsia="黑体" w:cs="Arial"/>
      <w:snapToGrid w:val="0"/>
      <w:kern w:val="0"/>
      <w:szCs w:val="21"/>
    </w:rPr>
  </w:style>
  <w:style w:type="character" w:customStyle="1" w:styleId="932">
    <w:name w:val="hui"/>
    <w:basedOn w:val="70"/>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9"/>
    <w:qFormat/>
    <w:uiPriority w:val="0"/>
    <w:rPr>
      <w:kern w:val="2"/>
      <w:sz w:val="21"/>
      <w:szCs w:val="24"/>
      <w:lang w:val="zh-CN"/>
    </w:rPr>
  </w:style>
  <w:style w:type="character" w:customStyle="1" w:styleId="939">
    <w:name w:val="无间隔 字符"/>
    <w:link w:val="167"/>
    <w:qFormat/>
    <w:uiPriority w:val="99"/>
    <w:rPr>
      <w:kern w:val="2"/>
      <w:sz w:val="21"/>
      <w:szCs w:val="22"/>
    </w:rPr>
  </w:style>
  <w:style w:type="character" w:customStyle="1" w:styleId="940">
    <w:name w:val="标准文本 Char Char"/>
    <w:link w:val="606"/>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70"/>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3">
    <w:name w:val="正文文本首行缩进 21"/>
    <w:basedOn w:val="25"/>
    <w:qFormat/>
    <w:uiPriority w:val="99"/>
    <w:pPr>
      <w:spacing w:line="200" w:lineRule="atLeast"/>
      <w:ind w:firstLine="420"/>
    </w:pPr>
    <w:rPr>
      <w:rFonts w:ascii="宋体" w:hAnsi="Courier New"/>
      <w:spacing w:val="-4"/>
      <w:sz w:val="18"/>
    </w:r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5">
    <w:name w:val="NormalCharacter"/>
    <w:semiHidden/>
    <w:qFormat/>
    <w:uiPriority w:val="0"/>
  </w:style>
  <w:style w:type="paragraph" w:customStyle="1" w:styleId="966">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33700</Words>
  <Characters>35365</Characters>
  <Lines>313</Lines>
  <Paragraphs>88</Paragraphs>
  <TotalTime>30</TotalTime>
  <ScaleCrop>false</ScaleCrop>
  <LinksUpToDate>false</LinksUpToDate>
  <CharactersWithSpaces>41037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2022-05-13T08:30:00Z</dcterms:created>
  <dc:creator>玥</dc:creator>
  <cp:lastModifiedBy>狗蛋</cp:lastModifiedBy>
  <cp:lastPrinted>2021-12-27T03:06:00Z</cp:lastPrinted>
  <dcterms:modified xsi:type="dcterms:W3CDTF">2023-03-17T02:01:22Z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CAAE3D15F94649F894033EA564604A52</vt:lpwstr>
  </property>
</Properties>
</file>