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hd w:val="clear" w:color="auto" w:fill="FFFFFF"/>
        <w:tabs>
          <w:tab w:val="left" w:pos="4500"/>
        </w:tabs>
        <w:snapToGrid w:val="0"/>
        <w:spacing w:line="360" w:lineRule="auto"/>
        <w:jc w:val="center"/>
        <w:textAlignment w:val="bottom"/>
        <w:rPr>
          <w:rFonts w:hint="eastAsia" w:ascii="仿宋" w:hAnsi="仿宋" w:eastAsia="仿宋" w:cs="仿宋"/>
          <w:b/>
          <w:bCs/>
          <w:color w:val="000000"/>
          <w:spacing w:val="6"/>
          <w:sz w:val="48"/>
          <w:szCs w:val="48"/>
          <w:lang w:eastAsia="zh-CN"/>
        </w:rPr>
      </w:pPr>
      <w:r>
        <w:rPr>
          <w:rFonts w:hint="eastAsia" w:ascii="仿宋" w:hAnsi="仿宋" w:eastAsia="仿宋" w:cs="仿宋"/>
          <w:b/>
          <w:bCs/>
          <w:color w:val="000000"/>
          <w:spacing w:val="6"/>
          <w:sz w:val="48"/>
          <w:szCs w:val="48"/>
          <w:lang w:eastAsia="zh-CN"/>
        </w:rPr>
        <w:t>仓前街道非居民生活垃圾前端收集及音乐线项目</w:t>
      </w:r>
    </w:p>
    <w:p>
      <w:pPr>
        <w:adjustRightInd/>
        <w:spacing w:line="360" w:lineRule="auto"/>
        <w:jc w:val="center"/>
        <w:rPr>
          <w:rFonts w:hint="eastAsia" w:ascii="仿宋" w:hAnsi="仿宋" w:eastAsia="仿宋" w:cs="仿宋_GB2312"/>
          <w:sz w:val="48"/>
          <w:szCs w:val="48"/>
        </w:rPr>
      </w:pPr>
    </w:p>
    <w:p>
      <w:pPr>
        <w:adjustRightInd/>
        <w:spacing w:line="360" w:lineRule="auto"/>
        <w:jc w:val="center"/>
        <w:rPr>
          <w:rFonts w:hint="eastAsia" w:ascii="仿宋" w:hAnsi="仿宋" w:eastAsia="仿宋" w:cs="仿宋_GB2312"/>
          <w:sz w:val="48"/>
          <w:szCs w:val="48"/>
        </w:rPr>
      </w:pPr>
    </w:p>
    <w:p>
      <w:pPr>
        <w:adjustRightInd/>
        <w:spacing w:line="360" w:lineRule="auto"/>
        <w:jc w:val="center"/>
        <w:rPr>
          <w:rFonts w:hint="eastAsia" w:ascii="仿宋" w:hAnsi="仿宋" w:eastAsia="仿宋" w:cs="仿宋_GB2312"/>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default" w:ascii="仿宋" w:hAnsi="仿宋" w:eastAsia="仿宋" w:cs="仿宋_GB2312"/>
          <w:sz w:val="30"/>
          <w:szCs w:val="30"/>
          <w:lang w:val="en-US"/>
        </w:rPr>
      </w:pPr>
      <w:r>
        <w:rPr>
          <w:rFonts w:hint="eastAsia" w:ascii="仿宋" w:hAnsi="仿宋" w:eastAsia="仿宋" w:cs="仿宋_GB2312"/>
          <w:sz w:val="30"/>
          <w:szCs w:val="30"/>
        </w:rPr>
        <w:t>编号:</w:t>
      </w:r>
      <w:r>
        <w:rPr>
          <w:rFonts w:hint="eastAsia" w:ascii="仿宋" w:hAnsi="仿宋" w:eastAsia="仿宋" w:cs="仿宋_GB2312"/>
          <w:color w:val="auto"/>
          <w:sz w:val="32"/>
          <w:szCs w:val="32"/>
          <w:lang w:val="en-US" w:eastAsia="zh-CN"/>
        </w:rPr>
        <w:t>ZJDL-2022-036</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：杭州市余杭区人民政府仓前街道办事处</w:t>
      </w:r>
    </w:p>
    <w:p>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浙江中际工程项目管理有限公司</w:t>
      </w:r>
    </w:p>
    <w:p>
      <w:pPr>
        <w:snapToGrid w:val="0"/>
        <w:spacing w:line="360" w:lineRule="auto"/>
        <w:jc w:val="center"/>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eastAsia="zh-CN"/>
        </w:rPr>
        <w:t>九</w:t>
      </w:r>
      <w:r>
        <w:rPr>
          <w:rFonts w:hint="eastAsia" w:ascii="仿宋_GB2312" w:hAnsi="仿宋_GB2312" w:eastAsia="仿宋_GB2312" w:cs="仿宋_GB2312"/>
          <w:b w:val="0"/>
          <w:bCs w:val="0"/>
          <w:color w:val="auto"/>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_Toc91899870"/>
      <w:bookmarkStart w:id="9" w:name="第二部分"/>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Style w:val="60"/>
        <w:keepNext w:val="0"/>
        <w:keepLines w:val="0"/>
        <w:widowControl/>
        <w:suppressLineNumbers w:val="0"/>
        <w:spacing w:before="75" w:beforeAutospacing="0" w:after="75" w:afterAutospacing="0"/>
        <w:ind w:left="0" w:right="0"/>
      </w:pPr>
      <w:r>
        <w:rPr>
          <w:rFonts w:ascii="仿宋" w:hAnsi="仿宋" w:eastAsia="仿宋" w:cs="仿宋"/>
          <w:sz w:val="27"/>
          <w:szCs w:val="27"/>
        </w:rPr>
        <w:t>    项目概况</w:t>
      </w:r>
      <w:r>
        <w:rPr>
          <w:rFonts w:hint="eastAsia" w:ascii="仿宋" w:hAnsi="仿宋" w:eastAsia="仿宋" w:cs="仿宋"/>
        </w:rPr>
        <w:t>                                                    </w:t>
      </w:r>
    </w:p>
    <w:p>
      <w:pPr>
        <w:pStyle w:val="60"/>
        <w:keepNext w:val="0"/>
        <w:keepLines w:val="0"/>
        <w:widowControl/>
        <w:suppressLineNumbers w:val="0"/>
        <w:spacing w:before="75" w:beforeAutospacing="0" w:after="75" w:afterAutospacing="0"/>
        <w:ind w:left="0" w:right="0" w:firstLine="360"/>
        <w:rPr>
          <w:rFonts w:hint="eastAsia" w:ascii="仿宋" w:hAnsi="仿宋" w:eastAsia="仿宋" w:cs="仿宋"/>
          <w:sz w:val="27"/>
          <w:szCs w:val="27"/>
        </w:rPr>
      </w:pPr>
      <w:r>
        <w:rPr>
          <w:rFonts w:hint="eastAsia" w:ascii="仿宋" w:hAnsi="仿宋" w:eastAsia="仿宋" w:cs="仿宋"/>
          <w:sz w:val="27"/>
          <w:szCs w:val="27"/>
        </w:rPr>
        <w:t>仓前街道非居民生活垃圾前端收集及音乐线项目招标项目的潜在投标人应在</w:t>
      </w:r>
      <w:r>
        <w:rPr>
          <w:rFonts w:hint="eastAsia" w:ascii="仿宋" w:hAnsi="仿宋" w:eastAsia="仿宋" w:cs="仿宋"/>
          <w:sz w:val="27"/>
          <w:szCs w:val="27"/>
          <w:u w:val="none"/>
        </w:rPr>
        <w:t>政采云平台（http://zfcg.czt.zj.gov.cn）</w:t>
      </w:r>
      <w:r>
        <w:rPr>
          <w:rFonts w:hint="eastAsia" w:ascii="仿宋" w:hAnsi="仿宋" w:eastAsia="仿宋" w:cs="仿宋"/>
          <w:sz w:val="27"/>
          <w:szCs w:val="27"/>
        </w:rPr>
        <w:t>获取（下载）招标文件，并于 2022年10月17日 14:00（北京时间）前递交（上传）投标文</w:t>
      </w:r>
    </w:p>
    <w:p>
      <w:pPr>
        <w:pStyle w:val="60"/>
        <w:keepNext w:val="0"/>
        <w:keepLines w:val="0"/>
        <w:widowControl/>
        <w:suppressLineNumbers w:val="0"/>
        <w:spacing w:before="75" w:beforeAutospacing="0" w:after="75" w:afterAutospacing="0"/>
        <w:ind w:right="0"/>
      </w:pPr>
      <w:r>
        <w:rPr>
          <w:rFonts w:hint="eastAsia" w:ascii="仿宋" w:hAnsi="仿宋" w:eastAsia="仿宋" w:cs="仿宋"/>
          <w:sz w:val="27"/>
          <w:szCs w:val="27"/>
        </w:rPr>
        <w:t>件。</w:t>
      </w:r>
      <w:r>
        <w:rPr>
          <w:rFonts w:hint="eastAsia" w:ascii="仿宋" w:hAnsi="仿宋" w:eastAsia="仿宋" w:cs="仿宋"/>
        </w:rPr>
        <w:t>                             </w:t>
      </w:r>
    </w:p>
    <w:p>
      <w:pPr>
        <w:pStyle w:val="60"/>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1"/>
          <w:rFonts w:ascii="黑体" w:hAnsi="宋体" w:eastAsia="黑体" w:cs="黑体"/>
          <w:sz w:val="27"/>
          <w:szCs w:val="27"/>
        </w:rPr>
        <w:t>一、项目基本情况</w:t>
      </w:r>
      <w:r>
        <w:rPr>
          <w:rFonts w:ascii="黑体" w:hAnsi="宋体" w:eastAsia="黑体" w:cs="黑体"/>
          <w:sz w:val="27"/>
          <w:szCs w:val="27"/>
        </w:rPr>
        <w:t>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项目编号：ZJDL-2022-036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项目名称：仓前街道非居民生活垃圾前端收集及音乐线项目</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预算金额（元）：7750000 </w:t>
      </w:r>
      <w:r>
        <w:rPr>
          <w:rFonts w:hint="eastAsia" w:ascii="仿宋" w:hAnsi="仿宋" w:eastAsia="仿宋" w:cs="仿宋"/>
        </w:rPr>
        <w:t>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最高限价（元）：7750000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采购需求：</w:t>
      </w:r>
    </w:p>
    <w:p>
      <w:pPr>
        <w:pStyle w:val="60"/>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标项名称: 仓前街道非居民生活垃圾前端收集及音乐线项目 </w:t>
      </w:r>
      <w:r>
        <w:rPr>
          <w:rFonts w:hint="eastAsia" w:ascii="仿宋" w:hAnsi="仿宋" w:eastAsia="仿宋" w:cs="仿宋"/>
          <w:sz w:val="27"/>
          <w:szCs w:val="27"/>
        </w:rPr>
        <w:br w:type="textWrapping"/>
      </w:r>
      <w:r>
        <w:rPr>
          <w:rFonts w:hint="eastAsia" w:ascii="仿宋" w:hAnsi="仿宋" w:eastAsia="仿宋" w:cs="仿宋"/>
          <w:sz w:val="27"/>
          <w:szCs w:val="27"/>
        </w:rPr>
        <w:t>    数量: 1  </w:t>
      </w:r>
      <w:r>
        <w:rPr>
          <w:rFonts w:hint="eastAsia" w:ascii="仿宋" w:hAnsi="仿宋" w:eastAsia="仿宋" w:cs="仿宋"/>
          <w:sz w:val="27"/>
          <w:szCs w:val="27"/>
        </w:rPr>
        <w:br w:type="textWrapping"/>
      </w:r>
      <w:r>
        <w:rPr>
          <w:rFonts w:hint="eastAsia" w:ascii="仿宋" w:hAnsi="仿宋" w:eastAsia="仿宋" w:cs="仿宋"/>
          <w:sz w:val="27"/>
          <w:szCs w:val="27"/>
        </w:rPr>
        <w:t>    预算金额（元）: 7750000 </w:t>
      </w:r>
      <w:r>
        <w:rPr>
          <w:rFonts w:hint="eastAsia" w:ascii="仿宋" w:hAnsi="仿宋" w:eastAsia="仿宋" w:cs="仿宋"/>
          <w:sz w:val="27"/>
          <w:szCs w:val="27"/>
        </w:rPr>
        <w:br w:type="textWrapping"/>
      </w:r>
      <w:r>
        <w:rPr>
          <w:rFonts w:hint="eastAsia" w:ascii="仿宋" w:hAnsi="仿宋" w:eastAsia="仿宋" w:cs="仿宋"/>
          <w:sz w:val="27"/>
          <w:szCs w:val="27"/>
        </w:rPr>
        <w:t>    简要规格描述或项目基本概况介绍、用途：详见采购需求 </w:t>
      </w:r>
      <w:r>
        <w:rPr>
          <w:rFonts w:hint="eastAsia" w:ascii="仿宋" w:hAnsi="仿宋" w:eastAsia="仿宋" w:cs="仿宋"/>
          <w:sz w:val="27"/>
          <w:szCs w:val="27"/>
        </w:rPr>
        <w:br w:type="textWrapping"/>
      </w:r>
      <w:r>
        <w:rPr>
          <w:rFonts w:hint="eastAsia" w:ascii="仿宋" w:hAnsi="仿宋" w:eastAsia="仿宋" w:cs="仿宋"/>
          <w:sz w:val="27"/>
          <w:szCs w:val="27"/>
        </w:rPr>
        <w:t>    备注：本项目采用单价招标，最终以实际工程量结算，预算单价最高限价为120元/吨。</w:t>
      </w:r>
      <w:r>
        <w:rPr>
          <w:rFonts w:hint="eastAsia" w:ascii="仿宋" w:hAnsi="仿宋" w:eastAsia="仿宋" w:cs="仿宋"/>
        </w:rPr>
        <w:t>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合同履约期限：标项 1，一年</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本项目（是）接受联合体投标。</w:t>
      </w:r>
    </w:p>
    <w:p>
      <w:pPr>
        <w:pStyle w:val="60"/>
        <w:keepNext w:val="0"/>
        <w:keepLines w:val="0"/>
        <w:widowControl/>
        <w:suppressLineNumbers w:val="0"/>
        <w:spacing w:before="225" w:beforeAutospacing="0" w:after="225" w:afterAutospacing="0" w:line="300" w:lineRule="atLeast"/>
        <w:ind w:left="0" w:right="0"/>
      </w:pPr>
      <w:r>
        <w:rPr>
          <w:rStyle w:val="71"/>
          <w:rFonts w:ascii="黑体" w:hAnsi="宋体" w:eastAsia="黑体" w:cs="黑体"/>
          <w:sz w:val="27"/>
          <w:szCs w:val="27"/>
        </w:rPr>
        <w:t>二、申请人的资格要求：</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满足《中华人民共和国政府采购法》第二十二条规定；未被“信用中国”（www.creditchina.gov.cn)、中国政府采购网（www.ccgp.gov.cn）列入失信被执行人、重大税收违法失信主体、政府采购严重违法失信行为记录名单。</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2.落实政府采购政策需满足的资格要求：标项1：供应商为中小企业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3.本项目的特定资格要求：无 </w:t>
      </w:r>
    </w:p>
    <w:p>
      <w:pPr>
        <w:pStyle w:val="60"/>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1"/>
          <w:rFonts w:ascii="黑体" w:hAnsi="宋体" w:eastAsia="黑体" w:cs="黑体"/>
          <w:sz w:val="27"/>
          <w:szCs w:val="27"/>
        </w:rPr>
        <w:t>三、获取招标文件</w:t>
      </w:r>
      <w:r>
        <w:rPr>
          <w:rFonts w:ascii="黑体" w:hAnsi="宋体" w:eastAsia="黑体" w:cs="黑体"/>
          <w:sz w:val="27"/>
          <w:szCs w:val="27"/>
        </w:rPr>
        <w:t>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时间：/至2022年10月17日 ，每天上午00:00至12:00 ，下午12:00至23:59（北京时间，线上获取法定节假日均可，线下获取文件法定节假日除外）</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地点（网址）：政采云平台（http://zfcg.czt.zj.gov.cn）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方式：供应商登录政采云平台https://www.zcygov.cn/在线申请获取采购文件（进入“项目采购”应用，在获取采购文件菜单中选择项目，申请获取采购文件）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售价（元）：0</w:t>
      </w:r>
      <w:r>
        <w:rPr>
          <w:rFonts w:hint="eastAsia" w:ascii="仿宋" w:hAnsi="仿宋" w:eastAsia="仿宋" w:cs="仿宋"/>
        </w:rPr>
        <w:t> </w:t>
      </w:r>
    </w:p>
    <w:p>
      <w:pPr>
        <w:pStyle w:val="60"/>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1"/>
          <w:rFonts w:ascii="黑体" w:hAnsi="宋体" w:eastAsia="黑体" w:cs="黑体"/>
          <w:sz w:val="27"/>
          <w:szCs w:val="27"/>
        </w:rPr>
        <w:t>四、提交投标文件截止时间、开标时间和地点</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提交投标文件截止时间：2022年10月17日 14:00（北京时间）</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投标地点（网址）：政采云平台（https://www.zcygov.cn/）</w:t>
      </w:r>
      <w:r>
        <w:rPr>
          <w:rFonts w:hint="eastAsia" w:ascii="仿宋" w:hAnsi="仿宋" w:eastAsia="仿宋" w:cs="仿宋"/>
        </w:rPr>
        <w:t>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开标时间：2022年10月17日 14:00</w:t>
      </w:r>
      <w:r>
        <w:rPr>
          <w:rFonts w:hint="eastAsia" w:ascii="仿宋" w:hAnsi="仿宋" w:eastAsia="仿宋" w:cs="仿宋"/>
        </w:rPr>
        <w:t>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开标地点（网址）：政采云平台（https://www.zcygov.cn/）</w:t>
      </w:r>
      <w:r>
        <w:rPr>
          <w:rFonts w:hint="eastAsia" w:ascii="仿宋" w:hAnsi="仿宋" w:eastAsia="仿宋" w:cs="仿宋"/>
        </w:rPr>
        <w:t>  </w:t>
      </w:r>
    </w:p>
    <w:p>
      <w:pPr>
        <w:pStyle w:val="60"/>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1"/>
          <w:rFonts w:ascii="黑体" w:hAnsi="宋体" w:eastAsia="黑体" w:cs="黑体"/>
          <w:sz w:val="27"/>
          <w:szCs w:val="27"/>
        </w:rPr>
        <w:t>五、采购意向公开链接</w:t>
      </w:r>
    </w:p>
    <w:p>
      <w:pPr>
        <w:pStyle w:val="60"/>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Fonts w:ascii="黑体" w:hAnsi="宋体" w:eastAsia="黑体" w:cs="黑体"/>
          <w:sz w:val="31"/>
          <w:szCs w:val="31"/>
        </w:rPr>
        <w:t>   </w:t>
      </w:r>
      <w:r>
        <w:rPr>
          <w:rStyle w:val="80"/>
          <w:rFonts w:hint="eastAsia" w:ascii="仿宋" w:hAnsi="仿宋" w:eastAsia="仿宋" w:cs="仿宋"/>
          <w:sz w:val="27"/>
          <w:szCs w:val="27"/>
        </w:rPr>
        <w:t>https://zfcg.czt.zj.gov.cn/innerUsed_noticeDetails/index.html?noticeId=8888839</w:t>
      </w:r>
    </w:p>
    <w:p>
      <w:pPr>
        <w:pStyle w:val="60"/>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1"/>
          <w:rFonts w:ascii="黑体" w:hAnsi="宋体" w:eastAsia="黑体" w:cs="黑体"/>
          <w:sz w:val="27"/>
          <w:szCs w:val="27"/>
        </w:rPr>
        <w:t>六、公告期限</w:t>
      </w:r>
      <w:r>
        <w:rPr>
          <w:rFonts w:ascii="黑体" w:hAnsi="宋体" w:eastAsia="黑体" w:cs="黑体"/>
          <w:sz w:val="31"/>
          <w:szCs w:val="31"/>
        </w:rPr>
        <w:t> </w:t>
      </w:r>
    </w:p>
    <w:p>
      <w:pPr>
        <w:pStyle w:val="60"/>
        <w:keepNext w:val="0"/>
        <w:keepLines w:val="0"/>
        <w:widowControl/>
        <w:suppressLineNumbers w:val="0"/>
        <w:spacing w:before="75" w:beforeAutospacing="0" w:after="75" w:afterAutospacing="0"/>
        <w:ind w:left="0" w:right="0"/>
      </w:pPr>
      <w:r>
        <w:rPr>
          <w:rFonts w:hint="eastAsia" w:ascii="仿宋" w:hAnsi="仿宋" w:eastAsia="仿宋" w:cs="仿宋"/>
          <w:sz w:val="27"/>
          <w:szCs w:val="27"/>
        </w:rPr>
        <w:t>    自本公告发布之日起5个工作日。</w:t>
      </w:r>
    </w:p>
    <w:p>
      <w:pPr>
        <w:pStyle w:val="60"/>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1"/>
          <w:rFonts w:ascii="黑体" w:hAnsi="宋体" w:eastAsia="黑体" w:cs="黑体"/>
          <w:sz w:val="27"/>
          <w:szCs w:val="27"/>
        </w:rPr>
        <w:t>七、其他补充事宜</w:t>
      </w:r>
    </w:p>
    <w:p>
      <w:pPr>
        <w:pStyle w:val="60"/>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60"/>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60"/>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sz w:val="27"/>
          <w:szCs w:val="27"/>
        </w:rPr>
        <w:br w:type="textWrapping"/>
      </w:r>
      <w:r>
        <w:rPr>
          <w:rFonts w:hint="eastAsia" w:ascii="仿宋" w:hAnsi="仿宋" w:eastAsia="仿宋" w:cs="仿宋"/>
          <w:sz w:val="27"/>
          <w:szCs w:val="27"/>
        </w:rPr>
        <w:t>    4.其他事项：无  </w:t>
      </w:r>
    </w:p>
    <w:p>
      <w:pPr>
        <w:pStyle w:val="60"/>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71"/>
          <w:rFonts w:ascii="黑体" w:hAnsi="宋体" w:eastAsia="黑体" w:cs="黑体"/>
          <w:sz w:val="27"/>
          <w:szCs w:val="27"/>
        </w:rPr>
        <w:t>八、对本次采购提出询问、质疑、投诉，请按以下方式联系</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1.采购人信息</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称：杭州市余杭区人民政府仓前街道办事处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址：仓前街道向往街1008号乐富海邦园18幢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项目联系人（询问）：陈文钟 </w:t>
      </w:r>
      <w:r>
        <w:rPr>
          <w:rFonts w:hint="eastAsia" w:ascii="仿宋" w:hAnsi="仿宋" w:eastAsia="仿宋" w:cs="仿宋"/>
        </w:rPr>
        <w:t>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项目联系方式（询问）：0571-88611800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质疑联系人：周国平 </w:t>
      </w:r>
      <w:r>
        <w:rPr>
          <w:rFonts w:hint="eastAsia" w:ascii="仿宋" w:hAnsi="仿宋" w:eastAsia="仿宋" w:cs="仿宋"/>
        </w:rPr>
        <w:t>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质疑联系方式：13777592253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2.采购代理机构信息</w:t>
      </w:r>
      <w:r>
        <w:rPr>
          <w:rFonts w:hint="eastAsia" w:ascii="仿宋" w:hAnsi="仿宋" w:eastAsia="仿宋" w:cs="仿宋"/>
        </w:rPr>
        <w:t>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称：浙江中际工程项目管理有限公司 </w:t>
      </w:r>
      <w:r>
        <w:rPr>
          <w:rFonts w:hint="eastAsia" w:ascii="仿宋" w:hAnsi="仿宋" w:eastAsia="仿宋" w:cs="仿宋"/>
        </w:rPr>
        <w:t>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址：临平区南苑嘉信国际6楼 </w:t>
      </w:r>
      <w:r>
        <w:rPr>
          <w:rFonts w:hint="eastAsia" w:ascii="仿宋" w:hAnsi="仿宋" w:eastAsia="仿宋" w:cs="仿宋"/>
        </w:rPr>
        <w:t>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项目联系人（询问）：郑先生  </w:t>
      </w:r>
      <w:r>
        <w:rPr>
          <w:rFonts w:hint="eastAsia" w:ascii="仿宋" w:hAnsi="仿宋" w:eastAsia="仿宋" w:cs="仿宋"/>
        </w:rPr>
        <w:t>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项目联系方式（询问）：0571-86156630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质疑联系人：周杨威 </w:t>
      </w:r>
      <w:r>
        <w:rPr>
          <w:rFonts w:hint="eastAsia" w:ascii="仿宋" w:hAnsi="仿宋" w:eastAsia="仿宋" w:cs="仿宋"/>
        </w:rPr>
        <w:t>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质疑联系方式：13362030720 　</w:t>
      </w:r>
      <w:bookmarkStart w:id="403" w:name="_GoBack"/>
      <w:bookmarkEnd w:id="403"/>
      <w:r>
        <w:rPr>
          <w:rFonts w:hint="eastAsia" w:ascii="仿宋" w:hAnsi="仿宋" w:eastAsia="仿宋" w:cs="仿宋"/>
          <w:sz w:val="27"/>
          <w:szCs w:val="27"/>
        </w:rPr>
        <w:t>　　　　　</w:t>
      </w:r>
      <w:r>
        <w:rPr>
          <w:rFonts w:hint="eastAsia" w:ascii="仿宋" w:hAnsi="仿宋" w:eastAsia="仿宋" w:cs="仿宋"/>
        </w:rPr>
        <w:t>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3.同级政府采购监督管理部门</w:t>
      </w:r>
      <w:r>
        <w:rPr>
          <w:rFonts w:hint="eastAsia" w:ascii="仿宋" w:hAnsi="仿宋" w:eastAsia="仿宋" w:cs="仿宋"/>
        </w:rPr>
        <w:t>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称：杭州市余杭区财政局 </w:t>
      </w:r>
      <w:r>
        <w:rPr>
          <w:rFonts w:hint="eastAsia" w:ascii="仿宋" w:hAnsi="仿宋" w:eastAsia="仿宋" w:cs="仿宋"/>
        </w:rPr>
        <w:t>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址：杭州市余杭区五常街道溪沁路8号中国电信浙江创新园1号楼 </w:t>
      </w:r>
      <w:r>
        <w:rPr>
          <w:rFonts w:hint="eastAsia" w:ascii="仿宋" w:hAnsi="仿宋" w:eastAsia="仿宋" w:cs="仿宋"/>
        </w:rPr>
        <w:t>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联系人 ：杜国强 </w:t>
      </w:r>
      <w:r>
        <w:rPr>
          <w:rFonts w:hint="eastAsia" w:ascii="仿宋" w:hAnsi="仿宋" w:eastAsia="仿宋" w:cs="仿宋"/>
        </w:rPr>
        <w:t>            </w:t>
      </w:r>
    </w:p>
    <w:p>
      <w:pPr>
        <w:pStyle w:val="60"/>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监督投诉电话：0571-88728858 </w:t>
      </w:r>
      <w:r>
        <w:rPr>
          <w:rFonts w:hint="eastAsia" w:ascii="仿宋" w:hAnsi="仿宋" w:eastAsia="仿宋" w:cs="仿宋"/>
        </w:rPr>
        <w:t>          </w:t>
      </w:r>
      <w:r>
        <w:rPr>
          <w:rFonts w:hint="eastAsia" w:ascii="仿宋" w:hAnsi="仿宋" w:eastAsia="仿宋" w:cs="仿宋"/>
        </w:rPr>
        <w:br w:type="textWrapping"/>
      </w:r>
      <w:r>
        <w:rPr>
          <w:rFonts w:hint="eastAsia" w:ascii="仿宋" w:hAnsi="仿宋" w:eastAsia="仿宋" w:cs="仿宋"/>
        </w:rPr>
        <w:t>         </w:t>
      </w:r>
    </w:p>
    <w:p>
      <w:pPr>
        <w:pStyle w:val="60"/>
        <w:keepNext w:val="0"/>
        <w:keepLines w:val="0"/>
        <w:widowControl/>
        <w:suppressLineNumbers w:val="0"/>
        <w:spacing w:before="75" w:beforeAutospacing="0" w:after="75" w:afterAutospacing="0"/>
        <w:ind w:left="0" w:right="0"/>
      </w:pPr>
    </w:p>
    <w:p>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CA问题联系电话（人工）：汇信CA 400-888-4636；天谷CA 400-087-8198。</w:t>
      </w:r>
    </w:p>
    <w:p>
      <w:pPr>
        <w:pStyle w:val="60"/>
        <w:keepNext w:val="0"/>
        <w:keepLines w:val="0"/>
        <w:widowControl/>
        <w:suppressLineNumbers w:val="0"/>
        <w:spacing w:before="75" w:beforeAutospacing="0" w:after="75" w:afterAutospacing="0"/>
        <w:ind w:left="0" w:right="0"/>
      </w:pPr>
    </w:p>
    <w:p>
      <w:pPr>
        <w:keepNext w:val="0"/>
        <w:keepLines w:val="0"/>
        <w:widowControl/>
        <w:suppressLineNumbers w:val="0"/>
        <w:jc w:val="left"/>
      </w:pP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p>
      <w:pPr>
        <w:pStyle w:val="60"/>
        <w:keepNext w:val="0"/>
        <w:keepLines w:val="0"/>
        <w:widowControl/>
        <w:suppressLineNumbers w:val="0"/>
        <w:spacing w:before="75" w:beforeAutospacing="0" w:after="75" w:afterAutospacing="0"/>
        <w:ind w:left="0" w:right="0"/>
      </w:pPr>
    </w:p>
    <w:p>
      <w:pPr>
        <w:adjustRightInd/>
        <w:spacing w:line="360" w:lineRule="auto"/>
        <w:jc w:val="center"/>
        <w:outlineLvl w:val="0"/>
        <w:rPr>
          <w:rFonts w:ascii="仿宋_GB2312" w:hAnsi="仿宋" w:eastAsia="仿宋_GB2312" w:cs="仿宋_GB2312"/>
          <w:b/>
          <w:sz w:val="36"/>
          <w:szCs w:val="20"/>
        </w:rPr>
      </w:pPr>
      <w:r>
        <w:rPr>
          <w:rFonts w:ascii="仿宋" w:hAnsi="仿宋" w:eastAsia="仿宋" w:cs="仿宋"/>
          <w:i w:val="0"/>
          <w:iCs w:val="0"/>
          <w:caps w:val="0"/>
          <w:color w:val="000000"/>
          <w:spacing w:val="0"/>
          <w:sz w:val="27"/>
          <w:szCs w:val="27"/>
        </w:rPr>
        <w:t> </w:t>
      </w: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p>
      <w:pPr>
        <w:pStyle w:val="60"/>
        <w:widowControl/>
        <w:spacing w:before="75" w:beforeAutospacing="0" w:after="75" w:afterAutospacing="0"/>
        <w:ind w:left="0" w:right="0"/>
        <w:rPr>
          <w:rFonts w:ascii="仿宋" w:hAnsi="仿宋" w:eastAsia="仿宋" w:cs="仿宋"/>
          <w:i w:val="0"/>
          <w:iCs w:val="0"/>
          <w:caps w:val="0"/>
          <w:color w:val="000000"/>
          <w:spacing w:val="0"/>
          <w:sz w:val="27"/>
          <w:szCs w:val="27"/>
        </w:rPr>
      </w:pPr>
    </w:p>
    <w:bookmarkEnd w:id="8"/>
    <w:bookmarkEnd w:id="9"/>
    <w:p>
      <w:pPr>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第二部分</w:t>
      </w:r>
      <w:r>
        <w:rPr>
          <w:rFonts w:ascii="仿宋" w:hAnsi="仿宋" w:eastAsia="仿宋" w:cs="仿宋_GB2312"/>
          <w:b/>
          <w:sz w:val="36"/>
          <w:szCs w:val="20"/>
        </w:rPr>
        <w:t xml:space="preserve"> 投标人须知</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_GB2312" w:hAnsi="仿宋" w:eastAsia="仿宋_GB2312"/>
                <w:b/>
                <w:bCs/>
                <w:kern w:val="0"/>
                <w:sz w:val="24"/>
                <w:lang w:val="zh-CN"/>
              </w:rPr>
            </w:pPr>
            <w:r>
              <w:rPr>
                <w:rFonts w:hint="eastAsia" w:ascii="仿宋_GB2312" w:hAnsi="仿宋" w:eastAsia="仿宋_GB2312"/>
                <w:b/>
                <w:bCs/>
                <w:kern w:val="0"/>
                <w:sz w:val="24"/>
                <w:lang w:val="zh-CN"/>
              </w:rPr>
              <w:t>本项目采用单价招标，最终以实际工程量结算，预算单价</w:t>
            </w:r>
            <w:r>
              <w:rPr>
                <w:rFonts w:hint="eastAsia" w:ascii="仿宋_GB2312" w:hAnsi="仿宋" w:eastAsia="仿宋_GB2312"/>
                <w:b/>
                <w:bCs/>
                <w:kern w:val="0"/>
                <w:sz w:val="24"/>
                <w:highlight w:val="none"/>
                <w:lang w:val="zh-CN"/>
              </w:rPr>
              <w:t>最高限价为120元/吨。</w:t>
            </w:r>
          </w:p>
          <w:p>
            <w:pPr>
              <w:snapToGrid w:val="0"/>
              <w:spacing w:line="360" w:lineRule="auto"/>
              <w:ind w:firstLine="240" w:firstLineChars="100"/>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ascii="仿宋_GB2312" w:hAnsi="仿宋" w:eastAsia="仿宋_GB2312"/>
                <w:sz w:val="24"/>
                <w:u w:val="single"/>
              </w:rPr>
              <w:t xml:space="preserve">  </w:t>
            </w:r>
            <w:r>
              <w:rPr>
                <w:rFonts w:hint="eastAsia" w:ascii="仿宋_GB2312" w:hAnsi="仿宋" w:eastAsia="仿宋_GB2312"/>
                <w:sz w:val="24"/>
              </w:rPr>
              <w:t>工作分包。</w:t>
            </w:r>
          </w:p>
          <w:p>
            <w:pPr>
              <w:spacing w:line="360" w:lineRule="auto"/>
              <w:rPr>
                <w:rFonts w:ascii="仿宋_GB2312" w:hAnsi="仿宋" w:eastAsia="仿宋_GB2312" w:cs="仿宋_GB2312"/>
                <w:sz w:val="24"/>
              </w:rPr>
            </w:pPr>
            <w:r>
              <w:rPr>
                <w:rFonts w:ascii="仿宋_GB2312" w:hAnsi="仿宋" w:eastAsia="仿宋_GB2312" w:cs="Arial"/>
                <w:kern w:val="0"/>
                <w:sz w:val="24"/>
              </w:rPr>
              <w:sym w:font="Wingdings" w:char="0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MS Gothic" w:cs="Arial"/>
                <w:kern w:val="0"/>
                <w:sz w:val="24"/>
                <w:szCs w:val="24"/>
                <w:lang w:val="en-US" w:eastAsia="zh-CN" w:bidi="ar-SA"/>
              </w:rPr>
              <w:t>þ</w:t>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r>
              <w:rPr>
                <w:rFonts w:ascii="MS Gothic" w:hAnsi="MS Gothic" w:eastAsia="MS Gothic" w:cs="Arial"/>
                <w:kern w:val="0"/>
                <w:sz w:val="24"/>
                <w:szCs w:val="24"/>
                <w:lang w:val="en-US" w:eastAsia="zh-CN" w:bidi="ar-SA"/>
              </w:rPr>
              <w:t>☐</w:t>
            </w:r>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r>
              <w:rPr>
                <w:rFonts w:ascii="MS Gothic" w:hAnsi="MS Gothic" w:eastAsia="仿宋_GB2312" w:cs="Arial"/>
                <w:kern w:val="0"/>
                <w:sz w:val="24"/>
              </w:rPr>
              <w:sym w:font="Wingdings" w:char="F0FE"/>
            </w:r>
            <w:r>
              <w:rPr>
                <w:rFonts w:ascii="仿宋_GB2312" w:hAnsi="仿宋" w:eastAsia="仿宋_GB2312"/>
                <w:kern w:val="0"/>
                <w:sz w:val="24"/>
              </w:rPr>
              <w:t>否；</w:t>
            </w:r>
            <w:r>
              <w:rPr>
                <w:rFonts w:ascii="MS Gothic" w:hAnsi="MS Gothic" w:eastAsia="仿宋_GB2312" w:cs="Arial"/>
                <w:kern w:val="0"/>
                <w:sz w:val="24"/>
              </w:rPr>
              <w:t>☐</w:t>
            </w:r>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仿宋_GB2312" w:cs="Arial"/>
                <w:kern w:val="0"/>
                <w:sz w:val="24"/>
                <w:szCs w:val="24"/>
                <w:lang w:val="en-US" w:eastAsia="zh-CN" w:bidi="ar-SA"/>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Wingdings" w:hAnsi="Wingdings" w:eastAsia="仿宋_GB2312" w:cs="Arial"/>
                <w:kern w:val="0"/>
                <w:sz w:val="24"/>
                <w:szCs w:val="24"/>
                <w:lang w:val="en-US" w:eastAsia="zh-CN" w:bidi="ar-SA"/>
              </w:rPr>
              <w:t>þ</w:t>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5"/>
              <w:rPr>
                <w:lang w:val="en-US"/>
              </w:rPr>
            </w:pPr>
            <w:r>
              <w:rPr>
                <w:rFonts w:hint="eastAsia" w:ascii="仿宋_GB2312" w:hAnsi="仿宋" w:eastAsia="仿宋_GB2312" w:cs="Arial"/>
                <w:b w:val="0"/>
                <w:bCs w:val="0"/>
                <w:kern w:val="0"/>
                <w:sz w:val="24"/>
              </w:rPr>
              <w:t>（</w:t>
            </w:r>
            <w:r>
              <w:rPr>
                <w:rFonts w:ascii="仿宋_GB2312" w:hAnsi="仿宋" w:eastAsia="仿宋_GB2312" w:cs="Arial"/>
                <w:b w:val="0"/>
                <w:bCs w:val="0"/>
                <w:kern w:val="0"/>
                <w:sz w:val="24"/>
              </w:rPr>
              <w:t>1</w:t>
            </w:r>
            <w:r>
              <w:rPr>
                <w:rFonts w:hint="eastAsia" w:ascii="仿宋_GB2312" w:hAnsi="仿宋" w:eastAsia="仿宋_GB2312" w:cs="Arial"/>
                <w:b w:val="0"/>
                <w:bCs w:val="0"/>
                <w:kern w:val="0"/>
                <w:sz w:val="24"/>
              </w:rPr>
              <w:t>）标的：</w:t>
            </w:r>
            <w:r>
              <w:rPr>
                <w:rFonts w:hint="eastAsia" w:ascii="仿宋_GB2312" w:hAnsi="仿宋" w:eastAsia="仿宋_GB2312" w:cs="Arial"/>
                <w:b w:val="0"/>
                <w:bCs w:val="0"/>
                <w:kern w:val="0"/>
                <w:sz w:val="24"/>
                <w:u w:val="single"/>
              </w:rPr>
              <w:t>垃圾</w:t>
            </w:r>
            <w:r>
              <w:rPr>
                <w:rFonts w:hint="eastAsia" w:ascii="仿宋_GB2312" w:hAnsi="仿宋" w:eastAsia="仿宋_GB2312" w:cs="Arial"/>
                <w:b w:val="0"/>
                <w:bCs w:val="0"/>
                <w:kern w:val="0"/>
                <w:sz w:val="24"/>
                <w:u w:val="single"/>
                <w:lang w:val="en-US"/>
              </w:rPr>
              <w:t>清运</w:t>
            </w:r>
            <w:r>
              <w:rPr>
                <w:rFonts w:hint="eastAsia" w:ascii="仿宋_GB2312" w:hAnsi="仿宋" w:eastAsia="仿宋_GB2312" w:cs="Arial"/>
                <w:b w:val="0"/>
                <w:bCs w:val="0"/>
                <w:kern w:val="0"/>
                <w:sz w:val="24"/>
              </w:rPr>
              <w:t>，属于</w:t>
            </w:r>
            <w:r>
              <w:rPr>
                <w:rFonts w:hint="eastAsia" w:ascii="仿宋_GB2312" w:hAnsi="仿宋" w:eastAsia="仿宋_GB2312" w:cs="Arial"/>
                <w:b w:val="0"/>
                <w:bCs w:val="0"/>
                <w:kern w:val="0"/>
                <w:sz w:val="24"/>
                <w:u w:val="single"/>
              </w:rPr>
              <w:t>其他未列明</w:t>
            </w:r>
            <w:r>
              <w:rPr>
                <w:rFonts w:hint="eastAsia" w:ascii="仿宋_GB2312" w:hAnsi="仿宋" w:eastAsia="仿宋_GB2312" w:cs="Arial"/>
                <w:b w:val="0"/>
                <w:bCs w:val="0"/>
                <w:kern w:val="0"/>
                <w:sz w:val="24"/>
                <w:highlight w:val="none"/>
              </w:rPr>
              <w:t>行</w:t>
            </w:r>
            <w:r>
              <w:rPr>
                <w:rFonts w:hint="eastAsia" w:ascii="仿宋_GB2312" w:hAnsi="仿宋" w:eastAsia="仿宋_GB2312" w:cs="Arial"/>
                <w:b w:val="0"/>
                <w:bCs w:val="0"/>
                <w:kern w:val="0"/>
                <w:sz w:val="24"/>
              </w:rPr>
              <w:t>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kern w:val="28"/>
                <w:sz w:val="24"/>
              </w:rPr>
            </w:pPr>
            <w:r>
              <w:rPr>
                <w:rFonts w:hint="eastAsia" w:ascii="仿宋_GB2312" w:hAnsi="仿宋" w:eastAsia="仿宋_GB2312"/>
                <w:kern w:val="28"/>
                <w:sz w:val="24"/>
              </w:rPr>
              <w:t>备份投标文件送达地点：</w:t>
            </w:r>
            <w:r>
              <w:rPr>
                <w:rFonts w:hint="eastAsia" w:ascii="仿宋_GB2312" w:hAnsi="仿宋" w:eastAsia="仿宋_GB2312"/>
                <w:kern w:val="28"/>
                <w:sz w:val="24"/>
                <w:lang w:eastAsia="zh-CN"/>
              </w:rPr>
              <w:t>杭州市临平区南苑街道嘉信国际6楼</w:t>
            </w:r>
            <w:r>
              <w:rPr>
                <w:rFonts w:hint="eastAsia" w:ascii="仿宋_GB2312" w:hAnsi="仿宋" w:eastAsia="仿宋_GB2312"/>
                <w:kern w:val="28"/>
                <w:sz w:val="24"/>
              </w:rPr>
              <w:t>；备份投标文件签收人员联系电话：</w:t>
            </w:r>
            <w:r>
              <w:rPr>
                <w:rFonts w:hint="eastAsia" w:ascii="仿宋_GB2312" w:hAnsi="仿宋" w:eastAsia="仿宋_GB2312"/>
                <w:kern w:val="28"/>
                <w:sz w:val="24"/>
                <w:lang w:val="en-US" w:eastAsia="zh-CN"/>
              </w:rPr>
              <w:t>13362030720</w:t>
            </w:r>
            <w:r>
              <w:rPr>
                <w:rFonts w:hint="eastAsia" w:ascii="仿宋_GB2312" w:hAnsi="仿宋" w:eastAsia="仿宋_GB2312"/>
                <w:kern w:val="28"/>
                <w:sz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sz w:val="24"/>
                <w:lang w:val="en-US" w:eastAsia="zh-CN"/>
              </w:rPr>
            </w:pPr>
          </w:p>
          <w:p>
            <w:pPr>
              <w:snapToGrid w:val="0"/>
              <w:spacing w:line="360" w:lineRule="auto"/>
              <w:jc w:val="center"/>
              <w:rPr>
                <w:rFonts w:hint="eastAsia" w:ascii="仿宋_GB2312" w:hAnsi="仿宋" w:eastAsia="仿宋_GB2312" w:cs="仿宋_GB2312"/>
                <w:sz w:val="24"/>
                <w:lang w:val="en-US" w:eastAsia="zh-CN"/>
              </w:rPr>
            </w:pPr>
          </w:p>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中标服务费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86"/>
              <w:snapToGrid w:val="0"/>
              <w:spacing w:line="360" w:lineRule="exact"/>
              <w:ind w:firstLine="0" w:firstLineChars="0"/>
              <w:rPr>
                <w:rFonts w:hint="eastAsia" w:ascii="仿宋_GB2312" w:hAnsi="仿宋" w:eastAsia="仿宋_GB2312" w:cs="Times New Roman"/>
                <w:kern w:val="28"/>
                <w:sz w:val="24"/>
                <w:szCs w:val="24"/>
              </w:rPr>
            </w:pPr>
            <w:r>
              <w:rPr>
                <w:rFonts w:hint="eastAsia" w:ascii="仿宋_GB2312" w:hAnsi="仿宋" w:eastAsia="仿宋_GB2312" w:cs="Times New Roman"/>
                <w:kern w:val="28"/>
                <w:sz w:val="24"/>
                <w:szCs w:val="24"/>
              </w:rPr>
              <w:t>招标服务费：本次代理服务费由中标人支付，代理服务费按照国家计委印发的《招标代理服务收费管理暂行办法》计价格[2002]1980号文件计取;但不单列进投标总价，由中标人在领取中标通知书前支付给招标代理机构，各投标人应在投标报价中予以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sz w:val="24"/>
                <w:lang w:val="en-US"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无</w:t>
            </w:r>
            <w:r>
              <w:rPr>
                <w:rFonts w:hint="eastAsia" w:ascii="仿宋_GB2312" w:hAnsi="仿宋" w:eastAsia="仿宋_GB2312" w:cs="宋体"/>
                <w:b/>
                <w:kern w:val="0"/>
                <w:sz w:val="24"/>
              </w:rPr>
              <w:t>。</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hint="eastAsia" w:ascii="仿宋_GB2312" w:hAnsi="仿宋" w:eastAsia="仿宋_GB2312" w:cs="仿宋_GB2312"/>
          <w:b/>
          <w:sz w:val="32"/>
          <w:szCs w:val="20"/>
        </w:rPr>
      </w:pPr>
      <w:bookmarkStart w:id="11" w:name="第三部分"/>
      <w:bookmarkStart w:id="12" w:name="_Toc164416483"/>
    </w:p>
    <w:p>
      <w:pPr>
        <w:adjustRightInd/>
        <w:spacing w:line="360" w:lineRule="auto"/>
        <w:ind w:firstLine="3845" w:firstLineChars="1197"/>
        <w:outlineLvl w:val="0"/>
        <w:rPr>
          <w:rFonts w:hint="eastAsia" w:ascii="仿宋_GB2312" w:hAnsi="仿宋" w:eastAsia="仿宋_GB2312" w:cs="仿宋_GB2312"/>
          <w:b/>
          <w:sz w:val="32"/>
          <w:szCs w:val="20"/>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sz w:val="24"/>
          <w:lang w:val="en-US" w:eastAsia="zh-CN"/>
        </w:rPr>
        <w:t>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lang w:val="en-US" w:eastAsia="zh-CN"/>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6"/>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6"/>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6"/>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6"/>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6"/>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6"/>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6"/>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6"/>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6"/>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643"/>
        <w:rPr>
          <w:rFonts w:ascii="仿宋_GB2312" w:hAnsi="仿宋" w:eastAsia="仿宋_GB2312" w:cs="仿宋_GB2312"/>
          <w:b/>
          <w:sz w:val="32"/>
        </w:rPr>
      </w:pPr>
    </w:p>
    <w:p>
      <w:pPr>
        <w:pStyle w:val="86"/>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1"/>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1"/>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6"/>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6"/>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6"/>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6"/>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6"/>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6"/>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6"/>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6"/>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6"/>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6"/>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6"/>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6"/>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rPr>
        <w:t>。履约保证金的数额不得超过政府采购合同金额的</w:t>
      </w:r>
      <w:r>
        <w:rPr>
          <w:rFonts w:hint="eastAsia" w:ascii="仿宋_GB2312" w:hAnsi="仿宋" w:eastAsia="仿宋_GB2312"/>
          <w:color w:val="auto"/>
          <w:sz w:val="24"/>
          <w:lang w:val="en-US" w:eastAsia="zh-CN"/>
        </w:rPr>
        <w:t>1</w:t>
      </w:r>
      <w:r>
        <w:rPr>
          <w:rFonts w:ascii="仿宋_GB2312" w:hAnsi="仿宋" w:eastAsia="仿宋_GB2312"/>
          <w:color w:val="auto"/>
          <w:sz w:val="24"/>
        </w:rPr>
        <w:t>%。</w:t>
      </w:r>
      <w:r>
        <w:rPr>
          <w:rFonts w:hint="eastAsia" w:ascii="仿宋_GB2312" w:hAnsi="仿宋" w:eastAsia="仿宋_GB2312"/>
          <w:color w:val="auto"/>
          <w:sz w:val="24"/>
        </w:rPr>
        <w:t>鼓励和支持供应商以银行、保险公司出具的保函形式提供履约保证金。</w:t>
      </w:r>
      <w:r>
        <w:rPr>
          <w:rFonts w:hint="eastAsia" w:ascii="仿宋_GB2312" w:hAnsi="仿宋" w:eastAsia="仿宋_GB2312"/>
          <w:b/>
          <w:color w:val="auto"/>
          <w:sz w:val="24"/>
        </w:rPr>
        <w:t>采购人不得拒收履约保函。</w:t>
      </w:r>
    </w:p>
    <w:p>
      <w:pPr>
        <w:tabs>
          <w:tab w:val="left" w:pos="0"/>
        </w:tabs>
        <w:spacing w:line="360" w:lineRule="auto"/>
        <w:ind w:firstLine="482"/>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_GB2312" w:hAnsi="仿宋" w:eastAsia="仿宋_GB2312" w:cs="仿宋_GB2312"/>
          <w:color w:val="auto"/>
          <w:sz w:val="24"/>
          <w:szCs w:val="20"/>
          <w:lang w:val="en-US" w:eastAsia="zh-CN"/>
        </w:rPr>
        <w:t>0.5</w:t>
      </w:r>
      <w:r>
        <w:rPr>
          <w:rFonts w:hint="eastAsia" w:ascii="仿宋_GB2312" w:hAnsi="仿宋" w:eastAsia="仿宋_GB2312" w:cs="仿宋_GB2312"/>
          <w:color w:val="auto"/>
          <w:sz w:val="24"/>
          <w:szCs w:val="20"/>
        </w:rPr>
        <w:t>%；评价总分在90分以下或者暂无评分的，收取履约保证金不得高于合同金额</w:t>
      </w:r>
      <w:r>
        <w:rPr>
          <w:rFonts w:hint="eastAsia" w:ascii="仿宋_GB2312" w:hAnsi="仿宋" w:eastAsia="仿宋_GB2312" w:cs="仿宋_GB2312"/>
          <w:color w:val="auto"/>
          <w:sz w:val="24"/>
          <w:szCs w:val="20"/>
          <w:lang w:val="en-US" w:eastAsia="zh-CN"/>
        </w:rPr>
        <w:t>1</w:t>
      </w:r>
      <w:r>
        <w:rPr>
          <w:rFonts w:hint="eastAsia" w:ascii="仿宋_GB2312" w:hAnsi="仿宋" w:eastAsia="仿宋_GB2312" w:cs="仿宋_GB2312"/>
          <w:color w:val="auto"/>
          <w:sz w:val="24"/>
          <w:szCs w:val="20"/>
        </w:rPr>
        <w:t>%。</w:t>
      </w:r>
    </w:p>
    <w:p>
      <w:pPr>
        <w:pStyle w:val="5"/>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6"/>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6"/>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6"/>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6"/>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68073093"/>
      <w:bookmarkEnd w:id="15"/>
      <w:bookmarkStart w:id="16" w:name="_Hlt74730295"/>
      <w:bookmarkEnd w:id="16"/>
      <w:bookmarkStart w:id="17" w:name="_Hlt75236011"/>
      <w:bookmarkEnd w:id="17"/>
      <w:bookmarkStart w:id="18" w:name="_Hlt74714665"/>
      <w:bookmarkEnd w:id="18"/>
      <w:bookmarkStart w:id="19" w:name="_Hlt68072990"/>
      <w:bookmarkEnd w:id="19"/>
      <w:bookmarkStart w:id="20" w:name="_Hlt68403820"/>
      <w:bookmarkEnd w:id="20"/>
      <w:bookmarkStart w:id="21" w:name="_Hlt75236101"/>
      <w:bookmarkEnd w:id="21"/>
      <w:bookmarkStart w:id="22" w:name="_Hlt68057669"/>
      <w:bookmarkEnd w:id="22"/>
      <w:bookmarkStart w:id="23" w:name="_Hlt74729768"/>
      <w:bookmarkEnd w:id="23"/>
      <w:bookmarkStart w:id="24" w:name="_Hlt68072998"/>
      <w:bookmarkEnd w:id="24"/>
      <w:bookmarkStart w:id="25" w:name="_Hlt75236290"/>
      <w:bookmarkEnd w:id="25"/>
    </w:p>
    <w:bookmarkEnd w:id="11"/>
    <w:bookmarkEnd w:id="12"/>
    <w:p>
      <w:pPr>
        <w:numPr>
          <w:ilvl w:val="0"/>
          <w:numId w:val="1"/>
        </w:numPr>
        <w:spacing w:line="360" w:lineRule="auto"/>
        <w:jc w:val="center"/>
        <w:outlineLvl w:val="0"/>
        <w:rPr>
          <w:rFonts w:hint="eastAsia" w:ascii="仿宋" w:hAnsi="仿宋" w:eastAsia="仿宋" w:cs="仿宋_GB2312"/>
          <w:b/>
          <w:sz w:val="36"/>
          <w:szCs w:val="36"/>
        </w:rPr>
      </w:pPr>
      <w:bookmarkStart w:id="26" w:name="第四部分"/>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pStyle w:val="4"/>
        <w:numPr>
          <w:ilvl w:val="0"/>
          <w:numId w:val="2"/>
        </w:numPr>
        <w:jc w:val="both"/>
        <w:rPr>
          <w:rFonts w:hint="eastAsia" w:ascii="宋体" w:hAnsi="宋体" w:eastAsia="宋体"/>
          <w:color w:val="000000"/>
          <w:sz w:val="24"/>
          <w:szCs w:val="24"/>
        </w:rPr>
      </w:pPr>
      <w:bookmarkStart w:id="27" w:name="_Toc33194401"/>
      <w:r>
        <w:rPr>
          <w:rFonts w:hint="eastAsia" w:ascii="宋体" w:hAnsi="宋体" w:eastAsia="宋体"/>
          <w:sz w:val="24"/>
          <w:szCs w:val="24"/>
        </w:rPr>
        <w:t>项</w:t>
      </w:r>
      <w:r>
        <w:rPr>
          <w:rFonts w:hint="eastAsia" w:ascii="宋体" w:hAnsi="宋体" w:eastAsia="宋体"/>
          <w:sz w:val="22"/>
          <w:szCs w:val="22"/>
        </w:rPr>
        <w:t>目概</w:t>
      </w:r>
      <w:r>
        <w:rPr>
          <w:rFonts w:hint="eastAsia" w:ascii="宋体" w:hAnsi="宋体" w:eastAsia="宋体"/>
          <w:sz w:val="24"/>
          <w:szCs w:val="24"/>
        </w:rPr>
        <w:t>况</w:t>
      </w:r>
    </w:p>
    <w:p>
      <w:pPr>
        <w:pStyle w:val="4"/>
        <w:numPr>
          <w:ilvl w:val="0"/>
          <w:numId w:val="0"/>
        </w:numPr>
        <w:ind w:leftChars="0" w:firstLine="480" w:firstLineChars="200"/>
        <w:jc w:val="both"/>
        <w:rPr>
          <w:rFonts w:hint="eastAsia" w:ascii="宋体" w:hAnsi="宋体" w:eastAsia="宋体"/>
          <w:color w:val="000000"/>
          <w:sz w:val="24"/>
          <w:szCs w:val="24"/>
        </w:rPr>
      </w:pPr>
      <w:r>
        <w:rPr>
          <w:rFonts w:hint="eastAsia" w:ascii="宋体" w:hAnsi="宋体" w:eastAsia="宋体"/>
          <w:b w:val="0"/>
          <w:bCs/>
          <w:sz w:val="24"/>
          <w:szCs w:val="24"/>
        </w:rPr>
        <w:t>本次招标范围内的所有作业内容，包括但不限于人工工资（含节假日加班费）、易损材料、生产工具、运输工具、修理费、清洗费、卫生用具、办公、车辆停放场地、食宿、通信、劳保（含高温补贴费、反光服、雨衣、夏令防暑等）、福利、利润、税金、保险（包括医疗、工伤、养老等社会保险及人身意外保险）以及因国家政策性调整（包括但不限于最</w:t>
      </w:r>
      <w:r>
        <w:rPr>
          <w:rFonts w:hint="eastAsia" w:ascii="宋体" w:hAnsi="宋体" w:eastAsia="宋体"/>
          <w:b w:val="0"/>
          <w:bCs/>
          <w:color w:val="000000"/>
          <w:sz w:val="24"/>
          <w:szCs w:val="24"/>
        </w:rPr>
        <w:t>低工资调整和社保保障缴费调整）等一切费用</w:t>
      </w:r>
      <w:r>
        <w:rPr>
          <w:rFonts w:hint="eastAsia" w:ascii="宋体" w:hAnsi="宋体" w:eastAsia="宋体"/>
          <w:color w:val="000000"/>
          <w:sz w:val="24"/>
          <w:szCs w:val="24"/>
        </w:rPr>
        <w:t>，且不得高于本项目的最高限价</w:t>
      </w:r>
      <w:r>
        <w:rPr>
          <w:rFonts w:hint="eastAsia" w:ascii="宋体" w:hAnsi="宋体"/>
          <w:sz w:val="24"/>
          <w:u w:val="single"/>
        </w:rPr>
        <w:t>120元/吨</w:t>
      </w:r>
      <w:r>
        <w:rPr>
          <w:rFonts w:hint="eastAsia" w:ascii="宋体" w:hAnsi="宋体" w:eastAsia="宋体"/>
          <w:color w:val="000000"/>
          <w:sz w:val="24"/>
          <w:szCs w:val="24"/>
        </w:rPr>
        <w:t>，其他详见项目采购清单；</w:t>
      </w:r>
    </w:p>
    <w:p>
      <w:pPr>
        <w:pStyle w:val="622"/>
        <w:rPr>
          <w:rFonts w:hint="eastAsia" w:cs="宋体"/>
          <w:b/>
          <w:bCs/>
          <w:color w:val="000000"/>
          <w:szCs w:val="24"/>
        </w:rPr>
      </w:pPr>
      <w:r>
        <w:rPr>
          <w:rFonts w:hint="eastAsia"/>
          <w:color w:val="000000"/>
        </w:rPr>
        <w:t>二、</w:t>
      </w:r>
      <w:r>
        <w:rPr>
          <w:rFonts w:hint="eastAsia" w:cs="宋体"/>
          <w:b/>
          <w:bCs/>
          <w:color w:val="000000"/>
          <w:szCs w:val="24"/>
        </w:rPr>
        <w:t>服务范围：</w:t>
      </w:r>
    </w:p>
    <w:tbl>
      <w:tblPr>
        <w:tblStyle w:val="63"/>
        <w:tblW w:w="89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3215"/>
        <w:gridCol w:w="1410"/>
        <w:gridCol w:w="3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序号</w:t>
            </w:r>
          </w:p>
        </w:tc>
        <w:tc>
          <w:tcPr>
            <w:tcW w:w="3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内容</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合同期限</w:t>
            </w:r>
          </w:p>
        </w:tc>
        <w:tc>
          <w:tcPr>
            <w:tcW w:w="3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3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垃圾收集及前端清运</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1  年</w:t>
            </w:r>
          </w:p>
        </w:tc>
        <w:tc>
          <w:tcPr>
            <w:tcW w:w="3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生活垃圾及低价值回收物收集、清运至街道指定垃圾中转站，最终收集清运工程量根据实际收集清运工程量按实结算。单价按投标时单价。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sz w:val="24"/>
              </w:rPr>
              <w:t>2</w:t>
            </w:r>
          </w:p>
        </w:tc>
        <w:tc>
          <w:tcPr>
            <w:tcW w:w="3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rPr>
              <w:t>垃圾不落地音乐线</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sz w:val="24"/>
              </w:rPr>
            </w:pPr>
            <w:r>
              <w:rPr>
                <w:rFonts w:hint="eastAsia" w:ascii="宋体" w:hAnsi="宋体" w:cs="宋体"/>
                <w:kern w:val="0"/>
                <w:sz w:val="24"/>
              </w:rPr>
              <w:t>1  年</w:t>
            </w:r>
          </w:p>
        </w:tc>
        <w:tc>
          <w:tcPr>
            <w:tcW w:w="32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rPr>
            </w:pPr>
            <w:r>
              <w:rPr>
                <w:rFonts w:hint="eastAsia" w:ascii="宋体" w:hAnsi="宋体" w:cs="宋体"/>
                <w:kern w:val="0"/>
                <w:sz w:val="24"/>
              </w:rPr>
              <w:t>2条（3台四轮八桶车）。做好音乐线覆盖范围内商铺音乐线的推广、宣传、落地工作，并协助做好后期收费工作的开展</w:t>
            </w:r>
          </w:p>
        </w:tc>
      </w:tr>
    </w:tbl>
    <w:p>
      <w:pPr>
        <w:tabs>
          <w:tab w:val="left" w:pos="8400"/>
        </w:tabs>
        <w:spacing w:line="500" w:lineRule="exact"/>
        <w:ind w:firstLine="240" w:firstLineChars="100"/>
        <w:rPr>
          <w:rFonts w:hint="eastAsia"/>
        </w:rPr>
      </w:pPr>
      <w:r>
        <w:rPr>
          <w:rFonts w:hint="eastAsia" w:ascii="宋体" w:hAnsi="宋体" w:cs="宋体"/>
          <w:sz w:val="24"/>
        </w:rPr>
        <w:t>1、</w:t>
      </w:r>
      <w:r>
        <w:rPr>
          <w:rFonts w:hint="eastAsia" w:ascii="宋体" w:hAnsi="宋体"/>
          <w:bCs/>
          <w:sz w:val="24"/>
        </w:rPr>
        <w:t>承包期限：</w:t>
      </w:r>
      <w:r>
        <w:rPr>
          <w:rFonts w:hint="eastAsia" w:ascii="宋体" w:hAnsi="宋体" w:cs="宋体"/>
          <w:bCs/>
          <w:color w:val="000000"/>
          <w:spacing w:val="-5"/>
          <w:kern w:val="20"/>
          <w:sz w:val="24"/>
        </w:rPr>
        <w:t>服务期为 1年（其中</w:t>
      </w:r>
      <w:r>
        <w:rPr>
          <w:rFonts w:hint="eastAsia" w:ascii="宋体" w:hAnsi="宋体" w:cs="宋体"/>
          <w:kern w:val="0"/>
          <w:sz w:val="24"/>
        </w:rPr>
        <w:t>垃圾不落地音乐线运行时间另行约定</w:t>
      </w:r>
      <w:r>
        <w:rPr>
          <w:rFonts w:hint="eastAsia" w:ascii="宋体" w:hAnsi="宋体" w:cs="宋体"/>
          <w:bCs/>
          <w:color w:val="000000"/>
          <w:spacing w:val="-5"/>
          <w:kern w:val="20"/>
          <w:sz w:val="24"/>
        </w:rPr>
        <w:t>）</w:t>
      </w:r>
      <w:r>
        <w:rPr>
          <w:rFonts w:hint="eastAsia" w:ascii="宋体" w:hAnsi="宋体" w:cs="宋体"/>
          <w:bCs/>
          <w:spacing w:val="-5"/>
          <w:kern w:val="20"/>
          <w:sz w:val="24"/>
        </w:rPr>
        <w:t>或在合同期限内结算总价达到</w:t>
      </w:r>
      <w:r>
        <w:rPr>
          <w:rFonts w:hint="eastAsia" w:ascii="宋体" w:hAnsi="宋体" w:cs="宋体"/>
          <w:bCs/>
          <w:spacing w:val="-5"/>
          <w:kern w:val="20"/>
          <w:sz w:val="24"/>
          <w:lang w:val="en-US" w:eastAsia="zh-CN"/>
        </w:rPr>
        <w:t>775</w:t>
      </w:r>
      <w:r>
        <w:rPr>
          <w:rFonts w:hint="eastAsia" w:ascii="宋体" w:hAnsi="宋体" w:cs="宋体"/>
          <w:bCs/>
          <w:spacing w:val="-5"/>
          <w:kern w:val="20"/>
          <w:sz w:val="24"/>
        </w:rPr>
        <w:t>万元，合同自动终止</w:t>
      </w:r>
      <w:r>
        <w:rPr>
          <w:rFonts w:hint="eastAsia" w:ascii="宋体" w:hAnsi="宋体"/>
          <w:sz w:val="24"/>
        </w:rPr>
        <w:t>。若在合同期内乙方有不配合甲方工作等严重违约行为或连续三个月考核不合格的（80分（不含）以下视为考核不合格）或连续两次被媒体曝光的，甲方有权提前终止合同，由此造成的一切后果和损失由乙方承担。</w:t>
      </w:r>
    </w:p>
    <w:p>
      <w:pPr>
        <w:pStyle w:val="2"/>
        <w:spacing w:line="360" w:lineRule="auto"/>
      </w:pPr>
      <w:r>
        <w:rPr>
          <w:rFonts w:hint="eastAsia"/>
        </w:rPr>
        <w:t>2</w:t>
      </w:r>
      <w:r>
        <w:t>、其他要求：</w:t>
      </w:r>
    </w:p>
    <w:p>
      <w:pPr>
        <w:pStyle w:val="2"/>
        <w:spacing w:line="360" w:lineRule="auto"/>
      </w:pPr>
      <w:r>
        <w:rPr>
          <w:rFonts w:ascii="宋体" w:hAnsi="宋体"/>
          <w:b/>
          <w:bCs/>
        </w:rPr>
        <w:t>▲</w:t>
      </w:r>
      <w:r>
        <w:rPr>
          <w:rFonts w:hint="eastAsia"/>
        </w:rPr>
        <w:t>2</w:t>
      </w:r>
      <w:r>
        <w:t>.1、所有环卫机动车辆需已安装或承诺中标后安装GPS监控系统并接入区级平台。</w:t>
      </w:r>
    </w:p>
    <w:p>
      <w:pPr>
        <w:pStyle w:val="2"/>
        <w:spacing w:line="360" w:lineRule="auto"/>
      </w:pPr>
      <w:r>
        <w:rPr>
          <w:rFonts w:ascii="宋体" w:hAnsi="宋体"/>
          <w:b/>
          <w:bCs/>
        </w:rPr>
        <w:t>▲</w:t>
      </w:r>
      <w:r>
        <w:rPr>
          <w:rFonts w:hint="eastAsia"/>
        </w:rPr>
        <w:t>2.2</w:t>
      </w:r>
      <w:r>
        <w:t>、中型垃圾清运车需安装车载称重系统并接入区级平台。</w:t>
      </w:r>
    </w:p>
    <w:p>
      <w:pPr>
        <w:pStyle w:val="2"/>
        <w:spacing w:line="360" w:lineRule="auto"/>
      </w:pPr>
      <w:r>
        <w:rPr>
          <w:rFonts w:ascii="宋体" w:hAnsi="宋体"/>
          <w:b/>
          <w:bCs/>
        </w:rPr>
        <w:t>▲</w:t>
      </w:r>
      <w:r>
        <w:rPr>
          <w:rFonts w:hint="eastAsia"/>
        </w:rPr>
        <w:t>2.3</w:t>
      </w:r>
      <w:r>
        <w:t>、环卫机械设备不得为国三柴油车。</w:t>
      </w:r>
    </w:p>
    <w:p>
      <w:pPr>
        <w:spacing w:line="500" w:lineRule="exact"/>
        <w:rPr>
          <w:rFonts w:hint="eastAsia"/>
          <w:b/>
          <w:bCs/>
          <w:sz w:val="24"/>
        </w:rPr>
      </w:pPr>
      <w:r>
        <w:rPr>
          <w:rFonts w:hint="eastAsia"/>
          <w:b/>
          <w:bCs/>
          <w:sz w:val="24"/>
        </w:rPr>
        <w:t>3、本工程有关的特殊条款和清运标准</w:t>
      </w:r>
    </w:p>
    <w:p>
      <w:pPr>
        <w:spacing w:line="500" w:lineRule="exact"/>
        <w:ind w:firstLine="482" w:firstLineChars="200"/>
        <w:rPr>
          <w:rFonts w:hint="eastAsia"/>
          <w:b/>
          <w:bCs/>
          <w:sz w:val="24"/>
        </w:rPr>
      </w:pPr>
      <w:r>
        <w:rPr>
          <w:rFonts w:ascii="宋体" w:hAnsi="宋体"/>
          <w:b/>
          <w:bCs/>
          <w:sz w:val="24"/>
        </w:rPr>
        <w:t>▲</w:t>
      </w:r>
      <w:r>
        <w:rPr>
          <w:rFonts w:hint="eastAsia"/>
          <w:b/>
          <w:bCs/>
          <w:sz w:val="24"/>
        </w:rPr>
        <w:t>（1）承包服务期内，中标单位作业人员配置必须满足实行不少于8小时动态清运。</w:t>
      </w:r>
    </w:p>
    <w:p>
      <w:pPr>
        <w:spacing w:line="500" w:lineRule="exact"/>
        <w:ind w:firstLine="482" w:firstLineChars="200"/>
        <w:rPr>
          <w:rFonts w:hint="eastAsia"/>
          <w:b/>
          <w:bCs/>
          <w:sz w:val="24"/>
        </w:rPr>
      </w:pPr>
      <w:r>
        <w:rPr>
          <w:rFonts w:ascii="宋体" w:hAnsi="宋体"/>
          <w:b/>
          <w:bCs/>
          <w:sz w:val="24"/>
        </w:rPr>
        <w:t>▲</w:t>
      </w:r>
      <w:r>
        <w:rPr>
          <w:rFonts w:hint="eastAsia"/>
          <w:b/>
          <w:bCs/>
          <w:sz w:val="24"/>
        </w:rPr>
        <w:t>（2）承包服务期内，必须投入相应的机械等设备，符合环卫行业标准化管理的要求。</w:t>
      </w:r>
    </w:p>
    <w:p>
      <w:pPr>
        <w:spacing w:line="500" w:lineRule="exact"/>
        <w:ind w:firstLine="482" w:firstLineChars="200"/>
        <w:rPr>
          <w:rFonts w:hint="eastAsia"/>
          <w:b/>
          <w:bCs/>
          <w:sz w:val="24"/>
        </w:rPr>
      </w:pPr>
      <w:r>
        <w:rPr>
          <w:rFonts w:hint="eastAsia"/>
          <w:b/>
          <w:bCs/>
          <w:sz w:val="24"/>
        </w:rPr>
        <w:t>（3）承包服务期内，在迎检和各类创建活动中，中标单位应无条件服从招标人的安排，圆满完成各项任务，由于中标单位的原因失分或造成不良影响的，招标人有权进行处罚和清退中标单位，在迎检过程中，由于中标单位组织不力，由招标人组织人力、物力进行整治所涉及的费用，由中标单位双倍偿还招标人，招标人有权直接在清运费中扣除。</w:t>
      </w:r>
    </w:p>
    <w:p>
      <w:pPr>
        <w:spacing w:line="500" w:lineRule="exact"/>
        <w:ind w:firstLine="482" w:firstLineChars="200"/>
        <w:rPr>
          <w:rFonts w:hint="eastAsia"/>
          <w:b/>
          <w:bCs/>
          <w:sz w:val="24"/>
        </w:rPr>
      </w:pPr>
      <w:r>
        <w:rPr>
          <w:rFonts w:ascii="宋体" w:hAnsi="宋体"/>
          <w:b/>
          <w:bCs/>
          <w:sz w:val="24"/>
        </w:rPr>
        <w:t>▲</w:t>
      </w:r>
      <w:r>
        <w:rPr>
          <w:rFonts w:hint="eastAsia"/>
          <w:b/>
          <w:bCs/>
          <w:sz w:val="24"/>
        </w:rPr>
        <w:t>（4）承包服务期内所发生的任何安全事故一律由中标单位负责，招标人不承担任何责任。</w:t>
      </w:r>
    </w:p>
    <w:p>
      <w:pPr>
        <w:spacing w:line="500" w:lineRule="exact"/>
        <w:ind w:firstLine="482" w:firstLineChars="200"/>
        <w:rPr>
          <w:rFonts w:hint="eastAsia"/>
          <w:b/>
          <w:bCs/>
          <w:sz w:val="24"/>
        </w:rPr>
      </w:pPr>
      <w:r>
        <w:rPr>
          <w:rFonts w:hint="eastAsia"/>
          <w:b/>
          <w:bCs/>
          <w:sz w:val="24"/>
        </w:rPr>
        <w:t>（5）承包服务期内，中标单位所产生的各项费用（垃圾转运费用、设备运维管理费用），已由招标单位一并计入综合单价中。水、电及其他耗材费用由</w:t>
      </w:r>
      <w:r>
        <w:rPr>
          <w:rFonts w:hint="eastAsia"/>
          <w:b/>
          <w:bCs/>
          <w:sz w:val="24"/>
          <w:lang w:eastAsia="zh-CN"/>
        </w:rPr>
        <w:t>投标</w:t>
      </w:r>
      <w:r>
        <w:rPr>
          <w:rFonts w:hint="eastAsia"/>
          <w:b/>
          <w:bCs/>
          <w:sz w:val="24"/>
        </w:rPr>
        <w:t>人负责。</w:t>
      </w:r>
    </w:p>
    <w:p>
      <w:pPr>
        <w:spacing w:line="500" w:lineRule="exact"/>
        <w:ind w:firstLine="482" w:firstLineChars="200"/>
        <w:rPr>
          <w:rFonts w:hint="eastAsia"/>
          <w:b/>
          <w:bCs/>
          <w:sz w:val="24"/>
        </w:rPr>
      </w:pPr>
      <w:r>
        <w:rPr>
          <w:rFonts w:hint="eastAsia"/>
          <w:b/>
          <w:bCs/>
          <w:sz w:val="24"/>
        </w:rPr>
        <w:t>（6）承包服务期内，如遇新增垃圾收集及清运范围的，由中标单位进行收集清运，并纳入合同范围，费用投标时价格计算。</w:t>
      </w:r>
    </w:p>
    <w:p>
      <w:pPr>
        <w:spacing w:line="500" w:lineRule="exact"/>
        <w:ind w:firstLine="482" w:firstLineChars="200"/>
        <w:rPr>
          <w:rFonts w:hint="eastAsia"/>
          <w:b/>
          <w:bCs/>
          <w:sz w:val="24"/>
        </w:rPr>
      </w:pPr>
      <w:r>
        <w:rPr>
          <w:rFonts w:hint="eastAsia"/>
          <w:b/>
          <w:bCs/>
          <w:sz w:val="24"/>
        </w:rPr>
        <w:t>（7）中标单位需对园区的生活垃圾清运量进行记录，汇总反馈至街道生活垃圾领导小组配合考核工作。</w:t>
      </w:r>
    </w:p>
    <w:p>
      <w:pPr>
        <w:spacing w:line="500" w:lineRule="exact"/>
        <w:ind w:firstLine="482" w:firstLineChars="200"/>
        <w:rPr>
          <w:rFonts w:hint="eastAsia"/>
          <w:b/>
          <w:bCs/>
          <w:sz w:val="24"/>
        </w:rPr>
      </w:pPr>
      <w:r>
        <w:rPr>
          <w:rFonts w:ascii="宋体" w:hAnsi="宋体"/>
          <w:b/>
          <w:bCs/>
          <w:sz w:val="24"/>
        </w:rPr>
        <w:t>▲</w:t>
      </w:r>
      <w:r>
        <w:rPr>
          <w:rFonts w:hint="eastAsia"/>
          <w:b/>
          <w:bCs/>
          <w:sz w:val="24"/>
        </w:rPr>
        <w:t>（8）中标单位不得向沿街单位和个人收取任何费用，需配合街道收取商铺清运费用。</w:t>
      </w:r>
    </w:p>
    <w:p>
      <w:pPr>
        <w:spacing w:line="500" w:lineRule="exact"/>
        <w:ind w:firstLine="482" w:firstLineChars="200"/>
        <w:rPr>
          <w:b/>
          <w:bCs/>
          <w:sz w:val="24"/>
        </w:rPr>
      </w:pPr>
      <w:r>
        <w:rPr>
          <w:rFonts w:ascii="宋体" w:hAnsi="宋体"/>
          <w:b/>
          <w:bCs/>
          <w:sz w:val="24"/>
        </w:rPr>
        <w:t>▲</w:t>
      </w:r>
      <w:r>
        <w:rPr>
          <w:rFonts w:hint="eastAsia"/>
          <w:b/>
          <w:bCs/>
          <w:sz w:val="24"/>
        </w:rPr>
        <w:t>（9）中标单位在垃圾收集及清运时，应做到日产两清。如遇园区垃圾分类不合格的，中标单位可以拒收并及时通知招标人。</w:t>
      </w:r>
    </w:p>
    <w:p>
      <w:pPr>
        <w:spacing w:line="500" w:lineRule="exact"/>
        <w:ind w:firstLine="482" w:firstLineChars="200"/>
        <w:rPr>
          <w:rFonts w:hint="eastAsia"/>
          <w:b/>
          <w:bCs/>
          <w:sz w:val="24"/>
        </w:rPr>
      </w:pPr>
      <w:r>
        <w:rPr>
          <w:rFonts w:ascii="宋体" w:hAnsi="宋体"/>
          <w:b/>
          <w:bCs/>
          <w:sz w:val="24"/>
        </w:rPr>
        <w:t>▲</w:t>
      </w:r>
      <w:r>
        <w:rPr>
          <w:rFonts w:hint="eastAsia"/>
          <w:b/>
          <w:bCs/>
          <w:sz w:val="24"/>
        </w:rPr>
        <w:t>（10）中标单位不得将本项目分包或转包，否则招标人有权责令其停止作业并中止承包合同，所造成的损失由中标单位负责。</w:t>
      </w:r>
    </w:p>
    <w:p>
      <w:pPr>
        <w:spacing w:line="500" w:lineRule="exact"/>
        <w:ind w:firstLine="482" w:firstLineChars="200"/>
        <w:rPr>
          <w:rFonts w:hint="eastAsia"/>
          <w:b/>
          <w:bCs/>
          <w:sz w:val="24"/>
        </w:rPr>
      </w:pPr>
      <w:r>
        <w:rPr>
          <w:rFonts w:ascii="宋体" w:hAnsi="宋体"/>
          <w:b/>
          <w:bCs/>
          <w:sz w:val="24"/>
        </w:rPr>
        <w:t>▲</w:t>
      </w:r>
      <w:r>
        <w:rPr>
          <w:rFonts w:hint="eastAsia"/>
          <w:b/>
          <w:bCs/>
          <w:sz w:val="24"/>
        </w:rPr>
        <w:t>（11）中标单位在签订本项目服务合同前必须具备符合投标文件中承诺的投入本项目所需作业人员、机具配备数量条件，设备必须提前到场，对主要机械设备安装GPS卫星定位系统及车载称重系统，所有清运人员配带智能手环，统一纳入区环卫监管系统平台管理，所产生的费用由中标单位承担，以上设备不得在本街道中标区块以外与其他乡镇（街道）承包的清运服务区域共用。中标单位若不能满足此条件的招标方有权更换中标单位，所造成的损失由中标单位自负。</w:t>
      </w:r>
    </w:p>
    <w:p>
      <w:pPr>
        <w:pStyle w:val="622"/>
        <w:spacing w:line="500" w:lineRule="exact"/>
        <w:ind w:firstLine="482" w:firstLineChars="200"/>
        <w:rPr>
          <w:rFonts w:hint="eastAsia"/>
          <w:b/>
          <w:bCs/>
          <w:lang w:val="en-US"/>
        </w:rPr>
      </w:pPr>
      <w:r>
        <w:rPr>
          <w:rFonts w:hint="eastAsia"/>
          <w:b/>
          <w:bCs/>
          <w:lang w:val="en-US"/>
        </w:rPr>
        <w:t>（1</w:t>
      </w:r>
      <w:r>
        <w:rPr>
          <w:rFonts w:hint="eastAsia"/>
          <w:b/>
          <w:bCs/>
          <w:lang w:val="en-US" w:eastAsia="zh-CN"/>
        </w:rPr>
        <w:t>2</w:t>
      </w:r>
      <w:r>
        <w:rPr>
          <w:rFonts w:hint="eastAsia"/>
          <w:b/>
          <w:bCs/>
          <w:lang w:val="en-US"/>
        </w:rPr>
        <w:t>）</w:t>
      </w:r>
      <w:r>
        <w:rPr>
          <w:rFonts w:hint="eastAsia"/>
          <w:b/>
          <w:bCs/>
        </w:rPr>
        <w:t>中标单位</w:t>
      </w:r>
      <w:r>
        <w:rPr>
          <w:rFonts w:hint="eastAsia"/>
          <w:b/>
          <w:bCs/>
          <w:lang w:val="en-US"/>
        </w:rPr>
        <w:t>在后续清运中需接受中转站运维方的统一管理调度。</w:t>
      </w:r>
    </w:p>
    <w:p>
      <w:pPr>
        <w:spacing w:line="500" w:lineRule="exact"/>
        <w:ind w:firstLine="482" w:firstLineChars="200"/>
        <w:rPr>
          <w:rFonts w:hint="eastAsia"/>
          <w:b/>
          <w:bCs/>
          <w:sz w:val="24"/>
        </w:rPr>
      </w:pPr>
      <w:r>
        <w:rPr>
          <w:rFonts w:ascii="宋体" w:hAnsi="宋体"/>
          <w:b/>
          <w:bCs/>
          <w:sz w:val="24"/>
        </w:rPr>
        <w:t>▲</w:t>
      </w:r>
      <w:r>
        <w:rPr>
          <w:rFonts w:hint="eastAsia"/>
          <w:b/>
          <w:bCs/>
          <w:sz w:val="24"/>
        </w:rPr>
        <w:t>（1</w:t>
      </w:r>
      <w:r>
        <w:rPr>
          <w:rFonts w:hint="eastAsia"/>
          <w:b/>
          <w:bCs/>
          <w:sz w:val="24"/>
          <w:lang w:val="en-US" w:eastAsia="zh-CN"/>
        </w:rPr>
        <w:t>3</w:t>
      </w:r>
      <w:r>
        <w:rPr>
          <w:rFonts w:hint="eastAsia"/>
          <w:b/>
          <w:bCs/>
          <w:sz w:val="24"/>
        </w:rPr>
        <w:t>）</w:t>
      </w:r>
      <w:r>
        <w:rPr>
          <w:rFonts w:hint="eastAsia"/>
          <w:b/>
          <w:bCs/>
          <w:sz w:val="24"/>
          <w:lang w:val="en-US"/>
        </w:rPr>
        <w:t>中标后</w:t>
      </w:r>
      <w:r>
        <w:rPr>
          <w:rFonts w:hint="eastAsia"/>
          <w:b/>
          <w:bCs/>
          <w:sz w:val="24"/>
        </w:rPr>
        <w:t>必须配备的人员：</w:t>
      </w:r>
    </w:p>
    <w:tbl>
      <w:tblPr>
        <w:tblStyle w:val="63"/>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810"/>
        <w:gridCol w:w="1710"/>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pPr>
              <w:spacing w:line="360" w:lineRule="auto"/>
              <w:jc w:val="center"/>
              <w:rPr>
                <w:rFonts w:hint="eastAsia" w:hAnsi="宋体" w:cs="宋体"/>
                <w:b/>
                <w:bCs/>
                <w:sz w:val="24"/>
              </w:rPr>
            </w:pPr>
            <w:r>
              <w:rPr>
                <w:rFonts w:hint="eastAsia" w:hAnsi="宋体" w:cs="宋体"/>
                <w:b/>
                <w:bCs/>
                <w:sz w:val="24"/>
              </w:rPr>
              <w:t>序号</w:t>
            </w:r>
          </w:p>
        </w:tc>
        <w:tc>
          <w:tcPr>
            <w:tcW w:w="3810" w:type="dxa"/>
            <w:vAlign w:val="center"/>
          </w:tcPr>
          <w:p>
            <w:pPr>
              <w:spacing w:line="360" w:lineRule="auto"/>
              <w:jc w:val="center"/>
              <w:rPr>
                <w:rFonts w:hint="eastAsia" w:hAnsi="宋体" w:cs="宋体"/>
                <w:b/>
                <w:bCs/>
                <w:sz w:val="24"/>
              </w:rPr>
            </w:pPr>
            <w:r>
              <w:rPr>
                <w:rFonts w:hint="eastAsia" w:hAnsi="宋体" w:cs="宋体"/>
                <w:b/>
                <w:bCs/>
                <w:sz w:val="24"/>
              </w:rPr>
              <w:t>岗位</w:t>
            </w:r>
          </w:p>
        </w:tc>
        <w:tc>
          <w:tcPr>
            <w:tcW w:w="1710" w:type="dxa"/>
            <w:vAlign w:val="center"/>
          </w:tcPr>
          <w:p>
            <w:pPr>
              <w:spacing w:line="360" w:lineRule="auto"/>
              <w:jc w:val="center"/>
              <w:rPr>
                <w:rFonts w:hint="eastAsia" w:hAnsi="宋体" w:cs="宋体"/>
                <w:b/>
                <w:bCs/>
                <w:sz w:val="24"/>
              </w:rPr>
            </w:pPr>
            <w:r>
              <w:rPr>
                <w:rFonts w:hint="eastAsia" w:hAnsi="宋体" w:cs="宋体"/>
                <w:b/>
                <w:bCs/>
                <w:sz w:val="24"/>
              </w:rPr>
              <w:t>人数</w:t>
            </w:r>
          </w:p>
        </w:tc>
        <w:tc>
          <w:tcPr>
            <w:tcW w:w="2886" w:type="dxa"/>
            <w:vAlign w:val="center"/>
          </w:tcPr>
          <w:p>
            <w:pPr>
              <w:spacing w:line="360" w:lineRule="auto"/>
              <w:jc w:val="center"/>
              <w:rPr>
                <w:rFonts w:hint="eastAsia" w:hAnsi="宋体" w:cs="宋体"/>
                <w:b/>
                <w:bCs/>
                <w:sz w:val="24"/>
              </w:rPr>
            </w:pPr>
            <w:r>
              <w:rPr>
                <w:rFonts w:hint="eastAsia"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051" w:type="dxa"/>
            <w:vAlign w:val="center"/>
          </w:tcPr>
          <w:p>
            <w:pPr>
              <w:spacing w:line="360" w:lineRule="auto"/>
              <w:jc w:val="center"/>
              <w:rPr>
                <w:rFonts w:hint="eastAsia" w:hAnsi="宋体" w:cs="宋体"/>
                <w:b/>
                <w:bCs/>
                <w:sz w:val="24"/>
              </w:rPr>
            </w:pPr>
            <w:r>
              <w:rPr>
                <w:rFonts w:hint="eastAsia" w:hAnsi="宋体" w:cs="宋体"/>
                <w:b/>
                <w:bCs/>
                <w:sz w:val="24"/>
              </w:rPr>
              <w:t>1</w:t>
            </w:r>
          </w:p>
        </w:tc>
        <w:tc>
          <w:tcPr>
            <w:tcW w:w="3810" w:type="dxa"/>
            <w:vAlign w:val="center"/>
          </w:tcPr>
          <w:p>
            <w:pPr>
              <w:spacing w:line="360" w:lineRule="auto"/>
              <w:jc w:val="center"/>
              <w:rPr>
                <w:rFonts w:hint="eastAsia" w:hAnsi="宋体" w:cs="宋体"/>
                <w:b/>
                <w:bCs/>
                <w:sz w:val="24"/>
              </w:rPr>
            </w:pPr>
            <w:r>
              <w:rPr>
                <w:rFonts w:hint="eastAsia" w:hAnsi="宋体" w:cs="宋体"/>
                <w:b/>
                <w:bCs/>
                <w:sz w:val="24"/>
              </w:rPr>
              <w:t>人员（含管理人员、服务人员、对账员等）</w:t>
            </w:r>
          </w:p>
        </w:tc>
        <w:tc>
          <w:tcPr>
            <w:tcW w:w="1710" w:type="dxa"/>
            <w:vAlign w:val="center"/>
          </w:tcPr>
          <w:p>
            <w:pPr>
              <w:spacing w:line="360" w:lineRule="auto"/>
              <w:jc w:val="center"/>
              <w:rPr>
                <w:rFonts w:hint="eastAsia" w:hAnsi="宋体" w:cs="宋体"/>
                <w:b/>
                <w:bCs/>
                <w:sz w:val="24"/>
              </w:rPr>
            </w:pPr>
            <w:r>
              <w:rPr>
                <w:rFonts w:hint="eastAsia" w:hAnsi="宋体" w:cs="宋体"/>
                <w:b/>
                <w:bCs/>
                <w:sz w:val="24"/>
              </w:rPr>
              <w:t>不少于60人</w:t>
            </w:r>
          </w:p>
        </w:tc>
        <w:tc>
          <w:tcPr>
            <w:tcW w:w="2886" w:type="dxa"/>
            <w:vAlign w:val="center"/>
          </w:tcPr>
          <w:p>
            <w:pPr>
              <w:spacing w:line="360" w:lineRule="auto"/>
              <w:jc w:val="center"/>
              <w:rPr>
                <w:rFonts w:hint="eastAsia" w:hAnsi="宋体" w:cs="宋体"/>
                <w:b/>
                <w:bCs/>
                <w:sz w:val="24"/>
              </w:rPr>
            </w:pPr>
            <w:r>
              <w:rPr>
                <w:rFonts w:hint="eastAsia" w:hAnsi="宋体" w:cs="宋体"/>
                <w:b/>
                <w:bCs/>
                <w:sz w:val="24"/>
              </w:rPr>
              <w:t>具体视清运效果而定，必要时需增加人员</w:t>
            </w:r>
          </w:p>
        </w:tc>
      </w:tr>
    </w:tbl>
    <w:p>
      <w:pPr>
        <w:spacing w:line="500" w:lineRule="exact"/>
        <w:ind w:left="354" w:firstLine="241" w:firstLineChars="100"/>
        <w:rPr>
          <w:rFonts w:hint="eastAsia"/>
          <w:b/>
          <w:bCs/>
          <w:sz w:val="24"/>
        </w:rPr>
      </w:pPr>
      <w:r>
        <w:rPr>
          <w:rFonts w:hint="eastAsia"/>
          <w:b/>
          <w:bCs/>
          <w:sz w:val="24"/>
        </w:rPr>
        <w:t>中标后必须配备的车辆：</w:t>
      </w:r>
    </w:p>
    <w:tbl>
      <w:tblPr>
        <w:tblStyle w:val="63"/>
        <w:tblW w:w="9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810"/>
        <w:gridCol w:w="1855"/>
        <w:gridCol w:w="156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pPr>
              <w:spacing w:line="360" w:lineRule="auto"/>
              <w:jc w:val="center"/>
              <w:rPr>
                <w:rFonts w:hint="eastAsia" w:hAnsi="宋体" w:cs="宋体"/>
                <w:b/>
                <w:bCs/>
                <w:sz w:val="24"/>
              </w:rPr>
            </w:pPr>
            <w:r>
              <w:rPr>
                <w:rFonts w:hint="eastAsia" w:hAnsi="宋体" w:cs="宋体"/>
                <w:b/>
                <w:bCs/>
                <w:sz w:val="24"/>
              </w:rPr>
              <w:t>序号</w:t>
            </w:r>
          </w:p>
        </w:tc>
        <w:tc>
          <w:tcPr>
            <w:tcW w:w="3810" w:type="dxa"/>
            <w:vAlign w:val="center"/>
          </w:tcPr>
          <w:p>
            <w:pPr>
              <w:spacing w:line="360" w:lineRule="auto"/>
              <w:jc w:val="center"/>
              <w:rPr>
                <w:rFonts w:hint="eastAsia" w:hAnsi="宋体" w:cs="宋体"/>
                <w:b/>
                <w:bCs/>
                <w:sz w:val="24"/>
              </w:rPr>
            </w:pPr>
            <w:r>
              <w:rPr>
                <w:rFonts w:hint="eastAsia" w:hAnsi="宋体" w:cs="宋体"/>
                <w:sz w:val="24"/>
              </w:rPr>
              <w:t>车辆名称</w:t>
            </w:r>
          </w:p>
        </w:tc>
        <w:tc>
          <w:tcPr>
            <w:tcW w:w="1855" w:type="dxa"/>
            <w:vAlign w:val="center"/>
          </w:tcPr>
          <w:p>
            <w:pPr>
              <w:spacing w:line="360" w:lineRule="auto"/>
              <w:jc w:val="center"/>
              <w:rPr>
                <w:rFonts w:hint="eastAsia" w:hAnsi="宋体" w:cs="宋体"/>
                <w:b/>
                <w:bCs/>
                <w:sz w:val="24"/>
              </w:rPr>
            </w:pPr>
            <w:r>
              <w:rPr>
                <w:rFonts w:hint="eastAsia" w:hAnsi="宋体" w:cs="宋体"/>
                <w:b/>
                <w:bCs/>
                <w:sz w:val="24"/>
              </w:rPr>
              <w:t>总质量</w:t>
            </w:r>
            <w:r>
              <w:rPr>
                <w:rFonts w:hint="eastAsia" w:hAnsi="宋体" w:cs="宋体"/>
                <w:sz w:val="24"/>
              </w:rPr>
              <w:t>不少于</w:t>
            </w:r>
          </w:p>
        </w:tc>
        <w:tc>
          <w:tcPr>
            <w:tcW w:w="1565" w:type="dxa"/>
            <w:vAlign w:val="center"/>
          </w:tcPr>
          <w:p>
            <w:pPr>
              <w:spacing w:line="360" w:lineRule="auto"/>
              <w:jc w:val="center"/>
              <w:rPr>
                <w:rFonts w:hint="eastAsia" w:hAnsi="宋体" w:cs="宋体"/>
                <w:b/>
                <w:bCs/>
                <w:sz w:val="24"/>
              </w:rPr>
            </w:pPr>
            <w:r>
              <w:rPr>
                <w:rFonts w:hint="eastAsia" w:hAnsi="宋体" w:cs="宋体"/>
                <w:b/>
                <w:bCs/>
                <w:sz w:val="24"/>
              </w:rPr>
              <w:t>数量</w:t>
            </w:r>
            <w:r>
              <w:rPr>
                <w:rFonts w:hint="eastAsia" w:hAnsi="宋体" w:cs="宋体"/>
                <w:sz w:val="24"/>
              </w:rPr>
              <w:t>不少于</w:t>
            </w:r>
          </w:p>
        </w:tc>
        <w:tc>
          <w:tcPr>
            <w:tcW w:w="1710" w:type="dxa"/>
            <w:vAlign w:val="center"/>
          </w:tcPr>
          <w:p>
            <w:pPr>
              <w:spacing w:line="360" w:lineRule="auto"/>
              <w:jc w:val="center"/>
              <w:rPr>
                <w:rFonts w:hint="eastAsia" w:hAnsi="宋体" w:cs="宋体"/>
                <w:b/>
                <w:bCs/>
                <w:sz w:val="24"/>
              </w:rPr>
            </w:pPr>
            <w:r>
              <w:rPr>
                <w:rFonts w:hint="eastAsia"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051" w:type="dxa"/>
            <w:vAlign w:val="center"/>
          </w:tcPr>
          <w:p>
            <w:pPr>
              <w:spacing w:line="360" w:lineRule="auto"/>
              <w:jc w:val="center"/>
              <w:rPr>
                <w:rFonts w:hint="eastAsia" w:hAnsi="宋体" w:cs="宋体"/>
                <w:b/>
                <w:bCs/>
                <w:sz w:val="24"/>
              </w:rPr>
            </w:pPr>
            <w:r>
              <w:rPr>
                <w:rFonts w:hint="eastAsia" w:hAnsi="宋体" w:cs="宋体"/>
                <w:b/>
                <w:bCs/>
                <w:sz w:val="24"/>
              </w:rPr>
              <w:t>1</w:t>
            </w:r>
          </w:p>
        </w:tc>
        <w:tc>
          <w:tcPr>
            <w:tcW w:w="3810" w:type="dxa"/>
            <w:vAlign w:val="center"/>
          </w:tcPr>
          <w:p>
            <w:pPr>
              <w:widowControl/>
              <w:jc w:val="center"/>
              <w:textAlignment w:val="center"/>
              <w:rPr>
                <w:rFonts w:hint="eastAsia" w:hAnsi="宋体" w:cs="宋体"/>
                <w:b/>
                <w:bCs/>
                <w:sz w:val="24"/>
              </w:rPr>
            </w:pPr>
            <w:r>
              <w:rPr>
                <w:rFonts w:hint="eastAsia" w:ascii="宋体" w:hAnsi="宋体" w:eastAsia="宋体" w:cs="宋体"/>
                <w:i w:val="0"/>
                <w:iCs w:val="0"/>
                <w:color w:val="000000"/>
                <w:kern w:val="0"/>
                <w:sz w:val="28"/>
                <w:szCs w:val="28"/>
                <w:u w:val="none"/>
                <w:lang w:val="en-US" w:eastAsia="zh-CN"/>
              </w:rPr>
              <w:t>密闭式垃圾直运车</w:t>
            </w:r>
          </w:p>
        </w:tc>
        <w:tc>
          <w:tcPr>
            <w:tcW w:w="1855" w:type="dxa"/>
            <w:vAlign w:val="center"/>
          </w:tcPr>
          <w:p>
            <w:pPr>
              <w:widowControl/>
              <w:jc w:val="center"/>
              <w:textAlignment w:val="center"/>
              <w:rPr>
                <w:rFonts w:hint="eastAsia" w:hAnsi="宋体" w:cs="宋体"/>
                <w:b/>
                <w:bCs/>
                <w:sz w:val="24"/>
              </w:rPr>
            </w:pPr>
            <w:r>
              <w:rPr>
                <w:rFonts w:hint="eastAsia" w:ascii="宋体" w:hAnsi="宋体" w:eastAsia="宋体" w:cs="宋体"/>
                <w:i w:val="0"/>
                <w:iCs w:val="0"/>
                <w:color w:val="000000"/>
                <w:kern w:val="0"/>
                <w:sz w:val="28"/>
                <w:szCs w:val="28"/>
                <w:u w:val="none"/>
                <w:lang w:val="en-US" w:eastAsia="zh-CN"/>
              </w:rPr>
              <w:t>16吨</w:t>
            </w:r>
          </w:p>
        </w:tc>
        <w:tc>
          <w:tcPr>
            <w:tcW w:w="1565" w:type="dxa"/>
            <w:vAlign w:val="center"/>
          </w:tcPr>
          <w:p>
            <w:pPr>
              <w:widowControl/>
              <w:jc w:val="center"/>
              <w:textAlignment w:val="center"/>
              <w:rPr>
                <w:rFonts w:hint="eastAsia" w:hAnsi="宋体" w:cs="宋体"/>
                <w:b/>
                <w:bCs/>
                <w:sz w:val="24"/>
              </w:rPr>
            </w:pPr>
            <w:r>
              <w:rPr>
                <w:rFonts w:hint="eastAsia" w:ascii="宋体" w:hAnsi="宋体" w:eastAsia="宋体" w:cs="宋体"/>
                <w:i w:val="0"/>
                <w:iCs w:val="0"/>
                <w:color w:val="000000"/>
                <w:kern w:val="0"/>
                <w:sz w:val="28"/>
                <w:szCs w:val="28"/>
                <w:u w:val="none"/>
                <w:lang w:val="en-US" w:eastAsia="zh-CN"/>
              </w:rPr>
              <w:t>3辆</w:t>
            </w:r>
          </w:p>
        </w:tc>
        <w:tc>
          <w:tcPr>
            <w:tcW w:w="1710" w:type="dxa"/>
            <w:vMerge w:val="restart"/>
            <w:vAlign w:val="center"/>
          </w:tcPr>
          <w:p>
            <w:pPr>
              <w:spacing w:line="360" w:lineRule="auto"/>
              <w:jc w:val="center"/>
              <w:rPr>
                <w:rFonts w:hint="eastAsia" w:hAnsi="宋体" w:cs="宋体"/>
                <w:b/>
                <w:bCs/>
                <w:sz w:val="24"/>
              </w:rPr>
            </w:pPr>
            <w:r>
              <w:rPr>
                <w:rFonts w:hint="eastAsia" w:hAnsi="宋体" w:cs="宋体"/>
                <w:b/>
                <w:bCs/>
                <w:sz w:val="24"/>
              </w:rPr>
              <w:t>目前的车辆只能够响应目前的垃圾量，如需后续垃圾量增加较大，中标方承诺增加相应的车辆及厢体等设备，以满足实际收集及清运需要。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51" w:type="dxa"/>
            <w:vAlign w:val="center"/>
          </w:tcPr>
          <w:p>
            <w:pPr>
              <w:spacing w:line="360" w:lineRule="auto"/>
              <w:jc w:val="center"/>
              <w:rPr>
                <w:rFonts w:hint="eastAsia" w:hAnsi="宋体" w:cs="宋体"/>
                <w:b/>
                <w:bCs/>
                <w:sz w:val="24"/>
              </w:rPr>
            </w:pPr>
            <w:r>
              <w:rPr>
                <w:rFonts w:hint="eastAsia" w:hAnsi="宋体" w:cs="宋体"/>
                <w:b/>
                <w:bCs/>
                <w:sz w:val="24"/>
              </w:rPr>
              <w:t>2</w:t>
            </w:r>
          </w:p>
        </w:tc>
        <w:tc>
          <w:tcPr>
            <w:tcW w:w="3810" w:type="dxa"/>
            <w:vAlign w:val="center"/>
          </w:tcPr>
          <w:p>
            <w:pPr>
              <w:widowControl/>
              <w:jc w:val="center"/>
              <w:textAlignment w:val="center"/>
              <w:rPr>
                <w:rFonts w:hint="eastAsia" w:hAnsi="宋体" w:cs="宋体"/>
                <w:b/>
                <w:bCs/>
                <w:sz w:val="24"/>
              </w:rPr>
            </w:pPr>
            <w:r>
              <w:rPr>
                <w:rFonts w:hint="eastAsia" w:ascii="宋体" w:hAnsi="宋体" w:eastAsia="宋体" w:cs="宋体"/>
                <w:i w:val="0"/>
                <w:iCs w:val="0"/>
                <w:color w:val="000000"/>
                <w:kern w:val="0"/>
                <w:sz w:val="28"/>
                <w:szCs w:val="28"/>
                <w:u w:val="none"/>
                <w:lang w:val="en-US" w:eastAsia="zh-CN"/>
              </w:rPr>
              <w:t>密闭式垃圾直运车</w:t>
            </w:r>
          </w:p>
        </w:tc>
        <w:tc>
          <w:tcPr>
            <w:tcW w:w="1855" w:type="dxa"/>
            <w:vAlign w:val="center"/>
          </w:tcPr>
          <w:p>
            <w:pPr>
              <w:widowControl/>
              <w:jc w:val="center"/>
              <w:textAlignment w:val="center"/>
              <w:rPr>
                <w:rFonts w:hint="eastAsia" w:hAnsi="宋体" w:cs="宋体"/>
                <w:b/>
                <w:bCs/>
                <w:sz w:val="24"/>
              </w:rPr>
            </w:pPr>
            <w:r>
              <w:rPr>
                <w:rFonts w:hint="eastAsia" w:ascii="宋体" w:hAnsi="宋体" w:eastAsia="宋体" w:cs="宋体"/>
                <w:i w:val="0"/>
                <w:iCs w:val="0"/>
                <w:color w:val="000000"/>
                <w:kern w:val="0"/>
                <w:sz w:val="28"/>
                <w:szCs w:val="28"/>
                <w:u w:val="none"/>
                <w:lang w:val="en-US" w:eastAsia="zh-CN"/>
              </w:rPr>
              <w:t>7吨</w:t>
            </w:r>
          </w:p>
        </w:tc>
        <w:tc>
          <w:tcPr>
            <w:tcW w:w="1565" w:type="dxa"/>
            <w:vAlign w:val="center"/>
          </w:tcPr>
          <w:p>
            <w:pPr>
              <w:widowControl/>
              <w:jc w:val="center"/>
              <w:textAlignment w:val="center"/>
              <w:rPr>
                <w:rFonts w:hint="eastAsia" w:hAnsi="宋体" w:cs="宋体"/>
                <w:b/>
                <w:bCs/>
                <w:sz w:val="24"/>
              </w:rPr>
            </w:pPr>
            <w:r>
              <w:rPr>
                <w:rFonts w:hint="eastAsia" w:ascii="宋体" w:hAnsi="宋体" w:eastAsia="宋体" w:cs="宋体"/>
                <w:i w:val="0"/>
                <w:iCs w:val="0"/>
                <w:color w:val="000000"/>
                <w:kern w:val="0"/>
                <w:sz w:val="28"/>
                <w:szCs w:val="28"/>
                <w:u w:val="none"/>
                <w:lang w:val="en-US" w:eastAsia="zh-CN"/>
              </w:rPr>
              <w:t>5辆</w:t>
            </w:r>
          </w:p>
        </w:tc>
        <w:tc>
          <w:tcPr>
            <w:tcW w:w="1710" w:type="dxa"/>
            <w:vMerge w:val="continue"/>
            <w:vAlign w:val="center"/>
          </w:tcPr>
          <w:p>
            <w:pPr>
              <w:spacing w:line="360" w:lineRule="auto"/>
              <w:jc w:val="center"/>
              <w:rPr>
                <w:rFonts w:hint="eastAsia"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51" w:type="dxa"/>
            <w:vAlign w:val="center"/>
          </w:tcPr>
          <w:p>
            <w:pPr>
              <w:widowControl/>
              <w:jc w:val="center"/>
              <w:textAlignment w:val="center"/>
              <w:rPr>
                <w:rFonts w:hint="eastAsia" w:ascii="宋体" w:hAnsi="宋体" w:eastAsia="宋体" w:cs="宋体"/>
                <w:i w:val="0"/>
                <w:iCs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rPr>
              <w:t>3</w:t>
            </w:r>
          </w:p>
        </w:tc>
        <w:tc>
          <w:tcPr>
            <w:tcW w:w="3810" w:type="dxa"/>
            <w:vAlign w:val="center"/>
          </w:tcPr>
          <w:p>
            <w:pPr>
              <w:widowControl/>
              <w:jc w:val="center"/>
              <w:textAlignment w:val="center"/>
              <w:rPr>
                <w:rFonts w:hint="eastAsia" w:ascii="宋体" w:hAnsi="宋体" w:eastAsia="宋体" w:cs="宋体"/>
                <w:i w:val="0"/>
                <w:iCs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rPr>
              <w:t>吸污（粪）车</w:t>
            </w:r>
          </w:p>
        </w:tc>
        <w:tc>
          <w:tcPr>
            <w:tcW w:w="1855" w:type="dxa"/>
            <w:vAlign w:val="center"/>
          </w:tcPr>
          <w:p>
            <w:pPr>
              <w:widowControl/>
              <w:jc w:val="center"/>
              <w:textAlignment w:val="center"/>
              <w:rPr>
                <w:rFonts w:hint="eastAsia" w:ascii="宋体" w:hAnsi="宋体" w:eastAsia="宋体" w:cs="宋体"/>
                <w:i w:val="0"/>
                <w:iCs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rPr>
              <w:t>7吨</w:t>
            </w:r>
          </w:p>
        </w:tc>
        <w:tc>
          <w:tcPr>
            <w:tcW w:w="1565" w:type="dxa"/>
            <w:vAlign w:val="center"/>
          </w:tcPr>
          <w:p>
            <w:pPr>
              <w:widowControl/>
              <w:jc w:val="center"/>
              <w:textAlignment w:val="center"/>
              <w:rPr>
                <w:rFonts w:hint="default" w:ascii="宋体" w:hAnsi="宋体" w:eastAsia="宋体" w:cs="宋体"/>
                <w:i w:val="0"/>
                <w:iCs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rPr>
              <w:t>1辆</w:t>
            </w:r>
          </w:p>
        </w:tc>
        <w:tc>
          <w:tcPr>
            <w:tcW w:w="1710" w:type="dxa"/>
            <w:vMerge w:val="continue"/>
            <w:vAlign w:val="center"/>
          </w:tcPr>
          <w:p>
            <w:pPr>
              <w:spacing w:line="360" w:lineRule="auto"/>
              <w:jc w:val="center"/>
              <w:rPr>
                <w:rFonts w:hint="eastAsia"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51" w:type="dxa"/>
            <w:vAlign w:val="center"/>
          </w:tcPr>
          <w:p>
            <w:pPr>
              <w:spacing w:line="360" w:lineRule="auto"/>
              <w:jc w:val="center"/>
              <w:rPr>
                <w:rFonts w:hint="eastAsia" w:hAnsi="宋体" w:eastAsia="宋体" w:cs="宋体"/>
                <w:b/>
                <w:bCs/>
                <w:sz w:val="24"/>
                <w:lang w:eastAsia="zh-CN"/>
              </w:rPr>
            </w:pPr>
            <w:r>
              <w:rPr>
                <w:rFonts w:hint="eastAsia" w:hAnsi="宋体" w:cs="宋体"/>
                <w:b/>
                <w:bCs/>
                <w:sz w:val="24"/>
                <w:lang w:val="en-US" w:eastAsia="zh-CN"/>
              </w:rPr>
              <w:t>4</w:t>
            </w:r>
          </w:p>
        </w:tc>
        <w:tc>
          <w:tcPr>
            <w:tcW w:w="3810" w:type="dxa"/>
            <w:vAlign w:val="center"/>
          </w:tcPr>
          <w:p>
            <w:pPr>
              <w:widowControl/>
              <w:jc w:val="center"/>
              <w:textAlignment w:val="center"/>
              <w:rPr>
                <w:rFonts w:hint="eastAsia" w:hAnsi="宋体" w:cs="宋体"/>
                <w:b/>
                <w:bCs/>
                <w:sz w:val="24"/>
              </w:rPr>
            </w:pPr>
            <w:r>
              <w:rPr>
                <w:rFonts w:hint="eastAsia" w:ascii="宋体" w:hAnsi="宋体" w:eastAsia="宋体" w:cs="宋体"/>
                <w:i w:val="0"/>
                <w:iCs w:val="0"/>
                <w:color w:val="000000"/>
                <w:kern w:val="0"/>
                <w:sz w:val="28"/>
                <w:szCs w:val="28"/>
                <w:u w:val="none"/>
                <w:lang w:val="en-US" w:eastAsia="zh-CN"/>
              </w:rPr>
              <w:t>低价值物回收密闭式箱式货车</w:t>
            </w:r>
          </w:p>
        </w:tc>
        <w:tc>
          <w:tcPr>
            <w:tcW w:w="1855" w:type="dxa"/>
            <w:vAlign w:val="center"/>
          </w:tcPr>
          <w:p>
            <w:pPr>
              <w:widowControl/>
              <w:jc w:val="center"/>
              <w:textAlignment w:val="center"/>
              <w:rPr>
                <w:rFonts w:hAnsi="宋体" w:cs="宋体"/>
                <w:b/>
                <w:bCs/>
                <w:sz w:val="24"/>
              </w:rPr>
            </w:pPr>
            <w:r>
              <w:rPr>
                <w:rFonts w:hint="eastAsia" w:ascii="宋体" w:hAnsi="宋体" w:eastAsia="宋体" w:cs="宋体"/>
                <w:i w:val="0"/>
                <w:iCs w:val="0"/>
                <w:color w:val="000000"/>
                <w:kern w:val="0"/>
                <w:sz w:val="28"/>
                <w:szCs w:val="28"/>
                <w:u w:val="none"/>
                <w:lang w:val="en-US" w:eastAsia="zh-CN"/>
              </w:rPr>
              <w:t>4吨</w:t>
            </w:r>
          </w:p>
        </w:tc>
        <w:tc>
          <w:tcPr>
            <w:tcW w:w="1565" w:type="dxa"/>
            <w:vAlign w:val="center"/>
          </w:tcPr>
          <w:p>
            <w:pPr>
              <w:widowControl/>
              <w:jc w:val="center"/>
              <w:textAlignment w:val="center"/>
              <w:rPr>
                <w:rFonts w:hint="eastAsia" w:hAnsi="宋体" w:cs="宋体"/>
                <w:b/>
                <w:bCs/>
                <w:sz w:val="24"/>
              </w:rPr>
            </w:pPr>
            <w:r>
              <w:rPr>
                <w:rFonts w:hint="eastAsia" w:ascii="宋体" w:hAnsi="宋体" w:eastAsia="宋体" w:cs="宋体"/>
                <w:i w:val="0"/>
                <w:iCs w:val="0"/>
                <w:color w:val="000000"/>
                <w:kern w:val="0"/>
                <w:sz w:val="28"/>
                <w:szCs w:val="28"/>
                <w:u w:val="none"/>
                <w:lang w:val="en-US" w:eastAsia="zh-CN"/>
              </w:rPr>
              <w:t>3辆</w:t>
            </w:r>
          </w:p>
        </w:tc>
        <w:tc>
          <w:tcPr>
            <w:tcW w:w="1710" w:type="dxa"/>
            <w:vMerge w:val="continue"/>
            <w:vAlign w:val="center"/>
          </w:tcPr>
          <w:p>
            <w:pPr>
              <w:spacing w:line="360" w:lineRule="auto"/>
              <w:jc w:val="center"/>
              <w:rPr>
                <w:rFonts w:hint="eastAsia"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051" w:type="dxa"/>
            <w:vAlign w:val="center"/>
          </w:tcPr>
          <w:p>
            <w:pPr>
              <w:spacing w:line="360" w:lineRule="auto"/>
              <w:jc w:val="center"/>
              <w:rPr>
                <w:rFonts w:hint="eastAsia" w:hAnsi="宋体" w:eastAsia="宋体" w:cs="宋体"/>
                <w:b/>
                <w:bCs/>
                <w:sz w:val="24"/>
                <w:lang w:eastAsia="zh-CN"/>
              </w:rPr>
            </w:pPr>
            <w:r>
              <w:rPr>
                <w:rFonts w:hint="eastAsia" w:hAnsi="宋体" w:cs="宋体"/>
                <w:b/>
                <w:bCs/>
                <w:sz w:val="24"/>
                <w:lang w:val="en-US" w:eastAsia="zh-CN"/>
              </w:rPr>
              <w:t>5</w:t>
            </w:r>
          </w:p>
        </w:tc>
        <w:tc>
          <w:tcPr>
            <w:tcW w:w="3810" w:type="dxa"/>
            <w:vAlign w:val="center"/>
          </w:tcPr>
          <w:p>
            <w:pPr>
              <w:widowControl/>
              <w:jc w:val="center"/>
              <w:textAlignment w:val="center"/>
              <w:rPr>
                <w:rFonts w:hint="eastAsia" w:hAnsi="宋体" w:cs="宋体"/>
                <w:b/>
                <w:bCs/>
                <w:sz w:val="24"/>
              </w:rPr>
            </w:pPr>
            <w:r>
              <w:rPr>
                <w:rFonts w:hint="eastAsia" w:ascii="宋体" w:hAnsi="宋体" w:eastAsia="宋体" w:cs="宋体"/>
                <w:i w:val="0"/>
                <w:iCs w:val="0"/>
                <w:color w:val="000000"/>
                <w:kern w:val="0"/>
                <w:sz w:val="28"/>
                <w:szCs w:val="28"/>
                <w:u w:val="none"/>
                <w:lang w:val="en-US" w:eastAsia="zh-CN"/>
              </w:rPr>
              <w:t>易腐垃圾桶装车</w:t>
            </w:r>
          </w:p>
        </w:tc>
        <w:tc>
          <w:tcPr>
            <w:tcW w:w="1855" w:type="dxa"/>
            <w:vAlign w:val="center"/>
          </w:tcPr>
          <w:p>
            <w:pPr>
              <w:widowControl/>
              <w:jc w:val="center"/>
              <w:textAlignment w:val="center"/>
              <w:rPr>
                <w:rFonts w:hint="eastAsia" w:hAnsi="宋体" w:cs="宋体"/>
                <w:b/>
                <w:bCs/>
                <w:sz w:val="24"/>
              </w:rPr>
            </w:pPr>
            <w:r>
              <w:rPr>
                <w:rFonts w:hint="eastAsia" w:ascii="宋体" w:hAnsi="宋体" w:eastAsia="宋体" w:cs="宋体"/>
                <w:i w:val="0"/>
                <w:iCs w:val="0"/>
                <w:color w:val="000000"/>
                <w:kern w:val="0"/>
                <w:sz w:val="28"/>
                <w:szCs w:val="28"/>
                <w:u w:val="none"/>
                <w:lang w:val="en-US" w:eastAsia="zh-CN"/>
              </w:rPr>
              <w:t>4吨</w:t>
            </w:r>
          </w:p>
        </w:tc>
        <w:tc>
          <w:tcPr>
            <w:tcW w:w="1565" w:type="dxa"/>
            <w:vAlign w:val="center"/>
          </w:tcPr>
          <w:p>
            <w:pPr>
              <w:widowControl/>
              <w:jc w:val="center"/>
              <w:textAlignment w:val="center"/>
              <w:rPr>
                <w:rFonts w:hint="eastAsia" w:hAnsi="宋体" w:cs="宋体"/>
                <w:b/>
                <w:bCs/>
                <w:sz w:val="24"/>
              </w:rPr>
            </w:pPr>
            <w:r>
              <w:rPr>
                <w:rFonts w:hint="eastAsia" w:ascii="宋体" w:hAnsi="宋体" w:eastAsia="宋体" w:cs="宋体"/>
                <w:i w:val="0"/>
                <w:iCs w:val="0"/>
                <w:color w:val="000000"/>
                <w:kern w:val="0"/>
                <w:sz w:val="28"/>
                <w:szCs w:val="28"/>
                <w:u w:val="none"/>
                <w:lang w:val="en-US" w:eastAsia="zh-CN"/>
              </w:rPr>
              <w:t>2辆</w:t>
            </w:r>
          </w:p>
        </w:tc>
        <w:tc>
          <w:tcPr>
            <w:tcW w:w="1710" w:type="dxa"/>
            <w:vMerge w:val="continue"/>
            <w:vAlign w:val="center"/>
          </w:tcPr>
          <w:p>
            <w:pPr>
              <w:spacing w:line="360" w:lineRule="auto"/>
              <w:jc w:val="center"/>
              <w:rPr>
                <w:rFonts w:hint="eastAsia"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51" w:type="dxa"/>
            <w:vAlign w:val="center"/>
          </w:tcPr>
          <w:p>
            <w:pPr>
              <w:spacing w:line="360" w:lineRule="auto"/>
              <w:jc w:val="center"/>
              <w:rPr>
                <w:rFonts w:hint="eastAsia" w:hAnsi="宋体" w:eastAsia="宋体" w:cs="宋体"/>
                <w:b/>
                <w:bCs/>
                <w:sz w:val="24"/>
                <w:lang w:eastAsia="zh-CN"/>
              </w:rPr>
            </w:pPr>
            <w:r>
              <w:rPr>
                <w:rFonts w:hint="eastAsia" w:hAnsi="宋体" w:cs="宋体"/>
                <w:b/>
                <w:bCs/>
                <w:sz w:val="24"/>
                <w:lang w:val="en-US" w:eastAsia="zh-CN"/>
              </w:rPr>
              <w:t>6</w:t>
            </w:r>
          </w:p>
        </w:tc>
        <w:tc>
          <w:tcPr>
            <w:tcW w:w="3810" w:type="dxa"/>
            <w:vAlign w:val="center"/>
          </w:tcPr>
          <w:p>
            <w:pPr>
              <w:widowControl/>
              <w:jc w:val="center"/>
              <w:textAlignment w:val="center"/>
              <w:rPr>
                <w:rFonts w:hint="eastAsia" w:ascii="宋体" w:hAnsi="宋体" w:eastAsia="宋体" w:cs="宋体"/>
                <w:i w:val="0"/>
                <w:iCs w:val="0"/>
                <w:color w:val="000000"/>
                <w:kern w:val="0"/>
                <w:sz w:val="28"/>
                <w:szCs w:val="28"/>
                <w:u w:val="none"/>
                <w:lang w:val="en-US" w:eastAsia="zh-CN"/>
              </w:rPr>
            </w:pPr>
            <w:r>
              <w:rPr>
                <w:rFonts w:hint="eastAsia" w:ascii="宋体" w:hAnsi="宋体" w:eastAsia="宋体" w:cs="宋体"/>
                <w:i w:val="0"/>
                <w:iCs w:val="0"/>
                <w:color w:val="000000"/>
                <w:kern w:val="0"/>
                <w:sz w:val="28"/>
                <w:szCs w:val="28"/>
                <w:u w:val="none"/>
                <w:lang w:val="en-US" w:eastAsia="zh-CN"/>
              </w:rPr>
              <w:t>垃圾分类音乐线</w:t>
            </w:r>
          </w:p>
          <w:p>
            <w:pPr>
              <w:widowControl/>
              <w:jc w:val="center"/>
              <w:textAlignment w:val="center"/>
              <w:rPr>
                <w:rFonts w:hint="eastAsia"/>
                <w:lang w:val="zh-CN"/>
              </w:rPr>
            </w:pPr>
            <w:r>
              <w:rPr>
                <w:rFonts w:hint="eastAsia" w:ascii="宋体" w:hAnsi="宋体" w:eastAsia="宋体" w:cs="宋体"/>
                <w:i w:val="0"/>
                <w:iCs w:val="0"/>
                <w:color w:val="000000"/>
                <w:kern w:val="0"/>
                <w:sz w:val="28"/>
                <w:szCs w:val="28"/>
                <w:u w:val="none"/>
                <w:lang w:val="en-US" w:eastAsia="zh-CN"/>
              </w:rPr>
              <w:t>四轮八桶车</w:t>
            </w:r>
          </w:p>
        </w:tc>
        <w:tc>
          <w:tcPr>
            <w:tcW w:w="1855" w:type="dxa"/>
            <w:vAlign w:val="center"/>
          </w:tcPr>
          <w:p>
            <w:pPr>
              <w:widowControl/>
              <w:jc w:val="center"/>
              <w:textAlignment w:val="center"/>
              <w:rPr>
                <w:rFonts w:hint="eastAsia" w:hAnsi="宋体" w:eastAsia="宋体" w:cs="宋体"/>
                <w:b/>
                <w:bCs/>
                <w:sz w:val="24"/>
                <w:lang w:val="en-US" w:eastAsia="zh-CN"/>
              </w:rPr>
            </w:pPr>
            <w:r>
              <w:rPr>
                <w:rFonts w:hint="eastAsia" w:hAnsi="宋体" w:cs="宋体"/>
                <w:b/>
                <w:bCs/>
                <w:sz w:val="24"/>
                <w:lang w:val="en-US" w:eastAsia="zh-CN"/>
              </w:rPr>
              <w:t>/</w:t>
            </w:r>
          </w:p>
        </w:tc>
        <w:tc>
          <w:tcPr>
            <w:tcW w:w="1565" w:type="dxa"/>
            <w:vAlign w:val="center"/>
          </w:tcPr>
          <w:p>
            <w:pPr>
              <w:widowControl/>
              <w:jc w:val="center"/>
              <w:textAlignment w:val="center"/>
              <w:rPr>
                <w:rFonts w:hint="eastAsia" w:hAnsi="宋体" w:cs="宋体"/>
                <w:b/>
                <w:bCs/>
                <w:sz w:val="24"/>
              </w:rPr>
            </w:pPr>
            <w:r>
              <w:rPr>
                <w:rFonts w:hint="eastAsia" w:ascii="宋体" w:hAnsi="宋体" w:eastAsia="宋体" w:cs="宋体"/>
                <w:i w:val="0"/>
                <w:iCs w:val="0"/>
                <w:color w:val="000000"/>
                <w:kern w:val="0"/>
                <w:sz w:val="28"/>
                <w:szCs w:val="28"/>
                <w:u w:val="none"/>
                <w:lang w:val="en-US" w:eastAsia="zh-CN"/>
              </w:rPr>
              <w:t>3辆</w:t>
            </w:r>
          </w:p>
        </w:tc>
        <w:tc>
          <w:tcPr>
            <w:tcW w:w="1710" w:type="dxa"/>
            <w:vMerge w:val="continue"/>
            <w:vAlign w:val="center"/>
          </w:tcPr>
          <w:p>
            <w:pPr>
              <w:spacing w:line="360" w:lineRule="auto"/>
              <w:jc w:val="center"/>
              <w:rPr>
                <w:rFonts w:hint="eastAsia" w:hAnsi="宋体" w:cs="宋体"/>
                <w:b/>
                <w:bCs/>
                <w:sz w:val="24"/>
              </w:rPr>
            </w:pPr>
          </w:p>
        </w:tc>
      </w:tr>
    </w:tbl>
    <w:p>
      <w:pPr>
        <w:adjustRightInd w:val="0"/>
        <w:snapToGrid w:val="0"/>
        <w:spacing w:line="360" w:lineRule="auto"/>
        <w:ind w:firstLine="723" w:firstLineChars="300"/>
        <w:rPr>
          <w:rFonts w:hint="eastAsia" w:ascii="宋体" w:hAnsi="宋体" w:cs="宋体"/>
          <w:b/>
          <w:bCs/>
          <w:color w:val="000000"/>
          <w:sz w:val="24"/>
        </w:rPr>
      </w:pPr>
      <w:r>
        <w:rPr>
          <w:rFonts w:ascii="宋体" w:hAnsi="宋体"/>
          <w:b/>
          <w:bCs/>
          <w:sz w:val="24"/>
        </w:rPr>
        <w:t>▲</w:t>
      </w:r>
      <w:r>
        <w:rPr>
          <w:rFonts w:hint="eastAsia" w:ascii="宋体" w:hAnsi="宋体" w:cs="宋体"/>
          <w:b/>
          <w:bCs/>
          <w:color w:val="000000"/>
          <w:sz w:val="24"/>
        </w:rPr>
        <w:t>（1</w:t>
      </w:r>
      <w:r>
        <w:rPr>
          <w:rFonts w:hint="eastAsia" w:ascii="宋体" w:hAnsi="宋体" w:cs="宋体"/>
          <w:b/>
          <w:bCs/>
          <w:color w:val="000000"/>
          <w:sz w:val="24"/>
          <w:lang w:val="en-US" w:eastAsia="zh-CN"/>
        </w:rPr>
        <w:t>4</w:t>
      </w:r>
      <w:r>
        <w:rPr>
          <w:rFonts w:hint="eastAsia" w:ascii="宋体" w:hAnsi="宋体" w:cs="宋体"/>
          <w:b/>
          <w:bCs/>
          <w:color w:val="000000"/>
          <w:sz w:val="24"/>
        </w:rPr>
        <w:t>）由于垃圾收集和运输的特殊性，没有收集运输的缓冲期，必须</w:t>
      </w:r>
      <w:r>
        <w:rPr>
          <w:rFonts w:hint="eastAsia"/>
          <w:b/>
          <w:bCs/>
          <w:sz w:val="24"/>
        </w:rPr>
        <w:t>做到日产两清。</w:t>
      </w:r>
      <w:r>
        <w:rPr>
          <w:rFonts w:hint="eastAsia" w:ascii="宋体" w:hAnsi="宋体" w:cs="宋体"/>
          <w:b/>
          <w:bCs/>
          <w:color w:val="000000"/>
          <w:sz w:val="24"/>
        </w:rPr>
        <w:t>中标单位必须在中标公示结束后10个工作日内完成设备、人员到场，确保与前养护单位无缝衔接，如在规定的时间内由于中标单位的原因不能按时到场的，将作废标处理。</w:t>
      </w:r>
    </w:p>
    <w:p>
      <w:pPr>
        <w:adjustRightInd w:val="0"/>
        <w:snapToGrid w:val="0"/>
        <w:spacing w:line="360" w:lineRule="auto"/>
        <w:ind w:firstLine="723" w:firstLineChars="300"/>
        <w:rPr>
          <w:rFonts w:hint="eastAsia" w:ascii="宋体" w:hAnsi="宋体" w:cs="宋体"/>
          <w:b/>
          <w:bCs/>
          <w:color w:val="000000"/>
          <w:sz w:val="24"/>
        </w:rPr>
      </w:pPr>
      <w:r>
        <w:rPr>
          <w:rFonts w:ascii="宋体" w:hAnsi="宋体"/>
          <w:b/>
          <w:bCs/>
          <w:sz w:val="24"/>
        </w:rPr>
        <w:t>▲</w:t>
      </w:r>
      <w:r>
        <w:rPr>
          <w:rFonts w:hint="eastAsia" w:ascii="宋体" w:hAnsi="宋体" w:cs="宋体"/>
          <w:b/>
          <w:bCs/>
          <w:color w:val="000000"/>
          <w:sz w:val="24"/>
        </w:rPr>
        <w:t>（1</w:t>
      </w:r>
      <w:r>
        <w:rPr>
          <w:rFonts w:hint="eastAsia" w:ascii="宋体" w:hAnsi="宋体" w:cs="宋体"/>
          <w:b/>
          <w:bCs/>
          <w:color w:val="000000"/>
          <w:sz w:val="24"/>
          <w:lang w:val="en-US" w:eastAsia="zh-CN"/>
        </w:rPr>
        <w:t>5</w:t>
      </w:r>
      <w:r>
        <w:rPr>
          <w:rFonts w:hint="eastAsia" w:ascii="宋体" w:hAnsi="宋体" w:cs="宋体"/>
          <w:b/>
          <w:bCs/>
          <w:color w:val="000000"/>
          <w:sz w:val="24"/>
        </w:rPr>
        <w:t>）生活垃圾运输车辆的车载称重设备必须严格按照杭分类办[2021]15号文件“关于印发《杭州市生活垃圾运输车辆车载称重设备技术要求》的通知”执行。</w:t>
      </w:r>
    </w:p>
    <w:p>
      <w:pPr>
        <w:adjustRightInd w:val="0"/>
        <w:snapToGrid w:val="0"/>
        <w:spacing w:line="360" w:lineRule="auto"/>
        <w:ind w:firstLine="723" w:firstLineChars="300"/>
        <w:rPr>
          <w:rFonts w:hint="eastAsia" w:ascii="宋体" w:hAnsi="宋体" w:cs="宋体"/>
          <w:b/>
          <w:bCs/>
          <w:color w:val="000000"/>
          <w:sz w:val="24"/>
        </w:rPr>
      </w:pPr>
      <w:r>
        <w:rPr>
          <w:rFonts w:ascii="宋体" w:hAnsi="宋体"/>
          <w:b/>
          <w:bCs/>
          <w:sz w:val="24"/>
        </w:rPr>
        <w:t>▲</w:t>
      </w:r>
      <w:r>
        <w:rPr>
          <w:rFonts w:hint="eastAsia" w:ascii="宋体" w:hAnsi="宋体" w:cs="宋体"/>
          <w:b/>
          <w:bCs/>
          <w:color w:val="000000"/>
          <w:sz w:val="24"/>
        </w:rPr>
        <w:t>（1</w:t>
      </w:r>
      <w:r>
        <w:rPr>
          <w:rFonts w:hint="eastAsia" w:ascii="宋体" w:hAnsi="宋体" w:cs="宋体"/>
          <w:b/>
          <w:bCs/>
          <w:color w:val="000000"/>
          <w:sz w:val="24"/>
          <w:lang w:val="en-US" w:eastAsia="zh-CN"/>
        </w:rPr>
        <w:t>6</w:t>
      </w:r>
      <w:r>
        <w:rPr>
          <w:rFonts w:hint="eastAsia" w:ascii="宋体" w:hAnsi="宋体" w:cs="宋体"/>
          <w:b/>
          <w:bCs/>
          <w:color w:val="000000"/>
          <w:sz w:val="24"/>
        </w:rPr>
        <w:t>）服务期间，要求中标单位拟派一名对账员常驻仓前街道办事处，负责与所有非居民清运点位进行清运数量核对（暂定每两月核对一次）。</w:t>
      </w:r>
    </w:p>
    <w:p>
      <w:pPr>
        <w:pStyle w:val="2"/>
        <w:ind w:firstLine="723" w:firstLineChars="300"/>
        <w:rPr>
          <w:rFonts w:hint="eastAsia" w:ascii="宋体" w:hAnsi="宋体" w:eastAsia="宋体" w:cs="宋体"/>
          <w:b/>
          <w:bCs/>
          <w:color w:val="000000"/>
          <w:kern w:val="2"/>
          <w:sz w:val="24"/>
          <w:szCs w:val="24"/>
          <w:lang w:val="en-US" w:eastAsia="zh-CN" w:bidi="ar-SA"/>
        </w:rPr>
      </w:pPr>
      <w:r>
        <w:rPr>
          <w:rFonts w:ascii="宋体" w:hAnsi="宋体"/>
          <w:b/>
          <w:bCs/>
          <w:sz w:val="24"/>
        </w:rPr>
        <w:t>▲</w:t>
      </w:r>
      <w:r>
        <w:rPr>
          <w:rFonts w:hint="eastAsia" w:ascii="宋体" w:hAnsi="宋体" w:cs="宋体"/>
          <w:b/>
          <w:bCs/>
          <w:color w:val="000000"/>
          <w:sz w:val="24"/>
        </w:rPr>
        <w:t>（1</w:t>
      </w:r>
      <w:r>
        <w:rPr>
          <w:rFonts w:hint="eastAsia" w:hAnsi="宋体" w:cs="宋体"/>
          <w:b/>
          <w:bCs/>
          <w:color w:val="000000"/>
          <w:sz w:val="24"/>
          <w:lang w:val="en-US" w:eastAsia="zh-CN"/>
        </w:rPr>
        <w:t>7</w:t>
      </w:r>
      <w:r>
        <w:rPr>
          <w:rFonts w:hint="eastAsia" w:ascii="宋体" w:hAnsi="宋体" w:cs="宋体"/>
          <w:b/>
          <w:bCs/>
          <w:color w:val="000000"/>
          <w:sz w:val="24"/>
        </w:rPr>
        <w:t>）</w:t>
      </w:r>
      <w:r>
        <w:rPr>
          <w:rFonts w:hint="eastAsia" w:ascii="宋体" w:hAnsi="宋体" w:eastAsia="宋体" w:cs="宋体"/>
          <w:b/>
          <w:bCs/>
          <w:color w:val="000000"/>
          <w:kern w:val="2"/>
          <w:sz w:val="24"/>
          <w:szCs w:val="24"/>
          <w:lang w:val="en-US" w:eastAsia="zh-CN" w:bidi="ar-SA"/>
        </w:rPr>
        <w:t>非居民生活垃圾清运量统计小程序由乙方负责运维</w:t>
      </w:r>
      <w:r>
        <w:rPr>
          <w:rFonts w:hint="eastAsia" w:hAnsi="宋体" w:cs="宋体"/>
          <w:b/>
          <w:bCs/>
          <w:color w:val="000000"/>
          <w:kern w:val="2"/>
          <w:sz w:val="24"/>
          <w:szCs w:val="24"/>
          <w:lang w:val="en-US" w:eastAsia="zh-CN" w:bidi="ar-SA"/>
        </w:rPr>
        <w:t>。</w:t>
      </w:r>
    </w:p>
    <w:p>
      <w:pPr>
        <w:pStyle w:val="2"/>
        <w:spacing w:line="360" w:lineRule="auto"/>
      </w:pPr>
      <w:r>
        <w:rPr>
          <w:rFonts w:hint="eastAsia"/>
        </w:rPr>
        <w:t>三</w:t>
      </w:r>
      <w:r>
        <w:t>、招标人的考核标准、考核管理办法</w:t>
      </w:r>
      <w:r>
        <w:rPr>
          <w:rFonts w:hint="eastAsia"/>
        </w:rPr>
        <w:t>：详见附件</w:t>
      </w:r>
    </w:p>
    <w:p>
      <w:pPr>
        <w:pStyle w:val="2"/>
        <w:spacing w:line="360" w:lineRule="auto"/>
      </w:pPr>
      <w:r>
        <w:rPr>
          <w:rFonts w:hint="eastAsia"/>
        </w:rPr>
        <w:t>四</w:t>
      </w:r>
      <w:r>
        <w:t>、服务费用的结算标准和支付方式</w:t>
      </w:r>
      <w:bookmarkStart w:id="28" w:name="_bookmark163"/>
      <w:bookmarkEnd w:id="28"/>
    </w:p>
    <w:p>
      <w:pPr>
        <w:adjustRightInd w:val="0"/>
        <w:snapToGrid w:val="0"/>
        <w:spacing w:line="500" w:lineRule="exact"/>
        <w:ind w:firstLine="508" w:firstLineChars="212"/>
        <w:rPr>
          <w:rFonts w:hint="eastAsia" w:ascii="宋体" w:hAnsi="宋体"/>
          <w:sz w:val="24"/>
        </w:rPr>
      </w:pPr>
      <w:r>
        <w:rPr>
          <w:rFonts w:hint="eastAsia" w:ascii="宋体" w:hAnsi="宋体"/>
          <w:sz w:val="24"/>
        </w:rPr>
        <w:t>1）、中标方在合同签订前，应编写《管理方案》上报招标人审核后签订清运承揽合同，如不提供《管理方案》或《管理方案》不符合招标文件中规定的，招标人有权取消第一中标侯选人资格。</w:t>
      </w:r>
    </w:p>
    <w:p>
      <w:pPr>
        <w:adjustRightInd w:val="0"/>
        <w:snapToGrid w:val="0"/>
        <w:spacing w:line="500" w:lineRule="exact"/>
        <w:ind w:firstLine="508" w:firstLineChars="212"/>
        <w:rPr>
          <w:rFonts w:hint="eastAsia" w:ascii="宋体" w:hAnsi="宋体"/>
          <w:sz w:val="24"/>
        </w:rPr>
      </w:pPr>
      <w:r>
        <w:rPr>
          <w:rFonts w:hint="eastAsia" w:ascii="宋体" w:hAnsi="宋体"/>
          <w:sz w:val="24"/>
        </w:rPr>
        <w:t>2）、中标人在签订合同时需向招标人提交</w:t>
      </w:r>
      <w:r>
        <w:rPr>
          <w:rFonts w:hint="eastAsia" w:ascii="宋体" w:hAnsi="宋体"/>
          <w:sz w:val="24"/>
          <w:lang w:val="en-US" w:eastAsia="zh-CN"/>
        </w:rPr>
        <w:t>1</w:t>
      </w:r>
      <w:r>
        <w:rPr>
          <w:rFonts w:hint="eastAsia" w:ascii="宋体" w:hAnsi="宋体"/>
          <w:sz w:val="24"/>
        </w:rPr>
        <w:t>%的合同履约保证金，在合同期内，如因承包人原因造成招标人财产损失的或承包人没有按要求履行合同的，招标人有权酌情扣去履约保证金；保证金在合同期满后三十天内退还（不计息）。</w:t>
      </w:r>
    </w:p>
    <w:p>
      <w:pPr>
        <w:adjustRightInd w:val="0"/>
        <w:snapToGrid w:val="0"/>
        <w:spacing w:line="500" w:lineRule="exact"/>
        <w:ind w:firstLine="508" w:firstLineChars="212"/>
        <w:rPr>
          <w:rFonts w:hint="eastAsia" w:ascii="宋体" w:hAnsi="宋体"/>
          <w:sz w:val="24"/>
        </w:rPr>
      </w:pPr>
      <w:r>
        <w:rPr>
          <w:rFonts w:hint="eastAsia" w:ascii="宋体" w:hAnsi="宋体"/>
          <w:sz w:val="24"/>
        </w:rPr>
        <w:t>3）经甲方首次考核后，按合同标的的90%得出每月管理费用，依据甲方对乙方当月的考核结果按照奖惩措施的约定，每两个月支付清运款项，余10%合同到期后按考核成绩一次性付清。</w:t>
      </w:r>
    </w:p>
    <w:p>
      <w:pPr>
        <w:spacing w:line="500" w:lineRule="exact"/>
        <w:ind w:firstLine="480" w:firstLineChars="200"/>
        <w:jc w:val="left"/>
        <w:rPr>
          <w:rFonts w:hint="eastAsia"/>
        </w:rPr>
      </w:pPr>
      <w:r>
        <w:rPr>
          <w:rFonts w:hint="eastAsia" w:ascii="宋体" w:hAnsi="宋体"/>
          <w:sz w:val="24"/>
        </w:rPr>
        <w:t>4）、考核办法：根据区、街道两级环卫保洁考核细则确定的垃圾收集清运作业标准，进行检查考核。考核办法、标准详见附件。（《</w:t>
      </w:r>
      <w:r>
        <w:rPr>
          <w:rFonts w:hint="eastAsia" w:ascii="宋体" w:hAnsi="宋体"/>
          <w:color w:val="000000"/>
          <w:sz w:val="24"/>
        </w:rPr>
        <w:fldChar w:fldCharType="begin"/>
      </w:r>
      <w:r>
        <w:rPr>
          <w:rFonts w:hint="eastAsia" w:ascii="宋体" w:hAnsi="宋体"/>
          <w:color w:val="000000"/>
          <w:sz w:val="24"/>
        </w:rPr>
        <w:instrText xml:space="preserve"> HYPERLINK "http://yhdzgw.yuhang.gov.cn/explorer.jsp" \o "关于印发《余杭区城市管理范围内洁化、市政亮化、绿化、序化分级分类及考核办法》的通知" </w:instrText>
      </w:r>
      <w:r>
        <w:rPr>
          <w:rFonts w:hint="eastAsia" w:ascii="宋体" w:hAnsi="宋体"/>
          <w:color w:val="000000"/>
          <w:sz w:val="24"/>
        </w:rPr>
        <w:fldChar w:fldCharType="separate"/>
      </w:r>
      <w:r>
        <w:rPr>
          <w:rFonts w:hint="eastAsia" w:ascii="宋体" w:hAnsi="宋体"/>
          <w:color w:val="000000"/>
          <w:sz w:val="24"/>
        </w:rPr>
        <w:t xml:space="preserve">关于印发《余杭区城市管理范围内洁化、市政亮化、绿化、序化分级分类及考核办法》的通知 </w:t>
      </w:r>
      <w:r>
        <w:rPr>
          <w:rFonts w:hint="eastAsia" w:ascii="宋体" w:hAnsi="宋体"/>
          <w:color w:val="000000"/>
          <w:sz w:val="24"/>
        </w:rPr>
        <w:fldChar w:fldCharType="end"/>
      </w:r>
      <w:r>
        <w:rPr>
          <w:rFonts w:hint="eastAsia" w:ascii="宋体" w:hAnsi="宋体"/>
          <w:color w:val="000000"/>
          <w:sz w:val="24"/>
        </w:rPr>
        <w:t>》余城组〔2019〕1号 ）。在合同期内如遇上级有新考核文件的依照新的考核文件执行。</w:t>
      </w:r>
    </w:p>
    <w:p>
      <w:pPr>
        <w:spacing w:line="360" w:lineRule="auto"/>
        <w:rPr>
          <w:rFonts w:hint="eastAsia"/>
          <w:b/>
          <w:bCs/>
          <w:color w:val="000000"/>
          <w:sz w:val="24"/>
        </w:rPr>
      </w:pPr>
      <w:r>
        <w:rPr>
          <w:rFonts w:hint="eastAsia"/>
          <w:b/>
          <w:bCs/>
          <w:color w:val="000000"/>
          <w:sz w:val="24"/>
        </w:rPr>
        <w:t>五、其他要求</w:t>
      </w:r>
    </w:p>
    <w:bookmarkEnd w:id="27"/>
    <w:p>
      <w:pPr>
        <w:spacing w:line="360" w:lineRule="auto"/>
        <w:ind w:firstLine="482" w:firstLineChars="200"/>
        <w:rPr>
          <w:rFonts w:hint="eastAsia" w:ascii="宋体" w:hAnsi="宋体" w:cs="宋体"/>
          <w:color w:val="000000"/>
          <w:kern w:val="0"/>
          <w:sz w:val="24"/>
        </w:rPr>
      </w:pPr>
      <w:r>
        <w:rPr>
          <w:rFonts w:hint="eastAsia" w:ascii="宋体" w:hAnsi="宋体" w:cs="宋体"/>
          <w:b/>
          <w:bCs/>
          <w:color w:val="000000"/>
          <w:kern w:val="0"/>
          <w:sz w:val="24"/>
        </w:rPr>
        <w:t>本项目采用单价招标方式，</w:t>
      </w:r>
      <w:r>
        <w:rPr>
          <w:rFonts w:hint="eastAsia" w:ascii="宋体" w:hAnsi="宋体" w:cs="宋体"/>
          <w:color w:val="000000"/>
          <w:kern w:val="0"/>
          <w:sz w:val="24"/>
        </w:rPr>
        <w:t>生活垃圾收集、清运至街道指定垃圾中转站，最终收集清运工程量根据实际收集清运工程量按实结算，单价按投标时的单价。</w:t>
      </w:r>
    </w:p>
    <w:p>
      <w:pPr>
        <w:rPr>
          <w:rFonts w:hint="eastAsia"/>
        </w:rPr>
      </w:pPr>
    </w:p>
    <w:p>
      <w:pPr>
        <w:pStyle w:val="25"/>
        <w:rPr>
          <w:rFonts w:hint="eastAsia"/>
          <w:lang w:val="en-US" w:eastAsia="zh-CN"/>
        </w:rPr>
      </w:pPr>
    </w:p>
    <w:p>
      <w:pPr>
        <w:pStyle w:val="26"/>
        <w:rPr>
          <w:rFonts w:hint="eastAsia"/>
        </w:rPr>
      </w:pPr>
    </w:p>
    <w:p>
      <w:pPr>
        <w:pStyle w:val="26"/>
        <w:rPr>
          <w:rFonts w:hint="eastAsia"/>
        </w:rPr>
      </w:pPr>
    </w:p>
    <w:p>
      <w:pPr>
        <w:rPr>
          <w:rFonts w:hint="eastAsia"/>
        </w:rPr>
      </w:pPr>
    </w:p>
    <w:p>
      <w:pPr>
        <w:pStyle w:val="2"/>
        <w:rPr>
          <w:rFonts w:hint="eastAsia"/>
        </w:rPr>
      </w:pPr>
    </w:p>
    <w:p>
      <w:pPr>
        <w:pStyle w:val="3"/>
        <w:rPr>
          <w:rFonts w:hint="eastAsia"/>
        </w:rPr>
      </w:pPr>
    </w:p>
    <w:p>
      <w:pPr>
        <w:rPr>
          <w:rFonts w:hint="eastAsia"/>
          <w:color w:val="0000FF"/>
        </w:rPr>
      </w:pPr>
      <w:r>
        <w:rPr>
          <w:rFonts w:hint="eastAsia"/>
        </w:rPr>
        <w:t>附件：</w:t>
      </w:r>
    </w:p>
    <w:p>
      <w:pPr>
        <w:numPr>
          <w:ilvl w:val="0"/>
          <w:numId w:val="3"/>
        </w:numPr>
        <w:adjustRightInd w:val="0"/>
        <w:snapToGrid w:val="0"/>
        <w:spacing w:line="360" w:lineRule="exact"/>
        <w:jc w:val="center"/>
        <w:outlineLvl w:val="1"/>
        <w:rPr>
          <w:rFonts w:hint="eastAsia" w:ascii="仿宋_GB2312"/>
          <w:b/>
          <w:sz w:val="28"/>
          <w:szCs w:val="28"/>
        </w:rPr>
      </w:pPr>
      <w:r>
        <w:rPr>
          <w:rFonts w:hint="eastAsia" w:ascii="仿宋_GB2312"/>
          <w:b/>
          <w:sz w:val="28"/>
          <w:szCs w:val="28"/>
        </w:rPr>
        <w:t>本项目实施考核办法</w:t>
      </w:r>
    </w:p>
    <w:p>
      <w:pPr>
        <w:widowControl/>
        <w:tabs>
          <w:tab w:val="left" w:pos="3960"/>
        </w:tabs>
        <w:adjustRightInd w:val="0"/>
        <w:snapToGrid w:val="0"/>
        <w:spacing w:line="500" w:lineRule="exact"/>
        <w:jc w:val="left"/>
        <w:rPr>
          <w:rFonts w:hint="eastAsia" w:ascii="宋体" w:hAnsi="宋体"/>
          <w:b/>
          <w:bCs/>
          <w:color w:val="000000"/>
          <w:sz w:val="28"/>
          <w:szCs w:val="28"/>
        </w:rPr>
      </w:pPr>
      <w:r>
        <w:rPr>
          <w:rFonts w:hint="eastAsia" w:ascii="宋体" w:hAnsi="宋体"/>
          <w:b/>
          <w:bCs/>
          <w:color w:val="000000"/>
          <w:sz w:val="28"/>
          <w:szCs w:val="28"/>
        </w:rPr>
        <w:t xml:space="preserve"> </w:t>
      </w:r>
      <w:r>
        <w:rPr>
          <w:rFonts w:hint="eastAsia" w:ascii="宋体" w:hAnsi="宋体" w:cs="宋体"/>
          <w:b/>
          <w:kern w:val="0"/>
          <w:sz w:val="24"/>
        </w:rPr>
        <w:t>1、考核评分办法</w:t>
      </w:r>
    </w:p>
    <w:tbl>
      <w:tblPr>
        <w:tblStyle w:val="63"/>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84"/>
        <w:gridCol w:w="4667"/>
        <w:gridCol w:w="1341"/>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65" w:type="dxa"/>
            <w:vAlign w:val="top"/>
          </w:tcPr>
          <w:p>
            <w:pPr>
              <w:pStyle w:val="524"/>
              <w:jc w:val="both"/>
              <w:rPr>
                <w:rFonts w:hint="eastAsia" w:ascii="黑体" w:hAnsi="黑体" w:eastAsia="黑体" w:cs="黑体"/>
                <w:i w:val="0"/>
                <w:iCs w:val="0"/>
                <w:sz w:val="21"/>
                <w:szCs w:val="21"/>
              </w:rPr>
            </w:pPr>
            <w:r>
              <w:rPr>
                <w:rFonts w:hint="eastAsia" w:ascii="黑体" w:hAnsi="黑体" w:eastAsia="黑体" w:cs="黑体"/>
                <w:i w:val="0"/>
                <w:iCs w:val="0"/>
                <w:sz w:val="21"/>
                <w:szCs w:val="21"/>
              </w:rPr>
              <w:t>序号</w:t>
            </w:r>
          </w:p>
        </w:tc>
        <w:tc>
          <w:tcPr>
            <w:tcW w:w="984" w:type="dxa"/>
            <w:vAlign w:val="top"/>
          </w:tcPr>
          <w:p>
            <w:pPr>
              <w:pStyle w:val="524"/>
              <w:ind w:left="0"/>
              <w:jc w:val="center"/>
              <w:rPr>
                <w:rFonts w:hint="eastAsia" w:ascii="黑体" w:hAnsi="黑体" w:eastAsia="黑体" w:cs="黑体"/>
                <w:i w:val="0"/>
                <w:iCs w:val="0"/>
                <w:sz w:val="21"/>
                <w:szCs w:val="21"/>
              </w:rPr>
            </w:pPr>
            <w:r>
              <w:rPr>
                <w:rFonts w:hint="eastAsia" w:ascii="黑体" w:hAnsi="黑体" w:eastAsia="黑体" w:cs="黑体"/>
                <w:i w:val="0"/>
                <w:iCs w:val="0"/>
                <w:sz w:val="21"/>
                <w:szCs w:val="21"/>
              </w:rPr>
              <w:t>检查项目</w:t>
            </w:r>
          </w:p>
        </w:tc>
        <w:tc>
          <w:tcPr>
            <w:tcW w:w="4667" w:type="dxa"/>
            <w:vAlign w:val="top"/>
          </w:tcPr>
          <w:p>
            <w:pPr>
              <w:pStyle w:val="524"/>
              <w:ind w:left="0"/>
              <w:jc w:val="center"/>
              <w:rPr>
                <w:rFonts w:hint="eastAsia" w:ascii="黑体" w:hAnsi="黑体" w:eastAsia="黑体" w:cs="黑体"/>
                <w:i w:val="0"/>
                <w:iCs w:val="0"/>
                <w:sz w:val="21"/>
                <w:szCs w:val="21"/>
              </w:rPr>
            </w:pPr>
            <w:r>
              <w:rPr>
                <w:rFonts w:hint="eastAsia" w:ascii="黑体" w:hAnsi="黑体" w:eastAsia="黑体" w:cs="黑体"/>
                <w:i w:val="0"/>
                <w:iCs w:val="0"/>
                <w:sz w:val="21"/>
                <w:szCs w:val="21"/>
              </w:rPr>
              <w:t>评分标准</w:t>
            </w:r>
          </w:p>
        </w:tc>
        <w:tc>
          <w:tcPr>
            <w:tcW w:w="1341" w:type="dxa"/>
            <w:vAlign w:val="top"/>
          </w:tcPr>
          <w:p>
            <w:pPr>
              <w:pStyle w:val="524"/>
              <w:ind w:left="0"/>
              <w:jc w:val="center"/>
              <w:rPr>
                <w:rFonts w:hint="eastAsia" w:ascii="黑体" w:hAnsi="黑体" w:eastAsia="黑体" w:cs="黑体"/>
                <w:i w:val="0"/>
                <w:iCs w:val="0"/>
                <w:sz w:val="21"/>
                <w:szCs w:val="21"/>
              </w:rPr>
            </w:pPr>
            <w:r>
              <w:rPr>
                <w:rFonts w:hint="eastAsia" w:ascii="黑体" w:hAnsi="黑体" w:eastAsia="黑体" w:cs="黑体"/>
                <w:i w:val="0"/>
                <w:iCs w:val="0"/>
                <w:sz w:val="21"/>
                <w:szCs w:val="21"/>
              </w:rPr>
              <w:t>扣分</w:t>
            </w:r>
          </w:p>
        </w:tc>
        <w:tc>
          <w:tcPr>
            <w:tcW w:w="1474" w:type="dxa"/>
            <w:vAlign w:val="top"/>
          </w:tcPr>
          <w:p>
            <w:pPr>
              <w:pStyle w:val="524"/>
              <w:jc w:val="both"/>
              <w:rPr>
                <w:rFonts w:hint="eastAsia" w:ascii="黑体" w:hAnsi="黑体" w:eastAsia="黑体" w:cs="黑体"/>
                <w:i w:val="0"/>
                <w:iCs w:val="0"/>
                <w:sz w:val="21"/>
                <w:szCs w:val="21"/>
              </w:rPr>
            </w:pPr>
            <w:r>
              <w:rPr>
                <w:rFonts w:hint="eastAsia" w:ascii="黑体" w:hAnsi="黑体" w:eastAsia="黑体" w:cs="黑体"/>
                <w:i w:val="0"/>
                <w:iCs w:val="0"/>
                <w:sz w:val="21"/>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5" w:type="dxa"/>
            <w:shd w:val="clear" w:color="auto" w:fill="auto"/>
            <w:vAlign w:val="center"/>
          </w:tcPr>
          <w:p>
            <w:pPr>
              <w:spacing w:line="300" w:lineRule="exact"/>
              <w:rPr>
                <w:rFonts w:hint="eastAsia" w:ascii="仿宋" w:hAnsi="仿宋" w:eastAsia="仿宋" w:cs="仿宋"/>
                <w:szCs w:val="21"/>
              </w:rPr>
            </w:pPr>
            <w:r>
              <w:rPr>
                <w:rFonts w:hint="eastAsia" w:ascii="仿宋" w:hAnsi="仿宋" w:eastAsia="仿宋" w:cs="仿宋"/>
                <w:szCs w:val="21"/>
              </w:rPr>
              <w:t>1</w:t>
            </w:r>
          </w:p>
        </w:tc>
        <w:tc>
          <w:tcPr>
            <w:tcW w:w="984" w:type="dxa"/>
            <w:vMerge w:val="restart"/>
            <w:shd w:val="clear" w:color="auto" w:fill="auto"/>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规范收运</w:t>
            </w:r>
          </w:p>
        </w:tc>
        <w:tc>
          <w:tcPr>
            <w:tcW w:w="4667" w:type="dxa"/>
            <w:shd w:val="clear" w:color="auto" w:fill="FFFFFF"/>
            <w:vAlign w:val="center"/>
          </w:tcPr>
          <w:p>
            <w:pPr>
              <w:spacing w:line="300" w:lineRule="exact"/>
              <w:rPr>
                <w:rFonts w:hint="eastAsia" w:ascii="仿宋" w:hAnsi="仿宋" w:eastAsia="仿宋" w:cs="仿宋"/>
                <w:szCs w:val="21"/>
              </w:rPr>
            </w:pPr>
            <w:r>
              <w:rPr>
                <w:rFonts w:hint="eastAsia" w:ascii="仿宋" w:hAnsi="仿宋" w:eastAsia="仿宋" w:cs="仿宋"/>
                <w:szCs w:val="21"/>
              </w:rPr>
              <w:t>垃圾不按规定时间收运，未做到日产两清的，每处扣2分。</w:t>
            </w:r>
          </w:p>
        </w:tc>
        <w:tc>
          <w:tcPr>
            <w:tcW w:w="1341" w:type="dxa"/>
            <w:vAlign w:val="top"/>
          </w:tcPr>
          <w:p>
            <w:pPr>
              <w:pStyle w:val="524"/>
              <w:rPr>
                <w:rFonts w:hint="eastAsia" w:ascii="仿宋" w:hAnsi="仿宋" w:eastAsia="仿宋" w:cs="仿宋"/>
                <w:i w:val="0"/>
                <w:iCs w:val="0"/>
                <w:sz w:val="21"/>
                <w:szCs w:val="21"/>
              </w:rPr>
            </w:pPr>
          </w:p>
        </w:tc>
        <w:tc>
          <w:tcPr>
            <w:tcW w:w="1474" w:type="dxa"/>
            <w:vAlign w:val="top"/>
          </w:tcPr>
          <w:p>
            <w:pPr>
              <w:pStyle w:val="524"/>
              <w:rPr>
                <w:rFonts w:hint="eastAsia" w:ascii="仿宋" w:hAnsi="仿宋" w:eastAsia="仿宋" w:cs="仿宋"/>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shd w:val="clear" w:color="auto" w:fill="auto"/>
            <w:vAlign w:val="center"/>
          </w:tcPr>
          <w:p>
            <w:pPr>
              <w:spacing w:line="300" w:lineRule="exact"/>
              <w:rPr>
                <w:rFonts w:hint="eastAsia" w:ascii="仿宋" w:hAnsi="仿宋" w:eastAsia="仿宋" w:cs="仿宋"/>
                <w:szCs w:val="21"/>
              </w:rPr>
            </w:pPr>
            <w:r>
              <w:rPr>
                <w:rFonts w:hint="eastAsia" w:ascii="仿宋" w:hAnsi="仿宋" w:eastAsia="仿宋" w:cs="仿宋"/>
                <w:szCs w:val="21"/>
              </w:rPr>
              <w:t>2</w:t>
            </w:r>
          </w:p>
        </w:tc>
        <w:tc>
          <w:tcPr>
            <w:tcW w:w="984" w:type="dxa"/>
            <w:vMerge w:val="continue"/>
            <w:shd w:val="clear" w:color="auto" w:fill="auto"/>
            <w:vAlign w:val="center"/>
          </w:tcPr>
          <w:p>
            <w:pPr>
              <w:spacing w:line="300" w:lineRule="exact"/>
              <w:jc w:val="center"/>
              <w:rPr>
                <w:rFonts w:hint="eastAsia" w:ascii="仿宋" w:hAnsi="仿宋" w:eastAsia="仿宋" w:cs="仿宋"/>
                <w:szCs w:val="21"/>
              </w:rPr>
            </w:pPr>
          </w:p>
        </w:tc>
        <w:tc>
          <w:tcPr>
            <w:tcW w:w="4667" w:type="dxa"/>
            <w:shd w:val="clear" w:color="auto" w:fill="FFFFFF"/>
            <w:vAlign w:val="center"/>
          </w:tcPr>
          <w:p>
            <w:pPr>
              <w:spacing w:line="300" w:lineRule="exact"/>
              <w:rPr>
                <w:rFonts w:hint="eastAsia" w:ascii="仿宋" w:hAnsi="仿宋" w:eastAsia="仿宋" w:cs="仿宋"/>
                <w:szCs w:val="21"/>
              </w:rPr>
            </w:pPr>
            <w:r>
              <w:rPr>
                <w:rFonts w:hint="eastAsia" w:ascii="仿宋" w:hAnsi="仿宋" w:eastAsia="仿宋" w:cs="仿宋"/>
                <w:szCs w:val="21"/>
              </w:rPr>
              <w:t>垃圾收运后，现场污水横溢、垃圾散落地面的，每处扣1分。</w:t>
            </w:r>
          </w:p>
        </w:tc>
        <w:tc>
          <w:tcPr>
            <w:tcW w:w="1341" w:type="dxa"/>
            <w:vAlign w:val="top"/>
          </w:tcPr>
          <w:p>
            <w:pPr>
              <w:pStyle w:val="524"/>
              <w:rPr>
                <w:rFonts w:hint="eastAsia" w:ascii="仿宋" w:hAnsi="仿宋" w:eastAsia="仿宋" w:cs="仿宋"/>
                <w:i w:val="0"/>
                <w:iCs w:val="0"/>
                <w:sz w:val="21"/>
                <w:szCs w:val="21"/>
              </w:rPr>
            </w:pPr>
          </w:p>
        </w:tc>
        <w:tc>
          <w:tcPr>
            <w:tcW w:w="1474" w:type="dxa"/>
            <w:vAlign w:val="top"/>
          </w:tcPr>
          <w:p>
            <w:pPr>
              <w:pStyle w:val="524"/>
              <w:rPr>
                <w:rFonts w:hint="eastAsia" w:ascii="仿宋" w:hAnsi="仿宋" w:eastAsia="仿宋" w:cs="仿宋"/>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65" w:type="dxa"/>
            <w:shd w:val="clear" w:color="auto" w:fill="auto"/>
            <w:vAlign w:val="center"/>
          </w:tcPr>
          <w:p>
            <w:pPr>
              <w:spacing w:line="300" w:lineRule="exact"/>
              <w:rPr>
                <w:rFonts w:hint="eastAsia" w:ascii="仿宋" w:hAnsi="仿宋" w:eastAsia="仿宋" w:cs="仿宋"/>
                <w:szCs w:val="21"/>
              </w:rPr>
            </w:pPr>
            <w:r>
              <w:rPr>
                <w:rFonts w:hint="eastAsia" w:ascii="仿宋" w:hAnsi="仿宋" w:eastAsia="仿宋" w:cs="仿宋"/>
                <w:szCs w:val="21"/>
              </w:rPr>
              <w:t>3</w:t>
            </w:r>
          </w:p>
        </w:tc>
        <w:tc>
          <w:tcPr>
            <w:tcW w:w="984" w:type="dxa"/>
            <w:vMerge w:val="continue"/>
            <w:shd w:val="clear" w:color="auto" w:fill="auto"/>
            <w:vAlign w:val="center"/>
          </w:tcPr>
          <w:p>
            <w:pPr>
              <w:spacing w:line="300" w:lineRule="exact"/>
              <w:jc w:val="center"/>
              <w:rPr>
                <w:rFonts w:hint="eastAsia" w:ascii="仿宋" w:hAnsi="仿宋" w:eastAsia="仿宋" w:cs="仿宋"/>
                <w:szCs w:val="21"/>
              </w:rPr>
            </w:pPr>
          </w:p>
        </w:tc>
        <w:tc>
          <w:tcPr>
            <w:tcW w:w="4667" w:type="dxa"/>
            <w:shd w:val="clear" w:color="auto" w:fill="FFFFFF"/>
            <w:vAlign w:val="center"/>
          </w:tcPr>
          <w:p>
            <w:pPr>
              <w:spacing w:line="300" w:lineRule="exact"/>
              <w:rPr>
                <w:rFonts w:hint="eastAsia" w:ascii="仿宋" w:hAnsi="仿宋" w:eastAsia="仿宋" w:cs="仿宋"/>
                <w:szCs w:val="21"/>
              </w:rPr>
            </w:pPr>
            <w:r>
              <w:rPr>
                <w:rFonts w:hint="eastAsia" w:ascii="仿宋" w:hAnsi="仿宋" w:eastAsia="仿宋" w:cs="仿宋"/>
                <w:szCs w:val="21"/>
              </w:rPr>
              <w:t>存在混装混运的1次扣5分。</w:t>
            </w:r>
          </w:p>
        </w:tc>
        <w:tc>
          <w:tcPr>
            <w:tcW w:w="1341" w:type="dxa"/>
            <w:vAlign w:val="top"/>
          </w:tcPr>
          <w:p>
            <w:pPr>
              <w:pStyle w:val="524"/>
              <w:rPr>
                <w:rFonts w:hint="eastAsia" w:ascii="仿宋" w:hAnsi="仿宋" w:eastAsia="仿宋" w:cs="仿宋"/>
                <w:i w:val="0"/>
                <w:iCs w:val="0"/>
                <w:sz w:val="21"/>
                <w:szCs w:val="21"/>
              </w:rPr>
            </w:pPr>
          </w:p>
        </w:tc>
        <w:tc>
          <w:tcPr>
            <w:tcW w:w="1474" w:type="dxa"/>
            <w:vAlign w:val="top"/>
          </w:tcPr>
          <w:p>
            <w:pPr>
              <w:pStyle w:val="524"/>
              <w:rPr>
                <w:rFonts w:hint="eastAsia" w:ascii="仿宋" w:hAnsi="仿宋" w:eastAsia="仿宋" w:cs="仿宋"/>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shd w:val="clear" w:color="auto" w:fill="auto"/>
            <w:vAlign w:val="center"/>
          </w:tcPr>
          <w:p>
            <w:pPr>
              <w:spacing w:line="300" w:lineRule="exact"/>
              <w:rPr>
                <w:rFonts w:hint="eastAsia" w:ascii="仿宋" w:hAnsi="仿宋" w:eastAsia="仿宋" w:cs="仿宋"/>
                <w:szCs w:val="21"/>
              </w:rPr>
            </w:pPr>
            <w:r>
              <w:rPr>
                <w:rFonts w:hint="eastAsia" w:ascii="仿宋" w:hAnsi="仿宋" w:eastAsia="仿宋" w:cs="仿宋"/>
                <w:szCs w:val="21"/>
              </w:rPr>
              <w:t>4</w:t>
            </w:r>
          </w:p>
        </w:tc>
        <w:tc>
          <w:tcPr>
            <w:tcW w:w="984" w:type="dxa"/>
            <w:vMerge w:val="restart"/>
            <w:shd w:val="clear" w:color="auto" w:fill="auto"/>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车辆管理</w:t>
            </w:r>
          </w:p>
        </w:tc>
        <w:tc>
          <w:tcPr>
            <w:tcW w:w="4667" w:type="dxa"/>
            <w:shd w:val="clear" w:color="auto" w:fill="FFFFFF"/>
            <w:vAlign w:val="center"/>
          </w:tcPr>
          <w:p>
            <w:pPr>
              <w:spacing w:line="300" w:lineRule="exact"/>
              <w:rPr>
                <w:rFonts w:hint="eastAsia" w:ascii="仿宋" w:hAnsi="仿宋" w:eastAsia="仿宋" w:cs="仿宋"/>
                <w:szCs w:val="21"/>
              </w:rPr>
            </w:pPr>
            <w:r>
              <w:rPr>
                <w:rFonts w:hint="eastAsia" w:ascii="仿宋" w:hAnsi="仿宋" w:eastAsia="仿宋" w:cs="仿宋"/>
                <w:szCs w:val="21"/>
              </w:rPr>
              <w:t>环卫专用车辆维护不到位每次扣2分；垃圾清运车发生抛洒滴漏、垃圾吊挂等每次扣5分。</w:t>
            </w:r>
          </w:p>
        </w:tc>
        <w:tc>
          <w:tcPr>
            <w:tcW w:w="1341" w:type="dxa"/>
            <w:vAlign w:val="top"/>
          </w:tcPr>
          <w:p>
            <w:pPr>
              <w:pStyle w:val="524"/>
              <w:rPr>
                <w:rFonts w:hint="eastAsia" w:ascii="仿宋" w:hAnsi="仿宋" w:eastAsia="仿宋" w:cs="仿宋"/>
                <w:i w:val="0"/>
                <w:iCs w:val="0"/>
                <w:sz w:val="21"/>
                <w:szCs w:val="21"/>
              </w:rPr>
            </w:pPr>
          </w:p>
        </w:tc>
        <w:tc>
          <w:tcPr>
            <w:tcW w:w="1474" w:type="dxa"/>
            <w:vAlign w:val="top"/>
          </w:tcPr>
          <w:p>
            <w:pPr>
              <w:pStyle w:val="524"/>
              <w:rPr>
                <w:rFonts w:hint="eastAsia" w:ascii="仿宋" w:hAnsi="仿宋" w:eastAsia="仿宋" w:cs="仿宋"/>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shd w:val="clear" w:color="auto" w:fill="auto"/>
            <w:vAlign w:val="center"/>
          </w:tcPr>
          <w:p>
            <w:pPr>
              <w:spacing w:line="300" w:lineRule="exact"/>
              <w:rPr>
                <w:rFonts w:hint="eastAsia" w:ascii="仿宋" w:hAnsi="仿宋" w:eastAsia="仿宋" w:cs="仿宋"/>
                <w:szCs w:val="21"/>
              </w:rPr>
            </w:pPr>
            <w:r>
              <w:rPr>
                <w:rFonts w:hint="eastAsia" w:ascii="仿宋" w:hAnsi="仿宋" w:eastAsia="仿宋" w:cs="仿宋"/>
                <w:szCs w:val="21"/>
              </w:rPr>
              <w:t>5</w:t>
            </w:r>
          </w:p>
        </w:tc>
        <w:tc>
          <w:tcPr>
            <w:tcW w:w="984" w:type="dxa"/>
            <w:vMerge w:val="continue"/>
            <w:shd w:val="clear" w:color="auto" w:fill="auto"/>
            <w:vAlign w:val="center"/>
          </w:tcPr>
          <w:p>
            <w:pPr>
              <w:spacing w:line="300" w:lineRule="exact"/>
              <w:jc w:val="center"/>
              <w:rPr>
                <w:rFonts w:hint="eastAsia" w:ascii="仿宋" w:hAnsi="仿宋" w:eastAsia="仿宋" w:cs="仿宋"/>
                <w:szCs w:val="21"/>
              </w:rPr>
            </w:pPr>
          </w:p>
        </w:tc>
        <w:tc>
          <w:tcPr>
            <w:tcW w:w="4667" w:type="dxa"/>
            <w:shd w:val="clear" w:color="auto" w:fill="FFFFFF"/>
            <w:vAlign w:val="center"/>
          </w:tcPr>
          <w:p>
            <w:pPr>
              <w:spacing w:line="300" w:lineRule="exact"/>
              <w:rPr>
                <w:rFonts w:hint="eastAsia" w:ascii="仿宋" w:hAnsi="仿宋" w:eastAsia="仿宋" w:cs="仿宋"/>
                <w:szCs w:val="21"/>
              </w:rPr>
            </w:pPr>
            <w:r>
              <w:rPr>
                <w:rFonts w:hint="eastAsia" w:ascii="仿宋" w:hAnsi="仿宋" w:eastAsia="仿宋" w:cs="仿宋"/>
                <w:szCs w:val="21"/>
              </w:rPr>
              <w:t>清运车辆外观不洁、破损的或者着色图案不符合环卫规定的，1次扣1分。</w:t>
            </w:r>
          </w:p>
        </w:tc>
        <w:tc>
          <w:tcPr>
            <w:tcW w:w="1341" w:type="dxa"/>
            <w:vAlign w:val="top"/>
          </w:tcPr>
          <w:p>
            <w:pPr>
              <w:pStyle w:val="524"/>
              <w:rPr>
                <w:rFonts w:hint="eastAsia" w:ascii="仿宋" w:hAnsi="仿宋" w:eastAsia="仿宋" w:cs="仿宋"/>
                <w:i w:val="0"/>
                <w:iCs w:val="0"/>
                <w:sz w:val="21"/>
                <w:szCs w:val="21"/>
              </w:rPr>
            </w:pPr>
          </w:p>
        </w:tc>
        <w:tc>
          <w:tcPr>
            <w:tcW w:w="1474" w:type="dxa"/>
            <w:vAlign w:val="top"/>
          </w:tcPr>
          <w:p>
            <w:pPr>
              <w:pStyle w:val="524"/>
              <w:rPr>
                <w:rFonts w:hint="eastAsia" w:ascii="仿宋" w:hAnsi="仿宋" w:eastAsia="仿宋" w:cs="仿宋"/>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spacing w:line="300" w:lineRule="exact"/>
              <w:rPr>
                <w:rFonts w:hint="eastAsia" w:ascii="仿宋" w:hAnsi="仿宋" w:eastAsia="仿宋" w:cs="仿宋"/>
                <w:szCs w:val="21"/>
              </w:rPr>
            </w:pPr>
            <w:r>
              <w:rPr>
                <w:rFonts w:hint="eastAsia" w:ascii="仿宋" w:hAnsi="仿宋" w:eastAsia="仿宋" w:cs="仿宋"/>
                <w:szCs w:val="21"/>
              </w:rPr>
              <w:t>6</w:t>
            </w:r>
          </w:p>
        </w:tc>
        <w:tc>
          <w:tcPr>
            <w:tcW w:w="984" w:type="dxa"/>
            <w:vMerge w:val="continue"/>
            <w:vAlign w:val="top"/>
          </w:tcPr>
          <w:p>
            <w:pPr>
              <w:pStyle w:val="524"/>
              <w:rPr>
                <w:rFonts w:hint="eastAsia" w:ascii="仿宋" w:hAnsi="仿宋" w:eastAsia="仿宋" w:cs="仿宋"/>
                <w:i w:val="0"/>
                <w:iCs w:val="0"/>
                <w:sz w:val="21"/>
                <w:szCs w:val="21"/>
              </w:rPr>
            </w:pPr>
          </w:p>
        </w:tc>
        <w:tc>
          <w:tcPr>
            <w:tcW w:w="4667" w:type="dxa"/>
            <w:vAlign w:val="top"/>
          </w:tcPr>
          <w:p>
            <w:pPr>
              <w:pStyle w:val="524"/>
              <w:spacing w:line="240" w:lineRule="auto"/>
              <w:ind w:left="0"/>
              <w:rPr>
                <w:rFonts w:hint="eastAsia" w:ascii="仿宋" w:hAnsi="仿宋" w:eastAsia="仿宋" w:cs="仿宋"/>
                <w:i w:val="0"/>
                <w:iCs w:val="0"/>
                <w:sz w:val="21"/>
                <w:szCs w:val="21"/>
              </w:rPr>
            </w:pPr>
            <w:r>
              <w:rPr>
                <w:rFonts w:hint="eastAsia" w:ascii="仿宋" w:hAnsi="仿宋" w:eastAsia="仿宋" w:cs="仿宋"/>
                <w:i w:val="0"/>
                <w:iCs w:val="0"/>
                <w:sz w:val="21"/>
                <w:szCs w:val="21"/>
              </w:rPr>
              <w:t>车载称重及GPS无法正常使用，或者未经报备批准，驾离规定区域和路线的，每发现一次扣5分。</w:t>
            </w:r>
          </w:p>
        </w:tc>
        <w:tc>
          <w:tcPr>
            <w:tcW w:w="1341" w:type="dxa"/>
            <w:vAlign w:val="top"/>
          </w:tcPr>
          <w:p>
            <w:pPr>
              <w:pStyle w:val="524"/>
              <w:rPr>
                <w:rFonts w:hint="eastAsia" w:ascii="仿宋" w:hAnsi="仿宋" w:eastAsia="仿宋" w:cs="仿宋"/>
                <w:i w:val="0"/>
                <w:iCs w:val="0"/>
                <w:sz w:val="21"/>
                <w:szCs w:val="21"/>
              </w:rPr>
            </w:pPr>
          </w:p>
        </w:tc>
        <w:tc>
          <w:tcPr>
            <w:tcW w:w="1474" w:type="dxa"/>
            <w:vAlign w:val="top"/>
          </w:tcPr>
          <w:p>
            <w:pPr>
              <w:pStyle w:val="524"/>
              <w:rPr>
                <w:rFonts w:hint="eastAsia" w:ascii="仿宋" w:hAnsi="仿宋" w:eastAsia="仿宋" w:cs="仿宋"/>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spacing w:line="300" w:lineRule="exact"/>
              <w:rPr>
                <w:rFonts w:hint="eastAsia" w:ascii="仿宋" w:hAnsi="仿宋" w:eastAsia="仿宋" w:cs="仿宋"/>
                <w:szCs w:val="21"/>
              </w:rPr>
            </w:pPr>
            <w:r>
              <w:rPr>
                <w:rFonts w:hint="eastAsia" w:ascii="仿宋" w:hAnsi="仿宋" w:eastAsia="仿宋" w:cs="仿宋"/>
                <w:szCs w:val="21"/>
              </w:rPr>
              <w:t>7</w:t>
            </w:r>
          </w:p>
        </w:tc>
        <w:tc>
          <w:tcPr>
            <w:tcW w:w="984" w:type="dxa"/>
            <w:vMerge w:val="continue"/>
            <w:vAlign w:val="top"/>
          </w:tcPr>
          <w:p>
            <w:pPr>
              <w:pStyle w:val="524"/>
              <w:rPr>
                <w:rFonts w:hint="eastAsia" w:ascii="仿宋" w:hAnsi="仿宋" w:eastAsia="仿宋" w:cs="仿宋"/>
                <w:i w:val="0"/>
                <w:iCs w:val="0"/>
                <w:sz w:val="21"/>
                <w:szCs w:val="21"/>
              </w:rPr>
            </w:pPr>
          </w:p>
        </w:tc>
        <w:tc>
          <w:tcPr>
            <w:tcW w:w="4667" w:type="dxa"/>
            <w:vAlign w:val="top"/>
          </w:tcPr>
          <w:p>
            <w:pPr>
              <w:pStyle w:val="524"/>
              <w:spacing w:line="240" w:lineRule="auto"/>
              <w:ind w:left="0"/>
              <w:rPr>
                <w:rFonts w:hint="eastAsia" w:ascii="仿宋" w:hAnsi="仿宋" w:eastAsia="仿宋" w:cs="仿宋"/>
                <w:i w:val="0"/>
                <w:iCs w:val="0"/>
                <w:sz w:val="21"/>
                <w:szCs w:val="21"/>
              </w:rPr>
            </w:pPr>
            <w:r>
              <w:rPr>
                <w:rFonts w:hint="eastAsia" w:ascii="仿宋" w:hAnsi="仿宋" w:eastAsia="仿宋" w:cs="仿宋"/>
                <w:i w:val="0"/>
                <w:iCs w:val="0"/>
                <w:sz w:val="21"/>
                <w:szCs w:val="21"/>
              </w:rPr>
              <w:t>在排水过磅点，排水时间不足10分钟，或者未进行排水前、后两次过磅称重，未统一停放在排水点的，每发现一次扣3分。</w:t>
            </w:r>
          </w:p>
        </w:tc>
        <w:tc>
          <w:tcPr>
            <w:tcW w:w="1341" w:type="dxa"/>
            <w:vAlign w:val="top"/>
          </w:tcPr>
          <w:p>
            <w:pPr>
              <w:pStyle w:val="524"/>
              <w:rPr>
                <w:rFonts w:hint="eastAsia" w:ascii="仿宋" w:hAnsi="仿宋" w:eastAsia="仿宋" w:cs="仿宋"/>
                <w:i w:val="0"/>
                <w:iCs w:val="0"/>
                <w:sz w:val="21"/>
                <w:szCs w:val="21"/>
              </w:rPr>
            </w:pPr>
          </w:p>
        </w:tc>
        <w:tc>
          <w:tcPr>
            <w:tcW w:w="1474" w:type="dxa"/>
            <w:vAlign w:val="top"/>
          </w:tcPr>
          <w:p>
            <w:pPr>
              <w:pStyle w:val="524"/>
              <w:rPr>
                <w:rFonts w:hint="eastAsia" w:ascii="仿宋" w:hAnsi="仿宋" w:eastAsia="仿宋" w:cs="仿宋"/>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spacing w:line="300" w:lineRule="exact"/>
              <w:rPr>
                <w:rFonts w:hint="eastAsia" w:ascii="仿宋" w:hAnsi="仿宋" w:eastAsia="仿宋" w:cs="仿宋"/>
                <w:szCs w:val="21"/>
              </w:rPr>
            </w:pPr>
            <w:r>
              <w:rPr>
                <w:rFonts w:hint="eastAsia" w:ascii="仿宋" w:hAnsi="仿宋" w:eastAsia="仿宋" w:cs="仿宋"/>
                <w:szCs w:val="21"/>
              </w:rPr>
              <w:t>8</w:t>
            </w:r>
          </w:p>
        </w:tc>
        <w:tc>
          <w:tcPr>
            <w:tcW w:w="984" w:type="dxa"/>
            <w:vMerge w:val="restart"/>
            <w:vAlign w:val="center"/>
          </w:tcPr>
          <w:p>
            <w:pPr>
              <w:spacing w:line="300" w:lineRule="exact"/>
              <w:jc w:val="center"/>
              <w:rPr>
                <w:rFonts w:hint="eastAsia" w:ascii="仿宋" w:hAnsi="仿宋" w:eastAsia="仿宋" w:cs="仿宋"/>
                <w:kern w:val="0"/>
                <w:szCs w:val="21"/>
              </w:rPr>
            </w:pPr>
            <w:r>
              <w:rPr>
                <w:rFonts w:hint="eastAsia" w:ascii="仿宋" w:hAnsi="仿宋" w:eastAsia="仿宋" w:cs="仿宋"/>
                <w:kern w:val="0"/>
                <w:szCs w:val="21"/>
              </w:rPr>
              <w:t>台账完善</w:t>
            </w:r>
          </w:p>
        </w:tc>
        <w:tc>
          <w:tcPr>
            <w:tcW w:w="4667" w:type="dxa"/>
            <w:vAlign w:val="center"/>
          </w:tcPr>
          <w:p>
            <w:pPr>
              <w:spacing w:line="300" w:lineRule="exact"/>
              <w:rPr>
                <w:rFonts w:hint="eastAsia" w:ascii="仿宋" w:hAnsi="仿宋" w:eastAsia="仿宋" w:cs="仿宋"/>
                <w:szCs w:val="21"/>
              </w:rPr>
            </w:pPr>
            <w:r>
              <w:rPr>
                <w:rFonts w:hint="eastAsia" w:ascii="仿宋" w:hAnsi="仿宋" w:eastAsia="仿宋" w:cs="仿宋"/>
                <w:szCs w:val="21"/>
              </w:rPr>
              <w:t>生活垃圾的收运无人管理，垃圾清运称重、登记、检查不规范或者未落实的，1次扣2分。</w:t>
            </w:r>
          </w:p>
        </w:tc>
        <w:tc>
          <w:tcPr>
            <w:tcW w:w="1341" w:type="dxa"/>
            <w:vAlign w:val="center"/>
          </w:tcPr>
          <w:p>
            <w:pPr>
              <w:spacing w:line="300" w:lineRule="exact"/>
              <w:rPr>
                <w:rFonts w:hint="eastAsia" w:ascii="仿宋" w:hAnsi="仿宋" w:eastAsia="仿宋" w:cs="仿宋"/>
                <w:szCs w:val="21"/>
              </w:rPr>
            </w:pPr>
          </w:p>
        </w:tc>
        <w:tc>
          <w:tcPr>
            <w:tcW w:w="1474" w:type="dxa"/>
            <w:vAlign w:val="top"/>
          </w:tcPr>
          <w:p>
            <w:pPr>
              <w:pStyle w:val="524"/>
              <w:rPr>
                <w:rFonts w:hint="eastAsia" w:ascii="仿宋" w:hAnsi="仿宋" w:eastAsia="仿宋" w:cs="仿宋"/>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spacing w:line="300" w:lineRule="exact"/>
              <w:rPr>
                <w:rFonts w:hint="eastAsia" w:ascii="仿宋" w:hAnsi="仿宋" w:eastAsia="仿宋" w:cs="仿宋"/>
                <w:szCs w:val="21"/>
              </w:rPr>
            </w:pPr>
            <w:r>
              <w:rPr>
                <w:rFonts w:hint="eastAsia" w:ascii="仿宋" w:hAnsi="仿宋" w:eastAsia="仿宋" w:cs="仿宋"/>
                <w:szCs w:val="21"/>
              </w:rPr>
              <w:t>9</w:t>
            </w:r>
          </w:p>
        </w:tc>
        <w:tc>
          <w:tcPr>
            <w:tcW w:w="984" w:type="dxa"/>
            <w:vMerge w:val="continue"/>
            <w:vAlign w:val="center"/>
          </w:tcPr>
          <w:p>
            <w:pPr>
              <w:spacing w:line="300" w:lineRule="exact"/>
              <w:jc w:val="center"/>
              <w:rPr>
                <w:rFonts w:hint="eastAsia" w:ascii="仿宋" w:hAnsi="仿宋" w:eastAsia="仿宋" w:cs="仿宋"/>
                <w:kern w:val="0"/>
                <w:szCs w:val="21"/>
              </w:rPr>
            </w:pPr>
          </w:p>
        </w:tc>
        <w:tc>
          <w:tcPr>
            <w:tcW w:w="4667" w:type="dxa"/>
            <w:vAlign w:val="center"/>
          </w:tcPr>
          <w:p>
            <w:pPr>
              <w:spacing w:line="300" w:lineRule="exact"/>
              <w:rPr>
                <w:rFonts w:hint="eastAsia" w:ascii="仿宋" w:hAnsi="仿宋" w:eastAsia="仿宋" w:cs="仿宋"/>
                <w:szCs w:val="21"/>
              </w:rPr>
            </w:pPr>
            <w:r>
              <w:rPr>
                <w:rFonts w:hint="eastAsia" w:ascii="仿宋" w:hAnsi="仿宋" w:eastAsia="仿宋" w:cs="仿宋"/>
                <w:szCs w:val="21"/>
              </w:rPr>
              <w:t>运行报表记录不齐全、不准确的，1次扣1分，登记存在弄虚作假的，1次扣2分</w:t>
            </w:r>
          </w:p>
        </w:tc>
        <w:tc>
          <w:tcPr>
            <w:tcW w:w="1341" w:type="dxa"/>
            <w:vAlign w:val="center"/>
          </w:tcPr>
          <w:p>
            <w:pPr>
              <w:spacing w:line="300" w:lineRule="exact"/>
              <w:rPr>
                <w:rFonts w:hint="eastAsia" w:ascii="仿宋" w:hAnsi="仿宋" w:eastAsia="仿宋" w:cs="仿宋"/>
                <w:szCs w:val="21"/>
              </w:rPr>
            </w:pPr>
          </w:p>
        </w:tc>
        <w:tc>
          <w:tcPr>
            <w:tcW w:w="1474" w:type="dxa"/>
            <w:vAlign w:val="top"/>
          </w:tcPr>
          <w:p>
            <w:pPr>
              <w:pStyle w:val="524"/>
              <w:rPr>
                <w:rFonts w:hint="eastAsia" w:ascii="仿宋" w:hAnsi="仿宋" w:eastAsia="仿宋" w:cs="仿宋"/>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spacing w:line="300" w:lineRule="exact"/>
              <w:rPr>
                <w:rFonts w:hint="eastAsia" w:ascii="仿宋" w:hAnsi="仿宋" w:eastAsia="仿宋" w:cs="仿宋"/>
                <w:szCs w:val="21"/>
              </w:rPr>
            </w:pPr>
            <w:r>
              <w:rPr>
                <w:rFonts w:hint="eastAsia" w:ascii="仿宋" w:hAnsi="仿宋" w:eastAsia="仿宋" w:cs="仿宋"/>
                <w:szCs w:val="21"/>
              </w:rPr>
              <w:t>10</w:t>
            </w:r>
          </w:p>
        </w:tc>
        <w:tc>
          <w:tcPr>
            <w:tcW w:w="984" w:type="dxa"/>
            <w:vMerge w:val="restart"/>
            <w:vAlign w:val="center"/>
          </w:tcPr>
          <w:p>
            <w:pPr>
              <w:spacing w:line="300" w:lineRule="exact"/>
              <w:jc w:val="left"/>
              <w:rPr>
                <w:rFonts w:hint="eastAsia" w:ascii="仿宋" w:hAnsi="仿宋" w:eastAsia="仿宋" w:cs="仿宋"/>
                <w:kern w:val="0"/>
                <w:szCs w:val="21"/>
              </w:rPr>
            </w:pPr>
            <w:r>
              <w:rPr>
                <w:rFonts w:hint="eastAsia" w:ascii="仿宋" w:hAnsi="仿宋" w:eastAsia="仿宋" w:cs="仿宋"/>
                <w:kern w:val="0"/>
                <w:szCs w:val="21"/>
              </w:rPr>
              <w:t>规范着装，文明作业，无有责投诉，区级及以上检查不失责任分。</w:t>
            </w:r>
          </w:p>
        </w:tc>
        <w:tc>
          <w:tcPr>
            <w:tcW w:w="4667" w:type="dxa"/>
            <w:vAlign w:val="center"/>
          </w:tcPr>
          <w:p>
            <w:pPr>
              <w:spacing w:line="300" w:lineRule="exact"/>
              <w:rPr>
                <w:rFonts w:hint="eastAsia" w:ascii="仿宋" w:hAnsi="仿宋" w:eastAsia="仿宋" w:cs="仿宋"/>
                <w:szCs w:val="21"/>
              </w:rPr>
            </w:pPr>
            <w:r>
              <w:rPr>
                <w:rFonts w:hint="eastAsia" w:ascii="仿宋" w:hAnsi="仿宋" w:eastAsia="仿宋" w:cs="仿宋"/>
                <w:szCs w:val="21"/>
              </w:rPr>
              <w:t>因不文明作业收到投诉经查实有责的，每件扣2分。</w:t>
            </w:r>
          </w:p>
        </w:tc>
        <w:tc>
          <w:tcPr>
            <w:tcW w:w="1341" w:type="dxa"/>
            <w:vAlign w:val="center"/>
          </w:tcPr>
          <w:p>
            <w:pPr>
              <w:spacing w:line="300" w:lineRule="exact"/>
              <w:rPr>
                <w:rFonts w:hint="eastAsia" w:ascii="仿宋" w:hAnsi="仿宋" w:eastAsia="仿宋" w:cs="仿宋"/>
                <w:szCs w:val="21"/>
              </w:rPr>
            </w:pPr>
          </w:p>
        </w:tc>
        <w:tc>
          <w:tcPr>
            <w:tcW w:w="1474" w:type="dxa"/>
            <w:vAlign w:val="top"/>
          </w:tcPr>
          <w:p>
            <w:pPr>
              <w:pStyle w:val="524"/>
              <w:rPr>
                <w:rFonts w:hint="eastAsia" w:ascii="仿宋" w:hAnsi="仿宋" w:eastAsia="仿宋" w:cs="仿宋"/>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spacing w:line="300" w:lineRule="exact"/>
              <w:rPr>
                <w:rFonts w:hint="eastAsia" w:ascii="仿宋" w:hAnsi="仿宋" w:eastAsia="仿宋" w:cs="仿宋"/>
                <w:szCs w:val="21"/>
              </w:rPr>
            </w:pPr>
            <w:r>
              <w:rPr>
                <w:rFonts w:hint="eastAsia" w:ascii="仿宋" w:hAnsi="仿宋" w:eastAsia="仿宋" w:cs="仿宋"/>
                <w:szCs w:val="21"/>
              </w:rPr>
              <w:t>11</w:t>
            </w:r>
          </w:p>
        </w:tc>
        <w:tc>
          <w:tcPr>
            <w:tcW w:w="984" w:type="dxa"/>
            <w:vMerge w:val="continue"/>
            <w:vAlign w:val="center"/>
          </w:tcPr>
          <w:p>
            <w:pPr>
              <w:spacing w:line="300" w:lineRule="exact"/>
              <w:jc w:val="center"/>
              <w:rPr>
                <w:rFonts w:hint="eastAsia" w:ascii="仿宋" w:hAnsi="仿宋" w:eastAsia="仿宋" w:cs="仿宋"/>
                <w:kern w:val="0"/>
                <w:szCs w:val="21"/>
              </w:rPr>
            </w:pPr>
          </w:p>
        </w:tc>
        <w:tc>
          <w:tcPr>
            <w:tcW w:w="4667" w:type="dxa"/>
            <w:vAlign w:val="center"/>
          </w:tcPr>
          <w:p>
            <w:pPr>
              <w:spacing w:line="300" w:lineRule="exact"/>
              <w:rPr>
                <w:rFonts w:hint="eastAsia" w:ascii="仿宋" w:hAnsi="仿宋" w:eastAsia="仿宋" w:cs="仿宋"/>
                <w:szCs w:val="21"/>
              </w:rPr>
            </w:pPr>
            <w:r>
              <w:rPr>
                <w:rFonts w:hint="eastAsia" w:ascii="仿宋" w:hAnsi="仿宋" w:eastAsia="仿宋" w:cs="仿宋"/>
                <w:kern w:val="0"/>
                <w:szCs w:val="21"/>
              </w:rPr>
              <w:t>环卫工人未按规定着装、不遵守交通规则，环卫车辆未设置反光标识每处</w:t>
            </w:r>
            <w:r>
              <w:rPr>
                <w:rFonts w:hint="eastAsia" w:ascii="仿宋" w:hAnsi="仿宋" w:eastAsia="仿宋" w:cs="仿宋"/>
                <w:szCs w:val="21"/>
              </w:rPr>
              <w:t>扣1分</w:t>
            </w:r>
            <w:r>
              <w:rPr>
                <w:rFonts w:hint="eastAsia" w:ascii="仿宋" w:hAnsi="仿宋" w:eastAsia="仿宋" w:cs="仿宋"/>
                <w:kern w:val="0"/>
                <w:szCs w:val="21"/>
              </w:rPr>
              <w:t>。</w:t>
            </w:r>
            <w:r>
              <w:rPr>
                <w:rFonts w:hint="eastAsia" w:ascii="仿宋" w:hAnsi="仿宋" w:eastAsia="仿宋" w:cs="仿宋"/>
                <w:szCs w:val="21"/>
              </w:rPr>
              <w:t>因上述原因造成安全事故未上报扣2分。</w:t>
            </w:r>
          </w:p>
        </w:tc>
        <w:tc>
          <w:tcPr>
            <w:tcW w:w="1341" w:type="dxa"/>
            <w:vAlign w:val="center"/>
          </w:tcPr>
          <w:p>
            <w:pPr>
              <w:spacing w:line="300" w:lineRule="exact"/>
              <w:rPr>
                <w:rFonts w:hint="eastAsia" w:ascii="仿宋" w:hAnsi="仿宋" w:eastAsia="仿宋" w:cs="仿宋"/>
                <w:szCs w:val="21"/>
              </w:rPr>
            </w:pPr>
          </w:p>
        </w:tc>
        <w:tc>
          <w:tcPr>
            <w:tcW w:w="1474" w:type="dxa"/>
            <w:vAlign w:val="top"/>
          </w:tcPr>
          <w:p>
            <w:pPr>
              <w:pStyle w:val="524"/>
              <w:rPr>
                <w:rFonts w:hint="eastAsia" w:ascii="仿宋" w:hAnsi="仿宋" w:eastAsia="仿宋" w:cs="仿宋"/>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spacing w:line="300" w:lineRule="exact"/>
              <w:rPr>
                <w:rFonts w:hint="eastAsia" w:ascii="仿宋" w:hAnsi="仿宋" w:eastAsia="仿宋" w:cs="仿宋"/>
                <w:szCs w:val="21"/>
              </w:rPr>
            </w:pPr>
            <w:r>
              <w:rPr>
                <w:rFonts w:hint="eastAsia" w:ascii="仿宋" w:hAnsi="仿宋" w:eastAsia="仿宋" w:cs="仿宋"/>
                <w:szCs w:val="21"/>
              </w:rPr>
              <w:t>12</w:t>
            </w:r>
          </w:p>
        </w:tc>
        <w:tc>
          <w:tcPr>
            <w:tcW w:w="984" w:type="dxa"/>
            <w:vMerge w:val="continue"/>
            <w:vAlign w:val="center"/>
          </w:tcPr>
          <w:p>
            <w:pPr>
              <w:spacing w:line="300" w:lineRule="exact"/>
              <w:jc w:val="center"/>
              <w:rPr>
                <w:rFonts w:hint="eastAsia" w:ascii="仿宋" w:hAnsi="仿宋" w:eastAsia="仿宋" w:cs="仿宋"/>
                <w:kern w:val="0"/>
                <w:szCs w:val="21"/>
              </w:rPr>
            </w:pPr>
          </w:p>
        </w:tc>
        <w:tc>
          <w:tcPr>
            <w:tcW w:w="4667" w:type="dxa"/>
            <w:vAlign w:val="center"/>
          </w:tcPr>
          <w:p>
            <w:pPr>
              <w:spacing w:line="300" w:lineRule="exact"/>
              <w:rPr>
                <w:rFonts w:hint="eastAsia" w:ascii="仿宋" w:hAnsi="仿宋" w:eastAsia="仿宋" w:cs="仿宋"/>
                <w:szCs w:val="21"/>
              </w:rPr>
            </w:pPr>
            <w:r>
              <w:rPr>
                <w:rFonts w:hint="eastAsia" w:ascii="仿宋" w:hAnsi="仿宋" w:eastAsia="仿宋" w:cs="仿宋"/>
                <w:kern w:val="0"/>
                <w:szCs w:val="21"/>
              </w:rPr>
              <w:t>无理阻扰、谩骂、影响检查人员正常工作或不配合的1次扣10分。</w:t>
            </w:r>
          </w:p>
        </w:tc>
        <w:tc>
          <w:tcPr>
            <w:tcW w:w="1341" w:type="dxa"/>
            <w:vAlign w:val="center"/>
          </w:tcPr>
          <w:p>
            <w:pPr>
              <w:spacing w:line="300" w:lineRule="exact"/>
              <w:rPr>
                <w:rFonts w:hint="eastAsia" w:ascii="仿宋" w:hAnsi="仿宋" w:eastAsia="仿宋" w:cs="仿宋"/>
                <w:szCs w:val="21"/>
              </w:rPr>
            </w:pPr>
          </w:p>
        </w:tc>
        <w:tc>
          <w:tcPr>
            <w:tcW w:w="1474" w:type="dxa"/>
            <w:vAlign w:val="top"/>
          </w:tcPr>
          <w:p>
            <w:pPr>
              <w:pStyle w:val="524"/>
              <w:rPr>
                <w:rFonts w:hint="eastAsia" w:ascii="仿宋" w:hAnsi="仿宋" w:eastAsia="仿宋" w:cs="仿宋"/>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vAlign w:val="center"/>
          </w:tcPr>
          <w:p>
            <w:pPr>
              <w:spacing w:line="300" w:lineRule="exact"/>
              <w:rPr>
                <w:rFonts w:hint="eastAsia" w:ascii="仿宋" w:hAnsi="仿宋" w:eastAsia="仿宋" w:cs="仿宋"/>
                <w:szCs w:val="21"/>
              </w:rPr>
            </w:pPr>
            <w:r>
              <w:rPr>
                <w:rFonts w:hint="eastAsia" w:ascii="仿宋" w:hAnsi="仿宋" w:eastAsia="仿宋" w:cs="仿宋"/>
                <w:szCs w:val="21"/>
              </w:rPr>
              <w:t>13</w:t>
            </w:r>
          </w:p>
        </w:tc>
        <w:tc>
          <w:tcPr>
            <w:tcW w:w="984" w:type="dxa"/>
            <w:vMerge w:val="continue"/>
            <w:vAlign w:val="center"/>
          </w:tcPr>
          <w:p>
            <w:pPr>
              <w:spacing w:line="300" w:lineRule="exact"/>
              <w:jc w:val="center"/>
              <w:rPr>
                <w:rFonts w:hint="eastAsia" w:ascii="仿宋" w:hAnsi="仿宋" w:eastAsia="仿宋" w:cs="仿宋"/>
                <w:kern w:val="0"/>
                <w:szCs w:val="21"/>
              </w:rPr>
            </w:pPr>
          </w:p>
        </w:tc>
        <w:tc>
          <w:tcPr>
            <w:tcW w:w="4667" w:type="dxa"/>
            <w:vAlign w:val="center"/>
          </w:tcPr>
          <w:p>
            <w:pPr>
              <w:spacing w:line="300" w:lineRule="exact"/>
              <w:rPr>
                <w:rFonts w:hint="eastAsia" w:ascii="仿宋" w:hAnsi="仿宋" w:eastAsia="仿宋" w:cs="仿宋"/>
                <w:kern w:val="0"/>
                <w:szCs w:val="21"/>
              </w:rPr>
            </w:pPr>
            <w:r>
              <w:rPr>
                <w:rFonts w:hint="eastAsia" w:ascii="仿宋" w:hAnsi="仿宋" w:eastAsia="仿宋" w:cs="仿宋"/>
                <w:szCs w:val="21"/>
              </w:rPr>
              <w:t>市查、区查</w:t>
            </w:r>
            <w:r>
              <w:rPr>
                <w:rFonts w:hint="eastAsia" w:ascii="仿宋" w:hAnsi="仿宋" w:eastAsia="仿宋" w:cs="仿宋"/>
                <w:kern w:val="0"/>
                <w:szCs w:val="21"/>
              </w:rPr>
              <w:t>的</w:t>
            </w:r>
            <w:r>
              <w:rPr>
                <w:rFonts w:hint="eastAsia" w:ascii="仿宋" w:hAnsi="仿宋" w:eastAsia="仿宋" w:cs="仿宋"/>
                <w:spacing w:val="-8"/>
                <w:szCs w:val="21"/>
              </w:rPr>
              <w:t>涉及属地管辖内所有关于清运、垃圾不落地音乐线的</w:t>
            </w:r>
            <w:r>
              <w:rPr>
                <w:rFonts w:hint="eastAsia" w:ascii="仿宋" w:hAnsi="仿宋" w:eastAsia="仿宋" w:cs="仿宋"/>
                <w:kern w:val="0"/>
                <w:szCs w:val="21"/>
              </w:rPr>
              <w:t>有责抄告及信访问题，</w:t>
            </w:r>
            <w:r>
              <w:rPr>
                <w:rFonts w:hint="eastAsia" w:ascii="仿宋" w:hAnsi="仿宋" w:eastAsia="仿宋" w:cs="仿宋"/>
                <w:szCs w:val="21"/>
              </w:rPr>
              <w:t>每发生1件扣1分，整改不到位扣2分，二次抄告扣2.5分，整改不到位扣5分，三次抄告扣5分。</w:t>
            </w:r>
          </w:p>
        </w:tc>
        <w:tc>
          <w:tcPr>
            <w:tcW w:w="1341" w:type="dxa"/>
            <w:vAlign w:val="center"/>
          </w:tcPr>
          <w:p>
            <w:pPr>
              <w:spacing w:line="300" w:lineRule="exact"/>
              <w:rPr>
                <w:rFonts w:hint="eastAsia" w:ascii="仿宋" w:hAnsi="仿宋" w:eastAsia="仿宋" w:cs="仿宋"/>
                <w:szCs w:val="21"/>
              </w:rPr>
            </w:pPr>
          </w:p>
        </w:tc>
        <w:tc>
          <w:tcPr>
            <w:tcW w:w="1474" w:type="dxa"/>
            <w:vAlign w:val="top"/>
          </w:tcPr>
          <w:p>
            <w:pPr>
              <w:pStyle w:val="524"/>
              <w:rPr>
                <w:rFonts w:hint="eastAsia" w:ascii="仿宋" w:hAnsi="仿宋" w:eastAsia="仿宋" w:cs="仿宋"/>
                <w:i w:val="0"/>
                <w:i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965" w:type="dxa"/>
            <w:vAlign w:val="center"/>
          </w:tcPr>
          <w:p>
            <w:pPr>
              <w:spacing w:line="300" w:lineRule="exact"/>
              <w:rPr>
                <w:rFonts w:hint="eastAsia" w:ascii="仿宋" w:hAnsi="仿宋" w:eastAsia="仿宋" w:cs="仿宋"/>
                <w:szCs w:val="21"/>
              </w:rPr>
            </w:pPr>
            <w:r>
              <w:rPr>
                <w:rFonts w:hint="eastAsia" w:ascii="仿宋" w:hAnsi="仿宋" w:eastAsia="仿宋" w:cs="仿宋"/>
                <w:szCs w:val="21"/>
              </w:rPr>
              <w:t>14</w:t>
            </w:r>
          </w:p>
        </w:tc>
        <w:tc>
          <w:tcPr>
            <w:tcW w:w="984" w:type="dxa"/>
            <w:vAlign w:val="center"/>
          </w:tcPr>
          <w:p>
            <w:pPr>
              <w:spacing w:line="300" w:lineRule="exact"/>
              <w:jc w:val="center"/>
              <w:rPr>
                <w:rFonts w:hint="eastAsia" w:ascii="仿宋" w:hAnsi="仿宋" w:eastAsia="仿宋" w:cs="仿宋"/>
                <w:kern w:val="0"/>
                <w:szCs w:val="21"/>
              </w:rPr>
            </w:pPr>
            <w:r>
              <w:rPr>
                <w:rFonts w:hint="eastAsia" w:ascii="仿宋" w:hAnsi="仿宋" w:eastAsia="仿宋" w:cs="仿宋"/>
                <w:kern w:val="0"/>
                <w:szCs w:val="21"/>
              </w:rPr>
              <w:t>垃圾不落地</w:t>
            </w:r>
          </w:p>
          <w:p>
            <w:pPr>
              <w:spacing w:line="300" w:lineRule="exact"/>
              <w:jc w:val="center"/>
              <w:rPr>
                <w:rFonts w:hint="eastAsia" w:ascii="仿宋" w:hAnsi="仿宋" w:eastAsia="仿宋" w:cs="仿宋"/>
                <w:kern w:val="0"/>
                <w:szCs w:val="21"/>
              </w:rPr>
            </w:pPr>
            <w:r>
              <w:rPr>
                <w:rFonts w:hint="eastAsia" w:ascii="仿宋" w:hAnsi="仿宋" w:eastAsia="仿宋" w:cs="仿宋"/>
                <w:kern w:val="0"/>
                <w:szCs w:val="21"/>
              </w:rPr>
              <w:t>音乐线</w:t>
            </w:r>
          </w:p>
        </w:tc>
        <w:tc>
          <w:tcPr>
            <w:tcW w:w="4667" w:type="dxa"/>
            <w:vAlign w:val="center"/>
          </w:tcPr>
          <w:p>
            <w:pPr>
              <w:spacing w:line="300" w:lineRule="exact"/>
              <w:rPr>
                <w:rFonts w:hint="eastAsia" w:ascii="仿宋" w:hAnsi="仿宋" w:eastAsia="仿宋" w:cs="仿宋"/>
                <w:szCs w:val="21"/>
              </w:rPr>
            </w:pPr>
            <w:r>
              <w:rPr>
                <w:rFonts w:hint="eastAsia" w:ascii="仿宋" w:hAnsi="仿宋" w:eastAsia="仿宋" w:cs="仿宋"/>
                <w:szCs w:val="21"/>
              </w:rPr>
              <w:t>路段商户知晓率低于90%的，每低5%扣1分。规定时段未进行收运的，一次扣2分；混装混匀的，一次扣3分；垃圾不落地音乐线车辆外观不洁、破损的或者着色图案不符合环卫规定，收运时音乐播放异常的，每次扣1分；收运数据上传、存储异常的，每次扣2分。</w:t>
            </w:r>
          </w:p>
        </w:tc>
        <w:tc>
          <w:tcPr>
            <w:tcW w:w="1341" w:type="dxa"/>
            <w:vAlign w:val="center"/>
          </w:tcPr>
          <w:p>
            <w:pPr>
              <w:spacing w:line="300" w:lineRule="exact"/>
              <w:rPr>
                <w:rFonts w:hint="eastAsia" w:ascii="仿宋" w:hAnsi="仿宋" w:eastAsia="仿宋" w:cs="仿宋"/>
                <w:szCs w:val="21"/>
              </w:rPr>
            </w:pPr>
          </w:p>
        </w:tc>
        <w:tc>
          <w:tcPr>
            <w:tcW w:w="1474" w:type="dxa"/>
            <w:vAlign w:val="top"/>
          </w:tcPr>
          <w:p>
            <w:pPr>
              <w:pStyle w:val="524"/>
              <w:rPr>
                <w:rFonts w:hint="eastAsia" w:ascii="仿宋" w:hAnsi="仿宋" w:eastAsia="仿宋" w:cs="仿宋"/>
                <w:i w:val="0"/>
                <w:iCs w:val="0"/>
                <w:sz w:val="21"/>
                <w:szCs w:val="21"/>
              </w:rPr>
            </w:pPr>
          </w:p>
        </w:tc>
      </w:tr>
    </w:tbl>
    <w:p>
      <w:pPr>
        <w:widowControl/>
        <w:adjustRightInd w:val="0"/>
        <w:snapToGrid w:val="0"/>
        <w:spacing w:line="500" w:lineRule="exact"/>
        <w:ind w:firstLine="480" w:firstLineChars="200"/>
        <w:jc w:val="left"/>
        <w:rPr>
          <w:rFonts w:hint="eastAsia" w:ascii="宋体" w:hAnsi="宋体" w:cs="宋体"/>
          <w:bCs/>
          <w:sz w:val="24"/>
        </w:rPr>
      </w:pPr>
      <w:r>
        <w:rPr>
          <w:rFonts w:hint="eastAsia" w:ascii="宋体" w:hAnsi="宋体" w:cs="宋体"/>
          <w:kern w:val="0"/>
          <w:sz w:val="24"/>
        </w:rPr>
        <w:t xml:space="preserve"> </w:t>
      </w:r>
      <w:r>
        <w:rPr>
          <w:rFonts w:hint="eastAsia" w:ascii="宋体" w:hAnsi="宋体" w:cs="宋体"/>
          <w:b/>
          <w:kern w:val="0"/>
          <w:sz w:val="24"/>
        </w:rPr>
        <w:t xml:space="preserve"> 2、评分考核。</w:t>
      </w:r>
      <w:r>
        <w:rPr>
          <w:rFonts w:hint="eastAsia" w:ascii="宋体" w:hAnsi="宋体" w:cs="宋体"/>
          <w:bCs/>
          <w:kern w:val="0"/>
          <w:sz w:val="24"/>
        </w:rPr>
        <w:t>评分考核每月进行两次，由</w:t>
      </w:r>
      <w:r>
        <w:rPr>
          <w:rFonts w:hint="eastAsia" w:ascii="宋体" w:hAnsi="宋体" w:cs="宋体"/>
          <w:bCs/>
          <w:kern w:val="0"/>
          <w:sz w:val="24"/>
          <w:lang w:eastAsia="zh-CN"/>
        </w:rPr>
        <w:t>城建管理办公室</w:t>
      </w:r>
      <w:r>
        <w:rPr>
          <w:rFonts w:hint="eastAsia" w:ascii="宋体" w:hAnsi="宋体" w:cs="宋体"/>
          <w:bCs/>
          <w:kern w:val="0"/>
          <w:sz w:val="24"/>
        </w:rPr>
        <w:t>组织人员每月进行两次集中考核，并按照按照</w:t>
      </w:r>
      <w:r>
        <w:rPr>
          <w:rFonts w:hint="eastAsia" w:ascii="宋体" w:hAnsi="宋体" w:cs="宋体"/>
          <w:kern w:val="0"/>
          <w:sz w:val="24"/>
        </w:rPr>
        <w:t>《关于开展“垃圾不落地 余杭更美丽”主题活动相关城市管理工作的通知》（</w:t>
      </w:r>
      <w:r>
        <w:rPr>
          <w:rFonts w:hint="eastAsia" w:ascii="宋体" w:hAnsi="宋体" w:cs="宋体"/>
          <w:sz w:val="24"/>
        </w:rPr>
        <w:t>余城组〔2018〕1号</w:t>
      </w:r>
      <w:r>
        <w:rPr>
          <w:rFonts w:hint="eastAsia" w:ascii="宋体" w:hAnsi="宋体" w:cs="宋体"/>
          <w:kern w:val="0"/>
          <w:sz w:val="24"/>
        </w:rPr>
        <w:t>）文件精神和</w:t>
      </w: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HYPERLINK "http://yhdzgw.yuhang.gov.cn/explorer.jsp" \o "关于印发《余杭区城市管理范围内洁化、市政亮化、绿化、序化分级分类及考核办法》的通知" </w:instrText>
      </w:r>
      <w:r>
        <w:rPr>
          <w:rFonts w:hint="eastAsia" w:ascii="宋体" w:hAnsi="宋体" w:cs="宋体"/>
          <w:sz w:val="24"/>
        </w:rPr>
        <w:fldChar w:fldCharType="separate"/>
      </w:r>
      <w:r>
        <w:rPr>
          <w:rFonts w:hint="eastAsia" w:ascii="宋体" w:hAnsi="宋体" w:cs="宋体"/>
          <w:sz w:val="24"/>
        </w:rPr>
        <w:t xml:space="preserve">关于印发《余杭区城市管理范围内洁化、市政亮化、绿化、序化分级分类及考核办法》的通知 </w:t>
      </w:r>
      <w:r>
        <w:rPr>
          <w:rFonts w:hint="eastAsia" w:ascii="宋体" w:hAnsi="宋体" w:cs="宋体"/>
          <w:sz w:val="24"/>
        </w:rPr>
        <w:fldChar w:fldCharType="end"/>
      </w:r>
      <w:r>
        <w:rPr>
          <w:rFonts w:hint="eastAsia" w:ascii="宋体" w:hAnsi="宋体" w:cs="宋体"/>
          <w:sz w:val="24"/>
        </w:rPr>
        <w:t>》（余城组〔2019〕1号 ）文件精神</w:t>
      </w:r>
      <w:r>
        <w:rPr>
          <w:rFonts w:hint="eastAsia" w:ascii="宋体" w:hAnsi="宋体" w:cs="宋体"/>
          <w:kern w:val="0"/>
          <w:sz w:val="24"/>
        </w:rPr>
        <w:t>文件进行打分</w:t>
      </w:r>
      <w:r>
        <w:rPr>
          <w:rFonts w:hint="eastAsia" w:ascii="宋体" w:hAnsi="宋体" w:cs="宋体"/>
          <w:bCs/>
          <w:kern w:val="0"/>
          <w:sz w:val="24"/>
        </w:rPr>
        <w:t>，每月考核与资金支付金额挂钩。合同</w:t>
      </w:r>
      <w:r>
        <w:rPr>
          <w:rFonts w:hint="eastAsia" w:ascii="宋体" w:hAnsi="宋体" w:cs="宋体"/>
          <w:bCs/>
          <w:sz w:val="24"/>
        </w:rPr>
        <w:t>周期内存在三个月（含）以上月度考核不合格的，招标人有权直接终止合同，并按招标文件及合同有关条款执行没收履约保证金等措施。</w:t>
      </w:r>
      <w:r>
        <w:rPr>
          <w:rFonts w:hint="eastAsia" w:ascii="宋体" w:hAnsi="宋体" w:cs="宋体"/>
          <w:bCs/>
          <w:kern w:val="0"/>
          <w:sz w:val="24"/>
        </w:rPr>
        <w:t>每月考核得分加和除以12，得出年度平均得分，年度考核得分作为招标人对养护单位工作完成情况总体评价的重要依据。</w:t>
      </w:r>
    </w:p>
    <w:p>
      <w:pPr>
        <w:widowControl/>
        <w:adjustRightInd w:val="0"/>
        <w:snapToGrid w:val="0"/>
        <w:spacing w:line="500" w:lineRule="exact"/>
        <w:ind w:firstLine="482" w:firstLineChars="200"/>
        <w:jc w:val="left"/>
        <w:rPr>
          <w:rFonts w:hint="eastAsia" w:ascii="宋体" w:hAnsi="宋体" w:cs="宋体"/>
          <w:kern w:val="0"/>
          <w:sz w:val="24"/>
        </w:rPr>
      </w:pPr>
      <w:r>
        <w:rPr>
          <w:rFonts w:hint="eastAsia" w:ascii="宋体" w:hAnsi="宋体" w:cs="宋体"/>
          <w:b/>
          <w:kern w:val="0"/>
          <w:sz w:val="24"/>
        </w:rPr>
        <w:t>（1）评分专项督查考核</w:t>
      </w:r>
    </w:p>
    <w:p>
      <w:pPr>
        <w:widowControl/>
        <w:tabs>
          <w:tab w:val="left" w:pos="3960"/>
        </w:tabs>
        <w:adjustRightInd w:val="0"/>
        <w:snapToGrid w:val="0"/>
        <w:spacing w:line="500" w:lineRule="exact"/>
        <w:ind w:firstLine="480" w:firstLineChars="200"/>
        <w:jc w:val="left"/>
        <w:rPr>
          <w:rFonts w:hint="eastAsia" w:ascii="宋体" w:hAnsi="宋体" w:cs="宋体"/>
          <w:kern w:val="0"/>
          <w:sz w:val="24"/>
        </w:rPr>
      </w:pPr>
      <w:r>
        <w:rPr>
          <w:rFonts w:hint="eastAsia" w:ascii="宋体" w:hAnsi="宋体" w:cs="宋体"/>
          <w:kern w:val="0"/>
          <w:sz w:val="24"/>
        </w:rPr>
        <w:t>区长公开电话受理、领导督办、政务平台市民投诉的问题未在规定期限内整改解决的按评分标准从当月清洁度中直接扣0.5分；区级以上检查失分、重大活动保障不力的</w:t>
      </w:r>
      <w:r>
        <w:rPr>
          <w:rFonts w:hint="eastAsia" w:ascii="宋体" w:hAnsi="宋体"/>
          <w:sz w:val="24"/>
        </w:rPr>
        <w:t>清运</w:t>
      </w:r>
      <w:r>
        <w:rPr>
          <w:rFonts w:hint="eastAsia" w:ascii="宋体" w:hAnsi="宋体" w:cs="宋体"/>
          <w:kern w:val="0"/>
          <w:sz w:val="24"/>
        </w:rPr>
        <w:t>问题经确认有责的按评分标准从当月清洁度中直接扣1分，并视情节予以通报处罚。瞒报交通事故的经查实按考核评分标准在当月清洁度中直接扣0.5分。</w:t>
      </w:r>
    </w:p>
    <w:p>
      <w:pPr>
        <w:widowControl/>
        <w:tabs>
          <w:tab w:val="left" w:pos="3960"/>
        </w:tabs>
        <w:adjustRightInd w:val="0"/>
        <w:snapToGrid w:val="0"/>
        <w:spacing w:line="500" w:lineRule="exact"/>
        <w:ind w:firstLine="480" w:firstLineChars="200"/>
        <w:jc w:val="left"/>
        <w:rPr>
          <w:rFonts w:hint="eastAsia" w:ascii="宋体" w:hAnsi="宋体" w:cs="宋体"/>
          <w:kern w:val="0"/>
          <w:sz w:val="24"/>
        </w:rPr>
      </w:pPr>
      <w:r>
        <w:rPr>
          <w:rFonts w:hint="eastAsia" w:ascii="宋体" w:hAnsi="宋体" w:cs="宋体"/>
          <w:kern w:val="0"/>
          <w:sz w:val="24"/>
        </w:rPr>
        <w:t>日常检查时发现途经的问题多，质量差，及时摄录现状情况，并第一时间告知相关责任单位立即整改，同时扣0.5分。若复查发现整改不力的，每发生一次所在标段当月扣1分，计入当月考核成绩。</w:t>
      </w:r>
    </w:p>
    <w:p>
      <w:pPr>
        <w:widowControl/>
        <w:tabs>
          <w:tab w:val="left" w:pos="3960"/>
        </w:tabs>
        <w:adjustRightInd w:val="0"/>
        <w:snapToGrid w:val="0"/>
        <w:spacing w:line="500" w:lineRule="exact"/>
        <w:ind w:firstLine="482" w:firstLineChars="200"/>
        <w:jc w:val="left"/>
        <w:rPr>
          <w:rFonts w:hint="eastAsia" w:ascii="宋体" w:hAnsi="宋体" w:cs="宋体"/>
          <w:b/>
          <w:kern w:val="0"/>
          <w:sz w:val="24"/>
        </w:rPr>
      </w:pPr>
      <w:r>
        <w:rPr>
          <w:rFonts w:hint="eastAsia" w:ascii="宋体" w:hAnsi="宋体" w:cs="宋体"/>
          <w:b/>
          <w:kern w:val="0"/>
          <w:sz w:val="24"/>
        </w:rPr>
        <w:t>（2）对影响检查考核行为的处理</w:t>
      </w:r>
    </w:p>
    <w:p>
      <w:pPr>
        <w:widowControl/>
        <w:tabs>
          <w:tab w:val="left" w:pos="3960"/>
        </w:tabs>
        <w:adjustRightInd w:val="0"/>
        <w:snapToGrid w:val="0"/>
        <w:spacing w:line="500" w:lineRule="exact"/>
        <w:ind w:firstLine="480" w:firstLineChars="200"/>
        <w:jc w:val="left"/>
        <w:rPr>
          <w:rFonts w:hint="eastAsia" w:ascii="宋体" w:hAnsi="宋体" w:cs="宋体"/>
          <w:kern w:val="0"/>
          <w:sz w:val="24"/>
        </w:rPr>
      </w:pPr>
      <w:r>
        <w:rPr>
          <w:rFonts w:hint="eastAsia" w:ascii="宋体" w:hAnsi="宋体" w:cs="宋体"/>
          <w:kern w:val="0"/>
          <w:sz w:val="24"/>
        </w:rPr>
        <w:t>要严格按照招标文件规定积极做好日常保洁及清运工作，要对台帐资料的真实性、准确性负责，不得采用不正常方式应对检查。对影响妨碍检查考核工作正常进行的行为，按下列规定处理：</w:t>
      </w:r>
    </w:p>
    <w:p>
      <w:pPr>
        <w:widowControl/>
        <w:adjustRightInd w:val="0"/>
        <w:snapToGrid w:val="0"/>
        <w:spacing w:line="500" w:lineRule="exact"/>
        <w:ind w:firstLine="472" w:firstLineChars="196"/>
        <w:jc w:val="left"/>
        <w:rPr>
          <w:rFonts w:hint="eastAsia" w:ascii="宋体" w:hAnsi="宋体" w:cs="宋体"/>
          <w:b/>
          <w:kern w:val="0"/>
          <w:sz w:val="24"/>
        </w:rPr>
      </w:pPr>
      <w:r>
        <w:rPr>
          <w:rFonts w:hint="eastAsia" w:ascii="宋体" w:hAnsi="宋体" w:cs="宋体"/>
          <w:b/>
          <w:kern w:val="0"/>
          <w:sz w:val="24"/>
        </w:rPr>
        <w:sym w:font="Wingdings" w:char="F081"/>
      </w:r>
      <w:r>
        <w:rPr>
          <w:rFonts w:hint="eastAsia" w:ascii="宋体" w:hAnsi="宋体" w:cs="宋体"/>
          <w:kern w:val="0"/>
          <w:sz w:val="24"/>
        </w:rPr>
        <w:t>采用不正常方式有意妨碍、干扰正常检查考核秩序的，每次扣0.5分，扣分值计入所在标段当月考核成绩。</w:t>
      </w:r>
    </w:p>
    <w:p>
      <w:pPr>
        <w:widowControl/>
        <w:adjustRightInd w:val="0"/>
        <w:snapToGrid w:val="0"/>
        <w:spacing w:line="500" w:lineRule="exact"/>
        <w:ind w:firstLine="482" w:firstLineChars="200"/>
        <w:jc w:val="left"/>
        <w:rPr>
          <w:rFonts w:hint="eastAsia" w:ascii="宋体" w:hAnsi="宋体" w:cs="宋体"/>
          <w:b/>
          <w:kern w:val="0"/>
          <w:sz w:val="24"/>
        </w:rPr>
      </w:pPr>
      <w:r>
        <w:rPr>
          <w:rFonts w:hint="eastAsia" w:ascii="宋体" w:hAnsi="宋体" w:cs="宋体"/>
          <w:b/>
          <w:kern w:val="0"/>
          <w:sz w:val="24"/>
        </w:rPr>
        <w:sym w:font="Wingdings" w:char="F082"/>
      </w:r>
      <w:r>
        <w:rPr>
          <w:rFonts w:hint="eastAsia" w:ascii="宋体" w:hAnsi="宋体" w:cs="宋体"/>
          <w:kern w:val="0"/>
          <w:sz w:val="24"/>
        </w:rPr>
        <w:t>检查时，阻挠、延误检查人员开展检查的，每次扣1分；</w:t>
      </w:r>
      <w:r>
        <w:rPr>
          <w:rFonts w:hint="eastAsia" w:ascii="宋体" w:hAnsi="宋体"/>
          <w:sz w:val="24"/>
        </w:rPr>
        <w:t>清运</w:t>
      </w:r>
      <w:r>
        <w:rPr>
          <w:rFonts w:hint="eastAsia" w:ascii="宋体" w:hAnsi="宋体" w:cs="宋体"/>
          <w:kern w:val="0"/>
          <w:sz w:val="24"/>
        </w:rPr>
        <w:t>管理人员或</w:t>
      </w:r>
      <w:r>
        <w:rPr>
          <w:rFonts w:hint="eastAsia" w:ascii="宋体" w:hAnsi="宋体"/>
          <w:sz w:val="24"/>
        </w:rPr>
        <w:t>清运</w:t>
      </w:r>
      <w:r>
        <w:rPr>
          <w:rFonts w:hint="eastAsia" w:ascii="宋体" w:hAnsi="宋体" w:cs="宋体"/>
          <w:kern w:val="0"/>
          <w:sz w:val="24"/>
        </w:rPr>
        <w:t>员在检查组周边进行突击</w:t>
      </w:r>
      <w:r>
        <w:rPr>
          <w:rFonts w:hint="eastAsia" w:ascii="宋体" w:hAnsi="宋体"/>
          <w:sz w:val="24"/>
        </w:rPr>
        <w:t>清运</w:t>
      </w:r>
      <w:r>
        <w:rPr>
          <w:rFonts w:hint="eastAsia" w:ascii="宋体" w:hAnsi="宋体" w:cs="宋体"/>
          <w:kern w:val="0"/>
          <w:sz w:val="24"/>
        </w:rPr>
        <w:t>影响正常检查的，每次扣0.5分；扣分值计入所在区当月考核成绩。</w:t>
      </w:r>
    </w:p>
    <w:p>
      <w:pPr>
        <w:widowControl/>
        <w:tabs>
          <w:tab w:val="left" w:pos="180"/>
        </w:tabs>
        <w:adjustRightInd w:val="0"/>
        <w:snapToGrid w:val="0"/>
        <w:spacing w:line="500" w:lineRule="exact"/>
        <w:ind w:firstLine="480" w:firstLineChars="200"/>
        <w:jc w:val="left"/>
        <w:rPr>
          <w:rFonts w:hint="eastAsia" w:ascii="宋体" w:hAnsi="宋体" w:cs="宋体"/>
          <w:kern w:val="0"/>
          <w:sz w:val="24"/>
        </w:rPr>
      </w:pPr>
      <w:r>
        <w:rPr>
          <w:rFonts w:hint="eastAsia" w:ascii="宋体" w:hAnsi="宋体" w:cs="宋体"/>
          <w:kern w:val="0"/>
          <w:sz w:val="24"/>
        </w:rPr>
        <w:t>检查组初步认定为跟踪、突击行为的，可立即停止检查，另行安排时间重新检查考核，确保检查考核结果的真实性和公平性。</w:t>
      </w:r>
    </w:p>
    <w:p>
      <w:pPr>
        <w:widowControl/>
        <w:adjustRightInd w:val="0"/>
        <w:snapToGrid w:val="0"/>
        <w:spacing w:line="500" w:lineRule="exact"/>
        <w:jc w:val="left"/>
        <w:rPr>
          <w:rFonts w:hint="eastAsia" w:ascii="宋体" w:hAnsi="宋体" w:cs="宋体"/>
          <w:b/>
          <w:kern w:val="0"/>
          <w:sz w:val="24"/>
        </w:rPr>
      </w:pPr>
      <w:r>
        <w:rPr>
          <w:rFonts w:hint="eastAsia" w:ascii="宋体" w:hAnsi="宋体" w:cs="宋体"/>
          <w:b/>
          <w:kern w:val="0"/>
          <w:sz w:val="24"/>
        </w:rPr>
        <w:t xml:space="preserve">   （3）考核结果的公布</w:t>
      </w:r>
    </w:p>
    <w:p>
      <w:pPr>
        <w:widowControl/>
        <w:adjustRightInd w:val="0"/>
        <w:snapToGrid w:val="0"/>
        <w:spacing w:line="500" w:lineRule="exact"/>
        <w:ind w:firstLine="480" w:firstLineChars="200"/>
        <w:jc w:val="left"/>
        <w:rPr>
          <w:rFonts w:hint="eastAsia" w:ascii="宋体" w:hAnsi="宋体" w:cs="宋体"/>
          <w:kern w:val="0"/>
          <w:sz w:val="24"/>
        </w:rPr>
      </w:pPr>
      <w:r>
        <w:rPr>
          <w:rFonts w:hint="eastAsia" w:ascii="宋体" w:hAnsi="宋体" w:cs="宋体"/>
          <w:kern w:val="0"/>
          <w:sz w:val="24"/>
        </w:rPr>
        <w:t>管理检查考核年度得分在90分（含）以上的标段为优秀单位，90-85分（含）为良好单位，85-80分（含）为及格单位，80分以下为不合格单位。优胜单位以年度考核成绩得分在90分（含）以上为年度优胜单位。</w:t>
      </w:r>
    </w:p>
    <w:p>
      <w:pPr>
        <w:spacing w:line="500" w:lineRule="exact"/>
        <w:ind w:firstLine="482" w:firstLineChars="200"/>
        <w:jc w:val="left"/>
        <w:rPr>
          <w:rFonts w:hint="eastAsia" w:ascii="宋体" w:hAnsi="宋体" w:cs="宋体"/>
          <w:kern w:val="0"/>
          <w:sz w:val="24"/>
        </w:rPr>
      </w:pPr>
      <w:r>
        <w:rPr>
          <w:rFonts w:hint="eastAsia" w:ascii="宋体" w:hAnsi="宋体" w:cs="宋体"/>
          <w:b/>
          <w:kern w:val="0"/>
          <w:sz w:val="24"/>
        </w:rPr>
        <w:t>4）奖惩措施。</w:t>
      </w:r>
      <w:r>
        <w:rPr>
          <w:rFonts w:hint="eastAsia" w:ascii="宋体" w:hAnsi="宋体" w:cs="宋体"/>
          <w:kern w:val="0"/>
          <w:sz w:val="24"/>
        </w:rPr>
        <w:t>①月度考核的奖惩：月度考核成绩得分在90分（含）以上的，全额支付当月经费；月度考核得分在90分以下，每扣1分扣除500元，每月考核成绩与拨付金额挂钩。②年终评比的奖惩：年度考核成绩以12个月考核成绩的平均分作为年度考核成绩，如年终考核90分以上的全额支付合同标的，90分-85分的扣除合同标10%的30%，85分-80分的扣除合同标的10%的50%，80分以下扣除合同标的10%的全部。</w:t>
      </w:r>
      <w:r>
        <w:rPr>
          <w:rFonts w:hint="eastAsia" w:ascii="宋体" w:hAnsi="宋体" w:cs="宋体"/>
          <w:sz w:val="24"/>
        </w:rPr>
        <w:t>中标人</w:t>
      </w:r>
      <w:r>
        <w:rPr>
          <w:rFonts w:hint="eastAsia" w:ascii="宋体" w:hAnsi="宋体" w:cs="宋体"/>
          <w:b/>
          <w:sz w:val="24"/>
        </w:rPr>
        <w:t>连续三个月考核不合格</w:t>
      </w:r>
      <w:r>
        <w:rPr>
          <w:rFonts w:hint="eastAsia" w:ascii="宋体" w:hAnsi="宋体" w:cs="宋体"/>
          <w:kern w:val="0"/>
          <w:sz w:val="24"/>
        </w:rPr>
        <w:t>的标段，招标人将提前终止合同，由此造成的损失由中标人自行承担。</w:t>
      </w:r>
    </w:p>
    <w:p>
      <w:pPr>
        <w:widowControl/>
        <w:adjustRightInd w:val="0"/>
        <w:snapToGrid w:val="0"/>
        <w:ind w:firstLine="482" w:firstLineChars="200"/>
        <w:jc w:val="left"/>
        <w:rPr>
          <w:rFonts w:hint="eastAsia" w:ascii="仿宋_GB2312" w:hAnsi="宋体" w:cs="宋体"/>
          <w:b/>
          <w:kern w:val="0"/>
          <w:sz w:val="24"/>
        </w:rPr>
      </w:pPr>
      <w:r>
        <w:rPr>
          <w:rFonts w:hint="eastAsia" w:ascii="仿宋_GB2312" w:hAnsi="宋体" w:cs="宋体"/>
          <w:b/>
          <w:kern w:val="0"/>
          <w:sz w:val="24"/>
        </w:rPr>
        <w:t xml:space="preserve">  （三）保障与奖惩措施</w:t>
      </w:r>
    </w:p>
    <w:p>
      <w:pPr>
        <w:widowControl/>
        <w:adjustRightInd w:val="0"/>
        <w:snapToGrid w:val="0"/>
        <w:spacing w:line="500" w:lineRule="exact"/>
        <w:jc w:val="left"/>
        <w:rPr>
          <w:rFonts w:hint="eastAsia" w:ascii="仿宋_GB2312" w:hAnsi="宋体" w:cs="宋体"/>
          <w:kern w:val="0"/>
          <w:sz w:val="24"/>
        </w:rPr>
      </w:pPr>
      <w:r>
        <w:rPr>
          <w:rFonts w:hint="eastAsia" w:ascii="仿宋_GB2312" w:hAnsi="宋体" w:cs="宋体"/>
          <w:b/>
          <w:kern w:val="0"/>
          <w:sz w:val="24"/>
        </w:rPr>
        <w:t xml:space="preserve">    1、人员保障，</w:t>
      </w:r>
      <w:r>
        <w:rPr>
          <w:rFonts w:hint="eastAsia" w:ascii="仿宋_GB2312" w:hAnsi="宋体" w:cs="宋体"/>
          <w:kern w:val="0"/>
          <w:sz w:val="24"/>
        </w:rPr>
        <w:t>检查考核人员原则上由杭州市余杭区仓前街道城建管理办公室人员组成。</w:t>
      </w:r>
    </w:p>
    <w:p>
      <w:pPr>
        <w:widowControl/>
        <w:adjustRightInd w:val="0"/>
        <w:snapToGrid w:val="0"/>
        <w:spacing w:line="500" w:lineRule="exact"/>
        <w:jc w:val="left"/>
        <w:rPr>
          <w:rFonts w:hint="eastAsia" w:ascii="仿宋_GB2312" w:hAnsi="宋体" w:cs="宋体"/>
          <w:kern w:val="0"/>
          <w:sz w:val="24"/>
        </w:rPr>
      </w:pPr>
      <w:r>
        <w:rPr>
          <w:rFonts w:hint="eastAsia" w:ascii="仿宋_GB2312" w:hAnsi="宋体" w:cs="宋体"/>
          <w:b/>
          <w:kern w:val="0"/>
          <w:sz w:val="24"/>
        </w:rPr>
        <w:t xml:space="preserve">    2、纪律监督</w:t>
      </w:r>
      <w:r>
        <w:rPr>
          <w:rFonts w:hint="eastAsia" w:ascii="仿宋_GB2312" w:hAnsi="宋体" w:cs="宋体"/>
          <w:kern w:val="0"/>
          <w:sz w:val="24"/>
        </w:rPr>
        <w:t>。检查考核人员要做到廉洁自律，秉公办事，文明工作，严格检查考核纪律，严格执行检查考核操作规程。检查组成员在检查考核期间一律不得使用私人通讯工具，严禁泄漏检查考核中抽签内容、检查路线、考核成绩等信息。要自觉接受监督，做到检查考核工作客观、透明、公正。</w:t>
      </w:r>
    </w:p>
    <w:p>
      <w:pPr>
        <w:widowControl/>
        <w:adjustRightInd w:val="0"/>
        <w:snapToGrid w:val="0"/>
        <w:spacing w:line="500" w:lineRule="exact"/>
        <w:ind w:firstLine="470" w:firstLineChars="195"/>
        <w:jc w:val="left"/>
        <w:rPr>
          <w:rFonts w:hint="eastAsia" w:ascii="仿宋_GB2312" w:hAnsi="宋体" w:cs="宋体"/>
          <w:kern w:val="0"/>
          <w:sz w:val="24"/>
        </w:rPr>
      </w:pPr>
      <w:r>
        <w:rPr>
          <w:rFonts w:hint="eastAsia" w:ascii="仿宋_GB2312" w:hAnsi="宋体" w:cs="宋体"/>
          <w:b/>
          <w:kern w:val="0"/>
          <w:sz w:val="24"/>
        </w:rPr>
        <w:t>3、信息查询。</w:t>
      </w:r>
      <w:r>
        <w:rPr>
          <w:rFonts w:hint="eastAsia" w:ascii="仿宋_GB2312" w:hAnsi="宋体" w:cs="宋体"/>
          <w:kern w:val="0"/>
          <w:sz w:val="24"/>
        </w:rPr>
        <w:t>检查考核的全过程对外公开，检查考核的信息和结果公开透明,接受监督和查询。</w:t>
      </w:r>
    </w:p>
    <w:p>
      <w:pPr>
        <w:widowControl/>
        <w:adjustRightInd w:val="0"/>
        <w:snapToGrid w:val="0"/>
        <w:spacing w:line="500" w:lineRule="exact"/>
        <w:ind w:firstLine="482" w:firstLineChars="200"/>
        <w:jc w:val="left"/>
        <w:rPr>
          <w:rFonts w:hint="eastAsia" w:ascii="仿宋_GB2312" w:hAnsi="宋体" w:cs="宋体"/>
          <w:kern w:val="0"/>
          <w:sz w:val="24"/>
        </w:rPr>
      </w:pPr>
      <w:r>
        <w:rPr>
          <w:rFonts w:hint="eastAsia" w:ascii="仿宋_GB2312" w:hAnsi="宋体" w:cs="宋体"/>
          <w:b/>
          <w:kern w:val="0"/>
          <w:sz w:val="24"/>
        </w:rPr>
        <w:t>4、反馈检查情况。</w:t>
      </w:r>
      <w:r>
        <w:rPr>
          <w:rFonts w:hint="eastAsia" w:ascii="仿宋_GB2312" w:hAnsi="宋体" w:cs="宋体"/>
          <w:kern w:val="0"/>
          <w:sz w:val="24"/>
        </w:rPr>
        <w:t>杭州市余杭区仓前街道城建管理办公室应于次日将前一日检查考核中发现的问题以书面形式或电子文档形式告知相关单位落实整改；并接受相关单位对当次检查记录的查询。</w:t>
      </w:r>
    </w:p>
    <w:p>
      <w:pPr>
        <w:widowControl/>
        <w:adjustRightInd w:val="0"/>
        <w:snapToGrid w:val="0"/>
        <w:spacing w:line="500" w:lineRule="exact"/>
        <w:jc w:val="left"/>
        <w:rPr>
          <w:rFonts w:hint="eastAsia" w:ascii="仿宋_GB2312" w:hAnsi="宋体" w:cs="宋体"/>
          <w:b/>
          <w:kern w:val="0"/>
          <w:sz w:val="28"/>
          <w:szCs w:val="28"/>
        </w:rPr>
      </w:pPr>
      <w:r>
        <w:rPr>
          <w:rFonts w:hint="eastAsia" w:ascii="仿宋_GB2312" w:hAnsi="宋体" w:cs="宋体"/>
          <w:b/>
          <w:kern w:val="0"/>
          <w:sz w:val="28"/>
          <w:szCs w:val="28"/>
        </w:rPr>
        <w:t xml:space="preserve">  （四）加扣惩罚措施：</w:t>
      </w:r>
    </w:p>
    <w:p>
      <w:pPr>
        <w:adjustRightInd w:val="0"/>
        <w:snapToGrid w:val="0"/>
        <w:spacing w:line="500" w:lineRule="exact"/>
        <w:rPr>
          <w:rFonts w:hint="eastAsia" w:ascii="仿宋_GB2312" w:hAnsi="宋体" w:cs="宋体"/>
          <w:kern w:val="0"/>
          <w:sz w:val="24"/>
        </w:rPr>
      </w:pPr>
      <w:r>
        <w:rPr>
          <w:rFonts w:hint="eastAsia" w:ascii="仿宋_GB2312" w:hAnsi="宋体" w:cs="宋体"/>
          <w:kern w:val="0"/>
          <w:sz w:val="24"/>
        </w:rPr>
        <w:t xml:space="preserve">   1、仓前街道城建管理办公室对中标单位承诺用于中标区块范围内的机械设备，每月进行GPS的线路点检，如承诺的设备出现垃圾转运以外线路的情况，每发现一次扣5000元。设备车牌号需同承诺的车牌号码一致，如不一致，视为未能到场。</w:t>
      </w:r>
    </w:p>
    <w:p>
      <w:pPr>
        <w:adjustRightInd w:val="0"/>
        <w:snapToGrid w:val="0"/>
        <w:spacing w:line="500" w:lineRule="exact"/>
        <w:rPr>
          <w:rFonts w:hint="eastAsia" w:ascii="仿宋_GB2312" w:hAnsi="宋体" w:cs="宋体"/>
          <w:kern w:val="0"/>
          <w:sz w:val="24"/>
        </w:rPr>
      </w:pPr>
      <w:r>
        <w:rPr>
          <w:rFonts w:hint="eastAsia" w:ascii="仿宋_GB2312" w:hAnsi="宋体" w:cs="宋体"/>
          <w:kern w:val="0"/>
          <w:sz w:val="24"/>
        </w:rPr>
        <w:t xml:space="preserve">   2、中标单位不得将生活垃圾进行混运，可腐垃圾与不可腐垃圾需分类运输，发现一次扣5000元。</w:t>
      </w:r>
    </w:p>
    <w:p>
      <w:pPr>
        <w:adjustRightInd w:val="0"/>
        <w:snapToGrid w:val="0"/>
        <w:spacing w:line="500" w:lineRule="exact"/>
        <w:ind w:firstLine="480" w:firstLineChars="200"/>
        <w:rPr>
          <w:rFonts w:hint="eastAsia" w:ascii="仿宋_GB2312" w:hAnsi="宋体" w:cs="宋体"/>
          <w:kern w:val="0"/>
          <w:sz w:val="24"/>
        </w:rPr>
      </w:pPr>
      <w:r>
        <w:rPr>
          <w:rFonts w:hint="eastAsia" w:ascii="仿宋_GB2312" w:hAnsi="宋体" w:cs="宋体"/>
          <w:kern w:val="0"/>
          <w:sz w:val="24"/>
        </w:rPr>
        <w:t>3、被区市有关部门抄告的每次扣5000元</w:t>
      </w:r>
    </w:p>
    <w:p>
      <w:pPr>
        <w:adjustRightInd w:val="0"/>
        <w:snapToGrid w:val="0"/>
        <w:spacing w:line="500" w:lineRule="exact"/>
        <w:rPr>
          <w:rFonts w:hint="eastAsia" w:ascii="仿宋_GB2312" w:hAnsi="宋体" w:cs="宋体"/>
          <w:kern w:val="0"/>
          <w:sz w:val="24"/>
        </w:rPr>
      </w:pPr>
      <w:r>
        <w:rPr>
          <w:rFonts w:hint="eastAsia" w:ascii="仿宋_GB2312" w:hAnsi="宋体" w:cs="宋体"/>
          <w:kern w:val="0"/>
          <w:sz w:val="24"/>
        </w:rPr>
        <w:t xml:space="preserve">    4、被区级媒体通报的每次扣10000元</w:t>
      </w:r>
    </w:p>
    <w:p>
      <w:pPr>
        <w:adjustRightInd w:val="0"/>
        <w:snapToGrid w:val="0"/>
        <w:spacing w:line="500" w:lineRule="exact"/>
        <w:ind w:firstLine="480" w:firstLineChars="200"/>
        <w:rPr>
          <w:rFonts w:hint="eastAsia" w:ascii="仿宋_GB2312" w:hAnsi="宋体" w:cs="宋体"/>
          <w:kern w:val="0"/>
          <w:sz w:val="24"/>
        </w:rPr>
      </w:pPr>
      <w:r>
        <w:rPr>
          <w:rFonts w:hint="eastAsia" w:ascii="仿宋_GB2312" w:hAnsi="宋体" w:cs="宋体"/>
          <w:kern w:val="0"/>
          <w:sz w:val="24"/>
        </w:rPr>
        <w:t>5、被省市媒体通报的每次扣20000元</w:t>
      </w:r>
    </w:p>
    <w:p>
      <w:pPr>
        <w:adjustRightInd w:val="0"/>
        <w:snapToGrid w:val="0"/>
        <w:spacing w:line="500" w:lineRule="exact"/>
        <w:ind w:firstLine="480" w:firstLineChars="200"/>
        <w:rPr>
          <w:rFonts w:hint="eastAsia" w:ascii="仿宋_GB2312" w:hAnsi="宋体" w:cs="宋体"/>
          <w:kern w:val="0"/>
          <w:sz w:val="24"/>
        </w:rPr>
      </w:pPr>
      <w:r>
        <w:rPr>
          <w:rFonts w:hint="eastAsia" w:ascii="仿宋_GB2312" w:hAnsi="宋体" w:cs="宋体"/>
          <w:kern w:val="0"/>
          <w:sz w:val="24"/>
        </w:rPr>
        <w:t>6、连续两次被媒体曝光的，甲方有权解除合同。</w:t>
      </w:r>
    </w:p>
    <w:p>
      <w:pPr>
        <w:adjustRightInd w:val="0"/>
        <w:snapToGrid w:val="0"/>
        <w:spacing w:line="500" w:lineRule="exact"/>
        <w:rPr>
          <w:rFonts w:hint="eastAsia" w:ascii="仿宋_GB2312" w:hAnsi="宋体" w:cs="宋体"/>
          <w:kern w:val="0"/>
          <w:sz w:val="24"/>
        </w:rPr>
      </w:pPr>
      <w:r>
        <w:rPr>
          <w:rFonts w:hint="eastAsia" w:ascii="仿宋_GB2312" w:hAnsi="宋体" w:cs="宋体"/>
          <w:kern w:val="0"/>
          <w:sz w:val="24"/>
        </w:rPr>
        <w:t xml:space="preserve">    7、区级季度考核中，清运单项考核成绩累计最差两次或区级城市管理考核领导小组在示范街创建考核中，因清运不合格导致创建不成功的，甲方有权终止合同。</w:t>
      </w:r>
    </w:p>
    <w:p>
      <w:pPr>
        <w:snapToGrid w:val="0"/>
        <w:spacing w:line="360" w:lineRule="auto"/>
        <w:jc w:val="center"/>
        <w:rPr>
          <w:rFonts w:hint="eastAsia" w:ascii="仿宋" w:hAnsi="仿宋" w:eastAsia="仿宋" w:cs="仿宋_GB2312"/>
          <w:b/>
          <w:sz w:val="36"/>
          <w:szCs w:val="36"/>
        </w:rPr>
      </w:pPr>
    </w:p>
    <w:p>
      <w:pPr>
        <w:pStyle w:val="5"/>
        <w:rPr>
          <w:rFonts w:hint="eastAsia" w:ascii="仿宋" w:hAnsi="仿宋" w:eastAsia="仿宋" w:cs="仿宋_GB2312"/>
          <w:b/>
          <w:sz w:val="36"/>
          <w:szCs w:val="36"/>
        </w:rPr>
      </w:pPr>
    </w:p>
    <w:p>
      <w:pPr>
        <w:rPr>
          <w:rFonts w:hint="eastAsia"/>
        </w:rPr>
      </w:pPr>
    </w:p>
    <w:p>
      <w:pPr>
        <w:adjustRightInd/>
        <w:spacing w:line="360" w:lineRule="auto"/>
        <w:jc w:val="center"/>
        <w:outlineLvl w:val="0"/>
        <w:rPr>
          <w:rFonts w:hint="eastAsia" w:ascii="仿宋" w:hAnsi="仿宋" w:eastAsia="仿宋" w:cs="仿宋_GB2312"/>
          <w:b/>
          <w:sz w:val="36"/>
          <w:szCs w:val="20"/>
        </w:rPr>
      </w:pPr>
    </w:p>
    <w:p>
      <w:pPr>
        <w:adjustRightInd/>
        <w:spacing w:line="360" w:lineRule="auto"/>
        <w:jc w:val="center"/>
        <w:outlineLvl w:val="0"/>
        <w:rPr>
          <w:rFonts w:hint="eastAsia" w:ascii="仿宋" w:hAnsi="仿宋" w:eastAsia="仿宋" w:cs="仿宋_GB2312"/>
          <w:b/>
          <w:sz w:val="36"/>
          <w:szCs w:val="20"/>
        </w:rPr>
      </w:pPr>
    </w:p>
    <w:p>
      <w:pPr>
        <w:adjustRightInd/>
        <w:spacing w:line="360" w:lineRule="auto"/>
        <w:jc w:val="center"/>
        <w:outlineLvl w:val="0"/>
        <w:rPr>
          <w:rFonts w:hint="eastAsia" w:ascii="仿宋" w:hAnsi="仿宋" w:eastAsia="仿宋" w:cs="仿宋_GB2312"/>
          <w:b/>
          <w:sz w:val="36"/>
          <w:szCs w:val="20"/>
        </w:rPr>
      </w:pPr>
    </w:p>
    <w:p>
      <w:pPr>
        <w:adjustRightInd/>
        <w:spacing w:line="360" w:lineRule="auto"/>
        <w:jc w:val="center"/>
        <w:outlineLvl w:val="0"/>
        <w:rPr>
          <w:rFonts w:hint="eastAsia" w:ascii="仿宋" w:hAnsi="仿宋" w:eastAsia="仿宋" w:cs="仿宋_GB2312"/>
          <w:b/>
          <w:sz w:val="36"/>
          <w:szCs w:val="20"/>
        </w:rPr>
      </w:pPr>
    </w:p>
    <w:p>
      <w:pPr>
        <w:pStyle w:val="2"/>
        <w:rPr>
          <w:rFonts w:hint="eastAsia" w:ascii="仿宋" w:hAnsi="仿宋" w:eastAsia="仿宋" w:cs="仿宋_GB2312"/>
          <w:b/>
          <w:sz w:val="36"/>
          <w:szCs w:val="20"/>
        </w:rPr>
      </w:pPr>
    </w:p>
    <w:p>
      <w:pPr>
        <w:pStyle w:val="3"/>
        <w:rPr>
          <w:rFonts w:hint="eastAsia" w:ascii="仿宋" w:hAnsi="仿宋" w:eastAsia="仿宋" w:cs="仿宋_GB2312"/>
          <w:b/>
          <w:sz w:val="36"/>
          <w:szCs w:val="20"/>
        </w:rPr>
      </w:pPr>
    </w:p>
    <w:p>
      <w:pPr>
        <w:rPr>
          <w:rFonts w:hint="eastAsia" w:ascii="仿宋" w:hAnsi="仿宋" w:eastAsia="仿宋" w:cs="仿宋_GB2312"/>
          <w:b/>
          <w:sz w:val="36"/>
          <w:szCs w:val="20"/>
        </w:rPr>
      </w:pPr>
    </w:p>
    <w:p>
      <w:pPr>
        <w:pStyle w:val="2"/>
        <w:rPr>
          <w:rFonts w:hint="eastAsia"/>
        </w:rPr>
      </w:pPr>
    </w:p>
    <w:p>
      <w:pPr>
        <w:pStyle w:val="3"/>
        <w:rPr>
          <w:rFonts w:hint="eastAsia" w:ascii="仿宋" w:hAnsi="仿宋" w:eastAsia="仿宋" w:cs="仿宋_GB2312"/>
          <w:b/>
          <w:sz w:val="36"/>
          <w:szCs w:val="20"/>
        </w:rPr>
      </w:pPr>
    </w:p>
    <w:p>
      <w:pPr>
        <w:rPr>
          <w:rFonts w:hint="eastAsia" w:ascii="仿宋" w:hAnsi="仿宋" w:eastAsia="仿宋" w:cs="仿宋_GB2312"/>
          <w:b/>
          <w:sz w:val="36"/>
          <w:szCs w:val="20"/>
        </w:rPr>
      </w:pPr>
    </w:p>
    <w:p>
      <w:pPr>
        <w:pStyle w:val="2"/>
        <w:rPr>
          <w:rFonts w:hint="eastAsia" w:ascii="仿宋" w:hAnsi="仿宋" w:eastAsia="仿宋" w:cs="仿宋_GB2312"/>
          <w:b/>
          <w:sz w:val="36"/>
          <w:szCs w:val="20"/>
        </w:rPr>
      </w:pPr>
    </w:p>
    <w:p>
      <w:pPr>
        <w:pStyle w:val="3"/>
        <w:rPr>
          <w:rFonts w:hint="eastAsia"/>
        </w:rPr>
      </w:pPr>
    </w:p>
    <w:p>
      <w:pPr>
        <w:pStyle w:val="3"/>
        <w:rPr>
          <w:rFonts w:hint="eastAsia"/>
        </w:rPr>
      </w:pPr>
    </w:p>
    <w:p>
      <w:pPr>
        <w:pStyle w:val="3"/>
        <w:rPr>
          <w:rFonts w:hint="eastAsia"/>
        </w:rPr>
      </w:pPr>
    </w:p>
    <w:p>
      <w:pPr>
        <w:adjustRightInd/>
        <w:spacing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 xml:space="preserve">第四部分   </w:t>
      </w:r>
      <w:bookmarkStart w:id="29" w:name="_Toc184310292"/>
      <w:bookmarkEnd w:id="29"/>
      <w:bookmarkStart w:id="30" w:name="_Toc184313263"/>
      <w:bookmarkEnd w:id="30"/>
      <w:bookmarkStart w:id="31" w:name="_Toc184310319"/>
      <w:bookmarkEnd w:id="31"/>
      <w:bookmarkStart w:id="32" w:name="_Toc184308105"/>
      <w:bookmarkEnd w:id="32"/>
      <w:bookmarkStart w:id="33" w:name="_Toc184314473"/>
      <w:bookmarkEnd w:id="33"/>
      <w:bookmarkStart w:id="34" w:name="_Toc184312096"/>
      <w:bookmarkEnd w:id="34"/>
      <w:bookmarkStart w:id="35" w:name="_Toc184312080"/>
      <w:bookmarkEnd w:id="35"/>
      <w:bookmarkStart w:id="36" w:name="_Toc184314448"/>
      <w:bookmarkEnd w:id="36"/>
      <w:bookmarkStart w:id="37" w:name="_Toc184308060"/>
      <w:bookmarkEnd w:id="37"/>
      <w:bookmarkStart w:id="38" w:name="_Toc184308079"/>
      <w:bookmarkEnd w:id="38"/>
      <w:bookmarkStart w:id="39" w:name="_Toc184314439"/>
      <w:bookmarkEnd w:id="39"/>
      <w:bookmarkStart w:id="40" w:name="_Toc184314456"/>
      <w:bookmarkEnd w:id="40"/>
      <w:bookmarkStart w:id="41" w:name="_Toc184308082"/>
      <w:bookmarkEnd w:id="41"/>
      <w:bookmarkStart w:id="42" w:name="_Toc184310302"/>
      <w:bookmarkEnd w:id="42"/>
      <w:bookmarkStart w:id="43" w:name="_Toc184310278"/>
      <w:bookmarkEnd w:id="43"/>
      <w:bookmarkStart w:id="44" w:name="_Toc184308058"/>
      <w:bookmarkEnd w:id="44"/>
      <w:bookmarkStart w:id="45" w:name="_Toc184314455"/>
      <w:bookmarkEnd w:id="45"/>
      <w:bookmarkStart w:id="46" w:name="_Toc184308068"/>
      <w:bookmarkEnd w:id="46"/>
      <w:bookmarkStart w:id="47" w:name="_Toc184314472"/>
      <w:bookmarkEnd w:id="47"/>
      <w:bookmarkStart w:id="48" w:name="_Toc184314446"/>
      <w:bookmarkEnd w:id="48"/>
      <w:bookmarkStart w:id="49" w:name="_Toc184314432"/>
      <w:bookmarkEnd w:id="49"/>
      <w:bookmarkStart w:id="50" w:name="_Toc184308062"/>
      <w:bookmarkEnd w:id="50"/>
      <w:bookmarkStart w:id="51" w:name="_Toc184308106"/>
      <w:bookmarkEnd w:id="51"/>
      <w:bookmarkStart w:id="52" w:name="_Toc184313255"/>
      <w:bookmarkEnd w:id="52"/>
      <w:bookmarkStart w:id="53" w:name="_Toc184313281"/>
      <w:bookmarkEnd w:id="53"/>
      <w:bookmarkStart w:id="54" w:name="_Toc184312085"/>
      <w:bookmarkEnd w:id="54"/>
      <w:bookmarkStart w:id="55" w:name="_Toc184312131"/>
      <w:bookmarkEnd w:id="55"/>
      <w:bookmarkStart w:id="56" w:name="_Toc184310321"/>
      <w:bookmarkEnd w:id="56"/>
      <w:bookmarkStart w:id="57" w:name="_Toc184308051"/>
      <w:bookmarkEnd w:id="57"/>
      <w:bookmarkStart w:id="58" w:name="_Toc184308078"/>
      <w:bookmarkEnd w:id="58"/>
      <w:bookmarkStart w:id="59" w:name="_Toc184310291"/>
      <w:bookmarkEnd w:id="59"/>
      <w:bookmarkStart w:id="60" w:name="_Toc184310322"/>
      <w:bookmarkEnd w:id="60"/>
      <w:bookmarkStart w:id="61" w:name="_Toc184310344"/>
      <w:bookmarkEnd w:id="61"/>
      <w:bookmarkStart w:id="62" w:name="_Toc184312123"/>
      <w:bookmarkEnd w:id="62"/>
      <w:bookmarkStart w:id="63" w:name="_Toc184312077"/>
      <w:bookmarkEnd w:id="63"/>
      <w:bookmarkStart w:id="64" w:name="_Toc184312076"/>
      <w:bookmarkEnd w:id="64"/>
      <w:bookmarkStart w:id="65" w:name="_Toc184308046"/>
      <w:bookmarkEnd w:id="65"/>
      <w:bookmarkStart w:id="66" w:name="_Toc184308050"/>
      <w:bookmarkEnd w:id="66"/>
      <w:bookmarkStart w:id="67" w:name="_Toc184314458"/>
      <w:bookmarkEnd w:id="67"/>
      <w:bookmarkStart w:id="68" w:name="_Toc184313279"/>
      <w:bookmarkEnd w:id="68"/>
      <w:bookmarkStart w:id="69" w:name="_Toc184310289"/>
      <w:bookmarkEnd w:id="69"/>
      <w:bookmarkStart w:id="70" w:name="_Toc184312138"/>
      <w:bookmarkEnd w:id="70"/>
      <w:bookmarkStart w:id="71" w:name="_Toc184313249"/>
      <w:bookmarkEnd w:id="71"/>
      <w:bookmarkStart w:id="72" w:name="_Toc184310298"/>
      <w:bookmarkEnd w:id="72"/>
      <w:bookmarkStart w:id="73" w:name="_Toc184310311"/>
      <w:bookmarkEnd w:id="73"/>
      <w:bookmarkStart w:id="74" w:name="_Toc184314449"/>
      <w:bookmarkEnd w:id="74"/>
      <w:bookmarkStart w:id="75" w:name="_Toc184308045"/>
      <w:bookmarkEnd w:id="75"/>
      <w:bookmarkStart w:id="76" w:name="_Toc184314417"/>
      <w:bookmarkEnd w:id="76"/>
      <w:bookmarkStart w:id="77" w:name="_Toc184308103"/>
      <w:bookmarkEnd w:id="77"/>
      <w:bookmarkStart w:id="78" w:name="_Toc184313309"/>
      <w:bookmarkEnd w:id="78"/>
      <w:bookmarkStart w:id="79" w:name="_Toc184310327"/>
      <w:bookmarkEnd w:id="79"/>
      <w:bookmarkStart w:id="80" w:name="_Toc184308071"/>
      <w:bookmarkEnd w:id="80"/>
      <w:bookmarkStart w:id="81" w:name="_Toc184313287"/>
      <w:bookmarkEnd w:id="81"/>
      <w:bookmarkStart w:id="82" w:name="_Toc184312088"/>
      <w:bookmarkEnd w:id="82"/>
      <w:bookmarkStart w:id="83" w:name="_Toc184313252"/>
      <w:bookmarkEnd w:id="83"/>
      <w:bookmarkStart w:id="84" w:name="_Toc184308069"/>
      <w:bookmarkEnd w:id="84"/>
      <w:bookmarkStart w:id="85" w:name="_Toc184312099"/>
      <w:bookmarkEnd w:id="85"/>
      <w:bookmarkStart w:id="86" w:name="_Toc184310317"/>
      <w:bookmarkEnd w:id="86"/>
      <w:bookmarkStart w:id="87" w:name="_Toc184308107"/>
      <w:bookmarkEnd w:id="87"/>
      <w:bookmarkStart w:id="88" w:name="_Toc184308094"/>
      <w:bookmarkEnd w:id="88"/>
      <w:bookmarkStart w:id="89" w:name="_Toc184313303"/>
      <w:bookmarkEnd w:id="89"/>
      <w:bookmarkStart w:id="90" w:name="_Toc184313269"/>
      <w:bookmarkEnd w:id="90"/>
      <w:bookmarkStart w:id="91" w:name="_Toc184313295"/>
      <w:bookmarkEnd w:id="91"/>
      <w:bookmarkStart w:id="92" w:name="_Toc184312104"/>
      <w:bookmarkEnd w:id="92"/>
      <w:bookmarkStart w:id="93" w:name="_Toc184310343"/>
      <w:bookmarkEnd w:id="93"/>
      <w:bookmarkStart w:id="94" w:name="_Toc184313272"/>
      <w:bookmarkEnd w:id="94"/>
      <w:bookmarkStart w:id="95" w:name="_Toc184314413"/>
      <w:bookmarkEnd w:id="95"/>
      <w:bookmarkStart w:id="96" w:name="_Toc184313296"/>
      <w:bookmarkEnd w:id="96"/>
      <w:bookmarkStart w:id="97" w:name="_Toc184312133"/>
      <w:bookmarkEnd w:id="97"/>
      <w:bookmarkStart w:id="98" w:name="_Toc184310286"/>
      <w:bookmarkEnd w:id="98"/>
      <w:bookmarkStart w:id="99" w:name="_Toc184310287"/>
      <w:bookmarkEnd w:id="99"/>
      <w:bookmarkStart w:id="100" w:name="_Toc184314474"/>
      <w:bookmarkEnd w:id="100"/>
      <w:bookmarkStart w:id="101" w:name="_Toc184313283"/>
      <w:bookmarkEnd w:id="101"/>
      <w:bookmarkStart w:id="102" w:name="_Toc184313305"/>
      <w:bookmarkEnd w:id="102"/>
      <w:bookmarkStart w:id="103" w:name="_Toc184308076"/>
      <w:bookmarkEnd w:id="103"/>
      <w:bookmarkStart w:id="104" w:name="_Toc184308072"/>
      <w:bookmarkEnd w:id="104"/>
      <w:bookmarkStart w:id="105" w:name="_Toc184314410"/>
      <w:bookmarkEnd w:id="105"/>
      <w:bookmarkStart w:id="106" w:name="_Toc184313259"/>
      <w:bookmarkEnd w:id="106"/>
      <w:bookmarkStart w:id="107" w:name="_Toc184313239"/>
      <w:bookmarkEnd w:id="107"/>
      <w:bookmarkStart w:id="108" w:name="_Toc184314451"/>
      <w:bookmarkEnd w:id="108"/>
      <w:bookmarkStart w:id="109" w:name="_Toc184308042"/>
      <w:bookmarkEnd w:id="109"/>
      <w:bookmarkStart w:id="110" w:name="_Toc184314459"/>
      <w:bookmarkEnd w:id="110"/>
      <w:bookmarkStart w:id="111" w:name="_Toc184312137"/>
      <w:bookmarkEnd w:id="111"/>
      <w:bookmarkStart w:id="112" w:name="_Toc184312075"/>
      <w:bookmarkEnd w:id="112"/>
      <w:bookmarkStart w:id="113" w:name="_Toc184312115"/>
      <w:bookmarkEnd w:id="113"/>
      <w:bookmarkStart w:id="114" w:name="_Toc184314444"/>
      <w:bookmarkEnd w:id="114"/>
      <w:bookmarkStart w:id="115" w:name="_Toc184314457"/>
      <w:bookmarkEnd w:id="115"/>
      <w:bookmarkStart w:id="116" w:name="_Toc184314415"/>
      <w:bookmarkEnd w:id="116"/>
      <w:bookmarkStart w:id="117" w:name="_Toc184314419"/>
      <w:bookmarkEnd w:id="117"/>
      <w:bookmarkStart w:id="118" w:name="_Toc184310307"/>
      <w:bookmarkEnd w:id="118"/>
      <w:bookmarkStart w:id="119" w:name="_Toc184314461"/>
      <w:bookmarkEnd w:id="119"/>
      <w:bookmarkStart w:id="120" w:name="_Toc184312073"/>
      <w:bookmarkEnd w:id="120"/>
      <w:bookmarkStart w:id="121" w:name="_Toc184308036"/>
      <w:bookmarkEnd w:id="121"/>
      <w:bookmarkStart w:id="122" w:name="_Toc184308102"/>
      <w:bookmarkEnd w:id="122"/>
      <w:bookmarkStart w:id="123" w:name="_Toc184312114"/>
      <w:bookmarkEnd w:id="123"/>
      <w:bookmarkStart w:id="124" w:name="_Toc184312139"/>
      <w:bookmarkEnd w:id="124"/>
      <w:bookmarkStart w:id="125" w:name="_Toc184313290"/>
      <w:bookmarkEnd w:id="125"/>
      <w:bookmarkStart w:id="126" w:name="_Toc184314480"/>
      <w:bookmarkEnd w:id="126"/>
      <w:bookmarkStart w:id="127" w:name="_Toc184310284"/>
      <w:bookmarkEnd w:id="127"/>
      <w:bookmarkStart w:id="128" w:name="_Toc184310331"/>
      <w:bookmarkEnd w:id="128"/>
      <w:bookmarkStart w:id="129" w:name="_Toc184313293"/>
      <w:bookmarkEnd w:id="129"/>
      <w:bookmarkStart w:id="130" w:name="_Toc184312124"/>
      <w:bookmarkEnd w:id="130"/>
      <w:bookmarkStart w:id="131" w:name="_Toc184313242"/>
      <w:bookmarkEnd w:id="131"/>
      <w:bookmarkStart w:id="132" w:name="_Toc184314421"/>
      <w:bookmarkEnd w:id="132"/>
      <w:bookmarkStart w:id="133" w:name="_Toc184312091"/>
      <w:bookmarkEnd w:id="133"/>
      <w:bookmarkStart w:id="134" w:name="_Toc184310299"/>
      <w:bookmarkEnd w:id="134"/>
      <w:bookmarkStart w:id="135" w:name="_Toc184314466"/>
      <w:bookmarkEnd w:id="135"/>
      <w:bookmarkStart w:id="136" w:name="_Toc184312103"/>
      <w:bookmarkEnd w:id="136"/>
      <w:bookmarkStart w:id="137" w:name="_Toc184313262"/>
      <w:bookmarkEnd w:id="137"/>
      <w:bookmarkStart w:id="138" w:name="_Toc184313275"/>
      <w:bookmarkEnd w:id="138"/>
      <w:bookmarkStart w:id="139" w:name="_Toc184314433"/>
      <w:bookmarkEnd w:id="139"/>
      <w:bookmarkStart w:id="140" w:name="_Toc184310275"/>
      <w:bookmarkEnd w:id="140"/>
      <w:bookmarkStart w:id="141" w:name="_Toc184314426"/>
      <w:bookmarkEnd w:id="141"/>
      <w:bookmarkStart w:id="142" w:name="_Toc184314427"/>
      <w:bookmarkEnd w:id="142"/>
      <w:bookmarkStart w:id="143" w:name="_Toc184308097"/>
      <w:bookmarkEnd w:id="143"/>
      <w:bookmarkStart w:id="144" w:name="_Toc184313297"/>
      <w:bookmarkEnd w:id="144"/>
      <w:bookmarkStart w:id="145" w:name="_Toc184312084"/>
      <w:bookmarkEnd w:id="145"/>
      <w:bookmarkStart w:id="146" w:name="_Toc184313271"/>
      <w:bookmarkEnd w:id="146"/>
      <w:bookmarkStart w:id="147" w:name="_Toc184308061"/>
      <w:bookmarkEnd w:id="147"/>
      <w:bookmarkStart w:id="148" w:name="_Toc184313246"/>
      <w:bookmarkEnd w:id="148"/>
      <w:bookmarkStart w:id="149" w:name="_Toc184310324"/>
      <w:bookmarkEnd w:id="149"/>
      <w:bookmarkStart w:id="150" w:name="_Toc184310318"/>
      <w:bookmarkEnd w:id="150"/>
      <w:bookmarkStart w:id="151" w:name="_Toc184310313"/>
      <w:bookmarkEnd w:id="151"/>
      <w:bookmarkStart w:id="152" w:name="_Toc184314478"/>
      <w:bookmarkEnd w:id="152"/>
      <w:bookmarkStart w:id="153" w:name="_Toc184310295"/>
      <w:bookmarkEnd w:id="153"/>
      <w:bookmarkStart w:id="154" w:name="_Toc184312132"/>
      <w:bookmarkEnd w:id="154"/>
      <w:bookmarkStart w:id="155" w:name="_Toc184308063"/>
      <w:bookmarkEnd w:id="155"/>
      <w:bookmarkStart w:id="156" w:name="_Toc184313298"/>
      <w:bookmarkEnd w:id="156"/>
      <w:bookmarkStart w:id="157" w:name="_Toc184314443"/>
      <w:bookmarkEnd w:id="157"/>
      <w:bookmarkStart w:id="158" w:name="_Toc184312113"/>
      <w:bookmarkEnd w:id="158"/>
      <w:bookmarkStart w:id="159" w:name="_Toc184312095"/>
      <w:bookmarkEnd w:id="159"/>
      <w:bookmarkStart w:id="160" w:name="_Toc184314479"/>
      <w:bookmarkEnd w:id="160"/>
      <w:bookmarkStart w:id="161" w:name="_Toc184310305"/>
      <w:bookmarkEnd w:id="161"/>
      <w:bookmarkStart w:id="162" w:name="_Toc184310282"/>
      <w:bookmarkEnd w:id="162"/>
      <w:bookmarkStart w:id="163" w:name="_Toc184314442"/>
      <w:bookmarkEnd w:id="163"/>
      <w:bookmarkStart w:id="164" w:name="_Toc184308066"/>
      <w:bookmarkEnd w:id="164"/>
      <w:bookmarkStart w:id="165" w:name="_Toc184314422"/>
      <w:bookmarkEnd w:id="165"/>
      <w:bookmarkStart w:id="166" w:name="_Toc184314468"/>
      <w:bookmarkEnd w:id="166"/>
      <w:bookmarkStart w:id="167" w:name="_Toc184314450"/>
      <w:bookmarkEnd w:id="167"/>
      <w:bookmarkStart w:id="168" w:name="_Toc184308091"/>
      <w:bookmarkEnd w:id="168"/>
      <w:bookmarkStart w:id="169" w:name="_Toc184308039"/>
      <w:bookmarkEnd w:id="169"/>
      <w:bookmarkStart w:id="170" w:name="_Toc184308087"/>
      <w:bookmarkEnd w:id="170"/>
      <w:bookmarkStart w:id="171" w:name="_Toc184312112"/>
      <w:bookmarkEnd w:id="171"/>
      <w:bookmarkStart w:id="172" w:name="_Toc184312111"/>
      <w:bookmarkEnd w:id="172"/>
      <w:bookmarkStart w:id="173" w:name="_Toc184308070"/>
      <w:bookmarkEnd w:id="173"/>
      <w:bookmarkStart w:id="174" w:name="_Toc184308041"/>
      <w:bookmarkEnd w:id="174"/>
      <w:bookmarkStart w:id="175" w:name="_Toc184312110"/>
      <w:bookmarkEnd w:id="175"/>
      <w:bookmarkStart w:id="176" w:name="_Toc184310337"/>
      <w:bookmarkEnd w:id="176"/>
      <w:bookmarkStart w:id="177" w:name="_Toc184308064"/>
      <w:bookmarkEnd w:id="177"/>
      <w:bookmarkStart w:id="178" w:name="_Toc184308067"/>
      <w:bookmarkEnd w:id="178"/>
      <w:bookmarkStart w:id="179" w:name="_Toc184313288"/>
      <w:bookmarkEnd w:id="179"/>
      <w:bookmarkStart w:id="180" w:name="_Toc184310309"/>
      <w:bookmarkEnd w:id="180"/>
      <w:bookmarkStart w:id="181" w:name="_Toc184313291"/>
      <w:bookmarkEnd w:id="181"/>
      <w:bookmarkStart w:id="182" w:name="_Toc184313254"/>
      <w:bookmarkEnd w:id="182"/>
      <w:bookmarkStart w:id="183" w:name="_Toc184308056"/>
      <w:bookmarkEnd w:id="183"/>
      <w:bookmarkStart w:id="184" w:name="_Toc184313267"/>
      <w:bookmarkEnd w:id="184"/>
      <w:bookmarkStart w:id="185" w:name="_Toc184308055"/>
      <w:bookmarkEnd w:id="185"/>
      <w:bookmarkStart w:id="186" w:name="_Toc184310274"/>
      <w:bookmarkEnd w:id="186"/>
      <w:bookmarkStart w:id="187" w:name="_Toc184313276"/>
      <w:bookmarkEnd w:id="187"/>
      <w:bookmarkStart w:id="188" w:name="_Toc184313248"/>
      <w:bookmarkEnd w:id="188"/>
      <w:bookmarkStart w:id="189" w:name="_Toc184312101"/>
      <w:bookmarkEnd w:id="189"/>
      <w:bookmarkStart w:id="190" w:name="_Toc184310277"/>
      <w:bookmarkEnd w:id="190"/>
      <w:bookmarkStart w:id="191" w:name="_Toc184308059"/>
      <w:bookmarkEnd w:id="191"/>
      <w:bookmarkStart w:id="192" w:name="_Toc184310342"/>
      <w:bookmarkEnd w:id="192"/>
      <w:bookmarkStart w:id="193" w:name="_Toc184312081"/>
      <w:bookmarkEnd w:id="193"/>
      <w:bookmarkStart w:id="194" w:name="_Toc184314476"/>
      <w:bookmarkEnd w:id="194"/>
      <w:bookmarkStart w:id="195" w:name="_Toc184314469"/>
      <w:bookmarkEnd w:id="195"/>
      <w:bookmarkStart w:id="196" w:name="_Toc184313308"/>
      <w:bookmarkEnd w:id="196"/>
      <w:bookmarkStart w:id="197" w:name="_Toc184314460"/>
      <w:bookmarkEnd w:id="197"/>
      <w:bookmarkStart w:id="198" w:name="_Toc184310323"/>
      <w:bookmarkEnd w:id="198"/>
      <w:bookmarkStart w:id="199" w:name="_Toc184308095"/>
      <w:bookmarkEnd w:id="199"/>
      <w:bookmarkStart w:id="200" w:name="_Toc184313250"/>
      <w:bookmarkEnd w:id="200"/>
      <w:bookmarkStart w:id="201" w:name="_Toc184308108"/>
      <w:bookmarkEnd w:id="201"/>
      <w:bookmarkStart w:id="202" w:name="_Toc184313306"/>
      <w:bookmarkEnd w:id="202"/>
      <w:bookmarkStart w:id="203" w:name="_Toc184313284"/>
      <w:bookmarkEnd w:id="203"/>
      <w:bookmarkStart w:id="204" w:name="_Toc184312090"/>
      <w:bookmarkEnd w:id="204"/>
      <w:bookmarkStart w:id="205" w:name="_Toc184314420"/>
      <w:bookmarkEnd w:id="205"/>
      <w:bookmarkStart w:id="206" w:name="_Toc184308037"/>
      <w:bookmarkEnd w:id="206"/>
      <w:bookmarkStart w:id="207" w:name="_Toc184312089"/>
      <w:bookmarkEnd w:id="207"/>
      <w:bookmarkStart w:id="208" w:name="_Toc184314447"/>
      <w:bookmarkEnd w:id="208"/>
      <w:bookmarkStart w:id="209" w:name="_Toc184308098"/>
      <w:bookmarkEnd w:id="209"/>
      <w:bookmarkStart w:id="210" w:name="_Toc184314482"/>
      <w:bookmarkEnd w:id="210"/>
      <w:bookmarkStart w:id="211" w:name="_Toc184308085"/>
      <w:bookmarkEnd w:id="211"/>
      <w:bookmarkStart w:id="212" w:name="_Toc184313264"/>
      <w:bookmarkEnd w:id="212"/>
      <w:bookmarkStart w:id="213" w:name="_Toc184314424"/>
      <w:bookmarkEnd w:id="213"/>
      <w:bookmarkStart w:id="214" w:name="_Toc184312118"/>
      <w:bookmarkEnd w:id="214"/>
      <w:bookmarkStart w:id="215" w:name="_Toc184314440"/>
      <w:bookmarkEnd w:id="215"/>
      <w:bookmarkStart w:id="216" w:name="_Toc184308092"/>
      <w:bookmarkEnd w:id="216"/>
      <w:bookmarkStart w:id="217" w:name="_Toc184313277"/>
      <w:bookmarkEnd w:id="217"/>
      <w:bookmarkStart w:id="218" w:name="_Toc184310288"/>
      <w:bookmarkEnd w:id="218"/>
      <w:bookmarkStart w:id="219" w:name="_Toc184308049"/>
      <w:bookmarkEnd w:id="219"/>
      <w:bookmarkStart w:id="220" w:name="_Toc184314470"/>
      <w:bookmarkEnd w:id="220"/>
      <w:bookmarkStart w:id="221" w:name="_Toc184308080"/>
      <w:bookmarkEnd w:id="221"/>
      <w:bookmarkStart w:id="222" w:name="_Toc184313251"/>
      <w:bookmarkEnd w:id="222"/>
      <w:bookmarkStart w:id="223" w:name="_Toc184308038"/>
      <w:bookmarkEnd w:id="223"/>
      <w:bookmarkStart w:id="224" w:name="_Toc184313266"/>
      <w:bookmarkEnd w:id="224"/>
      <w:bookmarkStart w:id="225" w:name="_Toc184310273"/>
      <w:bookmarkEnd w:id="225"/>
      <w:bookmarkStart w:id="226" w:name="_Toc184313261"/>
      <w:bookmarkEnd w:id="226"/>
      <w:bookmarkStart w:id="227" w:name="_Toc184312074"/>
      <w:bookmarkEnd w:id="227"/>
      <w:bookmarkStart w:id="228" w:name="_Toc184313285"/>
      <w:bookmarkEnd w:id="228"/>
      <w:bookmarkStart w:id="229" w:name="_Toc184313258"/>
      <w:bookmarkEnd w:id="229"/>
      <w:bookmarkStart w:id="230" w:name="_Toc184308089"/>
      <w:bookmarkEnd w:id="230"/>
      <w:bookmarkStart w:id="231" w:name="_Toc184312127"/>
      <w:bookmarkEnd w:id="231"/>
      <w:bookmarkStart w:id="232" w:name="_Toc184308057"/>
      <w:bookmarkEnd w:id="232"/>
      <w:bookmarkStart w:id="233" w:name="_Toc184313292"/>
      <w:bookmarkEnd w:id="233"/>
      <w:bookmarkStart w:id="234" w:name="_Toc184314429"/>
      <w:bookmarkEnd w:id="234"/>
      <w:bookmarkStart w:id="235" w:name="_Toc184314430"/>
      <w:bookmarkEnd w:id="235"/>
      <w:bookmarkStart w:id="236" w:name="_Toc184313253"/>
      <w:bookmarkEnd w:id="236"/>
      <w:bookmarkStart w:id="237" w:name="_Toc184308104"/>
      <w:bookmarkEnd w:id="237"/>
      <w:bookmarkStart w:id="238" w:name="_Toc184308047"/>
      <w:bookmarkEnd w:id="238"/>
      <w:bookmarkStart w:id="239" w:name="_Toc184313245"/>
      <w:bookmarkEnd w:id="239"/>
      <w:bookmarkStart w:id="240" w:name="_Toc184312071"/>
      <w:bookmarkEnd w:id="240"/>
      <w:bookmarkStart w:id="241" w:name="_Toc184312130"/>
      <w:bookmarkEnd w:id="241"/>
      <w:bookmarkStart w:id="242" w:name="_Toc184310279"/>
      <w:bookmarkEnd w:id="242"/>
      <w:bookmarkStart w:id="243" w:name="_Toc184308099"/>
      <w:bookmarkEnd w:id="243"/>
      <w:bookmarkStart w:id="244" w:name="_Toc184312134"/>
      <w:bookmarkEnd w:id="244"/>
      <w:bookmarkStart w:id="245" w:name="_Toc184308073"/>
      <w:bookmarkEnd w:id="245"/>
      <w:bookmarkStart w:id="246" w:name="_Toc184310308"/>
      <w:bookmarkEnd w:id="246"/>
      <w:bookmarkStart w:id="247" w:name="_Toc184312119"/>
      <w:bookmarkEnd w:id="247"/>
      <w:bookmarkStart w:id="248" w:name="_Toc184314452"/>
      <w:bookmarkEnd w:id="248"/>
      <w:bookmarkStart w:id="249" w:name="_Toc184310281"/>
      <w:bookmarkEnd w:id="249"/>
      <w:bookmarkStart w:id="250" w:name="_Toc184308090"/>
      <w:bookmarkEnd w:id="250"/>
      <w:bookmarkStart w:id="251" w:name="_Toc184314411"/>
      <w:bookmarkEnd w:id="251"/>
      <w:bookmarkStart w:id="252" w:name="_Toc184312135"/>
      <w:bookmarkEnd w:id="252"/>
      <w:bookmarkStart w:id="253" w:name="_Toc184310301"/>
      <w:bookmarkEnd w:id="253"/>
      <w:bookmarkStart w:id="254" w:name="_Toc184308088"/>
      <w:bookmarkEnd w:id="254"/>
      <w:bookmarkStart w:id="255" w:name="_Toc184312093"/>
      <w:bookmarkEnd w:id="255"/>
      <w:bookmarkStart w:id="256" w:name="_Toc184310328"/>
      <w:bookmarkEnd w:id="256"/>
      <w:bookmarkStart w:id="257" w:name="_Toc184312069"/>
      <w:bookmarkEnd w:id="257"/>
      <w:bookmarkStart w:id="258" w:name="_Toc184308048"/>
      <w:bookmarkEnd w:id="258"/>
      <w:bookmarkStart w:id="259" w:name="_Toc184308052"/>
      <w:bookmarkEnd w:id="259"/>
      <w:bookmarkStart w:id="260" w:name="_Toc184310304"/>
      <w:bookmarkEnd w:id="260"/>
      <w:bookmarkStart w:id="261" w:name="_Toc184308074"/>
      <w:bookmarkEnd w:id="261"/>
      <w:bookmarkStart w:id="262" w:name="_Toc184308101"/>
      <w:bookmarkEnd w:id="262"/>
      <w:bookmarkStart w:id="263" w:name="_Toc184313289"/>
      <w:bookmarkEnd w:id="263"/>
      <w:bookmarkStart w:id="264" w:name="_Toc184310276"/>
      <w:bookmarkEnd w:id="264"/>
      <w:bookmarkStart w:id="265" w:name="_Toc184308053"/>
      <w:bookmarkEnd w:id="265"/>
      <w:bookmarkStart w:id="266" w:name="_Toc184308093"/>
      <w:bookmarkEnd w:id="266"/>
      <w:bookmarkStart w:id="267" w:name="_Toc184310325"/>
      <w:bookmarkEnd w:id="267"/>
      <w:bookmarkStart w:id="268" w:name="_Toc184312105"/>
      <w:bookmarkEnd w:id="268"/>
      <w:bookmarkStart w:id="269" w:name="_Toc184313257"/>
      <w:bookmarkEnd w:id="269"/>
      <w:bookmarkStart w:id="270" w:name="_Toc184312116"/>
      <w:bookmarkEnd w:id="270"/>
      <w:bookmarkStart w:id="271" w:name="_Toc184314463"/>
      <w:bookmarkEnd w:id="271"/>
      <w:bookmarkStart w:id="272" w:name="_Toc184310303"/>
      <w:bookmarkEnd w:id="272"/>
      <w:bookmarkStart w:id="273" w:name="_Toc184313280"/>
      <w:bookmarkEnd w:id="273"/>
      <w:bookmarkStart w:id="274" w:name="_Toc184310326"/>
      <w:bookmarkEnd w:id="274"/>
      <w:bookmarkStart w:id="275" w:name="_Toc184312068"/>
      <w:bookmarkEnd w:id="275"/>
      <w:bookmarkStart w:id="276" w:name="_Toc184308081"/>
      <w:bookmarkEnd w:id="276"/>
      <w:bookmarkStart w:id="277" w:name="_Toc184314481"/>
      <w:bookmarkEnd w:id="277"/>
      <w:bookmarkStart w:id="278" w:name="_Toc184312107"/>
      <w:bookmarkEnd w:id="278"/>
      <w:bookmarkStart w:id="279" w:name="_Toc184308040"/>
      <w:bookmarkEnd w:id="279"/>
      <w:bookmarkStart w:id="280" w:name="_Toc184312102"/>
      <w:bookmarkEnd w:id="280"/>
      <w:bookmarkStart w:id="281" w:name="_Toc184313302"/>
      <w:bookmarkEnd w:id="281"/>
      <w:bookmarkStart w:id="282" w:name="_Toc184308065"/>
      <w:bookmarkEnd w:id="282"/>
      <w:bookmarkStart w:id="283" w:name="_Toc184310335"/>
      <w:bookmarkEnd w:id="283"/>
      <w:bookmarkStart w:id="284" w:name="_Toc184312108"/>
      <w:bookmarkEnd w:id="284"/>
      <w:bookmarkStart w:id="285" w:name="_Toc184312086"/>
      <w:bookmarkEnd w:id="285"/>
      <w:bookmarkStart w:id="286" w:name="_Toc184313286"/>
      <w:bookmarkEnd w:id="286"/>
      <w:bookmarkStart w:id="287" w:name="_Toc184312126"/>
      <w:bookmarkEnd w:id="287"/>
      <w:bookmarkStart w:id="288" w:name="_Toc184313310"/>
      <w:bookmarkEnd w:id="288"/>
      <w:bookmarkStart w:id="289" w:name="_Toc184314453"/>
      <w:bookmarkEnd w:id="289"/>
      <w:bookmarkStart w:id="290" w:name="_Toc184314425"/>
      <w:bookmarkEnd w:id="290"/>
      <w:bookmarkStart w:id="291" w:name="_Toc184312120"/>
      <w:bookmarkEnd w:id="291"/>
      <w:bookmarkStart w:id="292" w:name="_Toc184312067"/>
      <w:bookmarkEnd w:id="292"/>
      <w:bookmarkStart w:id="293" w:name="_Toc184312070"/>
      <w:bookmarkEnd w:id="293"/>
      <w:bookmarkStart w:id="294" w:name="_Toc184313294"/>
      <w:bookmarkEnd w:id="294"/>
      <w:bookmarkStart w:id="295" w:name="_Toc184310283"/>
      <w:bookmarkEnd w:id="295"/>
      <w:bookmarkStart w:id="296" w:name="_Toc184310338"/>
      <w:bookmarkEnd w:id="296"/>
      <w:bookmarkStart w:id="297" w:name="_Toc184312078"/>
      <w:bookmarkEnd w:id="297"/>
      <w:bookmarkStart w:id="298" w:name="_Toc184313240"/>
      <w:bookmarkEnd w:id="298"/>
      <w:bookmarkStart w:id="299" w:name="_Toc184313274"/>
      <w:bookmarkEnd w:id="299"/>
      <w:bookmarkStart w:id="300" w:name="_Toc184313273"/>
      <w:bookmarkEnd w:id="300"/>
      <w:bookmarkStart w:id="301" w:name="_Toc184308096"/>
      <w:bookmarkEnd w:id="301"/>
      <w:bookmarkStart w:id="302" w:name="_Toc184308086"/>
      <w:bookmarkEnd w:id="302"/>
      <w:bookmarkStart w:id="303" w:name="_Toc184312121"/>
      <w:bookmarkEnd w:id="303"/>
      <w:bookmarkStart w:id="304" w:name="_Toc184312125"/>
      <w:bookmarkEnd w:id="304"/>
      <w:bookmarkStart w:id="305" w:name="_Toc184308043"/>
      <w:bookmarkEnd w:id="305"/>
      <w:bookmarkStart w:id="306" w:name="_Toc184314435"/>
      <w:bookmarkEnd w:id="306"/>
      <w:bookmarkStart w:id="307" w:name="_Toc184312097"/>
      <w:bookmarkEnd w:id="307"/>
      <w:bookmarkStart w:id="308" w:name="_Toc184310332"/>
      <w:bookmarkEnd w:id="308"/>
      <w:bookmarkStart w:id="309" w:name="_Toc184308075"/>
      <w:bookmarkEnd w:id="309"/>
      <w:bookmarkStart w:id="310" w:name="_Toc184308044"/>
      <w:bookmarkEnd w:id="310"/>
      <w:bookmarkStart w:id="311" w:name="_Toc184310310"/>
      <w:bookmarkEnd w:id="311"/>
      <w:bookmarkStart w:id="312" w:name="_Toc184314434"/>
      <w:bookmarkEnd w:id="312"/>
      <w:bookmarkStart w:id="313" w:name="_Toc184312122"/>
      <w:bookmarkEnd w:id="313"/>
      <w:bookmarkStart w:id="314" w:name="_Toc184312136"/>
      <w:bookmarkEnd w:id="314"/>
      <w:bookmarkStart w:id="315" w:name="_Toc184312079"/>
      <w:bookmarkEnd w:id="315"/>
      <w:bookmarkStart w:id="316" w:name="_Toc184313278"/>
      <w:bookmarkEnd w:id="316"/>
      <w:bookmarkStart w:id="317" w:name="_Toc184312092"/>
      <w:bookmarkEnd w:id="317"/>
      <w:bookmarkStart w:id="318" w:name="_Toc184314412"/>
      <w:bookmarkEnd w:id="318"/>
      <w:bookmarkStart w:id="319" w:name="_Toc184310290"/>
      <w:bookmarkEnd w:id="319"/>
      <w:bookmarkStart w:id="320" w:name="_Toc184314441"/>
      <w:bookmarkEnd w:id="320"/>
      <w:bookmarkStart w:id="321" w:name="_Toc184310294"/>
      <w:bookmarkEnd w:id="321"/>
      <w:bookmarkStart w:id="322" w:name="_Toc184312106"/>
      <w:bookmarkEnd w:id="322"/>
      <w:bookmarkStart w:id="323" w:name="_Toc184310339"/>
      <w:bookmarkEnd w:id="323"/>
      <w:bookmarkStart w:id="324" w:name="_Toc184312129"/>
      <w:bookmarkEnd w:id="324"/>
      <w:bookmarkStart w:id="325" w:name="_Toc184314416"/>
      <w:bookmarkEnd w:id="325"/>
      <w:bookmarkStart w:id="326" w:name="_Toc184313244"/>
      <w:bookmarkEnd w:id="326"/>
      <w:bookmarkStart w:id="327" w:name="_Toc184310330"/>
      <w:bookmarkEnd w:id="327"/>
      <w:bookmarkStart w:id="328" w:name="_Toc184312109"/>
      <w:bookmarkEnd w:id="328"/>
      <w:bookmarkStart w:id="329" w:name="_Toc184313265"/>
      <w:bookmarkEnd w:id="329"/>
      <w:bookmarkStart w:id="330" w:name="_Toc184314436"/>
      <w:bookmarkEnd w:id="330"/>
      <w:bookmarkStart w:id="331" w:name="_Toc184314467"/>
      <w:bookmarkEnd w:id="331"/>
      <w:bookmarkStart w:id="332" w:name="_Toc184308054"/>
      <w:bookmarkEnd w:id="332"/>
      <w:bookmarkStart w:id="333" w:name="_Toc184314438"/>
      <w:bookmarkEnd w:id="333"/>
      <w:bookmarkStart w:id="334" w:name="_Toc184312128"/>
      <w:bookmarkEnd w:id="334"/>
      <w:bookmarkStart w:id="335" w:name="_Toc184310334"/>
      <w:bookmarkEnd w:id="335"/>
      <w:bookmarkStart w:id="336" w:name="_Toc184310280"/>
      <w:bookmarkEnd w:id="336"/>
      <w:bookmarkStart w:id="337" w:name="_Toc184310320"/>
      <w:bookmarkEnd w:id="337"/>
      <w:bookmarkStart w:id="338" w:name="_Toc184310293"/>
      <w:bookmarkEnd w:id="338"/>
      <w:bookmarkStart w:id="339" w:name="_Toc184314437"/>
      <w:bookmarkEnd w:id="339"/>
      <w:bookmarkStart w:id="340" w:name="_Toc184314423"/>
      <w:bookmarkEnd w:id="340"/>
      <w:bookmarkStart w:id="341" w:name="_Toc184312082"/>
      <w:bookmarkEnd w:id="341"/>
      <w:bookmarkStart w:id="342" w:name="_Toc184312087"/>
      <w:bookmarkEnd w:id="342"/>
      <w:bookmarkStart w:id="343" w:name="_Toc184313247"/>
      <w:bookmarkEnd w:id="343"/>
      <w:bookmarkStart w:id="344" w:name="_Toc184310333"/>
      <w:bookmarkEnd w:id="344"/>
      <w:bookmarkStart w:id="345" w:name="_Toc184312083"/>
      <w:bookmarkEnd w:id="345"/>
      <w:bookmarkStart w:id="346" w:name="_Toc184310315"/>
      <w:bookmarkEnd w:id="346"/>
      <w:bookmarkStart w:id="347" w:name="_Toc184312100"/>
      <w:bookmarkEnd w:id="347"/>
      <w:bookmarkStart w:id="348" w:name="_Toc184310336"/>
      <w:bookmarkEnd w:id="348"/>
      <w:bookmarkStart w:id="349" w:name="_Toc184313243"/>
      <w:bookmarkEnd w:id="349"/>
      <w:bookmarkStart w:id="350" w:name="_Toc184308084"/>
      <w:bookmarkEnd w:id="350"/>
      <w:bookmarkStart w:id="351" w:name="_Toc184310297"/>
      <w:bookmarkEnd w:id="351"/>
      <w:bookmarkStart w:id="352" w:name="_Toc184314471"/>
      <w:bookmarkEnd w:id="352"/>
      <w:bookmarkStart w:id="353" w:name="_Toc184314465"/>
      <w:bookmarkEnd w:id="353"/>
      <w:bookmarkStart w:id="354" w:name="_Toc184308100"/>
      <w:bookmarkEnd w:id="354"/>
      <w:bookmarkStart w:id="355" w:name="_Toc184314414"/>
      <w:bookmarkEnd w:id="355"/>
      <w:bookmarkStart w:id="356" w:name="_Toc184310272"/>
      <w:bookmarkEnd w:id="356"/>
      <w:bookmarkStart w:id="357" w:name="_Toc184314475"/>
      <w:bookmarkEnd w:id="357"/>
      <w:bookmarkStart w:id="358" w:name="_Toc184313282"/>
      <w:bookmarkEnd w:id="358"/>
      <w:bookmarkStart w:id="359" w:name="_Toc184313241"/>
      <w:bookmarkEnd w:id="359"/>
      <w:bookmarkStart w:id="360" w:name="_Toc184314464"/>
      <w:bookmarkEnd w:id="360"/>
      <w:bookmarkStart w:id="361" w:name="_Toc184313238"/>
      <w:bookmarkEnd w:id="361"/>
      <w:bookmarkStart w:id="362" w:name="_Toc184314431"/>
      <w:bookmarkEnd w:id="362"/>
      <w:bookmarkStart w:id="363" w:name="_Toc184314428"/>
      <w:bookmarkEnd w:id="363"/>
      <w:bookmarkStart w:id="364" w:name="_Toc184310341"/>
      <w:bookmarkEnd w:id="364"/>
      <w:bookmarkStart w:id="365" w:name="_Toc184313270"/>
      <w:bookmarkEnd w:id="365"/>
      <w:bookmarkStart w:id="366" w:name="_Toc184310306"/>
      <w:bookmarkEnd w:id="366"/>
      <w:bookmarkStart w:id="367" w:name="_Toc184310314"/>
      <w:bookmarkEnd w:id="367"/>
      <w:bookmarkStart w:id="368" w:name="_Toc184313300"/>
      <w:bookmarkEnd w:id="368"/>
      <w:bookmarkStart w:id="369" w:name="_Toc184314445"/>
      <w:bookmarkEnd w:id="369"/>
      <w:bookmarkStart w:id="370" w:name="_Toc184310329"/>
      <w:bookmarkEnd w:id="370"/>
      <w:bookmarkStart w:id="371" w:name="_Toc184314462"/>
      <w:bookmarkEnd w:id="371"/>
      <w:bookmarkStart w:id="372" w:name="_Toc184313299"/>
      <w:bookmarkEnd w:id="372"/>
      <w:bookmarkStart w:id="373" w:name="_Toc184313260"/>
      <w:bookmarkEnd w:id="373"/>
      <w:bookmarkStart w:id="374" w:name="_Toc184312094"/>
      <w:bookmarkEnd w:id="374"/>
      <w:bookmarkStart w:id="375" w:name="_Toc184310296"/>
      <w:bookmarkEnd w:id="375"/>
      <w:bookmarkStart w:id="376" w:name="_Toc184312098"/>
      <w:bookmarkEnd w:id="376"/>
      <w:bookmarkStart w:id="377" w:name="_Toc184313301"/>
      <w:bookmarkEnd w:id="377"/>
      <w:bookmarkStart w:id="378" w:name="_Toc184314418"/>
      <w:bookmarkEnd w:id="378"/>
      <w:bookmarkStart w:id="379" w:name="_Toc184308077"/>
      <w:bookmarkEnd w:id="379"/>
      <w:bookmarkStart w:id="380" w:name="_Toc184314454"/>
      <w:bookmarkEnd w:id="380"/>
      <w:bookmarkStart w:id="381" w:name="_Toc184312072"/>
      <w:bookmarkEnd w:id="381"/>
      <w:bookmarkStart w:id="382" w:name="_Toc184310285"/>
      <w:bookmarkEnd w:id="382"/>
      <w:bookmarkStart w:id="383" w:name="_Toc184313307"/>
      <w:bookmarkEnd w:id="383"/>
      <w:bookmarkStart w:id="384" w:name="_Toc184314477"/>
      <w:bookmarkEnd w:id="384"/>
      <w:bookmarkStart w:id="385" w:name="_Toc184310316"/>
      <w:bookmarkEnd w:id="385"/>
      <w:bookmarkStart w:id="386" w:name="_Toc184312117"/>
      <w:bookmarkEnd w:id="386"/>
      <w:bookmarkStart w:id="387" w:name="_Toc184313304"/>
      <w:bookmarkEnd w:id="387"/>
      <w:bookmarkStart w:id="388" w:name="_Toc184313268"/>
      <w:bookmarkEnd w:id="388"/>
      <w:bookmarkStart w:id="389" w:name="_Toc184308083"/>
      <w:bookmarkEnd w:id="389"/>
      <w:bookmarkStart w:id="390" w:name="_Toc184310340"/>
      <w:bookmarkEnd w:id="390"/>
      <w:bookmarkStart w:id="391" w:name="_Toc184313256"/>
      <w:bookmarkEnd w:id="391"/>
      <w:bookmarkStart w:id="392" w:name="_Toc184310300"/>
      <w:bookmarkEnd w:id="392"/>
      <w:bookmarkStart w:id="393" w:name="_Toc184310312"/>
      <w:bookmarkEnd w:id="393"/>
      <w:r>
        <w:rPr>
          <w:rFonts w:hint="eastAsia" w:ascii="仿宋" w:hAnsi="仿宋" w:eastAsia="仿宋" w:cs="仿宋_GB2312"/>
          <w:b/>
          <w:sz w:val="36"/>
          <w:szCs w:val="20"/>
        </w:rPr>
        <w:t>评标办法</w:t>
      </w:r>
    </w:p>
    <w:p>
      <w:pPr>
        <w:adjustRightInd/>
        <w:spacing w:line="360" w:lineRule="auto"/>
        <w:jc w:val="center"/>
        <w:outlineLvl w:val="0"/>
        <w:rPr>
          <w:rFonts w:hint="eastAsia" w:ascii="仿宋" w:hAnsi="仿宋" w:eastAsia="仿宋" w:cs="仿宋_GB2312"/>
          <w:b/>
          <w:sz w:val="36"/>
          <w:szCs w:val="20"/>
        </w:rPr>
      </w:pPr>
      <w:r>
        <w:rPr>
          <w:rFonts w:hint="eastAsia" w:ascii="仿宋" w:hAnsi="仿宋" w:eastAsia="仿宋" w:cs="仿宋_GB2312"/>
          <w:b/>
          <w:sz w:val="36"/>
          <w:szCs w:val="20"/>
        </w:rPr>
        <w:t>评标办法前附表</w:t>
      </w:r>
    </w:p>
    <w:p>
      <w:pPr>
        <w:widowControl w:val="0"/>
        <w:wordWrap/>
        <w:adjustRightInd w:val="0"/>
        <w:snapToGrid/>
        <w:spacing w:line="360" w:lineRule="auto"/>
        <w:ind w:firstLine="480" w:firstLineChars="200"/>
        <w:textAlignment w:val="baseline"/>
        <w:rPr>
          <w:rStyle w:val="964"/>
          <w:rFonts w:hint="eastAsia" w:ascii="仿宋" w:hAnsi="仿宋" w:eastAsia="仿宋" w:cs="仿宋"/>
          <w:bCs/>
          <w:sz w:val="24"/>
        </w:rPr>
      </w:pPr>
      <w:r>
        <w:rPr>
          <w:rStyle w:val="964"/>
          <w:rFonts w:hint="eastAsia" w:ascii="仿宋" w:hAnsi="仿宋" w:eastAsia="仿宋" w:cs="仿宋"/>
          <w:bCs/>
          <w:sz w:val="24"/>
        </w:rPr>
        <w:t>各投标人的综合得分为：投标价格得分+技术商务得分之和，总和为100分，其中：投标价格得分</w:t>
      </w:r>
      <w:r>
        <w:rPr>
          <w:rStyle w:val="964"/>
          <w:rFonts w:hint="eastAsia" w:ascii="仿宋" w:hAnsi="仿宋" w:eastAsia="仿宋" w:cs="仿宋"/>
          <w:bCs/>
          <w:sz w:val="24"/>
          <w:lang w:val="en-US" w:eastAsia="zh-CN"/>
        </w:rPr>
        <w:t>10</w:t>
      </w:r>
      <w:r>
        <w:rPr>
          <w:rStyle w:val="964"/>
          <w:rFonts w:hint="eastAsia" w:ascii="仿宋" w:hAnsi="仿宋" w:eastAsia="仿宋" w:cs="仿宋"/>
          <w:bCs/>
          <w:sz w:val="24"/>
        </w:rPr>
        <w:t>分，商务技术得分</w:t>
      </w:r>
      <w:r>
        <w:rPr>
          <w:rStyle w:val="964"/>
          <w:rFonts w:hint="eastAsia" w:ascii="仿宋" w:hAnsi="仿宋" w:eastAsia="仿宋" w:cs="仿宋"/>
          <w:bCs/>
          <w:sz w:val="24"/>
          <w:lang w:val="en-US" w:eastAsia="zh-CN"/>
        </w:rPr>
        <w:t>90</w:t>
      </w:r>
      <w:r>
        <w:rPr>
          <w:rStyle w:val="964"/>
          <w:rFonts w:hint="eastAsia" w:ascii="仿宋" w:hAnsi="仿宋" w:eastAsia="仿宋" w:cs="仿宋"/>
          <w:bCs/>
          <w:sz w:val="24"/>
        </w:rPr>
        <w:t>分。</w:t>
      </w:r>
    </w:p>
    <w:p>
      <w:pPr>
        <w:widowControl w:val="0"/>
        <w:wordWrap/>
        <w:adjustRightInd w:val="0"/>
        <w:snapToGrid/>
        <w:spacing w:line="360" w:lineRule="auto"/>
        <w:ind w:firstLine="480" w:firstLineChars="200"/>
        <w:textAlignment w:val="baseline"/>
        <w:rPr>
          <w:rStyle w:val="964"/>
          <w:rFonts w:hint="eastAsia" w:ascii="仿宋" w:hAnsi="仿宋" w:eastAsia="仿宋" w:cs="仿宋"/>
          <w:bCs/>
          <w:sz w:val="24"/>
        </w:rPr>
      </w:pPr>
      <w:r>
        <w:rPr>
          <w:rStyle w:val="964"/>
          <w:rFonts w:hint="eastAsia" w:ascii="仿宋" w:hAnsi="仿宋" w:eastAsia="仿宋" w:cs="仿宋"/>
          <w:bCs/>
          <w:sz w:val="24"/>
        </w:rPr>
        <w:t>1、</w:t>
      </w:r>
      <w:r>
        <w:rPr>
          <w:rStyle w:val="964"/>
          <w:rFonts w:hint="eastAsia" w:ascii="仿宋" w:hAnsi="仿宋" w:eastAsia="仿宋" w:cs="仿宋"/>
          <w:bCs/>
          <w:sz w:val="24"/>
          <w:lang w:eastAsia="zh-CN"/>
        </w:rPr>
        <w:t>商务</w:t>
      </w:r>
      <w:r>
        <w:rPr>
          <w:rStyle w:val="964"/>
          <w:rFonts w:hint="eastAsia" w:ascii="仿宋" w:hAnsi="仿宋" w:eastAsia="仿宋" w:cs="仿宋"/>
          <w:bCs/>
          <w:sz w:val="24"/>
        </w:rPr>
        <w:t>技术分  总分</w:t>
      </w:r>
      <w:r>
        <w:rPr>
          <w:rStyle w:val="964"/>
          <w:rFonts w:hint="eastAsia" w:ascii="仿宋" w:hAnsi="仿宋" w:eastAsia="仿宋" w:cs="仿宋"/>
          <w:bCs/>
          <w:sz w:val="24"/>
          <w:lang w:val="en-US" w:eastAsia="zh-CN"/>
        </w:rPr>
        <w:t>90</w:t>
      </w:r>
      <w:r>
        <w:rPr>
          <w:rStyle w:val="964"/>
          <w:rFonts w:hint="eastAsia" w:ascii="仿宋" w:hAnsi="仿宋" w:eastAsia="仿宋" w:cs="仿宋"/>
          <w:bCs/>
          <w:sz w:val="24"/>
        </w:rPr>
        <w:t>分</w:t>
      </w:r>
    </w:p>
    <w:p>
      <w:pPr>
        <w:widowControl w:val="0"/>
        <w:wordWrap/>
        <w:adjustRightInd w:val="0"/>
        <w:snapToGrid/>
        <w:spacing w:line="360" w:lineRule="auto"/>
        <w:ind w:firstLine="480" w:firstLineChars="200"/>
        <w:textAlignment w:val="baseline"/>
        <w:rPr>
          <w:rStyle w:val="964"/>
          <w:rFonts w:hint="eastAsia" w:ascii="仿宋" w:hAnsi="仿宋" w:eastAsia="仿宋" w:cs="仿宋"/>
          <w:bCs/>
          <w:sz w:val="24"/>
        </w:rPr>
      </w:pPr>
      <w:r>
        <w:rPr>
          <w:rStyle w:val="964"/>
          <w:rFonts w:hint="eastAsia" w:ascii="仿宋" w:hAnsi="仿宋" w:eastAsia="仿宋" w:cs="仿宋"/>
          <w:bCs/>
          <w:sz w:val="24"/>
        </w:rPr>
        <w:t>该评分分值由评标委员会根据评审情况在分值范围内独立打分（具体分值设定详见表格），小数点后保留一位小数。每个投标人的最终技术分为评标委员会打分的算术平均值（小数点后保留二位小数，第三位四舍五入）。</w:t>
      </w:r>
    </w:p>
    <w:tbl>
      <w:tblPr>
        <w:tblStyle w:val="6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30"/>
        <w:gridCol w:w="610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序号</w:t>
            </w:r>
          </w:p>
        </w:tc>
        <w:tc>
          <w:tcPr>
            <w:tcW w:w="1730"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评分内容</w:t>
            </w:r>
          </w:p>
        </w:tc>
        <w:tc>
          <w:tcPr>
            <w:tcW w:w="6105"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评分标准</w:t>
            </w:r>
          </w:p>
        </w:tc>
        <w:tc>
          <w:tcPr>
            <w:tcW w:w="1065"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restart"/>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1</w:t>
            </w:r>
          </w:p>
        </w:tc>
        <w:tc>
          <w:tcPr>
            <w:tcW w:w="1730" w:type="dxa"/>
            <w:vMerge w:val="restart"/>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投标单位</w:t>
            </w:r>
          </w:p>
          <w:p>
            <w:pPr>
              <w:spacing w:line="360" w:lineRule="auto"/>
              <w:jc w:val="center"/>
              <w:rPr>
                <w:rFonts w:hint="eastAsia" w:ascii="宋体" w:hAnsi="宋体" w:cs="宋体"/>
                <w:color w:val="000000"/>
                <w:szCs w:val="21"/>
              </w:rPr>
            </w:pPr>
            <w:r>
              <w:rPr>
                <w:rFonts w:hint="eastAsia" w:ascii="宋体" w:hAnsi="宋体" w:cs="宋体"/>
                <w:color w:val="000000"/>
                <w:szCs w:val="21"/>
              </w:rPr>
              <w:t>综合实力</w:t>
            </w:r>
          </w:p>
        </w:tc>
        <w:tc>
          <w:tcPr>
            <w:tcW w:w="6105" w:type="dxa"/>
            <w:vAlign w:val="center"/>
          </w:tcPr>
          <w:p>
            <w:pPr>
              <w:spacing w:line="360" w:lineRule="auto"/>
              <w:rPr>
                <w:rFonts w:hint="eastAsia" w:ascii="宋体" w:hAnsi="宋体" w:cs="宋体"/>
                <w:color w:val="000000"/>
                <w:szCs w:val="21"/>
              </w:rPr>
            </w:pPr>
            <w:r>
              <w:rPr>
                <w:rFonts w:hint="eastAsia" w:ascii="宋体" w:hAnsi="宋体" w:cs="宋体"/>
                <w:b w:val="0"/>
                <w:bCs w:val="0"/>
                <w:szCs w:val="21"/>
              </w:rPr>
              <w:t>投标单位承担过垃圾清运项目的，承担过的有一个得</w:t>
            </w:r>
            <w:r>
              <w:rPr>
                <w:rFonts w:hint="eastAsia" w:ascii="宋体" w:hAnsi="宋体" w:cs="宋体"/>
                <w:b w:val="0"/>
                <w:bCs w:val="0"/>
                <w:szCs w:val="21"/>
                <w:lang w:val="en-US" w:eastAsia="zh-CN"/>
              </w:rPr>
              <w:t>0.5</w:t>
            </w:r>
            <w:r>
              <w:rPr>
                <w:rFonts w:hint="eastAsia" w:ascii="宋体" w:hAnsi="宋体" w:cs="宋体"/>
                <w:b w:val="0"/>
                <w:bCs w:val="0"/>
                <w:szCs w:val="21"/>
              </w:rPr>
              <w:t>分，最多得</w:t>
            </w:r>
            <w:r>
              <w:rPr>
                <w:rFonts w:hint="eastAsia" w:ascii="宋体" w:hAnsi="宋体" w:cs="宋体"/>
                <w:b w:val="0"/>
                <w:bCs w:val="0"/>
                <w:szCs w:val="21"/>
                <w:lang w:val="en-US" w:eastAsia="zh-CN"/>
              </w:rPr>
              <w:t>1</w:t>
            </w:r>
            <w:r>
              <w:rPr>
                <w:rFonts w:hint="eastAsia" w:ascii="宋体" w:hAnsi="宋体" w:cs="宋体"/>
                <w:b w:val="0"/>
                <w:bCs w:val="0"/>
                <w:szCs w:val="21"/>
              </w:rPr>
              <w:t>分。（投标文件中提供合同</w:t>
            </w:r>
            <w:r>
              <w:rPr>
                <w:rFonts w:hint="eastAsia"/>
                <w:b w:val="0"/>
                <w:bCs w:val="0"/>
                <w:szCs w:val="21"/>
              </w:rPr>
              <w:t>复印件加盖公章或扫描件加盖公章</w:t>
            </w:r>
            <w:r>
              <w:rPr>
                <w:rFonts w:hint="eastAsia" w:ascii="宋体" w:hAnsi="宋体" w:cs="宋体"/>
                <w:b w:val="0"/>
                <w:bCs w:val="0"/>
                <w:szCs w:val="21"/>
              </w:rPr>
              <w:t>，</w:t>
            </w:r>
            <w:r>
              <w:rPr>
                <w:rFonts w:ascii="宋体" w:hAnsi="宋体" w:cs="宋体"/>
                <w:b w:val="0"/>
                <w:bCs w:val="0"/>
                <w:szCs w:val="21"/>
              </w:rPr>
              <w:t>否则不得分</w:t>
            </w:r>
            <w:r>
              <w:rPr>
                <w:rFonts w:hint="eastAsia" w:ascii="宋体" w:hAnsi="宋体" w:cs="宋体"/>
                <w:b w:val="0"/>
                <w:bCs w:val="0"/>
                <w:szCs w:val="21"/>
              </w:rPr>
              <w:t>。）</w:t>
            </w:r>
          </w:p>
        </w:tc>
        <w:tc>
          <w:tcPr>
            <w:tcW w:w="1065"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0-</w:t>
            </w:r>
            <w:r>
              <w:rPr>
                <w:rFonts w:hint="eastAsia" w:ascii="宋体" w:hAnsi="宋体" w:cs="宋体"/>
                <w:color w:val="000000"/>
                <w:szCs w:val="21"/>
                <w:lang w:val="en-US" w:eastAsia="zh-CN"/>
              </w:rPr>
              <w:t>1</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vAlign w:val="center"/>
          </w:tcPr>
          <w:p>
            <w:pPr>
              <w:spacing w:line="360" w:lineRule="auto"/>
              <w:jc w:val="center"/>
              <w:rPr>
                <w:rFonts w:hint="eastAsia" w:ascii="宋体" w:hAnsi="宋体" w:cs="宋体"/>
                <w:color w:val="000000"/>
                <w:szCs w:val="21"/>
              </w:rPr>
            </w:pPr>
          </w:p>
        </w:tc>
        <w:tc>
          <w:tcPr>
            <w:tcW w:w="1730" w:type="dxa"/>
            <w:vMerge w:val="continue"/>
            <w:vAlign w:val="center"/>
          </w:tcPr>
          <w:p>
            <w:pPr>
              <w:spacing w:line="360" w:lineRule="auto"/>
              <w:jc w:val="center"/>
              <w:rPr>
                <w:rFonts w:hint="eastAsia" w:ascii="宋体" w:hAnsi="宋体" w:cs="宋体"/>
                <w:color w:val="000000"/>
                <w:szCs w:val="21"/>
              </w:rPr>
            </w:pPr>
          </w:p>
        </w:tc>
        <w:tc>
          <w:tcPr>
            <w:tcW w:w="6105" w:type="dxa"/>
            <w:vAlign w:val="center"/>
          </w:tcPr>
          <w:p>
            <w:pPr>
              <w:spacing w:line="360" w:lineRule="auto"/>
              <w:rPr>
                <w:rFonts w:hint="eastAsia" w:ascii="宋体" w:hAnsi="宋体" w:cs="宋体"/>
                <w:szCs w:val="21"/>
              </w:rPr>
            </w:pPr>
            <w:r>
              <w:rPr>
                <w:rFonts w:hint="eastAsia" w:ascii="宋体" w:hAnsi="宋体" w:cs="宋体"/>
                <w:color w:val="000000"/>
                <w:szCs w:val="21"/>
              </w:rPr>
              <w:t>投标单位获得质量管理体系认证、环境管理体系认证、职业健康安全管理体系认证证书（</w:t>
            </w:r>
            <w:r>
              <w:rPr>
                <w:rFonts w:hint="eastAsia" w:ascii="宋体" w:hAnsi="宋体" w:cs="宋体"/>
                <w:szCs w:val="21"/>
              </w:rPr>
              <w:t>认证范围需包含或类似垃圾清运的</w:t>
            </w:r>
            <w:r>
              <w:rPr>
                <w:rFonts w:hint="eastAsia" w:ascii="宋体" w:hAnsi="宋体" w:cs="宋体"/>
                <w:color w:val="000000"/>
                <w:szCs w:val="21"/>
              </w:rPr>
              <w:t>）</w:t>
            </w:r>
            <w:r>
              <w:rPr>
                <w:rFonts w:hint="eastAsia"/>
                <w:kern w:val="0"/>
                <w:szCs w:val="21"/>
              </w:rPr>
              <w:t>认证证书</w:t>
            </w:r>
            <w:r>
              <w:rPr>
                <w:rFonts w:hint="eastAsia" w:ascii="宋体" w:hAnsi="宋体" w:cs="宋体"/>
                <w:color w:val="000000"/>
                <w:szCs w:val="21"/>
              </w:rPr>
              <w:t>且在有效期内，</w:t>
            </w:r>
            <w:r>
              <w:rPr>
                <w:rFonts w:hint="eastAsia" w:ascii="宋体" w:hAnsi="宋体" w:cs="宋体"/>
                <w:szCs w:val="21"/>
              </w:rPr>
              <w:t>提供1个得</w:t>
            </w:r>
            <w:r>
              <w:rPr>
                <w:rFonts w:hint="eastAsia" w:ascii="宋体" w:hAnsi="宋体" w:cs="宋体"/>
                <w:szCs w:val="21"/>
                <w:lang w:val="en-US" w:eastAsia="zh-CN"/>
              </w:rPr>
              <w:t>3</w:t>
            </w:r>
            <w:r>
              <w:rPr>
                <w:rFonts w:hint="eastAsia" w:ascii="宋体" w:hAnsi="宋体" w:cs="宋体"/>
                <w:szCs w:val="21"/>
              </w:rPr>
              <w:t>分，共</w:t>
            </w:r>
            <w:r>
              <w:rPr>
                <w:rFonts w:hint="eastAsia" w:ascii="宋体" w:hAnsi="宋体" w:cs="宋体"/>
                <w:szCs w:val="21"/>
                <w:lang w:val="en-US" w:eastAsia="zh-CN"/>
              </w:rPr>
              <w:t>9</w:t>
            </w:r>
            <w:r>
              <w:rPr>
                <w:rFonts w:hint="eastAsia" w:ascii="宋体" w:hAnsi="宋体" w:cs="宋体"/>
                <w:szCs w:val="21"/>
              </w:rPr>
              <w:t>分。</w:t>
            </w:r>
          </w:p>
          <w:p>
            <w:pPr>
              <w:spacing w:line="360" w:lineRule="auto"/>
              <w:rPr>
                <w:rFonts w:hint="eastAsia" w:ascii="宋体" w:hAnsi="宋体" w:cs="宋体"/>
                <w:color w:val="000000"/>
                <w:szCs w:val="21"/>
              </w:rPr>
            </w:pPr>
            <w:r>
              <w:rPr>
                <w:rFonts w:hint="eastAsia" w:ascii="宋体" w:hAnsi="宋体" w:cs="宋体"/>
                <w:b/>
                <w:bCs/>
                <w:szCs w:val="21"/>
              </w:rPr>
              <w:t>（</w:t>
            </w:r>
            <w:r>
              <w:rPr>
                <w:rFonts w:hint="eastAsia" w:ascii="宋体" w:hAnsi="宋体" w:cs="宋体"/>
                <w:szCs w:val="21"/>
              </w:rPr>
              <w:t>投标文件中提供相关证明资料复印件加盖公章或扫描件加盖公章</w:t>
            </w:r>
            <w:r>
              <w:rPr>
                <w:rFonts w:hint="eastAsia" w:ascii="宋体" w:hAnsi="宋体" w:cs="宋体"/>
                <w:color w:val="000000"/>
                <w:szCs w:val="21"/>
              </w:rPr>
              <w:t>，不提供不得分）</w:t>
            </w:r>
          </w:p>
        </w:tc>
        <w:tc>
          <w:tcPr>
            <w:tcW w:w="1065"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0-</w:t>
            </w:r>
            <w:r>
              <w:rPr>
                <w:rFonts w:hint="eastAsia" w:ascii="宋体" w:hAnsi="宋体" w:cs="宋体"/>
                <w:color w:val="000000"/>
                <w:szCs w:val="21"/>
                <w:lang w:val="en-US" w:eastAsia="zh-CN"/>
              </w:rPr>
              <w:t>9</w:t>
            </w:r>
            <w:r>
              <w:rPr>
                <w:rFonts w:hint="eastAsia" w:ascii="宋体" w:hAnsi="宋体" w:cs="宋体"/>
                <w:color w:val="000000"/>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vAlign w:val="center"/>
          </w:tcPr>
          <w:p>
            <w:pPr>
              <w:spacing w:line="360" w:lineRule="auto"/>
              <w:jc w:val="center"/>
              <w:rPr>
                <w:rFonts w:hint="eastAsia" w:ascii="宋体" w:hAnsi="宋体" w:cs="宋体"/>
                <w:color w:val="000000"/>
                <w:szCs w:val="21"/>
              </w:rPr>
            </w:pPr>
          </w:p>
        </w:tc>
        <w:tc>
          <w:tcPr>
            <w:tcW w:w="1730" w:type="dxa"/>
            <w:vMerge w:val="continue"/>
            <w:vAlign w:val="center"/>
          </w:tcPr>
          <w:p>
            <w:pPr>
              <w:spacing w:line="360" w:lineRule="auto"/>
              <w:jc w:val="center"/>
              <w:rPr>
                <w:rFonts w:hint="eastAsia" w:ascii="宋体" w:hAnsi="宋体" w:cs="宋体"/>
                <w:color w:val="000000"/>
                <w:szCs w:val="21"/>
              </w:rPr>
            </w:pPr>
          </w:p>
        </w:tc>
        <w:tc>
          <w:tcPr>
            <w:tcW w:w="6105" w:type="dxa"/>
            <w:vAlign w:val="center"/>
          </w:tcPr>
          <w:p>
            <w:pPr>
              <w:spacing w:line="360" w:lineRule="auto"/>
              <w:rPr>
                <w:rFonts w:hint="eastAsia" w:ascii="宋体" w:hAnsi="宋体" w:cs="宋体"/>
                <w:szCs w:val="21"/>
              </w:rPr>
            </w:pPr>
            <w:r>
              <w:rPr>
                <w:rFonts w:hint="eastAsia" w:ascii="宋体" w:hAnsi="宋体" w:cs="宋体"/>
                <w:szCs w:val="21"/>
              </w:rPr>
              <w:t>投标单位2020年1月1日以来获得过保洁或卫生类的省级及以上表彰荣誉的得6分，市级表彰荣誉的得3分，区、县级表彰荣誉的得1分。（就高计取，不得单项累计得分）</w:t>
            </w:r>
          </w:p>
          <w:p>
            <w:pPr>
              <w:spacing w:line="360" w:lineRule="auto"/>
              <w:rPr>
                <w:rFonts w:hint="eastAsia" w:ascii="宋体" w:hAnsi="宋体" w:cs="宋体"/>
                <w:szCs w:val="21"/>
              </w:rPr>
            </w:pPr>
            <w:r>
              <w:rPr>
                <w:rFonts w:hint="eastAsia" w:ascii="宋体" w:hAnsi="宋体" w:cs="宋体"/>
                <w:szCs w:val="21"/>
              </w:rPr>
              <w:t>（投标文件中提供表彰文件或表彰证书的复印件或扫描件加盖公章，否则不得分）。</w:t>
            </w:r>
          </w:p>
        </w:tc>
        <w:tc>
          <w:tcPr>
            <w:tcW w:w="1065"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0-</w:t>
            </w:r>
            <w:r>
              <w:rPr>
                <w:rFonts w:hint="eastAsia" w:ascii="宋体" w:hAnsi="宋体" w:cs="宋体"/>
                <w:color w:val="000000"/>
                <w:szCs w:val="21"/>
                <w:lang w:val="en-US" w:eastAsia="zh-CN"/>
              </w:rPr>
              <w:t>6</w:t>
            </w:r>
            <w:r>
              <w:rPr>
                <w:rFonts w:hint="eastAsia" w:ascii="宋体" w:hAnsi="宋体" w:cs="宋体"/>
                <w:color w:val="000000"/>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2</w:t>
            </w:r>
          </w:p>
        </w:tc>
        <w:tc>
          <w:tcPr>
            <w:tcW w:w="1730" w:type="dxa"/>
            <w:vAlign w:val="center"/>
          </w:tcPr>
          <w:p>
            <w:pPr>
              <w:spacing w:line="360" w:lineRule="auto"/>
              <w:jc w:val="center"/>
              <w:rPr>
                <w:rFonts w:hint="eastAsia" w:ascii="宋体" w:hAnsi="宋体" w:cs="宋体"/>
                <w:color w:val="000000"/>
                <w:szCs w:val="21"/>
                <w:lang w:val="zh-CN"/>
              </w:rPr>
            </w:pPr>
            <w:r>
              <w:rPr>
                <w:rFonts w:hint="eastAsia" w:ascii="宋体" w:hAnsi="宋体" w:cs="宋体"/>
                <w:color w:val="000000"/>
                <w:szCs w:val="21"/>
              </w:rPr>
              <w:t>机械设备</w:t>
            </w:r>
          </w:p>
        </w:tc>
        <w:tc>
          <w:tcPr>
            <w:tcW w:w="6105" w:type="dxa"/>
            <w:vAlign w:val="center"/>
          </w:tcPr>
          <w:p>
            <w:pPr>
              <w:numPr>
                <w:ilvl w:val="0"/>
                <w:numId w:val="4"/>
              </w:numPr>
              <w:spacing w:line="276" w:lineRule="auto"/>
              <w:jc w:val="left"/>
              <w:rPr>
                <w:rFonts w:hint="eastAsia" w:ascii="宋体" w:hAnsi="宋体" w:cs="宋体"/>
                <w:b/>
                <w:bCs/>
                <w:szCs w:val="21"/>
              </w:rPr>
            </w:pPr>
            <w:r>
              <w:rPr>
                <w:rFonts w:hint="eastAsia" w:ascii="宋体" w:hAnsi="宋体" w:cs="宋体"/>
                <w:b/>
                <w:bCs/>
                <w:szCs w:val="21"/>
              </w:rPr>
              <w:t>密闭式垃圾直运车（0-</w:t>
            </w:r>
            <w:r>
              <w:rPr>
                <w:rFonts w:hint="eastAsia" w:ascii="宋体" w:hAnsi="宋体" w:cs="宋体"/>
                <w:b/>
                <w:bCs/>
                <w:szCs w:val="21"/>
                <w:lang w:val="en-US" w:eastAsia="zh-CN"/>
              </w:rPr>
              <w:t>6</w:t>
            </w:r>
            <w:r>
              <w:rPr>
                <w:rFonts w:hint="eastAsia" w:ascii="宋体" w:hAnsi="宋体" w:cs="宋体"/>
                <w:b/>
                <w:bCs/>
                <w:szCs w:val="21"/>
              </w:rPr>
              <w:t>分）：</w:t>
            </w:r>
          </w:p>
          <w:p>
            <w:pPr>
              <w:spacing w:line="276" w:lineRule="auto"/>
              <w:jc w:val="left"/>
              <w:rPr>
                <w:rFonts w:hint="eastAsia" w:ascii="宋体" w:hAnsi="宋体" w:cs="宋体"/>
                <w:kern w:val="21"/>
                <w:szCs w:val="21"/>
              </w:rPr>
            </w:pPr>
            <w:r>
              <w:rPr>
                <w:rFonts w:ascii="Calibri" w:hAnsi="Calibri" w:cs="Calibri"/>
                <w:kern w:val="21"/>
                <w:szCs w:val="21"/>
              </w:rPr>
              <w:t>①</w:t>
            </w:r>
            <w:r>
              <w:rPr>
                <w:rFonts w:hint="eastAsia" w:ascii="宋体" w:hAnsi="宋体" w:cs="宋体"/>
                <w:kern w:val="21"/>
                <w:szCs w:val="21"/>
              </w:rPr>
              <w:t>自备核定总重量</w:t>
            </w:r>
            <w:r>
              <w:rPr>
                <w:rFonts w:hint="eastAsia" w:ascii="宋体" w:hAnsi="宋体" w:cs="宋体"/>
                <w:kern w:val="21"/>
                <w:szCs w:val="21"/>
                <w:lang w:val="en-US" w:eastAsia="zh-CN"/>
              </w:rPr>
              <w:t>16</w:t>
            </w:r>
            <w:r>
              <w:rPr>
                <w:rFonts w:hint="eastAsia" w:ascii="宋体" w:hAnsi="宋体" w:cs="宋体"/>
                <w:kern w:val="21"/>
                <w:szCs w:val="21"/>
              </w:rPr>
              <w:t xml:space="preserve">吨及以上的每辆得 </w:t>
            </w:r>
            <w:r>
              <w:rPr>
                <w:rFonts w:hint="eastAsia" w:ascii="宋体" w:hAnsi="宋体" w:cs="宋体"/>
                <w:kern w:val="21"/>
                <w:szCs w:val="21"/>
                <w:lang w:val="en-US" w:eastAsia="zh-CN"/>
              </w:rPr>
              <w:t>2</w:t>
            </w:r>
            <w:r>
              <w:rPr>
                <w:rFonts w:hint="eastAsia" w:ascii="宋体" w:hAnsi="宋体" w:cs="宋体"/>
                <w:kern w:val="21"/>
                <w:szCs w:val="21"/>
              </w:rPr>
              <w:t>分，最高得</w:t>
            </w:r>
            <w:r>
              <w:rPr>
                <w:rFonts w:hint="eastAsia" w:ascii="宋体" w:hAnsi="宋体" w:cs="宋体"/>
                <w:kern w:val="21"/>
                <w:szCs w:val="21"/>
                <w:lang w:val="en-US" w:eastAsia="zh-CN"/>
              </w:rPr>
              <w:t>6</w:t>
            </w:r>
            <w:r>
              <w:rPr>
                <w:rFonts w:hint="eastAsia" w:ascii="宋体" w:hAnsi="宋体" w:cs="宋体"/>
                <w:kern w:val="21"/>
                <w:szCs w:val="21"/>
              </w:rPr>
              <w:t>分；</w:t>
            </w:r>
          </w:p>
          <w:p>
            <w:pPr>
              <w:numPr>
                <w:ilvl w:val="0"/>
                <w:numId w:val="4"/>
              </w:numPr>
              <w:spacing w:line="276" w:lineRule="auto"/>
              <w:jc w:val="left"/>
              <w:rPr>
                <w:rFonts w:hint="eastAsia" w:ascii="宋体" w:hAnsi="宋体" w:cs="宋体"/>
                <w:b/>
                <w:bCs/>
                <w:szCs w:val="21"/>
              </w:rPr>
            </w:pPr>
            <w:r>
              <w:rPr>
                <w:rFonts w:hint="eastAsia" w:ascii="宋体" w:hAnsi="宋体" w:cs="宋体"/>
                <w:b/>
                <w:bCs/>
                <w:szCs w:val="21"/>
              </w:rPr>
              <w:t>密闭式垃圾直运车（0-</w:t>
            </w:r>
            <w:r>
              <w:rPr>
                <w:rFonts w:hint="eastAsia" w:ascii="宋体" w:hAnsi="宋体" w:cs="宋体"/>
                <w:b/>
                <w:bCs/>
                <w:szCs w:val="21"/>
                <w:lang w:val="en-US" w:eastAsia="zh-CN"/>
              </w:rPr>
              <w:t>7.5</w:t>
            </w:r>
            <w:r>
              <w:rPr>
                <w:rFonts w:hint="eastAsia" w:ascii="宋体" w:hAnsi="宋体" w:cs="宋体"/>
                <w:b/>
                <w:bCs/>
                <w:szCs w:val="21"/>
              </w:rPr>
              <w:t>分）：</w:t>
            </w:r>
          </w:p>
          <w:p>
            <w:pPr>
              <w:spacing w:line="276" w:lineRule="auto"/>
              <w:jc w:val="left"/>
              <w:rPr>
                <w:rFonts w:hint="eastAsia" w:ascii="宋体" w:hAnsi="宋体" w:cs="宋体"/>
                <w:kern w:val="21"/>
                <w:szCs w:val="21"/>
              </w:rPr>
            </w:pPr>
            <w:r>
              <w:rPr>
                <w:rFonts w:ascii="Calibri" w:hAnsi="Calibri" w:cs="Calibri"/>
                <w:kern w:val="21"/>
                <w:szCs w:val="21"/>
              </w:rPr>
              <w:t>①</w:t>
            </w:r>
            <w:r>
              <w:rPr>
                <w:rFonts w:hint="eastAsia" w:ascii="宋体" w:hAnsi="宋体" w:cs="宋体"/>
                <w:kern w:val="21"/>
                <w:szCs w:val="21"/>
              </w:rPr>
              <w:t xml:space="preserve">自备核定总重量 </w:t>
            </w:r>
            <w:r>
              <w:rPr>
                <w:rFonts w:hint="eastAsia" w:ascii="宋体" w:hAnsi="宋体" w:cs="宋体"/>
                <w:b/>
                <w:bCs/>
                <w:szCs w:val="21"/>
              </w:rPr>
              <w:t>7</w:t>
            </w:r>
            <w:r>
              <w:rPr>
                <w:rFonts w:hint="eastAsia" w:ascii="宋体" w:hAnsi="宋体" w:cs="宋体"/>
                <w:szCs w:val="21"/>
              </w:rPr>
              <w:t>吨及以上的每辆得</w:t>
            </w:r>
            <w:r>
              <w:rPr>
                <w:rFonts w:hint="eastAsia" w:ascii="宋体" w:hAnsi="宋体" w:cs="宋体"/>
                <w:szCs w:val="21"/>
                <w:lang w:val="en-US" w:eastAsia="zh-CN"/>
              </w:rPr>
              <w:t>1.5</w:t>
            </w:r>
            <w:r>
              <w:rPr>
                <w:rFonts w:hint="eastAsia" w:ascii="宋体" w:hAnsi="宋体" w:cs="宋体"/>
                <w:szCs w:val="21"/>
              </w:rPr>
              <w:t>分</w:t>
            </w:r>
            <w:r>
              <w:rPr>
                <w:rFonts w:hint="eastAsia" w:ascii="宋体" w:hAnsi="宋体" w:cs="宋体"/>
                <w:kern w:val="21"/>
                <w:szCs w:val="21"/>
              </w:rPr>
              <w:t>，最高得</w:t>
            </w:r>
            <w:r>
              <w:rPr>
                <w:rFonts w:hint="eastAsia" w:ascii="宋体" w:hAnsi="宋体" w:cs="宋体"/>
                <w:kern w:val="21"/>
                <w:szCs w:val="21"/>
                <w:lang w:val="en-US" w:eastAsia="zh-CN"/>
              </w:rPr>
              <w:t>7.5</w:t>
            </w:r>
            <w:r>
              <w:rPr>
                <w:rFonts w:hint="eastAsia" w:ascii="宋体" w:hAnsi="宋体" w:cs="宋体"/>
                <w:kern w:val="21"/>
                <w:szCs w:val="21"/>
              </w:rPr>
              <w:t>分；</w:t>
            </w:r>
          </w:p>
          <w:p>
            <w:pPr>
              <w:numPr>
                <w:ilvl w:val="0"/>
                <w:numId w:val="4"/>
              </w:numPr>
              <w:spacing w:line="276" w:lineRule="auto"/>
              <w:jc w:val="left"/>
              <w:rPr>
                <w:rFonts w:hint="eastAsia" w:ascii="宋体" w:hAnsi="宋体" w:cs="宋体"/>
                <w:b/>
                <w:bCs/>
                <w:color w:val="auto"/>
                <w:szCs w:val="21"/>
              </w:rPr>
            </w:pPr>
            <w:r>
              <w:rPr>
                <w:rFonts w:hint="eastAsia" w:ascii="宋体" w:hAnsi="宋体" w:cs="宋体"/>
                <w:b/>
                <w:bCs/>
                <w:color w:val="auto"/>
                <w:szCs w:val="21"/>
              </w:rPr>
              <w:t>吸污（粪）车（0-</w:t>
            </w:r>
            <w:r>
              <w:rPr>
                <w:rFonts w:hint="eastAsia" w:ascii="宋体" w:hAnsi="宋体" w:cs="宋体"/>
                <w:b/>
                <w:bCs/>
                <w:color w:val="auto"/>
                <w:szCs w:val="21"/>
                <w:lang w:val="en-US" w:eastAsia="zh-CN"/>
              </w:rPr>
              <w:t>1.5</w:t>
            </w:r>
            <w:r>
              <w:rPr>
                <w:rFonts w:hint="eastAsia" w:ascii="宋体" w:hAnsi="宋体" w:cs="宋体"/>
                <w:b/>
                <w:bCs/>
                <w:color w:val="auto"/>
                <w:szCs w:val="21"/>
              </w:rPr>
              <w:t>分）：</w:t>
            </w:r>
          </w:p>
          <w:p>
            <w:pPr>
              <w:numPr>
                <w:ilvl w:val="0"/>
                <w:numId w:val="0"/>
              </w:numPr>
              <w:spacing w:line="276" w:lineRule="auto"/>
              <w:jc w:val="left"/>
              <w:rPr>
                <w:rFonts w:hint="eastAsia"/>
                <w:b w:val="0"/>
                <w:bCs w:val="0"/>
                <w:color w:val="auto"/>
              </w:rPr>
            </w:pPr>
            <w:r>
              <w:rPr>
                <w:rFonts w:ascii="Calibri" w:hAnsi="Calibri" w:cs="Calibri"/>
                <w:b w:val="0"/>
                <w:bCs w:val="0"/>
                <w:color w:val="auto"/>
                <w:kern w:val="21"/>
                <w:szCs w:val="21"/>
              </w:rPr>
              <w:t>①</w:t>
            </w:r>
            <w:r>
              <w:rPr>
                <w:rFonts w:hint="eastAsia" w:ascii="宋体" w:hAnsi="宋体" w:cs="宋体"/>
                <w:b w:val="0"/>
                <w:bCs w:val="0"/>
                <w:color w:val="auto"/>
                <w:szCs w:val="21"/>
              </w:rPr>
              <w:t>自备核定总重量 7吨及以上的每辆得</w:t>
            </w:r>
            <w:r>
              <w:rPr>
                <w:rFonts w:hint="eastAsia" w:ascii="宋体" w:hAnsi="宋体" w:cs="宋体"/>
                <w:b w:val="0"/>
                <w:bCs w:val="0"/>
                <w:color w:val="auto"/>
                <w:szCs w:val="21"/>
                <w:lang w:val="en-US" w:eastAsia="zh-CN"/>
              </w:rPr>
              <w:t>1.5</w:t>
            </w:r>
            <w:r>
              <w:rPr>
                <w:rFonts w:hint="eastAsia" w:ascii="宋体" w:hAnsi="宋体" w:cs="宋体"/>
                <w:b w:val="0"/>
                <w:bCs w:val="0"/>
                <w:color w:val="auto"/>
                <w:szCs w:val="21"/>
              </w:rPr>
              <w:t>分，最高得</w:t>
            </w:r>
            <w:r>
              <w:rPr>
                <w:rFonts w:hint="eastAsia" w:ascii="宋体" w:hAnsi="宋体" w:cs="宋体"/>
                <w:b w:val="0"/>
                <w:bCs w:val="0"/>
                <w:color w:val="auto"/>
                <w:szCs w:val="21"/>
                <w:lang w:val="en-US" w:eastAsia="zh-CN"/>
              </w:rPr>
              <w:t>1.5</w:t>
            </w:r>
            <w:r>
              <w:rPr>
                <w:rFonts w:hint="eastAsia" w:ascii="宋体" w:hAnsi="宋体" w:cs="宋体"/>
                <w:b w:val="0"/>
                <w:bCs w:val="0"/>
                <w:color w:val="auto"/>
                <w:szCs w:val="21"/>
              </w:rPr>
              <w:t>分；</w:t>
            </w:r>
          </w:p>
          <w:p>
            <w:pPr>
              <w:numPr>
                <w:ilvl w:val="0"/>
                <w:numId w:val="4"/>
              </w:numPr>
              <w:spacing w:line="276" w:lineRule="auto"/>
              <w:jc w:val="left"/>
              <w:rPr>
                <w:rFonts w:hint="eastAsia" w:ascii="宋体" w:hAnsi="宋体" w:cs="宋体"/>
                <w:b/>
                <w:bCs/>
                <w:szCs w:val="21"/>
              </w:rPr>
            </w:pPr>
            <w:r>
              <w:rPr>
                <w:rFonts w:hint="eastAsia" w:ascii="宋体" w:hAnsi="宋体" w:cs="宋体"/>
                <w:b/>
                <w:bCs/>
                <w:szCs w:val="21"/>
              </w:rPr>
              <w:t>低价值物回收密闭式箱式货车（0-</w:t>
            </w:r>
            <w:r>
              <w:rPr>
                <w:rFonts w:hint="eastAsia" w:ascii="宋体" w:hAnsi="宋体" w:cs="宋体"/>
                <w:b/>
                <w:bCs/>
                <w:szCs w:val="21"/>
                <w:lang w:val="en-US" w:eastAsia="zh-CN"/>
              </w:rPr>
              <w:t>3</w:t>
            </w:r>
            <w:r>
              <w:rPr>
                <w:rFonts w:hint="eastAsia" w:ascii="宋体" w:hAnsi="宋体" w:cs="宋体"/>
                <w:b/>
                <w:bCs/>
                <w:szCs w:val="21"/>
              </w:rPr>
              <w:t>分）：</w:t>
            </w:r>
          </w:p>
          <w:p>
            <w:pPr>
              <w:spacing w:line="276" w:lineRule="auto"/>
              <w:jc w:val="left"/>
              <w:rPr>
                <w:rFonts w:hint="eastAsia" w:ascii="宋体" w:hAnsi="宋体" w:cs="宋体"/>
                <w:kern w:val="21"/>
                <w:szCs w:val="21"/>
              </w:rPr>
            </w:pPr>
            <w:r>
              <w:rPr>
                <w:rFonts w:ascii="Calibri" w:hAnsi="Calibri" w:cs="Calibri"/>
                <w:kern w:val="21"/>
                <w:szCs w:val="21"/>
              </w:rPr>
              <w:t>①</w:t>
            </w:r>
            <w:r>
              <w:rPr>
                <w:rFonts w:hint="eastAsia" w:ascii="宋体" w:hAnsi="宋体" w:cs="宋体"/>
                <w:kern w:val="21"/>
                <w:szCs w:val="21"/>
              </w:rPr>
              <w:t>自备核定总重量</w:t>
            </w:r>
            <w:r>
              <w:rPr>
                <w:rFonts w:hint="eastAsia" w:ascii="宋体" w:hAnsi="宋体" w:cs="宋体"/>
                <w:b/>
                <w:bCs/>
                <w:szCs w:val="21"/>
                <w:lang w:val="en-US" w:eastAsia="zh-CN"/>
              </w:rPr>
              <w:t>4</w:t>
            </w:r>
            <w:r>
              <w:rPr>
                <w:rFonts w:hint="eastAsia" w:ascii="宋体" w:hAnsi="宋体" w:cs="宋体"/>
                <w:szCs w:val="21"/>
              </w:rPr>
              <w:t>吨及以上的每辆得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kern w:val="21"/>
                <w:szCs w:val="21"/>
              </w:rPr>
              <w:t>，最高得</w:t>
            </w:r>
            <w:r>
              <w:rPr>
                <w:rFonts w:hint="eastAsia" w:ascii="宋体" w:hAnsi="宋体" w:cs="宋体"/>
                <w:kern w:val="21"/>
                <w:szCs w:val="21"/>
                <w:lang w:val="en-US" w:eastAsia="zh-CN"/>
              </w:rPr>
              <w:t>3</w:t>
            </w:r>
            <w:r>
              <w:rPr>
                <w:rFonts w:hint="eastAsia" w:ascii="宋体" w:hAnsi="宋体" w:cs="宋体"/>
                <w:kern w:val="21"/>
                <w:szCs w:val="21"/>
              </w:rPr>
              <w:t>分；</w:t>
            </w:r>
          </w:p>
          <w:p>
            <w:pPr>
              <w:numPr>
                <w:ilvl w:val="0"/>
                <w:numId w:val="4"/>
              </w:numPr>
              <w:spacing w:line="276" w:lineRule="auto"/>
              <w:jc w:val="left"/>
              <w:rPr>
                <w:rFonts w:hint="eastAsia" w:ascii="宋体" w:hAnsi="宋体" w:cs="宋体"/>
                <w:b/>
                <w:bCs/>
                <w:szCs w:val="21"/>
              </w:rPr>
            </w:pPr>
            <w:r>
              <w:rPr>
                <w:rFonts w:hint="eastAsia" w:ascii="宋体" w:hAnsi="宋体" w:cs="宋体"/>
                <w:b/>
                <w:bCs/>
                <w:szCs w:val="21"/>
              </w:rPr>
              <w:t>易腐垃圾桶装车（0-</w:t>
            </w:r>
            <w:r>
              <w:rPr>
                <w:rFonts w:hint="eastAsia" w:ascii="宋体" w:hAnsi="宋体" w:cs="宋体"/>
                <w:b/>
                <w:bCs/>
                <w:szCs w:val="21"/>
                <w:lang w:val="en-US" w:eastAsia="zh-CN"/>
              </w:rPr>
              <w:t>2</w:t>
            </w:r>
            <w:r>
              <w:rPr>
                <w:rFonts w:hint="eastAsia" w:ascii="宋体" w:hAnsi="宋体" w:cs="宋体"/>
                <w:b/>
                <w:bCs/>
                <w:szCs w:val="21"/>
              </w:rPr>
              <w:t>分）：</w:t>
            </w:r>
          </w:p>
          <w:p>
            <w:pPr>
              <w:spacing w:line="276" w:lineRule="auto"/>
              <w:jc w:val="left"/>
              <w:rPr>
                <w:rFonts w:hint="eastAsia" w:ascii="宋体" w:hAnsi="宋体" w:cs="宋体"/>
                <w:kern w:val="21"/>
                <w:szCs w:val="21"/>
              </w:rPr>
            </w:pPr>
            <w:r>
              <w:rPr>
                <w:rFonts w:ascii="Calibri" w:hAnsi="Calibri" w:cs="Calibri"/>
                <w:kern w:val="21"/>
                <w:szCs w:val="21"/>
              </w:rPr>
              <w:t>①</w:t>
            </w:r>
            <w:r>
              <w:rPr>
                <w:rFonts w:hint="eastAsia" w:ascii="宋体" w:hAnsi="宋体" w:cs="宋体"/>
                <w:kern w:val="21"/>
                <w:szCs w:val="21"/>
              </w:rPr>
              <w:t>自备核定总重量</w:t>
            </w:r>
            <w:r>
              <w:rPr>
                <w:rFonts w:hint="eastAsia" w:ascii="宋体" w:hAnsi="宋体" w:cs="宋体"/>
                <w:kern w:val="21"/>
                <w:szCs w:val="21"/>
                <w:lang w:val="en-US" w:eastAsia="zh-CN"/>
              </w:rPr>
              <w:t>2.5</w:t>
            </w:r>
            <w:r>
              <w:rPr>
                <w:rFonts w:hint="eastAsia" w:ascii="宋体" w:hAnsi="宋体" w:cs="宋体"/>
                <w:szCs w:val="21"/>
              </w:rPr>
              <w:t xml:space="preserve">吨及以上的每辆得 </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kern w:val="21"/>
                <w:szCs w:val="21"/>
              </w:rPr>
              <w:t>，最高得</w:t>
            </w:r>
            <w:r>
              <w:rPr>
                <w:rFonts w:hint="eastAsia" w:ascii="宋体" w:hAnsi="宋体" w:cs="宋体"/>
                <w:kern w:val="21"/>
                <w:szCs w:val="21"/>
                <w:lang w:val="en-US" w:eastAsia="zh-CN"/>
              </w:rPr>
              <w:t>2</w:t>
            </w:r>
            <w:r>
              <w:rPr>
                <w:rFonts w:hint="eastAsia" w:ascii="宋体" w:hAnsi="宋体" w:cs="宋体"/>
                <w:kern w:val="21"/>
                <w:szCs w:val="21"/>
              </w:rPr>
              <w:t>分；</w:t>
            </w:r>
          </w:p>
          <w:p>
            <w:pPr>
              <w:numPr>
                <w:ilvl w:val="0"/>
                <w:numId w:val="4"/>
              </w:numPr>
              <w:spacing w:line="360" w:lineRule="auto"/>
              <w:rPr>
                <w:rFonts w:hint="eastAsia" w:ascii="宋体" w:hAnsi="宋体" w:cs="宋体"/>
                <w:b/>
                <w:bCs/>
                <w:szCs w:val="21"/>
              </w:rPr>
            </w:pPr>
            <w:r>
              <w:rPr>
                <w:rFonts w:hint="eastAsia" w:ascii="宋体" w:hAnsi="宋体" w:cs="宋体"/>
                <w:b/>
                <w:bCs/>
                <w:szCs w:val="21"/>
                <w:lang w:val="en-US" w:eastAsia="zh-CN"/>
              </w:rPr>
              <w:t>垃圾分类音乐线四轮八桶车</w:t>
            </w:r>
            <w:r>
              <w:rPr>
                <w:rFonts w:hint="eastAsia" w:ascii="宋体" w:hAnsi="宋体" w:cs="宋体"/>
                <w:b/>
                <w:bCs/>
                <w:szCs w:val="21"/>
              </w:rPr>
              <w:t>（0-</w:t>
            </w:r>
            <w:r>
              <w:rPr>
                <w:rFonts w:hint="eastAsia" w:ascii="宋体" w:hAnsi="宋体" w:cs="宋体"/>
                <w:b/>
                <w:bCs/>
                <w:szCs w:val="21"/>
                <w:lang w:val="en-US" w:eastAsia="zh-CN"/>
              </w:rPr>
              <w:t>3</w:t>
            </w:r>
            <w:r>
              <w:rPr>
                <w:rFonts w:hint="eastAsia" w:ascii="宋体" w:hAnsi="宋体" w:cs="宋体"/>
                <w:b/>
                <w:bCs/>
                <w:szCs w:val="21"/>
              </w:rPr>
              <w:t>分）：</w:t>
            </w:r>
          </w:p>
          <w:p>
            <w:pPr>
              <w:spacing w:line="276" w:lineRule="auto"/>
              <w:jc w:val="left"/>
              <w:rPr>
                <w:rFonts w:hint="eastAsia"/>
              </w:rPr>
            </w:pPr>
            <w:r>
              <w:rPr>
                <w:rFonts w:ascii="Calibri" w:hAnsi="Calibri" w:cs="Calibri"/>
                <w:kern w:val="21"/>
                <w:szCs w:val="21"/>
              </w:rPr>
              <w:t>①</w:t>
            </w:r>
            <w:r>
              <w:rPr>
                <w:rFonts w:hint="eastAsia" w:ascii="宋体" w:hAnsi="宋体" w:cs="宋体"/>
                <w:kern w:val="21"/>
                <w:szCs w:val="21"/>
              </w:rPr>
              <w:t>自备</w:t>
            </w:r>
            <w:r>
              <w:rPr>
                <w:rFonts w:hint="eastAsia" w:ascii="宋体" w:hAnsi="宋体" w:cs="宋体"/>
                <w:szCs w:val="21"/>
              </w:rPr>
              <w:t xml:space="preserve">的每辆得 </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kern w:val="21"/>
                <w:szCs w:val="21"/>
              </w:rPr>
              <w:t>，最高得</w:t>
            </w:r>
            <w:r>
              <w:rPr>
                <w:rFonts w:hint="eastAsia" w:ascii="宋体" w:hAnsi="宋体" w:cs="宋体"/>
                <w:kern w:val="21"/>
                <w:szCs w:val="21"/>
                <w:lang w:val="en-US" w:eastAsia="zh-CN"/>
              </w:rPr>
              <w:t>3</w:t>
            </w:r>
            <w:r>
              <w:rPr>
                <w:rFonts w:hint="eastAsia" w:ascii="宋体" w:hAnsi="宋体" w:cs="宋体"/>
                <w:kern w:val="21"/>
                <w:szCs w:val="21"/>
              </w:rPr>
              <w:t>分；</w:t>
            </w:r>
          </w:p>
          <w:p>
            <w:pPr>
              <w:spacing w:line="360" w:lineRule="auto"/>
              <w:rPr>
                <w:rFonts w:ascii="Times New Roman" w:hAnsi="Times New Roman"/>
                <w:b/>
                <w:bCs/>
                <w:szCs w:val="21"/>
              </w:rPr>
            </w:pPr>
            <w:r>
              <w:rPr>
                <w:rFonts w:hint="eastAsia"/>
                <w:b/>
                <w:bCs/>
                <w:szCs w:val="21"/>
                <w:lang w:val="en-US" w:eastAsia="zh-CN"/>
              </w:rPr>
              <w:t>7</w:t>
            </w:r>
            <w:r>
              <w:rPr>
                <w:rFonts w:hint="eastAsia"/>
                <w:b/>
                <w:bCs/>
                <w:szCs w:val="21"/>
              </w:rPr>
              <w:t>、以上序号1-</w:t>
            </w:r>
            <w:r>
              <w:rPr>
                <w:rFonts w:hint="eastAsia"/>
                <w:b/>
                <w:bCs/>
                <w:szCs w:val="21"/>
                <w:lang w:val="en-US" w:eastAsia="zh-CN"/>
              </w:rPr>
              <w:t>6</w:t>
            </w:r>
            <w:r>
              <w:rPr>
                <w:rFonts w:hint="eastAsia"/>
                <w:b/>
                <w:bCs/>
                <w:szCs w:val="21"/>
              </w:rPr>
              <w:t>车辆设备中具有新能源车辆的加1分（0-</w:t>
            </w:r>
            <w:r>
              <w:rPr>
                <w:rFonts w:hint="eastAsia"/>
                <w:b/>
                <w:bCs/>
                <w:szCs w:val="21"/>
                <w:lang w:val="en-US" w:eastAsia="zh-CN"/>
              </w:rPr>
              <w:t>1</w:t>
            </w:r>
            <w:r>
              <w:rPr>
                <w:rFonts w:hint="eastAsia"/>
                <w:b/>
                <w:bCs/>
                <w:szCs w:val="21"/>
              </w:rPr>
              <w:t>分）。</w:t>
            </w:r>
            <w:r>
              <w:rPr>
                <w:rFonts w:ascii="Times New Roman" w:hAnsi="Times New Roman"/>
                <w:b/>
                <w:bCs/>
                <w:szCs w:val="21"/>
              </w:rPr>
              <w:t>本项最高得</w:t>
            </w:r>
            <w:r>
              <w:rPr>
                <w:rFonts w:hint="eastAsia" w:ascii="Times New Roman" w:hAnsi="Times New Roman"/>
                <w:b/>
                <w:bCs/>
                <w:szCs w:val="21"/>
              </w:rPr>
              <w:t>2</w:t>
            </w:r>
            <w:r>
              <w:rPr>
                <w:rFonts w:hint="eastAsia"/>
                <w:b/>
                <w:bCs/>
                <w:szCs w:val="21"/>
                <w:lang w:val="en-US" w:eastAsia="zh-CN"/>
              </w:rPr>
              <w:t>4</w:t>
            </w:r>
            <w:r>
              <w:rPr>
                <w:rFonts w:ascii="Times New Roman" w:hAnsi="Times New Roman"/>
                <w:b/>
                <w:bCs/>
                <w:szCs w:val="21"/>
              </w:rPr>
              <w:t>分。</w:t>
            </w:r>
          </w:p>
          <w:p>
            <w:pPr>
              <w:spacing w:line="360" w:lineRule="auto"/>
              <w:rPr>
                <w:rFonts w:hint="eastAsia" w:ascii="宋体" w:hAnsi="宋体" w:cs="宋体"/>
                <w:szCs w:val="21"/>
                <w:lang w:val="zh-CN"/>
              </w:rPr>
            </w:pPr>
            <w:r>
              <w:rPr>
                <w:rFonts w:hint="eastAsia" w:ascii="Times New Roman" w:hAnsi="Times New Roman"/>
                <w:b/>
                <w:bCs/>
                <w:szCs w:val="21"/>
              </w:rPr>
              <w:t>注：</w:t>
            </w:r>
            <w:r>
              <w:rPr>
                <w:rFonts w:hint="eastAsia" w:ascii="Times New Roman" w:hAnsi="Times New Roman"/>
                <w:b/>
                <w:bCs/>
                <w:szCs w:val="21"/>
                <w:lang w:val="en-US" w:eastAsia="zh-CN"/>
              </w:rPr>
              <w:t>车辆可自有或租赁。车辆需同时提供行驶证、车辆登记证、购买发票复印件及车辆照片，否则不得分。（其中非上牌的四轮八桶车均予以认可）（如车辆为租赁，还需额外提供租赁合同）</w:t>
            </w:r>
          </w:p>
        </w:tc>
        <w:tc>
          <w:tcPr>
            <w:tcW w:w="1065" w:type="dxa"/>
            <w:vAlign w:val="center"/>
          </w:tcPr>
          <w:p>
            <w:pPr>
              <w:spacing w:line="360" w:lineRule="auto"/>
              <w:jc w:val="center"/>
              <w:rPr>
                <w:rFonts w:hint="eastAsia" w:ascii="宋体" w:hAnsi="宋体" w:cs="宋体"/>
                <w:color w:val="000000"/>
                <w:szCs w:val="21"/>
                <w:lang w:val="zh-CN"/>
              </w:rPr>
            </w:pPr>
            <w:r>
              <w:rPr>
                <w:rFonts w:hint="eastAsia" w:ascii="宋体" w:hAnsi="宋体" w:cs="宋体"/>
                <w:color w:val="000000"/>
                <w:szCs w:val="21"/>
              </w:rPr>
              <w:t>0-</w:t>
            </w:r>
            <w:r>
              <w:rPr>
                <w:rFonts w:hint="default" w:ascii="宋体" w:hAnsi="宋体" w:cs="宋体"/>
                <w:color w:val="000000"/>
                <w:szCs w:val="21"/>
              </w:rPr>
              <w:t>2</w:t>
            </w:r>
            <w:r>
              <w:rPr>
                <w:rFonts w:hint="eastAsia" w:ascii="宋体" w:hAnsi="宋体" w:cs="宋体"/>
                <w:color w:val="000000"/>
                <w:szCs w:val="21"/>
                <w:lang w:val="en-US" w:eastAsia="zh-CN"/>
              </w:rPr>
              <w:t>4</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38" w:type="dxa"/>
            <w:vMerge w:val="restart"/>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3</w:t>
            </w:r>
          </w:p>
        </w:tc>
        <w:tc>
          <w:tcPr>
            <w:tcW w:w="1730" w:type="dxa"/>
            <w:vMerge w:val="restart"/>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项目管</w:t>
            </w:r>
          </w:p>
          <w:p>
            <w:pPr>
              <w:spacing w:line="360" w:lineRule="auto"/>
              <w:jc w:val="center"/>
              <w:rPr>
                <w:rFonts w:hint="eastAsia" w:ascii="宋体" w:hAnsi="宋体" w:cs="宋体"/>
                <w:color w:val="000000"/>
                <w:szCs w:val="21"/>
                <w:lang w:val="zh-CN"/>
              </w:rPr>
            </w:pPr>
            <w:r>
              <w:rPr>
                <w:rFonts w:hint="eastAsia" w:ascii="宋体" w:hAnsi="宋体" w:cs="宋体"/>
                <w:color w:val="000000"/>
                <w:szCs w:val="21"/>
              </w:rPr>
              <w:t>理人员</w:t>
            </w:r>
          </w:p>
        </w:tc>
        <w:tc>
          <w:tcPr>
            <w:tcW w:w="6105" w:type="dxa"/>
            <w:vAlign w:val="center"/>
          </w:tcPr>
          <w:p>
            <w:pPr>
              <w:spacing w:line="360" w:lineRule="auto"/>
              <w:rPr>
                <w:rFonts w:hint="eastAsia" w:ascii="宋体" w:hAnsi="宋体" w:cs="宋体"/>
                <w:color w:val="000000"/>
                <w:szCs w:val="21"/>
              </w:rPr>
            </w:pPr>
            <w:r>
              <w:rPr>
                <w:rFonts w:hint="eastAsia" w:ascii="宋体" w:hAnsi="宋体" w:cs="宋体"/>
                <w:color w:val="000000"/>
                <w:szCs w:val="21"/>
              </w:rPr>
              <w:t>拟派项目负责人担任过垃圾清运项目管理负责人的，得 2 分。</w:t>
            </w:r>
          </w:p>
          <w:p>
            <w:pPr>
              <w:spacing w:line="360" w:lineRule="auto"/>
              <w:rPr>
                <w:rFonts w:hint="eastAsia" w:ascii="宋体" w:hAnsi="宋体" w:cs="宋体"/>
                <w:color w:val="000000"/>
                <w:szCs w:val="21"/>
                <w:lang w:val="zh-CN"/>
              </w:rPr>
            </w:pPr>
            <w:r>
              <w:rPr>
                <w:rFonts w:hint="eastAsia" w:ascii="宋体" w:hAnsi="宋体" w:cs="宋体"/>
                <w:b/>
                <w:bCs/>
                <w:szCs w:val="21"/>
              </w:rPr>
              <w:t>投标文件中需提供</w:t>
            </w:r>
            <w:r>
              <w:rPr>
                <w:rFonts w:hint="eastAsia" w:ascii="宋体" w:hAnsi="宋体" w:cs="宋体"/>
                <w:b/>
                <w:bCs/>
                <w:szCs w:val="21"/>
                <w:lang w:eastAsia="zh-CN"/>
              </w:rPr>
              <w:t>本单位</w:t>
            </w:r>
            <w:r>
              <w:rPr>
                <w:rFonts w:hint="eastAsia" w:ascii="宋体" w:hAnsi="宋体" w:cs="宋体"/>
                <w:b/>
                <w:bCs/>
                <w:szCs w:val="21"/>
              </w:rPr>
              <w:t>社保证明、劳动合同复印件或扫描件加盖公章，否则不得分。</w:t>
            </w:r>
          </w:p>
        </w:tc>
        <w:tc>
          <w:tcPr>
            <w:tcW w:w="1065" w:type="dxa"/>
            <w:vMerge w:val="restart"/>
            <w:vAlign w:val="center"/>
          </w:tcPr>
          <w:p>
            <w:pPr>
              <w:spacing w:line="360" w:lineRule="auto"/>
              <w:jc w:val="center"/>
              <w:rPr>
                <w:rFonts w:hint="eastAsia" w:ascii="宋体" w:hAnsi="宋体" w:cs="宋体"/>
                <w:color w:val="000000"/>
                <w:szCs w:val="21"/>
                <w:lang w:val="zh-CN"/>
              </w:rPr>
            </w:pPr>
            <w:r>
              <w:rPr>
                <w:rFonts w:hint="eastAsia" w:ascii="宋体" w:hAnsi="宋体" w:cs="宋体"/>
                <w:color w:val="000000"/>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vMerge w:val="continue"/>
            <w:vAlign w:val="center"/>
          </w:tcPr>
          <w:p>
            <w:pPr>
              <w:spacing w:line="360" w:lineRule="auto"/>
              <w:rPr>
                <w:szCs w:val="21"/>
              </w:rPr>
            </w:pPr>
          </w:p>
        </w:tc>
        <w:tc>
          <w:tcPr>
            <w:tcW w:w="1730" w:type="dxa"/>
            <w:vMerge w:val="continue"/>
            <w:vAlign w:val="center"/>
          </w:tcPr>
          <w:p>
            <w:pPr>
              <w:spacing w:line="360" w:lineRule="auto"/>
              <w:rPr>
                <w:szCs w:val="21"/>
              </w:rPr>
            </w:pPr>
          </w:p>
        </w:tc>
        <w:tc>
          <w:tcPr>
            <w:tcW w:w="6105" w:type="dxa"/>
            <w:vAlign w:val="center"/>
          </w:tcPr>
          <w:p>
            <w:pPr>
              <w:spacing w:line="360" w:lineRule="auto"/>
              <w:rPr>
                <w:rFonts w:hint="eastAsia" w:ascii="宋体" w:hAnsi="宋体" w:cs="宋体"/>
                <w:color w:val="000000"/>
                <w:szCs w:val="21"/>
              </w:rPr>
            </w:pPr>
            <w:r>
              <w:rPr>
                <w:rFonts w:hint="eastAsia" w:ascii="宋体" w:hAnsi="宋体" w:cs="宋体"/>
                <w:color w:val="000000"/>
                <w:szCs w:val="21"/>
              </w:rPr>
              <w:t>拟派本项目的主要人员中有垃圾分类项目经理、清扫收集运输项目经理、垃圾处理管理师，污水处理工程师，有1个得0.5分，本项最高得2分。</w:t>
            </w:r>
          </w:p>
          <w:p>
            <w:pPr>
              <w:spacing w:line="360" w:lineRule="auto"/>
              <w:rPr>
                <w:rFonts w:hint="eastAsia" w:ascii="宋体" w:hAnsi="宋体" w:cs="宋体"/>
                <w:b/>
                <w:bCs/>
                <w:color w:val="000000"/>
                <w:szCs w:val="21"/>
              </w:rPr>
            </w:pPr>
            <w:r>
              <w:rPr>
                <w:rFonts w:hint="eastAsia"/>
                <w:b/>
                <w:bCs/>
                <w:szCs w:val="21"/>
              </w:rPr>
              <w:t>投标文件中提供以上人员相关证书和持证人员的</w:t>
            </w:r>
            <w:r>
              <w:rPr>
                <w:rFonts w:hint="eastAsia"/>
                <w:b/>
                <w:bCs/>
                <w:szCs w:val="21"/>
                <w:lang w:eastAsia="zh-CN"/>
              </w:rPr>
              <w:t>本单位</w:t>
            </w:r>
            <w:r>
              <w:rPr>
                <w:rFonts w:hint="eastAsia"/>
                <w:b/>
                <w:bCs/>
                <w:szCs w:val="21"/>
              </w:rPr>
              <w:t>社保缴纳证明</w:t>
            </w:r>
            <w:r>
              <w:rPr>
                <w:rFonts w:hint="eastAsia" w:ascii="宋体" w:hAnsi="宋体" w:cs="宋体"/>
                <w:b/>
                <w:bCs/>
                <w:szCs w:val="21"/>
              </w:rPr>
              <w:t>复印件或</w:t>
            </w:r>
            <w:r>
              <w:rPr>
                <w:rFonts w:hint="eastAsia"/>
                <w:b/>
                <w:bCs/>
                <w:szCs w:val="21"/>
              </w:rPr>
              <w:t>扫描件并加盖公章，否则不得分</w:t>
            </w:r>
            <w:r>
              <w:rPr>
                <w:rFonts w:hint="eastAsia"/>
                <w:szCs w:val="21"/>
              </w:rPr>
              <w:t xml:space="preserve">。 </w:t>
            </w:r>
          </w:p>
        </w:tc>
        <w:tc>
          <w:tcPr>
            <w:tcW w:w="1065" w:type="dxa"/>
            <w:vMerge w:val="continue"/>
            <w:vAlign w:val="center"/>
          </w:tcPr>
          <w:p>
            <w:pPr>
              <w:spacing w:line="360" w:lineRule="auto"/>
              <w:rPr>
                <w:rFonts w:hint="eastAsia" w:ascii="宋体" w:hAnsi="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4</w:t>
            </w:r>
          </w:p>
        </w:tc>
        <w:tc>
          <w:tcPr>
            <w:tcW w:w="1730"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健全的</w:t>
            </w:r>
          </w:p>
          <w:p>
            <w:pPr>
              <w:spacing w:line="360" w:lineRule="auto"/>
              <w:jc w:val="center"/>
              <w:rPr>
                <w:rFonts w:hint="eastAsia" w:ascii="宋体" w:hAnsi="宋体" w:cs="宋体"/>
                <w:color w:val="000000"/>
                <w:szCs w:val="21"/>
              </w:rPr>
            </w:pPr>
            <w:r>
              <w:rPr>
                <w:rFonts w:hint="eastAsia" w:ascii="宋体" w:hAnsi="宋体" w:cs="宋体"/>
                <w:color w:val="000000"/>
                <w:szCs w:val="21"/>
              </w:rPr>
              <w:t>管理组织</w:t>
            </w:r>
          </w:p>
        </w:tc>
        <w:tc>
          <w:tcPr>
            <w:tcW w:w="6105" w:type="dxa"/>
            <w:vAlign w:val="center"/>
          </w:tcPr>
          <w:p>
            <w:pPr>
              <w:spacing w:line="360" w:lineRule="auto"/>
              <w:rPr>
                <w:rFonts w:hint="eastAsia" w:ascii="宋体" w:hAnsi="宋体" w:cs="宋体"/>
                <w:color w:val="000000"/>
                <w:szCs w:val="21"/>
                <w:lang w:eastAsia="zh-CN"/>
              </w:rPr>
            </w:pPr>
            <w:r>
              <w:rPr>
                <w:rFonts w:hint="eastAsia" w:ascii="宋体" w:hAnsi="宋体" w:cs="宋体"/>
                <w:color w:val="000000"/>
                <w:szCs w:val="21"/>
                <w:lang w:eastAsia="zh-CN"/>
              </w:rPr>
              <w:t>提供</w:t>
            </w:r>
            <w:r>
              <w:rPr>
                <w:rFonts w:hint="eastAsia" w:ascii="宋体" w:hAnsi="宋体" w:cs="宋体"/>
                <w:color w:val="000000"/>
                <w:szCs w:val="21"/>
              </w:rPr>
              <w:t>健全的管理组织</w:t>
            </w:r>
            <w:r>
              <w:rPr>
                <w:rFonts w:hint="eastAsia" w:ascii="宋体" w:hAnsi="宋体" w:cs="宋体"/>
                <w:color w:val="000000"/>
                <w:szCs w:val="21"/>
                <w:lang w:eastAsia="zh-CN"/>
              </w:rPr>
              <w:t>，包括以下内容：</w:t>
            </w:r>
          </w:p>
          <w:p>
            <w:pPr>
              <w:numPr>
                <w:ilvl w:val="0"/>
                <w:numId w:val="5"/>
              </w:numPr>
              <w:spacing w:line="360" w:lineRule="auto"/>
              <w:rPr>
                <w:rFonts w:hint="eastAsia" w:ascii="宋体" w:hAnsi="宋体" w:cs="宋体"/>
                <w:color w:val="000000"/>
                <w:szCs w:val="21"/>
                <w:lang w:val="en-US" w:eastAsia="zh-CN"/>
              </w:rPr>
            </w:pPr>
            <w:r>
              <w:rPr>
                <w:rFonts w:hint="eastAsia" w:ascii="宋体" w:hAnsi="宋体" w:cs="宋体"/>
                <w:color w:val="000000"/>
                <w:szCs w:val="21"/>
              </w:rPr>
              <w:t>管理理念</w:t>
            </w:r>
            <w:r>
              <w:rPr>
                <w:rFonts w:hint="eastAsia" w:ascii="宋体" w:hAnsi="宋体" w:cs="宋体"/>
                <w:color w:val="000000"/>
                <w:szCs w:val="21"/>
                <w:lang w:val="en-US" w:eastAsia="zh-CN"/>
              </w:rPr>
              <w:t>(2分)；</w:t>
            </w:r>
          </w:p>
          <w:p>
            <w:pPr>
              <w:numPr>
                <w:ilvl w:val="0"/>
                <w:numId w:val="5"/>
              </w:numPr>
              <w:spacing w:line="360" w:lineRule="auto"/>
              <w:rPr>
                <w:rFonts w:hint="eastAsia" w:ascii="宋体" w:hAnsi="宋体" w:cs="宋体"/>
                <w:color w:val="000000"/>
                <w:szCs w:val="21"/>
              </w:rPr>
            </w:pPr>
            <w:r>
              <w:rPr>
                <w:rFonts w:hint="eastAsia" w:ascii="宋体" w:hAnsi="宋体" w:cs="宋体"/>
                <w:color w:val="000000"/>
                <w:szCs w:val="21"/>
              </w:rPr>
              <w:t>管理模式</w:t>
            </w:r>
            <w:r>
              <w:rPr>
                <w:rFonts w:hint="eastAsia" w:ascii="宋体" w:hAnsi="宋体" w:cs="宋体"/>
                <w:color w:val="000000"/>
                <w:szCs w:val="21"/>
                <w:lang w:val="en-US" w:eastAsia="zh-CN"/>
              </w:rPr>
              <w:t>(2分)</w:t>
            </w:r>
            <w:r>
              <w:rPr>
                <w:rFonts w:hint="eastAsia" w:ascii="宋体" w:hAnsi="宋体" w:cs="宋体"/>
                <w:color w:val="000000"/>
                <w:szCs w:val="21"/>
                <w:lang w:eastAsia="zh-CN"/>
              </w:rPr>
              <w:t>；</w:t>
            </w:r>
          </w:p>
          <w:p>
            <w:pPr>
              <w:numPr>
                <w:ilvl w:val="0"/>
                <w:numId w:val="5"/>
              </w:numPr>
              <w:spacing w:line="360" w:lineRule="auto"/>
              <w:rPr>
                <w:rFonts w:hint="eastAsia" w:ascii="宋体" w:hAnsi="宋体" w:cs="宋体"/>
                <w:color w:val="000000"/>
                <w:szCs w:val="21"/>
              </w:rPr>
            </w:pPr>
            <w:r>
              <w:rPr>
                <w:rFonts w:hint="eastAsia" w:ascii="宋体" w:hAnsi="宋体" w:cs="宋体"/>
                <w:color w:val="000000"/>
                <w:szCs w:val="21"/>
              </w:rPr>
              <w:t>管理组织架构</w:t>
            </w:r>
            <w:r>
              <w:rPr>
                <w:rFonts w:hint="eastAsia" w:ascii="宋体" w:hAnsi="宋体" w:cs="宋体"/>
                <w:color w:val="000000"/>
                <w:szCs w:val="21"/>
                <w:lang w:eastAsia="zh-CN"/>
              </w:rPr>
              <w:t>、</w:t>
            </w:r>
            <w:r>
              <w:rPr>
                <w:rFonts w:hint="eastAsia" w:ascii="宋体" w:hAnsi="宋体" w:cs="宋体"/>
                <w:color w:val="000000"/>
                <w:szCs w:val="21"/>
              </w:rPr>
              <w:t>管理监督机制是否健全</w:t>
            </w:r>
            <w:r>
              <w:rPr>
                <w:rFonts w:hint="eastAsia" w:ascii="宋体" w:hAnsi="宋体" w:cs="宋体"/>
                <w:color w:val="000000"/>
                <w:szCs w:val="21"/>
                <w:lang w:val="en-US" w:eastAsia="zh-CN"/>
              </w:rPr>
              <w:t>(2分)。</w:t>
            </w:r>
          </w:p>
          <w:p>
            <w:pPr>
              <w:spacing w:line="360" w:lineRule="auto"/>
              <w:rPr>
                <w:rFonts w:hint="eastAsia"/>
              </w:rPr>
            </w:pPr>
            <w:r>
              <w:rPr>
                <w:rFonts w:hint="eastAsia"/>
              </w:rPr>
              <w:t>评审标准如下：</w:t>
            </w:r>
          </w:p>
          <w:p>
            <w:pPr>
              <w:spacing w:line="360" w:lineRule="auto"/>
              <w:rPr>
                <w:rFonts w:hint="eastAsia"/>
              </w:rPr>
            </w:pPr>
            <w:r>
              <w:rPr>
                <w:rFonts w:hint="eastAsia"/>
              </w:rPr>
              <w:t>①针对每一点内容阐述，满足采购实施要求得满分</w:t>
            </w:r>
            <w:r>
              <w:rPr>
                <w:rFonts w:hint="eastAsia"/>
                <w:lang w:val="en-US" w:eastAsia="zh-CN"/>
              </w:rPr>
              <w:t>2</w:t>
            </w:r>
            <w:r>
              <w:rPr>
                <w:rFonts w:hint="eastAsia"/>
              </w:rPr>
              <w:t>分；</w:t>
            </w:r>
          </w:p>
          <w:p>
            <w:pPr>
              <w:spacing w:line="360" w:lineRule="auto"/>
              <w:rPr>
                <w:rFonts w:hint="eastAsia"/>
              </w:rPr>
            </w:pPr>
            <w:r>
              <w:rPr>
                <w:rFonts w:hint="eastAsia"/>
              </w:rPr>
              <w:t>②针对每一点阐述有欠缺得</w:t>
            </w:r>
            <w:r>
              <w:rPr>
                <w:rFonts w:hint="eastAsia"/>
                <w:lang w:val="en-US" w:eastAsia="zh-CN"/>
              </w:rPr>
              <w:t>1</w:t>
            </w:r>
            <w:r>
              <w:rPr>
                <w:rFonts w:hint="eastAsia"/>
              </w:rPr>
              <w:t>分</w:t>
            </w:r>
          </w:p>
          <w:p>
            <w:pPr>
              <w:spacing w:line="360" w:lineRule="auto"/>
              <w:rPr>
                <w:rFonts w:hint="eastAsia" w:ascii="宋体" w:hAnsi="宋体" w:eastAsia="宋体" w:cs="宋体"/>
                <w:color w:val="000000"/>
                <w:szCs w:val="21"/>
                <w:lang w:val="en-US" w:eastAsia="zh-CN"/>
              </w:rPr>
            </w:pPr>
            <w:r>
              <w:rPr>
                <w:rFonts w:hint="eastAsia"/>
              </w:rPr>
              <w:t>③无对应内容或与本项目无关则对应点不得分。</w:t>
            </w:r>
          </w:p>
        </w:tc>
        <w:tc>
          <w:tcPr>
            <w:tcW w:w="1065" w:type="dxa"/>
            <w:vAlign w:val="center"/>
          </w:tcPr>
          <w:p>
            <w:pPr>
              <w:pStyle w:val="615"/>
              <w:spacing w:before="165" w:line="360" w:lineRule="auto"/>
              <w:rPr>
                <w:rFonts w:hint="eastAsia"/>
                <w:color w:val="000000"/>
                <w:szCs w:val="21"/>
              </w:rPr>
            </w:pPr>
            <w:r>
              <w:rPr>
                <w:rFonts w:hint="eastAsia"/>
                <w:color w:val="000000"/>
                <w:szCs w:val="21"/>
              </w:rPr>
              <w:t>0～</w:t>
            </w:r>
            <w:r>
              <w:rPr>
                <w:rFonts w:hint="eastAsia"/>
                <w:color w:val="000000"/>
                <w:szCs w:val="21"/>
                <w:lang w:val="en-US" w:eastAsia="zh-CN"/>
              </w:rPr>
              <w:t>6</w:t>
            </w:r>
            <w:r>
              <w:rPr>
                <w:rFonts w:hint="eastAsia"/>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5</w:t>
            </w:r>
          </w:p>
        </w:tc>
        <w:tc>
          <w:tcPr>
            <w:tcW w:w="1730"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管理制度</w:t>
            </w:r>
          </w:p>
        </w:tc>
        <w:tc>
          <w:tcPr>
            <w:tcW w:w="6105" w:type="dxa"/>
            <w:vAlign w:val="center"/>
          </w:tcPr>
          <w:p>
            <w:pPr>
              <w:spacing w:line="360" w:lineRule="auto"/>
              <w:rPr>
                <w:rFonts w:hint="eastAsia" w:ascii="宋体" w:hAnsi="宋体" w:cs="宋体"/>
                <w:color w:val="000000"/>
                <w:szCs w:val="21"/>
                <w:lang w:eastAsia="zh-CN"/>
              </w:rPr>
            </w:pPr>
            <w:r>
              <w:rPr>
                <w:rFonts w:hint="eastAsia" w:ascii="宋体" w:hAnsi="宋体" w:cs="宋体"/>
                <w:color w:val="000000"/>
                <w:szCs w:val="21"/>
                <w:lang w:eastAsia="zh-CN"/>
              </w:rPr>
              <w:t>提供</w:t>
            </w:r>
            <w:r>
              <w:rPr>
                <w:rFonts w:hint="eastAsia" w:ascii="宋体" w:hAnsi="宋体" w:cs="宋体"/>
                <w:color w:val="000000"/>
                <w:szCs w:val="21"/>
              </w:rPr>
              <w:t>管理制度</w:t>
            </w:r>
            <w:r>
              <w:rPr>
                <w:rFonts w:hint="eastAsia" w:ascii="宋体" w:hAnsi="宋体" w:cs="宋体"/>
                <w:color w:val="000000"/>
                <w:szCs w:val="21"/>
                <w:lang w:eastAsia="zh-CN"/>
              </w:rPr>
              <w:t>，包括以下内容：</w:t>
            </w:r>
          </w:p>
          <w:p>
            <w:pPr>
              <w:numPr>
                <w:ilvl w:val="0"/>
                <w:numId w:val="6"/>
              </w:numPr>
              <w:spacing w:line="360" w:lineRule="auto"/>
              <w:rPr>
                <w:rFonts w:hint="eastAsia" w:ascii="宋体" w:hAnsi="宋体" w:cs="宋体"/>
                <w:color w:val="000000"/>
                <w:szCs w:val="21"/>
              </w:rPr>
            </w:pPr>
            <w:r>
              <w:rPr>
                <w:rFonts w:hint="eastAsia" w:ascii="宋体" w:hAnsi="宋体" w:cs="宋体"/>
                <w:color w:val="000000"/>
                <w:szCs w:val="21"/>
              </w:rPr>
              <w:t>管理守则</w:t>
            </w:r>
            <w:r>
              <w:rPr>
                <w:rFonts w:hint="eastAsia" w:ascii="宋体" w:hAnsi="宋体" w:cs="宋体"/>
                <w:color w:val="000000"/>
                <w:szCs w:val="21"/>
                <w:lang w:val="en-US" w:eastAsia="zh-CN"/>
              </w:rPr>
              <w:t>(1分)；</w:t>
            </w:r>
          </w:p>
          <w:p>
            <w:pPr>
              <w:numPr>
                <w:ilvl w:val="0"/>
                <w:numId w:val="6"/>
              </w:numPr>
              <w:spacing w:line="360" w:lineRule="auto"/>
              <w:rPr>
                <w:rFonts w:hint="eastAsia"/>
              </w:rPr>
            </w:pPr>
            <w:r>
              <w:rPr>
                <w:rFonts w:hint="eastAsia" w:ascii="宋体" w:hAnsi="宋体" w:cs="宋体"/>
                <w:color w:val="000000"/>
                <w:szCs w:val="21"/>
              </w:rPr>
              <w:t>岗位职责</w:t>
            </w:r>
            <w:r>
              <w:rPr>
                <w:rFonts w:hint="eastAsia" w:ascii="宋体" w:hAnsi="宋体" w:cs="宋体"/>
                <w:color w:val="000000"/>
                <w:szCs w:val="21"/>
                <w:lang w:val="en-US" w:eastAsia="zh-CN"/>
              </w:rPr>
              <w:t>(1分)；</w:t>
            </w:r>
          </w:p>
          <w:p>
            <w:pPr>
              <w:numPr>
                <w:ilvl w:val="0"/>
                <w:numId w:val="6"/>
              </w:numPr>
              <w:spacing w:line="360" w:lineRule="auto"/>
              <w:rPr>
                <w:rFonts w:hint="eastAsia"/>
              </w:rPr>
            </w:pPr>
            <w:r>
              <w:rPr>
                <w:rFonts w:hint="eastAsia" w:ascii="宋体" w:hAnsi="宋体" w:cs="宋体"/>
                <w:color w:val="000000"/>
                <w:szCs w:val="21"/>
              </w:rPr>
              <w:t>安全管理制度</w:t>
            </w:r>
            <w:r>
              <w:rPr>
                <w:rFonts w:hint="eastAsia" w:ascii="宋体" w:hAnsi="宋体" w:cs="宋体"/>
                <w:color w:val="000000"/>
                <w:szCs w:val="21"/>
                <w:lang w:val="en-US" w:eastAsia="zh-CN"/>
              </w:rPr>
              <w:t>(1分)；</w:t>
            </w:r>
          </w:p>
          <w:p>
            <w:pPr>
              <w:numPr>
                <w:ilvl w:val="0"/>
                <w:numId w:val="6"/>
              </w:numPr>
              <w:spacing w:line="360" w:lineRule="auto"/>
              <w:rPr>
                <w:rFonts w:hint="eastAsia"/>
              </w:rPr>
            </w:pPr>
            <w:r>
              <w:rPr>
                <w:rFonts w:hint="eastAsia" w:ascii="宋体" w:hAnsi="宋体" w:cs="宋体"/>
                <w:color w:val="000000"/>
                <w:szCs w:val="21"/>
              </w:rPr>
              <w:t>文明管理制度</w:t>
            </w:r>
            <w:r>
              <w:rPr>
                <w:rFonts w:hint="eastAsia" w:ascii="宋体" w:hAnsi="宋体" w:cs="宋体"/>
                <w:color w:val="000000"/>
                <w:szCs w:val="21"/>
                <w:lang w:val="en-US" w:eastAsia="zh-CN"/>
              </w:rPr>
              <w:t>(1分)；</w:t>
            </w:r>
          </w:p>
          <w:p>
            <w:pPr>
              <w:numPr>
                <w:ilvl w:val="0"/>
                <w:numId w:val="6"/>
              </w:numPr>
              <w:spacing w:line="360" w:lineRule="auto"/>
              <w:rPr>
                <w:rFonts w:hint="eastAsia"/>
              </w:rPr>
            </w:pPr>
            <w:r>
              <w:rPr>
                <w:rFonts w:hint="eastAsia" w:ascii="宋体" w:hAnsi="宋体" w:cs="宋体"/>
                <w:color w:val="000000"/>
                <w:szCs w:val="21"/>
              </w:rPr>
              <w:t>考核制度</w:t>
            </w:r>
            <w:r>
              <w:rPr>
                <w:rFonts w:hint="eastAsia" w:ascii="宋体" w:hAnsi="宋体" w:cs="宋体"/>
                <w:color w:val="000000"/>
                <w:szCs w:val="21"/>
                <w:lang w:val="en-US" w:eastAsia="zh-CN"/>
              </w:rPr>
              <w:t>(1分)；</w:t>
            </w:r>
          </w:p>
          <w:p>
            <w:pPr>
              <w:numPr>
                <w:ilvl w:val="0"/>
                <w:numId w:val="6"/>
              </w:numPr>
              <w:spacing w:line="360" w:lineRule="auto"/>
              <w:rPr>
                <w:rFonts w:hint="eastAsia"/>
              </w:rPr>
            </w:pPr>
            <w:r>
              <w:rPr>
                <w:rFonts w:hint="eastAsia" w:ascii="宋体" w:hAnsi="宋体" w:cs="宋体"/>
                <w:color w:val="000000"/>
                <w:szCs w:val="21"/>
              </w:rPr>
              <w:t>员工培训</w:t>
            </w:r>
            <w:r>
              <w:rPr>
                <w:rFonts w:hint="eastAsia" w:ascii="宋体" w:hAnsi="宋体" w:cs="宋体"/>
                <w:color w:val="000000"/>
                <w:szCs w:val="21"/>
                <w:lang w:val="en-US" w:eastAsia="zh-CN"/>
              </w:rPr>
              <w:t>(1分)。</w:t>
            </w:r>
          </w:p>
          <w:p>
            <w:pPr>
              <w:numPr>
                <w:ilvl w:val="0"/>
                <w:numId w:val="0"/>
              </w:numPr>
              <w:spacing w:line="360" w:lineRule="auto"/>
              <w:rPr>
                <w:rFonts w:hint="eastAsia"/>
              </w:rPr>
            </w:pPr>
            <w:r>
              <w:rPr>
                <w:rFonts w:hint="eastAsia"/>
              </w:rPr>
              <w:t>评审标准如下：</w:t>
            </w:r>
          </w:p>
          <w:p>
            <w:pPr>
              <w:spacing w:line="360" w:lineRule="auto"/>
              <w:rPr>
                <w:rFonts w:hint="eastAsia"/>
              </w:rPr>
            </w:pPr>
            <w:r>
              <w:rPr>
                <w:rFonts w:hint="eastAsia"/>
              </w:rPr>
              <w:t>①针对每一点内容阐述，满足采购实施要求得满分</w:t>
            </w:r>
            <w:r>
              <w:rPr>
                <w:rFonts w:hint="eastAsia"/>
                <w:lang w:val="en-US" w:eastAsia="zh-CN"/>
              </w:rPr>
              <w:t>1</w:t>
            </w:r>
            <w:r>
              <w:rPr>
                <w:rFonts w:hint="eastAsia"/>
              </w:rPr>
              <w:t>分；</w:t>
            </w:r>
          </w:p>
          <w:p>
            <w:pPr>
              <w:spacing w:line="360" w:lineRule="auto"/>
              <w:rPr>
                <w:rFonts w:hint="eastAsia"/>
              </w:rPr>
            </w:pPr>
            <w:r>
              <w:rPr>
                <w:rFonts w:hint="eastAsia"/>
              </w:rPr>
              <w:t>②针对每一点提供的阐述有欠缺得</w:t>
            </w:r>
            <w:r>
              <w:rPr>
                <w:rFonts w:hint="eastAsia"/>
                <w:lang w:val="en-US" w:eastAsia="zh-CN"/>
              </w:rPr>
              <w:t>0.5</w:t>
            </w:r>
            <w:r>
              <w:rPr>
                <w:rFonts w:hint="eastAsia"/>
              </w:rPr>
              <w:t>分</w:t>
            </w:r>
          </w:p>
          <w:p>
            <w:pPr>
              <w:spacing w:line="360" w:lineRule="auto"/>
              <w:rPr>
                <w:rFonts w:hint="eastAsia" w:ascii="宋体" w:hAnsi="宋体" w:cs="宋体"/>
                <w:color w:val="000000"/>
                <w:szCs w:val="21"/>
              </w:rPr>
            </w:pPr>
            <w:r>
              <w:rPr>
                <w:rFonts w:hint="eastAsia"/>
              </w:rPr>
              <w:t>③无对应内容或与本项目无关则对应点不得分。</w:t>
            </w:r>
          </w:p>
        </w:tc>
        <w:tc>
          <w:tcPr>
            <w:tcW w:w="1065" w:type="dxa"/>
            <w:vAlign w:val="center"/>
          </w:tcPr>
          <w:p>
            <w:pPr>
              <w:pStyle w:val="615"/>
              <w:spacing w:before="164" w:line="360" w:lineRule="auto"/>
              <w:rPr>
                <w:rFonts w:hint="eastAsia"/>
                <w:color w:val="000000"/>
                <w:szCs w:val="21"/>
              </w:rPr>
            </w:pPr>
            <w:r>
              <w:rPr>
                <w:rFonts w:hint="eastAsia"/>
                <w:color w:val="000000"/>
                <w:szCs w:val="21"/>
              </w:rPr>
              <w:t>0～</w:t>
            </w:r>
            <w:r>
              <w:rPr>
                <w:rFonts w:hint="eastAsia"/>
                <w:color w:val="000000"/>
                <w:szCs w:val="21"/>
                <w:lang w:val="en-US"/>
              </w:rPr>
              <w:t>6</w:t>
            </w:r>
            <w:r>
              <w:rPr>
                <w:rFonts w:hint="eastAsia"/>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1730"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作业机构</w:t>
            </w:r>
          </w:p>
        </w:tc>
        <w:tc>
          <w:tcPr>
            <w:tcW w:w="6105" w:type="dxa"/>
            <w:vAlign w:val="center"/>
          </w:tcPr>
          <w:p>
            <w:pPr>
              <w:spacing w:line="360" w:lineRule="auto"/>
              <w:rPr>
                <w:rFonts w:hint="eastAsia" w:ascii="Times New Roman" w:hAnsi="Times New Roman" w:cs="Times New Roman"/>
              </w:rPr>
            </w:pPr>
            <w:r>
              <w:rPr>
                <w:rFonts w:hint="eastAsia" w:ascii="宋体" w:hAnsi="宋体" w:cs="宋体"/>
                <w:color w:val="000000"/>
                <w:szCs w:val="21"/>
                <w:lang w:eastAsia="zh-CN"/>
              </w:rPr>
              <w:t>提供</w:t>
            </w:r>
            <w:r>
              <w:rPr>
                <w:rFonts w:hint="eastAsia" w:ascii="宋体" w:hAnsi="宋体" w:cs="宋体"/>
                <w:color w:val="000000"/>
                <w:szCs w:val="21"/>
              </w:rPr>
              <w:t>作业机构</w:t>
            </w:r>
            <w:r>
              <w:rPr>
                <w:rFonts w:hint="eastAsia" w:ascii="宋体" w:hAnsi="宋体" w:cs="宋体"/>
                <w:color w:val="000000"/>
                <w:szCs w:val="21"/>
                <w:lang w:eastAsia="zh-CN"/>
              </w:rPr>
              <w:t>，包括以下内容：</w:t>
            </w:r>
          </w:p>
          <w:p>
            <w:pPr>
              <w:numPr>
                <w:ilvl w:val="0"/>
                <w:numId w:val="7"/>
              </w:numPr>
              <w:spacing w:line="360" w:lineRule="auto"/>
              <w:rPr>
                <w:rFonts w:hint="eastAsia" w:ascii="Times New Roman" w:hAnsi="Times New Roman" w:cs="Times New Roman"/>
              </w:rPr>
            </w:pPr>
            <w:r>
              <w:rPr>
                <w:rFonts w:hint="eastAsia" w:ascii="Times New Roman" w:hAnsi="Times New Roman" w:cs="Times New Roman"/>
              </w:rPr>
              <w:t>作业机构分组</w:t>
            </w:r>
            <w:r>
              <w:rPr>
                <w:rFonts w:hint="eastAsia" w:ascii="宋体" w:hAnsi="宋体" w:cs="宋体"/>
                <w:color w:val="000000"/>
                <w:szCs w:val="21"/>
                <w:lang w:val="en-US" w:eastAsia="zh-CN"/>
              </w:rPr>
              <w:t>(2分)</w:t>
            </w:r>
            <w:r>
              <w:rPr>
                <w:rFonts w:hint="eastAsia" w:ascii="宋体" w:hAnsi="宋体" w:cs="宋体"/>
                <w:color w:val="000000"/>
                <w:szCs w:val="21"/>
                <w:lang w:eastAsia="zh-CN"/>
              </w:rPr>
              <w:t>；</w:t>
            </w:r>
          </w:p>
          <w:p>
            <w:pPr>
              <w:numPr>
                <w:ilvl w:val="0"/>
                <w:numId w:val="7"/>
              </w:numPr>
              <w:spacing w:line="360" w:lineRule="auto"/>
              <w:rPr>
                <w:rFonts w:hint="eastAsia" w:ascii="Times New Roman" w:hAnsi="Times New Roman" w:cs="Times New Roman"/>
              </w:rPr>
            </w:pPr>
            <w:r>
              <w:rPr>
                <w:rFonts w:hint="eastAsia" w:ascii="Times New Roman" w:hAnsi="Times New Roman" w:cs="Times New Roman"/>
              </w:rPr>
              <w:t>班组作业内容</w:t>
            </w:r>
            <w:r>
              <w:rPr>
                <w:rFonts w:hint="eastAsia" w:ascii="宋体" w:hAnsi="宋体" w:cs="宋体"/>
                <w:color w:val="000000"/>
                <w:szCs w:val="21"/>
                <w:lang w:val="en-US" w:eastAsia="zh-CN"/>
              </w:rPr>
              <w:t>(2分)。</w:t>
            </w:r>
          </w:p>
          <w:p>
            <w:pPr>
              <w:spacing w:line="360" w:lineRule="auto"/>
              <w:rPr>
                <w:rFonts w:hint="eastAsia" w:ascii="Times New Roman" w:hAnsi="Times New Roman" w:cs="Times New Roman"/>
              </w:rPr>
            </w:pPr>
            <w:r>
              <w:rPr>
                <w:rFonts w:hint="eastAsia" w:ascii="Times New Roman" w:hAnsi="Times New Roman" w:cs="Times New Roman"/>
              </w:rPr>
              <w:t>评审标准如下：</w:t>
            </w:r>
          </w:p>
          <w:p>
            <w:pPr>
              <w:spacing w:line="360" w:lineRule="auto"/>
              <w:rPr>
                <w:rFonts w:hint="eastAsia" w:ascii="Times New Roman" w:hAnsi="Times New Roman" w:cs="Times New Roman"/>
              </w:rPr>
            </w:pPr>
            <w:r>
              <w:rPr>
                <w:rFonts w:hint="eastAsia" w:ascii="Times New Roman" w:hAnsi="Times New Roman" w:cs="Times New Roman"/>
              </w:rPr>
              <w:t>①内容完整，具有针对性得</w:t>
            </w:r>
            <w:r>
              <w:rPr>
                <w:rFonts w:hint="eastAsia" w:cs="Times New Roman"/>
                <w:lang w:val="en-US" w:eastAsia="zh-CN"/>
              </w:rPr>
              <w:t>2</w:t>
            </w:r>
            <w:r>
              <w:rPr>
                <w:rFonts w:hint="eastAsia" w:ascii="Times New Roman" w:hAnsi="Times New Roman" w:cs="Times New Roman"/>
              </w:rPr>
              <w:t>分；</w:t>
            </w:r>
            <w:r>
              <w:rPr>
                <w:rFonts w:hint="eastAsia" w:ascii="Times New Roman" w:hAnsi="Times New Roman" w:cs="Times New Roman"/>
              </w:rPr>
              <w:br w:type="textWrapping"/>
            </w:r>
            <w:r>
              <w:rPr>
                <w:rFonts w:hint="eastAsia" w:ascii="Times New Roman" w:hAnsi="Times New Roman" w:cs="Times New Roman"/>
              </w:rPr>
              <w:t>②内容存在欠缺得</w:t>
            </w:r>
            <w:r>
              <w:rPr>
                <w:rFonts w:hint="eastAsia" w:cs="Times New Roman"/>
                <w:lang w:val="en-US" w:eastAsia="zh-CN"/>
              </w:rPr>
              <w:t>1</w:t>
            </w:r>
            <w:r>
              <w:rPr>
                <w:rFonts w:hint="eastAsia" w:ascii="Times New Roman" w:hAnsi="Times New Roman" w:cs="Times New Roman"/>
              </w:rPr>
              <w:t>分；</w:t>
            </w:r>
            <w:r>
              <w:rPr>
                <w:rFonts w:hint="eastAsia" w:ascii="Times New Roman" w:hAnsi="Times New Roman" w:cs="Times New Roman"/>
              </w:rPr>
              <w:br w:type="textWrapping"/>
            </w:r>
            <w:r>
              <w:rPr>
                <w:rFonts w:hint="eastAsia" w:ascii="Times New Roman" w:hAnsi="Times New Roman" w:cs="Times New Roman"/>
              </w:rPr>
              <w:t>③无此内容或与本项目无关的内容不得分。</w:t>
            </w:r>
          </w:p>
        </w:tc>
        <w:tc>
          <w:tcPr>
            <w:tcW w:w="1065" w:type="dxa"/>
            <w:vAlign w:val="center"/>
          </w:tcPr>
          <w:p>
            <w:pPr>
              <w:pStyle w:val="615"/>
              <w:spacing w:before="166" w:line="360" w:lineRule="auto"/>
              <w:rPr>
                <w:rFonts w:hint="eastAsia"/>
                <w:color w:val="000000"/>
                <w:szCs w:val="21"/>
              </w:rPr>
            </w:pPr>
            <w:r>
              <w:rPr>
                <w:rFonts w:hint="eastAsia"/>
                <w:color w:val="000000"/>
                <w:szCs w:val="21"/>
              </w:rPr>
              <w:t>0～</w:t>
            </w:r>
            <w:r>
              <w:rPr>
                <w:rFonts w:hint="eastAsia"/>
                <w:color w:val="000000"/>
                <w:szCs w:val="21"/>
                <w:lang w:val="en-US" w:eastAsia="zh-CN"/>
              </w:rPr>
              <w:t>4</w:t>
            </w:r>
            <w:r>
              <w:rPr>
                <w:rFonts w:hint="eastAsia"/>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7</w:t>
            </w:r>
          </w:p>
        </w:tc>
        <w:tc>
          <w:tcPr>
            <w:tcW w:w="1730"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作业方案</w:t>
            </w:r>
          </w:p>
        </w:tc>
        <w:tc>
          <w:tcPr>
            <w:tcW w:w="6105" w:type="dxa"/>
            <w:vAlign w:val="center"/>
          </w:tcPr>
          <w:p>
            <w:pPr>
              <w:spacing w:line="360" w:lineRule="auto"/>
              <w:rPr>
                <w:rFonts w:hint="eastAsia" w:ascii="Times New Roman" w:hAnsi="Times New Roman" w:cs="Times New Roman"/>
              </w:rPr>
            </w:pPr>
            <w:r>
              <w:rPr>
                <w:rFonts w:hint="eastAsia" w:ascii="宋体" w:hAnsi="宋体" w:cs="宋体"/>
                <w:color w:val="000000"/>
                <w:szCs w:val="21"/>
                <w:lang w:eastAsia="zh-CN"/>
              </w:rPr>
              <w:t>提供</w:t>
            </w:r>
            <w:r>
              <w:rPr>
                <w:rFonts w:hint="eastAsia" w:ascii="宋体" w:hAnsi="宋体" w:cs="宋体"/>
                <w:color w:val="000000"/>
                <w:szCs w:val="21"/>
              </w:rPr>
              <w:t>作业方案</w:t>
            </w:r>
            <w:r>
              <w:rPr>
                <w:rFonts w:hint="eastAsia" w:ascii="宋体" w:hAnsi="宋体" w:cs="宋体"/>
                <w:color w:val="000000"/>
                <w:szCs w:val="21"/>
                <w:lang w:eastAsia="zh-CN"/>
              </w:rPr>
              <w:t>，包括以下内容：</w:t>
            </w:r>
          </w:p>
          <w:p>
            <w:pPr>
              <w:numPr>
                <w:ilvl w:val="0"/>
                <w:numId w:val="8"/>
              </w:numPr>
              <w:spacing w:line="360" w:lineRule="auto"/>
              <w:rPr>
                <w:rFonts w:hint="eastAsia" w:ascii="Times New Roman" w:hAnsi="Times New Roman" w:cs="Times New Roman"/>
              </w:rPr>
            </w:pPr>
            <w:r>
              <w:rPr>
                <w:rFonts w:hint="eastAsia" w:ascii="Times New Roman" w:hAnsi="Times New Roman" w:cs="Times New Roman"/>
              </w:rPr>
              <w:t>作业方案</w:t>
            </w:r>
            <w:r>
              <w:rPr>
                <w:rFonts w:hint="eastAsia" w:ascii="宋体" w:hAnsi="宋体" w:cs="宋体"/>
                <w:color w:val="000000"/>
                <w:szCs w:val="21"/>
                <w:lang w:val="en-US" w:eastAsia="zh-CN"/>
              </w:rPr>
              <w:t>(1分)；</w:t>
            </w:r>
          </w:p>
          <w:p>
            <w:pPr>
              <w:numPr>
                <w:ilvl w:val="0"/>
                <w:numId w:val="8"/>
              </w:numPr>
              <w:spacing w:line="360" w:lineRule="auto"/>
              <w:rPr>
                <w:rFonts w:hint="eastAsia" w:ascii="Times New Roman" w:hAnsi="Times New Roman" w:cs="Times New Roman"/>
              </w:rPr>
            </w:pPr>
            <w:r>
              <w:rPr>
                <w:rFonts w:hint="eastAsia" w:ascii="Times New Roman" w:hAnsi="Times New Roman" w:cs="Times New Roman"/>
              </w:rPr>
              <w:t>作业时间</w:t>
            </w:r>
            <w:r>
              <w:rPr>
                <w:rFonts w:hint="eastAsia" w:ascii="宋体" w:hAnsi="宋体" w:cs="宋体"/>
                <w:color w:val="000000"/>
                <w:szCs w:val="21"/>
                <w:lang w:val="en-US" w:eastAsia="zh-CN"/>
              </w:rPr>
              <w:t>(1分)；</w:t>
            </w:r>
          </w:p>
          <w:p>
            <w:pPr>
              <w:numPr>
                <w:ilvl w:val="0"/>
                <w:numId w:val="8"/>
              </w:numPr>
              <w:spacing w:line="360" w:lineRule="auto"/>
              <w:rPr>
                <w:rFonts w:hint="eastAsia" w:ascii="Times New Roman" w:hAnsi="Times New Roman" w:cs="Times New Roman"/>
              </w:rPr>
            </w:pPr>
            <w:r>
              <w:rPr>
                <w:rFonts w:hint="eastAsia" w:ascii="Times New Roman" w:hAnsi="Times New Roman" w:cs="Times New Roman"/>
              </w:rPr>
              <w:t>作业标准</w:t>
            </w:r>
            <w:r>
              <w:rPr>
                <w:rFonts w:hint="eastAsia" w:ascii="宋体" w:hAnsi="宋体" w:cs="宋体"/>
                <w:color w:val="000000"/>
                <w:szCs w:val="21"/>
                <w:lang w:val="en-US" w:eastAsia="zh-CN"/>
              </w:rPr>
              <w:t>(1分)；</w:t>
            </w:r>
          </w:p>
          <w:p>
            <w:pPr>
              <w:numPr>
                <w:ilvl w:val="0"/>
                <w:numId w:val="8"/>
              </w:numPr>
              <w:spacing w:line="360" w:lineRule="auto"/>
              <w:rPr>
                <w:rFonts w:hint="eastAsia" w:ascii="Times New Roman" w:hAnsi="Times New Roman" w:cs="Times New Roman"/>
              </w:rPr>
            </w:pPr>
            <w:r>
              <w:rPr>
                <w:rFonts w:hint="eastAsia" w:ascii="Times New Roman" w:hAnsi="Times New Roman" w:cs="Times New Roman"/>
              </w:rPr>
              <w:t>工作流程</w:t>
            </w:r>
            <w:r>
              <w:rPr>
                <w:rFonts w:hint="eastAsia" w:ascii="宋体" w:hAnsi="宋体" w:cs="宋体"/>
                <w:color w:val="000000"/>
                <w:szCs w:val="21"/>
                <w:lang w:val="en-US" w:eastAsia="zh-CN"/>
              </w:rPr>
              <w:t>(1分)。</w:t>
            </w:r>
          </w:p>
          <w:p>
            <w:pPr>
              <w:spacing w:line="360" w:lineRule="auto"/>
              <w:rPr>
                <w:rFonts w:hint="eastAsia" w:ascii="Times New Roman" w:hAnsi="Times New Roman" w:cs="Times New Roman"/>
              </w:rPr>
            </w:pPr>
            <w:r>
              <w:rPr>
                <w:rFonts w:hint="eastAsia" w:ascii="Times New Roman" w:hAnsi="Times New Roman" w:cs="Times New Roman"/>
              </w:rPr>
              <w:t>评审标准如下：</w:t>
            </w:r>
          </w:p>
          <w:p>
            <w:pPr>
              <w:spacing w:line="360" w:lineRule="auto"/>
              <w:rPr>
                <w:rFonts w:hint="eastAsia" w:ascii="Times New Roman" w:hAnsi="Times New Roman" w:cs="Times New Roman"/>
              </w:rPr>
            </w:pPr>
            <w:r>
              <w:rPr>
                <w:rFonts w:hint="eastAsia" w:ascii="Times New Roman" w:hAnsi="Times New Roman" w:cs="Times New Roman"/>
              </w:rPr>
              <w:t>①方案内容完整，具有针对性得</w:t>
            </w:r>
            <w:r>
              <w:rPr>
                <w:rFonts w:hint="eastAsia" w:cs="Times New Roman"/>
                <w:lang w:val="en-US" w:eastAsia="zh-CN"/>
              </w:rPr>
              <w:t>1</w:t>
            </w:r>
            <w:r>
              <w:rPr>
                <w:rFonts w:hint="eastAsia" w:ascii="Times New Roman" w:hAnsi="Times New Roman" w:cs="Times New Roman"/>
              </w:rPr>
              <w:t>分；</w:t>
            </w:r>
            <w:r>
              <w:rPr>
                <w:rFonts w:hint="eastAsia" w:ascii="Times New Roman" w:hAnsi="Times New Roman" w:cs="Times New Roman"/>
              </w:rPr>
              <w:br w:type="textWrapping"/>
            </w:r>
            <w:r>
              <w:rPr>
                <w:rFonts w:hint="eastAsia" w:ascii="Times New Roman" w:hAnsi="Times New Roman" w:cs="Times New Roman"/>
              </w:rPr>
              <w:t>②方案内容存在欠缺得</w:t>
            </w:r>
            <w:r>
              <w:rPr>
                <w:rFonts w:hint="eastAsia" w:cs="Times New Roman"/>
                <w:lang w:val="en-US" w:eastAsia="zh-CN"/>
              </w:rPr>
              <w:t>0.5</w:t>
            </w:r>
            <w:r>
              <w:rPr>
                <w:rFonts w:hint="eastAsia" w:ascii="Times New Roman" w:hAnsi="Times New Roman" w:cs="Times New Roman"/>
              </w:rPr>
              <w:t>分；</w:t>
            </w:r>
            <w:r>
              <w:rPr>
                <w:rFonts w:hint="eastAsia" w:ascii="Times New Roman" w:hAnsi="Times New Roman" w:cs="Times New Roman"/>
              </w:rPr>
              <w:br w:type="textWrapping"/>
            </w:r>
            <w:r>
              <w:rPr>
                <w:rFonts w:hint="eastAsia" w:ascii="Times New Roman" w:hAnsi="Times New Roman" w:cs="Times New Roman"/>
              </w:rPr>
              <w:t>③无此内容或与本项目无关的内容不得分。</w:t>
            </w:r>
          </w:p>
        </w:tc>
        <w:tc>
          <w:tcPr>
            <w:tcW w:w="1065" w:type="dxa"/>
            <w:vAlign w:val="center"/>
          </w:tcPr>
          <w:p>
            <w:pPr>
              <w:pStyle w:val="615"/>
              <w:spacing w:before="164" w:line="360" w:lineRule="auto"/>
              <w:rPr>
                <w:rFonts w:hint="eastAsia"/>
                <w:color w:val="000000"/>
                <w:szCs w:val="21"/>
              </w:rPr>
            </w:pPr>
            <w:r>
              <w:rPr>
                <w:rFonts w:hint="eastAsia"/>
                <w:color w:val="000000"/>
                <w:szCs w:val="21"/>
              </w:rPr>
              <w:t>0～</w:t>
            </w:r>
            <w:r>
              <w:rPr>
                <w:rFonts w:hint="eastAsia"/>
                <w:color w:val="000000"/>
                <w:szCs w:val="21"/>
                <w:lang w:val="en-US" w:eastAsia="zh-CN"/>
              </w:rPr>
              <w:t>4</w:t>
            </w:r>
            <w:r>
              <w:rPr>
                <w:rFonts w:hint="eastAsia"/>
                <w:color w:val="000000"/>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8</w:t>
            </w:r>
          </w:p>
        </w:tc>
        <w:tc>
          <w:tcPr>
            <w:tcW w:w="1730"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规范和标准</w:t>
            </w:r>
          </w:p>
        </w:tc>
        <w:tc>
          <w:tcPr>
            <w:tcW w:w="6105" w:type="dxa"/>
            <w:vAlign w:val="center"/>
          </w:tcPr>
          <w:p>
            <w:pPr>
              <w:spacing w:line="360" w:lineRule="auto"/>
            </w:pPr>
            <w:r>
              <w:rPr>
                <w:rFonts w:hint="eastAsia" w:ascii="宋体" w:hAnsi="宋体" w:cs="宋体"/>
                <w:color w:val="000000"/>
                <w:szCs w:val="21"/>
                <w:lang w:eastAsia="zh-CN"/>
              </w:rPr>
              <w:t>提供</w:t>
            </w:r>
            <w:r>
              <w:rPr>
                <w:rFonts w:hint="eastAsia" w:ascii="宋体" w:hAnsi="宋体" w:cs="宋体"/>
                <w:color w:val="000000"/>
                <w:szCs w:val="21"/>
              </w:rPr>
              <w:t>规范和标准</w:t>
            </w:r>
            <w:r>
              <w:rPr>
                <w:rFonts w:hint="eastAsia" w:ascii="宋体" w:hAnsi="宋体" w:cs="宋体"/>
                <w:color w:val="000000"/>
                <w:szCs w:val="21"/>
                <w:lang w:eastAsia="zh-CN"/>
              </w:rPr>
              <w:t>，包括以下内容：</w:t>
            </w:r>
          </w:p>
          <w:p>
            <w:pPr>
              <w:numPr>
                <w:ilvl w:val="0"/>
                <w:numId w:val="9"/>
              </w:numPr>
              <w:spacing w:line="360" w:lineRule="auto"/>
              <w:rPr>
                <w:rFonts w:hint="eastAsia"/>
              </w:rPr>
            </w:pPr>
            <w:r>
              <w:rPr>
                <w:rFonts w:hint="eastAsia"/>
              </w:rPr>
              <w:t>人员</w:t>
            </w:r>
            <w:r>
              <w:rPr>
                <w:rFonts w:hint="eastAsia" w:ascii="宋体" w:hAnsi="宋体" w:cs="宋体"/>
                <w:color w:val="000000"/>
                <w:szCs w:val="21"/>
              </w:rPr>
              <w:t>规范和标准</w:t>
            </w:r>
            <w:r>
              <w:rPr>
                <w:rFonts w:hint="eastAsia" w:ascii="宋体" w:hAnsi="宋体" w:cs="宋体"/>
                <w:color w:val="000000"/>
                <w:szCs w:val="21"/>
                <w:lang w:val="en-US" w:eastAsia="zh-CN"/>
              </w:rPr>
              <w:t>(2分)</w:t>
            </w:r>
            <w:r>
              <w:rPr>
                <w:rFonts w:hint="eastAsia" w:ascii="宋体" w:hAnsi="宋体" w:cs="宋体"/>
                <w:color w:val="000000"/>
                <w:szCs w:val="21"/>
                <w:lang w:eastAsia="zh-CN"/>
              </w:rPr>
              <w:t>；</w:t>
            </w:r>
          </w:p>
          <w:p>
            <w:pPr>
              <w:numPr>
                <w:ilvl w:val="0"/>
                <w:numId w:val="9"/>
              </w:numPr>
              <w:spacing w:line="360" w:lineRule="auto"/>
              <w:rPr>
                <w:rFonts w:hint="eastAsia"/>
              </w:rPr>
            </w:pPr>
            <w:r>
              <w:rPr>
                <w:rFonts w:hint="eastAsia"/>
              </w:rPr>
              <w:t>车辆设备</w:t>
            </w:r>
            <w:r>
              <w:rPr>
                <w:rFonts w:hint="eastAsia" w:ascii="宋体" w:hAnsi="宋体" w:cs="宋体"/>
                <w:color w:val="000000"/>
                <w:szCs w:val="21"/>
              </w:rPr>
              <w:t>规范和标准</w:t>
            </w:r>
            <w:r>
              <w:rPr>
                <w:rFonts w:hint="eastAsia" w:ascii="宋体" w:hAnsi="宋体" w:cs="宋体"/>
                <w:color w:val="000000"/>
                <w:szCs w:val="21"/>
                <w:lang w:val="en-US" w:eastAsia="zh-CN"/>
              </w:rPr>
              <w:t>(2分)</w:t>
            </w:r>
            <w:r>
              <w:rPr>
                <w:rFonts w:hint="eastAsia" w:ascii="宋体" w:hAnsi="宋体" w:cs="宋体"/>
                <w:color w:val="000000"/>
                <w:szCs w:val="21"/>
                <w:lang w:eastAsia="zh-CN"/>
              </w:rPr>
              <w:t>；</w:t>
            </w:r>
          </w:p>
          <w:p>
            <w:pPr>
              <w:numPr>
                <w:ilvl w:val="0"/>
                <w:numId w:val="9"/>
              </w:numPr>
              <w:spacing w:line="360" w:lineRule="auto"/>
              <w:rPr>
                <w:rFonts w:hint="eastAsia"/>
              </w:rPr>
            </w:pPr>
            <w:r>
              <w:rPr>
                <w:rFonts w:hint="eastAsia"/>
              </w:rPr>
              <w:t>作业流程规范和标准</w:t>
            </w:r>
            <w:r>
              <w:rPr>
                <w:rFonts w:hint="eastAsia" w:ascii="宋体" w:hAnsi="宋体" w:cs="宋体"/>
                <w:color w:val="000000"/>
                <w:szCs w:val="21"/>
                <w:lang w:val="en-US" w:eastAsia="zh-CN"/>
              </w:rPr>
              <w:t>(2分)</w:t>
            </w:r>
            <w:r>
              <w:rPr>
                <w:rFonts w:hint="eastAsia" w:ascii="宋体" w:hAnsi="宋体" w:cs="宋体"/>
                <w:color w:val="000000"/>
                <w:szCs w:val="21"/>
                <w:lang w:eastAsia="zh-CN"/>
              </w:rPr>
              <w:t>。</w:t>
            </w:r>
          </w:p>
          <w:p>
            <w:pPr>
              <w:spacing w:line="360" w:lineRule="auto"/>
              <w:rPr>
                <w:rFonts w:hint="eastAsia" w:ascii="Times New Roman" w:hAnsi="Times New Roman" w:cs="Times New Roman"/>
              </w:rPr>
            </w:pPr>
            <w:r>
              <w:rPr>
                <w:rFonts w:hint="eastAsia" w:ascii="Times New Roman" w:hAnsi="Times New Roman" w:cs="Times New Roman"/>
              </w:rPr>
              <w:t>评审标准如下：</w:t>
            </w:r>
          </w:p>
          <w:p>
            <w:pPr>
              <w:spacing w:line="360" w:lineRule="auto"/>
              <w:rPr>
                <w:rFonts w:hint="eastAsia" w:ascii="Times New Roman" w:hAnsi="Times New Roman" w:cs="Times New Roman"/>
              </w:rPr>
            </w:pPr>
            <w:r>
              <w:rPr>
                <w:rFonts w:hint="eastAsia" w:ascii="Times New Roman" w:hAnsi="Times New Roman" w:cs="Times New Roman"/>
              </w:rPr>
              <w:t>①针对每一点内容阐述，满足采购实施要求得满分</w:t>
            </w:r>
            <w:r>
              <w:rPr>
                <w:rFonts w:hint="eastAsia" w:cs="Times New Roman"/>
                <w:lang w:val="en-US" w:eastAsia="zh-CN"/>
              </w:rPr>
              <w:t>2</w:t>
            </w:r>
            <w:r>
              <w:rPr>
                <w:rFonts w:hint="eastAsia" w:ascii="Times New Roman" w:hAnsi="Times New Roman" w:cs="Times New Roman"/>
              </w:rPr>
              <w:t>分；</w:t>
            </w:r>
          </w:p>
          <w:p>
            <w:pPr>
              <w:spacing w:line="360" w:lineRule="auto"/>
              <w:rPr>
                <w:rFonts w:hint="eastAsia" w:ascii="Times New Roman" w:hAnsi="Times New Roman" w:cs="Times New Roman"/>
              </w:rPr>
            </w:pPr>
            <w:r>
              <w:rPr>
                <w:rFonts w:hint="eastAsia" w:ascii="Times New Roman" w:hAnsi="Times New Roman" w:cs="Times New Roman"/>
              </w:rPr>
              <w:t>②针对每一点阐述有欠缺得</w:t>
            </w:r>
            <w:r>
              <w:rPr>
                <w:rFonts w:hint="eastAsia" w:cs="Times New Roman"/>
                <w:lang w:val="en-US" w:eastAsia="zh-CN"/>
              </w:rPr>
              <w:t>1</w:t>
            </w:r>
            <w:r>
              <w:rPr>
                <w:rFonts w:hint="eastAsia" w:ascii="Times New Roman" w:hAnsi="Times New Roman" w:cs="Times New Roman"/>
              </w:rPr>
              <w:t>分</w:t>
            </w:r>
          </w:p>
          <w:p>
            <w:pPr>
              <w:spacing w:line="360" w:lineRule="auto"/>
              <w:rPr>
                <w:rFonts w:hint="eastAsia"/>
              </w:rPr>
            </w:pPr>
            <w:r>
              <w:rPr>
                <w:rFonts w:hint="eastAsia" w:ascii="Times New Roman" w:hAnsi="Times New Roman" w:cs="Times New Roman"/>
              </w:rPr>
              <w:t>③无对应内容或与本项目无关则对应点不得分。</w:t>
            </w:r>
          </w:p>
        </w:tc>
        <w:tc>
          <w:tcPr>
            <w:tcW w:w="1065" w:type="dxa"/>
            <w:vAlign w:val="center"/>
          </w:tcPr>
          <w:p>
            <w:pPr>
              <w:pStyle w:val="615"/>
              <w:spacing w:before="164" w:line="360" w:lineRule="auto"/>
              <w:rPr>
                <w:rFonts w:hint="eastAsia"/>
                <w:color w:val="000000"/>
                <w:szCs w:val="21"/>
              </w:rPr>
            </w:pPr>
            <w:r>
              <w:rPr>
                <w:rFonts w:hint="eastAsia"/>
                <w:color w:val="000000"/>
                <w:szCs w:val="21"/>
              </w:rPr>
              <w:t>0～</w:t>
            </w:r>
            <w:r>
              <w:rPr>
                <w:rFonts w:hint="eastAsia"/>
                <w:color w:val="000000"/>
                <w:szCs w:val="21"/>
                <w:lang w:val="en-US" w:eastAsia="zh-CN"/>
              </w:rPr>
              <w:t>6</w:t>
            </w:r>
            <w:r>
              <w:rPr>
                <w:rFonts w:hint="eastAsia"/>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9</w:t>
            </w:r>
          </w:p>
        </w:tc>
        <w:tc>
          <w:tcPr>
            <w:tcW w:w="1730"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质量保证措施</w:t>
            </w:r>
          </w:p>
        </w:tc>
        <w:tc>
          <w:tcPr>
            <w:tcW w:w="6105" w:type="dxa"/>
            <w:vAlign w:val="center"/>
          </w:tcPr>
          <w:p>
            <w:pPr>
              <w:spacing w:line="360" w:lineRule="auto"/>
              <w:rPr>
                <w:rFonts w:hint="eastAsia" w:ascii="宋体" w:hAnsi="宋体" w:cs="宋体"/>
                <w:color w:val="000000"/>
                <w:szCs w:val="21"/>
              </w:rPr>
            </w:pPr>
            <w:r>
              <w:rPr>
                <w:rFonts w:hint="eastAsia" w:ascii="宋体" w:hAnsi="宋体" w:cs="宋体"/>
                <w:color w:val="000000"/>
                <w:szCs w:val="21"/>
                <w:lang w:eastAsia="zh-CN"/>
              </w:rPr>
              <w:t>提供</w:t>
            </w:r>
            <w:r>
              <w:rPr>
                <w:rFonts w:hint="eastAsia" w:ascii="宋体" w:hAnsi="宋体" w:cs="宋体"/>
                <w:color w:val="000000"/>
                <w:szCs w:val="21"/>
              </w:rPr>
              <w:t>质量保证措施</w:t>
            </w:r>
            <w:r>
              <w:rPr>
                <w:rFonts w:hint="eastAsia" w:ascii="宋体" w:hAnsi="宋体" w:cs="宋体"/>
                <w:color w:val="000000"/>
                <w:szCs w:val="21"/>
                <w:lang w:eastAsia="zh-CN"/>
              </w:rPr>
              <w:t>，包括以下内容：</w:t>
            </w:r>
          </w:p>
          <w:p>
            <w:pPr>
              <w:numPr>
                <w:ilvl w:val="0"/>
                <w:numId w:val="10"/>
              </w:numPr>
              <w:spacing w:line="360" w:lineRule="auto"/>
              <w:rPr>
                <w:rFonts w:hint="eastAsia" w:ascii="宋体" w:hAnsi="宋体" w:cs="宋体"/>
                <w:color w:val="000000"/>
                <w:szCs w:val="21"/>
              </w:rPr>
            </w:pPr>
            <w:r>
              <w:rPr>
                <w:rFonts w:hint="eastAsia" w:ascii="宋体" w:hAnsi="宋体" w:cs="宋体"/>
                <w:color w:val="000000"/>
                <w:szCs w:val="21"/>
              </w:rPr>
              <w:t>质量保证措施</w:t>
            </w:r>
            <w:r>
              <w:rPr>
                <w:rFonts w:hint="eastAsia" w:ascii="宋体" w:hAnsi="宋体" w:cs="宋体"/>
                <w:color w:val="000000"/>
                <w:szCs w:val="21"/>
                <w:lang w:val="en-US" w:eastAsia="zh-CN"/>
              </w:rPr>
              <w:t>(3分)；</w:t>
            </w:r>
          </w:p>
          <w:p>
            <w:pPr>
              <w:numPr>
                <w:ilvl w:val="0"/>
                <w:numId w:val="10"/>
              </w:numPr>
              <w:spacing w:line="360" w:lineRule="auto"/>
              <w:rPr>
                <w:rFonts w:hint="eastAsia"/>
              </w:rPr>
            </w:pPr>
            <w:r>
              <w:rPr>
                <w:rFonts w:hint="eastAsia" w:ascii="宋体" w:hAnsi="宋体" w:cs="宋体"/>
                <w:color w:val="000000"/>
                <w:szCs w:val="21"/>
              </w:rPr>
              <w:t>质量监督和考核是否完善、先进可靠</w:t>
            </w:r>
            <w:r>
              <w:rPr>
                <w:rFonts w:hint="eastAsia" w:ascii="宋体" w:hAnsi="宋体" w:cs="宋体"/>
                <w:color w:val="000000"/>
                <w:szCs w:val="21"/>
                <w:lang w:val="en-US" w:eastAsia="zh-CN"/>
              </w:rPr>
              <w:t>(3分)。</w:t>
            </w:r>
          </w:p>
          <w:p>
            <w:pPr>
              <w:numPr>
                <w:ilvl w:val="0"/>
                <w:numId w:val="0"/>
              </w:numPr>
              <w:spacing w:line="360" w:lineRule="auto"/>
              <w:rPr>
                <w:rFonts w:hint="eastAsia"/>
              </w:rPr>
            </w:pPr>
            <w:r>
              <w:rPr>
                <w:rFonts w:hint="eastAsia"/>
              </w:rPr>
              <w:t>评审标准如下：</w:t>
            </w:r>
          </w:p>
          <w:p>
            <w:pPr>
              <w:spacing w:line="360" w:lineRule="auto"/>
              <w:rPr>
                <w:rFonts w:hint="eastAsia" w:ascii="Times New Roman" w:hAnsi="Times New Roman" w:cs="Times New Roman"/>
              </w:rPr>
            </w:pPr>
            <w:r>
              <w:rPr>
                <w:rFonts w:hint="eastAsia" w:ascii="Times New Roman" w:hAnsi="Times New Roman" w:cs="Times New Roman"/>
              </w:rPr>
              <w:t>①针对每一点内容阐述，满足采购实施要求得满分</w:t>
            </w:r>
            <w:r>
              <w:rPr>
                <w:rFonts w:hint="eastAsia" w:cs="Times New Roman"/>
                <w:lang w:val="en-US" w:eastAsia="zh-CN"/>
              </w:rPr>
              <w:t>3</w:t>
            </w:r>
            <w:r>
              <w:rPr>
                <w:rFonts w:hint="eastAsia" w:ascii="Times New Roman" w:hAnsi="Times New Roman" w:cs="Times New Roman"/>
              </w:rPr>
              <w:t>分；</w:t>
            </w:r>
          </w:p>
          <w:p>
            <w:pPr>
              <w:spacing w:line="360" w:lineRule="auto"/>
              <w:rPr>
                <w:rFonts w:hint="eastAsia" w:ascii="Times New Roman" w:hAnsi="Times New Roman" w:cs="Times New Roman"/>
              </w:rPr>
            </w:pPr>
            <w:r>
              <w:rPr>
                <w:rFonts w:hint="eastAsia" w:ascii="Times New Roman" w:hAnsi="Times New Roman" w:cs="Times New Roman"/>
              </w:rPr>
              <w:t>②针对每一点阐述有欠缺得</w:t>
            </w:r>
            <w:r>
              <w:rPr>
                <w:rFonts w:hint="eastAsia" w:cs="Times New Roman"/>
                <w:lang w:val="en-US" w:eastAsia="zh-CN"/>
              </w:rPr>
              <w:t>1.5</w:t>
            </w:r>
            <w:r>
              <w:rPr>
                <w:rFonts w:hint="eastAsia" w:ascii="Times New Roman" w:hAnsi="Times New Roman" w:cs="Times New Roman"/>
              </w:rPr>
              <w:t>分</w:t>
            </w:r>
          </w:p>
          <w:p>
            <w:pPr>
              <w:spacing w:line="360" w:lineRule="auto"/>
              <w:rPr>
                <w:rFonts w:hint="eastAsia" w:ascii="宋体" w:hAnsi="宋体" w:cs="宋体"/>
                <w:color w:val="000000"/>
                <w:szCs w:val="21"/>
              </w:rPr>
            </w:pPr>
            <w:r>
              <w:rPr>
                <w:rFonts w:hint="eastAsia" w:ascii="Times New Roman" w:hAnsi="Times New Roman" w:cs="Times New Roman"/>
              </w:rPr>
              <w:t>③无对应内容或与本项目无关则对应点不得分。</w:t>
            </w:r>
          </w:p>
        </w:tc>
        <w:tc>
          <w:tcPr>
            <w:tcW w:w="1065" w:type="dxa"/>
            <w:vAlign w:val="center"/>
          </w:tcPr>
          <w:p>
            <w:pPr>
              <w:pStyle w:val="615"/>
              <w:spacing w:before="165" w:line="360" w:lineRule="auto"/>
              <w:rPr>
                <w:rFonts w:hint="eastAsia"/>
                <w:color w:val="000000"/>
                <w:szCs w:val="21"/>
              </w:rPr>
            </w:pPr>
            <w:r>
              <w:rPr>
                <w:rFonts w:hint="eastAsia"/>
                <w:color w:val="000000"/>
                <w:szCs w:val="21"/>
              </w:rPr>
              <w:t>0～</w:t>
            </w:r>
            <w:r>
              <w:rPr>
                <w:rFonts w:hint="eastAsia"/>
                <w:color w:val="000000"/>
                <w:szCs w:val="21"/>
                <w:lang w:val="en-US" w:eastAsia="zh-CN"/>
              </w:rPr>
              <w:t>6</w:t>
            </w:r>
            <w:r>
              <w:rPr>
                <w:rFonts w:hint="eastAsia"/>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c>
          <w:tcPr>
            <w:tcW w:w="1730"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文明安全体系措施</w:t>
            </w:r>
          </w:p>
        </w:tc>
        <w:tc>
          <w:tcPr>
            <w:tcW w:w="6105" w:type="dxa"/>
            <w:vAlign w:val="center"/>
          </w:tcPr>
          <w:p>
            <w:pPr>
              <w:spacing w:line="360" w:lineRule="auto"/>
              <w:rPr>
                <w:rFonts w:hint="eastAsia" w:ascii="宋体" w:hAnsi="宋体" w:cs="宋体"/>
                <w:color w:val="000000"/>
                <w:szCs w:val="21"/>
              </w:rPr>
            </w:pPr>
            <w:r>
              <w:rPr>
                <w:rFonts w:hint="eastAsia" w:ascii="宋体" w:hAnsi="宋体" w:cs="宋体"/>
                <w:color w:val="000000"/>
                <w:szCs w:val="21"/>
                <w:lang w:eastAsia="zh-CN"/>
              </w:rPr>
              <w:t>提供</w:t>
            </w:r>
            <w:r>
              <w:rPr>
                <w:rFonts w:hint="eastAsia" w:ascii="宋体" w:hAnsi="宋体" w:cs="宋体"/>
                <w:color w:val="000000"/>
                <w:szCs w:val="21"/>
              </w:rPr>
              <w:t>文明安全体系措施</w:t>
            </w:r>
            <w:r>
              <w:rPr>
                <w:rFonts w:hint="eastAsia" w:ascii="宋体" w:hAnsi="宋体" w:cs="宋体"/>
                <w:color w:val="000000"/>
                <w:szCs w:val="21"/>
                <w:lang w:eastAsia="zh-CN"/>
              </w:rPr>
              <w:t>，包括以下内容：</w:t>
            </w:r>
          </w:p>
          <w:p>
            <w:pPr>
              <w:numPr>
                <w:ilvl w:val="0"/>
                <w:numId w:val="11"/>
              </w:numPr>
              <w:spacing w:line="360" w:lineRule="auto"/>
              <w:rPr>
                <w:rFonts w:hint="eastAsia" w:ascii="宋体" w:hAnsi="宋体" w:cs="宋体"/>
                <w:color w:val="000000"/>
                <w:szCs w:val="21"/>
              </w:rPr>
            </w:pPr>
            <w:r>
              <w:rPr>
                <w:rFonts w:hint="eastAsia" w:ascii="宋体" w:hAnsi="宋体" w:cs="宋体"/>
                <w:color w:val="000000"/>
                <w:szCs w:val="21"/>
              </w:rPr>
              <w:t>安全生产制度和措施</w:t>
            </w:r>
            <w:r>
              <w:rPr>
                <w:rFonts w:hint="eastAsia" w:ascii="宋体" w:hAnsi="宋体" w:cs="宋体"/>
                <w:color w:val="000000"/>
                <w:szCs w:val="21"/>
                <w:lang w:val="en-US" w:eastAsia="zh-CN"/>
              </w:rPr>
              <w:t>(3分)</w:t>
            </w:r>
            <w:r>
              <w:rPr>
                <w:rFonts w:hint="eastAsia" w:ascii="宋体" w:hAnsi="宋体" w:cs="宋体"/>
                <w:color w:val="000000"/>
                <w:szCs w:val="21"/>
                <w:lang w:eastAsia="zh-CN"/>
              </w:rPr>
              <w:t>；</w:t>
            </w:r>
          </w:p>
          <w:p>
            <w:pPr>
              <w:numPr>
                <w:ilvl w:val="0"/>
                <w:numId w:val="11"/>
              </w:numPr>
              <w:spacing w:line="360" w:lineRule="auto"/>
              <w:rPr>
                <w:rFonts w:hint="eastAsia" w:ascii="宋体" w:hAnsi="宋体" w:cs="宋体"/>
                <w:color w:val="000000"/>
                <w:szCs w:val="21"/>
              </w:rPr>
            </w:pPr>
            <w:r>
              <w:rPr>
                <w:rFonts w:hint="eastAsia" w:ascii="宋体" w:hAnsi="宋体" w:cs="宋体"/>
                <w:color w:val="000000"/>
                <w:szCs w:val="21"/>
              </w:rPr>
              <w:t>安全生产监督机构，安全生产培训是否完善、先进可靠</w:t>
            </w:r>
            <w:r>
              <w:rPr>
                <w:rFonts w:hint="eastAsia" w:ascii="宋体" w:hAnsi="宋体" w:cs="宋体"/>
                <w:color w:val="000000"/>
                <w:szCs w:val="21"/>
                <w:lang w:val="en-US" w:eastAsia="zh-CN"/>
              </w:rPr>
              <w:t>(3分)。</w:t>
            </w:r>
          </w:p>
          <w:p>
            <w:pPr>
              <w:spacing w:line="360" w:lineRule="auto"/>
              <w:rPr>
                <w:rFonts w:hint="eastAsia" w:ascii="Times New Roman" w:hAnsi="Times New Roman" w:cs="Times New Roman"/>
              </w:rPr>
            </w:pPr>
            <w:r>
              <w:rPr>
                <w:rFonts w:hint="eastAsia" w:ascii="Times New Roman" w:hAnsi="Times New Roman" w:cs="Times New Roman"/>
              </w:rPr>
              <w:t>评审标准如下：</w:t>
            </w:r>
          </w:p>
          <w:p>
            <w:pPr>
              <w:spacing w:line="360" w:lineRule="auto"/>
              <w:rPr>
                <w:rFonts w:hint="eastAsia" w:ascii="宋体" w:hAnsi="宋体" w:cs="宋体"/>
                <w:color w:val="000000"/>
                <w:szCs w:val="21"/>
              </w:rPr>
            </w:pPr>
            <w:r>
              <w:rPr>
                <w:rFonts w:hint="eastAsia" w:ascii="Times New Roman" w:hAnsi="Times New Roman" w:cs="Times New Roman"/>
              </w:rPr>
              <w:t>①内容完整，具有针对性得</w:t>
            </w:r>
            <w:r>
              <w:rPr>
                <w:rFonts w:hint="eastAsia" w:cs="Times New Roman"/>
                <w:lang w:val="en-US" w:eastAsia="zh-CN"/>
              </w:rPr>
              <w:t>3</w:t>
            </w:r>
            <w:r>
              <w:rPr>
                <w:rFonts w:hint="eastAsia" w:ascii="Times New Roman" w:hAnsi="Times New Roman" w:cs="Times New Roman"/>
              </w:rPr>
              <w:t>分；</w:t>
            </w:r>
            <w:r>
              <w:rPr>
                <w:rFonts w:hint="eastAsia" w:ascii="Times New Roman" w:hAnsi="Times New Roman" w:cs="Times New Roman"/>
              </w:rPr>
              <w:br w:type="textWrapping"/>
            </w:r>
            <w:r>
              <w:rPr>
                <w:rFonts w:hint="eastAsia" w:ascii="Times New Roman" w:hAnsi="Times New Roman" w:cs="Times New Roman"/>
              </w:rPr>
              <w:t>②内容存在欠缺得</w:t>
            </w:r>
            <w:r>
              <w:rPr>
                <w:rFonts w:hint="eastAsia" w:cs="Times New Roman"/>
                <w:lang w:val="en-US" w:eastAsia="zh-CN"/>
              </w:rPr>
              <w:t>1.5</w:t>
            </w:r>
            <w:r>
              <w:rPr>
                <w:rFonts w:hint="eastAsia" w:ascii="Times New Roman" w:hAnsi="Times New Roman" w:cs="Times New Roman"/>
              </w:rPr>
              <w:t>分；</w:t>
            </w:r>
            <w:r>
              <w:rPr>
                <w:rFonts w:hint="eastAsia" w:ascii="Times New Roman" w:hAnsi="Times New Roman" w:cs="Times New Roman"/>
              </w:rPr>
              <w:br w:type="textWrapping"/>
            </w:r>
            <w:r>
              <w:rPr>
                <w:rFonts w:hint="eastAsia" w:ascii="Times New Roman" w:hAnsi="Times New Roman" w:cs="Times New Roman"/>
              </w:rPr>
              <w:t>③无此内容或与本项目无关的内容不得分。</w:t>
            </w:r>
          </w:p>
        </w:tc>
        <w:tc>
          <w:tcPr>
            <w:tcW w:w="1065" w:type="dxa"/>
            <w:vAlign w:val="center"/>
          </w:tcPr>
          <w:p>
            <w:pPr>
              <w:pStyle w:val="615"/>
              <w:spacing w:before="164" w:line="360" w:lineRule="auto"/>
              <w:rPr>
                <w:rFonts w:hint="eastAsia"/>
                <w:color w:val="000000"/>
                <w:szCs w:val="21"/>
              </w:rPr>
            </w:pPr>
            <w:r>
              <w:rPr>
                <w:rFonts w:hint="eastAsia"/>
                <w:color w:val="000000"/>
                <w:szCs w:val="21"/>
              </w:rPr>
              <w:t>0～</w:t>
            </w:r>
            <w:r>
              <w:rPr>
                <w:rFonts w:hint="eastAsia"/>
                <w:color w:val="000000"/>
                <w:szCs w:val="21"/>
                <w:lang w:val="en-US" w:eastAsia="zh-CN"/>
              </w:rPr>
              <w:t>6</w:t>
            </w:r>
            <w:r>
              <w:rPr>
                <w:rFonts w:hint="eastAsia"/>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w:t>
            </w:r>
          </w:p>
        </w:tc>
        <w:tc>
          <w:tcPr>
            <w:tcW w:w="1730"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应急预案</w:t>
            </w:r>
          </w:p>
        </w:tc>
        <w:tc>
          <w:tcPr>
            <w:tcW w:w="6105" w:type="dxa"/>
            <w:vAlign w:val="center"/>
          </w:tcPr>
          <w:p>
            <w:pPr>
              <w:spacing w:line="360" w:lineRule="auto"/>
              <w:rPr>
                <w:rFonts w:hint="eastAsia" w:ascii="宋体" w:hAnsi="宋体" w:cs="宋体"/>
                <w:color w:val="000000"/>
                <w:szCs w:val="21"/>
              </w:rPr>
            </w:pPr>
            <w:r>
              <w:rPr>
                <w:rFonts w:hint="eastAsia" w:ascii="宋体" w:hAnsi="宋体" w:cs="宋体"/>
                <w:color w:val="000000"/>
                <w:szCs w:val="21"/>
                <w:lang w:eastAsia="zh-CN"/>
              </w:rPr>
              <w:t>提供</w:t>
            </w:r>
            <w:r>
              <w:rPr>
                <w:rFonts w:hint="eastAsia" w:ascii="宋体" w:hAnsi="宋体" w:cs="宋体"/>
                <w:color w:val="000000"/>
                <w:szCs w:val="21"/>
              </w:rPr>
              <w:t>应急预案</w:t>
            </w:r>
            <w:r>
              <w:rPr>
                <w:rFonts w:hint="eastAsia" w:ascii="宋体" w:hAnsi="宋体" w:cs="宋体"/>
                <w:color w:val="000000"/>
                <w:szCs w:val="21"/>
                <w:lang w:eastAsia="zh-CN"/>
              </w:rPr>
              <w:t>，包括以下内容：</w:t>
            </w:r>
          </w:p>
          <w:p>
            <w:pPr>
              <w:numPr>
                <w:ilvl w:val="0"/>
                <w:numId w:val="12"/>
              </w:numPr>
              <w:spacing w:line="360" w:lineRule="auto"/>
              <w:rPr>
                <w:rFonts w:hint="eastAsia" w:ascii="宋体" w:hAnsi="宋体" w:cs="宋体"/>
                <w:color w:val="000000"/>
                <w:szCs w:val="21"/>
              </w:rPr>
            </w:pPr>
            <w:r>
              <w:rPr>
                <w:rFonts w:hint="eastAsia" w:ascii="宋体" w:hAnsi="宋体" w:cs="宋体"/>
                <w:color w:val="000000"/>
                <w:szCs w:val="21"/>
              </w:rPr>
              <w:t>对突发事故</w:t>
            </w:r>
            <w:r>
              <w:rPr>
                <w:rFonts w:hint="eastAsia" w:ascii="宋体" w:hAnsi="宋体" w:cs="宋体"/>
                <w:color w:val="000000"/>
                <w:szCs w:val="21"/>
                <w:lang w:val="en-US" w:eastAsia="zh-CN"/>
              </w:rPr>
              <w:t>(1分)；</w:t>
            </w:r>
          </w:p>
          <w:p>
            <w:pPr>
              <w:numPr>
                <w:ilvl w:val="0"/>
                <w:numId w:val="12"/>
              </w:numPr>
              <w:spacing w:line="360" w:lineRule="auto"/>
              <w:rPr>
                <w:rFonts w:hint="eastAsia" w:ascii="宋体" w:hAnsi="宋体" w:cs="宋体"/>
                <w:color w:val="000000"/>
                <w:szCs w:val="21"/>
              </w:rPr>
            </w:pPr>
            <w:r>
              <w:rPr>
                <w:rFonts w:hint="eastAsia" w:ascii="宋体" w:hAnsi="宋体" w:cs="宋体"/>
                <w:color w:val="000000"/>
                <w:szCs w:val="21"/>
              </w:rPr>
              <w:t>自然灾害</w:t>
            </w:r>
            <w:r>
              <w:rPr>
                <w:rFonts w:hint="eastAsia" w:ascii="宋体" w:hAnsi="宋体" w:cs="宋体"/>
                <w:color w:val="000000"/>
                <w:szCs w:val="21"/>
                <w:lang w:val="en-US" w:eastAsia="zh-CN"/>
              </w:rPr>
              <w:t>(1分)；</w:t>
            </w:r>
          </w:p>
          <w:p>
            <w:pPr>
              <w:numPr>
                <w:ilvl w:val="0"/>
                <w:numId w:val="12"/>
              </w:numPr>
              <w:spacing w:line="360" w:lineRule="auto"/>
              <w:rPr>
                <w:rFonts w:hint="eastAsia" w:ascii="宋体" w:hAnsi="宋体" w:cs="宋体"/>
                <w:color w:val="000000"/>
                <w:szCs w:val="21"/>
              </w:rPr>
            </w:pPr>
            <w:r>
              <w:rPr>
                <w:rFonts w:hint="eastAsia" w:ascii="宋体" w:hAnsi="宋体" w:cs="宋体"/>
                <w:color w:val="000000"/>
                <w:szCs w:val="21"/>
              </w:rPr>
              <w:t>机械设备故障</w:t>
            </w:r>
            <w:r>
              <w:rPr>
                <w:rFonts w:hint="eastAsia" w:ascii="宋体" w:hAnsi="宋体" w:cs="宋体"/>
                <w:color w:val="000000"/>
                <w:szCs w:val="21"/>
                <w:lang w:val="en-US" w:eastAsia="zh-CN"/>
              </w:rPr>
              <w:t>(1分)；</w:t>
            </w:r>
          </w:p>
          <w:p>
            <w:pPr>
              <w:numPr>
                <w:ilvl w:val="0"/>
                <w:numId w:val="12"/>
              </w:numPr>
              <w:spacing w:line="360" w:lineRule="auto"/>
              <w:rPr>
                <w:rFonts w:hint="eastAsia" w:ascii="宋体" w:hAnsi="宋体" w:cs="宋体"/>
                <w:color w:val="000000"/>
                <w:szCs w:val="21"/>
              </w:rPr>
            </w:pPr>
            <w:r>
              <w:rPr>
                <w:rFonts w:hint="eastAsia" w:ascii="宋体" w:hAnsi="宋体" w:cs="宋体"/>
                <w:color w:val="000000"/>
                <w:szCs w:val="21"/>
              </w:rPr>
              <w:t>重大活动</w:t>
            </w:r>
            <w:r>
              <w:rPr>
                <w:rFonts w:hint="eastAsia" w:ascii="宋体" w:hAnsi="宋体" w:cs="宋体"/>
                <w:color w:val="000000"/>
                <w:szCs w:val="21"/>
                <w:lang w:val="en-US" w:eastAsia="zh-CN"/>
              </w:rPr>
              <w:t>(1分)。</w:t>
            </w:r>
          </w:p>
          <w:p>
            <w:pPr>
              <w:spacing w:line="360" w:lineRule="auto"/>
              <w:rPr>
                <w:rFonts w:hint="eastAsia" w:ascii="Times New Roman" w:hAnsi="Times New Roman" w:cs="Times New Roman"/>
              </w:rPr>
            </w:pPr>
            <w:r>
              <w:rPr>
                <w:rFonts w:hint="eastAsia" w:ascii="Times New Roman" w:hAnsi="Times New Roman" w:cs="Times New Roman"/>
              </w:rPr>
              <w:t>评审标准如下：</w:t>
            </w:r>
          </w:p>
          <w:p>
            <w:pPr>
              <w:spacing w:line="360" w:lineRule="auto"/>
              <w:rPr>
                <w:rFonts w:hint="eastAsia" w:ascii="宋体" w:hAnsi="宋体" w:cs="宋体"/>
                <w:color w:val="000000"/>
                <w:szCs w:val="21"/>
              </w:rPr>
            </w:pPr>
            <w:r>
              <w:rPr>
                <w:rFonts w:hint="eastAsia" w:ascii="Times New Roman" w:hAnsi="Times New Roman" w:cs="Times New Roman"/>
              </w:rPr>
              <w:t>①内容完整，具有针对性得</w:t>
            </w:r>
            <w:r>
              <w:rPr>
                <w:rFonts w:hint="eastAsia" w:cs="Times New Roman"/>
                <w:lang w:val="en-US" w:eastAsia="zh-CN"/>
              </w:rPr>
              <w:t>1</w:t>
            </w:r>
            <w:r>
              <w:rPr>
                <w:rFonts w:hint="eastAsia" w:ascii="Times New Roman" w:hAnsi="Times New Roman" w:cs="Times New Roman"/>
              </w:rPr>
              <w:t>分；</w:t>
            </w:r>
            <w:r>
              <w:rPr>
                <w:rFonts w:hint="eastAsia" w:ascii="Times New Roman" w:hAnsi="Times New Roman" w:cs="Times New Roman"/>
              </w:rPr>
              <w:br w:type="textWrapping"/>
            </w:r>
            <w:r>
              <w:rPr>
                <w:rFonts w:hint="eastAsia" w:ascii="Times New Roman" w:hAnsi="Times New Roman" w:cs="Times New Roman"/>
              </w:rPr>
              <w:t>②内容存在欠缺得</w:t>
            </w:r>
            <w:r>
              <w:rPr>
                <w:rFonts w:hint="eastAsia" w:cs="Times New Roman"/>
                <w:lang w:val="en-US" w:eastAsia="zh-CN"/>
              </w:rPr>
              <w:t>0.5</w:t>
            </w:r>
            <w:r>
              <w:rPr>
                <w:rFonts w:hint="eastAsia" w:ascii="Times New Roman" w:hAnsi="Times New Roman" w:cs="Times New Roman"/>
              </w:rPr>
              <w:t>分；</w:t>
            </w:r>
            <w:r>
              <w:rPr>
                <w:rFonts w:hint="eastAsia" w:ascii="Times New Roman" w:hAnsi="Times New Roman" w:cs="Times New Roman"/>
              </w:rPr>
              <w:br w:type="textWrapping"/>
            </w:r>
            <w:r>
              <w:rPr>
                <w:rFonts w:hint="eastAsia" w:ascii="Times New Roman" w:hAnsi="Times New Roman" w:cs="Times New Roman"/>
              </w:rPr>
              <w:t>③无此内容或与本项目无关的内容不得分。</w:t>
            </w:r>
          </w:p>
        </w:tc>
        <w:tc>
          <w:tcPr>
            <w:tcW w:w="1065" w:type="dxa"/>
            <w:vAlign w:val="center"/>
          </w:tcPr>
          <w:p>
            <w:pPr>
              <w:pStyle w:val="615"/>
              <w:spacing w:before="166" w:line="360" w:lineRule="auto"/>
              <w:rPr>
                <w:rFonts w:hint="eastAsia"/>
                <w:color w:val="000000"/>
                <w:szCs w:val="21"/>
              </w:rPr>
            </w:pPr>
            <w:r>
              <w:rPr>
                <w:rFonts w:hint="eastAsia"/>
                <w:color w:val="000000"/>
                <w:szCs w:val="21"/>
              </w:rPr>
              <w:t>0～</w:t>
            </w:r>
            <w:r>
              <w:rPr>
                <w:rFonts w:hint="eastAsia"/>
                <w:color w:val="000000"/>
                <w:szCs w:val="21"/>
                <w:lang w:val="en-US" w:eastAsia="zh-CN"/>
              </w:rPr>
              <w:t>4</w:t>
            </w:r>
            <w:r>
              <w:rPr>
                <w:rFonts w:hint="eastAsia"/>
                <w:color w:val="000000"/>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w:t>
            </w:r>
          </w:p>
        </w:tc>
        <w:tc>
          <w:tcPr>
            <w:tcW w:w="1730"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合理化建议</w:t>
            </w:r>
          </w:p>
        </w:tc>
        <w:tc>
          <w:tcPr>
            <w:tcW w:w="6105" w:type="dxa"/>
            <w:vAlign w:val="center"/>
          </w:tcPr>
          <w:p>
            <w:pPr>
              <w:spacing w:line="360" w:lineRule="auto"/>
              <w:rPr>
                <w:rFonts w:hint="eastAsia" w:ascii="Times New Roman" w:hAnsi="Times New Roman" w:cs="Times New Roman"/>
              </w:rPr>
            </w:pPr>
            <w:r>
              <w:rPr>
                <w:rFonts w:hint="eastAsia" w:ascii="宋体" w:hAnsi="宋体" w:cs="宋体"/>
                <w:color w:val="000000"/>
                <w:szCs w:val="21"/>
                <w:lang w:eastAsia="zh-CN"/>
              </w:rPr>
              <w:t>提供</w:t>
            </w:r>
            <w:r>
              <w:rPr>
                <w:rFonts w:hint="eastAsia" w:ascii="宋体" w:hAnsi="宋体" w:cs="宋体"/>
                <w:color w:val="000000"/>
                <w:szCs w:val="21"/>
              </w:rPr>
              <w:t>合理化建议</w:t>
            </w:r>
            <w:r>
              <w:rPr>
                <w:rFonts w:hint="eastAsia" w:ascii="宋体" w:hAnsi="宋体" w:cs="宋体"/>
                <w:color w:val="000000"/>
                <w:szCs w:val="21"/>
                <w:lang w:eastAsia="zh-CN"/>
              </w:rPr>
              <w:t>，包括以下内容：</w:t>
            </w:r>
          </w:p>
          <w:p>
            <w:pPr>
              <w:spacing w:line="360" w:lineRule="auto"/>
              <w:rPr>
                <w:rFonts w:hint="eastAsia" w:ascii="Times New Roman" w:hAnsi="Times New Roman" w:cs="Times New Roman"/>
              </w:rPr>
            </w:pPr>
            <w:r>
              <w:rPr>
                <w:rFonts w:hint="eastAsia" w:ascii="Times New Roman" w:hAnsi="Times New Roman" w:cs="Times New Roman"/>
              </w:rPr>
              <w:t>根据投标单位提出的合理化、优化建议进行打分。</w:t>
            </w:r>
          </w:p>
          <w:p>
            <w:pPr>
              <w:spacing w:line="360" w:lineRule="auto"/>
              <w:rPr>
                <w:rFonts w:hint="eastAsia" w:ascii="Times New Roman" w:hAnsi="Times New Roman" w:cs="Times New Roman"/>
              </w:rPr>
            </w:pPr>
            <w:r>
              <w:rPr>
                <w:rFonts w:hint="eastAsia" w:ascii="Times New Roman" w:hAnsi="Times New Roman" w:cs="Times New Roman"/>
              </w:rPr>
              <w:t>评审标准如下：</w:t>
            </w:r>
          </w:p>
          <w:p>
            <w:pPr>
              <w:spacing w:line="360" w:lineRule="auto"/>
              <w:rPr>
                <w:rFonts w:hint="eastAsia"/>
              </w:rPr>
            </w:pPr>
            <w:r>
              <w:rPr>
                <w:rFonts w:hint="eastAsia" w:ascii="Times New Roman" w:hAnsi="Times New Roman" w:cs="Times New Roman"/>
              </w:rPr>
              <w:t>①内容完整，具有针对性得</w:t>
            </w:r>
            <w:r>
              <w:rPr>
                <w:rFonts w:hint="eastAsia" w:cs="Times New Roman"/>
                <w:lang w:val="en-US" w:eastAsia="zh-CN"/>
              </w:rPr>
              <w:t>4</w:t>
            </w:r>
            <w:r>
              <w:rPr>
                <w:rFonts w:hint="eastAsia" w:ascii="Times New Roman" w:hAnsi="Times New Roman" w:cs="Times New Roman"/>
              </w:rPr>
              <w:t>分；</w:t>
            </w:r>
            <w:r>
              <w:rPr>
                <w:rFonts w:hint="eastAsia" w:ascii="Times New Roman" w:hAnsi="Times New Roman" w:cs="Times New Roman"/>
              </w:rPr>
              <w:br w:type="textWrapping"/>
            </w:r>
            <w:r>
              <w:rPr>
                <w:rFonts w:hint="eastAsia" w:ascii="Times New Roman" w:hAnsi="Times New Roman" w:cs="Times New Roman"/>
              </w:rPr>
              <w:t>②内容存在欠缺得</w:t>
            </w:r>
            <w:r>
              <w:rPr>
                <w:rFonts w:hint="eastAsia" w:cs="Times New Roman"/>
                <w:lang w:val="en-US" w:eastAsia="zh-CN"/>
              </w:rPr>
              <w:t>2</w:t>
            </w:r>
            <w:r>
              <w:rPr>
                <w:rFonts w:hint="eastAsia" w:ascii="Times New Roman" w:hAnsi="Times New Roman" w:cs="Times New Roman"/>
              </w:rPr>
              <w:t>分；</w:t>
            </w:r>
            <w:r>
              <w:rPr>
                <w:rFonts w:hint="eastAsia" w:ascii="Times New Roman" w:hAnsi="Times New Roman" w:cs="Times New Roman"/>
              </w:rPr>
              <w:br w:type="textWrapping"/>
            </w:r>
            <w:r>
              <w:rPr>
                <w:rFonts w:hint="eastAsia" w:ascii="Times New Roman" w:hAnsi="Times New Roman" w:cs="Times New Roman"/>
              </w:rPr>
              <w:t>③无此内容或与本项目无关的内容不得分。</w:t>
            </w:r>
          </w:p>
        </w:tc>
        <w:tc>
          <w:tcPr>
            <w:tcW w:w="1065" w:type="dxa"/>
            <w:vAlign w:val="center"/>
          </w:tcPr>
          <w:p>
            <w:pPr>
              <w:pStyle w:val="615"/>
              <w:spacing w:before="164" w:line="360" w:lineRule="auto"/>
              <w:rPr>
                <w:rFonts w:hint="eastAsia"/>
                <w:color w:val="000000"/>
                <w:szCs w:val="21"/>
              </w:rPr>
            </w:pPr>
            <w:r>
              <w:rPr>
                <w:rFonts w:hint="eastAsia"/>
                <w:color w:val="000000"/>
                <w:szCs w:val="21"/>
              </w:rPr>
              <w:t>0～</w:t>
            </w:r>
            <w:r>
              <w:rPr>
                <w:rFonts w:hint="eastAsia"/>
                <w:color w:val="000000"/>
                <w:szCs w:val="21"/>
                <w:lang w:val="en-US" w:eastAsia="zh-CN"/>
              </w:rPr>
              <w:t>4</w:t>
            </w:r>
            <w:r>
              <w:rPr>
                <w:rFonts w:hint="eastAsia"/>
                <w:color w:val="000000"/>
                <w:szCs w:val="21"/>
              </w:rPr>
              <w:t xml:space="preserve"> 分</w:t>
            </w:r>
          </w:p>
        </w:tc>
      </w:tr>
    </w:tbl>
    <w:p>
      <w:pPr>
        <w:pStyle w:val="25"/>
        <w:rPr>
          <w:rFonts w:hint="eastAsia"/>
        </w:rPr>
      </w:pPr>
    </w:p>
    <w:tbl>
      <w:tblPr>
        <w:tblStyle w:val="63"/>
        <w:tblpPr w:leftFromText="180" w:rightFromText="180" w:vertAnchor="text" w:horzAnchor="page" w:tblpX="1031" w:tblpY="126"/>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745" w:type="dxa"/>
            <w:vAlign w:val="center"/>
          </w:tcPr>
          <w:p>
            <w:pPr>
              <w:widowControl w:val="0"/>
              <w:wordWrap/>
              <w:adjustRightInd w:val="0"/>
              <w:snapToGrid/>
              <w:spacing w:line="360" w:lineRule="auto"/>
              <w:textAlignment w:val="baseline"/>
              <w:rPr>
                <w:rStyle w:val="964"/>
                <w:rFonts w:hint="eastAsia" w:ascii="仿宋" w:hAnsi="仿宋" w:eastAsia="仿宋" w:cs="仿宋"/>
                <w:bCs/>
                <w:sz w:val="24"/>
                <w:lang w:eastAsia="zh-CN"/>
              </w:rPr>
            </w:pPr>
            <w:r>
              <w:rPr>
                <w:rStyle w:val="964"/>
                <w:rFonts w:hint="eastAsia" w:ascii="仿宋" w:hAnsi="仿宋" w:eastAsia="仿宋" w:cs="仿宋"/>
                <w:bCs/>
                <w:sz w:val="24"/>
                <w:lang w:eastAsia="zh-CN"/>
              </w:rPr>
              <w:t>报价分（</w:t>
            </w:r>
            <w:r>
              <w:rPr>
                <w:rStyle w:val="964"/>
                <w:rFonts w:hint="eastAsia" w:ascii="仿宋" w:hAnsi="仿宋" w:eastAsia="仿宋" w:cs="仿宋"/>
                <w:bCs/>
                <w:sz w:val="24"/>
                <w:lang w:val="en-US" w:eastAsia="zh-CN"/>
              </w:rPr>
              <w:t>10分</w:t>
            </w:r>
            <w:r>
              <w:rPr>
                <w:rStyle w:val="964"/>
                <w:rFonts w:hint="eastAsia" w:ascii="仿宋" w:hAnsi="仿宋" w:eastAsia="仿宋" w:cs="仿宋"/>
                <w:bCs/>
                <w:sz w:val="24"/>
                <w:lang w:eastAsia="zh-CN"/>
              </w:rPr>
              <w:t>）：</w:t>
            </w:r>
          </w:p>
          <w:p>
            <w:pPr>
              <w:widowControl w:val="0"/>
              <w:wordWrap/>
              <w:adjustRightInd w:val="0"/>
              <w:snapToGrid/>
              <w:spacing w:line="360" w:lineRule="auto"/>
              <w:textAlignment w:val="baseline"/>
              <w:rPr>
                <w:rStyle w:val="964"/>
                <w:rFonts w:hint="eastAsia" w:ascii="仿宋" w:hAnsi="仿宋" w:eastAsia="仿宋" w:cs="仿宋"/>
                <w:bCs/>
                <w:sz w:val="24"/>
              </w:rPr>
            </w:pPr>
            <w:r>
              <w:rPr>
                <w:rStyle w:val="964"/>
                <w:rFonts w:hint="eastAsia" w:ascii="仿宋" w:hAnsi="仿宋" w:eastAsia="仿宋" w:cs="仿宋"/>
                <w:bCs/>
                <w:sz w:val="24"/>
              </w:rPr>
              <w:t>有效投标报价的最低价作为评标基准价，其最低报价为满分；按［投标报价得分=（评标基准价/投标报价）*价格权值］的计算公式计算。</w:t>
            </w:r>
          </w:p>
          <w:p>
            <w:pPr>
              <w:widowControl w:val="0"/>
              <w:wordWrap/>
              <w:adjustRightInd w:val="0"/>
              <w:snapToGrid/>
              <w:spacing w:line="360" w:lineRule="auto"/>
              <w:textAlignment w:val="baseline"/>
              <w:rPr>
                <w:rStyle w:val="964"/>
                <w:rFonts w:hint="eastAsia" w:ascii="仿宋" w:hAnsi="仿宋" w:eastAsia="仿宋" w:cs="仿宋"/>
                <w:bCs/>
                <w:sz w:val="24"/>
              </w:rPr>
            </w:pPr>
            <w:r>
              <w:rPr>
                <w:rStyle w:val="964"/>
                <w:rFonts w:hint="eastAsia" w:ascii="仿宋" w:hAnsi="仿宋" w:eastAsia="仿宋" w:cs="仿宋"/>
                <w:bCs/>
                <w:sz w:val="24"/>
              </w:rPr>
              <w:t>评标过程中，不得去掉报价中的最高报价和最低报价。</w:t>
            </w:r>
          </w:p>
          <w:p>
            <w:pPr>
              <w:widowControl w:val="0"/>
              <w:wordWrap/>
              <w:adjustRightInd w:val="0"/>
              <w:snapToGrid/>
              <w:spacing w:line="360" w:lineRule="auto"/>
              <w:textAlignment w:val="baseline"/>
              <w:rPr>
                <w:rStyle w:val="964"/>
                <w:rFonts w:hint="eastAsia" w:ascii="仿宋" w:hAnsi="仿宋" w:eastAsia="仿宋" w:cs="仿宋"/>
                <w:bCs/>
                <w:sz w:val="24"/>
              </w:rPr>
            </w:pPr>
            <w:r>
              <w:rPr>
                <w:rStyle w:val="964"/>
                <w:rFonts w:hint="eastAsia" w:ascii="仿宋" w:hAnsi="仿宋" w:eastAsia="仿宋" w:cs="仿宋"/>
                <w:bCs/>
                <w:sz w:val="24"/>
              </w:rPr>
              <w:t>因落实政府采购政策需要进行价格调整的，以调整后的价格计算评标基准价和投标报价。</w:t>
            </w:r>
          </w:p>
        </w:tc>
      </w:tr>
    </w:tbl>
    <w:p>
      <w:pPr>
        <w:widowControl w:val="0"/>
        <w:wordWrap/>
        <w:adjustRightInd w:val="0"/>
        <w:snapToGrid/>
        <w:spacing w:line="360" w:lineRule="auto"/>
        <w:ind w:firstLine="480" w:firstLineChars="200"/>
        <w:textAlignment w:val="baseline"/>
        <w:rPr>
          <w:rStyle w:val="964"/>
          <w:rFonts w:hint="eastAsia" w:ascii="仿宋" w:hAnsi="仿宋" w:eastAsia="仿宋" w:cs="仿宋"/>
          <w:bCs/>
          <w:sz w:val="24"/>
        </w:rPr>
      </w:pPr>
      <w:r>
        <w:rPr>
          <w:rStyle w:val="964"/>
          <w:rFonts w:hint="eastAsia" w:ascii="仿宋" w:hAnsi="仿宋" w:eastAsia="仿宋" w:cs="仿宋"/>
          <w:bCs/>
          <w:sz w:val="24"/>
        </w:rPr>
        <w:t>*备注：投标人编制投标文件（商务技术文件部分）时，建议按此目录（序号和内容）提供评标标准相应的商务技术资料。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6"/>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6"/>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6"/>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6"/>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6"/>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6"/>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6"/>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6"/>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6"/>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5"/>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5"/>
        <w:snapToGrid w:val="0"/>
        <w:spacing w:line="360" w:lineRule="auto"/>
        <w:ind w:firstLine="0" w:firstLineChars="0"/>
        <w:rPr>
          <w:rFonts w:ascii="仿宋_GB2312" w:hAnsi="仿宋" w:eastAsia="仿宋_GB2312" w:cs="仿宋_GB2312"/>
        </w:rPr>
      </w:pPr>
    </w:p>
    <w:p>
      <w:pPr>
        <w:rPr>
          <w:rFonts w:ascii="仿宋_GB2312" w:hAnsi="仿宋" w:eastAsia="仿宋_GB2312" w:cs="仿宋_GB2312"/>
        </w:rPr>
      </w:pPr>
    </w:p>
    <w:p>
      <w:pPr>
        <w:pStyle w:val="5"/>
        <w:rPr>
          <w:rFonts w:ascii="仿宋_GB2312" w:hAnsi="仿宋" w:eastAsia="仿宋_GB2312" w:cs="仿宋_GB2312"/>
        </w:rPr>
      </w:pPr>
    </w:p>
    <w:p>
      <w:pPr>
        <w:rPr>
          <w:rFonts w:ascii="仿宋_GB2312" w:hAnsi="仿宋" w:eastAsia="仿宋_GB2312" w:cs="仿宋_GB2312"/>
        </w:rPr>
      </w:pPr>
    </w:p>
    <w:p>
      <w:pPr>
        <w:pStyle w:val="2"/>
        <w:rPr>
          <w:rFonts w:ascii="仿宋_GB2312" w:hAnsi="仿宋" w:eastAsia="仿宋_GB2312" w:cs="仿宋_GB2312"/>
        </w:rPr>
      </w:pPr>
    </w:p>
    <w:p>
      <w:pPr>
        <w:pStyle w:val="3"/>
        <w:rPr>
          <w:rFonts w:ascii="仿宋_GB2312" w:hAnsi="仿宋" w:eastAsia="仿宋_GB2312" w:cs="仿宋_GB2312"/>
        </w:rPr>
      </w:pPr>
    </w:p>
    <w:p>
      <w:pPr>
        <w:rPr>
          <w:rFonts w:ascii="仿宋_GB2312" w:hAnsi="仿宋" w:eastAsia="仿宋_GB2312" w:cs="仿宋_GB2312"/>
        </w:rPr>
      </w:pPr>
    </w:p>
    <w:p>
      <w:pPr>
        <w:pStyle w:val="2"/>
        <w:rPr>
          <w:rFonts w:ascii="仿宋_GB2312" w:hAnsi="仿宋" w:eastAsia="仿宋_GB2312" w:cs="仿宋_GB2312"/>
        </w:rPr>
      </w:pPr>
    </w:p>
    <w:p>
      <w:pPr>
        <w:pStyle w:val="3"/>
        <w:rPr>
          <w:rFonts w:ascii="仿宋_GB2312" w:hAnsi="仿宋" w:eastAsia="仿宋_GB2312" w:cs="仿宋_GB2312"/>
        </w:rPr>
      </w:pPr>
    </w:p>
    <w:p>
      <w:pPr>
        <w:rPr>
          <w:rFonts w:ascii="仿宋_GB2312" w:hAnsi="仿宋" w:eastAsia="仿宋_GB2312" w:cs="仿宋_GB2312"/>
        </w:rPr>
      </w:pPr>
    </w:p>
    <w:p>
      <w:pPr>
        <w:pStyle w:val="2"/>
        <w:rPr>
          <w:rFonts w:ascii="仿宋_GB2312" w:hAnsi="仿宋" w:eastAsia="仿宋_GB2312" w:cs="仿宋_GB2312"/>
        </w:rPr>
      </w:pPr>
    </w:p>
    <w:p>
      <w:pPr>
        <w:pStyle w:val="3"/>
        <w:rPr>
          <w:rFonts w:ascii="仿宋_GB2312" w:hAnsi="仿宋" w:eastAsia="仿宋_GB2312" w:cs="仿宋_GB2312"/>
        </w:rPr>
      </w:pPr>
    </w:p>
    <w:p>
      <w:pPr>
        <w:rPr>
          <w:rFonts w:ascii="仿宋_GB2312" w:hAnsi="仿宋" w:eastAsia="仿宋_GB2312" w:cs="仿宋_GB2312"/>
        </w:rPr>
      </w:pPr>
    </w:p>
    <w:p>
      <w:pPr>
        <w:pStyle w:val="2"/>
      </w:pPr>
    </w:p>
    <w:p/>
    <w:p>
      <w:pPr>
        <w:rPr>
          <w:rFonts w:ascii="仿宋_GB2312" w:hAnsi="仿宋" w:eastAsia="仿宋_GB2312" w:cs="仿宋_GB2312"/>
        </w:rPr>
      </w:pPr>
    </w:p>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4" w:name="第五部分"/>
      <w:bookmarkStart w:id="395" w:name="_Toc86217003"/>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bookmarkEnd w:id="394"/>
    <w:bookmarkEnd w:id="395"/>
    <w:p>
      <w:pPr>
        <w:snapToGrid w:val="0"/>
        <w:spacing w:line="360" w:lineRule="auto"/>
        <w:ind w:firstLine="2891" w:firstLineChars="900"/>
        <w:jc w:val="both"/>
        <w:rPr>
          <w:rFonts w:hint="eastAsia" w:ascii="仿宋" w:hAnsi="仿宋" w:eastAsia="仿宋" w:cs="仿宋"/>
        </w:rPr>
      </w:pPr>
      <w:r>
        <w:rPr>
          <w:rFonts w:hint="eastAsia" w:ascii="仿宋" w:hAnsi="仿宋" w:eastAsia="仿宋" w:cs="仿宋"/>
          <w:b/>
          <w:color w:val="000000"/>
          <w:sz w:val="32"/>
          <w:szCs w:val="32"/>
        </w:rPr>
        <w:t>（以最终合同为准）</w:t>
      </w:r>
    </w:p>
    <w:p>
      <w:pPr>
        <w:autoSpaceDE w:val="0"/>
        <w:autoSpaceDN w:val="0"/>
        <w:snapToGrid w:val="0"/>
        <w:spacing w:line="360" w:lineRule="auto"/>
        <w:ind w:firstLine="436" w:firstLineChars="182"/>
        <w:rPr>
          <w:rFonts w:hint="eastAsia" w:ascii="仿宋" w:hAnsi="仿宋" w:eastAsia="仿宋" w:cs="仿宋"/>
          <w:b/>
          <w:bCs/>
          <w:color w:val="000000"/>
          <w:sz w:val="24"/>
          <w:u w:val="single"/>
          <w:lang w:val="en-US" w:eastAsia="zh-CN"/>
        </w:rPr>
      </w:pPr>
      <w:r>
        <w:rPr>
          <w:rFonts w:hint="eastAsia" w:ascii="仿宋" w:hAnsi="仿宋" w:eastAsia="仿宋" w:cs="仿宋"/>
          <w:color w:val="000000"/>
          <w:sz w:val="24"/>
        </w:rPr>
        <w:t>项目名称：</w:t>
      </w:r>
      <w:r>
        <w:rPr>
          <w:rFonts w:hint="eastAsia" w:ascii="仿宋" w:hAnsi="仿宋" w:eastAsia="仿宋" w:cs="仿宋"/>
          <w:b/>
          <w:bCs/>
          <w:color w:val="000000"/>
          <w:sz w:val="24"/>
          <w:u w:val="single"/>
          <w:lang w:val="en-US" w:eastAsia="zh-CN"/>
        </w:rPr>
        <w:t xml:space="preserve">                   </w:t>
      </w:r>
    </w:p>
    <w:p>
      <w:pPr>
        <w:autoSpaceDE w:val="0"/>
        <w:autoSpaceDN w:val="0"/>
        <w:snapToGrid w:val="0"/>
        <w:spacing w:line="360" w:lineRule="auto"/>
        <w:ind w:firstLine="436" w:firstLineChars="182"/>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招标编号：</w:t>
      </w:r>
      <w:r>
        <w:rPr>
          <w:rFonts w:hint="eastAsia" w:ascii="仿宋" w:hAnsi="仿宋" w:eastAsia="仿宋" w:cs="仿宋"/>
          <w:b/>
          <w:bCs/>
          <w:color w:val="000000"/>
          <w:sz w:val="24"/>
          <w:szCs w:val="24"/>
          <w:u w:val="single"/>
          <w:lang w:val="en-US" w:eastAsia="zh-CN"/>
        </w:rPr>
        <w:t xml:space="preserve">                 </w:t>
      </w:r>
    </w:p>
    <w:p>
      <w:pPr>
        <w:pStyle w:val="34"/>
        <w:snapToGrid w:val="0"/>
        <w:spacing w:line="360" w:lineRule="auto"/>
        <w:ind w:firstLine="480" w:firstLineChars="200"/>
        <w:rPr>
          <w:rFonts w:hint="eastAsia" w:ascii="仿宋" w:hAnsi="仿宋" w:eastAsia="仿宋" w:cs="仿宋"/>
          <w:b/>
          <w:bCs/>
          <w:color w:val="000000"/>
          <w:sz w:val="24"/>
          <w:szCs w:val="24"/>
          <w:u w:val="single"/>
          <w:lang w:val="en-US" w:eastAsia="zh-CN"/>
        </w:rPr>
      </w:pPr>
      <w:r>
        <w:rPr>
          <w:rFonts w:hint="eastAsia" w:ascii="仿宋" w:hAnsi="仿宋" w:eastAsia="仿宋" w:cs="仿宋"/>
          <w:color w:val="000000"/>
          <w:sz w:val="24"/>
          <w:szCs w:val="24"/>
        </w:rPr>
        <w:t>甲方：</w:t>
      </w:r>
      <w:r>
        <w:rPr>
          <w:rFonts w:hint="eastAsia" w:ascii="仿宋" w:hAnsi="仿宋" w:eastAsia="仿宋" w:cs="仿宋"/>
          <w:b/>
          <w:bCs/>
          <w:color w:val="000000"/>
          <w:sz w:val="24"/>
          <w:szCs w:val="24"/>
          <w:u w:val="single"/>
          <w:lang w:val="en-US" w:eastAsia="zh-CN"/>
        </w:rPr>
        <w:t xml:space="preserve">                         </w:t>
      </w:r>
    </w:p>
    <w:p>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乙方：</w:t>
      </w:r>
    </w:p>
    <w:p>
      <w:pPr>
        <w:pStyle w:val="619"/>
        <w:numPr>
          <w:ilvl w:val="0"/>
          <w:numId w:val="13"/>
        </w:numPr>
        <w:snapToGrid w:val="0"/>
        <w:spacing w:line="360" w:lineRule="auto"/>
        <w:ind w:firstLine="480" w:firstLineChars="200"/>
        <w:rPr>
          <w:rFonts w:hint="eastAsia" w:ascii="仿宋" w:hAnsi="仿宋" w:eastAsia="仿宋" w:cs="仿宋"/>
          <w:sz w:val="24"/>
          <w:szCs w:val="24"/>
          <w:lang w:val="en-US"/>
        </w:rPr>
      </w:pPr>
      <w:r>
        <w:rPr>
          <w:rFonts w:hint="eastAsia" w:ascii="仿宋" w:hAnsi="仿宋" w:eastAsia="仿宋" w:cs="仿宋"/>
          <w:color w:val="000000"/>
          <w:kern w:val="2"/>
          <w:sz w:val="24"/>
          <w:szCs w:val="24"/>
          <w:lang w:eastAsia="zh-CN"/>
        </w:rPr>
        <w:t>乙双方根据</w:t>
      </w:r>
      <w:r>
        <w:rPr>
          <w:rFonts w:hint="eastAsia" w:ascii="仿宋" w:hAnsi="仿宋" w:eastAsia="仿宋" w:cs="仿宋"/>
          <w:b/>
          <w:bCs/>
          <w:color w:val="000000"/>
          <w:sz w:val="24"/>
          <w:u w:val="single"/>
          <w:lang w:val="en-US" w:eastAsia="zh-CN"/>
        </w:rPr>
        <w:t xml:space="preserve">               </w:t>
      </w:r>
      <w:r>
        <w:rPr>
          <w:rFonts w:hint="eastAsia" w:ascii="仿宋" w:hAnsi="仿宋" w:eastAsia="仿宋" w:cs="仿宋"/>
          <w:color w:val="000000"/>
          <w:kern w:val="2"/>
          <w:sz w:val="24"/>
          <w:szCs w:val="24"/>
          <w:lang w:eastAsia="zh-CN"/>
        </w:rPr>
        <w:t>（招标编号：</w:t>
      </w:r>
      <w:r>
        <w:rPr>
          <w:rFonts w:hint="eastAsia" w:ascii="仿宋" w:hAnsi="仿宋" w:eastAsia="仿宋" w:cs="仿宋"/>
          <w:b/>
          <w:bCs/>
          <w:color w:val="000000"/>
          <w:sz w:val="24"/>
          <w:szCs w:val="24"/>
          <w:u w:val="single"/>
          <w:lang w:val="en-US" w:eastAsia="zh-CN"/>
        </w:rPr>
        <w:t xml:space="preserve">              </w:t>
      </w:r>
      <w:r>
        <w:rPr>
          <w:rFonts w:hint="eastAsia" w:ascii="仿宋" w:hAnsi="仿宋" w:eastAsia="仿宋" w:cs="仿宋"/>
          <w:color w:val="000000"/>
          <w:sz w:val="24"/>
          <w:lang w:eastAsia="zh-CN"/>
        </w:rPr>
        <w:t>）</w:t>
      </w:r>
      <w:r>
        <w:rPr>
          <w:rFonts w:hint="eastAsia" w:ascii="仿宋" w:hAnsi="仿宋" w:eastAsia="仿宋" w:cs="仿宋"/>
          <w:color w:val="000000"/>
          <w:sz w:val="24"/>
          <w:szCs w:val="24"/>
          <w:lang w:eastAsia="zh-CN"/>
        </w:rPr>
        <w:t>公开招标的结果，签署本合同。</w:t>
      </w:r>
    </w:p>
    <w:p>
      <w:pPr>
        <w:pStyle w:val="619"/>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一、采购内容</w:t>
      </w:r>
    </w:p>
    <w:p>
      <w:pPr>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具体内容和相关要求详见招标文件“</w:t>
      </w:r>
      <w:r>
        <w:rPr>
          <w:rFonts w:hint="eastAsia" w:ascii="仿宋" w:hAnsi="仿宋" w:eastAsia="仿宋" w:cs="仿宋"/>
          <w:kern w:val="0"/>
          <w:sz w:val="24"/>
        </w:rPr>
        <w:t>第三部分——</w:t>
      </w:r>
      <w:r>
        <w:rPr>
          <w:rFonts w:hint="eastAsia" w:ascii="仿宋" w:hAnsi="仿宋" w:eastAsia="仿宋" w:cs="仿宋"/>
          <w:kern w:val="0"/>
          <w:sz w:val="24"/>
          <w:lang w:val="en-US" w:eastAsia="zh-CN"/>
        </w:rPr>
        <w:t>采购需求</w:t>
      </w:r>
      <w:r>
        <w:rPr>
          <w:rFonts w:hint="eastAsia" w:ascii="仿宋" w:hAnsi="仿宋" w:eastAsia="仿宋" w:cs="仿宋"/>
          <w:kern w:val="0"/>
          <w:sz w:val="24"/>
        </w:rPr>
        <w:t>”</w:t>
      </w:r>
    </w:p>
    <w:p>
      <w:pPr>
        <w:pStyle w:val="619"/>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二、</w:t>
      </w:r>
      <w:r>
        <w:rPr>
          <w:rFonts w:hint="eastAsia" w:ascii="仿宋" w:hAnsi="仿宋" w:eastAsia="仿宋" w:cs="仿宋"/>
          <w:b/>
          <w:bCs/>
          <w:sz w:val="24"/>
          <w:lang w:eastAsia="zh-CN" w:bidi="en-US"/>
        </w:rPr>
        <w:t>服务时间要求</w:t>
      </w:r>
    </w:p>
    <w:p>
      <w:pPr>
        <w:pStyle w:val="619"/>
        <w:snapToGrid w:val="0"/>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按招标文件约定。</w:t>
      </w:r>
    </w:p>
    <w:p>
      <w:pPr>
        <w:pStyle w:val="619"/>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三、合同金额</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合同金额为（大写）</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lang w:eastAsia="zh-CN"/>
        </w:rPr>
        <w:t>元（￥</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lang w:eastAsia="zh-CN"/>
        </w:rPr>
        <w:t>元）人民币。</w:t>
      </w:r>
    </w:p>
    <w:p>
      <w:pPr>
        <w:pStyle w:val="619"/>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四、技术资料</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1、乙方应按招标文件规定的时间向甲方提供有关技术资料。</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19"/>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五、知识产权</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乙方应保证提供服务过程中不会侵犯任何第三方的知识产权。</w:t>
      </w:r>
    </w:p>
    <w:p>
      <w:pPr>
        <w:pStyle w:val="619"/>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六、履约保证金</w:t>
      </w:r>
    </w:p>
    <w:p>
      <w:pPr>
        <w:pStyle w:val="619"/>
        <w:snapToGrid w:val="0"/>
        <w:spacing w:line="360" w:lineRule="auto"/>
        <w:ind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按招标文件约定。</w:t>
      </w:r>
    </w:p>
    <w:p>
      <w:pPr>
        <w:pStyle w:val="619"/>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七、分包</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1、本合同范围的服务，应由乙方直接供应，不得转让他人供应；</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2、除非得到甲方的书面同意，乙方不得将本合同范围的服务全部或部分分包给他人供应；</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3、如有转让和未经甲方同意的分包行为，甲方有权解除合同，没收履约保证金并追究乙方的违约责任。</w:t>
      </w:r>
    </w:p>
    <w:p>
      <w:pPr>
        <w:pStyle w:val="619"/>
        <w:snapToGrid w:val="0"/>
        <w:spacing w:line="360" w:lineRule="auto"/>
        <w:ind w:firstLine="482" w:firstLineChars="200"/>
        <w:rPr>
          <w:rFonts w:hint="eastAsia" w:ascii="仿宋" w:hAnsi="仿宋" w:eastAsia="仿宋" w:cs="仿宋"/>
          <w:color w:val="000000"/>
          <w:sz w:val="24"/>
          <w:szCs w:val="24"/>
          <w:lang w:eastAsia="zh-CN"/>
        </w:rPr>
      </w:pPr>
      <w:r>
        <w:rPr>
          <w:rFonts w:hint="eastAsia" w:ascii="仿宋" w:hAnsi="仿宋" w:eastAsia="仿宋" w:cs="仿宋"/>
          <w:b/>
          <w:color w:val="000000"/>
          <w:sz w:val="24"/>
          <w:szCs w:val="24"/>
          <w:lang w:eastAsia="zh-CN"/>
        </w:rPr>
        <w:t>八、合同履行时间、履行方式及履行地点</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1、履行时间：   ；</w:t>
      </w:r>
    </w:p>
    <w:p>
      <w:pPr>
        <w:pStyle w:val="619"/>
        <w:snapToGrid w:val="0"/>
        <w:spacing w:line="360" w:lineRule="auto"/>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szCs w:val="24"/>
          <w:lang w:eastAsia="zh-CN"/>
        </w:rPr>
        <w:t>2、</w:t>
      </w:r>
      <w:r>
        <w:rPr>
          <w:rFonts w:hint="eastAsia" w:ascii="仿宋" w:hAnsi="仿宋" w:eastAsia="仿宋" w:cs="仿宋"/>
          <w:color w:val="000000"/>
          <w:sz w:val="24"/>
          <w:lang w:eastAsia="zh-CN"/>
        </w:rPr>
        <w:t>履行地点：    。</w:t>
      </w:r>
    </w:p>
    <w:p>
      <w:pPr>
        <w:pStyle w:val="619"/>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九、款项支付</w:t>
      </w:r>
    </w:p>
    <w:p>
      <w:pPr>
        <w:pStyle w:val="619"/>
        <w:snapToGrid w:val="0"/>
        <w:spacing w:line="360" w:lineRule="auto"/>
        <w:ind w:firstLine="960" w:firstLineChars="400"/>
        <w:rPr>
          <w:rFonts w:hint="eastAsia" w:ascii="仿宋" w:hAnsi="仿宋" w:eastAsia="仿宋" w:cs="仿宋"/>
          <w:bCs/>
          <w:color w:val="000000"/>
          <w:sz w:val="24"/>
          <w:lang w:eastAsia="zh-CN"/>
        </w:rPr>
      </w:pPr>
      <w:r>
        <w:rPr>
          <w:rFonts w:hint="eastAsia" w:ascii="仿宋" w:hAnsi="仿宋" w:eastAsia="仿宋" w:cs="仿宋"/>
          <w:bCs/>
          <w:color w:val="000000"/>
          <w:sz w:val="24"/>
          <w:szCs w:val="24"/>
          <w:lang w:eastAsia="zh-CN"/>
        </w:rPr>
        <w:t>按招标文件约定执行</w:t>
      </w:r>
      <w:r>
        <w:rPr>
          <w:rFonts w:hint="eastAsia" w:ascii="仿宋" w:hAnsi="仿宋" w:eastAsia="仿宋" w:cs="仿宋"/>
          <w:bCs/>
          <w:color w:val="000000"/>
          <w:sz w:val="24"/>
          <w:lang w:eastAsia="zh-CN"/>
        </w:rPr>
        <w:t>。</w:t>
      </w:r>
    </w:p>
    <w:p>
      <w:pPr>
        <w:autoSpaceDE w:val="0"/>
        <w:autoSpaceDN w:val="0"/>
        <w:snapToGrid w:val="0"/>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lang w:eastAsia="zh-CN"/>
        </w:rPr>
        <w:t>十</w:t>
      </w:r>
      <w:r>
        <w:rPr>
          <w:rFonts w:hint="eastAsia" w:ascii="仿宋" w:hAnsi="仿宋" w:eastAsia="仿宋" w:cs="仿宋"/>
          <w:b/>
          <w:color w:val="000000"/>
          <w:sz w:val="24"/>
        </w:rPr>
        <w:t>、税费</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本合同执行中相关的一切税费均由乙方负担。</w:t>
      </w:r>
    </w:p>
    <w:p>
      <w:pPr>
        <w:pStyle w:val="619"/>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十一、质量保证及后续服务</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1、乙方应按招标文件规定向甲方提供服务。</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2、乙方提供的服务成果在服务质量保证期内发生故障，乙方应负责免费提供后续服务。对达不到要求者，根据实际情况，经双方协商，可按以下办法处理：</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（1）重做：由乙方承担所发生的全部费用。</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（2）解除合同。</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3、在服务质量保证期内，乙方应对出现的质量及安全问题负责处理解决并承担一切费用。</w:t>
      </w:r>
    </w:p>
    <w:p>
      <w:pPr>
        <w:pStyle w:val="619"/>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十二、违约责任</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1、甲方无正当理由拒收接受服务的，甲方向乙方偿付合同款项百分之五作为违约金。</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2、甲方无故逾期验收和办理款项支付手续的，甲方应按逾期付款总额每日万分之五向乙方支付违约金，赔付上线为合同总额的百分之五。</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3、乙方未能如期提供服务的，每逾期一日向甲方支付合同款项的万分之五作为违约金，赔付上线为合同总额的百分之五。</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4、乙方因未能如期提供服务或因其他违约行为导致甲方解除合同的，乙方应向甲方支付合同总值的百分之五违约金。</w:t>
      </w:r>
    </w:p>
    <w:p>
      <w:pPr>
        <w:pStyle w:val="619"/>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十三、不可抗力事件处理</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1、在合同有效期内，任何一方因不可抗力事件导致不能履行合同，则合同履行期可延长，其延长期与不可抗力影响期相同。</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2、不可抗力事件发生后，应立即通知对方，并寄送有关权威机构出具的证明。</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3、不可抗力事件延续120天以上，双方应通过友好协商，确定是否继续履行合同。</w:t>
      </w:r>
    </w:p>
    <w:p>
      <w:pPr>
        <w:pStyle w:val="619"/>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十四、诉讼</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双方在执行合同中所发生的一切争议，应通过协商解决。如协商不成，可向甲方所在地法院起诉。</w:t>
      </w:r>
    </w:p>
    <w:p>
      <w:pPr>
        <w:pStyle w:val="619"/>
        <w:snapToGrid w:val="0"/>
        <w:spacing w:line="360" w:lineRule="auto"/>
        <w:ind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十五、合同生效及其它</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1、合同经双方法定代表人或授权代表签字或盖章并加盖单位公章后生效。</w:t>
      </w:r>
    </w:p>
    <w:p>
      <w:pPr>
        <w:pStyle w:val="619"/>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2、合同执行中涉及采购资金和采购内容修改或补充的，须签书面补充协议，方可作为主合同不可分割的一部分并备案。</w:t>
      </w:r>
    </w:p>
    <w:p>
      <w:pPr>
        <w:shd w:val="clear" w:color="auto" w:fill="FFFFFF"/>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招标文件、投标文件及评标过程中形成的文字资料、询标纪要均作为本合同的组成部分，具有同等效力。本合同未尽事宜，依据《中华人民共和国民法典》（第三编合同）和《中华人民共和国政府釆购法》的有关规定，双方经协商。</w:t>
      </w:r>
    </w:p>
    <w:p>
      <w:pPr>
        <w:pStyle w:val="34"/>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szCs w:val="24"/>
        </w:rPr>
        <w:t>4、本合同一式</w:t>
      </w:r>
      <w:r>
        <w:rPr>
          <w:rFonts w:hint="eastAsia" w:ascii="仿宋" w:hAnsi="仿宋" w:eastAsia="仿宋" w:cs="仿宋"/>
          <w:color w:val="000000"/>
          <w:sz w:val="24"/>
          <w:szCs w:val="24"/>
          <w:lang w:eastAsia="zh-CN"/>
        </w:rPr>
        <w:t>陆</w:t>
      </w:r>
      <w:r>
        <w:rPr>
          <w:rFonts w:hint="eastAsia" w:ascii="仿宋" w:hAnsi="仿宋" w:eastAsia="仿宋" w:cs="仿宋"/>
          <w:color w:val="000000"/>
          <w:sz w:val="24"/>
          <w:szCs w:val="24"/>
        </w:rPr>
        <w:t>份，具有同等法律效力，甲乙双方各执</w:t>
      </w:r>
      <w:r>
        <w:rPr>
          <w:rFonts w:hint="eastAsia" w:ascii="仿宋" w:hAnsi="仿宋" w:eastAsia="仿宋" w:cs="仿宋"/>
          <w:color w:val="000000"/>
          <w:sz w:val="24"/>
          <w:szCs w:val="24"/>
          <w:lang w:eastAsia="zh-CN"/>
        </w:rPr>
        <w:t>叁</w:t>
      </w:r>
      <w:r>
        <w:rPr>
          <w:rFonts w:hint="eastAsia" w:ascii="仿宋" w:hAnsi="仿宋" w:eastAsia="仿宋" w:cs="仿宋"/>
          <w:color w:val="000000"/>
          <w:sz w:val="24"/>
          <w:szCs w:val="24"/>
        </w:rPr>
        <w:t>份。</w:t>
      </w:r>
    </w:p>
    <w:p>
      <w:pPr>
        <w:snapToGrid w:val="0"/>
        <w:spacing w:line="360" w:lineRule="auto"/>
        <w:ind w:firstLine="480" w:firstLineChars="200"/>
        <w:rPr>
          <w:rFonts w:hint="eastAsia" w:ascii="仿宋" w:hAnsi="仿宋" w:eastAsia="仿宋" w:cs="仿宋"/>
          <w:color w:val="000000"/>
          <w:sz w:val="24"/>
        </w:rPr>
      </w:pP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甲方（盖章）：                            乙方（盖章）：        </w:t>
      </w:r>
    </w:p>
    <w:p>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法定代表人：                              法定代表人：    </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或受委托人（签字</w:t>
      </w:r>
      <w:r>
        <w:rPr>
          <w:rFonts w:hint="eastAsia" w:ascii="仿宋" w:hAnsi="仿宋" w:eastAsia="仿宋" w:cs="仿宋"/>
          <w:color w:val="000000"/>
          <w:sz w:val="24"/>
          <w:lang w:eastAsia="zh-CN"/>
        </w:rPr>
        <w:t>或盖章</w:t>
      </w:r>
      <w:r>
        <w:rPr>
          <w:rFonts w:hint="eastAsia" w:ascii="仿宋" w:hAnsi="仿宋" w:eastAsia="仿宋" w:cs="仿宋"/>
          <w:color w:val="000000"/>
          <w:sz w:val="24"/>
        </w:rPr>
        <w:t>）：                或受委托人（签字</w:t>
      </w:r>
      <w:r>
        <w:rPr>
          <w:rFonts w:hint="eastAsia" w:ascii="仿宋" w:hAnsi="仿宋" w:eastAsia="仿宋" w:cs="仿宋"/>
          <w:color w:val="000000"/>
          <w:sz w:val="24"/>
          <w:lang w:eastAsia="zh-CN"/>
        </w:rPr>
        <w:t>或盖章</w:t>
      </w:r>
      <w:r>
        <w:rPr>
          <w:rFonts w:hint="eastAsia" w:ascii="仿宋" w:hAnsi="仿宋" w:eastAsia="仿宋" w:cs="仿宋"/>
          <w:color w:val="000000"/>
          <w:sz w:val="24"/>
        </w:rPr>
        <w:t xml:space="preserve">）：  </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联系人：                                  联系人：</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地址：                                    地址： </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电话：                                    电话：</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传真：                                    传真：</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开户银行：                                开户银行： </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帐号：                                    帐号：</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签订时间：                                签订时间：</w:t>
      </w:r>
    </w:p>
    <w:p>
      <w:pPr>
        <w:pStyle w:val="26"/>
        <w:spacing w:line="360" w:lineRule="auto"/>
        <w:ind w:firstLine="480"/>
        <w:rPr>
          <w:rFonts w:hint="eastAsia" w:ascii="仿宋" w:hAnsi="仿宋" w:eastAsia="仿宋" w:cs="仿宋"/>
          <w:color w:val="000000"/>
          <w:sz w:val="24"/>
        </w:rPr>
      </w:pPr>
    </w:p>
    <w:p>
      <w:pPr>
        <w:pStyle w:val="26"/>
        <w:spacing w:line="360" w:lineRule="auto"/>
        <w:ind w:firstLine="480"/>
        <w:rPr>
          <w:rFonts w:hint="eastAsia" w:ascii="仿宋" w:hAnsi="仿宋" w:eastAsia="仿宋" w:cs="仿宋"/>
          <w:color w:val="000000"/>
          <w:sz w:val="24"/>
        </w:rPr>
      </w:pPr>
    </w:p>
    <w:p>
      <w:pPr>
        <w:pStyle w:val="26"/>
        <w:spacing w:line="360" w:lineRule="auto"/>
        <w:ind w:firstLine="480"/>
        <w:rPr>
          <w:rFonts w:hint="eastAsia" w:ascii="仿宋" w:hAnsi="仿宋" w:eastAsia="仿宋" w:cs="仿宋"/>
          <w:color w:val="000000"/>
          <w:sz w:val="24"/>
        </w:rPr>
      </w:pPr>
    </w:p>
    <w:p>
      <w:pPr>
        <w:pStyle w:val="26"/>
        <w:spacing w:line="360" w:lineRule="auto"/>
        <w:ind w:firstLine="5280" w:firstLineChars="2200"/>
        <w:rPr>
          <w:rFonts w:hint="eastAsia" w:ascii="仿宋" w:hAnsi="仿宋" w:eastAsia="仿宋" w:cs="仿宋"/>
          <w:color w:val="000000"/>
          <w:sz w:val="24"/>
        </w:rPr>
      </w:pPr>
      <w:r>
        <w:rPr>
          <w:rFonts w:hint="eastAsia" w:ascii="仿宋" w:hAnsi="仿宋" w:eastAsia="仿宋" w:cs="仿宋"/>
          <w:color w:val="000000"/>
          <w:sz w:val="24"/>
        </w:rPr>
        <w:t>签订地点：</w:t>
      </w:r>
    </w:p>
    <w:p>
      <w:pPr>
        <w:spacing w:line="360" w:lineRule="auto"/>
        <w:ind w:left="720" w:firstLine="723" w:firstLineChars="200"/>
        <w:outlineLvl w:val="0"/>
        <w:rPr>
          <w:rFonts w:hint="eastAsia" w:ascii="仿宋" w:hAnsi="仿宋" w:eastAsia="仿宋" w:cs="仿宋"/>
          <w:b/>
          <w:bCs/>
          <w:sz w:val="36"/>
          <w:szCs w:val="36"/>
        </w:rPr>
      </w:pPr>
    </w:p>
    <w:p>
      <w:pPr>
        <w:spacing w:line="360" w:lineRule="auto"/>
        <w:ind w:left="720" w:firstLine="723" w:firstLineChars="200"/>
        <w:outlineLvl w:val="0"/>
        <w:rPr>
          <w:rFonts w:ascii="仿宋" w:hAnsi="仿宋" w:eastAsia="仿宋"/>
          <w:b/>
          <w:bCs/>
          <w:sz w:val="36"/>
          <w:szCs w:val="36"/>
        </w:rPr>
      </w:pPr>
      <w:r>
        <w:rPr>
          <w:rFonts w:hint="eastAsia" w:ascii="仿宋" w:hAnsi="仿宋" w:eastAsia="仿宋" w:cs="仿宋"/>
          <w:b/>
          <w:bCs/>
          <w:sz w:val="36"/>
          <w:szCs w:val="36"/>
        </w:rPr>
        <w:t>第六部分</w:t>
      </w:r>
      <w:r>
        <w:rPr>
          <w:rFonts w:ascii="仿宋" w:hAnsi="仿宋" w:eastAsia="仿宋" w:cs="仿宋"/>
          <w:b/>
          <w:bCs/>
          <w:sz w:val="36"/>
          <w:szCs w:val="36"/>
        </w:rPr>
        <w:t xml:space="preserve"> </w:t>
      </w:r>
      <w:r>
        <w:rPr>
          <w:rFonts w:hint="eastAsia" w:ascii="仿宋" w:hAnsi="仿宋" w:eastAsia="仿宋" w:cs="仿宋"/>
          <w:b/>
          <w:bCs/>
          <w:sz w:val="36"/>
          <w:szCs w:val="36"/>
        </w:rPr>
        <w:t>应提交的有关格式范例</w:t>
      </w:r>
    </w:p>
    <w:p>
      <w:pPr>
        <w:spacing w:line="360" w:lineRule="auto"/>
        <w:jc w:val="center"/>
        <w:outlineLvl w:val="0"/>
        <w:rPr>
          <w:rFonts w:ascii="仿宋_GB2312" w:hAnsi="仿宋" w:eastAsia="仿宋_GB2312"/>
          <w:b/>
          <w:bCs/>
          <w:kern w:val="0"/>
          <w:sz w:val="36"/>
          <w:szCs w:val="36"/>
        </w:rPr>
      </w:pPr>
    </w:p>
    <w:p>
      <w:pPr>
        <w:spacing w:line="360" w:lineRule="auto"/>
        <w:jc w:val="center"/>
        <w:outlineLvl w:val="0"/>
        <w:rPr>
          <w:rFonts w:ascii="仿宋_GB2312" w:hAnsi="仿宋" w:eastAsia="仿宋_GB2312"/>
          <w:b/>
          <w:bCs/>
          <w:kern w:val="0"/>
          <w:sz w:val="36"/>
          <w:szCs w:val="36"/>
        </w:rPr>
      </w:pPr>
      <w:r>
        <w:rPr>
          <w:rFonts w:hint="eastAsia" w:ascii="仿宋_GB2312" w:hAnsi="仿宋" w:eastAsia="仿宋_GB2312" w:cs="仿宋_GB2312"/>
          <w:b/>
          <w:bCs/>
          <w:kern w:val="0"/>
          <w:sz w:val="36"/>
          <w:szCs w:val="36"/>
        </w:rPr>
        <w:t>资格文件部分</w:t>
      </w:r>
    </w:p>
    <w:p>
      <w:pPr>
        <w:spacing w:line="360" w:lineRule="auto"/>
        <w:jc w:val="center"/>
        <w:outlineLvl w:val="0"/>
        <w:rPr>
          <w:rFonts w:ascii="仿宋_GB2312" w:hAnsi="仿宋" w:eastAsia="仿宋_GB2312"/>
          <w:b/>
          <w:bCs/>
          <w:kern w:val="0"/>
          <w:sz w:val="36"/>
          <w:szCs w:val="36"/>
        </w:rPr>
      </w:pPr>
      <w:r>
        <w:rPr>
          <w:rFonts w:hint="eastAsia" w:ascii="仿宋_GB2312" w:hAnsi="仿宋" w:eastAsia="仿宋_GB2312" w:cs="仿宋_GB2312"/>
          <w:b/>
          <w:bCs/>
          <w:kern w:val="0"/>
          <w:sz w:val="36"/>
          <w:szCs w:val="36"/>
        </w:rPr>
        <w:t>目录</w:t>
      </w:r>
    </w:p>
    <w:p>
      <w:pPr>
        <w:spacing w:line="360" w:lineRule="auto"/>
        <w:jc w:val="center"/>
        <w:outlineLvl w:val="0"/>
        <w:rPr>
          <w:rFonts w:ascii="仿宋_GB2312" w:hAnsi="仿宋" w:eastAsia="仿宋_GB2312"/>
          <w:b/>
          <w:bCs/>
          <w:kern w:val="0"/>
          <w:sz w:val="36"/>
          <w:szCs w:val="36"/>
        </w:rPr>
      </w:pP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1</w:t>
      </w:r>
      <w:r>
        <w:rPr>
          <w:rFonts w:hint="eastAsia" w:ascii="仿宋_GB2312" w:hAnsi="仿宋" w:eastAsia="仿宋_GB2312" w:cs="仿宋_GB2312"/>
          <w:sz w:val="24"/>
          <w:szCs w:val="24"/>
        </w:rPr>
        <w:t>）符合参加政府采购活动应当具备的一般条件的承诺函……………（页码）</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2</w:t>
      </w:r>
      <w:r>
        <w:rPr>
          <w:rFonts w:hint="eastAsia" w:ascii="仿宋_GB2312" w:hAnsi="仿宋" w:eastAsia="仿宋_GB2312" w:cs="仿宋_GB2312"/>
          <w:sz w:val="24"/>
          <w:szCs w:val="24"/>
        </w:rPr>
        <w:t>）落实政府采购政策需满足的资格要求………………………………（页码）</w:t>
      </w:r>
    </w:p>
    <w:p>
      <w:pPr>
        <w:snapToGrid w:val="0"/>
        <w:spacing w:line="360" w:lineRule="auto"/>
        <w:rPr>
          <w:rFonts w:ascii="仿宋_GB2312" w:hAnsi="仿宋" w:eastAsia="仿宋_GB2312"/>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3</w:t>
      </w:r>
      <w:r>
        <w:rPr>
          <w:rFonts w:hint="eastAsia" w:ascii="仿宋_GB2312" w:hAnsi="仿宋" w:eastAsia="仿宋_GB2312" w:cs="仿宋_GB2312"/>
          <w:sz w:val="24"/>
          <w:szCs w:val="24"/>
        </w:rPr>
        <w:t>）本项目的特定资格要求………………………………………………（页码）</w:t>
      </w:r>
    </w:p>
    <w:p>
      <w:pPr>
        <w:pStyle w:val="25"/>
        <w:rPr>
          <w:rFonts w:hint="eastAsia"/>
        </w:rPr>
      </w:pPr>
    </w:p>
    <w:p>
      <w:pPr>
        <w:pStyle w:val="26"/>
        <w:rPr>
          <w:rFonts w:hint="eastAsia"/>
        </w:rPr>
      </w:pPr>
    </w:p>
    <w:p>
      <w:pPr>
        <w:rPr>
          <w:rFonts w:hint="eastAsia"/>
        </w:rPr>
      </w:pPr>
    </w:p>
    <w:p>
      <w:pPr>
        <w:pStyle w:val="26"/>
        <w:rPr>
          <w:rFonts w:hint="eastAsia"/>
        </w:rPr>
      </w:pPr>
    </w:p>
    <w:p>
      <w:pPr>
        <w:rPr>
          <w:rFonts w:hint="eastAsia"/>
        </w:rPr>
      </w:pPr>
    </w:p>
    <w:p>
      <w:pPr>
        <w:pStyle w:val="26"/>
        <w:rPr>
          <w:rFonts w:hint="eastAsia"/>
        </w:rPr>
      </w:pPr>
    </w:p>
    <w:p>
      <w:pPr>
        <w:rPr>
          <w:rFonts w:hint="eastAsia"/>
        </w:rPr>
      </w:pPr>
    </w:p>
    <w:p>
      <w:pPr>
        <w:pStyle w:val="26"/>
        <w:rPr>
          <w:rFonts w:hint="eastAsia"/>
        </w:rPr>
      </w:pPr>
    </w:p>
    <w:p>
      <w:pPr>
        <w:rPr>
          <w:rFonts w:hint="eastAsia"/>
        </w:rPr>
      </w:pPr>
    </w:p>
    <w:p>
      <w:pPr>
        <w:pStyle w:val="26"/>
        <w:rPr>
          <w:rFonts w:hint="eastAsia"/>
        </w:rPr>
      </w:pPr>
    </w:p>
    <w:p>
      <w:pPr>
        <w:rPr>
          <w:rFonts w:hint="eastAsia"/>
        </w:rPr>
      </w:pPr>
    </w:p>
    <w:p>
      <w:pPr>
        <w:pStyle w:val="26"/>
        <w:rPr>
          <w:rFonts w:hint="eastAsia"/>
        </w:rPr>
      </w:pPr>
    </w:p>
    <w:p>
      <w:pPr>
        <w:rPr>
          <w:rFonts w:hint="eastAsia"/>
        </w:rPr>
      </w:pPr>
    </w:p>
    <w:p>
      <w:pPr>
        <w:pStyle w:val="26"/>
        <w:rPr>
          <w:rFonts w:hint="eastAsia"/>
        </w:rPr>
      </w:pPr>
    </w:p>
    <w:p>
      <w:pPr>
        <w:rPr>
          <w:rFonts w:hint="eastAsia"/>
        </w:rPr>
      </w:pPr>
    </w:p>
    <w:p>
      <w:pPr>
        <w:pStyle w:val="26"/>
        <w:rPr>
          <w:rFonts w:hint="eastAsia"/>
        </w:rPr>
      </w:pPr>
    </w:p>
    <w:p>
      <w:pPr>
        <w:rPr>
          <w:rFonts w:hint="eastAsia"/>
        </w:rPr>
      </w:pPr>
    </w:p>
    <w:p>
      <w:pPr>
        <w:pStyle w:val="26"/>
        <w:rPr>
          <w:rFonts w:hint="eastAsia"/>
        </w:rPr>
      </w:pPr>
    </w:p>
    <w:p>
      <w:pPr>
        <w:rPr>
          <w:rFonts w:hint="eastAsia"/>
        </w:rPr>
      </w:pPr>
    </w:p>
    <w:p>
      <w:pPr>
        <w:pStyle w:val="26"/>
        <w:rPr>
          <w:rFonts w:hint="eastAsia"/>
        </w:rPr>
      </w:pPr>
    </w:p>
    <w:p>
      <w:pPr>
        <w:rPr>
          <w:rFonts w:hint="eastAsia"/>
        </w:rPr>
      </w:pPr>
    </w:p>
    <w:p>
      <w:pPr>
        <w:pStyle w:val="26"/>
        <w:rPr>
          <w:rFonts w:hint="eastAsia"/>
        </w:rPr>
      </w:pPr>
    </w:p>
    <w:p>
      <w:pPr>
        <w:rPr>
          <w:rFonts w:hint="eastAsia"/>
        </w:rPr>
      </w:pPr>
    </w:p>
    <w:p>
      <w:pPr>
        <w:pStyle w:val="26"/>
        <w:rPr>
          <w:rFonts w:hint="eastAsia"/>
        </w:rPr>
      </w:pPr>
    </w:p>
    <w:p>
      <w:pPr>
        <w:rPr>
          <w:rFonts w:hint="eastAsia"/>
        </w:rPr>
      </w:pPr>
    </w:p>
    <w:p>
      <w:pPr>
        <w:pStyle w:val="26"/>
        <w:rPr>
          <w:rFonts w:hint="eastAsia"/>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8"/>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8"/>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88"/>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lang w:val="en-US" w:eastAsia="zh-CN"/>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vAlign w:val="top"/>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vAlign w:val="top"/>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vAlign w:val="top"/>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5"/>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vAlign w:val="top"/>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vAlign w:val="top"/>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vAlign w:val="top"/>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vAlign w:val="top"/>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vAlign w:val="top"/>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jc w:val="center"/>
              <w:rPr>
                <w:rFonts w:ascii="仿宋_GB2312" w:hAnsi="仿宋" w:eastAsia="仿宋_GB2312" w:cs="仿宋_GB2312"/>
                <w:b/>
                <w:kern w:val="0"/>
                <w:sz w:val="32"/>
                <w:szCs w:val="32"/>
              </w:rPr>
            </w:pPr>
          </w:p>
        </w:tc>
        <w:tc>
          <w:tcPr>
            <w:tcW w:w="3546" w:type="dxa"/>
            <w:vAlign w:val="top"/>
          </w:tcPr>
          <w:p>
            <w:pPr>
              <w:jc w:val="center"/>
              <w:rPr>
                <w:rFonts w:ascii="仿宋_GB2312" w:hAnsi="仿宋" w:eastAsia="仿宋_GB2312" w:cs="仿宋_GB2312"/>
                <w:b/>
                <w:kern w:val="0"/>
                <w:sz w:val="32"/>
                <w:szCs w:val="32"/>
              </w:rPr>
            </w:pPr>
          </w:p>
        </w:tc>
        <w:tc>
          <w:tcPr>
            <w:tcW w:w="1276" w:type="dxa"/>
            <w:vAlign w:val="top"/>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7"/>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w:t>
      </w:r>
      <w:r>
        <w:rPr>
          <w:rFonts w:hint="eastAsia" w:ascii="仿宋_GB2312" w:hAnsi="仿宋" w:eastAsia="仿宋_GB2312" w:cs="仿宋_GB2312"/>
          <w:b/>
          <w:kern w:val="0"/>
          <w:sz w:val="24"/>
          <w:lang w:val="zh-CN"/>
        </w:rPr>
        <w:t>元/吨</w:t>
      </w:r>
      <w:r>
        <w:rPr>
          <w:rFonts w:ascii="仿宋_GB2312" w:hAnsi="仿宋" w:eastAsia="仿宋_GB2312" w:cs="仿宋_GB2312"/>
          <w:b/>
          <w:kern w:val="0"/>
          <w:sz w:val="24"/>
          <w:lang w:val="zh-CN"/>
        </w:rPr>
        <w:t>)</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vAlign w:val="top"/>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377"/>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pStyle w:val="5"/>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pStyle w:val="5"/>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pStyle w:val="5"/>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pStyle w:val="5"/>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pStyle w:val="5"/>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pStyle w:val="5"/>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pStyle w:val="5"/>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pStyle w:val="5"/>
        <w:rPr>
          <w:rFonts w:ascii="仿宋_GB2312" w:hAnsi="仿宋" w:eastAsia="仿宋_GB2312" w:cs="仿宋_GB2312"/>
          <w:b/>
          <w:kern w:val="0"/>
          <w:sz w:val="36"/>
          <w:szCs w:val="36"/>
        </w:rPr>
      </w:pPr>
    </w:p>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4"/>
        <w:pageBreakBefore/>
        <w:widowControl/>
        <w:spacing w:before="100" w:beforeAutospacing="1" w:after="100" w:afterAutospacing="1" w:line="360" w:lineRule="auto"/>
        <w:ind w:left="1290" w:firstLine="3092" w:firstLineChars="700"/>
        <w:rPr>
          <w:rFonts w:ascii="仿宋_GB2312" w:hAnsi="仿宋" w:eastAsia="仿宋_GB2312"/>
        </w:rPr>
      </w:pPr>
      <w:bookmarkStart w:id="396" w:name="_Toc465665161"/>
      <w:r>
        <w:rPr>
          <w:rFonts w:hint="eastAsia" w:ascii="仿宋_GB2312" w:hAnsi="仿宋" w:eastAsia="仿宋_GB2312"/>
        </w:rPr>
        <w:t>附件</w:t>
      </w:r>
      <w:bookmarkEnd w:id="396"/>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7" w:name="OLE_LINK13"/>
      <w:bookmarkStart w:id="398" w:name="OLE_LINK14"/>
      <w:r>
        <w:rPr>
          <w:rFonts w:hint="eastAsia" w:ascii="仿宋_GB2312" w:hAnsi="仿宋" w:eastAsia="仿宋_GB2312"/>
          <w:b/>
          <w:spacing w:val="6"/>
          <w:sz w:val="32"/>
          <w:szCs w:val="32"/>
        </w:rPr>
        <w:t>残疾人福利性单位声明函</w:t>
      </w:r>
    </w:p>
    <w:bookmarkEnd w:id="397"/>
    <w:bookmarkEnd w:id="398"/>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lang w:val="en-US"/>
        </w:rPr>
      </w:pPr>
    </w:p>
    <w:p>
      <w:pPr>
        <w:spacing w:line="360" w:lineRule="auto"/>
        <w:ind w:right="420"/>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PMingLiU_x0004_falt">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9" w:name="_Toc91899912"/>
    <w:bookmarkStart w:id="400" w:name="_Toc131845147"/>
    <w:bookmarkStart w:id="401" w:name="_Toc164085800"/>
    <w:bookmarkStart w:id="402" w:name="_Toc36110187"/>
    <w:r>
      <w:rPr>
        <w:rFonts w:hint="eastAsia" w:ascii="仿宋_GB2312" w:eastAsia="仿宋_GB2312"/>
        <w:kern w:val="0"/>
        <w:szCs w:val="21"/>
      </w:rPr>
      <w:t xml:space="preserve"> 页</w:t>
    </w:r>
    <w:bookmarkEnd w:id="399"/>
    <w:bookmarkEnd w:id="400"/>
    <w:bookmarkEnd w:id="401"/>
    <w:bookmarkEnd w:id="4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849D3"/>
    <w:multiLevelType w:val="singleLevel"/>
    <w:tmpl w:val="982849D3"/>
    <w:lvl w:ilvl="0" w:tentative="0">
      <w:start w:val="1"/>
      <w:numFmt w:val="chineseCounting"/>
      <w:suff w:val="nothing"/>
      <w:lvlText w:val="%1、"/>
      <w:lvlJc w:val="left"/>
      <w:rPr>
        <w:rFonts w:hint="eastAsia"/>
      </w:rPr>
    </w:lvl>
  </w:abstractNum>
  <w:abstractNum w:abstractNumId="1">
    <w:nsid w:val="CF428513"/>
    <w:multiLevelType w:val="singleLevel"/>
    <w:tmpl w:val="CF428513"/>
    <w:lvl w:ilvl="0" w:tentative="0">
      <w:start w:val="1"/>
      <w:numFmt w:val="decimal"/>
      <w:lvlText w:val="(%1)"/>
      <w:lvlJc w:val="left"/>
      <w:pPr>
        <w:tabs>
          <w:tab w:val="left" w:pos="312"/>
        </w:tabs>
      </w:pPr>
    </w:lvl>
  </w:abstractNum>
  <w:abstractNum w:abstractNumId="2">
    <w:nsid w:val="D2ED86AA"/>
    <w:multiLevelType w:val="singleLevel"/>
    <w:tmpl w:val="D2ED86AA"/>
    <w:lvl w:ilvl="0" w:tentative="0">
      <w:start w:val="1"/>
      <w:numFmt w:val="decimal"/>
      <w:suff w:val="nothing"/>
      <w:lvlText w:val="（%1）"/>
      <w:lvlJc w:val="left"/>
    </w:lvl>
  </w:abstractNum>
  <w:abstractNum w:abstractNumId="3">
    <w:nsid w:val="D84434B6"/>
    <w:multiLevelType w:val="singleLevel"/>
    <w:tmpl w:val="D84434B6"/>
    <w:lvl w:ilvl="0" w:tentative="0">
      <w:start w:val="1"/>
      <w:numFmt w:val="decimal"/>
      <w:suff w:val="nothing"/>
      <w:lvlText w:val="（%1）"/>
      <w:lvlJc w:val="left"/>
    </w:lvl>
  </w:abstractNum>
  <w:abstractNum w:abstractNumId="4">
    <w:nsid w:val="F1EF83B5"/>
    <w:multiLevelType w:val="singleLevel"/>
    <w:tmpl w:val="F1EF83B5"/>
    <w:lvl w:ilvl="0" w:tentative="0">
      <w:start w:val="1"/>
      <w:numFmt w:val="decimal"/>
      <w:suff w:val="nothing"/>
      <w:lvlText w:val="（%1）"/>
      <w:lvlJc w:val="left"/>
    </w:lvl>
  </w:abstractNum>
  <w:abstractNum w:abstractNumId="5">
    <w:nsid w:val="0258BA78"/>
    <w:multiLevelType w:val="singleLevel"/>
    <w:tmpl w:val="0258BA78"/>
    <w:lvl w:ilvl="0" w:tentative="0">
      <w:start w:val="1"/>
      <w:numFmt w:val="decimal"/>
      <w:suff w:val="nothing"/>
      <w:lvlText w:val="（%1）"/>
      <w:lvlJc w:val="left"/>
    </w:lvl>
  </w:abstractNum>
  <w:abstractNum w:abstractNumId="6">
    <w:nsid w:val="0C77FA57"/>
    <w:multiLevelType w:val="singleLevel"/>
    <w:tmpl w:val="0C77FA57"/>
    <w:lvl w:ilvl="0" w:tentative="0">
      <w:start w:val="1"/>
      <w:numFmt w:val="chineseCounting"/>
      <w:suff w:val="nothing"/>
      <w:lvlText w:val="%1、"/>
      <w:lvlJc w:val="left"/>
      <w:rPr>
        <w:rFonts w:hint="eastAsia"/>
      </w:rPr>
    </w:lvl>
  </w:abstractNum>
  <w:abstractNum w:abstractNumId="7">
    <w:nsid w:val="2042AE86"/>
    <w:multiLevelType w:val="singleLevel"/>
    <w:tmpl w:val="2042AE86"/>
    <w:lvl w:ilvl="0" w:tentative="0">
      <w:start w:val="1"/>
      <w:numFmt w:val="decimal"/>
      <w:suff w:val="nothing"/>
      <w:lvlText w:val="（%1）"/>
      <w:lvlJc w:val="left"/>
    </w:lvl>
  </w:abstractNum>
  <w:abstractNum w:abstractNumId="8">
    <w:nsid w:val="380956A8"/>
    <w:multiLevelType w:val="singleLevel"/>
    <w:tmpl w:val="380956A8"/>
    <w:lvl w:ilvl="0" w:tentative="0">
      <w:start w:val="3"/>
      <w:numFmt w:val="chineseCounting"/>
      <w:suff w:val="space"/>
      <w:lvlText w:val="第%1部分"/>
      <w:lvlJc w:val="left"/>
      <w:rPr>
        <w:rFonts w:hint="eastAsia"/>
      </w:rPr>
    </w:lvl>
  </w:abstractNum>
  <w:abstractNum w:abstractNumId="9">
    <w:nsid w:val="3CAC6232"/>
    <w:multiLevelType w:val="singleLevel"/>
    <w:tmpl w:val="3CAC6232"/>
    <w:lvl w:ilvl="0" w:tentative="0">
      <w:start w:val="1"/>
      <w:numFmt w:val="decimal"/>
      <w:suff w:val="nothing"/>
      <w:lvlText w:val="（%1）"/>
      <w:lvlJc w:val="left"/>
    </w:lvl>
  </w:abstractNum>
  <w:abstractNum w:abstractNumId="10">
    <w:nsid w:val="40588264"/>
    <w:multiLevelType w:val="singleLevel"/>
    <w:tmpl w:val="40588264"/>
    <w:lvl w:ilvl="0" w:tentative="0">
      <w:start w:val="1"/>
      <w:numFmt w:val="decimal"/>
      <w:suff w:val="nothing"/>
      <w:lvlText w:val="%1、"/>
      <w:lvlJc w:val="left"/>
    </w:lvl>
  </w:abstractNum>
  <w:abstractNum w:abstractNumId="11">
    <w:nsid w:val="4767C575"/>
    <w:multiLevelType w:val="singleLevel"/>
    <w:tmpl w:val="4767C575"/>
    <w:lvl w:ilvl="0" w:tentative="0">
      <w:start w:val="1"/>
      <w:numFmt w:val="ideographTraditional"/>
      <w:suff w:val="nothing"/>
      <w:lvlText w:val="%1、"/>
      <w:lvlJc w:val="left"/>
      <w:rPr>
        <w:rFonts w:hint="eastAsia"/>
      </w:rPr>
    </w:lvl>
  </w:abstractNum>
  <w:abstractNum w:abstractNumId="12">
    <w:nsid w:val="6C4EBF17"/>
    <w:multiLevelType w:val="singleLevel"/>
    <w:tmpl w:val="6C4EBF17"/>
    <w:lvl w:ilvl="0" w:tentative="0">
      <w:start w:val="1"/>
      <w:numFmt w:val="decimal"/>
      <w:suff w:val="nothing"/>
      <w:lvlText w:val="（%1）"/>
      <w:lvlJc w:val="left"/>
    </w:lvl>
  </w:abstractNum>
  <w:num w:numId="1">
    <w:abstractNumId w:val="8"/>
  </w:num>
  <w:num w:numId="2">
    <w:abstractNumId w:val="0"/>
  </w:num>
  <w:num w:numId="3">
    <w:abstractNumId w:val="6"/>
  </w:num>
  <w:num w:numId="4">
    <w:abstractNumId w:val="10"/>
  </w:num>
  <w:num w:numId="5">
    <w:abstractNumId w:val="1"/>
  </w:num>
  <w:num w:numId="6">
    <w:abstractNumId w:val="9"/>
  </w:num>
  <w:num w:numId="7">
    <w:abstractNumId w:val="12"/>
  </w:num>
  <w:num w:numId="8">
    <w:abstractNumId w:val="3"/>
  </w:num>
  <w:num w:numId="9">
    <w:abstractNumId w:val="5"/>
  </w:num>
  <w:num w:numId="10">
    <w:abstractNumId w:val="4"/>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NTc1MTljMDA0ZWI0ZjljNTEwZjI5MzUwYjAxOTgifQ=="/>
  </w:docVars>
  <w:rsids>
    <w:rsidRoot w:val="00000000"/>
    <w:rsid w:val="01161381"/>
    <w:rsid w:val="059E36F3"/>
    <w:rsid w:val="063B64D4"/>
    <w:rsid w:val="10C5247C"/>
    <w:rsid w:val="114525FF"/>
    <w:rsid w:val="130059ED"/>
    <w:rsid w:val="142F2A6F"/>
    <w:rsid w:val="15995A08"/>
    <w:rsid w:val="1BA033DB"/>
    <w:rsid w:val="1C7134B8"/>
    <w:rsid w:val="1E8D196C"/>
    <w:rsid w:val="232C333B"/>
    <w:rsid w:val="268D7140"/>
    <w:rsid w:val="298E38FB"/>
    <w:rsid w:val="2A8F01B6"/>
    <w:rsid w:val="2DC518B5"/>
    <w:rsid w:val="2E156399"/>
    <w:rsid w:val="31813D45"/>
    <w:rsid w:val="31EF0CAF"/>
    <w:rsid w:val="340E5193"/>
    <w:rsid w:val="350C1B78"/>
    <w:rsid w:val="39007C46"/>
    <w:rsid w:val="3E9B4335"/>
    <w:rsid w:val="40E1035D"/>
    <w:rsid w:val="44FF5255"/>
    <w:rsid w:val="47523D62"/>
    <w:rsid w:val="47E744AA"/>
    <w:rsid w:val="49192D8E"/>
    <w:rsid w:val="4F710AFD"/>
    <w:rsid w:val="51422751"/>
    <w:rsid w:val="53A71E00"/>
    <w:rsid w:val="5563713A"/>
    <w:rsid w:val="55E77D6B"/>
    <w:rsid w:val="59B945C2"/>
    <w:rsid w:val="5AE900E2"/>
    <w:rsid w:val="5B6D2AC1"/>
    <w:rsid w:val="5DDD4B61"/>
    <w:rsid w:val="5E6C7060"/>
    <w:rsid w:val="61776447"/>
    <w:rsid w:val="66976C44"/>
    <w:rsid w:val="6CC85DA9"/>
    <w:rsid w:val="7416093F"/>
    <w:rsid w:val="743D06C8"/>
    <w:rsid w:val="780B56E4"/>
    <w:rsid w:val="78807F3E"/>
    <w:rsid w:val="79DA536E"/>
    <w:rsid w:val="79FC1788"/>
    <w:rsid w:val="7F6E0A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936"/>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838"/>
    <w:qFormat/>
    <w:uiPriority w:val="0"/>
    <w:pPr>
      <w:ind w:firstLine="420"/>
    </w:pPr>
    <w:rPr>
      <w:rFonts w:hAnsi="Calibri" w:cs="Times New Roman"/>
      <w:szCs w:val="20"/>
    </w:rPr>
  </w:style>
  <w:style w:type="paragraph" w:styleId="7">
    <w:name w:val="Normal Indent"/>
    <w:basedOn w:val="1"/>
    <w:link w:val="72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1"/>
    <w:qFormat/>
    <w:uiPriority w:val="0"/>
    <w:pPr>
      <w:shd w:val="clear" w:color="auto" w:fill="000080"/>
    </w:pPr>
  </w:style>
  <w:style w:type="paragraph" w:styleId="21">
    <w:name w:val="annotation text"/>
    <w:basedOn w:val="1"/>
    <w:link w:val="859"/>
    <w:qFormat/>
    <w:uiPriority w:val="99"/>
    <w:pPr>
      <w:jc w:val="left"/>
    </w:pPr>
  </w:style>
  <w:style w:type="paragraph" w:styleId="22">
    <w:name w:val="Salutation"/>
    <w:basedOn w:val="1"/>
    <w:next w:val="1"/>
    <w:link w:val="819"/>
    <w:qFormat/>
    <w:uiPriority w:val="0"/>
    <w:rPr>
      <w:rFonts w:ascii="仿宋_GB2312" w:eastAsia="仿宋_GB2312"/>
      <w:sz w:val="28"/>
      <w:szCs w:val="20"/>
    </w:rPr>
  </w:style>
  <w:style w:type="paragraph" w:styleId="23">
    <w:name w:val="Body Text 3"/>
    <w:basedOn w:val="1"/>
    <w:link w:val="84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787"/>
    <w:qFormat/>
    <w:uiPriority w:val="0"/>
    <w:pPr>
      <w:spacing w:line="480" w:lineRule="exact"/>
      <w:ind w:firstLine="480" w:firstLineChars="200"/>
    </w:pPr>
    <w:rPr>
      <w:rFonts w:ascii="宋体" w:hAnsi="宋体"/>
      <w:sz w:val="24"/>
    </w:rPr>
  </w:style>
  <w:style w:type="paragraph" w:styleId="26">
    <w:name w:val="Body Text First Indent 2"/>
    <w:basedOn w:val="25"/>
    <w:next w:val="1"/>
    <w:link w:val="659"/>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3"/>
    <w:qFormat/>
    <w:uiPriority w:val="0"/>
    <w:pPr>
      <w:ind w:left="100" w:leftChars="2500"/>
    </w:pPr>
    <w:rPr>
      <w:rFonts w:ascii="宋体"/>
      <w:sz w:val="24"/>
      <w:szCs w:val="21"/>
      <w:lang w:val="zh-CN"/>
    </w:rPr>
  </w:style>
  <w:style w:type="paragraph" w:styleId="38">
    <w:name w:val="Body Text Indent 2"/>
    <w:basedOn w:val="1"/>
    <w:link w:val="827"/>
    <w:qFormat/>
    <w:uiPriority w:val="0"/>
    <w:pPr>
      <w:spacing w:line="360" w:lineRule="auto"/>
      <w:ind w:firstLine="601"/>
      <w:textAlignment w:val="baseline"/>
    </w:pPr>
    <w:rPr>
      <w:rFonts w:ascii="宋体"/>
      <w:kern w:val="0"/>
      <w:sz w:val="28"/>
      <w:szCs w:val="20"/>
    </w:rPr>
  </w:style>
  <w:style w:type="paragraph" w:styleId="39">
    <w:name w:val="endnote text"/>
    <w:basedOn w:val="1"/>
    <w:link w:val="944"/>
    <w:qFormat/>
    <w:uiPriority w:val="0"/>
    <w:rPr>
      <w:lang w:val="zh-CN"/>
    </w:rPr>
  </w:style>
  <w:style w:type="paragraph" w:styleId="40">
    <w:name w:val="Balloon Text"/>
    <w:basedOn w:val="1"/>
    <w:link w:val="720"/>
    <w:qFormat/>
    <w:uiPriority w:val="0"/>
    <w:rPr>
      <w:sz w:val="18"/>
      <w:szCs w:val="18"/>
    </w:rPr>
  </w:style>
  <w:style w:type="paragraph" w:styleId="41">
    <w:name w:val="footer"/>
    <w:basedOn w:val="1"/>
    <w:link w:val="895"/>
    <w:qFormat/>
    <w:uiPriority w:val="99"/>
    <w:pPr>
      <w:tabs>
        <w:tab w:val="center" w:pos="4153"/>
        <w:tab w:val="right" w:pos="8306"/>
      </w:tabs>
      <w:snapToGrid w:val="0"/>
      <w:jc w:val="left"/>
    </w:pPr>
    <w:rPr>
      <w:sz w:val="18"/>
      <w:szCs w:val="18"/>
    </w:rPr>
  </w:style>
  <w:style w:type="paragraph" w:styleId="42">
    <w:name w:val="envelope return"/>
    <w:basedOn w:val="1"/>
    <w:unhideWhenUsed/>
    <w:qFormat/>
    <w:uiPriority w:val="99"/>
    <w:pPr>
      <w:snapToGrid w:val="0"/>
    </w:pPr>
    <w:rPr>
      <w:rFonts w:ascii="Arial" w:hAnsi="Arial"/>
    </w:rPr>
  </w:style>
  <w:style w:type="paragraph" w:styleId="43">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0"/>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829"/>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3"/>
    <w:qFormat/>
    <w:uiPriority w:val="0"/>
    <w:pPr>
      <w:spacing w:after="120" w:line="480" w:lineRule="auto"/>
    </w:pPr>
  </w:style>
  <w:style w:type="paragraph" w:styleId="59">
    <w:name w:val="HTML Preformatted"/>
    <w:basedOn w:val="1"/>
    <w:link w:val="8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7"/>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1"/>
    <w:next w:val="21"/>
    <w:link w:val="636"/>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表格非标题文字"/>
    <w:link w:val="62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6"/>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4"/>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41"/>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8"/>
    <w:qFormat/>
    <w:uiPriority w:val="0"/>
    <w:pPr>
      <w:spacing w:before="156" w:line="360" w:lineRule="auto"/>
      <w:ind w:firstLine="510" w:firstLineChars="200"/>
    </w:pPr>
    <w:rPr>
      <w:sz w:val="24"/>
      <w:szCs w:val="20"/>
    </w:rPr>
  </w:style>
  <w:style w:type="paragraph" w:customStyle="1" w:styleId="87">
    <w:name w:val="无间隔1"/>
    <w:link w:val="676"/>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4"/>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4"/>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5"/>
    <w:link w:val="70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3"/>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9"/>
    <w:qFormat/>
    <w:uiPriority w:val="0"/>
    <w:pPr>
      <w:ind w:left="0" w:right="466" w:firstLine="288"/>
    </w:pPr>
    <w:rPr>
      <w:rFonts w:hAnsi="宋体"/>
    </w:rPr>
  </w:style>
  <w:style w:type="paragraph" w:customStyle="1" w:styleId="94">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8"/>
    <w:link w:val="75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3"/>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6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71"/>
    <w:qFormat/>
    <w:uiPriority w:val="0"/>
    <w:pPr>
      <w:adjustRightInd/>
      <w:spacing w:line="360" w:lineRule="auto"/>
      <w:ind w:firstLine="480" w:firstLineChars="200"/>
    </w:pPr>
    <w:rPr>
      <w:kern w:val="0"/>
      <w:sz w:val="24"/>
    </w:rPr>
  </w:style>
  <w:style w:type="paragraph" w:customStyle="1" w:styleId="99">
    <w:name w:val="gf正文1"/>
    <w:basedOn w:val="1"/>
    <w:link w:val="77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802"/>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4"/>
    <w:qFormat/>
    <w:uiPriority w:val="0"/>
    <w:pPr>
      <w:tabs>
        <w:tab w:val="left" w:pos="2356"/>
      </w:tabs>
    </w:pPr>
  </w:style>
  <w:style w:type="paragraph" w:customStyle="1" w:styleId="104">
    <w:name w:val="样式 标题 4h4H4Fab-4T5Ref Heading 1rh1Heading sqlsect 1.2.3...."/>
    <w:basedOn w:val="8"/>
    <w:link w:val="9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7"/>
    <w:qFormat/>
    <w:uiPriority w:val="0"/>
    <w:pPr>
      <w:adjustRightInd/>
    </w:pPr>
    <w:rPr>
      <w:rFonts w:ascii="宋体" w:hAnsi="Courier New"/>
      <w:kern w:val="0"/>
      <w:sz w:val="20"/>
      <w:szCs w:val="20"/>
    </w:rPr>
  </w:style>
  <w:style w:type="paragraph" w:customStyle="1" w:styleId="107">
    <w:name w:val="正文说明"/>
    <w:basedOn w:val="1"/>
    <w:link w:val="849"/>
    <w:qFormat/>
    <w:uiPriority w:val="0"/>
    <w:pPr>
      <w:adjustRightInd/>
      <w:spacing w:line="360" w:lineRule="auto"/>
    </w:pPr>
    <w:rPr>
      <w:kern w:val="0"/>
      <w:sz w:val="24"/>
    </w:rPr>
  </w:style>
  <w:style w:type="paragraph" w:customStyle="1" w:styleId="108">
    <w:name w:val="Table Text"/>
    <w:basedOn w:val="1"/>
    <w:link w:val="855"/>
    <w:qFormat/>
    <w:uiPriority w:val="0"/>
    <w:pPr>
      <w:widowControl/>
      <w:spacing w:before="60" w:after="60"/>
      <w:jc w:val="left"/>
    </w:pPr>
    <w:rPr>
      <w:kern w:val="0"/>
      <w:sz w:val="24"/>
    </w:rPr>
  </w:style>
  <w:style w:type="paragraph" w:customStyle="1" w:styleId="109">
    <w:name w:val="公文正文"/>
    <w:basedOn w:val="1"/>
    <w:link w:val="867"/>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9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900"/>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7"/>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10"/>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6"/>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3"/>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7"/>
    <w:link w:val="93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8"/>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5"/>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6"/>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9"/>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6"/>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8"/>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8"/>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4"/>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8"/>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6"/>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20"/>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9"/>
    <w:next w:val="1"/>
    <w:qFormat/>
    <w:uiPriority w:val="0"/>
    <w:pPr>
      <w:tabs>
        <w:tab w:val="left" w:pos="1080"/>
        <w:tab w:val="clear" w:pos="1008"/>
      </w:tabs>
      <w:ind w:left="1080" w:hanging="1080"/>
    </w:pPr>
  </w:style>
  <w:style w:type="paragraph" w:customStyle="1" w:styleId="581">
    <w:name w:val="数字标题1"/>
    <w:basedOn w:val="4"/>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6"/>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No Spacing1"/>
    <w:qFormat/>
    <w:uiPriority w:val="0"/>
    <w:rPr>
      <w:rFonts w:ascii="Times New Roman" w:hAnsi="Times New Roman" w:eastAsia="??" w:cs="宋体"/>
      <w:sz w:val="22"/>
      <w:szCs w:val="22"/>
      <w:lang w:val="en-US" w:eastAsia="en-US" w:bidi="ar-SA"/>
    </w:rPr>
  </w:style>
  <w:style w:type="paragraph" w:customStyle="1" w:styleId="620">
    <w:name w:val="UserStyle_20"/>
    <w:basedOn w:val="1"/>
    <w:qFormat/>
    <w:uiPriority w:val="0"/>
    <w:pPr>
      <w:shd w:val="clear" w:color="auto" w:fill="FFFFFF"/>
      <w:spacing w:after="240" w:line="200" w:lineRule="exact"/>
      <w:jc w:val="distribute"/>
      <w:textAlignment w:val="baseline"/>
    </w:pPr>
    <w:rPr>
      <w:rFonts w:ascii="PMingLiU" w:hAnsi="PMingLiU" w:eastAsia="PMingLiU"/>
      <w:kern w:val="2"/>
      <w:sz w:val="20"/>
      <w:szCs w:val="20"/>
      <w:lang w:val="en-US" w:eastAsia="zh-CN" w:bidi="ar-SA"/>
    </w:rPr>
  </w:style>
  <w:style w:type="paragraph" w:customStyle="1" w:styleId="621">
    <w:name w:val="Body text|21"/>
    <w:basedOn w:val="1"/>
    <w:link w:val="966"/>
    <w:qFormat/>
    <w:uiPriority w:val="0"/>
    <w:pPr>
      <w:shd w:val="clear" w:color="auto" w:fill="FFFFFF"/>
      <w:spacing w:after="240" w:line="200" w:lineRule="exact"/>
      <w:jc w:val="distribute"/>
    </w:pPr>
    <w:rPr>
      <w:rFonts w:ascii="PMingLiU_x0004_falt" w:hAnsi="PMingLiU_x0004_falt" w:eastAsia="PMingLiU_x0004_falt"/>
      <w:b/>
      <w:kern w:val="0"/>
      <w:sz w:val="20"/>
      <w:szCs w:val="20"/>
    </w:rPr>
  </w:style>
  <w:style w:type="paragraph" w:customStyle="1" w:styleId="622">
    <w:name w:val="[Normal]"/>
    <w:qFormat/>
    <w:uiPriority w:val="0"/>
    <w:rPr>
      <w:rFonts w:ascii="宋体" w:hAnsi="宋体" w:eastAsia="宋体" w:cs="Times New Roman"/>
      <w:sz w:val="24"/>
      <w:szCs w:val="22"/>
      <w:lang w:val="zh-CN" w:eastAsia="zh-CN" w:bidi="ar-SA"/>
    </w:rPr>
  </w:style>
  <w:style w:type="paragraph" w:customStyle="1" w:styleId="623">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624">
    <w:name w:val="正文文本首行缩进 2"/>
    <w:basedOn w:val="25"/>
    <w:qFormat/>
    <w:uiPriority w:val="99"/>
    <w:pPr>
      <w:spacing w:line="200" w:lineRule="atLeast"/>
      <w:ind w:firstLine="420"/>
    </w:pPr>
    <w:rPr>
      <w:rFonts w:ascii="宋体" w:hAnsi="Courier New"/>
      <w:spacing w:val="-4"/>
      <w:sz w:val="18"/>
    </w:rPr>
  </w:style>
  <w:style w:type="character" w:customStyle="1" w:styleId="625">
    <w:name w:val="表格非标题文字 Char"/>
    <w:link w:val="81"/>
    <w:qFormat/>
    <w:uiPriority w:val="0"/>
    <w:rPr>
      <w:rFonts w:ascii="Futura Bk" w:hAnsi="Futura Bk"/>
      <w:kern w:val="2"/>
      <w:sz w:val="18"/>
      <w:szCs w:val="21"/>
      <w:lang w:val="en-US" w:eastAsia="zh-CN" w:bidi="ar-SA"/>
    </w:rPr>
  </w:style>
  <w:style w:type="character" w:customStyle="1" w:styleId="626">
    <w:name w:val="*正文 Char"/>
    <w:link w:val="82"/>
    <w:qFormat/>
    <w:locked/>
    <w:uiPriority w:val="0"/>
    <w:rPr>
      <w:rFonts w:ascii="宋体" w:hAnsi="宋体"/>
      <w:sz w:val="24"/>
    </w:rPr>
  </w:style>
  <w:style w:type="character" w:customStyle="1" w:styleId="627">
    <w:name w:val="Char Char71"/>
    <w:semiHidden/>
    <w:qFormat/>
    <w:uiPriority w:val="0"/>
    <w:rPr>
      <w:rFonts w:eastAsia="宋体"/>
      <w:kern w:val="2"/>
      <w:sz w:val="21"/>
      <w:szCs w:val="24"/>
      <w:lang w:val="en-US" w:eastAsia="zh-CN" w:bidi="ar-SA"/>
    </w:rPr>
  </w:style>
  <w:style w:type="character" w:customStyle="1" w:styleId="628">
    <w:name w:val="Char Char6"/>
    <w:qFormat/>
    <w:uiPriority w:val="0"/>
    <w:rPr>
      <w:rFonts w:eastAsia="宋体"/>
      <w:kern w:val="2"/>
      <w:sz w:val="21"/>
      <w:szCs w:val="24"/>
      <w:lang w:val="en-US" w:eastAsia="zh-CN" w:bidi="ar-SA"/>
    </w:rPr>
  </w:style>
  <w:style w:type="character" w:customStyle="1" w:styleId="629">
    <w:name w:val="正文缩进 Char"/>
    <w:qFormat/>
    <w:uiPriority w:val="0"/>
    <w:rPr>
      <w:rFonts w:eastAsia="宋体"/>
      <w:kern w:val="2"/>
      <w:sz w:val="21"/>
      <w:lang w:val="en-US" w:eastAsia="zh-CN"/>
    </w:rPr>
  </w:style>
  <w:style w:type="character" w:customStyle="1" w:styleId="630">
    <w:name w:val="正文首行缩进 Char1"/>
    <w:qFormat/>
    <w:uiPriority w:val="0"/>
    <w:rPr>
      <w:rFonts w:ascii="宋体" w:hAnsi="Times New Roman" w:eastAsia="宋体" w:cs="Times New Roman"/>
      <w:snapToGrid w:val="0"/>
      <w:kern w:val="2"/>
      <w:sz w:val="24"/>
      <w:szCs w:val="21"/>
      <w:lang w:val="zh-CN"/>
    </w:rPr>
  </w:style>
  <w:style w:type="character" w:customStyle="1" w:styleId="631">
    <w:name w:val="Char Char28"/>
    <w:qFormat/>
    <w:uiPriority w:val="6"/>
    <w:rPr>
      <w:rFonts w:ascii="仿宋_GB2312" w:hAnsi="仿宋_GB2312" w:eastAsia="仿宋_GB2312"/>
      <w:kern w:val="1"/>
      <w:sz w:val="28"/>
    </w:rPr>
  </w:style>
  <w:style w:type="character" w:customStyle="1" w:styleId="6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qFormat/>
    <w:uiPriority w:val="6"/>
    <w:rPr>
      <w:rFonts w:ascii="Times New Roman" w:hAnsi="Times New Roman" w:eastAsia="黑体" w:cs="Times New Roman"/>
      <w:b/>
      <w:kern w:val="0"/>
      <w:sz w:val="24"/>
      <w:szCs w:val="24"/>
    </w:rPr>
  </w:style>
  <w:style w:type="character" w:customStyle="1" w:styleId="634">
    <w:name w:val="U_正文 Char"/>
    <w:link w:val="83"/>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Char1"/>
    <w:link w:val="62"/>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84"/>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85"/>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首行缩进 2 Char"/>
    <w:link w:val="26"/>
    <w:qFormat/>
    <w:uiPriority w:val="0"/>
    <w:rPr>
      <w:rFonts w:ascii="宋体" w:hAnsi="宋体"/>
      <w:kern w:val="2"/>
      <w:sz w:val="21"/>
      <w:szCs w:val="24"/>
    </w:rPr>
  </w:style>
  <w:style w:type="character" w:customStyle="1" w:styleId="660">
    <w:name w:val="font11"/>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70"/>
    <w:qFormat/>
    <w:uiPriority w:val="0"/>
    <w:rPr>
      <w:rFonts w:ascii="Arial" w:hAnsi="Arial" w:eastAsia="黑体" w:cs="Arial"/>
      <w:snapToGrid w:val="0"/>
      <w:kern w:val="0"/>
      <w:szCs w:val="21"/>
    </w:rPr>
  </w:style>
  <w:style w:type="character" w:customStyle="1" w:styleId="66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86"/>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Char"/>
    <w:link w:val="49"/>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87"/>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Char"/>
    <w:link w:val="10"/>
    <w:qFormat/>
    <w:uiPriority w:val="0"/>
    <w:rPr>
      <w:rFonts w:ascii="Arial" w:hAnsi="Arial" w:eastAsia="黑体"/>
      <w:b/>
      <w:bCs/>
      <w:kern w:val="2"/>
      <w:sz w:val="24"/>
      <w:szCs w:val="24"/>
    </w:rPr>
  </w:style>
  <w:style w:type="character" w:customStyle="1" w:styleId="684">
    <w:name w:val="纯文本 Char_0"/>
    <w:link w:val="88"/>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90"/>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1"/>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Char"/>
    <w:link w:val="37"/>
    <w:qFormat/>
    <w:uiPriority w:val="0"/>
    <w:rPr>
      <w:rFonts w:ascii="宋体"/>
      <w:kern w:val="2"/>
      <w:sz w:val="24"/>
      <w:szCs w:val="21"/>
      <w:lang w:val="zh-CN"/>
    </w:rPr>
  </w:style>
  <w:style w:type="character" w:customStyle="1" w:styleId="714">
    <w:name w:val="标题 9 Char"/>
    <w:link w:val="13"/>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Char"/>
    <w:link w:val="40"/>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2"/>
    <w:qFormat/>
    <w:locked/>
    <w:uiPriority w:val="0"/>
    <w:rPr>
      <w:rFonts w:ascii="Tahoma" w:hAnsi="Tahoma"/>
      <w:sz w:val="24"/>
      <w:szCs w:val="24"/>
    </w:rPr>
  </w:style>
  <w:style w:type="character" w:customStyle="1" w:styleId="724">
    <w:name w:val="正文缩进 Char2"/>
    <w:link w:val="7"/>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3"/>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Char1"/>
    <w:link w:val="20"/>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标题 2 Char"/>
    <w:qFormat/>
    <w:uiPriority w:val="0"/>
    <w:rPr>
      <w:rFonts w:ascii="Arial" w:hAnsi="Arial" w:eastAsia="黑体"/>
      <w:b/>
      <w:kern w:val="2"/>
      <w:sz w:val="32"/>
      <w:lang w:val="en-US" w:eastAsia="zh-CN"/>
    </w:rPr>
  </w:style>
  <w:style w:type="character" w:customStyle="1" w:styleId="739">
    <w:name w:val="maywed421"/>
    <w:qFormat/>
    <w:uiPriority w:val="0"/>
    <w:rPr>
      <w:color w:val="366FB6"/>
      <w:u w:val="none"/>
    </w:rPr>
  </w:style>
  <w:style w:type="character" w:customStyle="1" w:styleId="740">
    <w:name w:val="正文文本缩进 Char"/>
    <w:qFormat/>
    <w:uiPriority w:val="0"/>
    <w:rPr>
      <w:rFonts w:ascii="宋体" w:hAnsi="宋体"/>
      <w:kern w:val="2"/>
      <w:sz w:val="24"/>
      <w:szCs w:val="24"/>
    </w:rPr>
  </w:style>
  <w:style w:type="character" w:customStyle="1" w:styleId="741">
    <w:name w:val="Char Char102"/>
    <w:semiHidden/>
    <w:qFormat/>
    <w:uiPriority w:val="0"/>
    <w:rPr>
      <w:rFonts w:ascii="宋体" w:hAnsi="宋体"/>
      <w:kern w:val="2"/>
      <w:sz w:val="21"/>
      <w:szCs w:val="24"/>
      <w:lang w:val="en-US" w:eastAsia="zh-CN"/>
    </w:rPr>
  </w:style>
  <w:style w:type="character" w:customStyle="1" w:styleId="742">
    <w:name w:val="页眉 Char1"/>
    <w:qFormat/>
    <w:uiPriority w:val="0"/>
    <w:rPr>
      <w:rFonts w:eastAsia="宋体"/>
      <w:kern w:val="2"/>
      <w:sz w:val="18"/>
      <w:szCs w:val="18"/>
      <w:lang w:val="en-US" w:eastAsia="zh-CN" w:bidi="ar-SA"/>
    </w:rPr>
  </w:style>
  <w:style w:type="character" w:customStyle="1" w:styleId="743">
    <w:name w:val="md"/>
    <w:basedOn w:val="70"/>
    <w:qFormat/>
    <w:uiPriority w:val="0"/>
    <w:rPr>
      <w:rFonts w:ascii="Arial" w:hAnsi="Arial" w:eastAsia="黑体" w:cs="Arial"/>
      <w:snapToGrid w:val="0"/>
      <w:kern w:val="0"/>
      <w:szCs w:val="21"/>
    </w:rPr>
  </w:style>
  <w:style w:type="character" w:customStyle="1" w:styleId="744">
    <w:name w:val="big1"/>
    <w:qFormat/>
    <w:uiPriority w:val="0"/>
    <w:rPr>
      <w:rFonts w:hint="eastAsia" w:ascii="宋体" w:hAnsi="宋体" w:eastAsia="宋体"/>
      <w:color w:val="333333"/>
      <w:sz w:val="22"/>
      <w:szCs w:val="22"/>
    </w:rPr>
  </w:style>
  <w:style w:type="character" w:customStyle="1" w:styleId="745">
    <w:name w:val="Char Char311"/>
    <w:qFormat/>
    <w:uiPriority w:val="0"/>
    <w:rPr>
      <w:rFonts w:eastAsia="宋体"/>
      <w:kern w:val="2"/>
      <w:sz w:val="21"/>
      <w:szCs w:val="24"/>
      <w:lang w:val="en-US" w:eastAsia="zh-CN" w:bidi="ar-SA"/>
    </w:rPr>
  </w:style>
  <w:style w:type="character" w:customStyle="1" w:styleId="746">
    <w:name w:val="Char Char81"/>
    <w:qFormat/>
    <w:uiPriority w:val="6"/>
    <w:rPr>
      <w:rFonts w:eastAsia="宋体"/>
      <w:b/>
      <w:sz w:val="24"/>
      <w:lang w:eastAsia="zh-CN"/>
    </w:rPr>
  </w:style>
  <w:style w:type="character" w:customStyle="1" w:styleId="747">
    <w:name w:val="样式3 Char"/>
    <w:basedOn w:val="702"/>
    <w:qFormat/>
    <w:uiPriority w:val="0"/>
    <w:rPr>
      <w:rFonts w:ascii="仿宋_GB2312" w:hAnsi="仿宋" w:eastAsia="仿宋_GB2312" w:cs="仿宋_GB2312"/>
      <w:sz w:val="32"/>
      <w:szCs w:val="30"/>
      <w:lang w:val="zh-CN"/>
    </w:rPr>
  </w:style>
  <w:style w:type="character" w:customStyle="1" w:styleId="748">
    <w:name w:val="HTML 地址 Char"/>
    <w:link w:val="31"/>
    <w:qFormat/>
    <w:uiPriority w:val="0"/>
    <w:rPr>
      <w:rFonts w:ascii="宋体" w:hAnsi="宋体"/>
      <w:i/>
      <w:iCs/>
      <w:sz w:val="24"/>
      <w:szCs w:val="24"/>
    </w:rPr>
  </w:style>
  <w:style w:type="character" w:customStyle="1" w:styleId="749">
    <w:name w:val="正文首行缩进 2 Char1"/>
    <w:qFormat/>
    <w:uiPriority w:val="0"/>
    <w:rPr>
      <w:rFonts w:ascii="Times New Roman" w:hAnsi="Times New Roman" w:eastAsia="宋体" w:cs="Times New Roman"/>
      <w:kern w:val="2"/>
      <w:sz w:val="24"/>
      <w:szCs w:val="24"/>
    </w:rPr>
  </w:style>
  <w:style w:type="character" w:customStyle="1" w:styleId="750">
    <w:name w:val="副标题 Char2"/>
    <w:qFormat/>
    <w:uiPriority w:val="0"/>
    <w:rPr>
      <w:rFonts w:ascii="Cambria" w:hAnsi="Cambria" w:eastAsia="宋体" w:cs="Times New Roman"/>
      <w:b/>
      <w:bCs/>
      <w:snapToGrid w:val="0"/>
      <w:kern w:val="28"/>
      <w:sz w:val="32"/>
      <w:szCs w:val="32"/>
    </w:rPr>
  </w:style>
  <w:style w:type="character" w:customStyle="1" w:styleId="751">
    <w:name w:val="标题4-dyf Char"/>
    <w:link w:val="95"/>
    <w:qFormat/>
    <w:uiPriority w:val="0"/>
    <w:rPr>
      <w:rFonts w:ascii="Cambria" w:hAnsi="Cambria"/>
      <w:b/>
      <w:bCs/>
      <w:color w:val="000000"/>
      <w:kern w:val="2"/>
      <w:sz w:val="21"/>
      <w:szCs w:val="21"/>
    </w:rPr>
  </w:style>
  <w:style w:type="character" w:customStyle="1" w:styleId="752">
    <w:name w:val="dectext1"/>
    <w:qFormat/>
    <w:uiPriority w:val="0"/>
    <w:rPr>
      <w:rFonts w:ascii="宋体" w:hAnsi="宋体" w:eastAsia="宋体"/>
      <w:color w:val="333333"/>
      <w:sz w:val="21"/>
      <w:szCs w:val="21"/>
      <w:u w:val="none"/>
    </w:rPr>
  </w:style>
  <w:style w:type="character" w:customStyle="1" w:styleId="753">
    <w:name w:val="冯 Char"/>
    <w:link w:val="96"/>
    <w:qFormat/>
    <w:uiPriority w:val="0"/>
    <w:rPr>
      <w:rFonts w:ascii="宋体" w:hAnsi="宋体"/>
      <w:color w:val="000000"/>
      <w:sz w:val="24"/>
      <w:szCs w:val="24"/>
    </w:rPr>
  </w:style>
  <w:style w:type="character" w:customStyle="1" w:styleId="754">
    <w:name w:val="Header Char"/>
    <w:qFormat/>
    <w:locked/>
    <w:uiPriority w:val="0"/>
    <w:rPr>
      <w:rFonts w:eastAsia="宋体"/>
      <w:kern w:val="2"/>
      <w:sz w:val="18"/>
      <w:szCs w:val="18"/>
      <w:lang w:val="en-US" w:eastAsia="zh-CN" w:bidi="ar-SA"/>
    </w:rPr>
  </w:style>
  <w:style w:type="character" w:customStyle="1" w:styleId="755">
    <w:name w:val="Char Char12"/>
    <w:qFormat/>
    <w:uiPriority w:val="0"/>
    <w:rPr>
      <w:rFonts w:ascii="仿宋_GB2312" w:eastAsia="仿宋_GB2312"/>
      <w:b/>
      <w:bCs/>
      <w:kern w:val="2"/>
      <w:sz w:val="24"/>
      <w:szCs w:val="24"/>
      <w:lang w:val="zh-CN" w:eastAsia="zh-CN" w:bidi="ar-SA"/>
    </w:rPr>
  </w:style>
  <w:style w:type="character" w:customStyle="1" w:styleId="756">
    <w:name w:val="题注 Char"/>
    <w:link w:val="18"/>
    <w:qFormat/>
    <w:uiPriority w:val="0"/>
    <w:rPr>
      <w:b/>
      <w:kern w:val="2"/>
      <w:sz w:val="28"/>
    </w:rPr>
  </w:style>
  <w:style w:type="character" w:customStyle="1" w:styleId="757">
    <w:name w:val="普通文字 Char3"/>
    <w:qFormat/>
    <w:uiPriority w:val="0"/>
    <w:rPr>
      <w:rFonts w:ascii="宋体" w:hAnsi="Courier New" w:eastAsia="宋体"/>
      <w:kern w:val="2"/>
      <w:sz w:val="21"/>
      <w:lang w:val="en-US" w:eastAsia="zh-CN" w:bidi="ar-SA"/>
    </w:rPr>
  </w:style>
  <w:style w:type="character" w:customStyle="1" w:styleId="758">
    <w:name w:val="公文正文 Char"/>
    <w:qFormat/>
    <w:uiPriority w:val="0"/>
    <w:rPr>
      <w:rFonts w:ascii="仿宋_GB2312" w:eastAsia="仿宋_GB2312"/>
      <w:kern w:val="2"/>
      <w:sz w:val="24"/>
      <w:szCs w:val="24"/>
      <w:lang w:val="en-US" w:eastAsia="zh-CN" w:bidi="ar-SA"/>
    </w:rPr>
  </w:style>
  <w:style w:type="character" w:customStyle="1" w:styleId="759">
    <w:name w:val="正文首行缩进 Char Char Char Char Char"/>
    <w:qFormat/>
    <w:uiPriority w:val="0"/>
    <w:rPr>
      <w:rFonts w:ascii="宋体"/>
      <w:kern w:val="2"/>
      <w:sz w:val="24"/>
      <w:lang w:val="zh-CN"/>
    </w:rPr>
  </w:style>
  <w:style w:type="character" w:customStyle="1" w:styleId="760">
    <w:name w:val="PI Char"/>
    <w:qFormat/>
    <w:uiPriority w:val="0"/>
    <w:rPr>
      <w:rFonts w:ascii="宋体" w:hAnsi="宋体" w:eastAsia="宋体"/>
      <w:kern w:val="2"/>
      <w:sz w:val="24"/>
      <w:szCs w:val="24"/>
      <w:lang w:val="en-US" w:eastAsia="zh-CN" w:bidi="ar-SA"/>
    </w:rPr>
  </w:style>
  <w:style w:type="character" w:customStyle="1" w:styleId="761">
    <w:name w:val="Default Char"/>
    <w:link w:val="97"/>
    <w:qFormat/>
    <w:uiPriority w:val="0"/>
    <w:rPr>
      <w:rFonts w:ascii="仿宋_GB2312" w:eastAsia="仿宋_GB2312" w:cs="仿宋_GB2312"/>
      <w:color w:val="000000"/>
      <w:sz w:val="24"/>
      <w:szCs w:val="24"/>
      <w:lang w:val="en-US" w:eastAsia="zh-CN" w:bidi="ar-SA"/>
    </w:rPr>
  </w:style>
  <w:style w:type="character" w:customStyle="1" w:styleId="762">
    <w:name w:val="style91"/>
    <w:qFormat/>
    <w:uiPriority w:val="0"/>
    <w:rPr>
      <w:color w:val="333333"/>
    </w:rPr>
  </w:style>
  <w:style w:type="character" w:customStyle="1" w:styleId="763">
    <w:name w:val="列出段落 Char2"/>
    <w:qFormat/>
    <w:uiPriority w:val="34"/>
    <w:rPr>
      <w:rFonts w:ascii="Calibri" w:hAnsi="Calibri"/>
      <w:kern w:val="2"/>
      <w:sz w:val="28"/>
    </w:rPr>
  </w:style>
  <w:style w:type="character" w:customStyle="1" w:styleId="764">
    <w:name w:val="mdeck"/>
    <w:qFormat/>
    <w:uiPriority w:val="0"/>
    <w:rPr>
      <w:rFonts w:ascii="仿宋_GB2312" w:eastAsia="微软雅黑"/>
      <w:b/>
      <w:kern w:val="2"/>
      <w:sz w:val="32"/>
      <w:szCs w:val="32"/>
      <w:lang w:val="en-US" w:eastAsia="zh-CN" w:bidi="ar-SA"/>
    </w:rPr>
  </w:style>
  <w:style w:type="character" w:customStyle="1" w:styleId="765">
    <w:name w:val="unnamed11"/>
    <w:qFormat/>
    <w:uiPriority w:val="0"/>
    <w:rPr>
      <w:sz w:val="20"/>
      <w:szCs w:val="20"/>
    </w:rPr>
  </w:style>
  <w:style w:type="character" w:customStyle="1" w:styleId="766">
    <w:name w:val="正文文本 Char2"/>
    <w:semiHidden/>
    <w:qFormat/>
    <w:uiPriority w:val="99"/>
    <w:rPr>
      <w:rFonts w:ascii="Times New Roman" w:hAnsi="Times New Roman" w:eastAsia="宋体" w:cs="Times New Roman"/>
      <w:snapToGrid w:val="0"/>
      <w:kern w:val="0"/>
      <w:szCs w:val="24"/>
    </w:rPr>
  </w:style>
  <w:style w:type="character" w:customStyle="1" w:styleId="767">
    <w:name w:val="标书正文格式 Char"/>
    <w:qFormat/>
    <w:uiPriority w:val="0"/>
    <w:rPr>
      <w:rFonts w:eastAsia="楷体_GB2312"/>
      <w:kern w:val="2"/>
      <w:sz w:val="24"/>
      <w:szCs w:val="24"/>
      <w:lang w:bidi="ar-SA"/>
    </w:rPr>
  </w:style>
  <w:style w:type="character" w:customStyle="1" w:styleId="768">
    <w:name w:val="Char Char11"/>
    <w:qFormat/>
    <w:locked/>
    <w:uiPriority w:val="0"/>
    <w:rPr>
      <w:rFonts w:ascii="宋体" w:hAnsi="宋体" w:eastAsia="宋体"/>
      <w:b/>
      <w:kern w:val="2"/>
      <w:sz w:val="24"/>
      <w:szCs w:val="24"/>
      <w:lang w:val="en-US" w:eastAsia="zh-CN" w:bidi="ar-SA"/>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tw4winMark"/>
    <w:qFormat/>
    <w:uiPriority w:val="0"/>
    <w:rPr>
      <w:rFonts w:ascii="Courier New" w:hAnsi="Courier New" w:cs="Courier New"/>
      <w:vanish/>
      <w:color w:val="800080"/>
      <w:sz w:val="24"/>
      <w:szCs w:val="24"/>
      <w:vertAlign w:val="subscript"/>
    </w:rPr>
  </w:style>
  <w:style w:type="character" w:customStyle="1" w:styleId="771">
    <w:name w:val="正文样式 Char"/>
    <w:link w:val="98"/>
    <w:qFormat/>
    <w:uiPriority w:val="0"/>
    <w:rPr>
      <w:rFonts w:ascii="Calibri" w:hAnsi="Calibri"/>
      <w:sz w:val="24"/>
      <w:szCs w:val="24"/>
    </w:rPr>
  </w:style>
  <w:style w:type="character" w:customStyle="1" w:styleId="772">
    <w:name w:val="表正文 Char3"/>
    <w:qFormat/>
    <w:uiPriority w:val="0"/>
    <w:rPr>
      <w:rFonts w:eastAsia="宋体"/>
    </w:rPr>
  </w:style>
  <w:style w:type="character" w:customStyle="1" w:styleId="773">
    <w:name w:val="H5 Char"/>
    <w:qFormat/>
    <w:uiPriority w:val="0"/>
    <w:rPr>
      <w:b/>
      <w:bCs/>
      <w:kern w:val="2"/>
      <w:sz w:val="28"/>
      <w:szCs w:val="28"/>
    </w:rPr>
  </w:style>
  <w:style w:type="character" w:customStyle="1" w:styleId="774">
    <w:name w:val="Char Char3"/>
    <w:qFormat/>
    <w:uiPriority w:val="0"/>
    <w:rPr>
      <w:rFonts w:eastAsia="宋体"/>
      <w:kern w:val="2"/>
      <w:sz w:val="21"/>
      <w:szCs w:val="24"/>
      <w:lang w:val="en-US" w:eastAsia="zh-CN"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question-title2"/>
    <w:qFormat/>
    <w:uiPriority w:val="6"/>
    <w:rPr>
      <w:rFonts w:ascii="Arial" w:hAnsi="Arial" w:eastAsia="黑体" w:cs="Arial"/>
      <w:snapToGrid w:val="0"/>
      <w:kern w:val="0"/>
      <w:szCs w:val="21"/>
    </w:rPr>
  </w:style>
  <w:style w:type="character" w:customStyle="1" w:styleId="777">
    <w:name w:val="gf正文1 Char Char"/>
    <w:link w:val="99"/>
    <w:qFormat/>
    <w:uiPriority w:val="0"/>
    <w:rPr>
      <w:rFonts w:ascii="宋体" w:hAnsi="宋体" w:cs="宋体"/>
      <w:kern w:val="2"/>
      <w:sz w:val="24"/>
      <w:szCs w:val="24"/>
    </w:rPr>
  </w:style>
  <w:style w:type="character" w:customStyle="1" w:styleId="778">
    <w:name w:val="Char Char15"/>
    <w:qFormat/>
    <w:uiPriority w:val="6"/>
    <w:rPr>
      <w:rFonts w:ascii="宋体" w:hAnsi="宋体"/>
      <w:kern w:val="1"/>
      <w:sz w:val="21"/>
    </w:rPr>
  </w:style>
  <w:style w:type="character" w:customStyle="1" w:styleId="779">
    <w:name w:val="正文缩进 Char3"/>
    <w:qFormat/>
    <w:uiPriority w:val="0"/>
    <w:rPr>
      <w:rFonts w:ascii="宋体" w:eastAsia="宋体"/>
      <w:snapToGrid w:val="0"/>
      <w:color w:val="000000"/>
      <w:kern w:val="28"/>
      <w:sz w:val="28"/>
      <w:lang w:val="en-US" w:eastAsia="zh-CN" w:bidi="ar-SA"/>
    </w:rPr>
  </w:style>
  <w:style w:type="character" w:customStyle="1" w:styleId="780">
    <w:name w:val="列出段落 Char1"/>
    <w:link w:val="100"/>
    <w:qFormat/>
    <w:uiPriority w:val="0"/>
    <w:rPr>
      <w:rFonts w:ascii="Calibri" w:hAnsi="Calibri"/>
      <w:sz w:val="24"/>
      <w:lang w:eastAsia="en-US"/>
    </w:rPr>
  </w:style>
  <w:style w:type="character" w:customStyle="1" w:styleId="781">
    <w:name w:val="Char Char8"/>
    <w:qFormat/>
    <w:uiPriority w:val="0"/>
    <w:rPr>
      <w:rFonts w:eastAsia="宋体"/>
      <w:b/>
      <w:sz w:val="24"/>
      <w:lang w:eastAsia="zh-CN"/>
    </w:rPr>
  </w:style>
  <w:style w:type="character" w:customStyle="1" w:styleId="782">
    <w:name w:val="Normal Indent Char Char"/>
    <w:qFormat/>
    <w:uiPriority w:val="0"/>
    <w:rPr>
      <w:rFonts w:eastAsia="宋体"/>
      <w:kern w:val="2"/>
      <w:sz w:val="21"/>
      <w:lang w:val="en-US" w:eastAsia="zh-CN" w:bidi="ar-SA"/>
    </w:rPr>
  </w:style>
  <w:style w:type="character" w:customStyle="1" w:styleId="783">
    <w:name w:val="列表段落 字符"/>
    <w:qFormat/>
    <w:uiPriority w:val="99"/>
  </w:style>
  <w:style w:type="character" w:customStyle="1" w:styleId="784">
    <w:name w:val="Ò³Ã¼ Char Char1"/>
    <w:qFormat/>
    <w:uiPriority w:val="0"/>
    <w:rPr>
      <w:rFonts w:eastAsia="宋体"/>
      <w:kern w:val="2"/>
      <w:sz w:val="18"/>
      <w:szCs w:val="18"/>
      <w:lang w:val="en-US" w:eastAsia="zh-CN" w:bidi="ar-SA"/>
    </w:rPr>
  </w:style>
  <w:style w:type="character" w:customStyle="1" w:styleId="785">
    <w:name w:val="方案正文 Char"/>
    <w:qFormat/>
    <w:uiPriority w:val="0"/>
    <w:rPr>
      <w:rFonts w:ascii="仿宋_GB2312" w:eastAsia="仿宋_GB2312"/>
      <w:b/>
      <w:color w:val="000000"/>
      <w:kern w:val="2"/>
      <w:sz w:val="24"/>
      <w:lang w:val="en-US" w:eastAsia="zh-CN" w:bidi="ar-SA"/>
    </w:rPr>
  </w:style>
  <w:style w:type="character" w:customStyle="1" w:styleId="786">
    <w:name w:val="Char Char30"/>
    <w:qFormat/>
    <w:uiPriority w:val="6"/>
    <w:rPr>
      <w:rFonts w:ascii="Arial" w:hAnsi="Arial" w:eastAsia="黑体"/>
      <w:kern w:val="1"/>
      <w:sz w:val="21"/>
      <w:szCs w:val="21"/>
    </w:rPr>
  </w:style>
  <w:style w:type="character" w:customStyle="1" w:styleId="787">
    <w:name w:val="正文文本缩进 Char3"/>
    <w:link w:val="25"/>
    <w:qFormat/>
    <w:uiPriority w:val="0"/>
    <w:rPr>
      <w:rFonts w:ascii="宋体" w:hAnsi="宋体"/>
      <w:kern w:val="2"/>
      <w:sz w:val="24"/>
      <w:szCs w:val="24"/>
    </w:rPr>
  </w:style>
  <w:style w:type="character" w:customStyle="1" w:styleId="788">
    <w:name w:val="font01"/>
    <w:qFormat/>
    <w:uiPriority w:val="0"/>
    <w:rPr>
      <w:rFonts w:hint="eastAsia" w:ascii="微软雅黑" w:hAnsi="微软雅黑" w:eastAsia="微软雅黑" w:cs="微软雅黑"/>
      <w:color w:val="000000"/>
      <w:sz w:val="20"/>
      <w:szCs w:val="20"/>
      <w:u w:val="none"/>
    </w:rPr>
  </w:style>
  <w:style w:type="character" w:customStyle="1" w:styleId="789">
    <w:name w:val="Char Char20"/>
    <w:qFormat/>
    <w:uiPriority w:val="6"/>
    <w:rPr>
      <w:kern w:val="1"/>
      <w:sz w:val="24"/>
    </w:rPr>
  </w:style>
  <w:style w:type="character" w:customStyle="1" w:styleId="790">
    <w:name w:val="tw4winExternal"/>
    <w:qFormat/>
    <w:uiPriority w:val="0"/>
    <w:rPr>
      <w:rFonts w:ascii="Courier New" w:hAnsi="Courier New" w:cs="Courier New"/>
      <w:color w:val="808080"/>
      <w:lang w:val="en-US" w:eastAsia="zh-CN"/>
    </w:rPr>
  </w:style>
  <w:style w:type="character" w:customStyle="1" w:styleId="791">
    <w:name w:val="标题 4 Char1"/>
    <w:qFormat/>
    <w:uiPriority w:val="9"/>
    <w:rPr>
      <w:rFonts w:ascii="Cambria" w:hAnsi="Cambria" w:eastAsia="宋体" w:cs="Times New Roman"/>
      <w:b/>
      <w:bCs/>
      <w:kern w:val="2"/>
      <w:sz w:val="28"/>
      <w:szCs w:val="28"/>
    </w:rPr>
  </w:style>
  <w:style w:type="character" w:customStyle="1" w:styleId="792">
    <w:name w:val="批注文字 Char2"/>
    <w:qFormat/>
    <w:uiPriority w:val="99"/>
    <w:rPr>
      <w:rFonts w:ascii="Times New Roman" w:hAnsi="Times New Roman" w:eastAsia="宋体" w:cs="Times New Roman"/>
      <w:snapToGrid w:val="0"/>
      <w:kern w:val="0"/>
      <w:szCs w:val="24"/>
    </w:rPr>
  </w:style>
  <w:style w:type="character" w:customStyle="1" w:styleId="793">
    <w:name w:val="正文文本 2 Char"/>
    <w:qFormat/>
    <w:uiPriority w:val="0"/>
    <w:rPr>
      <w:rFonts w:eastAsia="宋体"/>
      <w:kern w:val="2"/>
      <w:sz w:val="21"/>
      <w:szCs w:val="24"/>
      <w:lang w:val="en-US" w:eastAsia="zh-CN" w:bidi="ar-SA"/>
    </w:rPr>
  </w:style>
  <w:style w:type="character" w:customStyle="1" w:styleId="794">
    <w:name w:val="Ò³Ã¼ Char Char"/>
    <w:qFormat/>
    <w:uiPriority w:val="0"/>
    <w:rPr>
      <w:rFonts w:eastAsia="宋体"/>
      <w:kern w:val="2"/>
      <w:sz w:val="18"/>
      <w:lang w:val="en-US" w:eastAsia="zh-CN" w:bidi="ar-SA"/>
    </w:rPr>
  </w:style>
  <w:style w:type="character" w:customStyle="1" w:styleId="795">
    <w:name w:val="message1"/>
    <w:qFormat/>
    <w:uiPriority w:val="0"/>
    <w:rPr>
      <w:rFonts w:hint="default" w:ascii="Tahoma" w:hAnsi="Tahoma" w:cs="Tahoma"/>
      <w:sz w:val="18"/>
      <w:szCs w:val="18"/>
    </w:rPr>
  </w:style>
  <w:style w:type="character" w:customStyle="1" w:styleId="796">
    <w:name w:val="Char Char23"/>
    <w:qFormat/>
    <w:uiPriority w:val="6"/>
    <w:rPr>
      <w:color w:val="0000FF"/>
      <w:sz w:val="21"/>
    </w:rPr>
  </w:style>
  <w:style w:type="character" w:customStyle="1" w:styleId="797">
    <w:name w:val="批注框文本 字符"/>
    <w:qFormat/>
    <w:uiPriority w:val="0"/>
    <w:rPr>
      <w:rFonts w:ascii="Arial" w:hAnsi="Arial" w:eastAsia="黑体" w:cs="Arial"/>
      <w:snapToGrid w:val="0"/>
      <w:kern w:val="0"/>
      <w:sz w:val="18"/>
      <w:szCs w:val="18"/>
    </w:rPr>
  </w:style>
  <w:style w:type="character" w:customStyle="1" w:styleId="798">
    <w:name w:val="纯文本 Char2"/>
    <w:semiHidden/>
    <w:qFormat/>
    <w:uiPriority w:val="99"/>
    <w:rPr>
      <w:rFonts w:ascii="宋体" w:hAnsi="Courier New" w:eastAsia="宋体" w:cs="Courier New"/>
    </w:rPr>
  </w:style>
  <w:style w:type="character" w:customStyle="1" w:styleId="799">
    <w:name w:val="Char Char25"/>
    <w:qFormat/>
    <w:uiPriority w:val="6"/>
    <w:rPr>
      <w:rFonts w:ascii="宋体" w:hAnsi="宋体"/>
      <w:kern w:val="1"/>
      <w:sz w:val="24"/>
      <w:lang w:val="zh-CN"/>
    </w:rPr>
  </w:style>
  <w:style w:type="character" w:customStyle="1" w:styleId="800">
    <w:name w:val="Char Char411"/>
    <w:qFormat/>
    <w:uiPriority w:val="0"/>
    <w:rPr>
      <w:rFonts w:eastAsia="宋体"/>
      <w:b/>
      <w:sz w:val="24"/>
      <w:lang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此正文 Char"/>
    <w:link w:val="102"/>
    <w:qFormat/>
    <w:uiPriority w:val="0"/>
    <w:rPr>
      <w:kern w:val="2"/>
      <w:sz w:val="24"/>
      <w:szCs w:val="24"/>
    </w:rPr>
  </w:style>
  <w:style w:type="character" w:customStyle="1" w:styleId="803">
    <w:name w:val="Char Char2"/>
    <w:qFormat/>
    <w:uiPriority w:val="0"/>
    <w:rPr>
      <w:rFonts w:eastAsia="宋体"/>
      <w:b/>
      <w:bCs/>
      <w:kern w:val="2"/>
      <w:sz w:val="21"/>
      <w:szCs w:val="24"/>
      <w:lang w:val="en-US" w:eastAsia="zh-CN" w:bidi="ar-SA"/>
    </w:rPr>
  </w:style>
  <w:style w:type="character" w:customStyle="1" w:styleId="804">
    <w:name w:val="标题 1 Char"/>
    <w:link w:val="4"/>
    <w:qFormat/>
    <w:uiPriority w:val="9"/>
    <w:rPr>
      <w:b/>
      <w:bCs/>
      <w:kern w:val="44"/>
      <w:sz w:val="44"/>
      <w:szCs w:val="44"/>
    </w:rPr>
  </w:style>
  <w:style w:type="character" w:customStyle="1" w:styleId="805">
    <w:name w:val="Footer-Even Char1"/>
    <w:qFormat/>
    <w:uiPriority w:val="0"/>
    <w:rPr>
      <w:rFonts w:eastAsia="宋体"/>
      <w:kern w:val="2"/>
      <w:sz w:val="18"/>
      <w:szCs w:val="18"/>
      <w:lang w:val="en-US" w:eastAsia="zh-CN" w:bidi="ar-SA"/>
    </w:rPr>
  </w:style>
  <w:style w:type="character" w:customStyle="1" w:styleId="806">
    <w:name w:val="Char Char29"/>
    <w:qFormat/>
    <w:uiPriority w:val="6"/>
    <w:rPr>
      <w:rFonts w:ascii="Arial" w:hAnsi="Arial" w:eastAsia="微软雅黑"/>
      <w:b/>
      <w:kern w:val="1"/>
      <w:sz w:val="44"/>
      <w:szCs w:val="32"/>
      <w:lang w:val="en-US" w:eastAsia="zh-CN" w:bidi="ar-SA"/>
    </w:rPr>
  </w:style>
  <w:style w:type="character" w:customStyle="1" w:styleId="807">
    <w:name w:val="标题 Char2"/>
    <w:link w:val="61"/>
    <w:qFormat/>
    <w:uiPriority w:val="10"/>
    <w:rPr>
      <w:b/>
      <w:sz w:val="24"/>
    </w:rPr>
  </w:style>
  <w:style w:type="character" w:customStyle="1" w:styleId="808">
    <w:name w:val="font81"/>
    <w:qFormat/>
    <w:uiPriority w:val="0"/>
    <w:rPr>
      <w:rFonts w:ascii="微软雅黑" w:hAnsi="微软雅黑" w:eastAsia="微软雅黑" w:cs="微软雅黑"/>
      <w:color w:val="000000"/>
      <w:sz w:val="20"/>
      <w:szCs w:val="20"/>
      <w:u w:val="none"/>
    </w:rPr>
  </w:style>
  <w:style w:type="character" w:customStyle="1" w:styleId="809">
    <w:name w:val="Char Char312"/>
    <w:qFormat/>
    <w:uiPriority w:val="0"/>
    <w:rPr>
      <w:rFonts w:ascii="Times New Roman" w:hAnsi="Times New Roman" w:eastAsia="宋体" w:cs="Times New Roman"/>
      <w:b/>
      <w:kern w:val="2"/>
      <w:sz w:val="32"/>
      <w:szCs w:val="24"/>
      <w:lang w:val="en-US" w:eastAsia="zh-CN" w:bidi="ar-SA"/>
    </w:rPr>
  </w:style>
  <w:style w:type="character" w:customStyle="1" w:styleId="810">
    <w:name w:val="t21"/>
    <w:qFormat/>
    <w:uiPriority w:val="0"/>
    <w:rPr>
      <w:rFonts w:ascii="仿宋_GB2312" w:eastAsia="微软雅黑"/>
      <w:b/>
      <w:kern w:val="2"/>
      <w:sz w:val="23"/>
      <w:szCs w:val="23"/>
      <w:lang w:val="en-US" w:eastAsia="zh-CN" w:bidi="ar-SA"/>
    </w:rPr>
  </w:style>
  <w:style w:type="character" w:customStyle="1" w:styleId="811">
    <w:name w:val="样式8 Char"/>
    <w:qFormat/>
    <w:uiPriority w:val="0"/>
    <w:rPr>
      <w:rFonts w:ascii="仿宋_GB2312" w:hAnsi="宋体" w:eastAsia="仿宋_GB2312"/>
      <w:b/>
      <w:bCs/>
      <w:kern w:val="2"/>
      <w:sz w:val="24"/>
      <w:szCs w:val="24"/>
    </w:rPr>
  </w:style>
  <w:style w:type="character" w:customStyle="1" w:styleId="812">
    <w:name w:val="表格 Char Char"/>
    <w:qFormat/>
    <w:uiPriority w:val="0"/>
    <w:rPr>
      <w:rFonts w:ascii="宋体" w:hAnsi="宋体" w:eastAsia="宋体"/>
      <w:lang w:bidi="ar-SA"/>
    </w:rPr>
  </w:style>
  <w:style w:type="character" w:customStyle="1" w:styleId="813">
    <w:name w:val="正文文本 字符1"/>
    <w:qFormat/>
    <w:uiPriority w:val="0"/>
    <w:rPr>
      <w:rFonts w:ascii="Calibri" w:hAnsi="Calibri" w:eastAsia="黑体" w:cs="Arial"/>
      <w:snapToGrid w:val="0"/>
      <w:kern w:val="2"/>
      <w:sz w:val="28"/>
      <w:szCs w:val="21"/>
    </w:rPr>
  </w:style>
  <w:style w:type="character" w:customStyle="1" w:styleId="814">
    <w:name w:val="标题 5 Char"/>
    <w:link w:val="9"/>
    <w:qFormat/>
    <w:uiPriority w:val="9"/>
    <w:rPr>
      <w:b/>
      <w:bCs/>
      <w:kern w:val="2"/>
      <w:sz w:val="28"/>
      <w:szCs w:val="28"/>
    </w:rPr>
  </w:style>
  <w:style w:type="character" w:customStyle="1" w:styleId="815">
    <w:name w:val="标题 6 Char1"/>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Char"/>
    <w:link w:val="22"/>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Char"/>
    <w:link w:val="59"/>
    <w:qFormat/>
    <w:uiPriority w:val="0"/>
    <w:rPr>
      <w:rFonts w:ascii="黑体" w:hAnsi="Courier New" w:eastAsia="黑体"/>
    </w:rPr>
  </w:style>
  <w:style w:type="character" w:customStyle="1" w:styleId="823">
    <w:name w:val="正文文本 2 Char1"/>
    <w:link w:val="58"/>
    <w:qFormat/>
    <w:uiPriority w:val="0"/>
    <w:rPr>
      <w:kern w:val="2"/>
      <w:sz w:val="21"/>
      <w:szCs w:val="24"/>
    </w:rPr>
  </w:style>
  <w:style w:type="character" w:customStyle="1" w:styleId="824">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Char"/>
    <w:link w:val="11"/>
    <w:qFormat/>
    <w:uiPriority w:val="0"/>
    <w:rPr>
      <w:b/>
      <w:bCs/>
      <w:kern w:val="2"/>
      <w:sz w:val="24"/>
      <w:szCs w:val="24"/>
    </w:rPr>
  </w:style>
  <w:style w:type="character" w:customStyle="1" w:styleId="827">
    <w:name w:val="正文文本缩进 2 Char"/>
    <w:link w:val="38"/>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Char"/>
    <w:link w:val="52"/>
    <w:qFormat/>
    <w:uiPriority w:val="0"/>
    <w:rPr>
      <w:color w:val="0000FF"/>
      <w:sz w:val="21"/>
    </w:rPr>
  </w:style>
  <w:style w:type="character" w:customStyle="1" w:styleId="830">
    <w:name w:val="称呼 Char1"/>
    <w:qFormat/>
    <w:uiPriority w:val="0"/>
    <w:rPr>
      <w:rFonts w:ascii="Times New Roman" w:hAnsi="Times New Roman" w:eastAsia="宋体" w:cs="Times New Roman"/>
      <w:szCs w:val="24"/>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05"/>
    <w:qFormat/>
    <w:uiPriority w:val="0"/>
    <w:rPr>
      <w:rFonts w:ascii="Arial"/>
      <w:bCs/>
      <w:sz w:val="21"/>
      <w:szCs w:val="21"/>
      <w:lang w:val="en-US" w:eastAsia="zh-CN" w:bidi="ar-SA"/>
    </w:rPr>
  </w:style>
  <w:style w:type="character" w:customStyle="1" w:styleId="836">
    <w:name w:val="批注框文本 Char1"/>
    <w:qFormat/>
    <w:uiPriority w:val="0"/>
    <w:rPr>
      <w:rFonts w:ascii="Times New Roman" w:hAnsi="Times New Roman" w:eastAsia="宋体" w:cs="Times New Roman"/>
      <w:sz w:val="18"/>
      <w:szCs w:val="18"/>
    </w:rPr>
  </w:style>
  <w:style w:type="character" w:customStyle="1" w:styleId="837">
    <w:name w:val="纯文本 Char1"/>
    <w:link w:val="106"/>
    <w:qFormat/>
    <w:uiPriority w:val="0"/>
    <w:rPr>
      <w:rFonts w:ascii="宋体" w:hAnsi="Courier New"/>
    </w:rPr>
  </w:style>
  <w:style w:type="character" w:customStyle="1" w:styleId="838">
    <w:name w:val="正文首行缩进 Char"/>
    <w:link w:val="3"/>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Char2"/>
    <w:link w:val="8"/>
    <w:qFormat/>
    <w:uiPriority w:val="9"/>
    <w:rPr>
      <w:rFonts w:ascii="Arial" w:hAnsi="Arial" w:eastAsia="黑体"/>
      <w:b/>
      <w:bCs/>
      <w:kern w:val="2"/>
      <w:sz w:val="28"/>
      <w:szCs w:val="28"/>
      <w:lang w:val="zh-CN"/>
    </w:rPr>
  </w:style>
  <w:style w:type="character" w:customStyle="1" w:styleId="845">
    <w:name w:val="首行缩进 Char"/>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Char"/>
    <w:link w:val="23"/>
    <w:qFormat/>
    <w:uiPriority w:val="0"/>
    <w:rPr>
      <w:kern w:val="2"/>
      <w:sz w:val="21"/>
    </w:rPr>
  </w:style>
  <w:style w:type="character" w:customStyle="1" w:styleId="848">
    <w:name w:val="font31"/>
    <w:qFormat/>
    <w:uiPriority w:val="0"/>
    <w:rPr>
      <w:rFonts w:hint="eastAsia" w:ascii="仿宋" w:hAnsi="仿宋" w:eastAsia="仿宋" w:cs="仿宋"/>
      <w:color w:val="000000"/>
      <w:sz w:val="20"/>
      <w:szCs w:val="20"/>
      <w:u w:val="none"/>
    </w:rPr>
  </w:style>
  <w:style w:type="character" w:customStyle="1" w:styleId="849">
    <w:name w:val="正文说明 Char"/>
    <w:link w:val="107"/>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qFormat/>
    <w:uiPriority w:val="0"/>
    <w:rPr>
      <w:rFonts w:ascii="宋体" w:hAnsi="Courier New" w:eastAsia="宋体"/>
      <w:kern w:val="2"/>
      <w:sz w:val="21"/>
      <w:lang w:val="en-US" w:eastAsia="zh-CN" w:bidi="ar-SA"/>
    </w:rPr>
  </w:style>
  <w:style w:type="character" w:customStyle="1" w:styleId="855">
    <w:name w:val="Table Text Char"/>
    <w:link w:val="108"/>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Char1"/>
    <w:link w:val="21"/>
    <w:qFormat/>
    <w:uiPriority w:val="0"/>
    <w:rPr>
      <w:kern w:val="2"/>
      <w:sz w:val="21"/>
      <w:szCs w:val="24"/>
    </w:rPr>
  </w:style>
  <w:style w:type="character" w:customStyle="1" w:styleId="860">
    <w:name w:val="签名 Char"/>
    <w:link w:val="44"/>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09"/>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10"/>
    <w:qFormat/>
    <w:uiPriority w:val="0"/>
    <w:rPr>
      <w:rFonts w:ascii="宋体"/>
    </w:rPr>
  </w:style>
  <w:style w:type="character" w:customStyle="1" w:styleId="871">
    <w:name w:val="标题 8 Char"/>
    <w:link w:val="12"/>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qFormat/>
    <w:uiPriority w:val="0"/>
  </w:style>
  <w:style w:type="character" w:customStyle="1" w:styleId="885">
    <w:name w:val="Char Char16"/>
    <w:qFormat/>
    <w:uiPriority w:val="6"/>
    <w:rPr>
      <w:kern w:val="1"/>
      <w:sz w:val="18"/>
      <w:szCs w:val="18"/>
    </w:rPr>
  </w:style>
  <w:style w:type="character" w:customStyle="1" w:styleId="886">
    <w:name w:val="font51"/>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Char"/>
    <w:link w:val="55"/>
    <w:qFormat/>
    <w:uiPriority w:val="0"/>
    <w:rPr>
      <w:kern w:val="2"/>
      <w:sz w:val="24"/>
    </w:rPr>
  </w:style>
  <w:style w:type="character" w:customStyle="1" w:styleId="889">
    <w:name w:val="日期 Char1"/>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1"/>
    <w:qFormat/>
    <w:uiPriority w:val="0"/>
    <w:rPr>
      <w:rFonts w:ascii="Verdana" w:hAnsi="Verdana"/>
      <w:b/>
      <w:bCs/>
      <w:color w:val="4A82CA"/>
      <w:sz w:val="17"/>
      <w:szCs w:val="17"/>
    </w:rPr>
  </w:style>
  <w:style w:type="character" w:customStyle="1" w:styleId="893">
    <w:name w:val="Char Char121"/>
    <w:qFormat/>
    <w:uiPriority w:val="6"/>
    <w:rPr>
      <w:rFonts w:ascii="仿宋_GB2312" w:eastAsia="仿宋_GB2312"/>
      <w:b/>
      <w:bCs/>
      <w:kern w:val="2"/>
      <w:sz w:val="24"/>
      <w:szCs w:val="24"/>
      <w:lang w:val="zh-CN" w:eastAsia="zh-CN" w:bidi="ar-SA"/>
    </w:rPr>
  </w:style>
  <w:style w:type="character" w:customStyle="1" w:styleId="894">
    <w:name w:val="Footer-Even Char"/>
    <w:qFormat/>
    <w:uiPriority w:val="0"/>
    <w:rPr>
      <w:rFonts w:eastAsia="宋体"/>
      <w:kern w:val="2"/>
      <w:sz w:val="18"/>
      <w:lang w:val="en-US" w:eastAsia="zh-CN" w:bidi="ar-SA"/>
    </w:rPr>
  </w:style>
  <w:style w:type="character" w:customStyle="1" w:styleId="895">
    <w:name w:val="页脚 Char2"/>
    <w:link w:val="41"/>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12"/>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Char2"/>
    <w:link w:val="43"/>
    <w:qFormat/>
    <w:uiPriority w:val="99"/>
    <w:rPr>
      <w:kern w:val="2"/>
      <w:sz w:val="18"/>
      <w:szCs w:val="18"/>
    </w:rPr>
  </w:style>
  <w:style w:type="character" w:customStyle="1" w:styleId="904">
    <w:name w:val="Char Char9"/>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13"/>
    <w:qFormat/>
    <w:uiPriority w:val="0"/>
    <w:rPr>
      <w:sz w:val="24"/>
    </w:rPr>
  </w:style>
  <w:style w:type="character" w:customStyle="1" w:styleId="908">
    <w:name w:val="Char Char13"/>
    <w:qFormat/>
    <w:uiPriority w:val="6"/>
    <w:rPr>
      <w:rFonts w:ascii="宋体" w:hAnsi="宋体"/>
      <w:kern w:val="1"/>
      <w:sz w:val="21"/>
      <w:szCs w:val="24"/>
    </w:rPr>
  </w:style>
  <w:style w:type="character" w:customStyle="1" w:styleId="9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14"/>
    <w:qFormat/>
    <w:uiPriority w:val="0"/>
    <w:rPr>
      <w:rFonts w:ascii="宋体" w:hAnsi="宋体"/>
      <w:kern w:val="2"/>
      <w:sz w:val="24"/>
      <w:szCs w:val="22"/>
    </w:rPr>
  </w:style>
  <w:style w:type="character" w:customStyle="1" w:styleId="911">
    <w:name w:val="批注文字 字符"/>
    <w:qFormat/>
    <w:uiPriority w:val="0"/>
    <w:rPr>
      <w:rFonts w:ascii="Arial" w:hAnsi="Arial" w:eastAsia="黑体" w:cs="Arial"/>
      <w:snapToGrid w:val="0"/>
      <w:kern w:val="0"/>
      <w:szCs w:val="21"/>
    </w:rPr>
  </w:style>
  <w:style w:type="character" w:customStyle="1" w:styleId="912">
    <w:name w:val="Char Char161"/>
    <w:qFormat/>
    <w:uiPriority w:val="0"/>
    <w:rPr>
      <w:rFonts w:eastAsia="宋体"/>
      <w:b/>
      <w:kern w:val="2"/>
      <w:sz w:val="32"/>
      <w:lang w:val="en-US" w:eastAsia="zh-CN"/>
    </w:rPr>
  </w:style>
  <w:style w:type="character" w:customStyle="1" w:styleId="913">
    <w:name w:val="javascript"/>
    <w:qFormat/>
    <w:uiPriority w:val="0"/>
  </w:style>
  <w:style w:type="character" w:customStyle="1" w:styleId="914">
    <w:name w:val="图名 Char"/>
    <w:qFormat/>
    <w:uiPriority w:val="0"/>
    <w:rPr>
      <w:rFonts w:ascii="Arial" w:hAnsi="Arial" w:eastAsia="黑体"/>
      <w:kern w:val="2"/>
      <w:sz w:val="24"/>
      <w:szCs w:val="24"/>
      <w:lang w:val="en-US" w:eastAsia="zh-CN" w:bidi="ar-SA"/>
    </w:rPr>
  </w:style>
  <w:style w:type="character" w:customStyle="1" w:styleId="915">
    <w:name w:val="Used by Word for text of Help footnotes Char Char"/>
    <w:qFormat/>
    <w:uiPriority w:val="0"/>
    <w:rPr>
      <w:rFonts w:ascii="Times New Roman" w:hAnsi="Times New Roman" w:eastAsia="宋体" w:cs="Times New Roman"/>
      <w:sz w:val="20"/>
      <w:szCs w:val="20"/>
    </w:rPr>
  </w:style>
  <w:style w:type="character" w:customStyle="1" w:styleId="916">
    <w:name w:val="编号，小四 Char"/>
    <w:link w:val="115"/>
    <w:qFormat/>
    <w:uiPriority w:val="0"/>
    <w:rPr>
      <w:rFonts w:ascii="Arial" w:hAnsi="Arial"/>
      <w:sz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0"/>
    <w:rPr>
      <w:rFonts w:ascii="楷体_GB2312" w:hAnsi="Arial" w:eastAsia="楷体_GB2312"/>
      <w:b/>
      <w:bCs/>
      <w:kern w:val="2"/>
      <w:sz w:val="24"/>
      <w:szCs w:val="32"/>
      <w:lang w:val="en-US" w:eastAsia="zh-CN" w:bidi="ar-SA"/>
    </w:rPr>
  </w:style>
  <w:style w:type="character" w:customStyle="1" w:styleId="919">
    <w:name w:val="未用 Char"/>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16"/>
    <w:qFormat/>
    <w:uiPriority w:val="0"/>
    <w:rPr>
      <w:rFonts w:ascii="仿宋_GB2312" w:eastAsia="仿宋_GB2312"/>
      <w:kern w:val="2"/>
      <w:sz w:val="24"/>
      <w:lang w:val="en-US" w:eastAsia="zh-CN" w:bidi="ar-SA"/>
    </w:rPr>
  </w:style>
  <w:style w:type="character" w:customStyle="1" w:styleId="924">
    <w:name w:val="正文首行缩进 Char Char Char Char Char Char"/>
    <w:qFormat/>
    <w:uiPriority w:val="0"/>
    <w:rPr>
      <w:rFonts w:ascii="宋体" w:eastAsia="宋体"/>
      <w:kern w:val="2"/>
      <w:sz w:val="24"/>
      <w:lang w:val="zh-CN" w:bidi="ar-SA"/>
    </w:rPr>
  </w:style>
  <w:style w:type="character" w:customStyle="1" w:styleId="925">
    <w:name w:val="样式 宋体"/>
    <w:qFormat/>
    <w:uiPriority w:val="0"/>
    <w:rPr>
      <w:rFonts w:ascii="宋体" w:hAnsi="宋体"/>
      <w:sz w:val="24"/>
    </w:rPr>
  </w:style>
  <w:style w:type="character" w:customStyle="1" w:styleId="926">
    <w:name w:val="tw4winJump"/>
    <w:qFormat/>
    <w:uiPriority w:val="0"/>
    <w:rPr>
      <w:rFonts w:ascii="Courier New" w:hAnsi="Courier New" w:cs="Courier New"/>
      <w:color w:val="008080"/>
      <w:lang w:val="en-US" w:eastAsia="zh-CN"/>
    </w:rPr>
  </w:style>
  <w:style w:type="character" w:customStyle="1" w:styleId="927">
    <w:name w:val="标题 1 字符"/>
    <w:qFormat/>
    <w:uiPriority w:val="9"/>
    <w:rPr>
      <w:rFonts w:ascii="Arial" w:hAnsi="Arial" w:eastAsia="黑体" w:cs="Arial"/>
      <w:b/>
      <w:bCs/>
      <w:snapToGrid w:val="0"/>
      <w:kern w:val="44"/>
      <w:sz w:val="44"/>
      <w:szCs w:val="44"/>
    </w:rPr>
  </w:style>
  <w:style w:type="character" w:customStyle="1" w:styleId="928">
    <w:name w:val="style36"/>
    <w:basedOn w:val="70"/>
    <w:qFormat/>
    <w:uiPriority w:val="0"/>
    <w:rPr>
      <w:rFonts w:ascii="Arial" w:hAnsi="Arial" w:eastAsia="黑体" w:cs="Arial"/>
      <w:snapToGrid w:val="0"/>
      <w:kern w:val="0"/>
      <w:szCs w:val="21"/>
    </w:rPr>
  </w:style>
  <w:style w:type="character" w:customStyle="1" w:styleId="929">
    <w:name w:val="pt9"/>
    <w:qFormat/>
    <w:uiPriority w:val="0"/>
    <w:rPr>
      <w:rFonts w:ascii="仿宋_GB2312" w:eastAsia="微软雅黑"/>
      <w:b/>
      <w:kern w:val="2"/>
      <w:sz w:val="32"/>
      <w:szCs w:val="32"/>
      <w:lang w:val="en-US" w:eastAsia="zh-CN" w:bidi="ar-SA"/>
    </w:rPr>
  </w:style>
  <w:style w:type="character" w:customStyle="1" w:styleId="930">
    <w:name w:val="DO_NOT_TRANSLATE"/>
    <w:qFormat/>
    <w:uiPriority w:val="0"/>
    <w:rPr>
      <w:rFonts w:ascii="Courier New" w:hAnsi="Courier New" w:cs="Courier New"/>
      <w:color w:val="800000"/>
      <w:lang w:val="en-US" w:eastAsia="zh-CN"/>
    </w:rPr>
  </w:style>
  <w:style w:type="character" w:customStyle="1" w:styleId="931">
    <w:name w:val="标书1 Char1"/>
    <w:qFormat/>
    <w:uiPriority w:val="0"/>
    <w:rPr>
      <w:rFonts w:eastAsia="宋体"/>
      <w:b/>
      <w:bCs/>
      <w:kern w:val="44"/>
      <w:sz w:val="44"/>
      <w:szCs w:val="44"/>
      <w:lang w:val="en-US" w:eastAsia="zh-CN" w:bidi="ar-SA"/>
    </w:rPr>
  </w:style>
  <w:style w:type="character" w:customStyle="1" w:styleId="932">
    <w:name w:val="页脚 字符"/>
    <w:qFormat/>
    <w:uiPriority w:val="99"/>
    <w:rPr>
      <w:kern w:val="2"/>
      <w:sz w:val="18"/>
      <w:szCs w:val="18"/>
    </w:rPr>
  </w:style>
  <w:style w:type="character" w:customStyle="1" w:styleId="933">
    <w:name w:val="正文2 Char"/>
    <w:qFormat/>
    <w:uiPriority w:val="0"/>
    <w:rPr>
      <w:rFonts w:eastAsia="宋体"/>
      <w:kern w:val="2"/>
      <w:sz w:val="24"/>
      <w:lang w:val="en-US" w:eastAsia="zh-CN" w:bidi="ar-SA"/>
    </w:rPr>
  </w:style>
  <w:style w:type="character" w:customStyle="1" w:styleId="934">
    <w:name w:val="Char Char21"/>
    <w:qFormat/>
    <w:uiPriority w:val="6"/>
    <w:rPr>
      <w:rFonts w:ascii="宋体" w:hAnsi="宋体"/>
      <w:kern w:val="1"/>
      <w:sz w:val="24"/>
      <w:szCs w:val="21"/>
      <w:lang w:val="zh-CN"/>
    </w:rPr>
  </w:style>
  <w:style w:type="character" w:customStyle="1" w:styleId="935">
    <w:name w:val="样式 正文缩进 + 首行缩进:  2 字符 Char Char"/>
    <w:link w:val="117"/>
    <w:qFormat/>
    <w:uiPriority w:val="0"/>
    <w:rPr>
      <w:rFonts w:cs="宋体"/>
      <w:kern w:val="2"/>
      <w:sz w:val="24"/>
    </w:rPr>
  </w:style>
  <w:style w:type="character" w:customStyle="1" w:styleId="936">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7">
    <w:name w:val="gray6"/>
    <w:basedOn w:val="70"/>
    <w:qFormat/>
    <w:uiPriority w:val="0"/>
    <w:rPr>
      <w:rFonts w:ascii="Arial" w:hAnsi="Arial" w:eastAsia="黑体" w:cs="Arial"/>
      <w:snapToGrid w:val="0"/>
      <w:kern w:val="0"/>
      <w:szCs w:val="21"/>
    </w:rPr>
  </w:style>
  <w:style w:type="character" w:customStyle="1" w:styleId="938">
    <w:name w:val="hui"/>
    <w:basedOn w:val="70"/>
    <w:qFormat/>
    <w:uiPriority w:val="0"/>
    <w:rPr>
      <w:rFonts w:ascii="Arial" w:hAnsi="Arial" w:eastAsia="黑体" w:cs="Arial"/>
      <w:snapToGrid w:val="0"/>
      <w:kern w:val="0"/>
      <w:szCs w:val="21"/>
    </w:rPr>
  </w:style>
  <w:style w:type="character" w:customStyle="1" w:styleId="939">
    <w:name w:val="哈哈正文 Char Char"/>
    <w:qFormat/>
    <w:uiPriority w:val="0"/>
    <w:rPr>
      <w:rFonts w:ascii="宋体" w:hAnsi="宋体" w:eastAsia="宋体" w:cs="宋体"/>
      <w:kern w:val="2"/>
      <w:sz w:val="24"/>
      <w:lang w:val="en-US" w:eastAsia="zh-CN" w:bidi="ar-SA"/>
    </w:rPr>
  </w:style>
  <w:style w:type="character" w:customStyle="1" w:styleId="940">
    <w:name w:val="交叉引用"/>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qFormat/>
    <w:uiPriority w:val="0"/>
    <w:rPr>
      <w:rFonts w:ascii="宋体" w:eastAsia="宋体"/>
      <w:snapToGrid w:val="0"/>
      <w:color w:val="000000"/>
      <w:kern w:val="28"/>
      <w:sz w:val="28"/>
      <w:lang w:val="en-US" w:eastAsia="zh-CN" w:bidi="ar-SA"/>
    </w:rPr>
  </w:style>
  <w:style w:type="character" w:customStyle="1" w:styleId="942">
    <w:name w:val="页脚 字符1"/>
    <w:qFormat/>
    <w:locked/>
    <w:uiPriority w:val="99"/>
    <w:rPr>
      <w:kern w:val="2"/>
      <w:sz w:val="18"/>
      <w:szCs w:val="18"/>
    </w:rPr>
  </w:style>
  <w:style w:type="character" w:customStyle="1" w:styleId="943">
    <w:name w:val="页眉 字符1"/>
    <w:qFormat/>
    <w:uiPriority w:val="99"/>
    <w:rPr>
      <w:kern w:val="2"/>
      <w:sz w:val="18"/>
      <w:szCs w:val="18"/>
    </w:rPr>
  </w:style>
  <w:style w:type="character" w:customStyle="1" w:styleId="944">
    <w:name w:val="尾注文本 Char"/>
    <w:link w:val="39"/>
    <w:qFormat/>
    <w:uiPriority w:val="0"/>
    <w:rPr>
      <w:kern w:val="2"/>
      <w:sz w:val="21"/>
      <w:szCs w:val="24"/>
      <w:lang w:val="zh-CN"/>
    </w:rPr>
  </w:style>
  <w:style w:type="character" w:customStyle="1" w:styleId="945">
    <w:name w:val="无间隔 Char"/>
    <w:link w:val="167"/>
    <w:qFormat/>
    <w:uiPriority w:val="99"/>
    <w:rPr>
      <w:kern w:val="2"/>
      <w:sz w:val="21"/>
      <w:szCs w:val="22"/>
    </w:rPr>
  </w:style>
  <w:style w:type="character" w:customStyle="1" w:styleId="946">
    <w:name w:val="标准文本 Char Char"/>
    <w:link w:val="606"/>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basedOn w:val="70"/>
    <w:qFormat/>
    <w:uiPriority w:val="0"/>
    <w:rPr>
      <w:rFonts w:hint="eastAsia" w:ascii="仿宋" w:hAnsi="仿宋" w:eastAsia="仿宋" w:cs="仿宋"/>
      <w:color w:val="000000"/>
      <w:sz w:val="22"/>
      <w:szCs w:val="22"/>
      <w:u w:val="none"/>
    </w:rPr>
  </w:style>
  <w:style w:type="character" w:customStyle="1" w:styleId="963">
    <w:name w:val="UserStyle_16"/>
    <w:qFormat/>
    <w:uiPriority w:val="0"/>
    <w:rPr>
      <w:rFonts w:ascii="PMingLiU" w:hAnsi="PMingLiU" w:eastAsia="PMingLiU"/>
      <w:color w:val="000000"/>
      <w:kern w:val="2"/>
      <w:position w:val="0"/>
      <w:sz w:val="20"/>
      <w:szCs w:val="20"/>
      <w:lang w:val="zh-CN" w:eastAsia="zh-CN" w:bidi="zh-CN"/>
    </w:rPr>
  </w:style>
  <w:style w:type="character" w:customStyle="1" w:styleId="964">
    <w:name w:val="NormalCharacter"/>
    <w:semiHidden/>
    <w:qFormat/>
    <w:uiPriority w:val="0"/>
    <w:rPr>
      <w:rFonts w:ascii="等线" w:hAnsi="等线"/>
      <w:kern w:val="2"/>
      <w:sz w:val="21"/>
      <w:szCs w:val="24"/>
      <w:lang w:val="en-US" w:eastAsia="zh-CN" w:bidi="ar-SA"/>
    </w:rPr>
  </w:style>
  <w:style w:type="character" w:customStyle="1" w:styleId="965">
    <w:name w:val="Body text|2"/>
    <w:basedOn w:val="966"/>
    <w:qFormat/>
    <w:uiPriority w:val="0"/>
    <w:rPr>
      <w:color w:val="000000"/>
      <w:spacing w:val="0"/>
      <w:w w:val="100"/>
      <w:position w:val="0"/>
      <w:lang w:val="zh-CN" w:eastAsia="zh-CN"/>
    </w:rPr>
  </w:style>
  <w:style w:type="character" w:customStyle="1" w:styleId="966">
    <w:name w:val="Body text|2_"/>
    <w:basedOn w:val="70"/>
    <w:link w:val="621"/>
    <w:qFormat/>
    <w:uiPriority w:val="0"/>
    <w:rPr>
      <w:rFonts w:ascii="PMingLiU_x0004_falt" w:hAnsi="PMingLiU_x0004_falt" w:eastAsia="PMingLiU_x0004_falt"/>
      <w:b/>
      <w:kern w:val="0"/>
      <w:sz w:val="20"/>
      <w:szCs w:val="20"/>
    </w:rPr>
  </w:style>
  <w:style w:type="table" w:customStyle="1" w:styleId="967">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34155</Words>
  <Characters>35707</Characters>
  <Lines>287</Lines>
  <Paragraphs>81</Paragraphs>
  <TotalTime>47</TotalTime>
  <ScaleCrop>false</ScaleCrop>
  <LinksUpToDate>false</LinksUpToDate>
  <CharactersWithSpaces>40997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狗蛋</cp:lastModifiedBy>
  <cp:lastPrinted>2021-12-27T11:06:00Z</cp:lastPrinted>
  <dcterms:modified xsi:type="dcterms:W3CDTF">2022-09-27T02:23:38Z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5EA712F539CC4DE290D374818B5C805F</vt:lpwstr>
  </property>
</Properties>
</file>